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7BB74">
      <w:pPr>
        <w:spacing w:line="360" w:lineRule="auto"/>
        <w:jc w:val="center"/>
        <w:rPr>
          <w:rFonts w:hint="eastAsia" w:ascii="宋体" w:hAnsi="宋体" w:eastAsia="宋体" w:cs="宋体"/>
          <w:b/>
          <w:bCs/>
          <w:color w:val="auto"/>
          <w:sz w:val="48"/>
          <w:szCs w:val="48"/>
          <w:u w:val="single"/>
        </w:rPr>
      </w:pPr>
    </w:p>
    <w:p w14:paraId="30588523">
      <w:pPr>
        <w:pStyle w:val="5"/>
        <w:rPr>
          <w:rFonts w:hint="eastAsia" w:ascii="宋体" w:hAnsi="宋体" w:eastAsia="宋体" w:cs="宋体"/>
          <w:color w:val="auto"/>
        </w:rPr>
      </w:pPr>
    </w:p>
    <w:p w14:paraId="165A49CD">
      <w:pPr>
        <w:pStyle w:val="6"/>
        <w:jc w:val="center"/>
        <w:rPr>
          <w:rFonts w:hint="eastAsia" w:ascii="宋体" w:hAnsi="宋体" w:eastAsia="宋体" w:cs="宋体"/>
          <w:b/>
          <w:bCs/>
          <w:color w:val="auto"/>
          <w:sz w:val="48"/>
          <w:szCs w:val="48"/>
          <w:lang w:val="en-US" w:eastAsia="zh-CN"/>
        </w:rPr>
      </w:pPr>
      <w:r>
        <w:rPr>
          <w:rFonts w:hint="eastAsia" w:ascii="宋体" w:hAnsi="宋体" w:eastAsia="宋体" w:cs="宋体"/>
          <w:b/>
          <w:bCs/>
          <w:color w:val="auto"/>
          <w:sz w:val="48"/>
          <w:szCs w:val="48"/>
          <w:lang w:eastAsia="zh-CN"/>
        </w:rPr>
        <w:t>省控地下水点位规范化建设</w:t>
      </w:r>
      <w:r>
        <w:rPr>
          <w:rFonts w:hint="eastAsia" w:ascii="宋体" w:hAnsi="宋体" w:eastAsia="宋体" w:cs="宋体"/>
          <w:b/>
          <w:bCs/>
          <w:color w:val="auto"/>
          <w:sz w:val="48"/>
          <w:szCs w:val="48"/>
          <w:lang w:val="en-US" w:eastAsia="zh-CN"/>
        </w:rPr>
        <w:t>项目</w:t>
      </w:r>
    </w:p>
    <w:p w14:paraId="3BCC588A">
      <w:pPr>
        <w:pStyle w:val="6"/>
        <w:rPr>
          <w:rFonts w:hint="eastAsia" w:ascii="宋体" w:hAnsi="宋体" w:eastAsia="宋体" w:cs="宋体"/>
          <w:b/>
          <w:bCs/>
          <w:color w:val="auto"/>
          <w:sz w:val="44"/>
          <w:szCs w:val="44"/>
        </w:rPr>
      </w:pPr>
    </w:p>
    <w:p w14:paraId="6D0639E9">
      <w:pPr>
        <w:pStyle w:val="6"/>
        <w:rPr>
          <w:rFonts w:hint="eastAsia" w:ascii="宋体" w:hAnsi="宋体" w:eastAsia="宋体" w:cs="宋体"/>
          <w:b/>
          <w:bCs/>
          <w:color w:val="auto"/>
          <w:sz w:val="44"/>
          <w:szCs w:val="44"/>
        </w:rPr>
      </w:pPr>
    </w:p>
    <w:p w14:paraId="31643AF8">
      <w:pPr>
        <w:pStyle w:val="6"/>
        <w:rPr>
          <w:rFonts w:hint="eastAsia" w:ascii="宋体" w:hAnsi="宋体" w:eastAsia="宋体" w:cs="宋体"/>
          <w:b/>
          <w:bCs/>
          <w:color w:val="auto"/>
          <w:sz w:val="44"/>
          <w:szCs w:val="44"/>
        </w:rPr>
      </w:pPr>
    </w:p>
    <w:p w14:paraId="14EF0126">
      <w:pPr>
        <w:pStyle w:val="6"/>
        <w:rPr>
          <w:rFonts w:hint="eastAsia" w:ascii="宋体" w:hAnsi="宋体" w:eastAsia="宋体" w:cs="宋体"/>
          <w:color w:val="auto"/>
        </w:rPr>
      </w:pPr>
    </w:p>
    <w:p w14:paraId="5B5E2C30">
      <w:pPr>
        <w:spacing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竞争性磋商文件</w:t>
      </w:r>
    </w:p>
    <w:p w14:paraId="1E4CF04C">
      <w:pPr>
        <w:spacing w:line="360" w:lineRule="auto"/>
        <w:jc w:val="center"/>
        <w:rPr>
          <w:rFonts w:hint="eastAsia" w:ascii="宋体" w:hAnsi="宋体" w:eastAsia="宋体" w:cs="宋体"/>
          <w:b/>
          <w:bCs/>
          <w:color w:val="auto"/>
          <w:sz w:val="24"/>
          <w:szCs w:val="24"/>
        </w:rPr>
      </w:pPr>
    </w:p>
    <w:p w14:paraId="0AF60F1B">
      <w:pPr>
        <w:snapToGrid w:val="0"/>
        <w:spacing w:line="360" w:lineRule="auto"/>
        <w:ind w:firstLine="2700" w:firstLineChars="900"/>
        <w:jc w:val="left"/>
        <w:rPr>
          <w:rFonts w:hint="eastAsia" w:ascii="宋体" w:hAnsi="宋体" w:eastAsia="宋体" w:cs="宋体"/>
          <w:color w:val="auto"/>
          <w:sz w:val="30"/>
          <w:szCs w:val="30"/>
        </w:rPr>
      </w:pPr>
    </w:p>
    <w:p w14:paraId="37098477">
      <w:pPr>
        <w:snapToGrid w:val="0"/>
        <w:spacing w:line="360" w:lineRule="auto"/>
        <w:ind w:firstLine="2700" w:firstLineChars="900"/>
        <w:jc w:val="left"/>
        <w:rPr>
          <w:rFonts w:hint="eastAsia" w:ascii="宋体" w:hAnsi="宋体" w:eastAsia="宋体" w:cs="宋体"/>
          <w:color w:val="auto"/>
          <w:sz w:val="30"/>
          <w:szCs w:val="30"/>
        </w:rPr>
      </w:pPr>
    </w:p>
    <w:p w14:paraId="629C766F">
      <w:pPr>
        <w:snapToGrid w:val="0"/>
        <w:spacing w:line="360" w:lineRule="auto"/>
        <w:ind w:firstLine="2700" w:firstLineChars="900"/>
        <w:jc w:val="left"/>
        <w:rPr>
          <w:rFonts w:hint="eastAsia" w:ascii="宋体" w:hAnsi="宋体" w:eastAsia="宋体" w:cs="宋体"/>
          <w:color w:val="auto"/>
          <w:sz w:val="30"/>
          <w:szCs w:val="30"/>
        </w:rPr>
      </w:pPr>
    </w:p>
    <w:p w14:paraId="7EC0D616">
      <w:pPr>
        <w:snapToGrid w:val="0"/>
        <w:spacing w:line="360" w:lineRule="auto"/>
        <w:ind w:firstLine="2700" w:firstLineChars="900"/>
        <w:jc w:val="left"/>
        <w:rPr>
          <w:rFonts w:hint="eastAsia" w:ascii="宋体" w:hAnsi="宋体" w:eastAsia="宋体" w:cs="宋体"/>
          <w:color w:val="auto"/>
          <w:sz w:val="30"/>
          <w:szCs w:val="30"/>
          <w:u w:val="single"/>
          <w:lang w:val="en-US" w:eastAsia="zh-CN"/>
        </w:rPr>
      </w:pPr>
      <w:r>
        <w:rPr>
          <w:rFonts w:hint="eastAsia" w:ascii="宋体" w:hAnsi="宋体" w:eastAsia="宋体" w:cs="宋体"/>
          <w:color w:val="auto"/>
          <w:sz w:val="30"/>
          <w:szCs w:val="30"/>
        </w:rPr>
        <w:t>项目编号：</w:t>
      </w:r>
      <w:r>
        <w:rPr>
          <w:rFonts w:hint="eastAsia" w:ascii="宋体" w:hAnsi="宋体" w:eastAsia="宋体" w:cs="宋体"/>
          <w:color w:val="auto"/>
          <w:sz w:val="30"/>
          <w:szCs w:val="30"/>
          <w:lang w:val="en-US" w:eastAsia="zh-CN"/>
        </w:rPr>
        <w:t>CY2024025</w:t>
      </w:r>
    </w:p>
    <w:p w14:paraId="5B11FF3C">
      <w:pPr>
        <w:snapToGrid w:val="0"/>
        <w:spacing w:line="360" w:lineRule="auto"/>
        <w:ind w:firstLine="2301" w:firstLineChars="767"/>
        <w:jc w:val="left"/>
        <w:rPr>
          <w:rFonts w:hint="eastAsia" w:ascii="宋体" w:hAnsi="宋体" w:eastAsia="宋体" w:cs="宋体"/>
          <w:color w:val="auto"/>
          <w:sz w:val="30"/>
          <w:szCs w:val="30"/>
        </w:rPr>
      </w:pPr>
    </w:p>
    <w:p w14:paraId="5B60ECC0">
      <w:pPr>
        <w:spacing w:line="360" w:lineRule="auto"/>
        <w:rPr>
          <w:rFonts w:hint="eastAsia" w:ascii="宋体" w:hAnsi="宋体" w:eastAsia="宋体" w:cs="宋体"/>
          <w:color w:val="auto"/>
          <w:sz w:val="28"/>
          <w:szCs w:val="28"/>
        </w:rPr>
      </w:pPr>
    </w:p>
    <w:p w14:paraId="5C66A25B">
      <w:pPr>
        <w:spacing w:line="360" w:lineRule="auto"/>
        <w:jc w:val="center"/>
        <w:rPr>
          <w:rFonts w:hint="eastAsia" w:ascii="宋体" w:hAnsi="宋体" w:eastAsia="宋体" w:cs="宋体"/>
          <w:color w:val="auto"/>
          <w:sz w:val="24"/>
          <w:szCs w:val="24"/>
        </w:rPr>
      </w:pPr>
    </w:p>
    <w:p w14:paraId="0DEA9748">
      <w:pPr>
        <w:spacing w:line="360" w:lineRule="auto"/>
        <w:jc w:val="center"/>
        <w:rPr>
          <w:rFonts w:hint="eastAsia" w:ascii="宋体" w:hAnsi="宋体" w:eastAsia="宋体" w:cs="宋体"/>
          <w:color w:val="auto"/>
          <w:sz w:val="24"/>
          <w:szCs w:val="24"/>
        </w:rPr>
      </w:pPr>
    </w:p>
    <w:p w14:paraId="11C2189A">
      <w:pPr>
        <w:spacing w:line="360" w:lineRule="auto"/>
        <w:jc w:val="center"/>
        <w:rPr>
          <w:rFonts w:hint="eastAsia" w:ascii="宋体" w:hAnsi="宋体" w:eastAsia="宋体" w:cs="宋体"/>
          <w:color w:val="auto"/>
          <w:sz w:val="24"/>
          <w:szCs w:val="24"/>
        </w:rPr>
      </w:pPr>
    </w:p>
    <w:p w14:paraId="1E0496E6">
      <w:pPr>
        <w:spacing w:line="360" w:lineRule="auto"/>
        <w:jc w:val="center"/>
        <w:rPr>
          <w:rFonts w:hint="eastAsia" w:ascii="宋体" w:hAnsi="宋体" w:eastAsia="宋体" w:cs="宋体"/>
          <w:color w:val="auto"/>
          <w:sz w:val="24"/>
          <w:szCs w:val="24"/>
        </w:rPr>
      </w:pPr>
    </w:p>
    <w:p w14:paraId="0D5FCD77">
      <w:pPr>
        <w:spacing w:line="360" w:lineRule="auto"/>
        <w:jc w:val="center"/>
        <w:rPr>
          <w:rFonts w:hint="eastAsia" w:ascii="宋体" w:hAnsi="宋体" w:eastAsia="宋体" w:cs="宋体"/>
          <w:color w:val="auto"/>
          <w:sz w:val="24"/>
          <w:szCs w:val="24"/>
        </w:rPr>
      </w:pPr>
    </w:p>
    <w:p w14:paraId="17DB7D2F">
      <w:pPr>
        <w:spacing w:line="360" w:lineRule="auto"/>
        <w:rPr>
          <w:rFonts w:hint="eastAsia" w:ascii="宋体" w:hAnsi="宋体" w:eastAsia="宋体" w:cs="宋体"/>
          <w:color w:val="auto"/>
          <w:sz w:val="24"/>
          <w:szCs w:val="24"/>
        </w:rPr>
      </w:pPr>
    </w:p>
    <w:p w14:paraId="75BBBC58">
      <w:pPr>
        <w:snapToGrid w:val="0"/>
        <w:spacing w:line="360" w:lineRule="auto"/>
        <w:ind w:firstLine="600" w:firstLineChars="200"/>
        <w:rPr>
          <w:rFonts w:hint="eastAsia" w:ascii="宋体" w:hAnsi="宋体" w:eastAsia="宋体" w:cs="宋体"/>
          <w:color w:val="auto"/>
          <w:u w:val="single"/>
          <w:lang w:eastAsia="zh-CN"/>
        </w:rPr>
      </w:pPr>
      <w:r>
        <w:rPr>
          <w:rFonts w:hint="eastAsia" w:ascii="宋体" w:hAnsi="宋体" w:eastAsia="宋体" w:cs="宋体"/>
          <w:color w:val="auto"/>
          <w:sz w:val="30"/>
          <w:szCs w:val="30"/>
        </w:rPr>
        <w:t>采   购   人：</w:t>
      </w:r>
      <w:r>
        <w:rPr>
          <w:rFonts w:hint="eastAsia" w:ascii="宋体" w:hAnsi="宋体" w:eastAsia="宋体" w:cs="宋体"/>
          <w:color w:val="auto"/>
          <w:sz w:val="30"/>
          <w:szCs w:val="30"/>
          <w:lang w:eastAsia="zh-CN"/>
        </w:rPr>
        <w:t>绍兴市生态环境局上虞分局</w:t>
      </w:r>
    </w:p>
    <w:p w14:paraId="38292DCF">
      <w:pPr>
        <w:snapToGrid w:val="0"/>
        <w:spacing w:line="360" w:lineRule="auto"/>
        <w:ind w:firstLine="600" w:firstLineChars="200"/>
        <w:jc w:val="both"/>
        <w:rPr>
          <w:rFonts w:hint="eastAsia" w:ascii="宋体" w:hAnsi="宋体" w:eastAsia="宋体" w:cs="宋体"/>
          <w:color w:val="auto"/>
          <w:sz w:val="30"/>
        </w:rPr>
      </w:pPr>
      <w:r>
        <w:rPr>
          <w:rFonts w:hint="eastAsia" w:ascii="宋体" w:hAnsi="宋体" w:eastAsia="宋体" w:cs="宋体"/>
          <w:color w:val="auto"/>
          <w:sz w:val="30"/>
          <w:szCs w:val="30"/>
        </w:rPr>
        <w:t>采购代理机构：</w:t>
      </w:r>
      <w:r>
        <w:rPr>
          <w:rFonts w:hint="eastAsia" w:ascii="宋体" w:hAnsi="宋体" w:eastAsia="宋体" w:cs="宋体"/>
          <w:color w:val="auto"/>
          <w:sz w:val="30"/>
          <w:lang w:val="en-US" w:eastAsia="zh-CN"/>
        </w:rPr>
        <w:t>绍兴成言工程咨询管理有限公司</w:t>
      </w:r>
    </w:p>
    <w:p w14:paraId="7B71CACA">
      <w:pPr>
        <w:snapToGrid w:val="0"/>
        <w:spacing w:line="360" w:lineRule="auto"/>
        <w:ind w:firstLine="600" w:firstLineChars="200"/>
        <w:rPr>
          <w:rFonts w:hint="eastAsia" w:ascii="宋体" w:hAnsi="宋体" w:eastAsia="宋体" w:cs="宋体"/>
          <w:color w:val="auto"/>
          <w:sz w:val="30"/>
          <w:szCs w:val="30"/>
          <w:lang w:eastAsia="zh-CN"/>
        </w:rPr>
      </w:pPr>
    </w:p>
    <w:p w14:paraId="061B0B56">
      <w:pPr>
        <w:jc w:val="center"/>
        <w:rPr>
          <w:rFonts w:hint="eastAsia" w:ascii="宋体" w:hAnsi="宋体" w:eastAsia="宋体" w:cs="宋体"/>
          <w:color w:val="auto"/>
          <w:sz w:val="30"/>
          <w:szCs w:val="30"/>
        </w:rPr>
        <w:sectPr>
          <w:pgSz w:w="11906" w:h="16838"/>
          <w:pgMar w:top="1440" w:right="1700" w:bottom="1440" w:left="1800" w:header="851" w:footer="992" w:gutter="0"/>
          <w:cols w:space="425" w:num="1"/>
          <w:docGrid w:type="lines" w:linePitch="312" w:charSpace="0"/>
        </w:sectPr>
      </w:pPr>
      <w:r>
        <w:rPr>
          <w:rFonts w:hint="eastAsia" w:ascii="宋体" w:hAnsi="宋体" w:eastAsia="宋体" w:cs="宋体"/>
          <w:color w:val="auto"/>
          <w:sz w:val="30"/>
          <w:szCs w:val="30"/>
        </w:rPr>
        <w:t>二〇二</w:t>
      </w:r>
      <w:r>
        <w:rPr>
          <w:rFonts w:hint="eastAsia" w:ascii="宋体" w:hAnsi="宋体" w:eastAsia="宋体" w:cs="宋体"/>
          <w:color w:val="auto"/>
          <w:sz w:val="30"/>
          <w:szCs w:val="30"/>
          <w:lang w:eastAsia="zh-CN"/>
        </w:rPr>
        <w:t>四</w:t>
      </w:r>
      <w:r>
        <w:rPr>
          <w:rFonts w:hint="eastAsia" w:ascii="宋体" w:hAnsi="宋体" w:eastAsia="宋体" w:cs="宋体"/>
          <w:color w:val="auto"/>
          <w:sz w:val="30"/>
          <w:szCs w:val="30"/>
        </w:rPr>
        <w:t>年</w:t>
      </w:r>
      <w:r>
        <w:rPr>
          <w:rFonts w:hint="eastAsia" w:ascii="宋体" w:hAnsi="宋体" w:eastAsia="宋体" w:cs="宋体"/>
          <w:color w:val="auto"/>
          <w:sz w:val="30"/>
          <w:szCs w:val="30"/>
          <w:lang w:val="en-US" w:eastAsia="zh-CN"/>
        </w:rPr>
        <w:t>十一</w:t>
      </w:r>
      <w:r>
        <w:rPr>
          <w:rFonts w:hint="eastAsia" w:ascii="宋体" w:hAnsi="宋体" w:eastAsia="宋体" w:cs="宋体"/>
          <w:color w:val="auto"/>
          <w:sz w:val="30"/>
          <w:szCs w:val="30"/>
        </w:rPr>
        <w:t>月</w:t>
      </w:r>
    </w:p>
    <w:p w14:paraId="3A7EE61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目录</w:t>
      </w:r>
    </w:p>
    <w:p w14:paraId="06F9972B">
      <w:pPr>
        <w:pStyle w:val="21"/>
        <w:tabs>
          <w:tab w:val="right" w:leader="dot" w:pos="830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"1-3" \h \u </w:instrText>
      </w:r>
      <w:r>
        <w:rPr>
          <w:rFonts w:hint="eastAsia" w:ascii="宋体" w:hAnsi="宋体" w:eastAsia="宋体" w:cs="宋体"/>
          <w:color w:val="auto"/>
          <w:sz w:val="24"/>
          <w:szCs w:val="24"/>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"_Toc13178" </w:instrText>
      </w:r>
      <w:r>
        <w:rPr>
          <w:rFonts w:hint="eastAsia" w:ascii="宋体" w:hAnsi="宋体" w:eastAsia="宋体" w:cs="宋体"/>
          <w:color w:val="auto"/>
        </w:rPr>
        <w:fldChar w:fldCharType="separate"/>
      </w:r>
      <w:r>
        <w:rPr>
          <w:rFonts w:hint="eastAsia" w:ascii="宋体" w:hAnsi="宋体" w:eastAsia="宋体" w:cs="宋体"/>
          <w:color w:val="auto"/>
          <w:sz w:val="24"/>
          <w:szCs w:val="44"/>
        </w:rPr>
        <w:t>第一部分 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_Toc13178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02B26FA">
      <w:pPr>
        <w:pStyle w:val="21"/>
        <w:tabs>
          <w:tab w:val="right" w:leader="dot" w:pos="8306"/>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"_Toc24505" </w:instrText>
      </w:r>
      <w:r>
        <w:rPr>
          <w:rFonts w:hint="eastAsia" w:ascii="宋体" w:hAnsi="宋体" w:eastAsia="宋体" w:cs="宋体"/>
          <w:color w:val="auto"/>
        </w:rPr>
        <w:fldChar w:fldCharType="separate"/>
      </w:r>
      <w:r>
        <w:rPr>
          <w:rFonts w:hint="eastAsia" w:ascii="宋体" w:hAnsi="宋体" w:eastAsia="宋体" w:cs="宋体"/>
          <w:color w:val="auto"/>
          <w:sz w:val="24"/>
          <w:szCs w:val="44"/>
        </w:rPr>
        <w:t>第二部分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_Toc24505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5DF636A">
      <w:pPr>
        <w:pStyle w:val="23"/>
        <w:tabs>
          <w:tab w:val="right" w:leader="dot" w:pos="8306"/>
        </w:tabs>
        <w:spacing w:line="360" w:lineRule="auto"/>
        <w:ind w:left="40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"_Toc24554"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一、 总则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_Toc24554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87FB848">
      <w:pPr>
        <w:pStyle w:val="23"/>
        <w:tabs>
          <w:tab w:val="right" w:leader="dot" w:pos="8306"/>
        </w:tabs>
        <w:spacing w:line="360" w:lineRule="auto"/>
        <w:ind w:left="40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"_Toc187"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二、 竞争性磋商文件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A7E1039">
      <w:pPr>
        <w:pStyle w:val="23"/>
        <w:tabs>
          <w:tab w:val="right" w:leader="dot" w:pos="8306"/>
        </w:tabs>
        <w:spacing w:line="360" w:lineRule="auto"/>
        <w:ind w:left="40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"_Toc27018"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三、 竞争性磋商响应文件的编写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_Toc27018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60040BD">
      <w:pPr>
        <w:pStyle w:val="23"/>
        <w:tabs>
          <w:tab w:val="right" w:leader="dot" w:pos="8306"/>
        </w:tabs>
        <w:spacing w:line="360" w:lineRule="auto"/>
        <w:ind w:left="40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"_Toc32523"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四、 响应文件的递交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_Toc32523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677B076">
      <w:pPr>
        <w:pStyle w:val="23"/>
        <w:tabs>
          <w:tab w:val="right" w:leader="dot" w:pos="8306"/>
        </w:tabs>
        <w:spacing w:line="360" w:lineRule="auto"/>
        <w:ind w:left="40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"_Toc31149"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五、 磋商无效的情形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_Toc31149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B1B5E5F">
      <w:pPr>
        <w:pStyle w:val="23"/>
        <w:tabs>
          <w:tab w:val="right" w:leader="dot" w:pos="8306"/>
        </w:tabs>
        <w:spacing w:line="360" w:lineRule="auto"/>
        <w:ind w:left="40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"_Toc6023"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六、 采购中止的情形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_Toc6023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6802C0D">
      <w:pPr>
        <w:pStyle w:val="23"/>
        <w:tabs>
          <w:tab w:val="right" w:leader="dot" w:pos="8306"/>
        </w:tabs>
        <w:spacing w:line="360" w:lineRule="auto"/>
        <w:ind w:left="40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"_Toc5935"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七、 确定成交供应商与签订合同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_Toc5935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70D194D">
      <w:pPr>
        <w:pStyle w:val="21"/>
        <w:tabs>
          <w:tab w:val="right" w:leader="dot" w:pos="8306"/>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"_Toc17731" </w:instrText>
      </w:r>
      <w:r>
        <w:rPr>
          <w:rFonts w:hint="eastAsia" w:ascii="宋体" w:hAnsi="宋体" w:eastAsia="宋体" w:cs="宋体"/>
          <w:color w:val="auto"/>
        </w:rPr>
        <w:fldChar w:fldCharType="separate"/>
      </w:r>
      <w:r>
        <w:rPr>
          <w:rFonts w:hint="eastAsia" w:ascii="宋体" w:hAnsi="宋体" w:eastAsia="宋体" w:cs="宋体"/>
          <w:color w:val="auto"/>
          <w:sz w:val="24"/>
          <w:szCs w:val="44"/>
        </w:rPr>
        <w:t>第三部分 采购内容及要求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_Toc17731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48EEB2D">
      <w:pPr>
        <w:pStyle w:val="21"/>
        <w:tabs>
          <w:tab w:val="right" w:leader="dot" w:pos="8306"/>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"_Toc18895" </w:instrText>
      </w:r>
      <w:r>
        <w:rPr>
          <w:rFonts w:hint="eastAsia" w:ascii="宋体" w:hAnsi="宋体" w:eastAsia="宋体" w:cs="宋体"/>
          <w:color w:val="auto"/>
        </w:rPr>
        <w:fldChar w:fldCharType="separate"/>
      </w:r>
      <w:r>
        <w:rPr>
          <w:rFonts w:hint="eastAsia" w:ascii="宋体" w:hAnsi="宋体" w:eastAsia="宋体" w:cs="宋体"/>
          <w:color w:val="auto"/>
          <w:sz w:val="24"/>
          <w:szCs w:val="44"/>
        </w:rPr>
        <w:t>第四部分 磋商原则及磋商方法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_Toc18895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31F58FD">
      <w:pPr>
        <w:pStyle w:val="23"/>
        <w:tabs>
          <w:tab w:val="right" w:leader="dot" w:pos="8306"/>
        </w:tabs>
        <w:spacing w:line="360" w:lineRule="auto"/>
        <w:ind w:left="40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"_Toc3582"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一、 磋商原则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_Toc3582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E221F23">
      <w:pPr>
        <w:pStyle w:val="23"/>
        <w:tabs>
          <w:tab w:val="right" w:leader="dot" w:pos="8306"/>
        </w:tabs>
        <w:spacing w:line="360" w:lineRule="auto"/>
        <w:ind w:left="40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"_Toc4456"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二、 磋商程序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_Toc4456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2C977E6">
      <w:pPr>
        <w:pStyle w:val="23"/>
        <w:tabs>
          <w:tab w:val="right" w:leader="dot" w:pos="8306"/>
        </w:tabs>
        <w:spacing w:line="360" w:lineRule="auto"/>
        <w:ind w:left="40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"_Toc1778"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三、 注意事项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_Toc1778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1CC6C32">
      <w:pPr>
        <w:pStyle w:val="23"/>
        <w:tabs>
          <w:tab w:val="right" w:leader="dot" w:pos="8306"/>
        </w:tabs>
        <w:spacing w:line="360" w:lineRule="auto"/>
        <w:ind w:left="40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"_Toc6127"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四、 评分细则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_Toc6127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F7B9F5B">
      <w:pPr>
        <w:pStyle w:val="21"/>
        <w:tabs>
          <w:tab w:val="right" w:leader="dot" w:pos="8306"/>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"_Toc32092" </w:instrText>
      </w:r>
      <w:r>
        <w:rPr>
          <w:rFonts w:hint="eastAsia" w:ascii="宋体" w:hAnsi="宋体" w:eastAsia="宋体" w:cs="宋体"/>
          <w:color w:val="auto"/>
        </w:rPr>
        <w:fldChar w:fldCharType="separate"/>
      </w:r>
      <w:r>
        <w:rPr>
          <w:rFonts w:hint="eastAsia" w:ascii="宋体" w:hAnsi="宋体" w:eastAsia="宋体" w:cs="宋体"/>
          <w:color w:val="auto"/>
          <w:sz w:val="24"/>
          <w:szCs w:val="44"/>
        </w:rPr>
        <w:t>第五部分 采购合同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_Toc32092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FD5BFA4">
      <w:pPr>
        <w:pStyle w:val="21"/>
        <w:tabs>
          <w:tab w:val="right" w:leader="dot" w:pos="8306"/>
        </w:tabs>
        <w:spacing w:line="360" w:lineRule="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"_Toc31834" </w:instrText>
      </w:r>
      <w:r>
        <w:rPr>
          <w:rFonts w:hint="eastAsia" w:ascii="宋体" w:hAnsi="宋体" w:eastAsia="宋体" w:cs="宋体"/>
          <w:color w:val="auto"/>
        </w:rPr>
        <w:fldChar w:fldCharType="separate"/>
      </w:r>
      <w:r>
        <w:rPr>
          <w:rFonts w:hint="eastAsia" w:ascii="宋体" w:hAnsi="宋体" w:eastAsia="宋体" w:cs="宋体"/>
          <w:color w:val="auto"/>
          <w:sz w:val="24"/>
          <w:szCs w:val="44"/>
        </w:rPr>
        <w:t>第六部分 应提交的有关格式范例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_Toc31834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4A93907">
      <w:pPr>
        <w:pStyle w:val="5"/>
        <w:spacing w:line="360" w:lineRule="auto"/>
        <w:rPr>
          <w:rFonts w:hint="eastAsia" w:ascii="宋体" w:hAnsi="宋体" w:eastAsia="宋体" w:cs="宋体"/>
          <w:color w:val="auto"/>
        </w:rPr>
      </w:pPr>
      <w:r>
        <w:rPr>
          <w:rFonts w:hint="eastAsia" w:ascii="宋体" w:hAnsi="宋体" w:eastAsia="宋体" w:cs="宋体"/>
          <w:color w:val="auto"/>
          <w:szCs w:val="24"/>
        </w:rPr>
        <w:fldChar w:fldCharType="end"/>
      </w:r>
    </w:p>
    <w:p w14:paraId="59E3B89E">
      <w:pPr>
        <w:rPr>
          <w:rFonts w:hint="eastAsia" w:ascii="宋体" w:hAnsi="宋体" w:eastAsia="宋体" w:cs="宋体"/>
          <w:color w:val="auto"/>
        </w:rPr>
      </w:pPr>
    </w:p>
    <w:p w14:paraId="11605F97">
      <w:pPr>
        <w:rPr>
          <w:rFonts w:hint="eastAsia" w:ascii="宋体" w:hAnsi="宋体" w:eastAsia="宋体" w:cs="宋体"/>
          <w:color w:val="auto"/>
        </w:rPr>
      </w:pPr>
    </w:p>
    <w:p w14:paraId="2AAC5DB1">
      <w:pPr>
        <w:rPr>
          <w:rFonts w:hint="eastAsia" w:ascii="宋体" w:hAnsi="宋体" w:eastAsia="宋体" w:cs="宋体"/>
          <w:color w:val="auto"/>
        </w:rPr>
      </w:pPr>
    </w:p>
    <w:p w14:paraId="25754D7C">
      <w:pPr>
        <w:rPr>
          <w:rFonts w:hint="eastAsia" w:ascii="宋体" w:hAnsi="宋体" w:eastAsia="宋体" w:cs="宋体"/>
          <w:color w:val="auto"/>
        </w:rPr>
      </w:pPr>
    </w:p>
    <w:p w14:paraId="796CBC13">
      <w:pPr>
        <w:tabs>
          <w:tab w:val="left" w:pos="3148"/>
        </w:tabs>
        <w:jc w:val="left"/>
        <w:rPr>
          <w:rFonts w:hint="eastAsia" w:ascii="宋体" w:hAnsi="宋体" w:eastAsia="宋体" w:cs="宋体"/>
          <w:color w:val="auto"/>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rPr>
        <w:tab/>
      </w:r>
    </w:p>
    <w:p w14:paraId="2A7F3B7A">
      <w:pPr>
        <w:pStyle w:val="4"/>
        <w:jc w:val="center"/>
        <w:rPr>
          <w:rFonts w:hint="eastAsia" w:ascii="宋体" w:hAnsi="宋体" w:eastAsia="宋体" w:cs="宋体"/>
          <w:color w:val="auto"/>
        </w:rPr>
      </w:pPr>
      <w:bookmarkStart w:id="0" w:name="_Toc13178"/>
      <w:bookmarkStart w:id="1" w:name="_Toc32199"/>
      <w:bookmarkStart w:id="2" w:name="_Toc31034"/>
      <w:bookmarkStart w:id="3" w:name="第二部分"/>
      <w:bookmarkStart w:id="4" w:name="_Toc91899870"/>
      <w:r>
        <w:rPr>
          <w:rFonts w:hint="eastAsia" w:ascii="宋体" w:hAnsi="宋体" w:eastAsia="宋体" w:cs="宋体"/>
          <w:color w:val="auto"/>
          <w:sz w:val="36"/>
          <w:szCs w:val="36"/>
        </w:rPr>
        <w:t>第一部分 磋商公告</w:t>
      </w:r>
      <w:bookmarkEnd w:id="0"/>
      <w:bookmarkEnd w:id="1"/>
      <w:bookmarkEnd w:id="2"/>
    </w:p>
    <w:p w14:paraId="7EA9CB49">
      <w:pPr>
        <w:adjustRightIn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绍兴成言工程咨询管理有限公司</w:t>
      </w:r>
      <w:r>
        <w:rPr>
          <w:rFonts w:hint="eastAsia" w:ascii="宋体" w:hAnsi="宋体" w:eastAsia="宋体" w:cs="宋体"/>
          <w:color w:val="auto"/>
          <w:sz w:val="28"/>
          <w:szCs w:val="28"/>
        </w:rPr>
        <w:t>关于</w:t>
      </w:r>
      <w:r>
        <w:rPr>
          <w:rFonts w:hint="eastAsia" w:ascii="宋体" w:hAnsi="宋体" w:eastAsia="宋体" w:cs="宋体"/>
          <w:color w:val="auto"/>
          <w:sz w:val="28"/>
          <w:szCs w:val="28"/>
          <w:lang w:eastAsia="zh-CN"/>
        </w:rPr>
        <w:t>绍兴市生态环境局上虞分局省控地下水点位规范化建设项目</w:t>
      </w:r>
      <w:r>
        <w:rPr>
          <w:rFonts w:hint="eastAsia" w:ascii="宋体" w:hAnsi="宋体" w:eastAsia="宋体" w:cs="宋体"/>
          <w:color w:val="auto"/>
          <w:sz w:val="28"/>
          <w:szCs w:val="28"/>
        </w:rPr>
        <w:t>的竞争性磋商公告</w:t>
      </w:r>
    </w:p>
    <w:p w14:paraId="79F36523">
      <w:pPr>
        <w:adjustRightIn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公告日期：20</w:t>
      </w:r>
      <w:r>
        <w:rPr>
          <w:rFonts w:hint="eastAsia" w:ascii="宋体" w:hAnsi="宋体" w:eastAsia="宋体" w:cs="宋体"/>
          <w:color w:val="auto"/>
          <w:sz w:val="28"/>
          <w:szCs w:val="28"/>
          <w:lang w:val="en-US" w:eastAsia="zh-CN"/>
        </w:rPr>
        <w:t>24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11</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26</w:t>
      </w:r>
      <w:r>
        <w:rPr>
          <w:rFonts w:hint="eastAsia" w:ascii="宋体" w:hAnsi="宋体" w:eastAsia="宋体" w:cs="宋体"/>
          <w:color w:val="auto"/>
          <w:sz w:val="28"/>
          <w:szCs w:val="28"/>
        </w:rPr>
        <w:t>日</w:t>
      </w:r>
    </w:p>
    <w:p w14:paraId="3D552A02">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根据《中华人民共和国政府采购法》等有关规定，</w:t>
      </w:r>
      <w:r>
        <w:rPr>
          <w:rFonts w:hint="eastAsia" w:ascii="宋体" w:hAnsi="宋体" w:eastAsia="宋体" w:cs="宋体"/>
          <w:color w:val="auto"/>
          <w:sz w:val="24"/>
          <w:szCs w:val="24"/>
          <w:u w:val="single"/>
          <w:lang w:eastAsia="zh-CN"/>
        </w:rPr>
        <w:t>绍兴成言工程咨询管理有限公司</w:t>
      </w:r>
      <w:r>
        <w:rPr>
          <w:rFonts w:hint="eastAsia" w:ascii="宋体" w:hAnsi="宋体" w:eastAsia="宋体" w:cs="宋体"/>
          <w:color w:val="auto"/>
          <w:sz w:val="24"/>
          <w:szCs w:val="24"/>
        </w:rPr>
        <w:t>受</w:t>
      </w:r>
      <w:r>
        <w:rPr>
          <w:rFonts w:hint="eastAsia" w:ascii="宋体" w:hAnsi="宋体" w:eastAsia="宋体" w:cs="宋体"/>
          <w:color w:val="auto"/>
          <w:sz w:val="24"/>
          <w:szCs w:val="24"/>
          <w:u w:val="single"/>
          <w:lang w:eastAsia="zh-CN"/>
        </w:rPr>
        <w:t>绍兴市生态环境局上虞分局</w:t>
      </w:r>
      <w:r>
        <w:rPr>
          <w:rFonts w:hint="eastAsia" w:ascii="宋体" w:hAnsi="宋体" w:eastAsia="宋体" w:cs="宋体"/>
          <w:color w:val="auto"/>
          <w:sz w:val="24"/>
          <w:szCs w:val="24"/>
        </w:rPr>
        <w:t>委托，现就</w:t>
      </w:r>
      <w:r>
        <w:rPr>
          <w:rFonts w:hint="eastAsia" w:ascii="宋体" w:hAnsi="宋体" w:eastAsia="宋体" w:cs="宋体"/>
          <w:color w:val="auto"/>
          <w:sz w:val="24"/>
          <w:szCs w:val="24"/>
          <w:u w:val="single"/>
          <w:lang w:eastAsia="zh-CN"/>
        </w:rPr>
        <w:t>省控地下水点位规范化建设项目</w:t>
      </w:r>
      <w:r>
        <w:rPr>
          <w:rFonts w:hint="eastAsia" w:ascii="宋体" w:hAnsi="宋体" w:eastAsia="宋体" w:cs="宋体"/>
          <w:color w:val="auto"/>
          <w:sz w:val="24"/>
          <w:szCs w:val="24"/>
        </w:rPr>
        <w:t>进行竞争性磋商采购，欢迎国内合格的供应商参加本次采购活动。</w:t>
      </w:r>
    </w:p>
    <w:p w14:paraId="13417061">
      <w:pPr>
        <w:adjustRightIn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一． 磋商项目编号：</w:t>
      </w:r>
      <w:r>
        <w:rPr>
          <w:rFonts w:hint="eastAsia" w:ascii="宋体" w:hAnsi="宋体" w:eastAsia="宋体" w:cs="宋体"/>
          <w:color w:val="auto"/>
          <w:sz w:val="24"/>
          <w:szCs w:val="24"/>
          <w:u w:val="single"/>
          <w:lang w:val="en-US" w:eastAsia="zh-CN"/>
        </w:rPr>
        <w:t>CY2024025</w:t>
      </w:r>
    </w:p>
    <w:p w14:paraId="06EF936C">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 采购组织类型：</w:t>
      </w:r>
      <w:r>
        <w:rPr>
          <w:rFonts w:hint="eastAsia" w:ascii="宋体" w:hAnsi="宋体" w:eastAsia="宋体" w:cs="宋体"/>
          <w:color w:val="auto"/>
          <w:sz w:val="24"/>
          <w:szCs w:val="24"/>
          <w:u w:val="single"/>
        </w:rPr>
        <w:t xml:space="preserve"> 分散采购（中介代理） </w:t>
      </w:r>
      <w:r>
        <w:rPr>
          <w:rFonts w:hint="eastAsia" w:ascii="宋体" w:hAnsi="宋体" w:eastAsia="宋体" w:cs="宋体"/>
          <w:color w:val="auto"/>
          <w:sz w:val="24"/>
          <w:szCs w:val="24"/>
        </w:rPr>
        <w:t xml:space="preserve"> </w:t>
      </w:r>
    </w:p>
    <w:p w14:paraId="610599BF">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 磋商项目概况:</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autofit"/>
        <w:tblCellMar>
          <w:top w:w="0" w:type="dxa"/>
          <w:left w:w="108" w:type="dxa"/>
          <w:bottom w:w="0" w:type="dxa"/>
          <w:right w:w="108" w:type="dxa"/>
        </w:tblCellMar>
      </w:tblPr>
      <w:tblGrid>
        <w:gridCol w:w="586"/>
        <w:gridCol w:w="1891"/>
        <w:gridCol w:w="587"/>
        <w:gridCol w:w="587"/>
        <w:gridCol w:w="1294"/>
        <w:gridCol w:w="2283"/>
        <w:gridCol w:w="1294"/>
      </w:tblGrid>
      <w:tr w14:paraId="6739AE79">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0" w:type="auto"/>
            <w:tcBorders>
              <w:top w:val="single" w:color="000000" w:sz="4" w:space="0"/>
            </w:tcBorders>
            <w:vAlign w:val="center"/>
          </w:tcPr>
          <w:p w14:paraId="5421B571">
            <w:pPr>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0" w:type="auto"/>
            <w:tcBorders>
              <w:top w:val="single" w:color="000000" w:sz="4" w:space="0"/>
            </w:tcBorders>
            <w:vAlign w:val="center"/>
          </w:tcPr>
          <w:p w14:paraId="6F3BD181">
            <w:pPr>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0" w:type="auto"/>
            <w:tcBorders>
              <w:top w:val="single" w:color="000000" w:sz="4" w:space="0"/>
            </w:tcBorders>
            <w:vAlign w:val="center"/>
          </w:tcPr>
          <w:p w14:paraId="070A5963">
            <w:pPr>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0" w:type="auto"/>
            <w:tcBorders>
              <w:top w:val="single" w:color="000000" w:sz="4" w:space="0"/>
            </w:tcBorders>
            <w:vAlign w:val="center"/>
          </w:tcPr>
          <w:p w14:paraId="38CFAD5C">
            <w:pPr>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0" w:type="auto"/>
            <w:tcBorders>
              <w:top w:val="single" w:color="000000" w:sz="4" w:space="0"/>
            </w:tcBorders>
            <w:vAlign w:val="center"/>
          </w:tcPr>
          <w:p w14:paraId="4200160C">
            <w:pPr>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eastAsia="zh-CN"/>
              </w:rPr>
              <w:t>万</w:t>
            </w:r>
            <w:r>
              <w:rPr>
                <w:rFonts w:hint="eastAsia" w:ascii="宋体" w:hAnsi="宋体" w:eastAsia="宋体" w:cs="宋体"/>
                <w:color w:val="auto"/>
                <w:sz w:val="24"/>
                <w:szCs w:val="24"/>
              </w:rPr>
              <w:t>元)</w:t>
            </w:r>
          </w:p>
        </w:tc>
        <w:tc>
          <w:tcPr>
            <w:tcW w:w="0" w:type="auto"/>
            <w:tcBorders>
              <w:top w:val="single" w:color="000000" w:sz="4" w:space="0"/>
            </w:tcBorders>
            <w:vAlign w:val="center"/>
          </w:tcPr>
          <w:p w14:paraId="1C4D24CB">
            <w:pPr>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简要规格描述或标项基本概况介绍</w:t>
            </w:r>
          </w:p>
        </w:tc>
        <w:tc>
          <w:tcPr>
            <w:tcW w:w="0" w:type="auto"/>
            <w:tcBorders>
              <w:top w:val="single" w:color="000000" w:sz="4" w:space="0"/>
            </w:tcBorders>
            <w:vAlign w:val="center"/>
          </w:tcPr>
          <w:p w14:paraId="784192F3">
            <w:pPr>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最高限价(</w:t>
            </w:r>
            <w:r>
              <w:rPr>
                <w:rFonts w:hint="eastAsia" w:ascii="宋体" w:hAnsi="宋体" w:eastAsia="宋体" w:cs="宋体"/>
                <w:color w:val="auto"/>
                <w:sz w:val="24"/>
                <w:szCs w:val="24"/>
                <w:lang w:eastAsia="zh-CN"/>
              </w:rPr>
              <w:t>万</w:t>
            </w:r>
            <w:r>
              <w:rPr>
                <w:rFonts w:hint="eastAsia" w:ascii="宋体" w:hAnsi="宋体" w:eastAsia="宋体" w:cs="宋体"/>
                <w:color w:val="auto"/>
                <w:sz w:val="24"/>
                <w:szCs w:val="24"/>
              </w:rPr>
              <w:t>元)</w:t>
            </w:r>
          </w:p>
        </w:tc>
      </w:tr>
      <w:tr w14:paraId="3ECA6E25">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0" w:type="auto"/>
            <w:tcBorders>
              <w:bottom w:val="single" w:color="000000" w:sz="4" w:space="0"/>
            </w:tcBorders>
            <w:vAlign w:val="center"/>
          </w:tcPr>
          <w:p w14:paraId="246A1AD6">
            <w:pPr>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0" w:type="auto"/>
            <w:tcBorders>
              <w:bottom w:val="single" w:color="000000" w:sz="4" w:space="0"/>
            </w:tcBorders>
            <w:vAlign w:val="center"/>
          </w:tcPr>
          <w:p w14:paraId="40FF5017">
            <w:pPr>
              <w:adjustRightIn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省控地下水点位规范化建设</w:t>
            </w:r>
          </w:p>
        </w:tc>
        <w:tc>
          <w:tcPr>
            <w:tcW w:w="0" w:type="auto"/>
            <w:tcBorders>
              <w:bottom w:val="single" w:color="000000" w:sz="4" w:space="0"/>
            </w:tcBorders>
            <w:vAlign w:val="center"/>
          </w:tcPr>
          <w:p w14:paraId="493BF918">
            <w:pPr>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0" w:type="auto"/>
            <w:tcBorders>
              <w:bottom w:val="single" w:color="000000" w:sz="4" w:space="0"/>
            </w:tcBorders>
            <w:vAlign w:val="center"/>
          </w:tcPr>
          <w:p w14:paraId="49BBE9DA">
            <w:pPr>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0" w:type="auto"/>
            <w:tcBorders>
              <w:bottom w:val="single" w:color="000000" w:sz="4" w:space="0"/>
            </w:tcBorders>
            <w:vAlign w:val="center"/>
          </w:tcPr>
          <w:p w14:paraId="18B889E0">
            <w:pPr>
              <w:widowControl/>
              <w:spacing w:before="100" w:after="100" w:line="312"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90</w:t>
            </w:r>
          </w:p>
        </w:tc>
        <w:tc>
          <w:tcPr>
            <w:tcW w:w="0" w:type="auto"/>
            <w:tcBorders>
              <w:bottom w:val="single" w:color="000000" w:sz="4" w:space="0"/>
            </w:tcBorders>
            <w:vAlign w:val="center"/>
          </w:tcPr>
          <w:p w14:paraId="5820B0EB">
            <w:pPr>
              <w:pStyle w:val="15"/>
              <w:snapToGrid w:val="0"/>
              <w:spacing w:before="120" w:after="12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详见采购需求</w:t>
            </w:r>
          </w:p>
        </w:tc>
        <w:tc>
          <w:tcPr>
            <w:tcW w:w="0" w:type="auto"/>
            <w:tcBorders>
              <w:bottom w:val="single" w:color="000000" w:sz="4" w:space="0"/>
            </w:tcBorders>
            <w:vAlign w:val="center"/>
          </w:tcPr>
          <w:p w14:paraId="28D5FFB5">
            <w:pPr>
              <w:adjustRightIn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90</w:t>
            </w:r>
          </w:p>
        </w:tc>
      </w:tr>
    </w:tbl>
    <w:p w14:paraId="2A9B5A9A">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 合格供应商资格要求:</w:t>
      </w:r>
    </w:p>
    <w:p w14:paraId="6C7D1AB6">
      <w:pPr>
        <w:numPr>
          <w:ilvl w:val="0"/>
          <w:numId w:val="3"/>
        </w:numPr>
        <w:wordWrap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符合政府采购法第二十二条，且未被“信用中国”（www.creditchina.gov.cn）、中国政府采购网（www.ccgp.gov.cn）列入失信被执行人、重大税收违法案件当事人名单、政府采购严重违法失信行为记录名单。</w:t>
      </w:r>
    </w:p>
    <w:p w14:paraId="0393DECB">
      <w:pPr>
        <w:numPr>
          <w:ilvl w:val="0"/>
          <w:numId w:val="3"/>
        </w:numPr>
        <w:wordWrap w:val="0"/>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落实政府采购政策需满足的资格要求：</w:t>
      </w:r>
      <w:r>
        <w:rPr>
          <w:rFonts w:hint="eastAsia" w:ascii="宋体" w:hAnsi="宋体" w:eastAsia="宋体" w:cs="宋体"/>
          <w:color w:val="auto"/>
          <w:sz w:val="24"/>
          <w:szCs w:val="24"/>
          <w:lang w:val="en-US" w:eastAsia="zh-CN"/>
        </w:rPr>
        <w:t>/</w:t>
      </w:r>
    </w:p>
    <w:p w14:paraId="218290CD">
      <w:pPr>
        <w:numPr>
          <w:ilvl w:val="0"/>
          <w:numId w:val="3"/>
        </w:num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本项目不接受联合体参加磋商。</w:t>
      </w:r>
    </w:p>
    <w:p w14:paraId="3CAE40B9">
      <w:pPr>
        <w:numPr>
          <w:ilvl w:val="0"/>
          <w:numId w:val="3"/>
        </w:num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本项目采用资格后审的审查方式，由磋商小组负责审查。</w:t>
      </w:r>
    </w:p>
    <w:p w14:paraId="224404E0">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五．获取磋商文件</w:t>
      </w:r>
    </w:p>
    <w:p w14:paraId="12BB0831">
      <w:pPr>
        <w:numPr>
          <w:ilvl w:val="0"/>
          <w:numId w:val="4"/>
        </w:numPr>
        <w:adjustRightInd w:val="0"/>
        <w:spacing w:line="360" w:lineRule="auto"/>
        <w:ind w:firstLine="480" w:firstLineChars="200"/>
        <w:rPr>
          <w:rFonts w:hint="eastAsia" w:ascii="宋体" w:hAnsi="宋体" w:eastAsia="宋体" w:cs="宋体"/>
          <w:color w:val="auto"/>
          <w:sz w:val="24"/>
          <w:szCs w:val="24"/>
        </w:rPr>
      </w:pPr>
      <w:bookmarkStart w:id="5" w:name="报名开始时间1"/>
      <w:r>
        <w:rPr>
          <w:rFonts w:hint="eastAsia" w:ascii="宋体" w:hAnsi="宋体" w:eastAsia="宋体" w:cs="宋体"/>
          <w:color w:val="auto"/>
          <w:sz w:val="24"/>
          <w:szCs w:val="24"/>
        </w:rPr>
        <w:t>获取磋商文件时间:</w:t>
      </w:r>
      <w:bookmarkEnd w:id="5"/>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 xml:space="preserve">  6  </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u w:val="single"/>
          <w:lang w:eastAsia="zh-CN"/>
        </w:rPr>
        <w:t>上</w:t>
      </w:r>
      <w:r>
        <w:rPr>
          <w:rFonts w:hint="eastAsia" w:ascii="宋体" w:hAnsi="宋体" w:eastAsia="宋体" w:cs="宋体"/>
          <w:color w:val="auto"/>
          <w:sz w:val="24"/>
          <w:szCs w:val="24"/>
          <w:u w:val="single"/>
        </w:rPr>
        <w:t>午</w:t>
      </w:r>
      <w:r>
        <w:rPr>
          <w:rFonts w:hint="eastAsia" w:ascii="宋体" w:hAnsi="宋体" w:eastAsia="宋体" w:cs="宋体"/>
          <w:color w:val="auto"/>
          <w:sz w:val="24"/>
          <w:szCs w:val="24"/>
          <w:u w:val="single"/>
          <w:lang w:val="en-US" w:eastAsia="zh-CN"/>
        </w:rPr>
        <w:t>09</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之前获取。</w:t>
      </w:r>
    </w:p>
    <w:p w14:paraId="28D5F0FA">
      <w:pPr>
        <w:numPr>
          <w:ilvl w:val="0"/>
          <w:numId w:val="4"/>
        </w:num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获取磋商文件方式：供应商登陆政采云平台http://www.zcygov.cn/，在线申请获取磋商文件（进入“项目采购”应用，在获取采购文件菜单中选择项目，申请获取采购文件）。</w:t>
      </w:r>
    </w:p>
    <w:p w14:paraId="3828F797">
      <w:pPr>
        <w:numPr>
          <w:ilvl w:val="0"/>
          <w:numId w:val="4"/>
        </w:num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提示：</w:t>
      </w:r>
    </w:p>
    <w:p w14:paraId="0205612E">
      <w:pPr>
        <w:numPr>
          <w:ilvl w:val="0"/>
          <w:numId w:val="5"/>
        </w:num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将拒绝接受未获取磋商文件供应商的响应文件。</w:t>
      </w:r>
    </w:p>
    <w:p w14:paraId="59241B8B">
      <w:pPr>
        <w:numPr>
          <w:ilvl w:val="0"/>
          <w:numId w:val="5"/>
        </w:num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磋商文件及更正补充公告请自行登录浙江政府采购网或绍兴市上虞区公共资源交易中心网站，在采购公告页面中下载。</w:t>
      </w:r>
    </w:p>
    <w:p w14:paraId="2A5973D2">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六、投标与开标注意事项：</w:t>
      </w:r>
    </w:p>
    <w:p w14:paraId="17727374">
      <w:pPr>
        <w:numPr>
          <w:ilvl w:val="0"/>
          <w:numId w:val="6"/>
        </w:num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本项目实行</w:t>
      </w:r>
      <w:r>
        <w:rPr>
          <w:rFonts w:hint="eastAsia" w:ascii="宋体" w:hAnsi="宋体" w:eastAsia="宋体" w:cs="宋体"/>
          <w:b/>
          <w:bCs/>
          <w:color w:val="auto"/>
          <w:sz w:val="24"/>
        </w:rPr>
        <w:t>网上投标</w:t>
      </w:r>
      <w:r>
        <w:rPr>
          <w:rFonts w:hint="eastAsia" w:ascii="宋体" w:hAnsi="宋体" w:eastAsia="宋体" w:cs="宋体"/>
          <w:color w:val="auto"/>
          <w:sz w:val="24"/>
        </w:rPr>
        <w:t>，采用电子投标文件，若供应商参与投标，自行承担投标一切费用。</w:t>
      </w:r>
    </w:p>
    <w:p w14:paraId="619DF999">
      <w:pPr>
        <w:numPr>
          <w:ilvl w:val="0"/>
          <w:numId w:val="6"/>
        </w:numPr>
        <w:wordWrap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标前准备：各供应商应在开标前应确保成为浙江省政府采购网正式注册入库供应商，并完成CA数字证书办理。因未注册入库、未办理CA数字证书等原因造成无法投标或投标失败等后果由供应商自行承担。</w:t>
      </w:r>
    </w:p>
    <w:p w14:paraId="78944792">
      <w:pPr>
        <w:autoSpaceDE w:val="0"/>
        <w:autoSpaceDN w:val="0"/>
        <w:spacing w:line="360" w:lineRule="auto"/>
        <w:ind w:firstLine="480" w:firstLineChars="200"/>
        <w:textAlignment w:val="bottom"/>
        <w:rPr>
          <w:rFonts w:hint="eastAsia" w:ascii="宋体" w:hAnsi="宋体" w:eastAsia="宋体" w:cs="宋体"/>
          <w:color w:val="auto"/>
          <w:sz w:val="24"/>
          <w:szCs w:val="21"/>
        </w:rPr>
      </w:pPr>
      <w:r>
        <w:rPr>
          <w:rFonts w:hint="eastAsia" w:ascii="宋体" w:hAnsi="宋体" w:eastAsia="宋体" w:cs="宋体"/>
          <w:color w:val="auto"/>
          <w:sz w:val="24"/>
          <w:szCs w:val="21"/>
        </w:rPr>
        <w:t>供应商将政采云电子交易客户端下载、安装完成后，可通过账号密码或CA登录客户端进行投标文件制作。在使用政采云投标客户端时，建议使用WIN7及以上操作系统。</w:t>
      </w:r>
    </w:p>
    <w:p w14:paraId="1A746001">
      <w:pPr>
        <w:autoSpaceDE w:val="0"/>
        <w:autoSpaceDN w:val="0"/>
        <w:spacing w:line="360" w:lineRule="auto"/>
        <w:ind w:firstLine="480" w:firstLineChars="200"/>
        <w:textAlignment w:val="bottom"/>
        <w:rPr>
          <w:rFonts w:hint="eastAsia" w:ascii="宋体" w:hAnsi="宋体" w:eastAsia="宋体" w:cs="宋体"/>
          <w:color w:val="auto"/>
          <w:sz w:val="24"/>
          <w:szCs w:val="21"/>
        </w:rPr>
      </w:pPr>
      <w:r>
        <w:rPr>
          <w:rFonts w:hint="eastAsia" w:ascii="宋体" w:hAnsi="宋体" w:eastAsia="宋体" w:cs="宋体"/>
          <w:color w:val="auto"/>
          <w:sz w:val="24"/>
          <w:szCs w:val="21"/>
        </w:rPr>
        <w:t>注：供应商先要申领CA，取得CA后需要在政采云平台进行绑定，CA相关操作可参考《CA管理学习专题》。完成CA数字证书办理在资料齐全的情况下预计7个工作日左右，建议供应商获取招标文件后立即办理。</w:t>
      </w:r>
    </w:p>
    <w:p w14:paraId="3A31FC02">
      <w:pPr>
        <w:adjustRightInd w:val="0"/>
        <w:spacing w:line="360" w:lineRule="auto"/>
        <w:ind w:left="400" w:leftChars="200"/>
        <w:rPr>
          <w:rFonts w:hint="eastAsia" w:ascii="宋体" w:hAnsi="宋体" w:eastAsia="宋体" w:cs="宋体"/>
          <w:color w:val="auto"/>
          <w:sz w:val="24"/>
          <w:szCs w:val="21"/>
        </w:rPr>
      </w:pPr>
      <w:r>
        <w:rPr>
          <w:rFonts w:hint="eastAsia" w:ascii="宋体" w:hAnsi="宋体" w:eastAsia="宋体" w:cs="宋体"/>
          <w:color w:val="auto"/>
          <w:sz w:val="24"/>
          <w:szCs w:val="21"/>
        </w:rPr>
        <w:t>《CA管理学习专题》：</w:t>
      </w:r>
    </w:p>
    <w:p w14:paraId="5DBC122D">
      <w:pPr>
        <w:adjustRightInd w:val="0"/>
        <w:spacing w:line="360" w:lineRule="auto"/>
        <w:ind w:left="400" w:leftChars="200"/>
        <w:rPr>
          <w:rFonts w:hint="eastAsia" w:ascii="宋体" w:hAnsi="宋体" w:eastAsia="宋体" w:cs="宋体"/>
          <w:color w:val="auto"/>
          <w:sz w:val="24"/>
          <w:szCs w:val="21"/>
        </w:rPr>
      </w:pPr>
      <w:r>
        <w:rPr>
          <w:rFonts w:hint="eastAsia" w:ascii="宋体" w:hAnsi="宋体" w:eastAsia="宋体" w:cs="宋体"/>
          <w:color w:val="auto"/>
          <w:sz w:val="24"/>
          <w:szCs w:val="21"/>
        </w:rPr>
        <w:t>http</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//edu.zcygov.cn/luban/ca?utm=web-government-frosnt.380aac0a.0.0.fc2b6aa0b6e211ebbdb0dd007730dd44</w:t>
      </w:r>
    </w:p>
    <w:p w14:paraId="0A41969D">
      <w:pPr>
        <w:adjustRightInd w:val="0"/>
        <w:spacing w:line="360" w:lineRule="auto"/>
        <w:ind w:left="400" w:leftChars="200"/>
        <w:rPr>
          <w:rFonts w:hint="eastAsia" w:ascii="宋体" w:hAnsi="宋体" w:eastAsia="宋体" w:cs="宋体"/>
          <w:color w:val="auto"/>
          <w:sz w:val="24"/>
          <w:szCs w:val="21"/>
        </w:rPr>
      </w:pPr>
      <w:r>
        <w:rPr>
          <w:rFonts w:hint="eastAsia" w:ascii="宋体" w:hAnsi="宋体" w:eastAsia="宋体" w:cs="宋体"/>
          <w:color w:val="auto"/>
          <w:sz w:val="24"/>
          <w:szCs w:val="21"/>
        </w:rPr>
        <w:t>《CA驱动和申领流程》：</w:t>
      </w:r>
    </w:p>
    <w:p w14:paraId="484D615F">
      <w:pPr>
        <w:adjustRightInd w:val="0"/>
        <w:spacing w:line="360" w:lineRule="auto"/>
        <w:ind w:left="400" w:leftChars="200"/>
        <w:rPr>
          <w:rFonts w:hint="eastAsia" w:ascii="宋体" w:hAnsi="宋体" w:eastAsia="宋体" w:cs="宋体"/>
          <w:color w:val="auto"/>
          <w:sz w:val="24"/>
        </w:rPr>
      </w:pPr>
      <w:r>
        <w:rPr>
          <w:rFonts w:hint="eastAsia" w:ascii="宋体" w:hAnsi="宋体" w:eastAsia="宋体" w:cs="宋体"/>
          <w:color w:val="auto"/>
          <w:sz w:val="24"/>
          <w:szCs w:val="21"/>
        </w:rPr>
        <w:fldChar w:fldCharType="begin"/>
      </w:r>
      <w:r>
        <w:rPr>
          <w:rFonts w:hint="eastAsia" w:ascii="宋体" w:hAnsi="宋体" w:eastAsia="宋体" w:cs="宋体"/>
          <w:color w:val="auto"/>
          <w:sz w:val="24"/>
          <w:szCs w:val="21"/>
        </w:rPr>
        <w:instrText xml:space="preserve"> HYPERLINK "http://zfcg.czt.zj.gov.cn/bidClientTemplate/2019-05-27/12945.html" </w:instrText>
      </w:r>
      <w:r>
        <w:rPr>
          <w:rFonts w:hint="eastAsia" w:ascii="宋体" w:hAnsi="宋体" w:eastAsia="宋体" w:cs="宋体"/>
          <w:color w:val="auto"/>
          <w:sz w:val="24"/>
          <w:szCs w:val="21"/>
        </w:rPr>
        <w:fldChar w:fldCharType="separate"/>
      </w:r>
      <w:r>
        <w:rPr>
          <w:rFonts w:hint="eastAsia" w:ascii="宋体" w:hAnsi="宋体" w:eastAsia="宋体" w:cs="宋体"/>
          <w:color w:val="auto"/>
          <w:sz w:val="24"/>
          <w:szCs w:val="21"/>
          <w:lang w:eastAsia="zh-CN"/>
        </w:rPr>
        <w:t>http:</w:t>
      </w:r>
      <w:r>
        <w:rPr>
          <w:rFonts w:hint="eastAsia" w:ascii="宋体" w:hAnsi="宋体" w:eastAsia="宋体" w:cs="宋体"/>
          <w:color w:val="auto"/>
          <w:sz w:val="24"/>
          <w:szCs w:val="21"/>
        </w:rPr>
        <w:t>//zfcg.czt.zj.gov.cn/bidClientTemplate/2019-05-27/12945.html</w:t>
      </w:r>
      <w:r>
        <w:rPr>
          <w:rFonts w:hint="eastAsia" w:ascii="宋体" w:hAnsi="宋体" w:eastAsia="宋体" w:cs="宋体"/>
          <w:color w:val="auto"/>
          <w:sz w:val="24"/>
          <w:szCs w:val="21"/>
        </w:rPr>
        <w:fldChar w:fldCharType="end"/>
      </w:r>
    </w:p>
    <w:p w14:paraId="36512128">
      <w:pPr>
        <w:numPr>
          <w:ilvl w:val="0"/>
          <w:numId w:val="6"/>
        </w:num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投标文件制作：</w:t>
      </w:r>
    </w:p>
    <w:p w14:paraId="58BC60CC">
      <w:pPr>
        <w:numPr>
          <w:ilvl w:val="0"/>
          <w:numId w:val="7"/>
        </w:numPr>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eastAsia="宋体" w:cs="宋体"/>
          <w:color w:val="000000"/>
          <w:sz w:val="24"/>
        </w:rPr>
        <w:t>95763。</w:t>
      </w:r>
    </w:p>
    <w:p w14:paraId="432F4D83">
      <w:pPr>
        <w:numPr>
          <w:ilvl w:val="0"/>
          <w:numId w:val="7"/>
        </w:numPr>
        <w:wordWrap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投标人通过“政采云”平台电子投标工具制作投标文件。</w:t>
      </w:r>
    </w:p>
    <w:p w14:paraId="03B441DD">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《电子投标工具》：</w:t>
      </w:r>
    </w:p>
    <w:p w14:paraId="0F923928">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"http://zfcg.czt.zj.gov.cn/bidClientTemplate/2019-09-24/12975.html" </w:instrText>
      </w:r>
      <w:r>
        <w:rPr>
          <w:rFonts w:hint="eastAsia" w:ascii="宋体" w:hAnsi="宋体" w:eastAsia="宋体" w:cs="宋体"/>
          <w:color w:val="auto"/>
          <w:sz w:val="24"/>
        </w:rPr>
        <w:fldChar w:fldCharType="separate"/>
      </w:r>
      <w:r>
        <w:rPr>
          <w:rFonts w:hint="eastAsia" w:ascii="宋体" w:hAnsi="宋体" w:eastAsia="宋体" w:cs="宋体"/>
          <w:color w:val="auto"/>
          <w:sz w:val="24"/>
          <w:lang w:eastAsia="zh-CN"/>
        </w:rPr>
        <w:t>http:</w:t>
      </w:r>
      <w:r>
        <w:rPr>
          <w:rFonts w:hint="eastAsia" w:ascii="宋体" w:hAnsi="宋体" w:eastAsia="宋体" w:cs="宋体"/>
          <w:color w:val="auto"/>
          <w:sz w:val="24"/>
        </w:rPr>
        <w:t>//zfcg.czt.zj.gov.cn/bidClientTemplate/2019-09-24/12975.html</w:t>
      </w:r>
      <w:r>
        <w:rPr>
          <w:rFonts w:hint="eastAsia" w:ascii="宋体" w:hAnsi="宋体" w:eastAsia="宋体" w:cs="宋体"/>
          <w:color w:val="auto"/>
          <w:sz w:val="24"/>
        </w:rPr>
        <w:fldChar w:fldCharType="end"/>
      </w:r>
    </w:p>
    <w:p w14:paraId="2445EBC8">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《供应商-政府采购项目电子交易操作指南》：(需登录账号后查看)</w:t>
      </w:r>
    </w:p>
    <w:p w14:paraId="66ECF0A3">
      <w:pPr>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"https://service.zcygov.cn/#/knowledges/tree?tag=AG1DtGwBFdiHxlNdhY0r" </w:instrText>
      </w:r>
      <w:r>
        <w:rPr>
          <w:rFonts w:hint="eastAsia" w:ascii="宋体" w:hAnsi="宋体" w:eastAsia="宋体" w:cs="宋体"/>
          <w:color w:val="auto"/>
          <w:sz w:val="24"/>
        </w:rPr>
        <w:fldChar w:fldCharType="separate"/>
      </w:r>
      <w:r>
        <w:rPr>
          <w:rFonts w:hint="eastAsia" w:ascii="宋体" w:hAnsi="宋体" w:eastAsia="宋体" w:cs="宋体"/>
          <w:color w:val="auto"/>
          <w:sz w:val="24"/>
        </w:rPr>
        <w:t>https//service.zcygov.cn/#/knowledges/tree?tag=AG1DtGwBFdiHxlNdhY0r</w:t>
      </w:r>
      <w:r>
        <w:rPr>
          <w:rFonts w:hint="eastAsia" w:ascii="宋体" w:hAnsi="宋体" w:eastAsia="宋体" w:cs="宋体"/>
          <w:color w:val="auto"/>
          <w:sz w:val="24"/>
        </w:rPr>
        <w:fldChar w:fldCharType="end"/>
      </w:r>
    </w:p>
    <w:p w14:paraId="18E999DF">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4.供应商在法定质疑期内应一次性提出针对同一采购程序环节的质疑。</w:t>
      </w:r>
    </w:p>
    <w:p w14:paraId="5E83EC82">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5.投标人可指派授权代表递交备份文件，授权代表递交备份文件需携带法定代表人授权书原件，于投标截止时间前到达开标地点递交。</w:t>
      </w:r>
    </w:p>
    <w:p w14:paraId="00348283">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6.特别提醒</w:t>
      </w:r>
    </w:p>
    <w:p w14:paraId="209F0724">
      <w:pPr>
        <w:numPr>
          <w:ilvl w:val="0"/>
          <w:numId w:val="8"/>
        </w:numPr>
        <w:wordWrap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单位负责人为同一人或者存在直接控股、管理关系的不同供应商，不得参加同一合同项下的政府采购活动。</w:t>
      </w:r>
    </w:p>
    <w:p w14:paraId="3B4C38B1">
      <w:pPr>
        <w:numPr>
          <w:ilvl w:val="0"/>
          <w:numId w:val="8"/>
        </w:numPr>
        <w:wordWrap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除单一来源采购项目外，为采购项目提供整体设计、规范编制或者项目管理、监理、检测等服务的供应商，不得再参加该采购项目的其他采购活动。</w:t>
      </w:r>
    </w:p>
    <w:p w14:paraId="24679ECC">
      <w:pPr>
        <w:numPr>
          <w:ilvl w:val="0"/>
          <w:numId w:val="8"/>
        </w:numPr>
        <w:wordWrap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为防止出现招标文件格式问题的出现，打开方式建议采用WPS office。</w:t>
      </w:r>
    </w:p>
    <w:p w14:paraId="5E389F01">
      <w:pPr>
        <w:adjustRightIn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七．磋商响应截止时间及要求：</w:t>
      </w:r>
      <w:r>
        <w:rPr>
          <w:rFonts w:hint="eastAsia" w:ascii="宋体" w:hAnsi="宋体" w:eastAsia="宋体" w:cs="宋体"/>
          <w:color w:val="auto"/>
          <w:sz w:val="24"/>
          <w:szCs w:val="24"/>
          <w:u w:val="single"/>
        </w:rPr>
        <w:t xml:space="preserve"> 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6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eastAsia="zh-CN"/>
        </w:rPr>
        <w:t>上</w:t>
      </w:r>
      <w:r>
        <w:rPr>
          <w:rFonts w:hint="eastAsia" w:ascii="宋体" w:hAnsi="宋体" w:eastAsia="宋体" w:cs="宋体"/>
          <w:color w:val="auto"/>
          <w:sz w:val="24"/>
          <w:szCs w:val="24"/>
        </w:rPr>
        <w:t xml:space="preserve"> 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09</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0 </w:t>
      </w:r>
      <w:r>
        <w:rPr>
          <w:rFonts w:hint="eastAsia" w:ascii="宋体" w:hAnsi="宋体" w:eastAsia="宋体" w:cs="宋体"/>
          <w:color w:val="auto"/>
          <w:sz w:val="24"/>
          <w:szCs w:val="24"/>
        </w:rPr>
        <w:t>分整之前将电子磋商响应文件上传到“政采云”平台。</w:t>
      </w:r>
    </w:p>
    <w:p w14:paraId="7B65272C">
      <w:pPr>
        <w:adjustRightIn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八．递交首次响应文件时间及地点：</w:t>
      </w:r>
      <w:r>
        <w:rPr>
          <w:rFonts w:hint="eastAsia" w:ascii="宋体" w:hAnsi="宋体" w:eastAsia="宋体" w:cs="宋体"/>
          <w:color w:val="auto"/>
          <w:sz w:val="24"/>
          <w:szCs w:val="24"/>
          <w:u w:val="single"/>
        </w:rPr>
        <w:t xml:space="preserve"> 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12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6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eastAsia="zh-CN"/>
        </w:rPr>
        <w:t>上</w:t>
      </w:r>
      <w:r>
        <w:rPr>
          <w:rFonts w:hint="eastAsia" w:ascii="宋体" w:hAnsi="宋体" w:eastAsia="宋体" w:cs="宋体"/>
          <w:color w:val="auto"/>
          <w:sz w:val="24"/>
          <w:szCs w:val="24"/>
        </w:rPr>
        <w:t xml:space="preserve"> 午</w:t>
      </w:r>
      <w:r>
        <w:rPr>
          <w:rFonts w:hint="eastAsia" w:ascii="宋体" w:hAnsi="宋体" w:eastAsia="宋体" w:cs="宋体"/>
          <w:color w:val="auto"/>
          <w:sz w:val="24"/>
          <w:szCs w:val="24"/>
          <w:u w:val="single"/>
          <w:lang w:val="en-US" w:eastAsia="zh-CN"/>
        </w:rPr>
        <w:t>09</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0  </w:t>
      </w:r>
      <w:r>
        <w:rPr>
          <w:rFonts w:hint="eastAsia" w:ascii="宋体" w:hAnsi="宋体" w:eastAsia="宋体" w:cs="宋体"/>
          <w:color w:val="auto"/>
          <w:sz w:val="24"/>
          <w:szCs w:val="24"/>
        </w:rPr>
        <w:t>分</w:t>
      </w:r>
      <w:bookmarkStart w:id="6" w:name="B30_开标地点"/>
      <w:r>
        <w:rPr>
          <w:rFonts w:hint="eastAsia" w:ascii="宋体" w:hAnsi="宋体" w:eastAsia="宋体" w:cs="宋体"/>
          <w:color w:val="auto"/>
          <w:sz w:val="24"/>
          <w:szCs w:val="24"/>
        </w:rPr>
        <w:t>整在绍兴成言工程咨询管理有限公司（绍兴市上虞区梁祝大道2385号万金大厦24楼）开标室开标。</w:t>
      </w:r>
      <w:bookmarkEnd w:id="6"/>
    </w:p>
    <w:p w14:paraId="4BB23DCF">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开标时间后30分钟内（当日</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 xml:space="preserve"> 前）供应商可以登录“政采云”平台，用“项目采购-开标评标”功能进行解密响应文件。若供应商在规定时间内（当日 </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 xml:space="preserve"> : </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 xml:space="preserve"> 前）解密失败，则由采购代理机构工作人员上传供应商提供的备份文件。备份文件（后缀名为.bfbs）须存储在U盘中，与上传的电子磋商响应文件一致，用信封进行密封并盖章</w:t>
      </w:r>
      <w:r>
        <w:rPr>
          <w:rFonts w:hint="eastAsia" w:ascii="宋体" w:hAnsi="宋体" w:eastAsia="宋体" w:cs="宋体"/>
          <w:b/>
          <w:bCs/>
          <w:color w:val="auto"/>
          <w:sz w:val="24"/>
          <w:szCs w:val="24"/>
        </w:rPr>
        <w:t>（信封内仅需放入存储备份文件的U盘）</w:t>
      </w:r>
      <w:r>
        <w:rPr>
          <w:rFonts w:hint="eastAsia" w:ascii="宋体" w:hAnsi="宋体" w:eastAsia="宋体" w:cs="宋体"/>
          <w:color w:val="auto"/>
          <w:sz w:val="24"/>
          <w:szCs w:val="24"/>
        </w:rPr>
        <w:t>，由授权代表在磋商响应截止时间前递交至开标地点。若电子磋商响应文件正常解锁，则U盘退还给供应商；若解锁失败，则由采购代理机构将U盘中的备份文件上传，该U盘将由采购代理机构保存。</w:t>
      </w:r>
    </w:p>
    <w:p w14:paraId="069F3071">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本次开标不提供现场视频。</w:t>
      </w:r>
    </w:p>
    <w:p w14:paraId="1D61F7AA">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九．磋商保证金：无</w:t>
      </w:r>
    </w:p>
    <w:p w14:paraId="4A618403">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十．公告期限：3个工作日</w:t>
      </w:r>
    </w:p>
    <w:p w14:paraId="25F00AE7">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十一．联系方式：</w:t>
      </w:r>
    </w:p>
    <w:p w14:paraId="416FAA66">
      <w:pPr>
        <w:adjustRightInd w:val="0"/>
        <w:spacing w:afterLines="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1．采购代理机构名称：</w:t>
      </w:r>
      <w:r>
        <w:rPr>
          <w:rFonts w:hint="eastAsia" w:ascii="宋体" w:hAnsi="宋体" w:eastAsia="宋体" w:cs="宋体"/>
          <w:color w:val="auto"/>
          <w:sz w:val="24"/>
          <w:szCs w:val="24"/>
          <w:lang w:eastAsia="zh-CN"/>
        </w:rPr>
        <w:t>绍兴成言工程咨询管理有限公司</w:t>
      </w:r>
    </w:p>
    <w:p w14:paraId="0DFBB747">
      <w:pPr>
        <w:adjustRightInd w:val="0"/>
        <w:spacing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项目联系人（询问）：</w:t>
      </w:r>
      <w:r>
        <w:rPr>
          <w:rFonts w:hint="eastAsia" w:ascii="宋体" w:hAnsi="宋体" w:eastAsia="宋体" w:cs="宋体"/>
          <w:color w:val="auto"/>
          <w:sz w:val="24"/>
          <w:szCs w:val="24"/>
          <w:lang w:eastAsia="zh-CN"/>
        </w:rPr>
        <w:t>周吉</w:t>
      </w:r>
      <w:r>
        <w:rPr>
          <w:rFonts w:hint="eastAsia" w:ascii="宋体" w:hAnsi="宋体" w:eastAsia="宋体" w:cs="宋体"/>
          <w:color w:val="auto"/>
          <w:sz w:val="24"/>
          <w:szCs w:val="24"/>
        </w:rPr>
        <w:t>        </w:t>
      </w:r>
    </w:p>
    <w:p w14:paraId="2090537E">
      <w:pPr>
        <w:adjustRightInd w:val="0"/>
        <w:spacing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项目联系方式（询问）：</w:t>
      </w:r>
      <w:r>
        <w:rPr>
          <w:rFonts w:hint="eastAsia" w:ascii="宋体" w:hAnsi="宋体" w:eastAsia="宋体" w:cs="宋体"/>
          <w:color w:val="auto"/>
          <w:sz w:val="24"/>
          <w:szCs w:val="24"/>
          <w:lang w:val="en-US" w:eastAsia="zh-CN"/>
        </w:rPr>
        <w:t>18757549398</w:t>
      </w:r>
      <w:r>
        <w:rPr>
          <w:rFonts w:hint="eastAsia" w:ascii="宋体" w:hAnsi="宋体" w:eastAsia="宋体" w:cs="宋体"/>
          <w:color w:val="auto"/>
          <w:sz w:val="24"/>
          <w:szCs w:val="24"/>
        </w:rPr>
        <w:t> </w:t>
      </w:r>
    </w:p>
    <w:p w14:paraId="7A6082F1">
      <w:pPr>
        <w:adjustRightInd w:val="0"/>
        <w:spacing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质疑联系人：章女士 </w:t>
      </w:r>
    </w:p>
    <w:p w14:paraId="65CFC33C">
      <w:pPr>
        <w:adjustRightInd w:val="0"/>
        <w:spacing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质疑联系方式：15925899100</w:t>
      </w:r>
    </w:p>
    <w:p w14:paraId="2EE735FC">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地址：绍兴成言工程咨询管理有限公司（绍兴市上虞区梁祝大道2385号万金大厦24楼）</w:t>
      </w:r>
    </w:p>
    <w:p w14:paraId="63BE185F">
      <w:pPr>
        <w:adjustRightIn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2．采购人名称：</w:t>
      </w:r>
      <w:r>
        <w:rPr>
          <w:rFonts w:hint="eastAsia" w:ascii="宋体" w:hAnsi="宋体" w:eastAsia="宋体" w:cs="宋体"/>
          <w:color w:val="auto"/>
          <w:sz w:val="24"/>
          <w:szCs w:val="24"/>
          <w:lang w:eastAsia="zh-CN"/>
        </w:rPr>
        <w:t>绍兴市生态环境局上虞分局</w:t>
      </w:r>
    </w:p>
    <w:p w14:paraId="05C23851">
      <w:pPr>
        <w:adjustRightInd w:val="0"/>
        <w:spacing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项目联系人（询问）：</w:t>
      </w:r>
      <w:r>
        <w:rPr>
          <w:rFonts w:hint="eastAsia" w:ascii="宋体" w:hAnsi="宋体" w:eastAsia="宋体" w:cs="宋体"/>
          <w:color w:val="auto"/>
          <w:sz w:val="24"/>
          <w:szCs w:val="24"/>
          <w:lang w:eastAsia="zh-CN"/>
        </w:rPr>
        <w:t>王先生</w:t>
      </w:r>
      <w:r>
        <w:rPr>
          <w:rFonts w:hint="eastAsia" w:ascii="宋体" w:hAnsi="宋体" w:eastAsia="宋体" w:cs="宋体"/>
          <w:color w:val="auto"/>
          <w:sz w:val="24"/>
          <w:szCs w:val="24"/>
        </w:rPr>
        <w:t xml:space="preserve">  </w:t>
      </w:r>
      <w:r>
        <w:rPr>
          <w:rFonts w:hint="eastAsia" w:ascii="宋体" w:hAnsi="宋体" w:eastAsia="宋体" w:cs="宋体"/>
          <w:bCs w:val="0"/>
          <w:color w:val="auto"/>
          <w:sz w:val="24"/>
          <w:szCs w:val="24"/>
        </w:rPr>
        <w:t xml:space="preserve">  </w:t>
      </w:r>
      <w:r>
        <w:rPr>
          <w:rFonts w:hint="eastAsia" w:ascii="宋体" w:hAnsi="宋体" w:eastAsia="宋体" w:cs="宋体"/>
          <w:color w:val="auto"/>
          <w:sz w:val="24"/>
          <w:szCs w:val="24"/>
        </w:rPr>
        <w:t>  </w:t>
      </w:r>
    </w:p>
    <w:p w14:paraId="253329D0">
      <w:pPr>
        <w:adjustRightInd w:val="0"/>
        <w:spacing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项目联系方式（询问）：0575-82182919</w:t>
      </w:r>
    </w:p>
    <w:p w14:paraId="6FFB38A6">
      <w:pPr>
        <w:adjustRightInd w:val="0"/>
        <w:spacing w:afterLines="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质疑联系人： 张</w:t>
      </w:r>
      <w:r>
        <w:rPr>
          <w:rFonts w:hint="eastAsia" w:ascii="宋体" w:hAnsi="宋体" w:eastAsia="宋体" w:cs="宋体"/>
          <w:color w:val="auto"/>
          <w:sz w:val="24"/>
          <w:szCs w:val="24"/>
          <w:lang w:val="en-US" w:eastAsia="zh-CN"/>
        </w:rPr>
        <w:t>先生</w:t>
      </w:r>
    </w:p>
    <w:p w14:paraId="6750C17B">
      <w:pPr>
        <w:adjustRightInd w:val="0"/>
        <w:spacing w:afterLines="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质疑联系方式：0575-82125710</w:t>
      </w:r>
    </w:p>
    <w:p w14:paraId="44E2F6B6">
      <w:pPr>
        <w:adjustRightInd w:val="0"/>
        <w:spacing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绍兴市上虞区曹娥街道江西路1888号惠普广场D幢</w:t>
      </w:r>
      <w:r>
        <w:rPr>
          <w:rFonts w:hint="eastAsia" w:ascii="宋体" w:hAnsi="宋体" w:eastAsia="宋体" w:cs="宋体"/>
          <w:color w:val="auto"/>
          <w:sz w:val="24"/>
          <w:szCs w:val="24"/>
        </w:rPr>
        <w:t> </w:t>
      </w:r>
    </w:p>
    <w:p w14:paraId="446FB1F2">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3．同级政府采购监督管理部门名称：上虞区财政局政府采购监管科</w:t>
      </w:r>
    </w:p>
    <w:p w14:paraId="2A1DFC95">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联系人：谷先生</w:t>
      </w:r>
    </w:p>
    <w:p w14:paraId="5FBCD105">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监督投诉电话：0575-82130212</w:t>
      </w:r>
    </w:p>
    <w:p w14:paraId="40D5CF48">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传真：0575-82130212</w:t>
      </w:r>
    </w:p>
    <w:p w14:paraId="4BA12D92">
      <w:pPr>
        <w:adjustRightIn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地址：绍兴市上虞区体育场路18号</w:t>
      </w:r>
    </w:p>
    <w:p w14:paraId="00D43694">
      <w:pPr>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bookmarkStart w:id="7" w:name="_Toc546"/>
      <w:bookmarkStart w:id="8" w:name="_Toc24505"/>
      <w:bookmarkStart w:id="9" w:name="_Toc29834"/>
      <w:r>
        <w:rPr>
          <w:rStyle w:val="40"/>
          <w:rFonts w:hint="eastAsia" w:ascii="宋体" w:hAnsi="宋体" w:eastAsia="宋体" w:cs="宋体"/>
          <w:color w:val="auto"/>
          <w:sz w:val="36"/>
          <w:szCs w:val="36"/>
        </w:rPr>
        <w:t>第二部分</w:t>
      </w:r>
      <w:bookmarkEnd w:id="3"/>
      <w:r>
        <w:rPr>
          <w:rStyle w:val="40"/>
          <w:rFonts w:hint="eastAsia" w:ascii="宋体" w:hAnsi="宋体" w:eastAsia="宋体" w:cs="宋体"/>
          <w:color w:val="auto"/>
          <w:sz w:val="36"/>
          <w:szCs w:val="36"/>
        </w:rPr>
        <w:t xml:space="preserve"> </w:t>
      </w:r>
      <w:bookmarkEnd w:id="4"/>
      <w:r>
        <w:rPr>
          <w:rStyle w:val="40"/>
          <w:rFonts w:hint="eastAsia" w:ascii="宋体" w:hAnsi="宋体" w:eastAsia="宋体" w:cs="宋体"/>
          <w:color w:val="auto"/>
          <w:sz w:val="36"/>
          <w:szCs w:val="36"/>
        </w:rPr>
        <w:t>供应商须知</w:t>
      </w:r>
      <w:bookmarkEnd w:id="7"/>
      <w:bookmarkEnd w:id="8"/>
      <w:bookmarkEnd w:id="9"/>
    </w:p>
    <w:p w14:paraId="402EB969">
      <w:pPr>
        <w:widowControl/>
        <w:adjustRightInd w:val="0"/>
        <w:snapToGrid w:val="0"/>
        <w:spacing w:line="360" w:lineRule="auto"/>
        <w:jc w:val="center"/>
        <w:rPr>
          <w:rFonts w:hint="eastAsia" w:ascii="宋体" w:hAnsi="宋体" w:eastAsia="宋体" w:cs="宋体"/>
          <w:b/>
          <w:bCs/>
          <w:snapToGrid w:val="0"/>
          <w:color w:val="auto"/>
          <w:sz w:val="32"/>
          <w:szCs w:val="32"/>
        </w:rPr>
      </w:pPr>
      <w:r>
        <w:rPr>
          <w:rFonts w:hint="eastAsia" w:ascii="宋体" w:hAnsi="宋体" w:eastAsia="宋体" w:cs="宋体"/>
          <w:b/>
          <w:bCs/>
          <w:snapToGrid w:val="0"/>
          <w:color w:val="auto"/>
          <w:sz w:val="30"/>
          <w:szCs w:val="30"/>
        </w:rPr>
        <w:t>供应商须知前附表</w:t>
      </w:r>
    </w:p>
    <w:tbl>
      <w:tblPr>
        <w:tblStyle w:val="28"/>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34"/>
        <w:gridCol w:w="1650"/>
        <w:gridCol w:w="6335"/>
      </w:tblGrid>
      <w:tr w14:paraId="463C79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367" w:type="pct"/>
            <w:tcBorders>
              <w:top w:val="double" w:color="auto" w:sz="4" w:space="0"/>
            </w:tcBorders>
            <w:vAlign w:val="center"/>
          </w:tcPr>
          <w:p w14:paraId="64910410">
            <w:pPr>
              <w:snapToGrid w:val="0"/>
              <w:jc w:val="center"/>
              <w:rPr>
                <w:rFonts w:hint="eastAsia" w:ascii="宋体" w:hAnsi="宋体" w:eastAsia="宋体" w:cs="宋体"/>
                <w:b/>
                <w:bCs/>
                <w:snapToGrid w:val="0"/>
                <w:color w:val="auto"/>
              </w:rPr>
            </w:pPr>
            <w:r>
              <w:rPr>
                <w:rFonts w:hint="eastAsia" w:ascii="宋体" w:hAnsi="宋体" w:eastAsia="宋体" w:cs="宋体"/>
                <w:b/>
                <w:bCs/>
                <w:snapToGrid w:val="0"/>
                <w:color w:val="auto"/>
              </w:rPr>
              <w:t>序号</w:t>
            </w:r>
          </w:p>
        </w:tc>
        <w:tc>
          <w:tcPr>
            <w:tcW w:w="1022" w:type="pct"/>
            <w:tcBorders>
              <w:top w:val="double" w:color="auto" w:sz="4" w:space="0"/>
            </w:tcBorders>
            <w:vAlign w:val="center"/>
          </w:tcPr>
          <w:p w14:paraId="065FE124">
            <w:pPr>
              <w:snapToGrid w:val="0"/>
              <w:jc w:val="center"/>
              <w:rPr>
                <w:rFonts w:hint="eastAsia" w:ascii="宋体" w:hAnsi="宋体" w:eastAsia="宋体" w:cs="宋体"/>
                <w:b/>
                <w:bCs/>
                <w:snapToGrid w:val="0"/>
                <w:color w:val="auto"/>
              </w:rPr>
            </w:pPr>
            <w:r>
              <w:rPr>
                <w:rFonts w:hint="eastAsia" w:ascii="宋体" w:hAnsi="宋体" w:eastAsia="宋体" w:cs="宋体"/>
                <w:b/>
                <w:bCs/>
                <w:snapToGrid w:val="0"/>
                <w:color w:val="auto"/>
              </w:rPr>
              <w:t>项目</w:t>
            </w:r>
          </w:p>
        </w:tc>
        <w:tc>
          <w:tcPr>
            <w:tcW w:w="3609" w:type="pct"/>
            <w:tcBorders>
              <w:top w:val="double" w:color="auto" w:sz="4" w:space="0"/>
            </w:tcBorders>
            <w:vAlign w:val="center"/>
          </w:tcPr>
          <w:p w14:paraId="201AC548">
            <w:pPr>
              <w:snapToGrid w:val="0"/>
              <w:jc w:val="center"/>
              <w:rPr>
                <w:rFonts w:hint="eastAsia" w:ascii="宋体" w:hAnsi="宋体" w:eastAsia="宋体" w:cs="宋体"/>
                <w:b/>
                <w:bCs/>
                <w:snapToGrid w:val="0"/>
                <w:color w:val="auto"/>
              </w:rPr>
            </w:pPr>
            <w:r>
              <w:rPr>
                <w:rFonts w:hint="eastAsia" w:ascii="宋体" w:hAnsi="宋体" w:eastAsia="宋体" w:cs="宋体"/>
                <w:b/>
                <w:bCs/>
                <w:snapToGrid w:val="0"/>
                <w:color w:val="auto"/>
              </w:rPr>
              <w:t>内容</w:t>
            </w:r>
          </w:p>
        </w:tc>
      </w:tr>
      <w:tr w14:paraId="1F72AF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367" w:type="pct"/>
            <w:vAlign w:val="center"/>
          </w:tcPr>
          <w:p w14:paraId="5679B8BA">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1</w:t>
            </w:r>
          </w:p>
        </w:tc>
        <w:tc>
          <w:tcPr>
            <w:tcW w:w="1022" w:type="pct"/>
            <w:vAlign w:val="center"/>
          </w:tcPr>
          <w:p w14:paraId="318BA034">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项目名称</w:t>
            </w:r>
          </w:p>
        </w:tc>
        <w:tc>
          <w:tcPr>
            <w:tcW w:w="3609" w:type="pct"/>
            <w:vAlign w:val="center"/>
          </w:tcPr>
          <w:p w14:paraId="2C67A294">
            <w:pPr>
              <w:snapToGrid w:val="0"/>
              <w:ind w:firstLine="400" w:firstLineChars="200"/>
              <w:rPr>
                <w:rFonts w:hint="eastAsia" w:ascii="宋体" w:hAnsi="宋体" w:eastAsia="宋体" w:cs="宋体"/>
                <w:snapToGrid w:val="0"/>
                <w:color w:val="auto"/>
                <w:lang w:eastAsia="zh-CN"/>
              </w:rPr>
            </w:pPr>
            <w:r>
              <w:rPr>
                <w:rFonts w:hint="eastAsia" w:ascii="宋体" w:hAnsi="宋体" w:eastAsia="宋体" w:cs="宋体"/>
                <w:snapToGrid w:val="0"/>
                <w:color w:val="auto"/>
                <w:lang w:eastAsia="zh-CN"/>
              </w:rPr>
              <w:t>省控地下水点位规范化建设项目</w:t>
            </w:r>
          </w:p>
        </w:tc>
      </w:tr>
      <w:tr w14:paraId="30FA28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67" w:type="pct"/>
            <w:vAlign w:val="center"/>
          </w:tcPr>
          <w:p w14:paraId="49CE12CE">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2</w:t>
            </w:r>
          </w:p>
        </w:tc>
        <w:tc>
          <w:tcPr>
            <w:tcW w:w="1022" w:type="pct"/>
            <w:vAlign w:val="center"/>
          </w:tcPr>
          <w:p w14:paraId="154B856A">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项目实施时间</w:t>
            </w:r>
          </w:p>
        </w:tc>
        <w:tc>
          <w:tcPr>
            <w:tcW w:w="3609" w:type="pct"/>
            <w:vAlign w:val="center"/>
          </w:tcPr>
          <w:p w14:paraId="63C1FE46">
            <w:pPr>
              <w:ind w:firstLine="40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自合同签订之日起至合同履行完毕。</w:t>
            </w:r>
          </w:p>
        </w:tc>
      </w:tr>
      <w:tr w14:paraId="6920B2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367" w:type="pct"/>
            <w:vAlign w:val="center"/>
          </w:tcPr>
          <w:p w14:paraId="0036C904">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3</w:t>
            </w:r>
          </w:p>
        </w:tc>
        <w:tc>
          <w:tcPr>
            <w:tcW w:w="1022" w:type="pct"/>
            <w:vAlign w:val="center"/>
          </w:tcPr>
          <w:p w14:paraId="0A3E1CC3">
            <w:pPr>
              <w:snapToGrid w:val="0"/>
              <w:jc w:val="center"/>
              <w:rPr>
                <w:rFonts w:hint="eastAsia" w:ascii="宋体" w:hAnsi="宋体" w:eastAsia="宋体" w:cs="宋体"/>
                <w:b/>
                <w:bCs/>
                <w:snapToGrid w:val="0"/>
                <w:color w:val="auto"/>
              </w:rPr>
            </w:pPr>
            <w:r>
              <w:rPr>
                <w:rFonts w:hint="eastAsia" w:ascii="宋体" w:hAnsi="宋体" w:eastAsia="宋体" w:cs="宋体"/>
                <w:b/>
                <w:bCs/>
                <w:snapToGrid w:val="0"/>
                <w:color w:val="auto"/>
              </w:rPr>
              <w:t>最高限价</w:t>
            </w:r>
          </w:p>
        </w:tc>
        <w:tc>
          <w:tcPr>
            <w:tcW w:w="3609" w:type="pct"/>
            <w:vAlign w:val="center"/>
          </w:tcPr>
          <w:p w14:paraId="2D7B166D">
            <w:pPr>
              <w:snapToGrid w:val="0"/>
              <w:ind w:firstLine="400" w:firstLineChars="200"/>
              <w:rPr>
                <w:rFonts w:hint="eastAsia" w:ascii="宋体" w:hAnsi="宋体" w:eastAsia="宋体" w:cs="宋体"/>
                <w:b/>
                <w:bCs/>
                <w:snapToGrid w:val="0"/>
                <w:color w:val="auto"/>
              </w:rPr>
            </w:pPr>
            <w:r>
              <w:rPr>
                <w:rFonts w:hint="eastAsia" w:ascii="宋体" w:hAnsi="宋体" w:eastAsia="宋体" w:cs="宋体"/>
                <w:color w:val="auto"/>
              </w:rPr>
              <w:t>本项目最高限价人民币</w:t>
            </w:r>
            <w:r>
              <w:rPr>
                <w:rFonts w:hint="eastAsia" w:ascii="宋体" w:hAnsi="宋体" w:eastAsia="宋体" w:cs="宋体"/>
                <w:color w:val="auto"/>
                <w:u w:val="single"/>
                <w:lang w:val="en-US" w:eastAsia="zh-CN"/>
              </w:rPr>
              <w:t>90</w:t>
            </w:r>
            <w:r>
              <w:rPr>
                <w:rFonts w:hint="eastAsia" w:ascii="宋体" w:hAnsi="宋体" w:eastAsia="宋体" w:cs="宋体"/>
                <w:color w:val="auto"/>
              </w:rPr>
              <w:t>万元。</w:t>
            </w:r>
          </w:p>
        </w:tc>
      </w:tr>
      <w:tr w14:paraId="1F74FA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 w:type="pct"/>
            <w:vAlign w:val="center"/>
          </w:tcPr>
          <w:p w14:paraId="42A90949">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 xml:space="preserve">                                                                                                   4</w:t>
            </w:r>
          </w:p>
        </w:tc>
        <w:tc>
          <w:tcPr>
            <w:tcW w:w="1022" w:type="pct"/>
            <w:vAlign w:val="center"/>
          </w:tcPr>
          <w:p w14:paraId="6A1AB34B">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资格审查方式</w:t>
            </w:r>
          </w:p>
        </w:tc>
        <w:tc>
          <w:tcPr>
            <w:tcW w:w="3609" w:type="pct"/>
            <w:vAlign w:val="center"/>
          </w:tcPr>
          <w:p w14:paraId="18C5C69C">
            <w:pPr>
              <w:snapToGrid w:val="0"/>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资格审查是指开标后，磋商小组将依据法律法规和磋商文件的规定对供应商的资格进行审查。</w:t>
            </w:r>
          </w:p>
        </w:tc>
      </w:tr>
      <w:tr w14:paraId="743968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67" w:type="pct"/>
            <w:vAlign w:val="center"/>
          </w:tcPr>
          <w:p w14:paraId="188AC73D">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5</w:t>
            </w:r>
          </w:p>
        </w:tc>
        <w:tc>
          <w:tcPr>
            <w:tcW w:w="1022" w:type="pct"/>
            <w:vAlign w:val="center"/>
          </w:tcPr>
          <w:p w14:paraId="5A2F100F">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踏勘现场</w:t>
            </w:r>
          </w:p>
        </w:tc>
        <w:tc>
          <w:tcPr>
            <w:tcW w:w="3609" w:type="pct"/>
            <w:vAlign w:val="center"/>
          </w:tcPr>
          <w:p w14:paraId="63302EC2">
            <w:pPr>
              <w:snapToGrid w:val="0"/>
              <w:ind w:firstLine="402" w:firstLineChars="200"/>
              <w:rPr>
                <w:rFonts w:hint="eastAsia" w:ascii="宋体" w:hAnsi="宋体" w:eastAsia="宋体" w:cs="宋体"/>
                <w:snapToGrid w:val="0"/>
                <w:color w:val="auto"/>
              </w:rPr>
            </w:pPr>
            <w:r>
              <w:rPr>
                <w:rFonts w:hint="eastAsia" w:ascii="宋体" w:hAnsi="宋体" w:eastAsia="宋体" w:cs="宋体"/>
                <w:b/>
                <w:bCs/>
                <w:snapToGrid w:val="0"/>
                <w:color w:val="auto"/>
              </w:rPr>
              <w:t>本项目不组织现场踏勘</w:t>
            </w:r>
          </w:p>
        </w:tc>
      </w:tr>
      <w:tr w14:paraId="085E04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 w:type="pct"/>
            <w:vAlign w:val="center"/>
          </w:tcPr>
          <w:p w14:paraId="37216526">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6</w:t>
            </w:r>
          </w:p>
        </w:tc>
        <w:tc>
          <w:tcPr>
            <w:tcW w:w="1022" w:type="pct"/>
            <w:vAlign w:val="center"/>
          </w:tcPr>
          <w:p w14:paraId="5F835E9F">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询问</w:t>
            </w:r>
          </w:p>
        </w:tc>
        <w:tc>
          <w:tcPr>
            <w:tcW w:w="3609" w:type="pct"/>
            <w:vAlign w:val="center"/>
          </w:tcPr>
          <w:p w14:paraId="5611F6EE">
            <w:pPr>
              <w:snapToGrid w:val="0"/>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供应商对政府采购活动事项有疑问的，可以向采购机构提出询问，采购人或者招标代理机构应当在3个工作日内对供应商依法提出的询问作出答复，但答复的内容不得涉及商业秘密。</w:t>
            </w:r>
          </w:p>
        </w:tc>
      </w:tr>
      <w:tr w14:paraId="21BD26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 w:type="pct"/>
            <w:vAlign w:val="center"/>
          </w:tcPr>
          <w:p w14:paraId="5CFF132D">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7</w:t>
            </w:r>
          </w:p>
        </w:tc>
        <w:tc>
          <w:tcPr>
            <w:tcW w:w="1022" w:type="pct"/>
            <w:vAlign w:val="center"/>
          </w:tcPr>
          <w:p w14:paraId="0379F5C1">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磋商文件的澄清与修改</w:t>
            </w:r>
          </w:p>
        </w:tc>
        <w:tc>
          <w:tcPr>
            <w:tcW w:w="3609" w:type="pct"/>
            <w:vAlign w:val="center"/>
          </w:tcPr>
          <w:p w14:paraId="14DB2A3A">
            <w:pPr>
              <w:snapToGrid w:val="0"/>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采购单位可以对已发出的磋商文件进行必要澄清或者修改，澄清或者修改的内容可能影响响应文件编制的，应当在提交首次响应文件</w:t>
            </w:r>
            <w:r>
              <w:rPr>
                <w:rFonts w:hint="eastAsia" w:ascii="宋体" w:hAnsi="宋体" w:eastAsia="宋体" w:cs="宋体"/>
                <w:snapToGrid w:val="0"/>
                <w:color w:val="auto"/>
                <w:lang w:eastAsia="zh-CN"/>
              </w:rPr>
              <w:t>截止时间</w:t>
            </w:r>
            <w:r>
              <w:rPr>
                <w:rFonts w:hint="eastAsia" w:ascii="宋体" w:hAnsi="宋体" w:eastAsia="宋体" w:cs="宋体"/>
                <w:snapToGrid w:val="0"/>
                <w:color w:val="auto"/>
              </w:rPr>
              <w:t>至少5日前，在磋商公告发布的媒体上发布更正公告。本项目磋商文件和补充（答疑、澄清）、修改文件等请自行登录浙江政府采购网或绍兴市上虞区公共资源交易中心网站查看。</w:t>
            </w:r>
          </w:p>
        </w:tc>
      </w:tr>
      <w:tr w14:paraId="19801F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367" w:type="pct"/>
            <w:vAlign w:val="center"/>
          </w:tcPr>
          <w:p w14:paraId="1F513514">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8</w:t>
            </w:r>
          </w:p>
        </w:tc>
        <w:tc>
          <w:tcPr>
            <w:tcW w:w="1022" w:type="pct"/>
            <w:vAlign w:val="center"/>
          </w:tcPr>
          <w:p w14:paraId="07535CD9">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磋商响应文件组成</w:t>
            </w:r>
          </w:p>
        </w:tc>
        <w:tc>
          <w:tcPr>
            <w:tcW w:w="3609" w:type="pct"/>
            <w:vAlign w:val="center"/>
          </w:tcPr>
          <w:p w14:paraId="7300E5EA">
            <w:pPr>
              <w:snapToGrid w:val="0"/>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供应商向采购人递交的响应文件由资格文件、商务技术文件、报价文件三部分组成。</w:t>
            </w:r>
          </w:p>
        </w:tc>
      </w:tr>
      <w:tr w14:paraId="57E70A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367" w:type="pct"/>
            <w:vAlign w:val="center"/>
          </w:tcPr>
          <w:p w14:paraId="21E8BEAB">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9</w:t>
            </w:r>
          </w:p>
        </w:tc>
        <w:tc>
          <w:tcPr>
            <w:tcW w:w="1022" w:type="pct"/>
            <w:vAlign w:val="center"/>
          </w:tcPr>
          <w:p w14:paraId="0A868B87">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评标办法</w:t>
            </w:r>
          </w:p>
        </w:tc>
        <w:tc>
          <w:tcPr>
            <w:tcW w:w="3609" w:type="pct"/>
            <w:vAlign w:val="center"/>
          </w:tcPr>
          <w:p w14:paraId="69D92189">
            <w:pPr>
              <w:snapToGrid w:val="0"/>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综合评分法</w:t>
            </w:r>
          </w:p>
        </w:tc>
      </w:tr>
      <w:tr w14:paraId="2D0F43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 w:type="pct"/>
            <w:vAlign w:val="center"/>
          </w:tcPr>
          <w:p w14:paraId="01C07D92">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10</w:t>
            </w:r>
          </w:p>
        </w:tc>
        <w:tc>
          <w:tcPr>
            <w:tcW w:w="1022" w:type="pct"/>
            <w:vAlign w:val="center"/>
          </w:tcPr>
          <w:p w14:paraId="68F1ACAD">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磋商响应文件递交地址及截止时间</w:t>
            </w:r>
          </w:p>
        </w:tc>
        <w:tc>
          <w:tcPr>
            <w:tcW w:w="3609" w:type="pct"/>
            <w:vAlign w:val="center"/>
          </w:tcPr>
          <w:p w14:paraId="7F6AD5BC">
            <w:pPr>
              <w:snapToGrid w:val="0"/>
              <w:ind w:firstLine="400" w:firstLineChars="200"/>
              <w:rPr>
                <w:rFonts w:hint="eastAsia" w:ascii="宋体" w:hAnsi="宋体" w:eastAsia="宋体" w:cs="宋体"/>
                <w:color w:val="auto"/>
              </w:rPr>
            </w:pPr>
            <w:r>
              <w:rPr>
                <w:rFonts w:hint="eastAsia" w:ascii="宋体" w:hAnsi="宋体" w:eastAsia="宋体" w:cs="宋体"/>
                <w:snapToGrid w:val="0"/>
                <w:color w:val="auto"/>
              </w:rPr>
              <w:t>详见磋商公告</w:t>
            </w:r>
          </w:p>
        </w:tc>
      </w:tr>
      <w:tr w14:paraId="7BCE6F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 w:type="pct"/>
            <w:vAlign w:val="center"/>
          </w:tcPr>
          <w:p w14:paraId="43CA16CF">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11</w:t>
            </w:r>
          </w:p>
        </w:tc>
        <w:tc>
          <w:tcPr>
            <w:tcW w:w="1022" w:type="pct"/>
            <w:vAlign w:val="center"/>
          </w:tcPr>
          <w:p w14:paraId="03AC7042">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开标时间、地点</w:t>
            </w:r>
          </w:p>
        </w:tc>
        <w:tc>
          <w:tcPr>
            <w:tcW w:w="3609" w:type="pct"/>
            <w:vAlign w:val="center"/>
          </w:tcPr>
          <w:p w14:paraId="516D0C29">
            <w:pPr>
              <w:snapToGrid w:val="0"/>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开标时间：</w:t>
            </w:r>
            <w:r>
              <w:rPr>
                <w:rFonts w:hint="eastAsia" w:ascii="宋体" w:hAnsi="宋体" w:eastAsia="宋体" w:cs="宋体"/>
                <w:color w:val="auto"/>
              </w:rPr>
              <w:t>详见磋商公告</w:t>
            </w:r>
          </w:p>
          <w:p w14:paraId="7A790887">
            <w:pPr>
              <w:snapToGrid w:val="0"/>
              <w:ind w:firstLine="400" w:firstLineChars="200"/>
              <w:rPr>
                <w:rFonts w:hint="eastAsia" w:ascii="宋体" w:hAnsi="宋体" w:eastAsia="宋体" w:cs="宋体"/>
                <w:color w:val="auto"/>
              </w:rPr>
            </w:pPr>
            <w:r>
              <w:rPr>
                <w:rFonts w:hint="eastAsia" w:ascii="宋体" w:hAnsi="宋体" w:eastAsia="宋体" w:cs="宋体"/>
                <w:snapToGrid w:val="0"/>
                <w:color w:val="auto"/>
              </w:rPr>
              <w:t>开标地点：</w:t>
            </w:r>
            <w:r>
              <w:rPr>
                <w:rFonts w:hint="eastAsia" w:ascii="宋体" w:hAnsi="宋体" w:eastAsia="宋体" w:cs="宋体"/>
                <w:color w:val="auto"/>
              </w:rPr>
              <w:t>详见磋商公告</w:t>
            </w:r>
          </w:p>
        </w:tc>
      </w:tr>
      <w:tr w14:paraId="7E8E10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 w:type="pct"/>
            <w:vAlign w:val="center"/>
          </w:tcPr>
          <w:p w14:paraId="26933702">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12</w:t>
            </w:r>
          </w:p>
        </w:tc>
        <w:tc>
          <w:tcPr>
            <w:tcW w:w="1022" w:type="pct"/>
            <w:vAlign w:val="center"/>
          </w:tcPr>
          <w:p w14:paraId="61C60F03">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磋商响应文件有效期</w:t>
            </w:r>
          </w:p>
        </w:tc>
        <w:tc>
          <w:tcPr>
            <w:tcW w:w="3609" w:type="pct"/>
            <w:vAlign w:val="center"/>
          </w:tcPr>
          <w:p w14:paraId="5FEAB9C4">
            <w:pPr>
              <w:snapToGrid w:val="0"/>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响应文件有效期为从提交响应文件的截止之日起90天。供应商的响应文件中承诺的响应文件有效期少于磋商文件中载明的响应文件有效期的，磋商无效。</w:t>
            </w:r>
          </w:p>
        </w:tc>
      </w:tr>
      <w:tr w14:paraId="0A281A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 w:type="pct"/>
            <w:vAlign w:val="center"/>
          </w:tcPr>
          <w:p w14:paraId="65D95322">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13</w:t>
            </w:r>
          </w:p>
        </w:tc>
        <w:tc>
          <w:tcPr>
            <w:tcW w:w="1022" w:type="pct"/>
            <w:vAlign w:val="center"/>
          </w:tcPr>
          <w:p w14:paraId="299E4532">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履约保证金</w:t>
            </w:r>
          </w:p>
        </w:tc>
        <w:tc>
          <w:tcPr>
            <w:tcW w:w="3609" w:type="pct"/>
            <w:vAlign w:val="center"/>
          </w:tcPr>
          <w:p w14:paraId="6C785266">
            <w:pPr>
              <w:pStyle w:val="15"/>
              <w:snapToGrid w:val="0"/>
              <w:ind w:firstLine="400" w:firstLineChars="200"/>
              <w:rPr>
                <w:rFonts w:hint="eastAsia" w:ascii="宋体" w:hAnsi="宋体" w:eastAsia="宋体" w:cs="宋体"/>
                <w:color w:val="auto"/>
              </w:rPr>
            </w:pPr>
            <w:r>
              <w:rPr>
                <w:rFonts w:hint="eastAsia" w:ascii="宋体" w:hAnsi="宋体" w:eastAsia="宋体" w:cs="宋体"/>
                <w:snapToGrid w:val="0"/>
                <w:color w:val="auto"/>
                <w:kern w:val="0"/>
                <w:szCs w:val="21"/>
                <w:lang w:val="en-US" w:eastAsia="zh-CN"/>
              </w:rPr>
              <w:t>本项目不设置履约保证金。</w:t>
            </w:r>
          </w:p>
        </w:tc>
      </w:tr>
      <w:tr w14:paraId="2A374E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 w:type="pct"/>
            <w:vAlign w:val="center"/>
          </w:tcPr>
          <w:p w14:paraId="1456EB6C">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14</w:t>
            </w:r>
          </w:p>
        </w:tc>
        <w:tc>
          <w:tcPr>
            <w:tcW w:w="1022" w:type="pct"/>
            <w:vAlign w:val="center"/>
          </w:tcPr>
          <w:p w14:paraId="65E68DAD">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磋商公告及成交结果公告发布媒体</w:t>
            </w:r>
          </w:p>
        </w:tc>
        <w:tc>
          <w:tcPr>
            <w:tcW w:w="3609" w:type="pct"/>
            <w:vAlign w:val="center"/>
          </w:tcPr>
          <w:p w14:paraId="3F9E6004">
            <w:pPr>
              <w:pStyle w:val="15"/>
              <w:snapToGrid w:val="0"/>
              <w:ind w:firstLine="400" w:firstLineChars="200"/>
              <w:rPr>
                <w:rFonts w:hint="eastAsia" w:ascii="宋体" w:hAnsi="宋体" w:eastAsia="宋体" w:cs="宋体"/>
                <w:color w:val="auto"/>
              </w:rPr>
            </w:pPr>
            <w:r>
              <w:rPr>
                <w:rFonts w:hint="eastAsia" w:ascii="宋体" w:hAnsi="宋体" w:eastAsia="宋体" w:cs="宋体"/>
                <w:color w:val="auto"/>
              </w:rPr>
              <w:t>浙江省政府采购网、 绍兴市上虞区公共资源交易中心网站</w:t>
            </w:r>
          </w:p>
        </w:tc>
      </w:tr>
      <w:tr w14:paraId="70AC4E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 w:type="pct"/>
            <w:vAlign w:val="center"/>
          </w:tcPr>
          <w:p w14:paraId="6799DC8C">
            <w:pPr>
              <w:snapToGrid w:val="0"/>
              <w:jc w:val="center"/>
              <w:rPr>
                <w:rFonts w:hint="eastAsia" w:ascii="宋体" w:hAnsi="宋体" w:eastAsia="宋体" w:cs="宋体"/>
                <w:color w:val="auto"/>
              </w:rPr>
            </w:pPr>
            <w:r>
              <w:rPr>
                <w:rFonts w:hint="eastAsia" w:ascii="宋体" w:hAnsi="宋体" w:eastAsia="宋体" w:cs="宋体"/>
                <w:color w:val="auto"/>
              </w:rPr>
              <w:t>15</w:t>
            </w:r>
          </w:p>
        </w:tc>
        <w:tc>
          <w:tcPr>
            <w:tcW w:w="1022" w:type="pct"/>
            <w:vAlign w:val="center"/>
          </w:tcPr>
          <w:p w14:paraId="635DFE74">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质疑</w:t>
            </w:r>
          </w:p>
        </w:tc>
        <w:tc>
          <w:tcPr>
            <w:tcW w:w="3609" w:type="pct"/>
            <w:vAlign w:val="center"/>
          </w:tcPr>
          <w:p w14:paraId="57DC613B">
            <w:pPr>
              <w:snapToGrid w:val="0"/>
              <w:spacing w:line="360" w:lineRule="exact"/>
              <w:ind w:firstLine="40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根据《中华人民共和国政府采购法》第五十二条、《中华人民共和国政府采购法实施条例》第五十三条、《浙江省政府采购供应商质疑处理办法》的规定:</w:t>
            </w:r>
          </w:p>
          <w:p w14:paraId="52837635">
            <w:pPr>
              <w:snapToGrid w:val="0"/>
              <w:spacing w:line="360" w:lineRule="exact"/>
              <w:ind w:firstLine="40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供应商认为采购文件使自己的权益受到损害的，可以在采购文件公告期限届满之日起</w:t>
            </w: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w:t>
            </w:r>
          </w:p>
          <w:p w14:paraId="24D73088">
            <w:pPr>
              <w:snapToGrid w:val="0"/>
              <w:spacing w:line="360" w:lineRule="exact"/>
              <w:ind w:firstLine="40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投标人如认为采购过程使自身的合法权益受到损害的，应于各采购程序环节结束之日起七个工作日内以书面形式向采购机构提出质疑;</w:t>
            </w:r>
          </w:p>
          <w:p w14:paraId="1DC4BC2C">
            <w:pPr>
              <w:snapToGrid w:val="0"/>
              <w:ind w:firstLine="400" w:firstLineChars="200"/>
              <w:jc w:val="left"/>
              <w:rPr>
                <w:rFonts w:hint="eastAsia" w:ascii="宋体" w:hAnsi="宋体" w:eastAsia="宋体" w:cs="宋体"/>
                <w:snapToGrid w:val="0"/>
                <w:color w:val="auto"/>
              </w:rPr>
            </w:pPr>
            <w:r>
              <w:rPr>
                <w:rFonts w:hint="eastAsia" w:ascii="宋体" w:hAnsi="宋体" w:eastAsia="宋体" w:cs="宋体"/>
                <w:color w:val="000000"/>
                <w:szCs w:val="21"/>
                <w:highlight w:val="none"/>
              </w:rPr>
              <w:t>投标人如认为中标结果使自身的合法权益受到损害的，应于中标或者成交结果公告期限届满之日起七个工作日内以书面形式向采购机构提出质疑</w:t>
            </w:r>
            <w:r>
              <w:rPr>
                <w:rFonts w:hint="eastAsia" w:ascii="宋体" w:hAnsi="宋体" w:eastAsia="宋体" w:cs="宋体"/>
                <w:snapToGrid w:val="0"/>
                <w:color w:val="auto"/>
                <w:kern w:val="0"/>
                <w:sz w:val="21"/>
                <w:szCs w:val="21"/>
              </w:rPr>
              <w:t>。</w:t>
            </w:r>
          </w:p>
        </w:tc>
      </w:tr>
      <w:tr w14:paraId="7FB110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 w:type="pct"/>
            <w:vAlign w:val="center"/>
          </w:tcPr>
          <w:p w14:paraId="2FBEBF4D">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16</w:t>
            </w:r>
          </w:p>
        </w:tc>
        <w:tc>
          <w:tcPr>
            <w:tcW w:w="1022" w:type="pct"/>
            <w:vAlign w:val="center"/>
          </w:tcPr>
          <w:p w14:paraId="24B6BC3F">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投诉</w:t>
            </w:r>
          </w:p>
        </w:tc>
        <w:tc>
          <w:tcPr>
            <w:tcW w:w="3609" w:type="pct"/>
            <w:vAlign w:val="center"/>
          </w:tcPr>
          <w:p w14:paraId="69A48F82">
            <w:pPr>
              <w:snapToGrid w:val="0"/>
              <w:ind w:firstLine="420" w:firstLineChars="200"/>
              <w:jc w:val="left"/>
              <w:rPr>
                <w:rFonts w:hint="eastAsia" w:ascii="宋体" w:hAnsi="宋体" w:eastAsia="宋体" w:cs="宋体"/>
                <w:snapToGrid w:val="0"/>
                <w:color w:val="auto"/>
              </w:rPr>
            </w:pPr>
            <w:r>
              <w:rPr>
                <w:rFonts w:hint="eastAsia" w:ascii="宋体" w:hAnsi="宋体" w:eastAsia="宋体" w:cs="宋体"/>
                <w:snapToGrid w:val="0"/>
                <w:color w:val="auto"/>
                <w:kern w:val="0"/>
                <w:sz w:val="21"/>
                <w:szCs w:val="21"/>
              </w:rPr>
              <w:t>根据</w:t>
            </w:r>
            <w:r>
              <w:rPr>
                <w:rFonts w:hint="eastAsia" w:ascii="宋体" w:hAnsi="宋体" w:eastAsia="宋体" w:cs="宋体"/>
                <w:color w:val="auto"/>
                <w:sz w:val="21"/>
                <w:szCs w:val="21"/>
              </w:rPr>
              <w:t>《中华人民共和国政府采购法》</w:t>
            </w:r>
            <w:r>
              <w:rPr>
                <w:rFonts w:hint="eastAsia" w:ascii="宋体" w:hAnsi="宋体" w:eastAsia="宋体" w:cs="宋体"/>
                <w:snapToGrid w:val="0"/>
                <w:color w:val="auto"/>
                <w:kern w:val="0"/>
                <w:sz w:val="21"/>
                <w:szCs w:val="21"/>
              </w:rPr>
              <w:t>第五十五条的规定，质疑供应商对采购人、招标代理机构的答复不满意或者采购人、招标代理机构未在规定的时间内作出答复的，可以在答复期满后十五个工作日内向同级政府采购监督管理部门投诉。</w:t>
            </w:r>
          </w:p>
        </w:tc>
      </w:tr>
      <w:tr w14:paraId="46B37A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 w:type="pct"/>
            <w:vAlign w:val="center"/>
          </w:tcPr>
          <w:p w14:paraId="66969F09">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17</w:t>
            </w:r>
          </w:p>
        </w:tc>
        <w:tc>
          <w:tcPr>
            <w:tcW w:w="1022" w:type="pct"/>
            <w:vAlign w:val="center"/>
          </w:tcPr>
          <w:p w14:paraId="1E6361D1">
            <w:pPr>
              <w:snapToGrid w:val="0"/>
              <w:jc w:val="center"/>
              <w:rPr>
                <w:rFonts w:hint="eastAsia" w:ascii="宋体" w:hAnsi="宋体" w:eastAsia="宋体" w:cs="宋体"/>
                <w:snapToGrid w:val="0"/>
                <w:color w:val="auto"/>
              </w:rPr>
            </w:pPr>
            <w:r>
              <w:rPr>
                <w:rFonts w:hint="eastAsia" w:ascii="宋体" w:hAnsi="宋体" w:eastAsia="宋体" w:cs="宋体"/>
                <w:snapToGrid w:val="0"/>
                <w:color w:val="auto"/>
              </w:rPr>
              <w:t>特别说明</w:t>
            </w:r>
          </w:p>
        </w:tc>
        <w:tc>
          <w:tcPr>
            <w:tcW w:w="3609" w:type="pct"/>
            <w:vAlign w:val="center"/>
          </w:tcPr>
          <w:p w14:paraId="1A494466">
            <w:pPr>
              <w:pStyle w:val="15"/>
              <w:snapToGrid w:val="0"/>
              <w:spacing w:line="36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投标人应无条件</w:t>
            </w:r>
            <w:r>
              <w:rPr>
                <w:rFonts w:hint="eastAsia" w:ascii="宋体" w:hAnsi="宋体" w:eastAsia="宋体" w:cs="宋体"/>
                <w:color w:val="auto"/>
                <w:kern w:val="0"/>
                <w:sz w:val="21"/>
                <w:szCs w:val="21"/>
                <w:lang w:eastAsia="zh-CN"/>
              </w:rPr>
              <w:t>地</w:t>
            </w:r>
            <w:r>
              <w:rPr>
                <w:rFonts w:hint="eastAsia" w:ascii="宋体" w:hAnsi="宋体" w:eastAsia="宋体" w:cs="宋体"/>
                <w:color w:val="auto"/>
                <w:kern w:val="0"/>
                <w:sz w:val="21"/>
                <w:szCs w:val="21"/>
              </w:rPr>
              <w:t>、认真仔细</w:t>
            </w:r>
            <w:r>
              <w:rPr>
                <w:rFonts w:hint="eastAsia" w:ascii="宋体" w:hAnsi="宋体" w:eastAsia="宋体" w:cs="宋体"/>
                <w:color w:val="auto"/>
                <w:kern w:val="0"/>
                <w:sz w:val="21"/>
                <w:szCs w:val="21"/>
                <w:lang w:eastAsia="zh-CN"/>
              </w:rPr>
              <w:t>地</w:t>
            </w:r>
            <w:r>
              <w:rPr>
                <w:rFonts w:hint="eastAsia" w:ascii="宋体" w:hAnsi="宋体" w:eastAsia="宋体" w:cs="宋体"/>
                <w:color w:val="auto"/>
                <w:kern w:val="0"/>
                <w:sz w:val="21"/>
                <w:szCs w:val="21"/>
              </w:rPr>
              <w:t>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14:paraId="6E14B57C">
            <w:pPr>
              <w:pStyle w:val="15"/>
              <w:snapToGrid w:val="0"/>
              <w:spacing w:line="36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177C8954">
            <w:pPr>
              <w:pStyle w:val="15"/>
              <w:snapToGrid w:val="0"/>
              <w:ind w:firstLine="420" w:firstLineChars="200"/>
              <w:rPr>
                <w:rFonts w:hint="eastAsia" w:ascii="宋体" w:hAnsi="宋体" w:eastAsia="宋体" w:cs="宋体"/>
                <w:b/>
                <w:bCs/>
                <w:color w:val="auto"/>
              </w:rPr>
            </w:pPr>
            <w:r>
              <w:rPr>
                <w:rFonts w:hint="eastAsia" w:ascii="宋体" w:hAnsi="宋体" w:eastAsia="宋体" w:cs="宋体"/>
                <w:color w:val="auto"/>
                <w:kern w:val="0"/>
                <w:sz w:val="21"/>
                <w:szCs w:val="21"/>
              </w:rPr>
              <w:t>招标文件中凡标注“</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”的条款均为实质性要求，不响应的投标文件将作无效标处理。</w:t>
            </w:r>
          </w:p>
        </w:tc>
      </w:tr>
      <w:tr w14:paraId="5BE216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367" w:type="pct"/>
            <w:vMerge w:val="restart"/>
            <w:vAlign w:val="center"/>
          </w:tcPr>
          <w:p w14:paraId="26F5769B">
            <w:pPr>
              <w:snapToGrid w:val="0"/>
              <w:spacing w:line="360" w:lineRule="exact"/>
              <w:jc w:val="center"/>
              <w:rPr>
                <w:rFonts w:hint="eastAsia" w:ascii="宋体" w:hAnsi="宋体" w:eastAsia="宋体" w:cs="宋体"/>
                <w:snapToGrid w:val="0"/>
                <w:color w:val="auto"/>
                <w:kern w:val="0"/>
                <w:szCs w:val="21"/>
                <w:lang w:val="en-US" w:eastAsia="zh-CN" w:bidi="ar-SA"/>
              </w:rPr>
            </w:pPr>
            <w:r>
              <w:rPr>
                <w:rFonts w:hint="eastAsia" w:ascii="宋体" w:hAnsi="宋体" w:eastAsia="宋体" w:cs="宋体"/>
                <w:snapToGrid w:val="0"/>
                <w:color w:val="auto"/>
                <w:kern w:val="0"/>
                <w:szCs w:val="21"/>
                <w:lang w:val="en-US" w:eastAsia="zh-CN"/>
              </w:rPr>
              <w:t>18</w:t>
            </w:r>
          </w:p>
        </w:tc>
        <w:tc>
          <w:tcPr>
            <w:tcW w:w="1022" w:type="pct"/>
            <w:vMerge w:val="restart"/>
            <w:vAlign w:val="center"/>
          </w:tcPr>
          <w:p w14:paraId="6F57AED0">
            <w:pPr>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预付款</w:t>
            </w:r>
          </w:p>
        </w:tc>
        <w:tc>
          <w:tcPr>
            <w:tcW w:w="3609" w:type="pct"/>
            <w:vAlign w:val="center"/>
          </w:tcPr>
          <w:p w14:paraId="04E269CD">
            <w:pPr>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本项目不设置预付款</w:t>
            </w:r>
            <w:r>
              <w:rPr>
                <w:rFonts w:hint="eastAsia" w:ascii="宋体" w:hAnsi="宋体" w:eastAsia="宋体" w:cs="宋体"/>
                <w:color w:val="auto"/>
                <w:sz w:val="21"/>
                <w:szCs w:val="21"/>
                <w:highlight w:val="none"/>
                <w:u w:val="none"/>
                <w:lang w:val="en-US" w:eastAsia="zh-CN" w:bidi="ar-SA"/>
              </w:rPr>
              <w:t>。</w:t>
            </w:r>
          </w:p>
        </w:tc>
      </w:tr>
      <w:tr w14:paraId="44D5B5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367" w:type="pct"/>
            <w:vMerge w:val="continue"/>
            <w:vAlign w:val="center"/>
          </w:tcPr>
          <w:p w14:paraId="3BB8644E">
            <w:pPr>
              <w:ind w:firstLine="400" w:firstLineChars="200"/>
              <w:jc w:val="both"/>
              <w:rPr>
                <w:rFonts w:hint="eastAsia" w:ascii="宋体" w:hAnsi="宋体" w:eastAsia="宋体" w:cs="宋体"/>
              </w:rPr>
            </w:pPr>
          </w:p>
        </w:tc>
        <w:tc>
          <w:tcPr>
            <w:tcW w:w="1022" w:type="pct"/>
            <w:vMerge w:val="continue"/>
            <w:vAlign w:val="center"/>
          </w:tcPr>
          <w:p w14:paraId="4F1A6F12">
            <w:pPr>
              <w:ind w:firstLine="400" w:firstLineChars="200"/>
              <w:jc w:val="both"/>
              <w:rPr>
                <w:rFonts w:hint="eastAsia" w:ascii="宋体" w:hAnsi="宋体" w:eastAsia="宋体" w:cs="宋体"/>
              </w:rPr>
            </w:pPr>
          </w:p>
        </w:tc>
        <w:tc>
          <w:tcPr>
            <w:tcW w:w="3609" w:type="pct"/>
            <w:vAlign w:val="center"/>
          </w:tcPr>
          <w:p w14:paraId="1C4B5769">
            <w:pPr>
              <w:ind w:firstLine="40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根据《浙江省财政厅关于进一步发挥政府采购政策功能全力推动经济稳进提质的通知》[浙财采监〔2022）3号]文件第二条第五点关于“进一步提高政府采购预付款比例”的规定：</w:t>
            </w:r>
          </w:p>
          <w:p w14:paraId="5C4DCC48">
            <w:pPr>
              <w:ind w:firstLine="40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1、采购单位应当在政府采购合同中约定预付款。</w:t>
            </w:r>
          </w:p>
          <w:p w14:paraId="319B6874">
            <w:pPr>
              <w:ind w:firstLine="40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01E688E3">
            <w:pPr>
              <w:ind w:firstLine="40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3、本项目涉及投标人为大型企业，或者以人工投入为主且实行按月定期结算支付款项的，预付款可低于上述比例或者不约定预付款（相应字样应在合同中体现）。</w:t>
            </w:r>
          </w:p>
          <w:p w14:paraId="28A2BE6F">
            <w:pPr>
              <w:ind w:firstLine="400" w:firstLineChars="200"/>
              <w:jc w:val="both"/>
              <w:rPr>
                <w:rFonts w:hint="eastAsia" w:ascii="宋体" w:hAnsi="宋体" w:eastAsia="宋体" w:cs="宋体"/>
                <w:color w:val="FF0000"/>
                <w:sz w:val="21"/>
                <w:szCs w:val="21"/>
                <w:highlight w:val="none"/>
                <w:lang w:val="en-US" w:eastAsia="zh-CN" w:bidi="ar-SA"/>
              </w:rPr>
            </w:pPr>
            <w:r>
              <w:rPr>
                <w:rFonts w:hint="eastAsia" w:ascii="宋体" w:hAnsi="宋体" w:eastAsia="宋体" w:cs="宋体"/>
                <w:color w:val="auto"/>
                <w:szCs w:val="21"/>
                <w:highlight w:val="none"/>
              </w:rPr>
              <w:t>4、在签订合同时，中标人明确表示无需预付款或者主动要求降低预付款比例的，应提交相应申请函经采购人确认后，可不适用前述规定。</w:t>
            </w:r>
          </w:p>
        </w:tc>
      </w:tr>
      <w:tr w14:paraId="64F1FD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367" w:type="pct"/>
            <w:vAlign w:val="center"/>
          </w:tcPr>
          <w:p w14:paraId="6C386EF9">
            <w:pPr>
              <w:snapToGrid w:val="0"/>
              <w:jc w:val="center"/>
              <w:rPr>
                <w:rFonts w:hint="eastAsia" w:ascii="宋体" w:hAnsi="宋体" w:eastAsia="宋体" w:cs="宋体"/>
                <w:snapToGrid w:val="0"/>
                <w:color w:val="auto"/>
                <w:lang w:val="en-US" w:eastAsia="zh-CN"/>
              </w:rPr>
            </w:pPr>
            <w:r>
              <w:rPr>
                <w:rFonts w:hint="eastAsia" w:ascii="宋体" w:hAnsi="宋体" w:eastAsia="宋体" w:cs="宋体"/>
                <w:snapToGrid w:val="0"/>
                <w:color w:val="auto"/>
                <w:lang w:val="en-US" w:eastAsia="zh-CN"/>
              </w:rPr>
              <w:t>19</w:t>
            </w:r>
          </w:p>
        </w:tc>
        <w:tc>
          <w:tcPr>
            <w:tcW w:w="1022" w:type="pct"/>
            <w:vAlign w:val="center"/>
          </w:tcPr>
          <w:p w14:paraId="7C18FC56">
            <w:pPr>
              <w:snapToGrid w:val="0"/>
              <w:jc w:val="center"/>
              <w:rPr>
                <w:rFonts w:hint="eastAsia" w:ascii="宋体" w:hAnsi="宋体" w:eastAsia="宋体" w:cs="宋体"/>
                <w:color w:val="auto"/>
              </w:rPr>
            </w:pPr>
            <w:r>
              <w:rPr>
                <w:rFonts w:hint="eastAsia" w:ascii="宋体" w:hAnsi="宋体" w:eastAsia="宋体" w:cs="宋体"/>
                <w:color w:val="auto"/>
              </w:rPr>
              <w:t>支</w:t>
            </w:r>
          </w:p>
          <w:p w14:paraId="04E27E30">
            <w:pPr>
              <w:snapToGrid w:val="0"/>
              <w:jc w:val="center"/>
              <w:rPr>
                <w:rFonts w:hint="eastAsia" w:ascii="宋体" w:hAnsi="宋体" w:eastAsia="宋体" w:cs="宋体"/>
                <w:color w:val="auto"/>
              </w:rPr>
            </w:pPr>
            <w:r>
              <w:rPr>
                <w:rFonts w:hint="eastAsia" w:ascii="宋体" w:hAnsi="宋体" w:eastAsia="宋体" w:cs="宋体"/>
                <w:color w:val="auto"/>
              </w:rPr>
              <w:t>持</w:t>
            </w:r>
          </w:p>
          <w:p w14:paraId="65BCC66F">
            <w:pPr>
              <w:snapToGrid w:val="0"/>
              <w:jc w:val="center"/>
              <w:rPr>
                <w:rFonts w:hint="eastAsia" w:ascii="宋体" w:hAnsi="宋体" w:eastAsia="宋体" w:cs="宋体"/>
                <w:color w:val="auto"/>
              </w:rPr>
            </w:pPr>
            <w:r>
              <w:rPr>
                <w:rFonts w:hint="eastAsia" w:ascii="宋体" w:hAnsi="宋体" w:eastAsia="宋体" w:cs="宋体"/>
                <w:color w:val="auto"/>
              </w:rPr>
              <w:t>中</w:t>
            </w:r>
          </w:p>
          <w:p w14:paraId="7CCC7FEC">
            <w:pPr>
              <w:snapToGrid w:val="0"/>
              <w:jc w:val="center"/>
              <w:rPr>
                <w:rFonts w:hint="eastAsia" w:ascii="宋体" w:hAnsi="宋体" w:eastAsia="宋体" w:cs="宋体"/>
                <w:color w:val="auto"/>
              </w:rPr>
            </w:pPr>
            <w:r>
              <w:rPr>
                <w:rFonts w:hint="eastAsia" w:ascii="宋体" w:hAnsi="宋体" w:eastAsia="宋体" w:cs="宋体"/>
                <w:color w:val="auto"/>
              </w:rPr>
              <w:t>小</w:t>
            </w:r>
          </w:p>
          <w:p w14:paraId="2262D66D">
            <w:pPr>
              <w:snapToGrid w:val="0"/>
              <w:jc w:val="center"/>
              <w:rPr>
                <w:rFonts w:hint="eastAsia" w:ascii="宋体" w:hAnsi="宋体" w:eastAsia="宋体" w:cs="宋体"/>
                <w:color w:val="auto"/>
              </w:rPr>
            </w:pPr>
            <w:r>
              <w:rPr>
                <w:rFonts w:hint="eastAsia" w:ascii="宋体" w:hAnsi="宋体" w:eastAsia="宋体" w:cs="宋体"/>
                <w:color w:val="auto"/>
              </w:rPr>
              <w:t>企</w:t>
            </w:r>
          </w:p>
          <w:p w14:paraId="5EBD65F8">
            <w:pPr>
              <w:snapToGrid w:val="0"/>
              <w:jc w:val="center"/>
              <w:rPr>
                <w:rFonts w:hint="eastAsia" w:ascii="宋体" w:hAnsi="宋体" w:eastAsia="宋体" w:cs="宋体"/>
                <w:color w:val="auto"/>
              </w:rPr>
            </w:pPr>
            <w:r>
              <w:rPr>
                <w:rFonts w:hint="eastAsia" w:ascii="宋体" w:hAnsi="宋体" w:eastAsia="宋体" w:cs="宋体"/>
                <w:color w:val="auto"/>
              </w:rPr>
              <w:t>业</w:t>
            </w:r>
          </w:p>
        </w:tc>
        <w:tc>
          <w:tcPr>
            <w:tcW w:w="3609" w:type="pct"/>
            <w:vAlign w:val="top"/>
          </w:tcPr>
          <w:p w14:paraId="0C85DA6A">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小微企业是指在中华人民共和国境内依法设立，依据国务院批准的中小企业划分标准确定的小型企业和微型企业，但与大企业的负责人为同一人，或者与大企业存在直接控股、管理关系的除外。</w:t>
            </w:r>
          </w:p>
          <w:p w14:paraId="65BCE497">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符合中小企业划分标准的个体工商户，在政府采购活动中视同中小企业。</w:t>
            </w:r>
          </w:p>
          <w:p w14:paraId="34F9D235">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在货物采购项目中，货物由小微企业制造，即货物由小微企业生产且使用该小微企业商号或者注册商标。供应商提供的货物既有中小企业制造货物，也有大型企业制造货物的，不享受中小企业扶持政策。</w:t>
            </w:r>
          </w:p>
          <w:p w14:paraId="78954D04">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在服务采购项目中，服务由小微企业承接，即提供服务的人员为小微企业依照《中华人民共和国劳动合同法》订立劳动合同的从业人员。</w:t>
            </w:r>
          </w:p>
          <w:p w14:paraId="5A8772E2">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联合体各方均为小型、微型企业的，联合体视同为小型、微型企业。</w:t>
            </w:r>
          </w:p>
          <w:p w14:paraId="5D47AE75">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上述条件的中小微型企业应按照招标文件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44944F">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6EDE16EB">
            <w:pP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组成联合体或者接受分包的小微企业与联合体内其他企业、分包企业之间存在直接控股、管理关系的，不享受价格扣除优惠政策。</w:t>
            </w:r>
          </w:p>
        </w:tc>
      </w:tr>
      <w:tr w14:paraId="45D785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367" w:type="pct"/>
            <w:vAlign w:val="center"/>
          </w:tcPr>
          <w:p w14:paraId="4173BE13">
            <w:pPr>
              <w:snapToGrid w:val="0"/>
              <w:jc w:val="center"/>
              <w:rPr>
                <w:rFonts w:hint="eastAsia" w:ascii="宋体" w:hAnsi="宋体" w:eastAsia="宋体" w:cs="宋体"/>
                <w:snapToGrid w:val="0"/>
                <w:color w:val="auto"/>
                <w:lang w:val="en-US" w:eastAsia="zh-CN"/>
              </w:rPr>
            </w:pPr>
            <w:r>
              <w:rPr>
                <w:rFonts w:hint="eastAsia" w:ascii="宋体" w:hAnsi="宋体" w:eastAsia="宋体" w:cs="宋体"/>
                <w:snapToGrid w:val="0"/>
                <w:color w:val="auto"/>
                <w:lang w:val="en-US" w:eastAsia="zh-CN"/>
              </w:rPr>
              <w:t>20</w:t>
            </w:r>
          </w:p>
        </w:tc>
        <w:tc>
          <w:tcPr>
            <w:tcW w:w="1022" w:type="pct"/>
            <w:vAlign w:val="center"/>
          </w:tcPr>
          <w:p w14:paraId="5ED6623D">
            <w:pPr>
              <w:snapToGrid w:val="0"/>
              <w:jc w:val="center"/>
              <w:rPr>
                <w:rFonts w:hint="eastAsia" w:ascii="宋体" w:hAnsi="宋体" w:eastAsia="宋体" w:cs="宋体"/>
                <w:color w:val="auto"/>
              </w:rPr>
            </w:pPr>
            <w:r>
              <w:rPr>
                <w:rFonts w:hint="eastAsia" w:ascii="宋体" w:hAnsi="宋体" w:eastAsia="宋体" w:cs="宋体"/>
                <w:color w:val="auto"/>
              </w:rPr>
              <w:t>招标代理服务费</w:t>
            </w:r>
          </w:p>
        </w:tc>
        <w:tc>
          <w:tcPr>
            <w:tcW w:w="3609" w:type="pct"/>
            <w:vAlign w:val="center"/>
          </w:tcPr>
          <w:p w14:paraId="4467FD59">
            <w:pPr>
              <w:autoSpaceDN w:val="0"/>
              <w:spacing w:line="340" w:lineRule="exact"/>
              <w:ind w:firstLine="40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招标代理服务费由成交供应商支付，按下列服务招标计算方式计取。</w:t>
            </w:r>
          </w:p>
          <w:tbl>
            <w:tblPr>
              <w:tblStyle w:val="28"/>
              <w:tblW w:w="610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110"/>
              <w:gridCol w:w="1008"/>
              <w:gridCol w:w="1008"/>
              <w:gridCol w:w="977"/>
            </w:tblGrid>
            <w:tr w14:paraId="04186F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22F419C8">
                  <w:pPr>
                    <w:jc w:val="center"/>
                    <w:rPr>
                      <w:rFonts w:hint="eastAsia" w:ascii="宋体" w:hAnsi="宋体" w:eastAsia="宋体" w:cs="宋体"/>
                      <w:color w:val="auto"/>
                    </w:rPr>
                  </w:pPr>
                  <w:r>
                    <w:rPr>
                      <w:rFonts w:hint="eastAsia" w:ascii="宋体" w:hAnsi="宋体" w:eastAsia="宋体" w:cs="宋体"/>
                      <w:color w:val="auto"/>
                    </w:rPr>
                    <w:t>服务类型 中标金额（万元）</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3BE8AB52">
                  <w:pPr>
                    <w:pStyle w:val="25"/>
                    <w:jc w:val="center"/>
                    <w:rPr>
                      <w:rFonts w:hint="eastAsia" w:ascii="宋体" w:hAnsi="宋体" w:eastAsia="宋体" w:cs="宋体"/>
                      <w:color w:val="auto"/>
                      <w:sz w:val="21"/>
                      <w:szCs w:val="21"/>
                    </w:rPr>
                  </w:pPr>
                  <w:r>
                    <w:rPr>
                      <w:rFonts w:hint="eastAsia" w:ascii="宋体" w:hAnsi="宋体" w:eastAsia="宋体" w:cs="宋体"/>
                      <w:color w:val="auto"/>
                      <w:sz w:val="21"/>
                      <w:szCs w:val="21"/>
                    </w:rPr>
                    <w:t>货物招标</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14C2018D">
                  <w:pPr>
                    <w:jc w:val="center"/>
                    <w:rPr>
                      <w:rFonts w:hint="eastAsia" w:ascii="宋体" w:hAnsi="宋体" w:eastAsia="宋体" w:cs="宋体"/>
                      <w:color w:val="auto"/>
                    </w:rPr>
                  </w:pPr>
                  <w:r>
                    <w:rPr>
                      <w:rFonts w:hint="eastAsia" w:ascii="宋体" w:hAnsi="宋体" w:eastAsia="宋体" w:cs="宋体"/>
                      <w:color w:val="auto"/>
                    </w:rPr>
                    <w:t>服务招标</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135A65F3">
                  <w:pPr>
                    <w:jc w:val="center"/>
                    <w:rPr>
                      <w:rFonts w:hint="eastAsia" w:ascii="宋体" w:hAnsi="宋体" w:eastAsia="宋体" w:cs="宋体"/>
                      <w:color w:val="auto"/>
                    </w:rPr>
                  </w:pPr>
                  <w:r>
                    <w:rPr>
                      <w:rFonts w:hint="eastAsia" w:ascii="宋体" w:hAnsi="宋体" w:eastAsia="宋体" w:cs="宋体"/>
                      <w:color w:val="auto"/>
                    </w:rPr>
                    <w:t>工程招标</w:t>
                  </w:r>
                </w:p>
              </w:tc>
            </w:tr>
            <w:tr w14:paraId="5DF317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4D93D55D">
                  <w:pPr>
                    <w:jc w:val="center"/>
                    <w:rPr>
                      <w:rFonts w:hint="eastAsia" w:ascii="宋体" w:hAnsi="宋体" w:eastAsia="宋体" w:cs="宋体"/>
                      <w:color w:val="auto"/>
                    </w:rPr>
                  </w:pPr>
                  <w:r>
                    <w:rPr>
                      <w:rFonts w:hint="eastAsia" w:ascii="宋体" w:hAnsi="宋体" w:eastAsia="宋体" w:cs="宋体"/>
                      <w:color w:val="auto"/>
                    </w:rPr>
                    <w:t>100以下</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57336878">
                  <w:pPr>
                    <w:jc w:val="center"/>
                    <w:rPr>
                      <w:rFonts w:hint="eastAsia" w:ascii="宋体" w:hAnsi="宋体" w:eastAsia="宋体" w:cs="宋体"/>
                      <w:color w:val="auto"/>
                    </w:rPr>
                  </w:pPr>
                  <w:r>
                    <w:rPr>
                      <w:rFonts w:hint="eastAsia" w:ascii="宋体" w:hAnsi="宋体" w:eastAsia="宋体" w:cs="宋体"/>
                      <w:color w:val="auto"/>
                    </w:rPr>
                    <w:t>1.5％</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72CDE4C6">
                  <w:pPr>
                    <w:jc w:val="center"/>
                    <w:rPr>
                      <w:rFonts w:hint="eastAsia" w:ascii="宋体" w:hAnsi="宋体" w:eastAsia="宋体" w:cs="宋体"/>
                      <w:color w:val="auto"/>
                    </w:rPr>
                  </w:pPr>
                  <w:r>
                    <w:rPr>
                      <w:rFonts w:hint="eastAsia" w:ascii="宋体" w:hAnsi="宋体" w:eastAsia="宋体" w:cs="宋体"/>
                      <w:color w:val="auto"/>
                    </w:rPr>
                    <w:t>1.5％</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54411E72">
                  <w:pPr>
                    <w:jc w:val="center"/>
                    <w:rPr>
                      <w:rFonts w:hint="eastAsia" w:ascii="宋体" w:hAnsi="宋体" w:eastAsia="宋体" w:cs="宋体"/>
                      <w:color w:val="auto"/>
                    </w:rPr>
                  </w:pPr>
                  <w:r>
                    <w:rPr>
                      <w:rFonts w:hint="eastAsia" w:ascii="宋体" w:hAnsi="宋体" w:eastAsia="宋体" w:cs="宋体"/>
                      <w:color w:val="auto"/>
                    </w:rPr>
                    <w:t>1.0％</w:t>
                  </w:r>
                </w:p>
              </w:tc>
            </w:tr>
          </w:tbl>
          <w:p w14:paraId="08832143">
            <w:pPr>
              <w:spacing w:line="340" w:lineRule="exact"/>
              <w:ind w:firstLine="400" w:firstLineChars="200"/>
              <w:rPr>
                <w:rFonts w:hint="eastAsia" w:ascii="宋体" w:hAnsi="宋体" w:eastAsia="宋体" w:cs="宋体"/>
              </w:rPr>
            </w:pPr>
            <w:r>
              <w:rPr>
                <w:rFonts w:hint="eastAsia" w:ascii="宋体" w:hAnsi="宋体" w:eastAsia="宋体" w:cs="宋体"/>
                <w:snapToGrid w:val="0"/>
                <w:color w:val="auto"/>
                <w:kern w:val="0"/>
              </w:rPr>
              <w:t>结算方式及时间为：在领取中标通知书前由成交供应商一次性向采购代理机构付清。</w:t>
            </w:r>
          </w:p>
        </w:tc>
      </w:tr>
      <w:tr w14:paraId="5F6ED1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367" w:type="pct"/>
            <w:vAlign w:val="center"/>
          </w:tcPr>
          <w:p w14:paraId="4C3F78D2">
            <w:pPr>
              <w:snapToGrid w:val="0"/>
              <w:jc w:val="center"/>
              <w:rPr>
                <w:rFonts w:hint="eastAsia" w:ascii="宋体" w:hAnsi="宋体" w:eastAsia="宋体" w:cs="宋体"/>
                <w:snapToGrid w:val="0"/>
                <w:color w:val="auto"/>
                <w:lang w:val="en-US" w:eastAsia="zh-CN"/>
              </w:rPr>
            </w:pPr>
            <w:r>
              <w:rPr>
                <w:rFonts w:hint="eastAsia" w:ascii="宋体" w:hAnsi="宋体" w:eastAsia="宋体" w:cs="宋体"/>
                <w:snapToGrid w:val="0"/>
                <w:color w:val="auto"/>
                <w:lang w:val="en-US" w:eastAsia="zh-CN"/>
              </w:rPr>
              <w:t>21</w:t>
            </w:r>
          </w:p>
        </w:tc>
        <w:tc>
          <w:tcPr>
            <w:tcW w:w="1022" w:type="pct"/>
            <w:vAlign w:val="center"/>
          </w:tcPr>
          <w:p w14:paraId="630CD9EA">
            <w:pPr>
              <w:snapToGrid w:val="0"/>
              <w:jc w:val="center"/>
              <w:rPr>
                <w:rFonts w:hint="eastAsia" w:ascii="宋体" w:hAnsi="宋体" w:eastAsia="宋体" w:cs="宋体"/>
                <w:color w:val="auto"/>
              </w:rPr>
            </w:pPr>
            <w:r>
              <w:rPr>
                <w:rFonts w:hint="eastAsia" w:ascii="宋体" w:hAnsi="宋体" w:eastAsia="宋体" w:cs="宋体"/>
                <w:color w:val="auto"/>
              </w:rPr>
              <w:t>是否允许分包</w:t>
            </w:r>
          </w:p>
        </w:tc>
        <w:tc>
          <w:tcPr>
            <w:tcW w:w="3609" w:type="pct"/>
            <w:vAlign w:val="center"/>
          </w:tcPr>
          <w:p w14:paraId="1955C436">
            <w:pPr>
              <w:ind w:firstLine="400" w:firstLineChars="200"/>
              <w:rPr>
                <w:rFonts w:hint="eastAsia" w:ascii="宋体" w:hAnsi="宋体" w:eastAsia="宋体" w:cs="宋体"/>
                <w:color w:val="auto"/>
              </w:rPr>
            </w:pPr>
            <w:r>
              <w:rPr>
                <w:rFonts w:hint="eastAsia" w:ascii="宋体" w:hAnsi="宋体" w:eastAsia="宋体" w:cs="宋体"/>
                <w:color w:val="auto"/>
              </w:rPr>
              <w:t>本项目</w:t>
            </w:r>
            <w:r>
              <w:rPr>
                <w:rFonts w:hint="eastAsia" w:ascii="宋体" w:hAnsi="宋体" w:cs="宋体"/>
                <w:color w:val="auto"/>
                <w:u w:val="single"/>
                <w:lang w:eastAsia="zh-CN"/>
              </w:rPr>
              <w:t>不</w:t>
            </w:r>
            <w:r>
              <w:rPr>
                <w:rFonts w:hint="eastAsia" w:ascii="宋体" w:hAnsi="宋体" w:eastAsia="宋体" w:cs="宋体"/>
                <w:color w:val="auto"/>
                <w:u w:val="single"/>
              </w:rPr>
              <w:t>允许</w:t>
            </w:r>
            <w:r>
              <w:rPr>
                <w:rFonts w:hint="eastAsia" w:ascii="宋体" w:hAnsi="宋体" w:eastAsia="宋体" w:cs="宋体"/>
                <w:color w:val="auto"/>
              </w:rPr>
              <w:t>分包</w:t>
            </w:r>
          </w:p>
        </w:tc>
      </w:tr>
      <w:tr w14:paraId="55599E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367" w:type="pct"/>
            <w:vAlign w:val="center"/>
          </w:tcPr>
          <w:p w14:paraId="47E6DA94">
            <w:pPr>
              <w:snapToGrid w:val="0"/>
              <w:jc w:val="center"/>
              <w:rPr>
                <w:rFonts w:hint="eastAsia" w:ascii="宋体" w:hAnsi="宋体" w:eastAsia="宋体" w:cs="宋体"/>
                <w:snapToGrid w:val="0"/>
                <w:color w:val="auto"/>
                <w:lang w:eastAsia="zh-CN"/>
              </w:rPr>
            </w:pPr>
            <w:r>
              <w:rPr>
                <w:rFonts w:hint="eastAsia" w:ascii="宋体" w:hAnsi="宋体" w:eastAsia="宋体" w:cs="宋体"/>
                <w:snapToGrid w:val="0"/>
                <w:color w:val="auto"/>
              </w:rPr>
              <w:t>2</w:t>
            </w:r>
            <w:r>
              <w:rPr>
                <w:rFonts w:hint="eastAsia" w:ascii="宋体" w:hAnsi="宋体" w:eastAsia="宋体" w:cs="宋体"/>
                <w:snapToGrid w:val="0"/>
                <w:color w:val="auto"/>
                <w:lang w:val="en-US" w:eastAsia="zh-CN"/>
              </w:rPr>
              <w:t>2</w:t>
            </w:r>
          </w:p>
        </w:tc>
        <w:tc>
          <w:tcPr>
            <w:tcW w:w="1022" w:type="pct"/>
            <w:tcBorders>
              <w:top w:val="single" w:color="auto" w:sz="4" w:space="0"/>
            </w:tcBorders>
            <w:vAlign w:val="center"/>
          </w:tcPr>
          <w:p w14:paraId="7E1D2DBF">
            <w:pPr>
              <w:snapToGrid w:val="0"/>
              <w:jc w:val="center"/>
              <w:rPr>
                <w:rFonts w:hint="eastAsia" w:ascii="宋体" w:hAnsi="宋体" w:eastAsia="宋体" w:cs="宋体"/>
                <w:color w:val="auto"/>
              </w:rPr>
            </w:pPr>
            <w:r>
              <w:rPr>
                <w:rFonts w:hint="eastAsia" w:ascii="宋体" w:hAnsi="宋体" w:eastAsia="宋体" w:cs="宋体"/>
                <w:color w:val="auto"/>
              </w:rPr>
              <w:t>是否提供演示</w:t>
            </w:r>
          </w:p>
        </w:tc>
        <w:tc>
          <w:tcPr>
            <w:tcW w:w="3609" w:type="pct"/>
            <w:tcBorders>
              <w:top w:val="single" w:color="auto" w:sz="4" w:space="0"/>
            </w:tcBorders>
            <w:vAlign w:val="center"/>
          </w:tcPr>
          <w:p w14:paraId="6AC3BBC7">
            <w:pPr>
              <w:ind w:firstLine="400" w:firstLineChars="200"/>
              <w:rPr>
                <w:rFonts w:hint="eastAsia" w:ascii="宋体" w:hAnsi="宋体" w:eastAsia="宋体" w:cs="宋体"/>
                <w:b/>
                <w:bCs/>
                <w:color w:val="auto"/>
                <w:lang w:eastAsia="zh-CN"/>
              </w:rPr>
            </w:pPr>
            <w:r>
              <w:rPr>
                <w:rFonts w:hint="eastAsia" w:ascii="宋体" w:hAnsi="宋体" w:eastAsia="宋体" w:cs="宋体"/>
                <w:color w:val="auto"/>
              </w:rPr>
              <w:t>本项目</w:t>
            </w:r>
            <w:r>
              <w:rPr>
                <w:rFonts w:hint="eastAsia" w:ascii="宋体" w:hAnsi="宋体" w:eastAsia="宋体" w:cs="宋体"/>
                <w:color w:val="auto"/>
                <w:lang w:eastAsia="zh-CN"/>
              </w:rPr>
              <w:t>不</w:t>
            </w:r>
            <w:r>
              <w:rPr>
                <w:rFonts w:hint="eastAsia" w:ascii="宋体" w:hAnsi="宋体" w:eastAsia="宋体" w:cs="宋体"/>
                <w:color w:val="auto"/>
                <w:u w:val="single"/>
                <w:lang w:eastAsia="zh-CN"/>
              </w:rPr>
              <w:t>需提供</w:t>
            </w:r>
            <w:r>
              <w:rPr>
                <w:rFonts w:hint="eastAsia" w:ascii="宋体" w:hAnsi="宋体" w:eastAsia="宋体" w:cs="宋体"/>
                <w:color w:val="auto"/>
              </w:rPr>
              <w:t>演示</w:t>
            </w:r>
            <w:r>
              <w:rPr>
                <w:rFonts w:hint="eastAsia" w:ascii="宋体" w:hAnsi="宋体" w:eastAsia="宋体" w:cs="宋体"/>
                <w:color w:val="auto"/>
                <w:lang w:eastAsia="zh-CN"/>
              </w:rPr>
              <w:t>。</w:t>
            </w:r>
          </w:p>
        </w:tc>
      </w:tr>
      <w:tr w14:paraId="6F5FE2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 w:type="pct"/>
            <w:vAlign w:val="center"/>
          </w:tcPr>
          <w:p w14:paraId="020CF638">
            <w:pPr>
              <w:snapToGrid w:val="0"/>
              <w:jc w:val="center"/>
              <w:rPr>
                <w:rFonts w:hint="eastAsia" w:ascii="宋体" w:hAnsi="宋体" w:eastAsia="宋体" w:cs="宋体"/>
                <w:snapToGrid w:val="0"/>
                <w:color w:val="auto"/>
                <w:lang w:val="en-US" w:eastAsia="zh-CN"/>
              </w:rPr>
            </w:pPr>
            <w:r>
              <w:rPr>
                <w:rFonts w:hint="eastAsia" w:ascii="宋体" w:hAnsi="宋体" w:eastAsia="宋体" w:cs="宋体"/>
                <w:snapToGrid w:val="0"/>
                <w:color w:val="auto"/>
                <w:lang w:val="en-US" w:eastAsia="zh-CN"/>
              </w:rPr>
              <w:t>23</w:t>
            </w:r>
          </w:p>
        </w:tc>
        <w:tc>
          <w:tcPr>
            <w:tcW w:w="1022" w:type="pct"/>
            <w:vAlign w:val="center"/>
          </w:tcPr>
          <w:p w14:paraId="1751761C">
            <w:pPr>
              <w:snapToGrid w:val="0"/>
              <w:jc w:val="center"/>
              <w:rPr>
                <w:rFonts w:hint="eastAsia" w:ascii="宋体" w:hAnsi="宋体" w:eastAsia="宋体" w:cs="宋体"/>
                <w:color w:val="auto"/>
              </w:rPr>
            </w:pPr>
            <w:r>
              <w:rPr>
                <w:rFonts w:hint="eastAsia" w:ascii="宋体" w:hAnsi="宋体" w:eastAsia="宋体" w:cs="宋体"/>
                <w:color w:val="auto"/>
              </w:rPr>
              <w:t>供应商信用信息查询渠道及截止时点、信用信息查询记录和证据留存的具体方式、信用信息的使用规则</w:t>
            </w:r>
          </w:p>
        </w:tc>
        <w:tc>
          <w:tcPr>
            <w:tcW w:w="3609" w:type="pct"/>
            <w:vAlign w:val="center"/>
          </w:tcPr>
          <w:p w14:paraId="13D38400">
            <w:pPr>
              <w:ind w:firstLine="400" w:firstLineChars="200"/>
              <w:rPr>
                <w:rFonts w:hint="eastAsia" w:ascii="宋体" w:hAnsi="宋体" w:eastAsia="宋体" w:cs="宋体"/>
                <w:color w:val="auto"/>
              </w:rPr>
            </w:pPr>
            <w:r>
              <w:rPr>
                <w:rFonts w:hint="eastAsia" w:ascii="宋体" w:hAnsi="宋体" w:eastAsia="宋体" w:cs="宋体"/>
                <w:color w:val="auto"/>
              </w:rPr>
              <w:t>1、查询渠道：信用中国（网址：http：//www.creditchina.gov.cn）、中国政府采购网(网址：</w:t>
            </w:r>
            <w:r>
              <w:rPr>
                <w:rFonts w:hint="eastAsia" w:ascii="宋体" w:hAnsi="宋体" w:eastAsia="宋体" w:cs="宋体"/>
                <w:color w:val="auto"/>
                <w:lang w:eastAsia="zh-CN"/>
              </w:rPr>
              <w:t>http:</w:t>
            </w:r>
            <w:r>
              <w:rPr>
                <w:rFonts w:hint="eastAsia" w:ascii="宋体" w:hAnsi="宋体" w:eastAsia="宋体" w:cs="宋体"/>
                <w:color w:val="auto"/>
              </w:rPr>
              <w:t>//www.ccgp.gov.cn）。</w:t>
            </w:r>
          </w:p>
          <w:p w14:paraId="25543185">
            <w:pPr>
              <w:ind w:firstLine="400" w:firstLineChars="200"/>
              <w:rPr>
                <w:rFonts w:hint="eastAsia" w:ascii="宋体" w:hAnsi="宋体" w:eastAsia="宋体" w:cs="宋体"/>
                <w:color w:val="auto"/>
              </w:rPr>
            </w:pPr>
            <w:r>
              <w:rPr>
                <w:rFonts w:hint="eastAsia" w:ascii="宋体" w:hAnsi="宋体" w:eastAsia="宋体" w:cs="宋体"/>
                <w:color w:val="auto"/>
              </w:rPr>
              <w:t>2、截止时点：开标后评标前。</w:t>
            </w:r>
          </w:p>
          <w:p w14:paraId="1769827B">
            <w:pPr>
              <w:ind w:firstLine="400" w:firstLineChars="200"/>
              <w:rPr>
                <w:rFonts w:hint="eastAsia" w:ascii="宋体" w:hAnsi="宋体" w:eastAsia="宋体" w:cs="宋体"/>
                <w:color w:val="auto"/>
              </w:rPr>
            </w:pPr>
            <w:r>
              <w:rPr>
                <w:rFonts w:hint="eastAsia" w:ascii="宋体" w:hAnsi="宋体" w:eastAsia="宋体" w:cs="宋体"/>
                <w:color w:val="auto"/>
              </w:rPr>
              <w:t>3、信用信息查询记录和证据留存的具体方式：由采购组织机构在规定查询时间内打印信用信息查询记录并归入项目档案。</w:t>
            </w:r>
          </w:p>
          <w:p w14:paraId="286B717A">
            <w:pPr>
              <w:ind w:firstLine="400" w:firstLineChars="200"/>
              <w:rPr>
                <w:rFonts w:hint="eastAsia" w:ascii="宋体" w:hAnsi="宋体" w:eastAsia="宋体" w:cs="宋体"/>
                <w:color w:val="auto"/>
              </w:rPr>
            </w:pPr>
            <w:r>
              <w:rPr>
                <w:rFonts w:hint="eastAsia" w:ascii="宋体" w:hAnsi="宋体" w:eastAsia="宋体" w:cs="宋体"/>
                <w:color w:val="auto"/>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4C8EC1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 w:type="pct"/>
            <w:vAlign w:val="center"/>
          </w:tcPr>
          <w:p w14:paraId="55A03542">
            <w:pPr>
              <w:snapToGrid w:val="0"/>
              <w:jc w:val="center"/>
              <w:rPr>
                <w:rFonts w:hint="eastAsia" w:ascii="宋体" w:hAnsi="宋体" w:eastAsia="宋体" w:cs="宋体"/>
                <w:snapToGrid w:val="0"/>
                <w:color w:val="auto"/>
                <w:lang w:val="en-US" w:eastAsia="zh-CN"/>
              </w:rPr>
            </w:pPr>
            <w:r>
              <w:rPr>
                <w:rFonts w:hint="eastAsia" w:ascii="宋体" w:hAnsi="宋体" w:eastAsia="宋体" w:cs="宋体"/>
                <w:snapToGrid w:val="0"/>
                <w:color w:val="auto"/>
                <w:lang w:val="en-US" w:eastAsia="zh-CN"/>
              </w:rPr>
              <w:t>24</w:t>
            </w:r>
          </w:p>
        </w:tc>
        <w:tc>
          <w:tcPr>
            <w:tcW w:w="1022" w:type="pct"/>
            <w:vAlign w:val="center"/>
          </w:tcPr>
          <w:p w14:paraId="39D9D149">
            <w:pPr>
              <w:snapToGrid w:val="0"/>
              <w:jc w:val="center"/>
              <w:rPr>
                <w:rFonts w:hint="eastAsia" w:ascii="宋体" w:hAnsi="宋体" w:eastAsia="宋体" w:cs="宋体"/>
                <w:color w:val="auto"/>
              </w:rPr>
            </w:pPr>
            <w:r>
              <w:rPr>
                <w:rFonts w:hint="eastAsia" w:ascii="宋体" w:hAnsi="宋体" w:eastAsia="宋体" w:cs="宋体"/>
                <w:color w:val="auto"/>
              </w:rPr>
              <w:t>金融支持</w:t>
            </w:r>
          </w:p>
        </w:tc>
        <w:tc>
          <w:tcPr>
            <w:tcW w:w="3609" w:type="pct"/>
            <w:vAlign w:val="center"/>
          </w:tcPr>
          <w:p w14:paraId="0DC7EB56">
            <w:pPr>
              <w:ind w:firstLine="420" w:firstLineChars="200"/>
              <w:rPr>
                <w:rFonts w:hint="eastAsia" w:ascii="宋体" w:hAnsi="宋体" w:eastAsia="宋体" w:cs="宋体"/>
                <w:color w:val="auto"/>
              </w:rPr>
            </w:pPr>
            <w:r>
              <w:rPr>
                <w:rFonts w:hint="eastAsia" w:ascii="宋体" w:hAnsi="宋体" w:eastAsia="宋体" w:cs="宋体"/>
                <w:color w:val="auto"/>
                <w:sz w:val="21"/>
                <w:szCs w:val="21"/>
              </w:rPr>
              <w:t>为支持和促进中小企业发展，进一步发挥政府采购政策功能，企业若有融资意向，可登录政采云平台融资服务（https://jinrong.zcygov.cn/），查看相应融资政策文件及各相关银行服务方案。</w:t>
            </w:r>
          </w:p>
        </w:tc>
      </w:tr>
      <w:tr w14:paraId="6BFD9B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 w:type="pct"/>
            <w:vAlign w:val="center"/>
          </w:tcPr>
          <w:p w14:paraId="167BC387">
            <w:pPr>
              <w:snapToGrid w:val="0"/>
              <w:jc w:val="center"/>
              <w:rPr>
                <w:rFonts w:hint="eastAsia" w:ascii="宋体" w:hAnsi="宋体" w:eastAsia="宋体" w:cs="宋体"/>
                <w:snapToGrid w:val="0"/>
                <w:color w:val="auto"/>
                <w:lang w:val="en-US" w:eastAsia="zh-CN"/>
              </w:rPr>
            </w:pPr>
            <w:r>
              <w:rPr>
                <w:rFonts w:hint="eastAsia" w:ascii="宋体" w:hAnsi="宋体" w:eastAsia="宋体" w:cs="宋体"/>
                <w:snapToGrid w:val="0"/>
                <w:color w:val="auto"/>
                <w:lang w:val="en-US" w:eastAsia="zh-CN"/>
              </w:rPr>
              <w:t>25</w:t>
            </w:r>
          </w:p>
        </w:tc>
        <w:tc>
          <w:tcPr>
            <w:tcW w:w="1022" w:type="pct"/>
            <w:vAlign w:val="center"/>
          </w:tcPr>
          <w:p w14:paraId="4894F6E1">
            <w:pPr>
              <w:keepNext w:val="0"/>
              <w:keepLines w:val="0"/>
              <w:pageBreakBefore w:val="0"/>
              <w:kinsoku/>
              <w:wordWrap/>
              <w:overflowPunct/>
              <w:topLinePunct w:val="0"/>
              <w:autoSpaceDE/>
              <w:bidi w:val="0"/>
              <w:adjustRightInd/>
              <w:snapToGrid w:val="0"/>
              <w:spacing w:line="288" w:lineRule="auto"/>
              <w:jc w:val="center"/>
              <w:textAlignment w:val="auto"/>
              <w:rPr>
                <w:rFonts w:hint="eastAsia" w:ascii="宋体" w:hAnsi="宋体" w:eastAsia="宋体" w:cs="宋体"/>
                <w:color w:val="auto"/>
              </w:rPr>
            </w:pPr>
            <w:r>
              <w:rPr>
                <w:rFonts w:hint="eastAsia" w:ascii="宋体" w:hAnsi="宋体" w:eastAsia="宋体" w:cs="宋体"/>
                <w:szCs w:val="21"/>
              </w:rPr>
              <w:t>商品包装和快递包装要求</w:t>
            </w:r>
          </w:p>
        </w:tc>
        <w:tc>
          <w:tcPr>
            <w:tcW w:w="3609" w:type="pct"/>
            <w:vAlign w:val="center"/>
          </w:tcPr>
          <w:p w14:paraId="0E20B189">
            <w:pPr>
              <w:keepNext w:val="0"/>
              <w:keepLines w:val="0"/>
              <w:pageBreakBefore w:val="0"/>
              <w:kinsoku/>
              <w:wordWrap/>
              <w:overflowPunct/>
              <w:topLinePunct w:val="0"/>
              <w:autoSpaceDE/>
              <w:bidi w:val="0"/>
              <w:adjustRightInd/>
              <w:spacing w:line="288" w:lineRule="auto"/>
              <w:ind w:firstLine="400" w:firstLineChars="200"/>
              <w:textAlignment w:val="auto"/>
              <w:rPr>
                <w:rFonts w:hint="eastAsia" w:ascii="宋体" w:hAnsi="宋体" w:eastAsia="宋体" w:cs="宋体"/>
                <w:color w:val="auto"/>
                <w:sz w:val="21"/>
                <w:szCs w:val="21"/>
              </w:rPr>
            </w:pPr>
            <w:r>
              <w:rPr>
                <w:rFonts w:hint="eastAsia" w:ascii="宋体" w:hAnsi="宋体" w:eastAsia="宋体" w:cs="宋体"/>
                <w:szCs w:val="21"/>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tc>
      </w:tr>
      <w:tr w14:paraId="039CE1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 w:type="pct"/>
            <w:tcBorders>
              <w:bottom w:val="double" w:color="auto" w:sz="4" w:space="0"/>
            </w:tcBorders>
            <w:vAlign w:val="center"/>
          </w:tcPr>
          <w:p w14:paraId="2A72EB62">
            <w:pPr>
              <w:snapToGrid w:val="0"/>
              <w:jc w:val="center"/>
              <w:rPr>
                <w:rFonts w:hint="eastAsia" w:ascii="宋体" w:hAnsi="宋体" w:eastAsia="宋体" w:cs="宋体"/>
                <w:snapToGrid w:val="0"/>
                <w:color w:val="auto"/>
                <w:lang w:eastAsia="zh-CN"/>
              </w:rPr>
            </w:pPr>
            <w:r>
              <w:rPr>
                <w:rFonts w:hint="eastAsia" w:ascii="宋体" w:hAnsi="宋体" w:eastAsia="宋体" w:cs="宋体"/>
                <w:snapToGrid w:val="0"/>
                <w:color w:val="auto"/>
              </w:rPr>
              <w:t>2</w:t>
            </w:r>
            <w:r>
              <w:rPr>
                <w:rFonts w:hint="eastAsia" w:ascii="宋体" w:hAnsi="宋体" w:eastAsia="宋体" w:cs="宋体"/>
                <w:snapToGrid w:val="0"/>
                <w:color w:val="auto"/>
                <w:lang w:val="en-US" w:eastAsia="zh-CN"/>
              </w:rPr>
              <w:t>6</w:t>
            </w:r>
          </w:p>
        </w:tc>
        <w:tc>
          <w:tcPr>
            <w:tcW w:w="1022" w:type="pct"/>
            <w:tcBorders>
              <w:bottom w:val="double" w:color="auto" w:sz="4" w:space="0"/>
            </w:tcBorders>
            <w:vAlign w:val="center"/>
          </w:tcPr>
          <w:p w14:paraId="57D4E4C0">
            <w:pPr>
              <w:snapToGrid w:val="0"/>
              <w:jc w:val="center"/>
              <w:rPr>
                <w:rFonts w:hint="eastAsia" w:ascii="宋体" w:hAnsi="宋体" w:eastAsia="宋体" w:cs="宋体"/>
                <w:color w:val="auto"/>
              </w:rPr>
            </w:pPr>
            <w:r>
              <w:rPr>
                <w:rFonts w:hint="eastAsia" w:ascii="宋体" w:hAnsi="宋体" w:eastAsia="宋体" w:cs="宋体"/>
                <w:color w:val="auto"/>
              </w:rPr>
              <w:t>其他</w:t>
            </w:r>
          </w:p>
        </w:tc>
        <w:tc>
          <w:tcPr>
            <w:tcW w:w="3609" w:type="pct"/>
            <w:tcBorders>
              <w:bottom w:val="double" w:color="auto" w:sz="4" w:space="0"/>
            </w:tcBorders>
            <w:vAlign w:val="center"/>
          </w:tcPr>
          <w:p w14:paraId="67F0C4D9">
            <w:pPr>
              <w:ind w:firstLine="400" w:firstLineChars="200"/>
              <w:rPr>
                <w:rFonts w:hint="eastAsia" w:ascii="宋体" w:hAnsi="宋体" w:eastAsia="宋体" w:cs="宋体"/>
                <w:color w:val="auto"/>
              </w:rPr>
            </w:pPr>
            <w:r>
              <w:rPr>
                <w:rFonts w:hint="eastAsia" w:ascii="宋体" w:hAnsi="宋体" w:eastAsia="宋体" w:cs="宋体"/>
                <w:color w:val="auto"/>
              </w:rPr>
              <w:t>1、本磋商文件要求提供的身份证复印件皆需提供正反面，否则按不提供处理。</w:t>
            </w:r>
          </w:p>
          <w:p w14:paraId="2E1F74EA">
            <w:pPr>
              <w:ind w:firstLine="400" w:firstLineChars="200"/>
              <w:rPr>
                <w:rFonts w:hint="eastAsia" w:ascii="宋体" w:hAnsi="宋体" w:eastAsia="宋体" w:cs="宋体"/>
                <w:b/>
                <w:bCs/>
                <w:color w:val="auto"/>
              </w:rPr>
            </w:pPr>
            <w:r>
              <w:rPr>
                <w:rFonts w:hint="eastAsia" w:ascii="宋体" w:hAnsi="宋体" w:eastAsia="宋体" w:cs="宋体"/>
                <w:color w:val="auto"/>
              </w:rPr>
              <w:t>2、本项目货物如涉及柴油动力移动源，柴油动力移动源应当符合低排放要求。</w:t>
            </w:r>
          </w:p>
        </w:tc>
      </w:tr>
    </w:tbl>
    <w:p w14:paraId="52090D7D">
      <w:pPr>
        <w:pStyle w:val="6"/>
        <w:spacing w:line="360" w:lineRule="auto"/>
        <w:rPr>
          <w:rFonts w:hint="eastAsia" w:ascii="宋体" w:hAnsi="宋体" w:eastAsia="宋体" w:cs="宋体"/>
          <w:color w:val="auto"/>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sz w:val="24"/>
          <w:szCs w:val="24"/>
        </w:rPr>
        <w:t>注：以上内容如有变化将另行通知。如通知其中某一内容发生变化，其余未提及的将不作变动。</w:t>
      </w:r>
    </w:p>
    <w:p w14:paraId="21C0AF23">
      <w:pPr>
        <w:pStyle w:val="5"/>
        <w:numPr>
          <w:ilvl w:val="0"/>
          <w:numId w:val="9"/>
        </w:numPr>
        <w:jc w:val="center"/>
        <w:rPr>
          <w:rFonts w:hint="eastAsia" w:ascii="宋体" w:hAnsi="宋体" w:eastAsia="宋体" w:cs="宋体"/>
          <w:color w:val="auto"/>
        </w:rPr>
      </w:pPr>
      <w:r>
        <w:rPr>
          <w:rFonts w:hint="eastAsia" w:ascii="宋体" w:hAnsi="宋体" w:eastAsia="宋体" w:cs="宋体"/>
          <w:color w:val="auto"/>
        </w:rPr>
        <w:t xml:space="preserve"> </w:t>
      </w:r>
      <w:bookmarkStart w:id="10" w:name="_Toc25187"/>
      <w:bookmarkStart w:id="11" w:name="_Toc24554"/>
      <w:r>
        <w:rPr>
          <w:rFonts w:hint="eastAsia" w:ascii="宋体" w:hAnsi="宋体" w:eastAsia="宋体" w:cs="宋体"/>
          <w:color w:val="auto"/>
        </w:rPr>
        <w:t>总则</w:t>
      </w:r>
      <w:bookmarkEnd w:id="10"/>
      <w:bookmarkEnd w:id="11"/>
    </w:p>
    <w:p w14:paraId="10239BAB">
      <w:pPr>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本次招标工作是按照《中华人民共和国政府采购法》、《中华人民共和国政府采购法实施条例》《政府采购竞争性磋商采购方式管理暂行办法》等相关法律、组织和实施，并由政府采购管理部门指导和监督。</w:t>
      </w:r>
    </w:p>
    <w:p w14:paraId="5052C4EA">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1、适用范围</w:t>
      </w:r>
    </w:p>
    <w:p w14:paraId="6FCCED57">
      <w:pPr>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1.1本次磋商工作仅适用于</w:t>
      </w:r>
      <w:r>
        <w:rPr>
          <w:rFonts w:hint="eastAsia" w:ascii="宋体" w:hAnsi="宋体" w:eastAsia="宋体" w:cs="宋体"/>
          <w:color w:val="auto"/>
          <w:sz w:val="24"/>
          <w:szCs w:val="24"/>
          <w:u w:val="single"/>
          <w:lang w:eastAsia="zh-CN"/>
        </w:rPr>
        <w:t>省控地下水点位规范化建设项目</w:t>
      </w:r>
      <w:r>
        <w:rPr>
          <w:rFonts w:hint="eastAsia" w:ascii="宋体" w:hAnsi="宋体" w:eastAsia="宋体" w:cs="宋体"/>
          <w:color w:val="auto"/>
          <w:sz w:val="24"/>
          <w:szCs w:val="24"/>
        </w:rPr>
        <w:t>。</w:t>
      </w:r>
    </w:p>
    <w:p w14:paraId="6883E263">
      <w:pPr>
        <w:pStyle w:val="26"/>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1.2本项目采购方式采用竞争性磋商方式。</w:t>
      </w:r>
    </w:p>
    <w:p w14:paraId="0C77ACE5">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2、定义</w:t>
      </w:r>
    </w:p>
    <w:p w14:paraId="696F9809">
      <w:pPr>
        <w:spacing w:line="336"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zh-CN"/>
        </w:rPr>
        <w:t>采购人”系指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绍兴市生态环境局上虞分局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。采购人委托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绍兴成言工程咨询管理有限公司</w:t>
      </w:r>
      <w:r>
        <w:rPr>
          <w:rFonts w:hint="eastAsia" w:ascii="宋体" w:hAnsi="宋体" w:eastAsia="宋体" w:cs="宋体"/>
          <w:color w:val="auto"/>
          <w:sz w:val="24"/>
          <w:szCs w:val="24"/>
        </w:rPr>
        <w:t>为本项目采购代理机构。</w:t>
      </w:r>
    </w:p>
    <w:p w14:paraId="587F86CF">
      <w:pPr>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2.2“磋商供应商”系指响应本次采购，参加本次竞争性磋商的供应商。</w:t>
      </w:r>
    </w:p>
    <w:p w14:paraId="5DE62178">
      <w:pPr>
        <w:spacing w:line="336"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rPr>
        <w:t>2.3</w:t>
      </w:r>
      <w:r>
        <w:rPr>
          <w:rFonts w:hint="eastAsia" w:ascii="宋体" w:hAnsi="宋体" w:eastAsia="宋体" w:cs="宋体"/>
          <w:color w:val="auto"/>
          <w:sz w:val="24"/>
          <w:szCs w:val="24"/>
          <w:lang w:val="zh-CN"/>
        </w:rPr>
        <w:t>“服务”系指</w:t>
      </w:r>
      <w:r>
        <w:rPr>
          <w:rFonts w:hint="eastAsia" w:ascii="宋体" w:hAnsi="宋体" w:eastAsia="宋体" w:cs="宋体"/>
          <w:color w:val="auto"/>
          <w:sz w:val="24"/>
          <w:szCs w:val="24"/>
        </w:rPr>
        <w:t>磋商供应商按合同规定，须承担的服务的义务</w:t>
      </w:r>
      <w:r>
        <w:rPr>
          <w:rFonts w:hint="eastAsia" w:ascii="宋体" w:hAnsi="宋体" w:eastAsia="宋体" w:cs="宋体"/>
          <w:color w:val="auto"/>
          <w:sz w:val="24"/>
          <w:szCs w:val="24"/>
          <w:lang w:val="zh-CN"/>
        </w:rPr>
        <w:t>。</w:t>
      </w:r>
    </w:p>
    <w:p w14:paraId="62408B3A">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3、采购项目概况</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tab/>
      </w:r>
    </w:p>
    <w:p w14:paraId="186C5DD0">
      <w:pPr>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详见竞争性磋商公告相关内容，主要要求参见本文件第</w:t>
      </w:r>
      <w:r>
        <w:rPr>
          <w:rFonts w:hint="eastAsia" w:ascii="宋体" w:hAnsi="宋体" w:eastAsia="宋体" w:cs="宋体"/>
          <w:color w:val="auto"/>
          <w:sz w:val="24"/>
          <w:szCs w:val="24"/>
          <w:u w:val="single"/>
        </w:rPr>
        <w:t xml:space="preserve"> 三 </w:t>
      </w:r>
      <w:r>
        <w:rPr>
          <w:rFonts w:hint="eastAsia" w:ascii="宋体" w:hAnsi="宋体" w:eastAsia="宋体" w:cs="宋体"/>
          <w:color w:val="auto"/>
          <w:sz w:val="24"/>
          <w:szCs w:val="24"/>
        </w:rPr>
        <w:t>部分。</w:t>
      </w:r>
    </w:p>
    <w:p w14:paraId="2187F60B">
      <w:pPr>
        <w:adjustRightInd w:val="0"/>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4、合格的磋商供应商</w:t>
      </w:r>
    </w:p>
    <w:p w14:paraId="1ED64059">
      <w:pPr>
        <w:spacing w:line="336" w:lineRule="auto"/>
        <w:ind w:firstLine="480" w:firstLineChars="200"/>
        <w:rPr>
          <w:rFonts w:hint="eastAsia" w:ascii="宋体" w:hAnsi="宋体" w:eastAsia="宋体" w:cs="宋体"/>
          <w:color w:val="auto"/>
          <w:sz w:val="24"/>
          <w:szCs w:val="24"/>
        </w:rPr>
      </w:pPr>
      <w:bookmarkStart w:id="12" w:name="_Toc197163261"/>
      <w:bookmarkStart w:id="13" w:name="_Toc197053926"/>
      <w:bookmarkStart w:id="14" w:name="_Toc208287611"/>
      <w:bookmarkStart w:id="15" w:name="_Toc211412066"/>
      <w:bookmarkStart w:id="16" w:name="_Toc193523219"/>
      <w:bookmarkStart w:id="17" w:name="_Toc209520993"/>
      <w:bookmarkStart w:id="18" w:name="_Toc193538208"/>
      <w:bookmarkStart w:id="19" w:name="_Toc204683265"/>
      <w:bookmarkStart w:id="20" w:name="_Toc197657950"/>
      <w:bookmarkStart w:id="21" w:name="_Toc209435242"/>
      <w:bookmarkStart w:id="22" w:name="_Toc209504018"/>
      <w:bookmarkStart w:id="23" w:name="_Toc197156227"/>
      <w:bookmarkStart w:id="24" w:name="_Toc207946571"/>
      <w:bookmarkStart w:id="25" w:name="_Toc208913145"/>
      <w:r>
        <w:rPr>
          <w:rFonts w:hint="eastAsia" w:ascii="宋体" w:hAnsi="宋体" w:eastAsia="宋体" w:cs="宋体"/>
          <w:color w:val="auto"/>
          <w:sz w:val="24"/>
          <w:szCs w:val="24"/>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6DEC961">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5、磋商费用</w:t>
      </w:r>
    </w:p>
    <w:p w14:paraId="18548A35">
      <w:pPr>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磋商供应商应承担其参加磋商所涉及的一切费用，不管结果如何，采购人对上述费用不负任何责任。</w:t>
      </w:r>
    </w:p>
    <w:p w14:paraId="7689BF46">
      <w:pPr>
        <w:pStyle w:val="5"/>
        <w:numPr>
          <w:ilvl w:val="0"/>
          <w:numId w:val="9"/>
        </w:numPr>
        <w:jc w:val="center"/>
        <w:rPr>
          <w:rFonts w:hint="eastAsia" w:ascii="宋体" w:hAnsi="宋体" w:eastAsia="宋体" w:cs="宋体"/>
          <w:color w:val="auto"/>
        </w:rPr>
      </w:pPr>
      <w:bookmarkStart w:id="26" w:name="_Toc416992151"/>
      <w:bookmarkStart w:id="27" w:name="_Toc32689"/>
      <w:bookmarkStart w:id="28" w:name="_Toc25923"/>
      <w:r>
        <w:rPr>
          <w:rFonts w:hint="eastAsia" w:ascii="宋体" w:hAnsi="宋体" w:eastAsia="宋体" w:cs="宋体"/>
          <w:color w:val="auto"/>
        </w:rPr>
        <w:t xml:space="preserve"> </w:t>
      </w:r>
      <w:bookmarkStart w:id="29" w:name="_Toc187"/>
      <w:bookmarkStart w:id="30" w:name="_Toc11814"/>
      <w:r>
        <w:rPr>
          <w:rFonts w:hint="eastAsia" w:ascii="宋体" w:hAnsi="宋体" w:eastAsia="宋体" w:cs="宋体"/>
          <w:color w:val="auto"/>
        </w:rPr>
        <w:t>竞争性磋商文件</w:t>
      </w:r>
      <w:bookmarkEnd w:id="26"/>
      <w:bookmarkEnd w:id="27"/>
      <w:bookmarkEnd w:id="28"/>
      <w:bookmarkEnd w:id="29"/>
      <w:bookmarkEnd w:id="30"/>
    </w:p>
    <w:p w14:paraId="4A07AD34">
      <w:pPr>
        <w:adjustRightInd w:val="0"/>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6、磋商文件的组成</w:t>
      </w:r>
    </w:p>
    <w:p w14:paraId="360BFBAC">
      <w:pPr>
        <w:adjustRightIn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6.1本磋商文件包括目录所示内容及所有按本须知发出的补充资料（如果有）。</w:t>
      </w:r>
    </w:p>
    <w:p w14:paraId="208A9527">
      <w:pPr>
        <w:adjustRightIn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6.2除上述所列内容外，采购人及采购代理机构的任何工作人员对磋商供应商所作的任何口头解释、介绍、答复，只能供磋商供应商参考，对采购人和磋商供应商无任何约束力。</w:t>
      </w:r>
    </w:p>
    <w:p w14:paraId="254108AE">
      <w:pPr>
        <w:adjustRightIn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6.3磋商供应商应仔细阅读磋商文件的所有内容，按照文件要求提交响应文件，并保证所提交的全部资料的真实性。不按磋商文件的要求提供的响应文件和资料，可能导致磋商被拒绝。</w:t>
      </w:r>
    </w:p>
    <w:p w14:paraId="2C9CD71B">
      <w:pPr>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10902E57">
      <w:pPr>
        <w:adjustRightInd w:val="0"/>
        <w:spacing w:line="336" w:lineRule="auto"/>
        <w:ind w:firstLine="472"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7、磋商文件的澄清与修改</w:t>
      </w:r>
    </w:p>
    <w:p w14:paraId="786CBC6E">
      <w:pPr>
        <w:pStyle w:val="13"/>
        <w:spacing w:line="336" w:lineRule="auto"/>
        <w:ind w:firstLine="480" w:firstLineChars="200"/>
        <w:rPr>
          <w:rFonts w:hint="eastAsia" w:ascii="宋体" w:hAnsi="宋体" w:eastAsia="宋体" w:cs="宋体"/>
          <w:color w:val="auto"/>
        </w:rPr>
      </w:pPr>
      <w:r>
        <w:rPr>
          <w:rFonts w:hint="eastAsia" w:ascii="宋体" w:hAnsi="宋体" w:eastAsia="宋体" w:cs="宋体"/>
          <w:color w:val="auto"/>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62EA3B68">
      <w:pPr>
        <w:pStyle w:val="13"/>
        <w:spacing w:line="336" w:lineRule="auto"/>
        <w:ind w:right="-240" w:rightChars="-120" w:firstLine="480" w:firstLineChars="200"/>
        <w:rPr>
          <w:rFonts w:hint="eastAsia" w:ascii="宋体" w:hAnsi="宋体" w:eastAsia="宋体" w:cs="宋体"/>
          <w:color w:val="auto"/>
        </w:rPr>
      </w:pPr>
      <w:r>
        <w:rPr>
          <w:rFonts w:hint="eastAsia" w:ascii="宋体" w:hAnsi="宋体" w:eastAsia="宋体" w:cs="宋体"/>
          <w:color w:val="auto"/>
        </w:rPr>
        <w:t>7.2磋商供应商要求解释或澄清的问题应以书面形式，并加盖公章、写明日期。</w:t>
      </w:r>
    </w:p>
    <w:p w14:paraId="45E27CF4">
      <w:pPr>
        <w:adjustRightIn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7.3提交响应文件截止之日前，采购人、采购代理机构或者磋商小组可以对已发出的磋商文件进行必要的澄清或者修改，澄清或者修改的内容作为磋商文件的组成部分。</w:t>
      </w:r>
    </w:p>
    <w:p w14:paraId="56F4CD4D">
      <w:pPr>
        <w:adjustRightIn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7.4竞争性磋商文件的澄清修改文件及更正补充公告，请自行登录浙江政府采购网或绍兴市上虞区公共资源交易中心网站，在采购公告页面中下载。</w:t>
      </w:r>
    </w:p>
    <w:p w14:paraId="428B6071">
      <w:pPr>
        <w:adjustRightIn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14:paraId="2C4E2E8B">
      <w:pPr>
        <w:adjustRightIn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7.6竞争性磋商文件澄清、答复、修改、补充的内容为竞争性磋商文件的组成部分。</w:t>
      </w:r>
    </w:p>
    <w:p w14:paraId="7DC78613">
      <w:pPr>
        <w:pStyle w:val="6"/>
        <w:spacing w:line="336" w:lineRule="auto"/>
        <w:rPr>
          <w:rFonts w:hint="eastAsia" w:ascii="宋体" w:hAnsi="宋体" w:eastAsia="宋体" w:cs="宋体"/>
          <w:color w:val="auto"/>
          <w:sz w:val="24"/>
          <w:szCs w:val="24"/>
        </w:rPr>
      </w:pPr>
      <w:r>
        <w:rPr>
          <w:rFonts w:hint="eastAsia" w:ascii="宋体" w:hAnsi="宋体" w:eastAsia="宋体" w:cs="宋体"/>
          <w:color w:val="auto"/>
          <w:sz w:val="24"/>
          <w:szCs w:val="24"/>
        </w:rPr>
        <w:t>7.7磋商文件发售截止日后，经采购人同意后购买磋商文件的磋商供应商不得对磋商文件和补充文件提出答疑或质疑。</w:t>
      </w:r>
    </w:p>
    <w:p w14:paraId="7E8359D6">
      <w:pPr>
        <w:pStyle w:val="5"/>
        <w:numPr>
          <w:ilvl w:val="0"/>
          <w:numId w:val="9"/>
        </w:numPr>
        <w:jc w:val="center"/>
        <w:rPr>
          <w:rFonts w:hint="eastAsia" w:ascii="宋体" w:hAnsi="宋体" w:eastAsia="宋体" w:cs="宋体"/>
          <w:color w:val="auto"/>
        </w:rPr>
      </w:pPr>
      <w:bookmarkStart w:id="31" w:name="_Toc14650"/>
      <w:bookmarkStart w:id="32" w:name="_Toc23975"/>
      <w:bookmarkStart w:id="33" w:name="_Toc6457"/>
      <w:bookmarkStart w:id="34" w:name="_Toc6079"/>
      <w:bookmarkStart w:id="35" w:name="_Toc26603"/>
      <w:bookmarkStart w:id="36" w:name="_Toc10810"/>
      <w:bookmarkStart w:id="37" w:name="_Toc31748"/>
      <w:bookmarkStart w:id="38" w:name="_Toc7126"/>
      <w:bookmarkStart w:id="39" w:name="_Toc1828"/>
      <w:bookmarkStart w:id="40" w:name="_Toc23135"/>
      <w:bookmarkStart w:id="41" w:name="_Toc1729"/>
      <w:bookmarkStart w:id="42" w:name="_Toc11669"/>
      <w:bookmarkStart w:id="43" w:name="_Toc26027"/>
      <w:bookmarkStart w:id="44" w:name="_Toc10669"/>
      <w:bookmarkStart w:id="45" w:name="_Toc6273"/>
      <w:bookmarkStart w:id="46" w:name="_Toc11692"/>
      <w:bookmarkStart w:id="47" w:name="_Toc18702"/>
      <w:bookmarkStart w:id="48" w:name="_Toc8860"/>
      <w:bookmarkStart w:id="49" w:name="_Toc1202"/>
      <w:bookmarkStart w:id="50" w:name="_Toc24622"/>
      <w:bookmarkStart w:id="51" w:name="_Toc11093"/>
      <w:bookmarkStart w:id="52" w:name="_Toc391298957"/>
      <w:r>
        <w:rPr>
          <w:rFonts w:hint="eastAsia" w:ascii="宋体" w:hAnsi="宋体" w:eastAsia="宋体" w:cs="宋体"/>
          <w:color w:val="auto"/>
        </w:rPr>
        <w:t xml:space="preserve"> </w:t>
      </w:r>
      <w:bookmarkStart w:id="53" w:name="_Toc11515"/>
      <w:bookmarkStart w:id="54" w:name="_Toc27018"/>
      <w:r>
        <w:rPr>
          <w:rFonts w:hint="eastAsia" w:ascii="宋体" w:hAnsi="宋体" w:eastAsia="宋体" w:cs="宋体"/>
          <w:color w:val="auto"/>
        </w:rPr>
        <w:tab/>
      </w:r>
      <w:r>
        <w:rPr>
          <w:rFonts w:hint="eastAsia" w:ascii="宋体" w:hAnsi="宋体" w:eastAsia="宋体" w:cs="宋体"/>
          <w:color w:val="auto"/>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8E54A49">
      <w:pPr>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8、要求</w:t>
      </w:r>
    </w:p>
    <w:p w14:paraId="3B5223A8">
      <w:pPr>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0E2BA374">
      <w:pPr>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8.2报价</w:t>
      </w:r>
    </w:p>
    <w:p w14:paraId="0E0DED19">
      <w:pPr>
        <w:spacing w:line="336" w:lineRule="auto"/>
        <w:ind w:firstLine="480" w:firstLineChars="200"/>
        <w:rPr>
          <w:rFonts w:hint="eastAsia" w:ascii="宋体" w:hAnsi="宋体" w:eastAsia="宋体" w:cs="宋体"/>
          <w:b/>
          <w:bCs/>
          <w:color w:val="auto"/>
          <w:sz w:val="24"/>
          <w:szCs w:val="24"/>
          <w:shd w:val="clear" w:color="FFFFFF" w:fill="D9D9D9"/>
        </w:rPr>
      </w:pPr>
      <w:r>
        <w:rPr>
          <w:rFonts w:hint="eastAsia" w:ascii="宋体" w:hAnsi="宋体" w:eastAsia="宋体" w:cs="宋体"/>
          <w:color w:val="auto"/>
          <w:sz w:val="24"/>
          <w:szCs w:val="24"/>
        </w:rPr>
        <w:t>8.2.1本次报价非一次性报价，报价币种为人民币。在磋商后根据磋商情况（包括细化采购方案和要求，增补部分采购内容等），供应商须二次报价（最终报价），</w:t>
      </w:r>
      <w:r>
        <w:rPr>
          <w:rFonts w:hint="eastAsia" w:ascii="宋体" w:hAnsi="宋体" w:eastAsia="宋体" w:cs="宋体"/>
          <w:b/>
          <w:bCs/>
          <w:color w:val="auto"/>
          <w:sz w:val="24"/>
          <w:szCs w:val="24"/>
        </w:rPr>
        <w:t>如果供应商在规定时间30分钟内未提交第二次报价，视该供应商放弃本次投标，作无效标处理</w:t>
      </w:r>
      <w:r>
        <w:rPr>
          <w:rFonts w:hint="eastAsia" w:ascii="宋体" w:hAnsi="宋体" w:eastAsia="宋体" w:cs="宋体"/>
          <w:color w:val="auto"/>
          <w:sz w:val="24"/>
          <w:szCs w:val="24"/>
        </w:rPr>
        <w:t>。</w:t>
      </w:r>
    </w:p>
    <w:p w14:paraId="428FA93F">
      <w:pPr>
        <w:pStyle w:val="56"/>
        <w:tabs>
          <w:tab w:val="left" w:pos="0"/>
        </w:tabs>
        <w:spacing w:before="0" w:line="336" w:lineRule="auto"/>
        <w:ind w:firstLine="480"/>
        <w:rPr>
          <w:rFonts w:hint="eastAsia" w:ascii="宋体" w:hAnsi="宋体" w:eastAsia="宋体" w:cs="宋体"/>
          <w:color w:val="auto"/>
          <w:u w:val="single"/>
        </w:rPr>
      </w:pPr>
      <w:r>
        <w:rPr>
          <w:rFonts w:hint="eastAsia" w:ascii="宋体" w:hAnsi="宋体" w:eastAsia="宋体" w:cs="宋体"/>
          <w:color w:val="auto"/>
        </w:rPr>
        <w:t>8.2.2</w:t>
      </w:r>
      <w:r>
        <w:rPr>
          <w:rFonts w:hint="eastAsia" w:ascii="宋体" w:hAnsi="宋体" w:eastAsia="宋体" w:cs="宋体"/>
          <w:b/>
          <w:bCs/>
          <w:color w:val="auto"/>
        </w:rPr>
        <w:t>本次报价应该是含完成本项目所需的所有费用，如以后已实施而未列入报价的费用将被视为投标人优惠，采购人均不予支付。</w:t>
      </w:r>
      <w:r>
        <w:rPr>
          <w:rFonts w:hint="eastAsia" w:ascii="宋体" w:hAnsi="宋体" w:eastAsia="宋体" w:cs="宋体"/>
          <w:color w:val="auto"/>
        </w:rPr>
        <w:t>投标报价为供应商所能承受的最低、最终报价，供应商不得再要求追加任何费用。</w:t>
      </w:r>
    </w:p>
    <w:p w14:paraId="11D58A43">
      <w:pPr>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投标报价固定是指供应商所填写的投标报价在合同实施期间不因市场因素而变动，供应商在计算报价时可考虑一定的风险系数（由供应商自行考虑）。</w:t>
      </w:r>
    </w:p>
    <w:p w14:paraId="7CCC9682">
      <w:pPr>
        <w:spacing w:line="336"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8.2.3供应商的报价作为供应商计算单价或总价的依据，</w:t>
      </w:r>
      <w:r>
        <w:rPr>
          <w:rFonts w:hint="eastAsia" w:ascii="宋体" w:hAnsi="宋体" w:eastAsia="宋体" w:cs="宋体"/>
          <w:color w:val="auto"/>
          <w:sz w:val="24"/>
          <w:szCs w:val="24"/>
          <w:lang w:eastAsia="zh-CN"/>
        </w:rPr>
        <w:t>应</w:t>
      </w:r>
      <w:r>
        <w:rPr>
          <w:rFonts w:hint="eastAsia" w:ascii="宋体" w:hAnsi="宋体" w:eastAsia="宋体" w:cs="宋体"/>
          <w:color w:val="auto"/>
          <w:sz w:val="24"/>
          <w:szCs w:val="24"/>
        </w:rPr>
        <w:t>完成技术文件中的所有要求，不得以任何理由予以重复，供应商对报价若有说明应在报价一览表备注处注明。任何有选择的报价方案及价格将不予接受。</w:t>
      </w:r>
    </w:p>
    <w:p w14:paraId="07070737">
      <w:pPr>
        <w:pStyle w:val="15"/>
        <w:spacing w:line="336" w:lineRule="auto"/>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9、响应文件的组成</w:t>
      </w:r>
      <w:r>
        <w:rPr>
          <w:rFonts w:hint="eastAsia" w:ascii="宋体" w:hAnsi="宋体" w:eastAsia="宋体" w:cs="宋体"/>
          <w:b/>
          <w:bCs/>
          <w:color w:val="auto"/>
          <w:sz w:val="24"/>
          <w:szCs w:val="24"/>
          <w:u w:val="single"/>
        </w:rPr>
        <w:t>（供应商应根据采购文件的要求提供相应的内容且设置关联定位，供应商可查看《供应商-政府采购项目电子交易操作指南》进行操作：https://help.zcygov.cn/web/site_2/2018/12-28/2573.html）</w:t>
      </w:r>
    </w:p>
    <w:p w14:paraId="52DAF583">
      <w:pPr>
        <w:pStyle w:val="56"/>
        <w:tabs>
          <w:tab w:val="left" w:pos="0"/>
        </w:tabs>
        <w:spacing w:before="0" w:line="336" w:lineRule="auto"/>
        <w:ind w:firstLine="480"/>
        <w:rPr>
          <w:rFonts w:hint="eastAsia" w:ascii="宋体" w:hAnsi="宋体" w:eastAsia="宋体" w:cs="宋体"/>
          <w:color w:val="auto"/>
        </w:rPr>
      </w:pPr>
      <w:r>
        <w:rPr>
          <w:rFonts w:hint="eastAsia" w:ascii="宋体" w:hAnsi="宋体" w:eastAsia="宋体" w:cs="宋体"/>
          <w:color w:val="auto"/>
        </w:rPr>
        <w:t>响应文件应当包括以下主要内容：资格文件、商务技术文件、报价文件。</w:t>
      </w:r>
    </w:p>
    <w:p w14:paraId="7CDA363A">
      <w:pPr>
        <w:pStyle w:val="56"/>
        <w:numPr>
          <w:ilvl w:val="0"/>
          <w:numId w:val="10"/>
        </w:numPr>
        <w:spacing w:before="0" w:line="336" w:lineRule="auto"/>
        <w:ind w:firstLine="480"/>
        <w:rPr>
          <w:rFonts w:hint="eastAsia" w:ascii="宋体" w:hAnsi="宋体" w:eastAsia="宋体" w:cs="宋体"/>
          <w:color w:val="auto"/>
        </w:rPr>
      </w:pPr>
      <w:r>
        <w:rPr>
          <w:rFonts w:hint="eastAsia" w:ascii="宋体" w:hAnsi="宋体" w:eastAsia="宋体" w:cs="宋体"/>
          <w:color w:val="auto"/>
        </w:rPr>
        <w:t>资格文件包括以下内容：</w:t>
      </w:r>
    </w:p>
    <w:p w14:paraId="2D50910C">
      <w:pPr>
        <w:pStyle w:val="56"/>
        <w:numPr>
          <w:ilvl w:val="0"/>
          <w:numId w:val="11"/>
        </w:numPr>
        <w:spacing w:before="0" w:line="336" w:lineRule="auto"/>
        <w:ind w:firstLine="480"/>
        <w:rPr>
          <w:rFonts w:hint="eastAsia" w:ascii="宋体" w:hAnsi="宋体" w:eastAsia="宋体" w:cs="宋体"/>
          <w:color w:val="auto"/>
        </w:rPr>
      </w:pPr>
      <w:r>
        <w:rPr>
          <w:rFonts w:hint="eastAsia" w:ascii="宋体" w:hAnsi="宋体" w:eastAsia="宋体" w:cs="宋体"/>
          <w:color w:val="auto"/>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4C0114C5">
      <w:pPr>
        <w:pStyle w:val="56"/>
        <w:numPr>
          <w:ilvl w:val="0"/>
          <w:numId w:val="11"/>
        </w:numPr>
        <w:spacing w:before="0" w:line="336" w:lineRule="auto"/>
        <w:ind w:firstLine="480"/>
        <w:rPr>
          <w:rFonts w:hint="eastAsia" w:ascii="宋体" w:hAnsi="宋体" w:eastAsia="宋体" w:cs="宋体"/>
          <w:color w:val="auto"/>
        </w:rPr>
      </w:pPr>
      <w:r>
        <w:rPr>
          <w:rFonts w:hint="eastAsia" w:ascii="宋体" w:hAnsi="宋体" w:eastAsia="宋体" w:cs="宋体"/>
          <w:color w:val="auto"/>
        </w:rPr>
        <w:t>投标人承诺函；（格式见附件）</w:t>
      </w:r>
    </w:p>
    <w:p w14:paraId="092314D5">
      <w:pPr>
        <w:pStyle w:val="56"/>
        <w:numPr>
          <w:ilvl w:val="0"/>
          <w:numId w:val="11"/>
        </w:numPr>
        <w:spacing w:before="0" w:line="336" w:lineRule="auto"/>
        <w:ind w:firstLine="480"/>
        <w:rPr>
          <w:rFonts w:hint="eastAsia" w:ascii="宋体" w:hAnsi="宋体" w:eastAsia="宋体" w:cs="宋体"/>
          <w:color w:val="auto"/>
        </w:rPr>
      </w:pPr>
      <w:r>
        <w:rPr>
          <w:rFonts w:hint="eastAsia" w:ascii="宋体" w:hAnsi="宋体" w:eastAsia="宋体" w:cs="宋体"/>
          <w:color w:val="auto"/>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14:paraId="1DD06652">
      <w:pPr>
        <w:pStyle w:val="56"/>
        <w:numPr>
          <w:ilvl w:val="0"/>
          <w:numId w:val="0"/>
        </w:numPr>
        <w:spacing w:before="0" w:line="336" w:lineRule="auto"/>
        <w:ind w:firstLine="480" w:firstLineChars="200"/>
        <w:rPr>
          <w:rFonts w:hint="eastAsia" w:ascii="宋体" w:hAnsi="宋体" w:eastAsia="宋体" w:cs="宋体"/>
          <w:color w:val="auto"/>
        </w:rPr>
      </w:pPr>
      <w:r>
        <w:rPr>
          <w:rFonts w:hint="eastAsia" w:ascii="宋体" w:hAnsi="宋体" w:eastAsia="宋体" w:cs="宋体"/>
          <w:color w:val="auto"/>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谈判响应文件中提供相关材料），证明其具备实际承担责任的能力和法定的缔结合同能力，可以独立参加政府采购活动，由单位负责人签署相关文件材料；前一年度资产负债表等财务报表资料文件；(新成立的公司，必须提供情况说明)</w:t>
      </w:r>
    </w:p>
    <w:p w14:paraId="49856EF9">
      <w:pPr>
        <w:pStyle w:val="56"/>
        <w:numPr>
          <w:ilvl w:val="0"/>
          <w:numId w:val="11"/>
        </w:numPr>
        <w:spacing w:before="0" w:line="336" w:lineRule="auto"/>
        <w:ind w:firstLine="480"/>
        <w:rPr>
          <w:rFonts w:hint="eastAsia" w:ascii="宋体" w:hAnsi="宋体" w:eastAsia="宋体" w:cs="宋体"/>
          <w:color w:val="auto"/>
        </w:rPr>
      </w:pPr>
      <w:r>
        <w:rPr>
          <w:rFonts w:hint="eastAsia" w:ascii="宋体" w:hAnsi="宋体" w:eastAsia="宋体" w:cs="宋体"/>
          <w:color w:val="auto"/>
        </w:rPr>
        <w:t>具有履行合同所必需的产品和专业技术能力的承诺函；</w:t>
      </w:r>
    </w:p>
    <w:p w14:paraId="06C5403B">
      <w:pPr>
        <w:pStyle w:val="56"/>
        <w:numPr>
          <w:ilvl w:val="0"/>
          <w:numId w:val="10"/>
        </w:numPr>
        <w:spacing w:before="0" w:line="336" w:lineRule="auto"/>
        <w:ind w:firstLine="480"/>
        <w:rPr>
          <w:rFonts w:hint="eastAsia" w:ascii="宋体" w:hAnsi="宋体" w:eastAsia="宋体" w:cs="宋体"/>
          <w:color w:val="auto"/>
        </w:rPr>
      </w:pPr>
      <w:r>
        <w:rPr>
          <w:rFonts w:hint="eastAsia" w:ascii="宋体" w:hAnsi="宋体" w:eastAsia="宋体" w:cs="宋体"/>
          <w:color w:val="auto"/>
        </w:rPr>
        <w:t>商务技术文件，本次磋商需要供应商提供以下项所列的技术文件：</w:t>
      </w:r>
    </w:p>
    <w:p w14:paraId="0B0C6AA4">
      <w:pPr>
        <w:pStyle w:val="56"/>
        <w:numPr>
          <w:ilvl w:val="0"/>
          <w:numId w:val="12"/>
        </w:numPr>
        <w:spacing w:before="0" w:line="336" w:lineRule="auto"/>
        <w:ind w:firstLine="480"/>
        <w:rPr>
          <w:rFonts w:hint="eastAsia" w:ascii="宋体" w:hAnsi="宋体" w:eastAsia="宋体" w:cs="宋体"/>
          <w:color w:val="auto"/>
        </w:rPr>
      </w:pPr>
      <w:r>
        <w:rPr>
          <w:rFonts w:hint="eastAsia" w:ascii="宋体" w:hAnsi="宋体" w:eastAsia="宋体" w:cs="宋体"/>
          <w:color w:val="auto"/>
        </w:rPr>
        <w:t>评分对应表（格式见附件，主要用于评委对应评分内容）</w:t>
      </w:r>
    </w:p>
    <w:p w14:paraId="79229E72">
      <w:pPr>
        <w:pStyle w:val="56"/>
        <w:numPr>
          <w:ilvl w:val="0"/>
          <w:numId w:val="12"/>
        </w:numPr>
        <w:spacing w:before="0" w:line="336" w:lineRule="auto"/>
        <w:ind w:firstLine="480"/>
        <w:rPr>
          <w:rFonts w:hint="eastAsia" w:ascii="宋体" w:hAnsi="宋体" w:eastAsia="宋体" w:cs="宋体"/>
          <w:color w:val="auto"/>
        </w:rPr>
      </w:pPr>
      <w:r>
        <w:rPr>
          <w:rFonts w:hint="eastAsia" w:ascii="宋体" w:hAnsi="宋体" w:eastAsia="宋体" w:cs="宋体"/>
          <w:color w:val="auto"/>
        </w:rPr>
        <w:t>供应商商务技术文件中资信分自评表（格式见附件）；</w:t>
      </w:r>
    </w:p>
    <w:p w14:paraId="55A420B5">
      <w:pPr>
        <w:pStyle w:val="56"/>
        <w:numPr>
          <w:ilvl w:val="0"/>
          <w:numId w:val="12"/>
        </w:numPr>
        <w:spacing w:before="0" w:line="336" w:lineRule="auto"/>
        <w:ind w:firstLine="480"/>
        <w:rPr>
          <w:rFonts w:hint="eastAsia" w:ascii="宋体" w:hAnsi="宋体" w:eastAsia="宋体" w:cs="宋体"/>
          <w:color w:val="auto"/>
        </w:rPr>
      </w:pPr>
      <w:r>
        <w:rPr>
          <w:rFonts w:hint="eastAsia" w:ascii="宋体" w:hAnsi="宋体" w:eastAsia="宋体" w:cs="宋体"/>
          <w:color w:val="auto"/>
        </w:rPr>
        <w:t>磋商项目明细清单（格式见附件）；</w:t>
      </w:r>
    </w:p>
    <w:p w14:paraId="6FA504E8">
      <w:pPr>
        <w:pStyle w:val="56"/>
        <w:numPr>
          <w:ilvl w:val="0"/>
          <w:numId w:val="12"/>
        </w:numPr>
        <w:spacing w:before="0" w:line="336" w:lineRule="auto"/>
        <w:ind w:firstLine="480"/>
        <w:rPr>
          <w:rFonts w:hint="eastAsia" w:ascii="宋体" w:hAnsi="宋体" w:eastAsia="宋体" w:cs="宋体"/>
          <w:color w:val="auto"/>
        </w:rPr>
      </w:pPr>
      <w:r>
        <w:rPr>
          <w:rFonts w:hint="eastAsia" w:ascii="宋体" w:hAnsi="宋体" w:eastAsia="宋体" w:cs="宋体"/>
          <w:color w:val="auto"/>
        </w:rPr>
        <w:t>技术响应及建议表（格式见附件）；</w:t>
      </w:r>
    </w:p>
    <w:p w14:paraId="1364C864">
      <w:pPr>
        <w:pStyle w:val="56"/>
        <w:numPr>
          <w:ilvl w:val="0"/>
          <w:numId w:val="12"/>
        </w:numPr>
        <w:spacing w:before="0" w:line="336" w:lineRule="auto"/>
        <w:ind w:firstLine="480"/>
        <w:rPr>
          <w:rFonts w:hint="eastAsia" w:ascii="宋体" w:hAnsi="宋体" w:eastAsia="宋体" w:cs="宋体"/>
          <w:color w:val="auto"/>
        </w:rPr>
      </w:pPr>
      <w:r>
        <w:rPr>
          <w:rFonts w:hint="eastAsia" w:ascii="宋体" w:hAnsi="宋体" w:eastAsia="宋体" w:cs="宋体"/>
          <w:color w:val="auto"/>
        </w:rPr>
        <w:t>商务响应表（格式见附件）；</w:t>
      </w:r>
    </w:p>
    <w:p w14:paraId="73F6138E">
      <w:pPr>
        <w:pStyle w:val="56"/>
        <w:numPr>
          <w:ilvl w:val="0"/>
          <w:numId w:val="12"/>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拟投入团队</w:t>
      </w:r>
    </w:p>
    <w:p w14:paraId="5FE6C7D3">
      <w:pPr>
        <w:pStyle w:val="56"/>
        <w:numPr>
          <w:ilvl w:val="0"/>
          <w:numId w:val="12"/>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拟投入设备</w:t>
      </w:r>
    </w:p>
    <w:p w14:paraId="4F803991">
      <w:pPr>
        <w:pStyle w:val="56"/>
        <w:numPr>
          <w:ilvl w:val="0"/>
          <w:numId w:val="12"/>
        </w:numPr>
        <w:spacing w:before="0" w:line="336" w:lineRule="auto"/>
        <w:ind w:firstLine="480"/>
        <w:rPr>
          <w:rFonts w:hint="eastAsia" w:ascii="宋体" w:hAnsi="宋体" w:eastAsia="宋体" w:cs="宋体"/>
          <w:color w:val="auto"/>
        </w:rPr>
      </w:pPr>
      <w:r>
        <w:rPr>
          <w:rFonts w:hint="eastAsia" w:ascii="宋体" w:hAnsi="宋体" w:eastAsia="宋体" w:cs="宋体"/>
          <w:color w:val="auto"/>
        </w:rPr>
        <w:t>项目理解</w:t>
      </w:r>
      <w:r>
        <w:rPr>
          <w:rFonts w:hint="eastAsia" w:ascii="宋体" w:hAnsi="宋体" w:eastAsia="宋体" w:cs="宋体"/>
          <w:color w:val="auto"/>
          <w:lang w:eastAsia="zh-CN"/>
        </w:rPr>
        <w:t>；</w:t>
      </w:r>
    </w:p>
    <w:p w14:paraId="0BF086C5">
      <w:pPr>
        <w:pStyle w:val="56"/>
        <w:numPr>
          <w:ilvl w:val="0"/>
          <w:numId w:val="12"/>
        </w:numPr>
        <w:spacing w:before="0" w:line="336" w:lineRule="auto"/>
        <w:ind w:firstLine="480"/>
        <w:rPr>
          <w:rFonts w:hint="eastAsia" w:ascii="宋体" w:hAnsi="宋体" w:eastAsia="宋体" w:cs="宋体"/>
          <w:color w:val="auto"/>
          <w:lang w:eastAsia="zh-CN"/>
        </w:rPr>
      </w:pPr>
      <w:r>
        <w:rPr>
          <w:rFonts w:hint="eastAsia" w:ascii="宋体" w:hAnsi="宋体" w:eastAsia="宋体" w:cs="宋体"/>
          <w:color w:val="auto"/>
          <w:lang w:val="en-US" w:eastAsia="zh-CN"/>
        </w:rPr>
        <w:t>项目服务</w:t>
      </w:r>
      <w:r>
        <w:rPr>
          <w:rFonts w:hint="eastAsia" w:ascii="宋体" w:hAnsi="宋体" w:eastAsia="宋体" w:cs="宋体"/>
          <w:color w:val="auto"/>
          <w:lang w:eastAsia="zh-CN"/>
        </w:rPr>
        <w:t>方案；</w:t>
      </w:r>
    </w:p>
    <w:p w14:paraId="114B6273">
      <w:pPr>
        <w:pStyle w:val="56"/>
        <w:numPr>
          <w:ilvl w:val="0"/>
          <w:numId w:val="12"/>
        </w:numPr>
        <w:spacing w:before="0" w:line="336" w:lineRule="auto"/>
        <w:ind w:firstLine="480"/>
        <w:rPr>
          <w:rFonts w:hint="eastAsia" w:ascii="宋体" w:hAnsi="宋体" w:eastAsia="宋体" w:cs="宋体"/>
          <w:color w:val="auto"/>
          <w:lang w:eastAsia="zh-CN"/>
        </w:rPr>
      </w:pPr>
      <w:r>
        <w:rPr>
          <w:rFonts w:hint="eastAsia" w:ascii="宋体" w:hAnsi="宋体" w:eastAsia="宋体" w:cs="宋体"/>
          <w:color w:val="auto"/>
          <w:lang w:val="en-US" w:eastAsia="zh-CN"/>
        </w:rPr>
        <w:t>项目建设报告；</w:t>
      </w:r>
    </w:p>
    <w:p w14:paraId="757CF90D">
      <w:pPr>
        <w:pStyle w:val="56"/>
        <w:numPr>
          <w:ilvl w:val="0"/>
          <w:numId w:val="12"/>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项目重难点分析；</w:t>
      </w:r>
    </w:p>
    <w:p w14:paraId="2B6C453A">
      <w:pPr>
        <w:pStyle w:val="56"/>
        <w:numPr>
          <w:ilvl w:val="0"/>
          <w:numId w:val="12"/>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组织实施和进度安排；</w:t>
      </w:r>
    </w:p>
    <w:p w14:paraId="78E76A48">
      <w:pPr>
        <w:pStyle w:val="56"/>
        <w:numPr>
          <w:ilvl w:val="0"/>
          <w:numId w:val="12"/>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质量保障措施；</w:t>
      </w:r>
    </w:p>
    <w:p w14:paraId="266771A8">
      <w:pPr>
        <w:pStyle w:val="56"/>
        <w:numPr>
          <w:ilvl w:val="0"/>
          <w:numId w:val="12"/>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组织和管理体制</w:t>
      </w:r>
      <w:r>
        <w:rPr>
          <w:rFonts w:hint="eastAsia" w:ascii="宋体" w:hAnsi="宋体" w:eastAsia="宋体" w:cs="宋体"/>
          <w:color w:val="auto"/>
          <w:lang w:eastAsia="zh-CN"/>
        </w:rPr>
        <w:t>；</w:t>
      </w:r>
    </w:p>
    <w:p w14:paraId="40031256">
      <w:pPr>
        <w:pStyle w:val="56"/>
        <w:numPr>
          <w:ilvl w:val="0"/>
          <w:numId w:val="12"/>
        </w:numPr>
        <w:spacing w:before="0" w:line="336" w:lineRule="auto"/>
        <w:ind w:firstLine="480"/>
        <w:rPr>
          <w:rFonts w:hint="eastAsia" w:ascii="宋体" w:hAnsi="宋体" w:eastAsia="宋体" w:cs="宋体"/>
          <w:color w:val="auto"/>
        </w:rPr>
      </w:pPr>
      <w:r>
        <w:rPr>
          <w:rFonts w:hint="eastAsia" w:ascii="宋体" w:hAnsi="宋体" w:eastAsia="宋体" w:cs="宋体"/>
          <w:color w:val="auto"/>
          <w:sz w:val="24"/>
          <w:lang w:val="en-US" w:eastAsia="zh-CN"/>
        </w:rPr>
        <w:t>售后服务；</w:t>
      </w:r>
    </w:p>
    <w:p w14:paraId="12FE23D7">
      <w:pPr>
        <w:pStyle w:val="56"/>
        <w:numPr>
          <w:ilvl w:val="0"/>
          <w:numId w:val="12"/>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其他合理化建议；</w:t>
      </w:r>
    </w:p>
    <w:p w14:paraId="06C76282">
      <w:pPr>
        <w:pStyle w:val="56"/>
        <w:numPr>
          <w:ilvl w:val="0"/>
          <w:numId w:val="12"/>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类似业绩；</w:t>
      </w:r>
    </w:p>
    <w:p w14:paraId="52FA4D87">
      <w:pPr>
        <w:pStyle w:val="56"/>
        <w:numPr>
          <w:ilvl w:val="0"/>
          <w:numId w:val="12"/>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认证证书</w:t>
      </w:r>
      <w:r>
        <w:rPr>
          <w:rFonts w:hint="eastAsia" w:ascii="宋体" w:hAnsi="宋体" w:eastAsia="宋体" w:cs="宋体"/>
          <w:color w:val="auto"/>
          <w:lang w:eastAsia="zh-CN"/>
        </w:rPr>
        <w:t>。</w:t>
      </w:r>
    </w:p>
    <w:p w14:paraId="7A75D9F7">
      <w:pPr>
        <w:pStyle w:val="56"/>
        <w:numPr>
          <w:ilvl w:val="0"/>
          <w:numId w:val="0"/>
        </w:numPr>
        <w:spacing w:before="0" w:line="336" w:lineRule="auto"/>
        <w:rPr>
          <w:rFonts w:hint="eastAsia" w:ascii="宋体" w:hAnsi="宋体" w:eastAsia="宋体" w:cs="宋体"/>
          <w:color w:val="auto"/>
        </w:rPr>
      </w:pPr>
      <w:r>
        <w:rPr>
          <w:rFonts w:hint="eastAsia" w:ascii="宋体" w:hAnsi="宋体" w:eastAsia="宋体" w:cs="宋体"/>
          <w:color w:val="auto"/>
        </w:rPr>
        <w:t>注：以上内容应与评标办法中内容具有一致性。</w:t>
      </w:r>
    </w:p>
    <w:p w14:paraId="2329EF55">
      <w:pPr>
        <w:pStyle w:val="56"/>
        <w:tabs>
          <w:tab w:val="left" w:pos="0"/>
        </w:tabs>
        <w:spacing w:before="0" w:line="336" w:lineRule="auto"/>
        <w:ind w:firstLine="480"/>
        <w:rPr>
          <w:rFonts w:hint="eastAsia" w:ascii="宋体" w:hAnsi="宋体" w:eastAsia="宋体" w:cs="宋体"/>
          <w:color w:val="auto"/>
        </w:rPr>
      </w:pPr>
      <w:r>
        <w:rPr>
          <w:rFonts w:hint="eastAsia" w:ascii="宋体" w:hAnsi="宋体" w:eastAsia="宋体" w:cs="宋体"/>
          <w:color w:val="auto"/>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0A86861A">
      <w:pPr>
        <w:pStyle w:val="56"/>
        <w:tabs>
          <w:tab w:val="left" w:pos="0"/>
        </w:tabs>
        <w:spacing w:before="0" w:line="336" w:lineRule="auto"/>
        <w:ind w:firstLine="480"/>
        <w:rPr>
          <w:rFonts w:hint="eastAsia" w:ascii="宋体" w:hAnsi="宋体" w:eastAsia="宋体" w:cs="宋体"/>
          <w:color w:val="auto"/>
        </w:rPr>
      </w:pPr>
      <w:r>
        <w:rPr>
          <w:rFonts w:hint="eastAsia" w:ascii="宋体" w:hAnsi="宋体" w:eastAsia="宋体" w:cs="宋体"/>
          <w:color w:val="auto"/>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eastAsia="宋体" w:cs="宋体"/>
          <w:b/>
          <w:bCs/>
          <w:color w:val="auto"/>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7C19A38A">
      <w:pPr>
        <w:pStyle w:val="56"/>
        <w:numPr>
          <w:ilvl w:val="0"/>
          <w:numId w:val="10"/>
        </w:numPr>
        <w:spacing w:before="0" w:line="336" w:lineRule="auto"/>
        <w:ind w:firstLine="480"/>
        <w:rPr>
          <w:rFonts w:hint="eastAsia" w:ascii="宋体" w:hAnsi="宋体" w:eastAsia="宋体" w:cs="宋体"/>
          <w:color w:val="auto"/>
        </w:rPr>
      </w:pPr>
      <w:r>
        <w:rPr>
          <w:rFonts w:hint="eastAsia" w:ascii="宋体" w:hAnsi="宋体" w:eastAsia="宋体" w:cs="宋体"/>
          <w:color w:val="auto"/>
        </w:rPr>
        <w:t>报价文件包括以下内容：</w:t>
      </w:r>
    </w:p>
    <w:p w14:paraId="3C1EE7A3">
      <w:pPr>
        <w:pStyle w:val="56"/>
        <w:numPr>
          <w:ilvl w:val="0"/>
          <w:numId w:val="13"/>
        </w:numPr>
        <w:spacing w:before="0" w:line="336" w:lineRule="auto"/>
        <w:ind w:firstLine="480"/>
        <w:rPr>
          <w:rFonts w:hint="eastAsia" w:ascii="宋体" w:hAnsi="宋体" w:eastAsia="宋体" w:cs="宋体"/>
          <w:color w:val="auto"/>
        </w:rPr>
      </w:pPr>
      <w:r>
        <w:rPr>
          <w:rFonts w:hint="eastAsia" w:ascii="宋体" w:hAnsi="宋体" w:eastAsia="宋体" w:cs="宋体"/>
          <w:color w:val="auto"/>
        </w:rPr>
        <w:t>磋商函（格式见附件）；</w:t>
      </w:r>
    </w:p>
    <w:p w14:paraId="508A1EDD">
      <w:pPr>
        <w:pStyle w:val="56"/>
        <w:numPr>
          <w:ilvl w:val="0"/>
          <w:numId w:val="13"/>
        </w:numPr>
        <w:spacing w:before="0" w:line="336" w:lineRule="auto"/>
        <w:ind w:firstLine="480"/>
        <w:rPr>
          <w:rFonts w:hint="eastAsia" w:ascii="宋体" w:hAnsi="宋体" w:eastAsia="宋体" w:cs="宋体"/>
          <w:color w:val="auto"/>
        </w:rPr>
      </w:pPr>
      <w:r>
        <w:rPr>
          <w:rFonts w:hint="eastAsia" w:ascii="宋体" w:hAnsi="宋体" w:eastAsia="宋体" w:cs="宋体"/>
          <w:color w:val="auto"/>
        </w:rPr>
        <w:t>报价一览表（格式见附件）；</w:t>
      </w:r>
    </w:p>
    <w:p w14:paraId="2E950093">
      <w:pPr>
        <w:pStyle w:val="56"/>
        <w:numPr>
          <w:ilvl w:val="0"/>
          <w:numId w:val="13"/>
        </w:numPr>
        <w:spacing w:before="0" w:line="336" w:lineRule="auto"/>
        <w:ind w:firstLine="480"/>
        <w:rPr>
          <w:rFonts w:hint="eastAsia" w:ascii="宋体" w:hAnsi="宋体" w:eastAsia="宋体" w:cs="宋体"/>
          <w:color w:val="auto"/>
        </w:rPr>
      </w:pPr>
      <w:r>
        <w:rPr>
          <w:rFonts w:hint="eastAsia" w:ascii="宋体" w:hAnsi="宋体" w:eastAsia="宋体" w:cs="宋体"/>
          <w:color w:val="auto"/>
        </w:rPr>
        <w:t>磋商报价明细表（格式见附件）。</w:t>
      </w:r>
    </w:p>
    <w:p w14:paraId="2F0058AF">
      <w:pPr>
        <w:pStyle w:val="56"/>
        <w:numPr>
          <w:ilvl w:val="0"/>
          <w:numId w:val="13"/>
        </w:numPr>
        <w:spacing w:before="0" w:line="336" w:lineRule="auto"/>
        <w:ind w:firstLine="480"/>
        <w:rPr>
          <w:rFonts w:hint="eastAsia" w:ascii="宋体" w:hAnsi="宋体" w:eastAsia="宋体" w:cs="宋体"/>
          <w:color w:val="auto"/>
        </w:rPr>
      </w:pPr>
      <w:r>
        <w:rPr>
          <w:rFonts w:hint="eastAsia" w:ascii="宋体" w:hAnsi="宋体" w:eastAsia="宋体" w:cs="宋体"/>
          <w:color w:val="auto"/>
        </w:rPr>
        <w:t>中小企业声明函(如有)（格式见附件）；</w:t>
      </w:r>
    </w:p>
    <w:p w14:paraId="2C46CBFF">
      <w:pPr>
        <w:pStyle w:val="56"/>
        <w:numPr>
          <w:ilvl w:val="0"/>
          <w:numId w:val="11"/>
        </w:numPr>
        <w:spacing w:before="0" w:line="336" w:lineRule="auto"/>
        <w:ind w:firstLine="480"/>
        <w:rPr>
          <w:rFonts w:hint="eastAsia" w:ascii="宋体" w:hAnsi="宋体" w:eastAsia="宋体" w:cs="宋体"/>
          <w:color w:val="auto"/>
        </w:rPr>
      </w:pPr>
      <w:r>
        <w:rPr>
          <w:rFonts w:hint="eastAsia" w:ascii="宋体" w:hAnsi="宋体" w:eastAsia="宋体" w:cs="宋体"/>
          <w:color w:val="auto"/>
        </w:rPr>
        <w:t>残疾人福利性单位声明函(如有)（格式见附件）；</w:t>
      </w:r>
    </w:p>
    <w:p w14:paraId="3F80F726">
      <w:pPr>
        <w:pStyle w:val="56"/>
        <w:numPr>
          <w:ilvl w:val="0"/>
          <w:numId w:val="11"/>
        </w:numPr>
        <w:spacing w:before="0" w:line="336" w:lineRule="auto"/>
        <w:ind w:firstLine="480"/>
        <w:rPr>
          <w:rFonts w:hint="eastAsia" w:ascii="宋体" w:hAnsi="宋体" w:eastAsia="宋体" w:cs="宋体"/>
          <w:color w:val="auto"/>
        </w:rPr>
      </w:pPr>
      <w:r>
        <w:rPr>
          <w:rFonts w:hint="eastAsia" w:ascii="宋体" w:hAnsi="宋体" w:eastAsia="宋体" w:cs="宋体"/>
          <w:color w:val="auto"/>
        </w:rPr>
        <w:t>监狱企业证明文件(如有)（格式见附件）。</w:t>
      </w:r>
    </w:p>
    <w:p w14:paraId="6B95F4D1">
      <w:pPr>
        <w:pStyle w:val="56"/>
        <w:spacing w:before="0" w:line="336" w:lineRule="auto"/>
        <w:ind w:firstLine="241" w:firstLineChars="100"/>
        <w:rPr>
          <w:rFonts w:hint="eastAsia" w:ascii="宋体" w:hAnsi="宋体" w:eastAsia="宋体" w:cs="宋体"/>
          <w:b/>
          <w:bCs/>
          <w:color w:val="auto"/>
          <w:u w:val="single"/>
        </w:rPr>
      </w:pPr>
      <w:r>
        <w:rPr>
          <w:rFonts w:hint="eastAsia" w:ascii="宋体" w:hAnsi="宋体" w:eastAsia="宋体" w:cs="宋体"/>
          <w:b/>
          <w:bCs/>
          <w:color w:val="auto"/>
          <w:u w:val="single"/>
        </w:rPr>
        <w:t>注：“资格文件”、“商务技术文件”、“报价文件”须分3个PDF格式分别导入。</w:t>
      </w:r>
    </w:p>
    <w:p w14:paraId="736B7949">
      <w:pPr>
        <w:pStyle w:val="56"/>
        <w:spacing w:before="0" w:line="336" w:lineRule="auto"/>
        <w:ind w:left="400" w:leftChars="200" w:firstLine="0" w:firstLineChars="0"/>
        <w:rPr>
          <w:rFonts w:hint="eastAsia" w:ascii="宋体" w:hAnsi="宋体" w:eastAsia="宋体" w:cs="宋体"/>
          <w:b/>
          <w:bCs/>
          <w:color w:val="auto"/>
        </w:rPr>
      </w:pPr>
      <w:r>
        <w:rPr>
          <w:rFonts w:hint="eastAsia" w:ascii="宋体" w:hAnsi="宋体" w:eastAsia="宋体" w:cs="宋体"/>
          <w:b/>
          <w:bCs/>
          <w:color w:val="auto"/>
        </w:rPr>
        <w:t>10．响应文件有效期</w:t>
      </w:r>
    </w:p>
    <w:p w14:paraId="2CA24CC2">
      <w:pPr>
        <w:pStyle w:val="56"/>
        <w:spacing w:before="0" w:line="336" w:lineRule="auto"/>
        <w:ind w:left="400" w:leftChars="200" w:firstLine="0" w:firstLineChars="0"/>
        <w:rPr>
          <w:rFonts w:hint="eastAsia" w:ascii="宋体" w:hAnsi="宋体" w:eastAsia="宋体" w:cs="宋体"/>
          <w:color w:val="auto"/>
        </w:rPr>
      </w:pPr>
      <w:r>
        <w:rPr>
          <w:rFonts w:hint="eastAsia" w:ascii="宋体" w:hAnsi="宋体" w:eastAsia="宋体" w:cs="宋体"/>
          <w:color w:val="auto"/>
        </w:rPr>
        <w:t>10.1 响应文件未在磋商响应截止时间前完成传输的或者未按时解密的，视为放弃磋商；响应文件解密失败后未提供备份文件或者备份文件也出现异常情况无法进行评审的，亦视为放弃磋商。</w:t>
      </w:r>
    </w:p>
    <w:p w14:paraId="26B20BA3">
      <w:pPr>
        <w:pStyle w:val="56"/>
        <w:spacing w:before="0" w:line="336" w:lineRule="auto"/>
        <w:ind w:left="400" w:leftChars="200" w:firstLine="0" w:firstLineChars="0"/>
        <w:rPr>
          <w:rFonts w:hint="eastAsia" w:ascii="宋体" w:hAnsi="宋体" w:eastAsia="宋体" w:cs="宋体"/>
          <w:color w:val="auto"/>
        </w:rPr>
      </w:pPr>
      <w:r>
        <w:rPr>
          <w:rFonts w:hint="eastAsia" w:ascii="宋体" w:hAnsi="宋体" w:eastAsia="宋体" w:cs="宋体"/>
          <w:color w:val="auto"/>
        </w:rPr>
        <w:t>10.2 响应文件上传后，自磋商响应截止日期起，在前附表所列的磋商响应文件有效期内有效。</w:t>
      </w:r>
    </w:p>
    <w:p w14:paraId="3970AEBD">
      <w:pPr>
        <w:pStyle w:val="56"/>
        <w:spacing w:before="0" w:line="336" w:lineRule="auto"/>
        <w:ind w:left="400" w:leftChars="200" w:firstLine="0" w:firstLineChars="0"/>
        <w:rPr>
          <w:rFonts w:hint="eastAsia" w:ascii="宋体" w:hAnsi="宋体" w:eastAsia="宋体" w:cs="宋体"/>
          <w:color w:val="auto"/>
        </w:rPr>
      </w:pPr>
      <w:r>
        <w:rPr>
          <w:rFonts w:hint="eastAsia" w:ascii="宋体" w:hAnsi="宋体" w:eastAsia="宋体" w:cs="宋体"/>
          <w:color w:val="auto"/>
        </w:rPr>
        <w:t>10.3 在原定有效期满之前，如果出现特殊情况，采购代理机构可以以书面形式向磋商供应商提出延长磋商有效期的要求，磋商供应商对此须以书面形式予以答复。</w:t>
      </w:r>
    </w:p>
    <w:p w14:paraId="4774B4C7">
      <w:pPr>
        <w:pStyle w:val="56"/>
        <w:spacing w:before="0" w:line="336" w:lineRule="auto"/>
        <w:ind w:left="400" w:leftChars="200" w:firstLine="0" w:firstLineChars="0"/>
        <w:rPr>
          <w:rFonts w:hint="eastAsia" w:ascii="宋体" w:hAnsi="宋体" w:eastAsia="宋体" w:cs="宋体"/>
          <w:b/>
          <w:bCs/>
          <w:color w:val="auto"/>
        </w:rPr>
      </w:pPr>
      <w:r>
        <w:rPr>
          <w:rFonts w:hint="eastAsia" w:ascii="宋体" w:hAnsi="宋体" w:eastAsia="宋体" w:cs="宋体"/>
          <w:b/>
          <w:bCs/>
          <w:color w:val="auto"/>
        </w:rPr>
        <w:t>11．供应商如有下列情况之一者列入不良行为记录：</w:t>
      </w:r>
    </w:p>
    <w:p w14:paraId="00B97DD3">
      <w:pPr>
        <w:pStyle w:val="56"/>
        <w:spacing w:before="0" w:line="336" w:lineRule="auto"/>
        <w:ind w:left="400" w:leftChars="200" w:firstLine="0" w:firstLineChars="0"/>
        <w:rPr>
          <w:rFonts w:hint="eastAsia" w:ascii="宋体" w:hAnsi="宋体" w:eastAsia="宋体" w:cs="宋体"/>
          <w:color w:val="auto"/>
        </w:rPr>
      </w:pPr>
      <w:r>
        <w:rPr>
          <w:rFonts w:hint="eastAsia" w:ascii="宋体" w:hAnsi="宋体" w:eastAsia="宋体" w:cs="宋体"/>
          <w:color w:val="auto"/>
        </w:rPr>
        <w:t>11.1 供应商在磋商响应文件有效期内撤回投标的；</w:t>
      </w:r>
    </w:p>
    <w:p w14:paraId="5EE0766D">
      <w:pPr>
        <w:pStyle w:val="56"/>
        <w:spacing w:before="0" w:line="336" w:lineRule="auto"/>
        <w:ind w:left="400" w:leftChars="200" w:firstLine="0" w:firstLineChars="0"/>
        <w:rPr>
          <w:rFonts w:hint="eastAsia" w:ascii="宋体" w:hAnsi="宋体" w:eastAsia="宋体" w:cs="宋体"/>
          <w:color w:val="auto"/>
        </w:rPr>
      </w:pPr>
      <w:r>
        <w:rPr>
          <w:rFonts w:hint="eastAsia" w:ascii="宋体" w:hAnsi="宋体" w:eastAsia="宋体" w:cs="宋体"/>
          <w:color w:val="auto"/>
        </w:rPr>
        <w:t>11.2 供应商或中标候选人放弃中标或中标候选人资格的；</w:t>
      </w:r>
    </w:p>
    <w:p w14:paraId="2E72360B">
      <w:pPr>
        <w:pStyle w:val="56"/>
        <w:spacing w:before="0" w:line="336" w:lineRule="auto"/>
        <w:ind w:left="400" w:leftChars="200" w:firstLine="0" w:firstLineChars="0"/>
        <w:rPr>
          <w:rFonts w:hint="eastAsia" w:ascii="宋体" w:hAnsi="宋体" w:eastAsia="宋体" w:cs="宋体"/>
          <w:color w:val="auto"/>
        </w:rPr>
      </w:pPr>
      <w:r>
        <w:rPr>
          <w:rFonts w:hint="eastAsia" w:ascii="宋体" w:hAnsi="宋体" w:eastAsia="宋体" w:cs="宋体"/>
          <w:color w:val="auto"/>
        </w:rPr>
        <w:t>11.3 擅自修改或拒绝接受已经确认的条款；</w:t>
      </w:r>
    </w:p>
    <w:p w14:paraId="606AE294">
      <w:pPr>
        <w:pStyle w:val="56"/>
        <w:spacing w:before="0" w:line="336" w:lineRule="auto"/>
        <w:ind w:left="400" w:leftChars="200" w:firstLine="0" w:firstLineChars="0"/>
        <w:rPr>
          <w:rFonts w:hint="eastAsia" w:ascii="宋体" w:hAnsi="宋体" w:eastAsia="宋体" w:cs="宋体"/>
          <w:color w:val="auto"/>
        </w:rPr>
      </w:pPr>
      <w:r>
        <w:rPr>
          <w:rFonts w:hint="eastAsia" w:ascii="宋体" w:hAnsi="宋体" w:eastAsia="宋体" w:cs="宋体"/>
          <w:color w:val="auto"/>
        </w:rPr>
        <w:t>11.4 成交供应商未按规定与采购人签订合同；</w:t>
      </w:r>
    </w:p>
    <w:p w14:paraId="3BCE8C13">
      <w:pPr>
        <w:pStyle w:val="56"/>
        <w:spacing w:before="0" w:line="336" w:lineRule="auto"/>
        <w:ind w:left="400" w:leftChars="200" w:firstLine="0" w:firstLineChars="0"/>
        <w:rPr>
          <w:rFonts w:hint="eastAsia" w:ascii="宋体" w:hAnsi="宋体" w:eastAsia="宋体" w:cs="宋体"/>
          <w:color w:val="auto"/>
        </w:rPr>
      </w:pPr>
      <w:r>
        <w:rPr>
          <w:rFonts w:hint="eastAsia" w:ascii="宋体" w:hAnsi="宋体" w:eastAsia="宋体" w:cs="宋体"/>
          <w:color w:val="auto"/>
        </w:rPr>
        <w:t>11.5 供应商采取提供虚假资料等不正当手段的；</w:t>
      </w:r>
    </w:p>
    <w:p w14:paraId="1174BAAC">
      <w:pPr>
        <w:pStyle w:val="56"/>
        <w:spacing w:before="0" w:line="336" w:lineRule="auto"/>
        <w:ind w:left="400" w:leftChars="200" w:firstLine="0" w:firstLineChars="0"/>
        <w:rPr>
          <w:rFonts w:hint="eastAsia" w:ascii="宋体" w:hAnsi="宋体" w:eastAsia="宋体" w:cs="宋体"/>
          <w:color w:val="auto"/>
        </w:rPr>
      </w:pPr>
      <w:r>
        <w:rPr>
          <w:rFonts w:hint="eastAsia" w:ascii="宋体" w:hAnsi="宋体" w:eastAsia="宋体" w:cs="宋体"/>
          <w:color w:val="auto"/>
        </w:rPr>
        <w:t>11.6 供应商在投标过程中串通投标的。</w:t>
      </w:r>
    </w:p>
    <w:p w14:paraId="6BC55205">
      <w:pPr>
        <w:pStyle w:val="56"/>
        <w:spacing w:before="0" w:line="336" w:lineRule="auto"/>
        <w:ind w:left="400" w:leftChars="200" w:firstLine="0" w:firstLineChars="0"/>
        <w:rPr>
          <w:rFonts w:hint="eastAsia" w:ascii="宋体" w:hAnsi="宋体" w:eastAsia="宋体" w:cs="宋体"/>
          <w:b/>
          <w:bCs/>
          <w:color w:val="auto"/>
        </w:rPr>
      </w:pPr>
      <w:r>
        <w:rPr>
          <w:rFonts w:hint="eastAsia" w:ascii="宋体" w:hAnsi="宋体" w:eastAsia="宋体" w:cs="宋体"/>
          <w:b/>
          <w:bCs/>
          <w:color w:val="auto"/>
        </w:rPr>
        <w:t>12．响应文件的编制和签署</w:t>
      </w:r>
    </w:p>
    <w:p w14:paraId="2D3C0E10">
      <w:pPr>
        <w:pStyle w:val="56"/>
        <w:spacing w:before="0" w:line="336" w:lineRule="auto"/>
        <w:ind w:left="400" w:leftChars="200" w:firstLine="0" w:firstLineChars="0"/>
        <w:rPr>
          <w:rFonts w:hint="eastAsia" w:ascii="宋体" w:hAnsi="宋体" w:eastAsia="宋体" w:cs="宋体"/>
          <w:color w:val="auto"/>
        </w:rPr>
      </w:pPr>
      <w:r>
        <w:rPr>
          <w:rFonts w:hint="eastAsia" w:ascii="宋体" w:hAnsi="宋体" w:eastAsia="宋体" w:cs="宋体"/>
          <w:color w:val="auto"/>
        </w:rPr>
        <w:t>12.1 按磋商文件9.1条、9.2条、9.3条要求提供的各种文件，响应文件分为资格文件、商务技术文件和报价文件三部分。</w:t>
      </w:r>
    </w:p>
    <w:p w14:paraId="4A55247E">
      <w:pPr>
        <w:pStyle w:val="56"/>
        <w:spacing w:before="0" w:line="336" w:lineRule="auto"/>
        <w:ind w:left="400" w:leftChars="200" w:firstLine="0" w:firstLineChars="0"/>
        <w:rPr>
          <w:rFonts w:hint="eastAsia" w:ascii="宋体" w:hAnsi="宋体" w:eastAsia="宋体" w:cs="宋体"/>
          <w:color w:val="auto"/>
        </w:rPr>
      </w:pPr>
      <w:r>
        <w:rPr>
          <w:rFonts w:hint="eastAsia" w:ascii="宋体" w:hAnsi="宋体" w:eastAsia="宋体" w:cs="宋体"/>
          <w:color w:val="auto"/>
        </w:rPr>
        <w:t>12.2 响应文件须按附件格式要求进行电子签章，供应商应写全称。（电子磋商响应文件中所须加盖公章部分均应采用电子签章）</w:t>
      </w:r>
    </w:p>
    <w:p w14:paraId="3198A96B">
      <w:pPr>
        <w:pStyle w:val="56"/>
        <w:spacing w:before="0" w:line="336" w:lineRule="auto"/>
        <w:ind w:left="400" w:leftChars="200" w:firstLine="0" w:firstLineChars="0"/>
        <w:rPr>
          <w:rFonts w:hint="eastAsia" w:ascii="宋体" w:hAnsi="宋体" w:eastAsia="宋体" w:cs="宋体"/>
          <w:color w:val="auto"/>
        </w:rPr>
      </w:pPr>
      <w:r>
        <w:rPr>
          <w:rFonts w:hint="eastAsia" w:ascii="宋体" w:hAnsi="宋体" w:eastAsia="宋体" w:cs="宋体"/>
          <w:color w:val="auto"/>
        </w:rPr>
        <w:t>12.3 全套响应文件应无涂改和行间插字，除非这些删改是根据采购代理机构要求进行，或者是供应商造成的必须修改的错误。所修改处应由法定代表人或其授权代表签字盖章予以确认。</w:t>
      </w:r>
    </w:p>
    <w:p w14:paraId="7CBDD22B">
      <w:pPr>
        <w:pStyle w:val="56"/>
        <w:spacing w:before="0" w:line="336" w:lineRule="auto"/>
        <w:ind w:left="400" w:leftChars="200" w:firstLine="0" w:firstLineChars="0"/>
        <w:rPr>
          <w:rFonts w:hint="eastAsia" w:ascii="宋体" w:hAnsi="宋体" w:eastAsia="宋体" w:cs="宋体"/>
          <w:color w:val="auto"/>
        </w:rPr>
      </w:pPr>
      <w:r>
        <w:rPr>
          <w:rFonts w:hint="eastAsia" w:ascii="宋体" w:hAnsi="宋体" w:eastAsia="宋体" w:cs="宋体"/>
          <w:color w:val="auto"/>
        </w:rPr>
        <w:t>12.4 由于字迹模糊或表达不清引起的后果由供应商负责。</w:t>
      </w:r>
    </w:p>
    <w:p w14:paraId="78BC6626">
      <w:pPr>
        <w:pStyle w:val="56"/>
        <w:spacing w:before="0" w:line="336" w:lineRule="auto"/>
        <w:ind w:left="400" w:leftChars="200" w:firstLine="0" w:firstLineChars="0"/>
        <w:rPr>
          <w:rFonts w:hint="eastAsia" w:ascii="宋体" w:hAnsi="宋体" w:eastAsia="宋体" w:cs="宋体"/>
          <w:b/>
          <w:bCs/>
          <w:color w:val="auto"/>
        </w:rPr>
      </w:pPr>
      <w:r>
        <w:rPr>
          <w:rFonts w:hint="eastAsia" w:ascii="宋体" w:hAnsi="宋体" w:eastAsia="宋体" w:cs="宋体"/>
          <w:b/>
          <w:bCs/>
          <w:color w:val="auto"/>
        </w:rPr>
        <w:t>13． 响应文件的形式</w:t>
      </w:r>
    </w:p>
    <w:p w14:paraId="7A11BE76">
      <w:pPr>
        <w:pStyle w:val="56"/>
        <w:spacing w:before="0" w:line="336" w:lineRule="auto"/>
        <w:ind w:left="400" w:leftChars="200" w:firstLine="0" w:firstLineChars="0"/>
        <w:rPr>
          <w:rFonts w:hint="eastAsia" w:ascii="宋体" w:hAnsi="宋体" w:eastAsia="宋体" w:cs="宋体"/>
          <w:color w:val="auto"/>
        </w:rPr>
      </w:pPr>
      <w:r>
        <w:rPr>
          <w:rFonts w:hint="eastAsia" w:ascii="宋体" w:hAnsi="宋体" w:eastAsia="宋体" w:cs="宋体"/>
          <w:color w:val="auto"/>
        </w:rPr>
        <w:t>响应文件为电子磋商响应文件，电子磋商响应文件按“政采云供应商项目采购-电子招投标操作指南”及本磋商文件要求制作、加密传输。</w:t>
      </w:r>
    </w:p>
    <w:p w14:paraId="291405D8">
      <w:pPr>
        <w:pStyle w:val="5"/>
        <w:numPr>
          <w:ilvl w:val="0"/>
          <w:numId w:val="9"/>
        </w:numPr>
        <w:jc w:val="center"/>
        <w:rPr>
          <w:rFonts w:hint="eastAsia" w:ascii="宋体" w:hAnsi="宋体" w:eastAsia="宋体" w:cs="宋体"/>
          <w:color w:val="auto"/>
        </w:rPr>
      </w:pPr>
      <w:bookmarkStart w:id="55" w:name="_Toc1420"/>
      <w:r>
        <w:rPr>
          <w:rFonts w:hint="eastAsia" w:ascii="宋体" w:hAnsi="宋体" w:eastAsia="宋体" w:cs="宋体"/>
          <w:color w:val="auto"/>
        </w:rPr>
        <w:t xml:space="preserve"> </w:t>
      </w:r>
      <w:bookmarkStart w:id="56" w:name="_Toc32523"/>
      <w:bookmarkStart w:id="57" w:name="_Toc21266"/>
      <w:r>
        <w:rPr>
          <w:rFonts w:hint="eastAsia" w:ascii="宋体" w:hAnsi="宋体" w:eastAsia="宋体" w:cs="宋体"/>
          <w:color w:val="auto"/>
        </w:rPr>
        <w:t>响应文件的递交</w:t>
      </w:r>
      <w:bookmarkEnd w:id="55"/>
      <w:bookmarkEnd w:id="56"/>
      <w:bookmarkEnd w:id="57"/>
    </w:p>
    <w:p w14:paraId="3B7DCBAC">
      <w:pPr>
        <w:pStyle w:val="15"/>
        <w:spacing w:line="336" w:lineRule="auto"/>
        <w:ind w:left="400" w:left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14、磋商响应截止期</w:t>
      </w:r>
    </w:p>
    <w:p w14:paraId="2EA3636B">
      <w:pPr>
        <w:pStyle w:val="56"/>
        <w:numPr>
          <w:ilvl w:val="0"/>
          <w:numId w:val="14"/>
        </w:numPr>
        <w:spacing w:before="0" w:line="336" w:lineRule="auto"/>
        <w:ind w:firstLine="480"/>
        <w:rPr>
          <w:rFonts w:hint="eastAsia" w:ascii="宋体" w:hAnsi="宋体" w:eastAsia="宋体" w:cs="宋体"/>
          <w:color w:val="auto"/>
        </w:rPr>
      </w:pPr>
      <w:r>
        <w:rPr>
          <w:rFonts w:hint="eastAsia" w:ascii="宋体" w:hAnsi="宋体" w:eastAsia="宋体" w:cs="宋体"/>
          <w:color w:val="auto"/>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59884922">
      <w:pPr>
        <w:pStyle w:val="56"/>
        <w:numPr>
          <w:ilvl w:val="0"/>
          <w:numId w:val="14"/>
        </w:numPr>
        <w:spacing w:before="0" w:line="336" w:lineRule="auto"/>
        <w:ind w:firstLine="480"/>
        <w:rPr>
          <w:rFonts w:hint="eastAsia" w:ascii="宋体" w:hAnsi="宋体" w:eastAsia="宋体" w:cs="宋体"/>
          <w:color w:val="auto"/>
        </w:rPr>
      </w:pPr>
      <w:r>
        <w:rPr>
          <w:rFonts w:hint="eastAsia" w:ascii="宋体" w:hAnsi="宋体" w:eastAsia="宋体" w:cs="宋体"/>
          <w:color w:val="auto"/>
        </w:rPr>
        <w:t>采购人因故推迟磋商响应截止时间，将以公告形式通知。在这种情况下，采购人和供应商的权利和义务将受到新的截止时间的约束。</w:t>
      </w:r>
    </w:p>
    <w:p w14:paraId="52962B2C">
      <w:pPr>
        <w:pStyle w:val="15"/>
        <w:spacing w:line="336" w:lineRule="auto"/>
        <w:ind w:left="400" w:left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15、响应文件的修改、撤销</w:t>
      </w:r>
    </w:p>
    <w:p w14:paraId="02800CCD">
      <w:pPr>
        <w:pStyle w:val="15"/>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667CB63A">
      <w:pPr>
        <w:pStyle w:val="5"/>
        <w:numPr>
          <w:ilvl w:val="0"/>
          <w:numId w:val="9"/>
        </w:numPr>
        <w:jc w:val="center"/>
        <w:rPr>
          <w:rFonts w:hint="eastAsia" w:ascii="宋体" w:hAnsi="宋体" w:eastAsia="宋体" w:cs="宋体"/>
          <w:color w:val="auto"/>
        </w:rPr>
      </w:pPr>
      <w:r>
        <w:rPr>
          <w:rFonts w:hint="eastAsia" w:ascii="宋体" w:hAnsi="宋体" w:eastAsia="宋体" w:cs="宋体"/>
          <w:color w:val="auto"/>
        </w:rPr>
        <w:t xml:space="preserve"> </w:t>
      </w:r>
      <w:bookmarkStart w:id="58" w:name="_Toc24120"/>
      <w:bookmarkStart w:id="59" w:name="_Toc31149"/>
      <w:r>
        <w:rPr>
          <w:rFonts w:hint="eastAsia" w:ascii="宋体" w:hAnsi="宋体" w:eastAsia="宋体" w:cs="宋体"/>
          <w:color w:val="auto"/>
        </w:rPr>
        <w:t>磋商无效的情形</w:t>
      </w:r>
      <w:bookmarkEnd w:id="58"/>
      <w:bookmarkEnd w:id="59"/>
    </w:p>
    <w:p w14:paraId="5112B9AF">
      <w:pPr>
        <w:pStyle w:val="15"/>
        <w:snapToGrid w:val="0"/>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16.无效响应</w:t>
      </w:r>
    </w:p>
    <w:p w14:paraId="4817D9A0">
      <w:pPr>
        <w:pStyle w:val="15"/>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14:paraId="0334A8CB">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16.1未按照磋商文件规定要求签署、盖章的；</w:t>
      </w:r>
    </w:p>
    <w:p w14:paraId="51C8EBC1">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16.2《法定代表人授权书》填写不全、错误、未加盖供应商公章（公章和签字或盖章缺一不可）； </w:t>
      </w:r>
    </w:p>
    <w:p w14:paraId="02B20F89">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16.3个体工商户的身份证明与营业执照不一致的；</w:t>
      </w:r>
    </w:p>
    <w:p w14:paraId="469A806C">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16.4响应文件中的磋商函未加盖供应商的企业公章或填写不全的；</w:t>
      </w:r>
    </w:p>
    <w:p w14:paraId="2125A682">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16.5报价一经涂改，未在涂改处加盖投标单位公章或者未经法定代表人或其授权代表签字或盖章的；</w:t>
      </w:r>
    </w:p>
    <w:p w14:paraId="761F6C37">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16.6因未按规定的格式填写，内容不全或主要实质性内容字迹模糊辨认不清,经评标委员会认定为无法评审的；</w:t>
      </w:r>
    </w:p>
    <w:p w14:paraId="741EBCC4">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16.7出现同一标的物或本次采购产品(服务)内的主要产品(重要组成部分)出现技术、商务描述不一致或前后描述不一致，经评标委员会认定后为无法评审的；</w:t>
      </w:r>
    </w:p>
    <w:p w14:paraId="50C28DE3">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16.8响应详细配置清单响应表不真实填写或弄虚作假的；改变磋商文件提供的清单中的计量单位、工程数量；</w:t>
      </w:r>
    </w:p>
    <w:p w14:paraId="446CA7B5">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16.9对采购产品技术规格未详细应答，致使其技术文件无法评审的；</w:t>
      </w:r>
    </w:p>
    <w:p w14:paraId="1AF3DC83">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16.10响应文件有采购方不能接受的条件；</w:t>
      </w:r>
    </w:p>
    <w:p w14:paraId="74285A7F">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109A1F20">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16.12磋商报价超过预算金额或最高限价的；</w:t>
      </w:r>
    </w:p>
    <w:p w14:paraId="7B0A421D">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16.13响应文件“商务技术文件资料”部分中出现《报价一览表》或《磋商报价明细表》相关内容的；</w:t>
      </w:r>
    </w:p>
    <w:p w14:paraId="43112EB4">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16.14评标委员会认定有重大偏差或实质性不响应磋商文件要求的，即“★”的关键性指标及技术参数要求负偏离或缺漏；</w:t>
      </w:r>
    </w:p>
    <w:p w14:paraId="2EE1D41F">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16.15供应商拒绝按磋商文件规定的修正原则对响应文件进行修改的；</w:t>
      </w:r>
    </w:p>
    <w:p w14:paraId="4322904B">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16.16有下列情形之一的，视为供应商串通投标，其投标无效：</w:t>
      </w:r>
    </w:p>
    <w:p w14:paraId="49E78236">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16.16.1不同供应商的响应文件由同一单位或者个人编制；</w:t>
      </w:r>
    </w:p>
    <w:p w14:paraId="575128DB">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16.16.2不同供应商委托同一单位或者个人办理投标事宜；</w:t>
      </w:r>
    </w:p>
    <w:p w14:paraId="55A24A08">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16.16.3不同供应商的响应文件载明的项目管理成员或者联系人员为同一人；</w:t>
      </w:r>
    </w:p>
    <w:p w14:paraId="0097524E">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16.16.4不同供应商的响应文件异常一致或者投标报价呈规律性差异；</w:t>
      </w:r>
    </w:p>
    <w:p w14:paraId="167D06F0">
      <w:pPr>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16.16.5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14:paraId="17F8B8A9">
      <w:pPr>
        <w:tabs>
          <w:tab w:val="left" w:pos="3870"/>
          <w:tab w:val="left" w:pos="4085"/>
        </w:tabs>
        <w:snapToGrid w:val="0"/>
        <w:spacing w:line="336"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16.1</w:t>
      </w: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 xml:space="preserve"> 其他违反</w:t>
      </w:r>
      <w:r>
        <w:rPr>
          <w:rFonts w:hint="eastAsia" w:ascii="宋体" w:hAnsi="宋体" w:eastAsia="宋体" w:cs="宋体"/>
          <w:b/>
          <w:bCs/>
          <w:color w:val="auto"/>
          <w:sz w:val="24"/>
          <w:szCs w:val="24"/>
          <w:lang w:eastAsia="zh-CN"/>
        </w:rPr>
        <w:t>法律法规</w:t>
      </w:r>
      <w:r>
        <w:rPr>
          <w:rFonts w:hint="eastAsia" w:ascii="宋体" w:hAnsi="宋体" w:eastAsia="宋体" w:cs="宋体"/>
          <w:b/>
          <w:bCs/>
          <w:color w:val="auto"/>
          <w:sz w:val="24"/>
          <w:szCs w:val="24"/>
        </w:rPr>
        <w:t>的情形。</w:t>
      </w:r>
    </w:p>
    <w:p w14:paraId="36B1327D">
      <w:pPr>
        <w:pStyle w:val="5"/>
        <w:numPr>
          <w:ilvl w:val="0"/>
          <w:numId w:val="9"/>
        </w:numPr>
        <w:jc w:val="center"/>
        <w:rPr>
          <w:rFonts w:hint="eastAsia" w:ascii="宋体" w:hAnsi="宋体" w:eastAsia="宋体" w:cs="宋体"/>
          <w:color w:val="auto"/>
        </w:rPr>
      </w:pPr>
      <w:r>
        <w:rPr>
          <w:rFonts w:hint="eastAsia" w:ascii="宋体" w:hAnsi="宋体" w:eastAsia="宋体" w:cs="宋体"/>
          <w:color w:val="auto"/>
        </w:rPr>
        <w:t xml:space="preserve"> </w:t>
      </w:r>
      <w:bookmarkStart w:id="60" w:name="_Toc6023"/>
      <w:bookmarkStart w:id="61" w:name="_Toc21752"/>
      <w:r>
        <w:rPr>
          <w:rFonts w:hint="eastAsia" w:ascii="宋体" w:hAnsi="宋体" w:eastAsia="宋体" w:cs="宋体"/>
          <w:color w:val="auto"/>
        </w:rPr>
        <w:t>采购中止的情形</w:t>
      </w:r>
      <w:bookmarkEnd w:id="60"/>
      <w:bookmarkEnd w:id="61"/>
    </w:p>
    <w:p w14:paraId="2A615581">
      <w:pPr>
        <w:pStyle w:val="15"/>
        <w:spacing w:line="336" w:lineRule="auto"/>
        <w:ind w:left="400" w:left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中止电子交易活动和</w:t>
      </w:r>
      <w:r>
        <w:rPr>
          <w:rFonts w:hint="eastAsia" w:ascii="宋体" w:hAnsi="宋体" w:eastAsia="宋体" w:cs="宋体"/>
          <w:b/>
          <w:bCs/>
          <w:color w:val="auto"/>
          <w:sz w:val="24"/>
          <w:szCs w:val="24"/>
        </w:rPr>
        <w:t>重新组织采购</w:t>
      </w:r>
    </w:p>
    <w:p w14:paraId="1FA8ECDE">
      <w:pPr>
        <w:pStyle w:val="56"/>
        <w:tabs>
          <w:tab w:val="left" w:pos="0"/>
        </w:tabs>
        <w:spacing w:before="0" w:line="336" w:lineRule="auto"/>
        <w:ind w:left="400" w:leftChars="200" w:firstLine="0" w:firstLineChars="0"/>
        <w:rPr>
          <w:rFonts w:hint="eastAsia" w:ascii="宋体" w:hAnsi="宋体" w:eastAsia="宋体" w:cs="宋体"/>
          <w:color w:val="auto"/>
          <w:lang w:val="zh-CN"/>
        </w:rPr>
      </w:pPr>
      <w:r>
        <w:rPr>
          <w:rFonts w:hint="eastAsia" w:ascii="宋体" w:hAnsi="宋体" w:eastAsia="宋体" w:cs="宋体"/>
          <w:color w:val="auto"/>
        </w:rPr>
        <w:t>17.1</w:t>
      </w:r>
      <w:r>
        <w:rPr>
          <w:rFonts w:hint="eastAsia" w:ascii="宋体" w:hAnsi="宋体" w:eastAsia="宋体" w:cs="宋体"/>
          <w:color w:val="auto"/>
          <w:lang w:val="zh-CN"/>
        </w:rPr>
        <w:t>采购过程中出现以下情形，导致电子交易平台无法正常运行，或者无法保证电子交易的公平、公正和安全时，采购组织机构可中止电子交易活动：</w:t>
      </w:r>
    </w:p>
    <w:p w14:paraId="4A480641">
      <w:pPr>
        <w:numPr>
          <w:ilvl w:val="0"/>
          <w:numId w:val="15"/>
        </w:numPr>
        <w:tabs>
          <w:tab w:val="left" w:pos="0"/>
        </w:tabs>
        <w:spacing w:line="336" w:lineRule="auto"/>
        <w:ind w:left="12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电子交易平台发生故障而无法登录访问的； </w:t>
      </w:r>
    </w:p>
    <w:p w14:paraId="4A8A2087">
      <w:pPr>
        <w:numPr>
          <w:ilvl w:val="0"/>
          <w:numId w:val="15"/>
        </w:numPr>
        <w:tabs>
          <w:tab w:val="left" w:pos="0"/>
        </w:tabs>
        <w:spacing w:line="336" w:lineRule="auto"/>
        <w:ind w:left="12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电子交易平台应用或数据库出现错误，不能进行正常操作的；</w:t>
      </w:r>
    </w:p>
    <w:p w14:paraId="3F9C1905">
      <w:pPr>
        <w:numPr>
          <w:ilvl w:val="0"/>
          <w:numId w:val="15"/>
        </w:numPr>
        <w:tabs>
          <w:tab w:val="left" w:pos="0"/>
        </w:tabs>
        <w:spacing w:line="336" w:lineRule="auto"/>
        <w:ind w:left="12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电子交易平台发现严重安全漏洞，有潜在泄密危险的；</w:t>
      </w:r>
    </w:p>
    <w:p w14:paraId="3D605CCD">
      <w:pPr>
        <w:numPr>
          <w:ilvl w:val="0"/>
          <w:numId w:val="15"/>
        </w:numPr>
        <w:tabs>
          <w:tab w:val="left" w:pos="0"/>
        </w:tabs>
        <w:spacing w:line="336" w:lineRule="auto"/>
        <w:ind w:left="12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病毒发作导致不能进行正常操作的； </w:t>
      </w:r>
    </w:p>
    <w:p w14:paraId="4AA2B67D">
      <w:pPr>
        <w:numPr>
          <w:ilvl w:val="0"/>
          <w:numId w:val="15"/>
        </w:numPr>
        <w:tabs>
          <w:tab w:val="left" w:pos="0"/>
        </w:tabs>
        <w:spacing w:line="336" w:lineRule="auto"/>
        <w:ind w:left="12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其他无法保证电子交易的公平、公正和安全的情况。</w:t>
      </w:r>
    </w:p>
    <w:p w14:paraId="26CEB12A">
      <w:pPr>
        <w:pStyle w:val="56"/>
        <w:tabs>
          <w:tab w:val="left" w:pos="0"/>
        </w:tabs>
        <w:spacing w:before="0" w:line="336" w:lineRule="auto"/>
        <w:ind w:firstLine="480"/>
        <w:rPr>
          <w:rFonts w:hint="eastAsia" w:ascii="宋体" w:hAnsi="宋体" w:eastAsia="宋体" w:cs="宋体"/>
          <w:color w:val="auto"/>
        </w:rPr>
      </w:pPr>
      <w:r>
        <w:rPr>
          <w:rFonts w:hint="eastAsia" w:ascii="宋体" w:hAnsi="宋体" w:eastAsia="宋体" w:cs="宋体"/>
          <w:color w:val="auto"/>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238DA407">
      <w:pPr>
        <w:pStyle w:val="5"/>
        <w:numPr>
          <w:ilvl w:val="0"/>
          <w:numId w:val="9"/>
        </w:numPr>
        <w:jc w:val="center"/>
        <w:rPr>
          <w:rFonts w:hint="eastAsia" w:ascii="宋体" w:hAnsi="宋体" w:eastAsia="宋体" w:cs="宋体"/>
          <w:color w:val="auto"/>
        </w:rPr>
      </w:pPr>
      <w:r>
        <w:rPr>
          <w:rFonts w:hint="eastAsia" w:ascii="宋体" w:hAnsi="宋体" w:eastAsia="宋体" w:cs="宋体"/>
          <w:color w:val="auto"/>
        </w:rPr>
        <w:t xml:space="preserve"> </w:t>
      </w:r>
      <w:bookmarkStart w:id="62" w:name="_Toc14029"/>
      <w:bookmarkStart w:id="63" w:name="_Toc5935"/>
      <w:r>
        <w:rPr>
          <w:rFonts w:hint="eastAsia" w:ascii="宋体" w:hAnsi="宋体" w:eastAsia="宋体" w:cs="宋体"/>
          <w:color w:val="auto"/>
        </w:rPr>
        <w:t>确定成交供应商与签订合同</w:t>
      </w:r>
      <w:bookmarkEnd w:id="62"/>
      <w:bookmarkEnd w:id="63"/>
    </w:p>
    <w:p w14:paraId="49CB7460">
      <w:pPr>
        <w:snapToGrid w:val="0"/>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18、推荐成交候选供应商</w:t>
      </w:r>
    </w:p>
    <w:p w14:paraId="70B8D9AC">
      <w:pPr>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14:paraId="551745F9">
      <w:pPr>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18.2 采购代理机构应当在评审结束后2个工作日内将评审报告送采购人确认。</w:t>
      </w:r>
    </w:p>
    <w:p w14:paraId="047E8C7C">
      <w:pPr>
        <w:snapToGrid w:val="0"/>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19、确定成交供应商</w:t>
      </w:r>
    </w:p>
    <w:p w14:paraId="442D2F22">
      <w:pPr>
        <w:adjustRightIn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446CF3E">
      <w:pPr>
        <w:adjustRightIn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19.2采购人或者采购代理机构应当在成交供应商确定后2个工作日内，在省级以上财政部门指定的政府采购信息发布媒体上公告成交结果，同时向成交供应商发出成交通知书。</w:t>
      </w:r>
    </w:p>
    <w:p w14:paraId="0348BE5D">
      <w:pPr>
        <w:adjustRightInd w:val="0"/>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20、签订合同</w:t>
      </w:r>
    </w:p>
    <w:p w14:paraId="04AB0D7A">
      <w:pPr>
        <w:pStyle w:val="56"/>
        <w:snapToGrid w:val="0"/>
        <w:spacing w:before="0" w:line="336" w:lineRule="auto"/>
        <w:ind w:firstLine="480"/>
        <w:rPr>
          <w:rFonts w:hint="eastAsia" w:ascii="宋体" w:hAnsi="宋体" w:eastAsia="宋体" w:cs="宋体"/>
          <w:color w:val="auto"/>
        </w:rPr>
      </w:pPr>
      <w:r>
        <w:rPr>
          <w:rFonts w:hint="eastAsia" w:ascii="宋体" w:hAnsi="宋体" w:eastAsia="宋体" w:cs="宋体"/>
          <w:color w:val="auto"/>
        </w:rPr>
        <w:t>20.1. 采购人与成交供应商应当在成交通知书发出之日起30日内，按照磋商文件确定的合同文本以及采购标的、规格型号、采购金额、采购数量、技术和服务要求等事项签订政府采购合同。</w:t>
      </w:r>
    </w:p>
    <w:p w14:paraId="76390C80">
      <w:pPr>
        <w:pStyle w:val="56"/>
        <w:snapToGrid w:val="0"/>
        <w:spacing w:before="0" w:line="336" w:lineRule="auto"/>
        <w:ind w:firstLine="480"/>
        <w:rPr>
          <w:rFonts w:hint="eastAsia" w:ascii="宋体" w:hAnsi="宋体" w:eastAsia="宋体" w:cs="宋体"/>
          <w:color w:val="auto"/>
        </w:rPr>
      </w:pPr>
      <w:r>
        <w:rPr>
          <w:rFonts w:hint="eastAsia" w:ascii="宋体" w:hAnsi="宋体" w:eastAsia="宋体" w:cs="宋体"/>
          <w:color w:val="auto"/>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640E5C12">
      <w:pPr>
        <w:adjustRightInd w:val="0"/>
        <w:snapToGrid w:val="0"/>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21、解释权</w:t>
      </w:r>
    </w:p>
    <w:p w14:paraId="4BA8B49D">
      <w:pPr>
        <w:adjustRightIn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磋商文件的解释权均属于</w:t>
      </w:r>
      <w:r>
        <w:rPr>
          <w:rFonts w:hint="eastAsia" w:ascii="宋体" w:hAnsi="宋体" w:eastAsia="宋体" w:cs="宋体"/>
          <w:color w:val="auto"/>
          <w:sz w:val="24"/>
          <w:szCs w:val="24"/>
          <w:u w:val="single"/>
          <w:lang w:eastAsia="zh-CN"/>
        </w:rPr>
        <w:t>绍兴市生态环境局上虞分局</w:t>
      </w:r>
      <w:r>
        <w:rPr>
          <w:rFonts w:hint="eastAsia" w:ascii="宋体" w:hAnsi="宋体" w:eastAsia="宋体" w:cs="宋体"/>
          <w:color w:val="auto"/>
          <w:sz w:val="24"/>
          <w:szCs w:val="24"/>
        </w:rPr>
        <w:t>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绍兴成言工程咨询管理有限公司</w:t>
      </w:r>
      <w:r>
        <w:rPr>
          <w:rFonts w:hint="eastAsia" w:ascii="宋体" w:hAnsi="宋体" w:eastAsia="宋体" w:cs="宋体"/>
          <w:color w:val="auto"/>
          <w:sz w:val="24"/>
          <w:szCs w:val="24"/>
        </w:rPr>
        <w:t>。</w:t>
      </w:r>
    </w:p>
    <w:p w14:paraId="7E1E44C8">
      <w:pPr>
        <w:pStyle w:val="4"/>
        <w:jc w:val="center"/>
        <w:rPr>
          <w:rFonts w:hint="eastAsia" w:ascii="宋体" w:hAnsi="宋体" w:eastAsia="宋体" w:cs="宋体"/>
          <w:color w:val="auto"/>
          <w:sz w:val="36"/>
          <w:szCs w:val="36"/>
        </w:rPr>
      </w:pPr>
      <w:r>
        <w:rPr>
          <w:rFonts w:hint="eastAsia" w:ascii="宋体" w:hAnsi="宋体" w:eastAsia="宋体" w:cs="宋体"/>
          <w:color w:val="auto"/>
          <w:sz w:val="36"/>
          <w:szCs w:val="36"/>
        </w:rPr>
        <w:br w:type="page"/>
      </w:r>
      <w:bookmarkStart w:id="64" w:name="_Toc17731"/>
      <w:bookmarkStart w:id="65" w:name="_Toc21248"/>
      <w:r>
        <w:rPr>
          <w:rFonts w:hint="eastAsia" w:ascii="宋体" w:hAnsi="宋体" w:eastAsia="宋体" w:cs="宋体"/>
          <w:color w:val="auto"/>
          <w:sz w:val="36"/>
          <w:szCs w:val="36"/>
        </w:rPr>
        <w:t>第三部分 采购内容及要求</w:t>
      </w:r>
      <w:bookmarkEnd w:id="64"/>
      <w:bookmarkEnd w:id="65"/>
    </w:p>
    <w:p w14:paraId="2A6FA1A6">
      <w:pPr>
        <w:pStyle w:val="5"/>
        <w:jc w:val="center"/>
        <w:rPr>
          <w:rFonts w:hint="eastAsia" w:ascii="宋体" w:hAnsi="宋体" w:eastAsia="宋体" w:cs="宋体"/>
          <w:bCs w:val="0"/>
          <w:color w:val="auto"/>
        </w:rPr>
      </w:pPr>
      <w:bookmarkStart w:id="66" w:name="_Toc9413"/>
      <w:bookmarkStart w:id="67" w:name="_Toc25469"/>
      <w:bookmarkStart w:id="68" w:name="_Toc15473"/>
      <w:bookmarkStart w:id="69" w:name="_Toc24114"/>
      <w:bookmarkStart w:id="70" w:name="_Toc25162762"/>
      <w:bookmarkStart w:id="71" w:name="_Toc31735"/>
      <w:bookmarkStart w:id="72" w:name="_Toc6216"/>
      <w:bookmarkStart w:id="73" w:name="_Toc506107121"/>
      <w:bookmarkStart w:id="74" w:name="_Toc28762"/>
      <w:bookmarkStart w:id="75" w:name="_Toc25162757"/>
      <w:bookmarkStart w:id="76" w:name="_Toc15284"/>
      <w:r>
        <w:rPr>
          <w:rFonts w:hint="eastAsia" w:ascii="宋体" w:hAnsi="宋体" w:eastAsia="宋体" w:cs="宋体"/>
          <w:color w:val="auto"/>
        </w:rPr>
        <w:t>第一章 采购内容及要求</w:t>
      </w:r>
      <w:bookmarkEnd w:id="66"/>
    </w:p>
    <w:bookmarkEnd w:id="67"/>
    <w:bookmarkEnd w:id="68"/>
    <w:bookmarkEnd w:id="69"/>
    <w:bookmarkEnd w:id="70"/>
    <w:bookmarkEnd w:id="71"/>
    <w:bookmarkEnd w:id="72"/>
    <w:bookmarkEnd w:id="73"/>
    <w:bookmarkEnd w:id="74"/>
    <w:bookmarkEnd w:id="75"/>
    <w:p w14:paraId="1EABC64C">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宋体" w:hAnsi="宋体" w:eastAsia="宋体" w:cs="宋体"/>
          <w:b/>
          <w:bCs/>
          <w:sz w:val="24"/>
          <w:szCs w:val="24"/>
        </w:rPr>
      </w:pPr>
      <w:bookmarkStart w:id="77" w:name="_Toc18895"/>
      <w:r>
        <w:rPr>
          <w:rFonts w:hint="eastAsia" w:ascii="宋体" w:hAnsi="宋体" w:eastAsia="宋体" w:cs="宋体"/>
          <w:b/>
          <w:bCs/>
          <w:sz w:val="24"/>
          <w:szCs w:val="24"/>
        </w:rPr>
        <w:t>一、项目背景</w:t>
      </w:r>
    </w:p>
    <w:p w14:paraId="49E81445">
      <w:pPr>
        <w:spacing w:line="440" w:lineRule="exact"/>
        <w:ind w:firstLine="480" w:firstLineChars="200"/>
        <w:rPr>
          <w:rFonts w:hint="eastAsia" w:ascii="宋体" w:hAnsi="宋体" w:eastAsia="宋体" w:cs="宋体"/>
          <w:kern w:val="0"/>
          <w:sz w:val="24"/>
          <w:szCs w:val="22"/>
        </w:rPr>
      </w:pPr>
      <w:r>
        <w:rPr>
          <w:rFonts w:hint="eastAsia" w:ascii="宋体" w:hAnsi="宋体" w:eastAsia="宋体" w:cs="宋体"/>
          <w:color w:val="000000" w:themeColor="text1"/>
          <w:sz w:val="24"/>
          <w:szCs w:val="24"/>
          <w:lang w:val="en-US" w:eastAsia="zh-CN"/>
          <w14:textFill>
            <w14:solidFill>
              <w14:schemeClr w14:val="tx1"/>
            </w14:solidFill>
          </w14:textFill>
        </w:rPr>
        <w:t>上虞需增加2个地下水风险监控点和1个省控地下水区域监测点位</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kern w:val="0"/>
          <w:sz w:val="24"/>
          <w:szCs w:val="22"/>
        </w:rPr>
        <w:t>供应商按照《浙江省地下水环境质量监测点位规范化建设实施方案》中的技术要求，开展资料收集、确定布点区域、基本情况调查分析、点位预布设、现场踏勘和点位确认、点位布设方案编制和评审、水文地质勘查（如必要）、监测井建设、水质监测等，完成地下水污染风险监控点的建设，确保监测井点位建设符合相关技术规范要求。</w:t>
      </w:r>
    </w:p>
    <w:p w14:paraId="57961D78">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资料分析与前期调查</w:t>
      </w:r>
    </w:p>
    <w:p w14:paraId="262BF728">
      <w:pPr>
        <w:spacing w:line="440" w:lineRule="exact"/>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1）基础资料收集与分析。收集园区所在区域自然和社会信息、地形地貌、水文地质、园区地块利用变迁资料、地下水开发利用现状、已有监测井信息、园区地下水调查、监测、研究等项目的相关资料。</w:t>
      </w:r>
    </w:p>
    <w:p w14:paraId="2BB4971B">
      <w:pPr>
        <w:spacing w:line="440" w:lineRule="exact"/>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2）地下水污染源调查。对布点区域进行现场踏勘，调查了解布点区域内及周边主要工业企业分布情况，收集布点区域及周边地下水污染源相关资料和信息，调查评估区域内现有地下水环境监测井及水质情况。</w:t>
      </w:r>
    </w:p>
    <w:p w14:paraId="401B9F01">
      <w:pPr>
        <w:spacing w:line="440" w:lineRule="exact"/>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3）水文地质调查。开展水文地质调查，通过资料收集或水文地质勘查方式掌握布点区域岩层分布，地下水类型，地下水流向、地下水补径排规律。</w:t>
      </w:r>
    </w:p>
    <w:p w14:paraId="323C42B7">
      <w:pPr>
        <w:spacing w:line="440" w:lineRule="exact"/>
        <w:ind w:firstLine="482" w:firstLineChars="200"/>
        <w:rPr>
          <w:rFonts w:hint="eastAsia" w:ascii="宋体" w:hAnsi="宋体" w:eastAsia="宋体" w:cs="宋体"/>
          <w:b/>
          <w:bCs/>
          <w:kern w:val="0"/>
          <w:sz w:val="24"/>
          <w:szCs w:val="22"/>
        </w:rPr>
      </w:pPr>
      <w:r>
        <w:rPr>
          <w:rFonts w:hint="eastAsia" w:ascii="宋体" w:hAnsi="宋体" w:eastAsia="宋体" w:cs="宋体"/>
          <w:b/>
          <w:bCs/>
          <w:kern w:val="0"/>
          <w:sz w:val="24"/>
          <w:szCs w:val="22"/>
          <w:lang w:eastAsia="zh-CN"/>
        </w:rPr>
        <w:t>三、</w:t>
      </w:r>
      <w:r>
        <w:rPr>
          <w:rFonts w:hint="eastAsia" w:ascii="宋体" w:hAnsi="宋体" w:eastAsia="宋体" w:cs="宋体"/>
          <w:b/>
          <w:bCs/>
          <w:kern w:val="0"/>
          <w:sz w:val="24"/>
          <w:szCs w:val="22"/>
        </w:rPr>
        <w:t>点位布设方案编制与评审</w:t>
      </w:r>
    </w:p>
    <w:p w14:paraId="14B17871">
      <w:pPr>
        <w:spacing w:line="440" w:lineRule="exact"/>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1）编制点位布设方案。根据资料分析和前期调查结果，确定工业园区边界和面积大小，基于水文地质状况和地下水流向，综合考虑园区地下水环境污染风险评价结果，进行点位预布设、现场踏勘和点位确认，编制点位布设方案，确定点位布设个数及预布设位置，重点说明点位布设的合理性，明确监测井建设内容、水质监测要求、进度安排等。</w:t>
      </w:r>
    </w:p>
    <w:p w14:paraId="4F3A3F55">
      <w:pPr>
        <w:spacing w:line="440" w:lineRule="exact"/>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2）编制点位布设方案并通过评审。</w:t>
      </w:r>
    </w:p>
    <w:p w14:paraId="63FB4CB5">
      <w:pPr>
        <w:spacing w:line="440" w:lineRule="exact"/>
        <w:ind w:firstLine="482" w:firstLineChars="200"/>
        <w:rPr>
          <w:rFonts w:hint="eastAsia" w:ascii="宋体" w:hAnsi="宋体" w:eastAsia="宋体" w:cs="宋体"/>
          <w:b/>
          <w:bCs/>
          <w:kern w:val="0"/>
          <w:sz w:val="24"/>
          <w:szCs w:val="22"/>
        </w:rPr>
      </w:pPr>
      <w:r>
        <w:rPr>
          <w:rFonts w:hint="eastAsia" w:ascii="宋体" w:hAnsi="宋体" w:eastAsia="宋体" w:cs="宋体"/>
          <w:b/>
          <w:bCs/>
          <w:kern w:val="0"/>
          <w:sz w:val="24"/>
          <w:szCs w:val="22"/>
          <w:lang w:eastAsia="zh-CN"/>
        </w:rPr>
        <w:t>四、</w:t>
      </w:r>
      <w:r>
        <w:rPr>
          <w:rFonts w:hint="eastAsia" w:ascii="宋体" w:hAnsi="宋体" w:eastAsia="宋体" w:cs="宋体"/>
          <w:b/>
          <w:bCs/>
          <w:kern w:val="0"/>
          <w:sz w:val="24"/>
          <w:szCs w:val="22"/>
        </w:rPr>
        <w:t>监测井建设</w:t>
      </w:r>
    </w:p>
    <w:p w14:paraId="060C9741">
      <w:pPr>
        <w:spacing w:line="440" w:lineRule="exact"/>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1）依据《地下水环境监测技术规范》（HJ164-2020）、《地下水监测井建设规范》（DZ/T 0270-2014）等相关标准规范，开展地下水环境监测井建设。根据水文地质勘查资料，合理设计井的深度和建设方式，现场钻探作业，并结合相关要求，开展下管、填砾、止水等配套工作，以及成井洗井及水文试验。</w:t>
      </w:r>
    </w:p>
    <w:p w14:paraId="00C6DFBF">
      <w:pPr>
        <w:spacing w:line="440" w:lineRule="exact"/>
        <w:ind w:firstLine="480" w:firstLineChars="200"/>
        <w:rPr>
          <w:rFonts w:hint="eastAsia" w:ascii="宋体" w:hAnsi="宋体" w:eastAsia="宋体" w:cs="宋体"/>
          <w:b/>
          <w:bCs/>
          <w:kern w:val="0"/>
          <w:sz w:val="24"/>
          <w:szCs w:val="22"/>
        </w:rPr>
      </w:pPr>
      <w:r>
        <w:rPr>
          <w:rFonts w:hint="eastAsia" w:ascii="宋体" w:hAnsi="宋体" w:eastAsia="宋体" w:cs="宋体"/>
          <w:kern w:val="0"/>
          <w:sz w:val="24"/>
          <w:szCs w:val="22"/>
        </w:rPr>
        <w:t>2）按照《浙江省地下水环境质量监测点位规范化建设实施方案》开展监测井规范化建设，包括监测井保护筒、井台、栅栏、标牌、警示牌、宣传牌、二维码等制作，整理点位档案资料。</w:t>
      </w:r>
    </w:p>
    <w:p w14:paraId="71F6F346">
      <w:pPr>
        <w:spacing w:line="440" w:lineRule="exact"/>
        <w:ind w:firstLine="482" w:firstLineChars="200"/>
        <w:rPr>
          <w:rFonts w:hint="eastAsia" w:ascii="宋体" w:hAnsi="宋体" w:eastAsia="宋体" w:cs="宋体"/>
          <w:b/>
          <w:bCs/>
          <w:kern w:val="0"/>
          <w:sz w:val="24"/>
          <w:szCs w:val="22"/>
        </w:rPr>
      </w:pPr>
      <w:r>
        <w:rPr>
          <w:rFonts w:hint="eastAsia" w:ascii="宋体" w:hAnsi="宋体" w:eastAsia="宋体" w:cs="宋体"/>
          <w:b/>
          <w:bCs/>
          <w:kern w:val="0"/>
          <w:sz w:val="24"/>
          <w:szCs w:val="22"/>
          <w:lang w:eastAsia="zh-CN"/>
        </w:rPr>
        <w:t>五、</w:t>
      </w:r>
      <w:r>
        <w:rPr>
          <w:rFonts w:hint="eastAsia" w:ascii="宋体" w:hAnsi="宋体" w:eastAsia="宋体" w:cs="宋体"/>
          <w:b/>
          <w:bCs/>
          <w:kern w:val="0"/>
          <w:sz w:val="24"/>
          <w:szCs w:val="22"/>
        </w:rPr>
        <w:t>水质监测</w:t>
      </w:r>
    </w:p>
    <w:p w14:paraId="0C72A766">
      <w:pPr>
        <w:spacing w:line="440" w:lineRule="exact"/>
        <w:ind w:firstLine="482" w:firstLineChars="200"/>
        <w:rPr>
          <w:rFonts w:hint="eastAsia" w:ascii="宋体" w:hAnsi="宋体" w:eastAsia="宋体" w:cs="宋体"/>
          <w:kern w:val="0"/>
          <w:sz w:val="24"/>
          <w:szCs w:val="22"/>
        </w:rPr>
      </w:pPr>
      <w:r>
        <w:rPr>
          <w:rFonts w:hint="eastAsia" w:ascii="宋体" w:hAnsi="宋体" w:eastAsia="宋体" w:cs="宋体"/>
          <w:b/>
          <w:bCs/>
          <w:kern w:val="0"/>
          <w:sz w:val="24"/>
          <w:szCs w:val="22"/>
        </w:rPr>
        <w:t>2个地下水风险监控点</w:t>
      </w:r>
      <w:r>
        <w:rPr>
          <w:rFonts w:hint="eastAsia" w:ascii="宋体" w:hAnsi="宋体" w:eastAsia="宋体" w:cs="宋体"/>
          <w:kern w:val="0"/>
          <w:sz w:val="24"/>
          <w:szCs w:val="22"/>
          <w:lang w:val="en-US" w:eastAsia="zh-CN"/>
        </w:rPr>
        <w:t>;</w:t>
      </w:r>
      <w:r>
        <w:rPr>
          <w:rFonts w:hint="eastAsia" w:ascii="宋体" w:hAnsi="宋体" w:eastAsia="宋体" w:cs="宋体"/>
          <w:kern w:val="0"/>
          <w:sz w:val="24"/>
          <w:szCs w:val="22"/>
        </w:rPr>
        <w:t>监测井建成后，开展</w:t>
      </w:r>
      <w:r>
        <w:rPr>
          <w:rFonts w:hint="eastAsia" w:ascii="宋体" w:hAnsi="宋体" w:eastAsia="宋体" w:cs="宋体"/>
          <w:kern w:val="0"/>
          <w:sz w:val="24"/>
          <w:szCs w:val="22"/>
          <w:lang w:val="en-US" w:eastAsia="zh-CN"/>
        </w:rPr>
        <w:t>6</w:t>
      </w:r>
      <w:r>
        <w:rPr>
          <w:rFonts w:hint="eastAsia" w:ascii="宋体" w:hAnsi="宋体" w:eastAsia="宋体" w:cs="宋体"/>
          <w:kern w:val="0"/>
          <w:sz w:val="24"/>
          <w:szCs w:val="22"/>
        </w:rPr>
        <w:t>次水质监测。包含监测井洗井、样品采集、现场指标测试、实验室样品分析、监测报告编制等。</w:t>
      </w:r>
    </w:p>
    <w:p w14:paraId="1664F138">
      <w:pPr>
        <w:spacing w:line="440" w:lineRule="exact"/>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测试指标如下：</w:t>
      </w:r>
    </w:p>
    <w:p w14:paraId="679498B7">
      <w:pPr>
        <w:spacing w:line="440" w:lineRule="exact"/>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29项基本指标：pH、硫酸盐、氯化物、铁、锰、铜、锌、铝、挥发性酚类（以苯酚计）、阴离子表面活性剂、耗氧量（COD</w:t>
      </w:r>
      <w:r>
        <w:rPr>
          <w:rFonts w:hint="eastAsia" w:ascii="宋体" w:hAnsi="宋体" w:eastAsia="宋体" w:cs="宋体"/>
          <w:kern w:val="0"/>
          <w:sz w:val="24"/>
          <w:szCs w:val="22"/>
          <w:vertAlign w:val="subscript"/>
        </w:rPr>
        <w:t>mn</w:t>
      </w:r>
      <w:r>
        <w:rPr>
          <w:rFonts w:hint="eastAsia" w:ascii="宋体" w:hAnsi="宋体" w:eastAsia="宋体" w:cs="宋体"/>
          <w:kern w:val="0"/>
          <w:sz w:val="24"/>
          <w:szCs w:val="22"/>
        </w:rPr>
        <w:t>法，以O</w:t>
      </w:r>
      <w:r>
        <w:rPr>
          <w:rFonts w:hint="eastAsia" w:ascii="宋体" w:hAnsi="宋体" w:eastAsia="宋体" w:cs="宋体"/>
          <w:kern w:val="0"/>
          <w:sz w:val="24"/>
          <w:szCs w:val="22"/>
          <w:vertAlign w:val="subscript"/>
        </w:rPr>
        <w:t>2</w:t>
      </w:r>
      <w:r>
        <w:rPr>
          <w:rFonts w:hint="eastAsia" w:ascii="宋体" w:hAnsi="宋体" w:eastAsia="宋体" w:cs="宋体"/>
          <w:kern w:val="0"/>
          <w:sz w:val="24"/>
          <w:szCs w:val="22"/>
        </w:rPr>
        <w:t>计）、氨氮（以N计）、硫化物、钠、亚硝酸盐（以N计）、硝酸盐（以N计）、氰化物、氟化物、碘化物、汞、砷、硒、镉、铬（六价）、铅、三氯甲烷、四氯化碳、苯和甲苯。</w:t>
      </w:r>
    </w:p>
    <w:p w14:paraId="63DC8361">
      <w:pPr>
        <w:spacing w:line="440" w:lineRule="exact"/>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13项辅助指标：色（铂钴色度单位）、嗅和味、浑浊度/NTU、肉眼可见物、总硬度（以 CaCO</w:t>
      </w:r>
      <w:r>
        <w:rPr>
          <w:rFonts w:hint="eastAsia" w:ascii="宋体" w:hAnsi="宋体" w:eastAsia="宋体" w:cs="宋体"/>
          <w:kern w:val="0"/>
          <w:sz w:val="24"/>
          <w:szCs w:val="22"/>
          <w:vertAlign w:val="subscript"/>
        </w:rPr>
        <w:t>3</w:t>
      </w:r>
      <w:r>
        <w:rPr>
          <w:rFonts w:hint="eastAsia" w:ascii="宋体" w:hAnsi="宋体" w:eastAsia="宋体" w:cs="宋体"/>
          <w:kern w:val="0"/>
          <w:sz w:val="24"/>
          <w:szCs w:val="22"/>
        </w:rPr>
        <w:t>计）、溶解性总固体、钾、钙、镁、重碳酸根、碳酸根、游离二氧化碳和总氮。</w:t>
      </w:r>
    </w:p>
    <w:p w14:paraId="18710F6B">
      <w:pPr>
        <w:spacing w:line="440" w:lineRule="exact"/>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19 项特征指标：铍、锑、镍、钴、银、钡、铊、二氯甲烷、1，2-二氯乙烷、氯乙烯、氯苯、乙苯、二甲苯、苯乙烯、2，4-二硝基甲苯、2，6-二硝基甲苯、苯并[a]芘、五氯酚和乐果。</w:t>
      </w:r>
    </w:p>
    <w:p w14:paraId="5EF157A5">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1个省控地下水区域点位</w:t>
      </w:r>
      <w:r>
        <w:rPr>
          <w:rFonts w:hint="eastAsia" w:ascii="宋体" w:hAnsi="宋体" w:eastAsia="宋体" w:cs="宋体"/>
          <w:sz w:val="24"/>
          <w:szCs w:val="24"/>
          <w:lang w:val="en-US" w:eastAsia="zh-CN"/>
        </w:rPr>
        <w:t>：</w:t>
      </w:r>
      <w:r>
        <w:rPr>
          <w:rFonts w:hint="eastAsia" w:ascii="宋体" w:hAnsi="宋体" w:eastAsia="宋体" w:cs="宋体"/>
          <w:sz w:val="24"/>
          <w:szCs w:val="24"/>
        </w:rPr>
        <w:t>样品采集包含洗井、测试现场指标、采样、监测报告编制等；29项基本指标监测次数为6次（连续半年，每月1次），13项辅助指标监测次数为2次。</w:t>
      </w:r>
    </w:p>
    <w:p w14:paraId="39A7DC8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测试指标如下：</w:t>
      </w:r>
    </w:p>
    <w:p w14:paraId="12FEEC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29项基本指标：pH、硫酸盐、氯化物、铁、锰、铜、锌、铝、挥发性酚类（以苯酚计）、阴离子表面活性剂、耗氧量（CODMn法，以O</w:t>
      </w:r>
      <w:r>
        <w:rPr>
          <w:rFonts w:hint="eastAsia" w:ascii="宋体" w:hAnsi="宋体" w:eastAsia="宋体" w:cs="宋体"/>
          <w:sz w:val="24"/>
          <w:szCs w:val="24"/>
          <w:vertAlign w:val="subscript"/>
        </w:rPr>
        <w:t>2</w:t>
      </w:r>
      <w:r>
        <w:rPr>
          <w:rFonts w:hint="eastAsia" w:ascii="宋体" w:hAnsi="宋体" w:eastAsia="宋体" w:cs="宋体"/>
          <w:sz w:val="24"/>
          <w:szCs w:val="24"/>
        </w:rPr>
        <w:t>计）、氨氮（以N计）、硫化物、钠、亚硝酸盐（以N计）、硝酸盐（以N计）、氰化物、氟化物、碘化物、汞、砷、硒、镉、铬（六价）、铅、三氯甲烷、四氯化碳、苯和甲苯。</w:t>
      </w:r>
    </w:p>
    <w:p w14:paraId="4B7A231A">
      <w:pPr>
        <w:spacing w:line="360" w:lineRule="auto"/>
        <w:ind w:firstLine="480" w:firstLineChars="200"/>
        <w:rPr>
          <w:rFonts w:hint="eastAsia" w:ascii="宋体" w:hAnsi="宋体" w:eastAsia="宋体" w:cs="宋体"/>
          <w:kern w:val="0"/>
          <w:sz w:val="24"/>
          <w:szCs w:val="22"/>
        </w:rPr>
      </w:pPr>
      <w:r>
        <w:rPr>
          <w:rFonts w:hint="eastAsia" w:ascii="宋体" w:hAnsi="宋体" w:eastAsia="宋体" w:cs="宋体"/>
          <w:sz w:val="24"/>
          <w:szCs w:val="24"/>
        </w:rPr>
        <w:t>13项辅助指标：色（铂钴色度单位）、嗅和味、浑浊度/NTU、肉眼可见物、总硬度（以 CaCO</w:t>
      </w:r>
      <w:r>
        <w:rPr>
          <w:rFonts w:hint="eastAsia" w:ascii="宋体" w:hAnsi="宋体" w:eastAsia="宋体" w:cs="宋体"/>
          <w:sz w:val="24"/>
          <w:szCs w:val="24"/>
          <w:vertAlign w:val="subscript"/>
        </w:rPr>
        <w:t>3</w:t>
      </w:r>
      <w:r>
        <w:rPr>
          <w:rFonts w:hint="eastAsia" w:ascii="宋体" w:hAnsi="宋体" w:eastAsia="宋体" w:cs="宋体"/>
          <w:sz w:val="24"/>
          <w:szCs w:val="24"/>
        </w:rPr>
        <w:t>计）、溶解性总固体、钾、钙、镁、重碳酸根、碳酸根、游离二氧化碳和总氮。</w:t>
      </w:r>
    </w:p>
    <w:p w14:paraId="13743F19">
      <w:pPr>
        <w:spacing w:line="440" w:lineRule="exact"/>
        <w:ind w:firstLine="482" w:firstLineChars="200"/>
        <w:rPr>
          <w:rFonts w:hint="eastAsia" w:ascii="宋体" w:hAnsi="宋体" w:eastAsia="宋体" w:cs="宋体"/>
          <w:b/>
          <w:bCs/>
          <w:kern w:val="0"/>
          <w:sz w:val="24"/>
          <w:szCs w:val="22"/>
        </w:rPr>
      </w:pPr>
      <w:r>
        <w:rPr>
          <w:rFonts w:hint="eastAsia" w:ascii="宋体" w:hAnsi="宋体" w:eastAsia="宋体" w:cs="宋体"/>
          <w:b/>
          <w:bCs/>
          <w:kern w:val="0"/>
          <w:sz w:val="24"/>
          <w:szCs w:val="22"/>
          <w:lang w:eastAsia="zh-CN"/>
        </w:rPr>
        <w:t>六、</w:t>
      </w:r>
      <w:r>
        <w:rPr>
          <w:rFonts w:hint="eastAsia" w:ascii="宋体" w:hAnsi="宋体" w:eastAsia="宋体" w:cs="宋体"/>
          <w:b/>
          <w:bCs/>
          <w:kern w:val="0"/>
          <w:sz w:val="24"/>
          <w:szCs w:val="22"/>
        </w:rPr>
        <w:t>点位布设报告编制与提交</w:t>
      </w:r>
    </w:p>
    <w:p w14:paraId="7EACD0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收集整理项目资料，综合监测井建设情况和水质监测结果，编制</w:t>
      </w:r>
      <w:r>
        <w:rPr>
          <w:rFonts w:hint="eastAsia" w:ascii="宋体" w:hAnsi="宋体" w:eastAsia="宋体" w:cs="宋体"/>
          <w:sz w:val="24"/>
          <w:szCs w:val="24"/>
          <w:lang w:val="en-US" w:eastAsia="zh-CN"/>
        </w:rPr>
        <w:t>点位建设报告</w:t>
      </w:r>
      <w:r>
        <w:rPr>
          <w:rFonts w:hint="eastAsia" w:ascii="宋体" w:hAnsi="宋体" w:eastAsia="宋体" w:cs="宋体"/>
          <w:sz w:val="24"/>
          <w:szCs w:val="24"/>
        </w:rPr>
        <w:t>，提交项目成果。</w:t>
      </w:r>
    </w:p>
    <w:p w14:paraId="3494B6A8">
      <w:pPr>
        <w:spacing w:line="440" w:lineRule="exact"/>
        <w:ind w:firstLine="480" w:firstLineChars="200"/>
        <w:rPr>
          <w:rFonts w:hint="eastAsia" w:ascii="宋体" w:hAnsi="宋体" w:eastAsia="宋体" w:cs="宋体"/>
          <w:kern w:val="0"/>
          <w:sz w:val="24"/>
          <w:szCs w:val="22"/>
        </w:rPr>
      </w:pPr>
    </w:p>
    <w:p w14:paraId="1C29BFDF">
      <w:pPr>
        <w:spacing w:line="440" w:lineRule="exact"/>
        <w:ind w:firstLine="354" w:firstLineChars="147"/>
        <w:rPr>
          <w:rFonts w:hint="eastAsia" w:ascii="宋体" w:hAnsi="宋体" w:eastAsia="宋体" w:cs="宋体"/>
          <w:b/>
          <w:bCs/>
          <w:kern w:val="0"/>
          <w:sz w:val="24"/>
          <w:szCs w:val="22"/>
        </w:rPr>
      </w:pPr>
      <w:r>
        <w:rPr>
          <w:rFonts w:hint="eastAsia" w:ascii="宋体" w:hAnsi="宋体" w:eastAsia="宋体" w:cs="宋体"/>
          <w:b/>
          <w:bCs/>
          <w:kern w:val="0"/>
          <w:sz w:val="24"/>
          <w:szCs w:val="22"/>
          <w:lang w:eastAsia="zh-CN"/>
        </w:rPr>
        <w:t>七、</w:t>
      </w:r>
      <w:r>
        <w:rPr>
          <w:rFonts w:hint="eastAsia" w:ascii="宋体" w:hAnsi="宋体" w:eastAsia="宋体" w:cs="宋体"/>
          <w:b/>
          <w:bCs/>
          <w:kern w:val="0"/>
          <w:sz w:val="24"/>
          <w:szCs w:val="22"/>
        </w:rPr>
        <w:t>其他相关要求</w:t>
      </w:r>
    </w:p>
    <w:p w14:paraId="3E0C3C12">
      <w:pPr>
        <w:spacing w:line="440" w:lineRule="exact"/>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1、根据本项目采购内容和要求及时完成技术成果提交采购人，并对提交的成果文件的质量负责。供应商必须对本项目</w:t>
      </w:r>
      <w:r>
        <w:rPr>
          <w:rFonts w:hint="eastAsia" w:ascii="宋体" w:hAnsi="宋体" w:eastAsia="宋体" w:cs="宋体"/>
          <w:kern w:val="0"/>
          <w:sz w:val="24"/>
          <w:szCs w:val="22"/>
          <w:lang w:eastAsia="zh-CN"/>
        </w:rPr>
        <w:t>涉及的</w:t>
      </w:r>
      <w:r>
        <w:rPr>
          <w:rFonts w:hint="eastAsia" w:ascii="宋体" w:hAnsi="宋体" w:eastAsia="宋体" w:cs="宋体"/>
          <w:kern w:val="0"/>
          <w:sz w:val="24"/>
          <w:szCs w:val="22"/>
        </w:rPr>
        <w:t>资料及成果承担安全、保密责任。</w:t>
      </w:r>
    </w:p>
    <w:p w14:paraId="41711AFF">
      <w:pPr>
        <w:spacing w:line="440" w:lineRule="exact"/>
        <w:ind w:firstLine="480" w:firstLineChars="200"/>
        <w:rPr>
          <w:rFonts w:hint="eastAsia" w:ascii="宋体" w:hAnsi="宋体" w:eastAsia="宋体" w:cs="宋体"/>
          <w:b/>
          <w:bCs/>
          <w:kern w:val="0"/>
          <w:sz w:val="24"/>
          <w:szCs w:val="22"/>
        </w:rPr>
      </w:pPr>
      <w:r>
        <w:rPr>
          <w:rFonts w:hint="eastAsia" w:ascii="宋体" w:hAnsi="宋体" w:eastAsia="宋体" w:cs="宋体"/>
          <w:kern w:val="0"/>
          <w:sz w:val="24"/>
          <w:szCs w:val="22"/>
        </w:rPr>
        <w:t>2、本项目技术成果的知识产权归属采购人所有，未经采购人同意，供应商不得擅自将成果以自己的名义发表或进行其他学术活动。</w:t>
      </w:r>
    </w:p>
    <w:p w14:paraId="4F3AE544">
      <w:pPr>
        <w:keepNext w:val="0"/>
        <w:keepLines w:val="0"/>
        <w:pageBreakBefore w:val="0"/>
        <w:widowControl w:val="0"/>
        <w:kinsoku/>
        <w:wordWrap/>
        <w:overflowPunct/>
        <w:topLinePunct w:val="0"/>
        <w:autoSpaceDE/>
        <w:autoSpaceDN/>
        <w:bidi w:val="0"/>
        <w:adjustRightInd/>
        <w:snapToGrid/>
        <w:spacing w:line="560" w:lineRule="exact"/>
        <w:ind w:firstLine="241" w:firstLineChars="100"/>
        <w:contextualSpacing/>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、绩效考核</w:t>
      </w:r>
    </w:p>
    <w:p w14:paraId="764B0E7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采购人对现场采样是否准确规范进行现场监督，检测机构提供CMA检测报告，报告的准确性应满足</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lang w:eastAsia="zh-CN"/>
        </w:rPr>
        <w:t>要求。</w:t>
      </w:r>
    </w:p>
    <w:p w14:paraId="443DBD29">
      <w:pPr>
        <w:keepNext w:val="0"/>
        <w:keepLines w:val="0"/>
        <w:pageBreakBefore w:val="0"/>
        <w:widowControl w:val="0"/>
        <w:kinsoku/>
        <w:wordWrap/>
        <w:overflowPunct/>
        <w:topLinePunct w:val="0"/>
        <w:autoSpaceDE/>
        <w:autoSpaceDN/>
        <w:bidi w:val="0"/>
        <w:adjustRightInd/>
        <w:snapToGrid/>
        <w:spacing w:line="360" w:lineRule="auto"/>
        <w:ind w:firstLine="241" w:firstLineChars="100"/>
        <w:contextualSpacing/>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九</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付款方式</w:t>
      </w:r>
      <w:r>
        <w:rPr>
          <w:rFonts w:hint="eastAsia" w:ascii="宋体" w:hAnsi="宋体" w:eastAsia="宋体" w:cs="宋体"/>
          <w:b/>
          <w:bCs/>
          <w:color w:val="000000" w:themeColor="text1"/>
          <w:sz w:val="24"/>
          <w:szCs w:val="24"/>
          <w:lang w:val="en-US" w:eastAsia="zh-CN"/>
          <w14:textFill>
            <w14:solidFill>
              <w14:schemeClr w14:val="tx1"/>
            </w14:solidFill>
          </w14:textFill>
        </w:rPr>
        <w:t>及要求</w:t>
      </w:r>
    </w:p>
    <w:p w14:paraId="45A1C512">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1、付款方式：2025年3月30日前具备实施条件后支付20万元；项目验收合格并提交CMA检测报告后7个工作日内支付20万元；2026年服务期满一年后经采购人确认7个工作日内支付剩余合同价款。</w:t>
      </w:r>
    </w:p>
    <w:p w14:paraId="13C000A4">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付款要求：</w:t>
      </w:r>
      <w:r>
        <w:rPr>
          <w:rFonts w:hint="eastAsia" w:ascii="宋体" w:hAnsi="宋体" w:eastAsia="宋体" w:cs="宋体"/>
          <w:color w:val="000000" w:themeColor="text1"/>
          <w:sz w:val="24"/>
          <w:szCs w:val="24"/>
          <w:highlight w:val="none"/>
          <w14:textFill>
            <w14:solidFill>
              <w14:schemeClr w14:val="tx1"/>
            </w14:solidFill>
          </w14:textFill>
        </w:rPr>
        <w:t>中标人在收款之前，应向采购人提供等额、合法、有效的增值税发票，采购人凭发票付款。如中标人未按约定提供增值税发票的，采购人有权拒绝付款，直至收到中标人提交的相应增值税发票为止，在此情况下，采购人不承担逾期付款违约责任。</w:t>
      </w:r>
    </w:p>
    <w:p w14:paraId="53103139">
      <w:pPr>
        <w:pStyle w:val="4"/>
        <w:pageBreakBefore w:val="0"/>
        <w:widowControl w:val="0"/>
        <w:numPr>
          <w:ilvl w:val="0"/>
          <w:numId w:val="0"/>
        </w:numPr>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color w:val="FF0000"/>
          <w:kern w:val="2"/>
          <w:sz w:val="24"/>
          <w:szCs w:val="24"/>
          <w:lang w:val="en-US" w:eastAsia="zh-CN" w:bidi="ar-SA"/>
        </w:rPr>
      </w:pPr>
    </w:p>
    <w:p w14:paraId="489A4DDC">
      <w:pPr>
        <w:rPr>
          <w:rFonts w:hint="eastAsia" w:ascii="宋体" w:hAnsi="宋体" w:eastAsia="宋体" w:cs="宋体"/>
          <w:color w:val="auto"/>
          <w:sz w:val="36"/>
          <w:szCs w:val="36"/>
        </w:rPr>
      </w:pPr>
      <w:r>
        <w:rPr>
          <w:rFonts w:hint="eastAsia" w:ascii="宋体" w:hAnsi="宋体" w:eastAsia="宋体" w:cs="宋体"/>
          <w:color w:val="auto"/>
          <w:sz w:val="36"/>
          <w:szCs w:val="36"/>
        </w:rPr>
        <w:br w:type="page"/>
      </w:r>
    </w:p>
    <w:p w14:paraId="7B39EA3B">
      <w:pPr>
        <w:pStyle w:val="4"/>
        <w:jc w:val="center"/>
        <w:rPr>
          <w:rFonts w:hint="eastAsia" w:ascii="宋体" w:hAnsi="宋体" w:eastAsia="宋体" w:cs="宋体"/>
          <w:color w:val="auto"/>
          <w:sz w:val="36"/>
          <w:szCs w:val="36"/>
        </w:rPr>
      </w:pPr>
      <w:r>
        <w:rPr>
          <w:rFonts w:hint="eastAsia" w:ascii="宋体" w:hAnsi="宋体" w:eastAsia="宋体" w:cs="宋体"/>
          <w:color w:val="auto"/>
          <w:sz w:val="36"/>
          <w:szCs w:val="36"/>
        </w:rPr>
        <w:t>第四部分 磋商原则及磋商方法</w:t>
      </w:r>
      <w:bookmarkEnd w:id="76"/>
      <w:bookmarkEnd w:id="77"/>
    </w:p>
    <w:p w14:paraId="33D2CF56">
      <w:pPr>
        <w:pStyle w:val="5"/>
        <w:numPr>
          <w:ilvl w:val="0"/>
          <w:numId w:val="16"/>
        </w:numPr>
        <w:jc w:val="center"/>
        <w:rPr>
          <w:rFonts w:hint="eastAsia" w:ascii="宋体" w:hAnsi="宋体" w:eastAsia="宋体" w:cs="宋体"/>
          <w:color w:val="auto"/>
        </w:rPr>
      </w:pPr>
      <w:bookmarkStart w:id="78" w:name="_Toc1265"/>
      <w:r>
        <w:rPr>
          <w:rFonts w:hint="eastAsia" w:ascii="宋体" w:hAnsi="宋体" w:eastAsia="宋体" w:cs="宋体"/>
          <w:color w:val="auto"/>
        </w:rPr>
        <w:t xml:space="preserve"> </w:t>
      </w:r>
      <w:bookmarkStart w:id="79" w:name="_Toc3582"/>
      <w:r>
        <w:rPr>
          <w:rFonts w:hint="eastAsia" w:ascii="宋体" w:hAnsi="宋体" w:eastAsia="宋体" w:cs="宋体"/>
          <w:color w:val="auto"/>
        </w:rPr>
        <w:t>磋商原则</w:t>
      </w:r>
      <w:bookmarkEnd w:id="78"/>
      <w:bookmarkEnd w:id="79"/>
    </w:p>
    <w:p w14:paraId="7741021D">
      <w:pPr>
        <w:pStyle w:val="6"/>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1、本次竞争性磋商本着公平、公正、科学、择优的原则，邀请各磋商方参加报价。</w:t>
      </w:r>
    </w:p>
    <w:p w14:paraId="2AC3B36B">
      <w:pPr>
        <w:pStyle w:val="6"/>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2、磋商小组将严格按照竞争性磋商文件的要求，对供应商的响应性文件进行认真评审；磋商小组对响应性文件的评审仅依据响应性文件本身，而不依据响应性文件以外的任何因素。</w:t>
      </w:r>
    </w:p>
    <w:p w14:paraId="34FDF70D">
      <w:pPr>
        <w:pStyle w:val="6"/>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3、磋商小组按照统一的磋商原则和磋商方法，用同一标准对所有响应性文件进行评审。</w:t>
      </w:r>
    </w:p>
    <w:p w14:paraId="160C4F9C">
      <w:pPr>
        <w:pStyle w:val="15"/>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4、评审</w:t>
      </w:r>
    </w:p>
    <w:p w14:paraId="12D307A6">
      <w:pPr>
        <w:pStyle w:val="15"/>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4.1在磋商响应截止时间前按规定提交响应文件的供应商在三家（含）以上的，由采购人或采购代理机构组织进行开标。</w:t>
      </w:r>
    </w:p>
    <w:p w14:paraId="365A823D">
      <w:pPr>
        <w:pStyle w:val="15"/>
        <w:spacing w:line="336"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hint="eastAsia" w:ascii="宋体" w:hAnsi="宋体" w:eastAsia="宋体" w:cs="宋体"/>
          <w:color w:val="auto"/>
          <w:sz w:val="24"/>
          <w:szCs w:val="24"/>
        </w:rPr>
        <w:t>备份文件（后缀名为.bfbs）须存储在U盘中，与上传的电子磋商响应文件一致，用信封进行密封并盖章</w:t>
      </w:r>
      <w:r>
        <w:rPr>
          <w:rFonts w:hint="eastAsia" w:ascii="宋体" w:hAnsi="宋体" w:eastAsia="宋体" w:cs="宋体"/>
          <w:b/>
          <w:bCs/>
          <w:color w:val="auto"/>
          <w:sz w:val="24"/>
          <w:szCs w:val="24"/>
        </w:rPr>
        <w:t>（信封内仅需放入存储备份文件的U盘）</w:t>
      </w:r>
      <w:r>
        <w:rPr>
          <w:rFonts w:hint="eastAsia" w:ascii="宋体" w:hAnsi="宋体" w:eastAsia="宋体" w:cs="宋体"/>
          <w:color w:val="auto"/>
          <w:sz w:val="24"/>
          <w:szCs w:val="24"/>
        </w:rPr>
        <w:t>，由授权代表在磋商响应截止时间前递交至开标地点。</w:t>
      </w:r>
    </w:p>
    <w:p w14:paraId="5A032A04">
      <w:pPr>
        <w:pStyle w:val="15"/>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4.3采购人按磋商文件规定的时间、地点公开开标。开标仪式由采购人或采购代理机构主持及有关人员参加。</w:t>
      </w:r>
    </w:p>
    <w:p w14:paraId="4E3E42C1">
      <w:pPr>
        <w:pStyle w:val="56"/>
        <w:spacing w:before="0" w:line="336" w:lineRule="auto"/>
        <w:ind w:firstLine="480"/>
        <w:rPr>
          <w:rFonts w:hint="eastAsia" w:ascii="宋体" w:hAnsi="宋体" w:eastAsia="宋体" w:cs="宋体"/>
          <w:color w:val="auto"/>
        </w:rPr>
      </w:pPr>
      <w:r>
        <w:rPr>
          <w:rFonts w:hint="eastAsia" w:ascii="宋体" w:hAnsi="宋体" w:eastAsia="宋体" w:cs="宋体"/>
          <w:color w:val="auto"/>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14:paraId="3CD041FB">
      <w:pPr>
        <w:pStyle w:val="56"/>
        <w:spacing w:before="0" w:line="336" w:lineRule="auto"/>
        <w:ind w:firstLine="480"/>
        <w:rPr>
          <w:rFonts w:hint="eastAsia" w:ascii="宋体" w:hAnsi="宋体" w:eastAsia="宋体" w:cs="宋体"/>
          <w:color w:val="auto"/>
        </w:rPr>
      </w:pPr>
      <w:r>
        <w:rPr>
          <w:rFonts w:hint="eastAsia" w:ascii="宋体" w:hAnsi="宋体" w:eastAsia="宋体" w:cs="宋体"/>
          <w:color w:val="auto"/>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794852B">
      <w:pPr>
        <w:spacing w:line="336"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5、组建磋商小组</w:t>
      </w:r>
    </w:p>
    <w:p w14:paraId="3622BD9F">
      <w:pPr>
        <w:pStyle w:val="56"/>
        <w:spacing w:before="0" w:line="336" w:lineRule="auto"/>
        <w:ind w:firstLine="480"/>
        <w:rPr>
          <w:rFonts w:hint="eastAsia" w:ascii="宋体" w:hAnsi="宋体" w:eastAsia="宋体" w:cs="宋体"/>
          <w:color w:val="auto"/>
        </w:rPr>
      </w:pPr>
      <w:r>
        <w:rPr>
          <w:rFonts w:hint="eastAsia" w:ascii="宋体" w:hAnsi="宋体" w:eastAsia="宋体" w:cs="宋体"/>
          <w:color w:val="auto"/>
        </w:rPr>
        <w:t>5.1磋商小组由采购人代表和评审专家共3人或以上单数组成，其中评审专家人数不少于磋商小组成员总数的2/3。</w:t>
      </w:r>
    </w:p>
    <w:p w14:paraId="58FD2BBD">
      <w:pPr>
        <w:pStyle w:val="56"/>
        <w:tabs>
          <w:tab w:val="left" w:pos="0"/>
        </w:tabs>
        <w:spacing w:before="0" w:line="336" w:lineRule="auto"/>
        <w:ind w:firstLine="480"/>
        <w:rPr>
          <w:rFonts w:hint="eastAsia" w:ascii="宋体" w:hAnsi="宋体" w:eastAsia="宋体" w:cs="宋体"/>
          <w:color w:val="auto"/>
          <w:lang w:val="zh-CN"/>
        </w:rPr>
      </w:pPr>
      <w:r>
        <w:rPr>
          <w:rFonts w:hint="eastAsia" w:ascii="宋体" w:hAnsi="宋体" w:eastAsia="宋体" w:cs="宋体"/>
          <w:color w:val="auto"/>
        </w:rPr>
        <w:t>5.2</w:t>
      </w:r>
      <w:r>
        <w:rPr>
          <w:rFonts w:hint="eastAsia" w:ascii="宋体" w:hAnsi="宋体" w:eastAsia="宋体" w:cs="宋体"/>
          <w:color w:val="auto"/>
          <w:lang w:val="zh-CN"/>
        </w:rPr>
        <w:t>评标工作由评标委员会负责，并推选产生的组长主持；</w:t>
      </w:r>
    </w:p>
    <w:p w14:paraId="5C97D1E5">
      <w:pPr>
        <w:pStyle w:val="6"/>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本次评标为在线评标。</w:t>
      </w:r>
    </w:p>
    <w:p w14:paraId="44DED670">
      <w:pPr>
        <w:pStyle w:val="5"/>
        <w:numPr>
          <w:ilvl w:val="0"/>
          <w:numId w:val="16"/>
        </w:numPr>
        <w:jc w:val="center"/>
        <w:rPr>
          <w:rFonts w:hint="eastAsia" w:ascii="宋体" w:hAnsi="宋体" w:eastAsia="宋体" w:cs="宋体"/>
          <w:color w:val="auto"/>
        </w:rPr>
      </w:pPr>
      <w:r>
        <w:rPr>
          <w:rFonts w:hint="eastAsia" w:ascii="宋体" w:hAnsi="宋体" w:eastAsia="宋体" w:cs="宋体"/>
          <w:color w:val="auto"/>
        </w:rPr>
        <w:t xml:space="preserve"> </w:t>
      </w:r>
      <w:bookmarkStart w:id="80" w:name="_Toc4456"/>
      <w:bookmarkStart w:id="81" w:name="_Toc10093"/>
      <w:r>
        <w:rPr>
          <w:rFonts w:hint="eastAsia" w:ascii="宋体" w:hAnsi="宋体" w:eastAsia="宋体" w:cs="宋体"/>
          <w:color w:val="auto"/>
        </w:rPr>
        <w:t>磋商程序</w:t>
      </w:r>
      <w:bookmarkEnd w:id="80"/>
      <w:bookmarkEnd w:id="81"/>
    </w:p>
    <w:p w14:paraId="4BD68356">
      <w:pPr>
        <w:snapToGrid w:val="0"/>
        <w:spacing w:line="336" w:lineRule="auto"/>
        <w:ind w:firstLine="480"/>
        <w:rPr>
          <w:rFonts w:hint="eastAsia" w:ascii="宋体" w:hAnsi="宋体" w:eastAsia="宋体" w:cs="宋体"/>
          <w:b/>
          <w:bCs/>
          <w:color w:val="auto"/>
          <w:sz w:val="24"/>
          <w:szCs w:val="24"/>
        </w:rPr>
      </w:pPr>
      <w:r>
        <w:rPr>
          <w:rFonts w:hint="eastAsia" w:ascii="宋体" w:hAnsi="宋体" w:eastAsia="宋体" w:cs="宋体"/>
          <w:b/>
          <w:bCs/>
          <w:color w:val="auto"/>
          <w:sz w:val="24"/>
          <w:szCs w:val="24"/>
        </w:rPr>
        <w:t>1、对所有响应文件的初审</w:t>
      </w:r>
    </w:p>
    <w:p w14:paraId="0300AE4C">
      <w:pPr>
        <w:adjustRightInd w:val="0"/>
        <w:snapToGrid w:val="0"/>
        <w:spacing w:line="336"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1.1资格审查</w:t>
      </w:r>
    </w:p>
    <w:p w14:paraId="17E4D268">
      <w:pPr>
        <w:adjustRightInd w:val="0"/>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（1）开标后，磋商小组将依法对供应商的资格进行审查。</w:t>
      </w:r>
    </w:p>
    <w:p w14:paraId="0DA5CBA5">
      <w:pPr>
        <w:adjustRightInd w:val="0"/>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（2）磋商小组依据法律法规和磋商文件的规定，对供应商的基本资格条件、特定资格条件进行审查。</w:t>
      </w:r>
    </w:p>
    <w:p w14:paraId="32325521">
      <w:pPr>
        <w:adjustRightInd w:val="0"/>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（3）供应商未按照磋商文件要求提供与基本资格条件、特定资格条件相应的有效资格证明材料的，视为供应商不具备磋商文件中规定的资格要求，其磋商无效。并将无效原由告知相关供应商.</w:t>
      </w:r>
    </w:p>
    <w:p w14:paraId="3A0FB09A">
      <w:pPr>
        <w:wordWrap w:val="0"/>
        <w:adjustRightInd w:val="0"/>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61BAFB57">
      <w:pPr>
        <w:adjustRightInd w:val="0"/>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（5）磋商小组出具《供应商资格审查意见表》，供应商未按照磋商文件要求提供与基本资格条件、特定资格条件相应的有效资格证明材料的，视为供应商不具备磋商文件中规定的资格要求，其磋商无效。</w:t>
      </w:r>
    </w:p>
    <w:p w14:paraId="66FC2C8D">
      <w:pPr>
        <w:adjustRightInd w:val="0"/>
        <w:snapToGrid w:val="0"/>
        <w:spacing w:line="336"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00B28275">
      <w:pPr>
        <w:adjustRightInd w:val="0"/>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（1）响应文件无法定代表人或其委托授权代表签名或盖章。</w:t>
      </w:r>
    </w:p>
    <w:p w14:paraId="1DA77C4E">
      <w:pPr>
        <w:adjustRightInd w:val="0"/>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（2）响应文件内容虚假的。</w:t>
      </w:r>
    </w:p>
    <w:p w14:paraId="1989E965">
      <w:pPr>
        <w:adjustRightInd w:val="0"/>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（3）响应文件有采购人不能接受的附加条件的。</w:t>
      </w:r>
    </w:p>
    <w:p w14:paraId="0EC45E75">
      <w:pPr>
        <w:adjustRightInd w:val="0"/>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（4）磋商有效期、服务期等商务条款不能满足磋商文件要求的。</w:t>
      </w:r>
    </w:p>
    <w:p w14:paraId="6A64F726">
      <w:pPr>
        <w:widowControl/>
        <w:spacing w:line="336" w:lineRule="auto"/>
        <w:ind w:firstLine="482"/>
        <w:jc w:val="left"/>
        <w:rPr>
          <w:rFonts w:hint="eastAsia" w:ascii="宋体" w:hAnsi="宋体" w:eastAsia="宋体" w:cs="宋体"/>
          <w:color w:val="auto"/>
          <w:sz w:val="24"/>
          <w:szCs w:val="24"/>
        </w:rPr>
      </w:pPr>
      <w:r>
        <w:rPr>
          <w:rFonts w:hint="eastAsia" w:ascii="宋体" w:hAnsi="宋体" w:eastAsia="宋体" w:cs="宋体"/>
          <w:color w:val="auto"/>
          <w:sz w:val="24"/>
          <w:szCs w:val="24"/>
        </w:rPr>
        <w:t>（5）投标价格超出预算或最高限价，导致采购单位无法支付的。</w:t>
      </w:r>
    </w:p>
    <w:p w14:paraId="4DB62282">
      <w:pPr>
        <w:widowControl/>
        <w:spacing w:line="336" w:lineRule="auto"/>
        <w:ind w:firstLine="482"/>
        <w:jc w:val="left"/>
        <w:rPr>
          <w:rFonts w:hint="eastAsia" w:ascii="宋体" w:hAnsi="宋体" w:eastAsia="宋体" w:cs="宋体"/>
          <w:color w:val="auto"/>
          <w:sz w:val="24"/>
          <w:szCs w:val="24"/>
        </w:rPr>
      </w:pPr>
      <w:r>
        <w:rPr>
          <w:rFonts w:hint="eastAsia" w:ascii="宋体" w:hAnsi="宋体" w:eastAsia="宋体" w:cs="宋体"/>
          <w:color w:val="auto"/>
          <w:sz w:val="24"/>
          <w:szCs w:val="24"/>
        </w:rPr>
        <w:t>（6）磋商文件明确规定的其他无效条款的。</w:t>
      </w:r>
    </w:p>
    <w:p w14:paraId="3F970195">
      <w:pPr>
        <w:adjustRightInd w:val="0"/>
        <w:snapToGrid w:val="0"/>
        <w:spacing w:line="336"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9087AE6">
      <w:pPr>
        <w:pStyle w:val="56"/>
        <w:tabs>
          <w:tab w:val="left" w:pos="0"/>
        </w:tabs>
        <w:spacing w:before="0" w:line="336" w:lineRule="auto"/>
        <w:ind w:firstLine="480"/>
        <w:rPr>
          <w:rFonts w:hint="eastAsia" w:ascii="宋体" w:hAnsi="宋体" w:eastAsia="宋体" w:cs="宋体"/>
          <w:color w:val="auto"/>
        </w:rPr>
      </w:pPr>
      <w:r>
        <w:rPr>
          <w:rFonts w:hint="eastAsia" w:ascii="宋体" w:hAnsi="宋体" w:eastAsia="宋体" w:cs="宋体"/>
          <w:color w:val="auto"/>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03A0BC32">
      <w:pPr>
        <w:snapToGrid w:val="0"/>
        <w:spacing w:line="336" w:lineRule="auto"/>
        <w:ind w:firstLine="48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、磋商</w:t>
      </w:r>
    </w:p>
    <w:p w14:paraId="30E201FF">
      <w:pPr>
        <w:snapToGrid w:val="0"/>
        <w:spacing w:line="336"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2.1 初审合格的供应商进入下一步的磋商活动。</w:t>
      </w:r>
    </w:p>
    <w:p w14:paraId="6383B6FD">
      <w:pPr>
        <w:snapToGrid w:val="0"/>
        <w:spacing w:line="336"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 磋商小组所有成员应当集中与单一供应商分别进行磋商，并给予所有参加磋商的供应商平等的磋商机会。</w:t>
      </w:r>
    </w:p>
    <w:p w14:paraId="3B605B8E">
      <w:pPr>
        <w:snapToGrid w:val="0"/>
        <w:spacing w:line="336"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2861F502">
      <w:pPr>
        <w:snapToGrid w:val="0"/>
        <w:spacing w:line="336"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2.4 在磋商过程中，磋商小组可以根据磋商文件和磋商情况实质性变动采购需求中的技术、服务要求以及合同草案条款。实质性变动的内容，须经采购人代表确认。</w:t>
      </w:r>
    </w:p>
    <w:p w14:paraId="12EA7167">
      <w:pPr>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 磋商文件作出的实质性变动是磋商文件的有效组成部分，磋商小组应当及时以书面形式同时通知所有参加磋商的供应商。</w:t>
      </w:r>
    </w:p>
    <w:p w14:paraId="525E61B1">
      <w:pPr>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360320D">
      <w:pPr>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 符合《政府采购竞争性磋商采购方式管理暂行办法》（财库〔2014〕214号）第三条第四项即“市场竞争不充分的科研项目，以及需要扶持的科技成果转化项目”情形的，提交最后报价的供应商可以为2家。</w:t>
      </w:r>
    </w:p>
    <w:p w14:paraId="5CA9A997">
      <w:pPr>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7EEED70">
      <w:pPr>
        <w:snapToGrid w:val="0"/>
        <w:spacing w:line="336" w:lineRule="auto"/>
        <w:ind w:firstLine="48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、最后报价</w:t>
      </w:r>
    </w:p>
    <w:p w14:paraId="0D6023E5">
      <w:pPr>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3.1商务技术汇总后，供应商开启报价文件，磋商小组应当要求所有实质性响应的供应商在规定时间内提交最后报价。</w:t>
      </w:r>
    </w:p>
    <w:p w14:paraId="7E41138D">
      <w:pPr>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3.2最后报价是供应商响应文件的有效组成部分，若最后报价高于响应</w:t>
      </w:r>
      <w:r>
        <w:rPr>
          <w:rFonts w:hint="eastAsia" w:ascii="宋体" w:hAnsi="宋体" w:eastAsia="宋体" w:cs="宋体"/>
          <w:color w:val="auto"/>
          <w:sz w:val="24"/>
          <w:szCs w:val="24"/>
          <w:lang w:eastAsia="zh-CN"/>
        </w:rPr>
        <w:t>文件报价</w:t>
      </w:r>
      <w:r>
        <w:rPr>
          <w:rFonts w:hint="eastAsia" w:ascii="宋体" w:hAnsi="宋体" w:eastAsia="宋体" w:cs="宋体"/>
          <w:color w:val="auto"/>
          <w:sz w:val="24"/>
          <w:szCs w:val="24"/>
        </w:rPr>
        <w:t>，则以第一次报价计入评分。</w:t>
      </w:r>
    </w:p>
    <w:p w14:paraId="2A4551D6">
      <w:pPr>
        <w:snapToGrid w:val="0"/>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3.3已提交响应文件的供应商，在提交最后报价之前，若因磋商文件实质性变动导致供应商无法满足采购需求的，允许供应商退出磋商。</w:t>
      </w:r>
    </w:p>
    <w:p w14:paraId="61E1E954">
      <w:pPr>
        <w:pStyle w:val="6"/>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4、电子评标</w:t>
      </w:r>
    </w:p>
    <w:p w14:paraId="083CB662">
      <w:pPr>
        <w:pStyle w:val="6"/>
        <w:spacing w:line="336"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rPr>
        <w:t xml:space="preserve">    4.1磋商活动由采购代理机构主持,磋商响应截止时间后,供应商登录政采云平台对电子响应文件进行在线解密；</w:t>
      </w:r>
    </w:p>
    <w:p w14:paraId="51A01E4A">
      <w:pPr>
        <w:pStyle w:val="6"/>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4.2响应文件解密结束,开启响应文件,磋商小组对资格和商务技术响应文件进行资格审查和符合性审查；</w:t>
      </w:r>
    </w:p>
    <w:p w14:paraId="08CBD3C7">
      <w:pPr>
        <w:pStyle w:val="6"/>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4.3供应商按递交磋商响应文件的前后顺序决定磋商的顺序,就价格、服务等认为需要磋商的内容进行磋商,供应商逐家回答磋商小组的提问,供应商作出最终承诺；</w:t>
      </w:r>
    </w:p>
    <w:p w14:paraId="2E14749C">
      <w:pPr>
        <w:pStyle w:val="6"/>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4.4磋商小组对商务技术响应文件进行评审；</w:t>
      </w:r>
    </w:p>
    <w:p w14:paraId="38B73811">
      <w:pPr>
        <w:pStyle w:val="6"/>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4.5商务技术汇总后，供应商开启报价文件，进行磋商二次报价（最终报价），</w:t>
      </w:r>
      <w:r>
        <w:rPr>
          <w:rFonts w:hint="eastAsia" w:ascii="宋体" w:hAnsi="宋体" w:eastAsia="宋体" w:cs="宋体"/>
          <w:b/>
          <w:bCs/>
          <w:color w:val="auto"/>
          <w:sz w:val="24"/>
          <w:szCs w:val="24"/>
        </w:rPr>
        <w:t>如果供应商在规定时间30分钟内未提交第二次报价，视该供应商放弃本次投标，作无效标处理</w:t>
      </w:r>
      <w:r>
        <w:rPr>
          <w:rFonts w:hint="eastAsia" w:ascii="宋体" w:hAnsi="宋体" w:eastAsia="宋体" w:cs="宋体"/>
          <w:color w:val="auto"/>
          <w:sz w:val="24"/>
          <w:szCs w:val="24"/>
        </w:rPr>
        <w:t>；</w:t>
      </w:r>
    </w:p>
    <w:p w14:paraId="3E74235B">
      <w:pPr>
        <w:pStyle w:val="6"/>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4.6在系统上开启最终报价情况；</w:t>
      </w:r>
    </w:p>
    <w:p w14:paraId="27969B0B">
      <w:pPr>
        <w:pStyle w:val="6"/>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4.7磋商小组对报价情况进行评审；</w:t>
      </w:r>
    </w:p>
    <w:p w14:paraId="0ABE202A">
      <w:pPr>
        <w:pStyle w:val="6"/>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4.8在系统上公开资格和商务技术评审结果；</w:t>
      </w:r>
    </w:p>
    <w:p w14:paraId="29D70987">
      <w:pPr>
        <w:pStyle w:val="6"/>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4.9在系统上公布评审结果。</w:t>
      </w:r>
    </w:p>
    <w:p w14:paraId="7D51B07D">
      <w:pPr>
        <w:pStyle w:val="6"/>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4.10开标会结束。</w:t>
      </w:r>
    </w:p>
    <w:p w14:paraId="163E4DE2">
      <w:pPr>
        <w:snapToGrid w:val="0"/>
        <w:spacing w:line="336" w:lineRule="auto"/>
        <w:rPr>
          <w:rFonts w:hint="eastAsia" w:ascii="宋体" w:hAnsi="宋体" w:eastAsia="宋体" w:cs="宋体"/>
          <w:b/>
          <w:bCs/>
          <w:color w:val="auto"/>
          <w:sz w:val="24"/>
          <w:szCs w:val="24"/>
        </w:rPr>
      </w:pPr>
      <w:r>
        <w:rPr>
          <w:rFonts w:hint="eastAsia" w:ascii="宋体" w:hAnsi="宋体" w:eastAsia="宋体" w:cs="宋体"/>
          <w:color w:val="auto"/>
          <w:sz w:val="24"/>
          <w:szCs w:val="24"/>
        </w:rPr>
        <w:t>特别说明:政采云如对电子化开标及评审程序有调整的,按调整后的程序操作。</w:t>
      </w:r>
    </w:p>
    <w:p w14:paraId="66E61E61">
      <w:pPr>
        <w:snapToGrid w:val="0"/>
        <w:spacing w:line="336"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5.综合评分</w:t>
      </w:r>
    </w:p>
    <w:p w14:paraId="5252B45E">
      <w:pPr>
        <w:tabs>
          <w:tab w:val="left" w:pos="-1080"/>
          <w:tab w:val="left" w:pos="180"/>
          <w:tab w:val="left" w:pos="1080"/>
        </w:tabs>
        <w:snapToGrid w:val="0"/>
        <w:spacing w:line="336"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5.1本评标办法采用综合评标法，由商务技术分和报价分合计组成，其中商务技术分</w:t>
      </w:r>
      <w:r>
        <w:rPr>
          <w:rFonts w:hint="eastAsia" w:ascii="宋体" w:hAnsi="宋体" w:eastAsia="宋体" w:cs="宋体"/>
          <w:color w:val="auto"/>
          <w:sz w:val="24"/>
          <w:szCs w:val="24"/>
          <w:u w:val="single"/>
        </w:rPr>
        <w:t xml:space="preserve"> 80 </w:t>
      </w:r>
      <w:r>
        <w:rPr>
          <w:rFonts w:hint="eastAsia" w:ascii="宋体" w:hAnsi="宋体" w:eastAsia="宋体" w:cs="宋体"/>
          <w:color w:val="auto"/>
          <w:sz w:val="24"/>
          <w:szCs w:val="24"/>
        </w:rPr>
        <w:t>分、报价分</w:t>
      </w:r>
      <w:r>
        <w:rPr>
          <w:rFonts w:hint="eastAsia" w:ascii="宋体" w:hAnsi="宋体" w:eastAsia="宋体" w:cs="宋体"/>
          <w:color w:val="auto"/>
          <w:sz w:val="24"/>
          <w:szCs w:val="24"/>
          <w:u w:val="single"/>
        </w:rPr>
        <w:t xml:space="preserve"> 20 </w:t>
      </w:r>
      <w:r>
        <w:rPr>
          <w:rFonts w:hint="eastAsia" w:ascii="宋体" w:hAnsi="宋体" w:eastAsia="宋体" w:cs="宋体"/>
          <w:color w:val="auto"/>
          <w:sz w:val="24"/>
          <w:szCs w:val="24"/>
        </w:rPr>
        <w:t>分；满分为100分。</w:t>
      </w:r>
    </w:p>
    <w:p w14:paraId="1C8D8D0F">
      <w:pPr>
        <w:spacing w:line="336"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5.2经初步评审合格的响应文件，磋商小组根据竞争性磋商文件确定的评审标准和方法，对其商务技术部分作进一步评审、比较、打分。</w:t>
      </w:r>
    </w:p>
    <w:p w14:paraId="72FE6D18">
      <w:pPr>
        <w:pStyle w:val="15"/>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06562FC7">
      <w:pPr>
        <w:pStyle w:val="15"/>
        <w:spacing w:line="336" w:lineRule="auto"/>
        <w:ind w:left="400" w:left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6、修正原则</w:t>
      </w:r>
    </w:p>
    <w:p w14:paraId="28ABE0AB">
      <w:pPr>
        <w:pStyle w:val="56"/>
        <w:spacing w:before="0" w:line="336" w:lineRule="auto"/>
        <w:ind w:left="400" w:leftChars="200" w:firstLine="0" w:firstLineChars="0"/>
        <w:rPr>
          <w:rFonts w:hint="eastAsia" w:ascii="宋体" w:hAnsi="宋体" w:eastAsia="宋体" w:cs="宋体"/>
          <w:color w:val="auto"/>
          <w:lang w:val="zh-CN"/>
        </w:rPr>
      </w:pPr>
      <w:r>
        <w:rPr>
          <w:rFonts w:hint="eastAsia" w:ascii="宋体" w:hAnsi="宋体" w:eastAsia="宋体" w:cs="宋体"/>
          <w:color w:val="auto"/>
        </w:rPr>
        <w:t>响应</w:t>
      </w:r>
      <w:r>
        <w:rPr>
          <w:rFonts w:hint="eastAsia" w:ascii="宋体" w:hAnsi="宋体" w:eastAsia="宋体" w:cs="宋体"/>
          <w:color w:val="auto"/>
          <w:lang w:val="zh-CN"/>
        </w:rPr>
        <w:t>文件报价出现前后不一致的，按照下列规定修正：</w:t>
      </w:r>
    </w:p>
    <w:p w14:paraId="5BDE319C">
      <w:pPr>
        <w:pStyle w:val="56"/>
        <w:tabs>
          <w:tab w:val="left" w:pos="0"/>
        </w:tabs>
        <w:spacing w:before="0" w:line="336" w:lineRule="auto"/>
        <w:ind w:firstLine="480"/>
        <w:rPr>
          <w:rFonts w:hint="eastAsia" w:ascii="宋体" w:hAnsi="宋体" w:eastAsia="宋体" w:cs="宋体"/>
          <w:color w:val="auto"/>
          <w:lang w:val="zh-CN"/>
        </w:rPr>
      </w:pPr>
      <w:r>
        <w:rPr>
          <w:rFonts w:hint="eastAsia" w:ascii="宋体" w:hAnsi="宋体" w:eastAsia="宋体" w:cs="宋体"/>
          <w:color w:val="auto"/>
        </w:rPr>
        <w:t>6.1响应</w:t>
      </w:r>
      <w:r>
        <w:rPr>
          <w:rFonts w:hint="eastAsia" w:ascii="宋体" w:hAnsi="宋体" w:eastAsia="宋体" w:cs="宋体"/>
          <w:color w:val="auto"/>
          <w:lang w:val="zh-CN"/>
        </w:rPr>
        <w:t>文件中</w:t>
      </w:r>
      <w:r>
        <w:rPr>
          <w:rFonts w:hint="eastAsia" w:ascii="宋体" w:hAnsi="宋体" w:eastAsia="宋体" w:cs="宋体"/>
          <w:color w:val="auto"/>
        </w:rPr>
        <w:t>报价</w:t>
      </w:r>
      <w:r>
        <w:rPr>
          <w:rFonts w:hint="eastAsia" w:ascii="宋体" w:hAnsi="宋体" w:eastAsia="宋体" w:cs="宋体"/>
          <w:color w:val="auto"/>
          <w:lang w:val="zh-CN"/>
        </w:rPr>
        <w:t>一览表内容与</w:t>
      </w:r>
      <w:r>
        <w:rPr>
          <w:rFonts w:hint="eastAsia" w:ascii="宋体" w:hAnsi="宋体" w:eastAsia="宋体" w:cs="宋体"/>
          <w:color w:val="auto"/>
        </w:rPr>
        <w:t>响应</w:t>
      </w:r>
      <w:r>
        <w:rPr>
          <w:rFonts w:hint="eastAsia" w:ascii="宋体" w:hAnsi="宋体" w:eastAsia="宋体" w:cs="宋体"/>
          <w:color w:val="auto"/>
          <w:lang w:val="zh-CN"/>
        </w:rPr>
        <w:t>文件中相应内容不一致的，以</w:t>
      </w:r>
      <w:r>
        <w:rPr>
          <w:rFonts w:hint="eastAsia" w:ascii="宋体" w:hAnsi="宋体" w:eastAsia="宋体" w:cs="宋体"/>
          <w:color w:val="auto"/>
        </w:rPr>
        <w:t>报价</w:t>
      </w:r>
      <w:r>
        <w:rPr>
          <w:rFonts w:hint="eastAsia" w:ascii="宋体" w:hAnsi="宋体" w:eastAsia="宋体" w:cs="宋体"/>
          <w:color w:val="auto"/>
          <w:lang w:val="zh-CN"/>
        </w:rPr>
        <w:t>一览表为准；</w:t>
      </w:r>
    </w:p>
    <w:p w14:paraId="6D8982A6">
      <w:pPr>
        <w:pStyle w:val="56"/>
        <w:tabs>
          <w:tab w:val="left" w:pos="0"/>
        </w:tabs>
        <w:spacing w:before="0" w:line="336" w:lineRule="auto"/>
        <w:ind w:firstLine="480"/>
        <w:rPr>
          <w:rFonts w:hint="eastAsia" w:ascii="宋体" w:hAnsi="宋体" w:eastAsia="宋体" w:cs="宋体"/>
          <w:color w:val="auto"/>
          <w:lang w:val="zh-CN"/>
        </w:rPr>
      </w:pPr>
      <w:r>
        <w:rPr>
          <w:rFonts w:hint="eastAsia" w:ascii="宋体" w:hAnsi="宋体" w:eastAsia="宋体" w:cs="宋体"/>
          <w:color w:val="auto"/>
        </w:rPr>
        <w:t>6.2</w:t>
      </w:r>
      <w:r>
        <w:rPr>
          <w:rFonts w:hint="eastAsia" w:ascii="宋体" w:hAnsi="宋体" w:eastAsia="宋体" w:cs="宋体"/>
          <w:color w:val="auto"/>
          <w:lang w:val="zh-CN"/>
        </w:rPr>
        <w:t>大写金额和小写金额不一致的，以大写金额为准；</w:t>
      </w:r>
    </w:p>
    <w:p w14:paraId="78B38E38">
      <w:pPr>
        <w:pStyle w:val="56"/>
        <w:tabs>
          <w:tab w:val="left" w:pos="0"/>
        </w:tabs>
        <w:spacing w:before="0" w:line="336" w:lineRule="auto"/>
        <w:ind w:firstLine="480"/>
        <w:rPr>
          <w:rFonts w:hint="eastAsia" w:ascii="宋体" w:hAnsi="宋体" w:eastAsia="宋体" w:cs="宋体"/>
          <w:color w:val="auto"/>
          <w:lang w:val="zh-CN"/>
        </w:rPr>
      </w:pPr>
      <w:r>
        <w:rPr>
          <w:rFonts w:hint="eastAsia" w:ascii="宋体" w:hAnsi="宋体" w:eastAsia="宋体" w:cs="宋体"/>
          <w:color w:val="auto"/>
        </w:rPr>
        <w:t>6.3</w:t>
      </w:r>
      <w:r>
        <w:rPr>
          <w:rFonts w:hint="eastAsia" w:ascii="宋体" w:hAnsi="宋体" w:eastAsia="宋体" w:cs="宋体"/>
          <w:color w:val="auto"/>
          <w:lang w:val="zh-CN"/>
        </w:rPr>
        <w:t>单价金额小数点或者百分比有明显错位的，以</w:t>
      </w:r>
      <w:r>
        <w:rPr>
          <w:rFonts w:hint="eastAsia" w:ascii="宋体" w:hAnsi="宋体" w:eastAsia="宋体" w:cs="宋体"/>
          <w:color w:val="auto"/>
        </w:rPr>
        <w:t>报价</w:t>
      </w:r>
      <w:r>
        <w:rPr>
          <w:rFonts w:hint="eastAsia" w:ascii="宋体" w:hAnsi="宋体" w:eastAsia="宋体" w:cs="宋体"/>
          <w:color w:val="auto"/>
          <w:lang w:val="zh-CN"/>
        </w:rPr>
        <w:t>一览表的总价为准，并修改单价；</w:t>
      </w:r>
    </w:p>
    <w:p w14:paraId="3D371F93">
      <w:pPr>
        <w:pStyle w:val="56"/>
        <w:tabs>
          <w:tab w:val="left" w:pos="0"/>
        </w:tabs>
        <w:spacing w:before="0" w:line="336" w:lineRule="auto"/>
        <w:ind w:firstLine="480"/>
        <w:rPr>
          <w:rFonts w:hint="eastAsia" w:ascii="宋体" w:hAnsi="宋体" w:eastAsia="宋体" w:cs="宋体"/>
          <w:color w:val="auto"/>
          <w:lang w:val="zh-CN"/>
        </w:rPr>
      </w:pPr>
      <w:r>
        <w:rPr>
          <w:rFonts w:hint="eastAsia" w:ascii="宋体" w:hAnsi="宋体" w:eastAsia="宋体" w:cs="宋体"/>
          <w:color w:val="auto"/>
        </w:rPr>
        <w:t>6.4</w:t>
      </w:r>
      <w:r>
        <w:rPr>
          <w:rFonts w:hint="eastAsia" w:ascii="宋体" w:hAnsi="宋体" w:eastAsia="宋体" w:cs="宋体"/>
          <w:color w:val="auto"/>
          <w:lang w:val="zh-CN"/>
        </w:rPr>
        <w:t>总价金额与按单价汇总金额不一致的，以单价金额计算结果为准。</w:t>
      </w:r>
    </w:p>
    <w:p w14:paraId="7A460B6C">
      <w:pPr>
        <w:pStyle w:val="56"/>
        <w:spacing w:before="0" w:line="336" w:lineRule="auto"/>
        <w:ind w:firstLine="480"/>
        <w:rPr>
          <w:rFonts w:hint="eastAsia" w:ascii="宋体" w:hAnsi="宋体" w:eastAsia="宋体" w:cs="宋体"/>
          <w:color w:val="auto"/>
          <w:lang w:val="zh-CN"/>
        </w:rPr>
      </w:pPr>
      <w:r>
        <w:rPr>
          <w:rFonts w:hint="eastAsia" w:ascii="宋体" w:hAnsi="宋体" w:eastAsia="宋体" w:cs="宋体"/>
          <w:color w:val="auto"/>
          <w:lang w:val="zh-CN"/>
        </w:rPr>
        <w:t>同时出现两种以上不一致的，按照前款规定的顺序修正。修正后的报价按照财政部公布第87号令 《政府采购产品和服务招标投标管理办法》第五十一条第二款的规定经</w:t>
      </w:r>
      <w:r>
        <w:rPr>
          <w:rFonts w:hint="eastAsia" w:ascii="宋体" w:hAnsi="宋体" w:eastAsia="宋体" w:cs="宋体"/>
          <w:color w:val="auto"/>
        </w:rPr>
        <w:t>供应商</w:t>
      </w:r>
      <w:r>
        <w:rPr>
          <w:rFonts w:hint="eastAsia" w:ascii="宋体" w:hAnsi="宋体" w:eastAsia="宋体" w:cs="宋体"/>
          <w:color w:val="auto"/>
          <w:lang w:val="zh-CN"/>
        </w:rPr>
        <w:t>确认后产生约束力，</w:t>
      </w:r>
      <w:r>
        <w:rPr>
          <w:rFonts w:hint="eastAsia" w:ascii="宋体" w:hAnsi="宋体" w:eastAsia="宋体" w:cs="宋体"/>
          <w:color w:val="auto"/>
        </w:rPr>
        <w:t>供应商</w:t>
      </w:r>
      <w:r>
        <w:rPr>
          <w:rFonts w:hint="eastAsia" w:ascii="宋体" w:hAnsi="宋体" w:eastAsia="宋体" w:cs="宋体"/>
          <w:color w:val="auto"/>
          <w:lang w:val="zh-CN"/>
        </w:rPr>
        <w:t>不确认的，其</w:t>
      </w:r>
      <w:r>
        <w:rPr>
          <w:rFonts w:hint="eastAsia" w:ascii="宋体" w:hAnsi="宋体" w:eastAsia="宋体" w:cs="宋体"/>
          <w:color w:val="auto"/>
        </w:rPr>
        <w:t>磋商</w:t>
      </w:r>
      <w:r>
        <w:rPr>
          <w:rFonts w:hint="eastAsia" w:ascii="宋体" w:hAnsi="宋体" w:eastAsia="宋体" w:cs="宋体"/>
          <w:color w:val="auto"/>
          <w:lang w:val="zh-CN"/>
        </w:rPr>
        <w:t>无效。</w:t>
      </w:r>
    </w:p>
    <w:p w14:paraId="5C31C8B1">
      <w:pPr>
        <w:pStyle w:val="15"/>
        <w:spacing w:line="336" w:lineRule="auto"/>
        <w:ind w:left="400" w:left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7、响应文件的澄清</w:t>
      </w:r>
    </w:p>
    <w:p w14:paraId="3623760B">
      <w:pPr>
        <w:pStyle w:val="56"/>
        <w:tabs>
          <w:tab w:val="left" w:pos="0"/>
        </w:tabs>
        <w:spacing w:before="0" w:line="336" w:lineRule="auto"/>
        <w:ind w:firstLine="480"/>
        <w:rPr>
          <w:rFonts w:hint="eastAsia" w:ascii="宋体" w:hAnsi="宋体" w:eastAsia="宋体" w:cs="宋体"/>
          <w:color w:val="auto"/>
          <w:lang w:val="zh-CN"/>
        </w:rPr>
      </w:pPr>
      <w:r>
        <w:rPr>
          <w:rFonts w:hint="eastAsia" w:ascii="宋体" w:hAnsi="宋体" w:eastAsia="宋体" w:cs="宋体"/>
          <w:color w:val="auto"/>
        </w:rPr>
        <w:t>7.1</w:t>
      </w:r>
      <w:r>
        <w:rPr>
          <w:rFonts w:hint="eastAsia" w:ascii="宋体" w:hAnsi="宋体" w:eastAsia="宋体" w:cs="宋体"/>
          <w:color w:val="auto"/>
          <w:lang w:val="zh-CN"/>
        </w:rPr>
        <w:t>评审中因</w:t>
      </w:r>
      <w:r>
        <w:rPr>
          <w:rFonts w:hint="eastAsia" w:ascii="宋体" w:hAnsi="宋体" w:eastAsia="宋体" w:cs="宋体"/>
          <w:color w:val="auto"/>
        </w:rPr>
        <w:t>响应</w:t>
      </w:r>
      <w:r>
        <w:rPr>
          <w:rFonts w:hint="eastAsia" w:ascii="宋体" w:hAnsi="宋体" w:eastAsia="宋体" w:cs="宋体"/>
          <w:color w:val="auto"/>
          <w:lang w:val="zh-CN"/>
        </w:rPr>
        <w:t>文件含义不明、表述不一致或有明显计算错误等内容需要供应商作出澄清、说明或者补正的，</w:t>
      </w:r>
      <w:r>
        <w:rPr>
          <w:rFonts w:hint="eastAsia" w:ascii="宋体" w:hAnsi="宋体" w:eastAsia="宋体" w:cs="宋体"/>
          <w:color w:val="auto"/>
        </w:rPr>
        <w:t>磋商小组</w:t>
      </w:r>
      <w:r>
        <w:rPr>
          <w:rFonts w:hint="eastAsia" w:ascii="宋体" w:hAnsi="宋体" w:eastAsia="宋体" w:cs="宋体"/>
          <w:color w:val="auto"/>
          <w:lang w:val="zh-CN"/>
        </w:rPr>
        <w:t>和供应商应当通过政采云平台交换数据电文，给予供应商提交澄清说明或补正的时间不少于半小时，供应商已经明确表示澄清说明或补正完毕的除外。</w:t>
      </w:r>
    </w:p>
    <w:p w14:paraId="7EB04B96">
      <w:pPr>
        <w:spacing w:line="336"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供应商通过政采云平台交换的数据电文必须进行电子签章。</w:t>
      </w:r>
    </w:p>
    <w:p w14:paraId="3A176263">
      <w:pPr>
        <w:pStyle w:val="5"/>
        <w:numPr>
          <w:ilvl w:val="0"/>
          <w:numId w:val="16"/>
        </w:numPr>
        <w:jc w:val="center"/>
        <w:rPr>
          <w:rFonts w:hint="eastAsia" w:ascii="宋体" w:hAnsi="宋体" w:eastAsia="宋体" w:cs="宋体"/>
          <w:color w:val="auto"/>
        </w:rPr>
      </w:pPr>
      <w:r>
        <w:rPr>
          <w:rFonts w:hint="eastAsia" w:ascii="宋体" w:hAnsi="宋体" w:eastAsia="宋体" w:cs="宋体"/>
          <w:color w:val="auto"/>
        </w:rPr>
        <w:t xml:space="preserve"> </w:t>
      </w:r>
      <w:bookmarkStart w:id="82" w:name="_Toc1778"/>
      <w:bookmarkStart w:id="83" w:name="_Toc12816"/>
      <w:r>
        <w:rPr>
          <w:rFonts w:hint="eastAsia" w:ascii="宋体" w:hAnsi="宋体" w:eastAsia="宋体" w:cs="宋体"/>
          <w:color w:val="auto"/>
        </w:rPr>
        <w:t>注意事项</w:t>
      </w:r>
      <w:bookmarkEnd w:id="82"/>
      <w:bookmarkEnd w:id="83"/>
    </w:p>
    <w:p w14:paraId="16914878">
      <w:pPr>
        <w:pStyle w:val="6"/>
        <w:spacing w:line="336"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1F041EE6">
      <w:pPr>
        <w:pStyle w:val="5"/>
        <w:numPr>
          <w:ilvl w:val="0"/>
          <w:numId w:val="17"/>
        </w:numPr>
        <w:jc w:val="center"/>
        <w:rPr>
          <w:rFonts w:hint="eastAsia" w:ascii="宋体" w:hAnsi="宋体" w:eastAsia="宋体" w:cs="宋体"/>
          <w:color w:val="auto"/>
        </w:rPr>
      </w:pPr>
      <w:r>
        <w:rPr>
          <w:rFonts w:hint="eastAsia" w:ascii="宋体" w:hAnsi="宋体" w:eastAsia="宋体" w:cs="宋体"/>
          <w:color w:val="auto"/>
        </w:rPr>
        <w:t xml:space="preserve"> </w:t>
      </w:r>
      <w:bookmarkStart w:id="84" w:name="_Toc13782"/>
      <w:bookmarkStart w:id="85" w:name="_Toc6127"/>
      <w:r>
        <w:rPr>
          <w:rFonts w:hint="eastAsia" w:ascii="宋体" w:hAnsi="宋体" w:eastAsia="宋体" w:cs="宋体"/>
          <w:color w:val="auto"/>
        </w:rPr>
        <w:t>评分细则</w:t>
      </w:r>
      <w:bookmarkEnd w:id="84"/>
      <w:bookmarkEnd w:id="85"/>
    </w:p>
    <w:p w14:paraId="34449A07">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一、报价文件评分标准（</w:t>
      </w:r>
      <w:r>
        <w:rPr>
          <w:rFonts w:hint="eastAsia" w:ascii="宋体" w:hAnsi="宋体" w:eastAsia="宋体" w:cs="宋体"/>
          <w:b/>
          <w:bCs/>
          <w:color w:val="auto"/>
          <w:sz w:val="24"/>
          <w:szCs w:val="24"/>
          <w:u w:val="single"/>
        </w:rPr>
        <w:t xml:space="preserve"> 20 </w:t>
      </w:r>
      <w:r>
        <w:rPr>
          <w:rFonts w:hint="eastAsia" w:ascii="宋体" w:hAnsi="宋体" w:eastAsia="宋体" w:cs="宋体"/>
          <w:b/>
          <w:bCs/>
          <w:color w:val="auto"/>
          <w:sz w:val="24"/>
          <w:szCs w:val="24"/>
        </w:rPr>
        <w:t>分）</w:t>
      </w:r>
    </w:p>
    <w:p w14:paraId="01A69CF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报价文件主要是对供应商的有效报价进行评议，其评分标准及分值设置规则如下：</w:t>
      </w:r>
    </w:p>
    <w:p w14:paraId="5161DB6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1、本次采购最高限价规定如下：</w:t>
      </w:r>
    </w:p>
    <w:p w14:paraId="1B71D01E">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本项目投标报价的最高限价</w:t>
      </w:r>
      <w:r>
        <w:rPr>
          <w:rFonts w:hint="eastAsia" w:ascii="宋体" w:hAnsi="宋体" w:eastAsia="宋体" w:cs="宋体"/>
          <w:b/>
          <w:bCs/>
          <w:color w:val="auto"/>
          <w:sz w:val="24"/>
          <w:szCs w:val="24"/>
        </w:rPr>
        <w:t>为人民币</w:t>
      </w:r>
      <w:r>
        <w:rPr>
          <w:rFonts w:hint="eastAsia" w:ascii="宋体" w:hAnsi="宋体" w:eastAsia="宋体" w:cs="宋体"/>
          <w:b/>
          <w:color w:val="auto"/>
          <w:sz w:val="24"/>
          <w:szCs w:val="21"/>
          <w:u w:val="single"/>
          <w:lang w:eastAsia="zh-CN"/>
        </w:rPr>
        <w:t>玖拾</w:t>
      </w:r>
      <w:r>
        <w:rPr>
          <w:rFonts w:hint="eastAsia" w:ascii="宋体" w:hAnsi="宋体" w:eastAsia="宋体" w:cs="宋体"/>
          <w:b/>
          <w:color w:val="auto"/>
          <w:sz w:val="24"/>
          <w:szCs w:val="21"/>
          <w:u w:val="single"/>
        </w:rPr>
        <w:t>万元整</w:t>
      </w:r>
      <w:r>
        <w:rPr>
          <w:rFonts w:hint="eastAsia" w:ascii="宋体" w:hAnsi="宋体" w:eastAsia="宋体" w:cs="宋体"/>
          <w:b/>
          <w:bCs/>
          <w:color w:val="auto"/>
          <w:sz w:val="24"/>
          <w:szCs w:val="24"/>
        </w:rPr>
        <w:t>（小写</w:t>
      </w:r>
      <w:r>
        <w:rPr>
          <w:rFonts w:hint="eastAsia" w:ascii="宋体" w:hAnsi="宋体" w:eastAsia="宋体" w:cs="宋体"/>
          <w:b/>
          <w:bCs/>
          <w:color w:val="auto"/>
          <w:sz w:val="24"/>
          <w:szCs w:val="24"/>
          <w:u w:val="single"/>
        </w:rPr>
        <w:t xml:space="preserve"> </w:t>
      </w:r>
      <w:r>
        <w:rPr>
          <w:rFonts w:hint="eastAsia" w:ascii="宋体" w:hAnsi="宋体" w:eastAsia="宋体" w:cs="宋体"/>
          <w:b/>
          <w:color w:val="auto"/>
          <w:sz w:val="24"/>
          <w:szCs w:val="21"/>
          <w:u w:val="single"/>
          <w:lang w:val="en-US" w:eastAsia="zh-CN"/>
        </w:rPr>
        <w:t>900000</w:t>
      </w:r>
      <w:r>
        <w:rPr>
          <w:rFonts w:hint="eastAsia" w:ascii="宋体" w:hAnsi="宋体" w:eastAsia="宋体" w:cs="宋体"/>
          <w:b/>
          <w:bCs/>
          <w:color w:val="auto"/>
          <w:sz w:val="24"/>
          <w:szCs w:val="24"/>
          <w:u w:val="single"/>
        </w:rPr>
        <w:t xml:space="preserve">.00 </w:t>
      </w:r>
      <w:r>
        <w:rPr>
          <w:rFonts w:hint="eastAsia" w:ascii="宋体" w:hAnsi="宋体" w:eastAsia="宋体" w:cs="宋体"/>
          <w:b/>
          <w:bCs/>
          <w:color w:val="auto"/>
          <w:sz w:val="24"/>
          <w:szCs w:val="24"/>
        </w:rPr>
        <w:t>元）。最高限价由采购人根据市场价格的调查设定，并且不高于本项目财政预算。</w:t>
      </w:r>
    </w:p>
    <w:p w14:paraId="6AFB524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2、供应商的报价在最高限价内的，为有效报价。</w:t>
      </w:r>
    </w:p>
    <w:p w14:paraId="2D9ABE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3、本次评标设有最佳报价。最佳报价确定方式：根据所有入围供应商有效报价中的最低报价作为最佳报价。</w:t>
      </w:r>
    </w:p>
    <w:p w14:paraId="598E217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4、最佳报价者的报价分为满分，其他供应商的有效报价与最佳报价相比，按下列方法计算其报价分：</w:t>
      </w:r>
    </w:p>
    <w:p w14:paraId="2062C1A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投标价格分=(最佳报价/投标报价)*价格权值*100。</w:t>
      </w:r>
    </w:p>
    <w:p w14:paraId="54658A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5、当报价一览表与磋商报价明细表报价不一致时，以报价一览表为准，磋商报价明细表报价予以修正并由授权代表签字确认，拒绝修正或确认的，则做无效标处理。</w:t>
      </w:r>
    </w:p>
    <w:p w14:paraId="19E53C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6、响应文件只允许有一个报价，磋商报价应按磋商文件中相关附表格式填报，该磋商报价应与明细报价汇总相等，且不允许出现报价优惠、赠送等字样（明细出现“0”元，视同赠送）,如出现则做</w:t>
      </w:r>
      <w:r>
        <w:rPr>
          <w:rFonts w:hint="eastAsia" w:ascii="宋体" w:hAnsi="宋体" w:eastAsia="宋体" w:cs="宋体"/>
          <w:b/>
          <w:bCs/>
          <w:color w:val="auto"/>
          <w:sz w:val="24"/>
          <w:szCs w:val="24"/>
        </w:rPr>
        <w:t>无效响应</w:t>
      </w:r>
      <w:r>
        <w:rPr>
          <w:rFonts w:hint="eastAsia" w:ascii="宋体" w:hAnsi="宋体" w:eastAsia="宋体" w:cs="宋体"/>
          <w:color w:val="auto"/>
          <w:sz w:val="24"/>
          <w:szCs w:val="24"/>
        </w:rPr>
        <w:t>处理。</w:t>
      </w:r>
    </w:p>
    <w:p w14:paraId="2BFDF121">
      <w:pPr>
        <w:autoSpaceDE w:val="0"/>
        <w:autoSpaceDN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b/>
          <w:bCs/>
          <w:color w:val="auto"/>
          <w:sz w:val="24"/>
          <w:szCs w:val="24"/>
        </w:rPr>
        <w:t>投标价格的合理性</w:t>
      </w:r>
      <w:r>
        <w:rPr>
          <w:rFonts w:hint="eastAsia" w:ascii="宋体" w:hAnsi="宋体" w:eastAsia="宋体" w:cs="宋体"/>
          <w:color w:val="auto"/>
          <w:sz w:val="24"/>
          <w:szCs w:val="24"/>
        </w:rPr>
        <w:t>：评标委员会认为供应商的报价明显低于其他通过符合性审</w:t>
      </w:r>
      <w:r>
        <w:rPr>
          <w:rFonts w:hint="eastAsia" w:ascii="宋体" w:hAnsi="宋体" w:eastAsia="宋体" w:cs="宋体"/>
          <w:color w:val="auto"/>
          <w:sz w:val="24"/>
          <w:szCs w:val="24"/>
          <w:lang w:eastAsia="zh-CN"/>
        </w:rPr>
        <w:t>查的</w:t>
      </w:r>
      <w:r>
        <w:rPr>
          <w:rFonts w:hint="eastAsia" w:ascii="宋体" w:hAnsi="宋体" w:eastAsia="宋体" w:cs="宋体"/>
          <w:color w:val="auto"/>
          <w:sz w:val="24"/>
          <w:szCs w:val="24"/>
        </w:rPr>
        <w:t>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36139A8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8、</w:t>
      </w:r>
      <w:r>
        <w:rPr>
          <w:rFonts w:hint="eastAsia" w:ascii="宋体" w:hAnsi="宋体" w:eastAsia="宋体" w:cs="宋体"/>
          <w:color w:val="auto"/>
          <w:sz w:val="24"/>
          <w:szCs w:val="21"/>
        </w:rPr>
        <w:t>价格扣除：</w:t>
      </w:r>
      <w:r>
        <w:rPr>
          <w:rFonts w:hint="eastAsia" w:ascii="宋体" w:hAnsi="宋体" w:eastAsia="宋体" w:cs="宋体"/>
          <w:color w:val="auto"/>
          <w:sz w:val="24"/>
        </w:rPr>
        <w:t>小微企业是指在中华人民共和国境内依法设立，依据国务院批准的中小企业划分标准确定的小型企业和微型企业，但与大企业的负责人为同一人，或者与大企业存在直接控股、管理关系的除外。</w:t>
      </w:r>
    </w:p>
    <w:p w14:paraId="686130D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46A0935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在货物采购项目中，货物由小微企业制造，即货物由小微企业生产且使用该小微企业商号或者注册商标。供应商提供的货物既有中小企业制造货物，也有大型企业制造货物的，不享受中小企业扶持政策。</w:t>
      </w:r>
    </w:p>
    <w:p w14:paraId="300E9F7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在服务采购项目中，服务由小微企业承接，即提供服务的人员为小微企业依照《中华人民共和国劳动合同法》订立劳动合同的从业人员。</w:t>
      </w:r>
    </w:p>
    <w:p w14:paraId="2673BF1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联合体各方均为小型、微型企业的，联合体视同为小型、微型企业。</w:t>
      </w:r>
    </w:p>
    <w:p w14:paraId="5AD8599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上述条件的中小微型企业应按照招标文件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91819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14923BC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组成联合体或者接受分包的小微企业与联合体内其他企业、分包企业之间存在直接控股、管理关系的，不享受价格扣除优惠政策。</w:t>
      </w:r>
    </w:p>
    <w:p w14:paraId="064FE329">
      <w:pPr>
        <w:pStyle w:val="5"/>
        <w:rPr>
          <w:rFonts w:hint="eastAsia" w:ascii="宋体" w:hAnsi="宋体" w:eastAsia="宋体" w:cs="宋体"/>
        </w:rPr>
      </w:pPr>
    </w:p>
    <w:p w14:paraId="2A4F1B1D">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二、商务技术文件评标内容及标准（</w:t>
      </w:r>
      <w:r>
        <w:rPr>
          <w:rFonts w:hint="eastAsia" w:ascii="宋体" w:hAnsi="宋体" w:eastAsia="宋体" w:cs="宋体"/>
          <w:b/>
          <w:bCs/>
          <w:color w:val="auto"/>
          <w:sz w:val="24"/>
          <w:szCs w:val="24"/>
          <w:u w:val="single"/>
        </w:rPr>
        <w:t xml:space="preserve"> 80 </w:t>
      </w:r>
      <w:r>
        <w:rPr>
          <w:rFonts w:hint="eastAsia" w:ascii="宋体" w:hAnsi="宋体" w:eastAsia="宋体" w:cs="宋体"/>
          <w:b/>
          <w:bCs/>
          <w:color w:val="auto"/>
          <w:sz w:val="24"/>
          <w:szCs w:val="24"/>
        </w:rPr>
        <w:t>分）</w:t>
      </w:r>
    </w:p>
    <w:p w14:paraId="31531EC4">
      <w:pPr>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评分细则</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77"/>
        <w:gridCol w:w="650"/>
        <w:gridCol w:w="588"/>
        <w:gridCol w:w="5878"/>
        <w:gridCol w:w="724"/>
      </w:tblGrid>
      <w:tr w14:paraId="7478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tblHeader/>
          <w:jc w:val="center"/>
        </w:trPr>
        <w:tc>
          <w:tcPr>
            <w:tcW w:w="343" w:type="pct"/>
            <w:noWrap w:val="0"/>
            <w:vAlign w:val="center"/>
          </w:tcPr>
          <w:p w14:paraId="2A41CEB8">
            <w:pPr>
              <w:pStyle w:val="17"/>
              <w:spacing w:after="0" w:line="240" w:lineRule="auto"/>
              <w:ind w:left="0" w:leftChars="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类别</w:t>
            </w:r>
          </w:p>
        </w:tc>
        <w:tc>
          <w:tcPr>
            <w:tcW w:w="4226" w:type="pct"/>
            <w:gridSpan w:val="3"/>
            <w:noWrap w:val="0"/>
            <w:vAlign w:val="center"/>
          </w:tcPr>
          <w:p w14:paraId="1E3B87CA">
            <w:pPr>
              <w:pStyle w:val="17"/>
              <w:spacing w:after="0" w:line="240" w:lineRule="auto"/>
              <w:ind w:left="0" w:lef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评分项目内容</w:t>
            </w:r>
          </w:p>
        </w:tc>
        <w:tc>
          <w:tcPr>
            <w:tcW w:w="430" w:type="pct"/>
            <w:noWrap w:val="0"/>
            <w:vAlign w:val="center"/>
          </w:tcPr>
          <w:p w14:paraId="09FD3594">
            <w:pPr>
              <w:pStyle w:val="17"/>
              <w:spacing w:after="0" w:line="240" w:lineRule="auto"/>
              <w:ind w:left="0" w:lef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14:paraId="79FF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0" w:hRule="atLeast"/>
          <w:jc w:val="center"/>
        </w:trPr>
        <w:tc>
          <w:tcPr>
            <w:tcW w:w="343" w:type="pct"/>
            <w:vMerge w:val="restart"/>
            <w:noWrap w:val="0"/>
            <w:vAlign w:val="center"/>
          </w:tcPr>
          <w:p w14:paraId="44F6DFB9">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lang w:val="en-US" w:eastAsia="zh-CN"/>
              </w:rPr>
            </w:pPr>
            <w:r>
              <w:rPr>
                <w:rFonts w:hint="eastAsia" w:ascii="宋体" w:hAnsi="宋体" w:eastAsia="宋体" w:cs="宋体"/>
                <w:bCs/>
                <w:color w:val="auto"/>
                <w:kern w:val="0"/>
                <w:sz w:val="21"/>
                <w:szCs w:val="21"/>
                <w:highlight w:val="none"/>
                <w:u w:val="none" w:color="000000"/>
                <w:lang w:val="en-US" w:eastAsia="zh-CN"/>
              </w:rPr>
              <w:t>技术</w:t>
            </w:r>
          </w:p>
        </w:tc>
        <w:tc>
          <w:tcPr>
            <w:tcW w:w="735" w:type="pct"/>
            <w:gridSpan w:val="2"/>
            <w:vMerge w:val="restart"/>
            <w:noWrap w:val="0"/>
            <w:vAlign w:val="center"/>
          </w:tcPr>
          <w:p w14:paraId="79C2187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拟投入团队</w:t>
            </w:r>
          </w:p>
        </w:tc>
        <w:tc>
          <w:tcPr>
            <w:tcW w:w="3491" w:type="pct"/>
            <w:noWrap w:val="0"/>
            <w:vAlign w:val="center"/>
          </w:tcPr>
          <w:p w14:paraId="7637607D">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拟派项目负责人具有环保专业正高级职称的得4分，高级职称的得2分，中级职称的得1分；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需提供有效的职称证书扫描件及近期在供应商单位缴纳的社保证明材料加盖公章，否则不得分</w:t>
            </w:r>
            <w:r>
              <w:rPr>
                <w:rFonts w:hint="eastAsia" w:ascii="宋体" w:hAnsi="宋体" w:cs="宋体"/>
                <w:color w:val="auto"/>
                <w:sz w:val="21"/>
                <w:szCs w:val="21"/>
                <w:highlight w:val="none"/>
                <w:lang w:val="en-US" w:eastAsia="zh-CN"/>
              </w:rPr>
              <w:t>)</w:t>
            </w:r>
          </w:p>
        </w:tc>
        <w:tc>
          <w:tcPr>
            <w:tcW w:w="430" w:type="pct"/>
            <w:noWrap w:val="0"/>
            <w:vAlign w:val="center"/>
          </w:tcPr>
          <w:p w14:paraId="5647D7BC">
            <w:pPr>
              <w:jc w:val="cente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4</w:t>
            </w:r>
            <w:r>
              <w:rPr>
                <w:rFonts w:hint="eastAsia" w:ascii="宋体" w:hAnsi="宋体" w:eastAsia="宋体" w:cs="宋体"/>
                <w:bCs/>
                <w:color w:val="auto"/>
                <w:kern w:val="0"/>
                <w:sz w:val="21"/>
                <w:szCs w:val="21"/>
                <w:highlight w:val="none"/>
                <w:u w:val="none" w:color="000000"/>
              </w:rPr>
              <w:t>分</w:t>
            </w:r>
          </w:p>
        </w:tc>
      </w:tr>
      <w:tr w14:paraId="715B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43" w:hRule="atLeast"/>
          <w:jc w:val="center"/>
        </w:trPr>
        <w:tc>
          <w:tcPr>
            <w:tcW w:w="343" w:type="pct"/>
            <w:vMerge w:val="continue"/>
            <w:noWrap w:val="0"/>
            <w:vAlign w:val="center"/>
          </w:tcPr>
          <w:p w14:paraId="4C05C39C">
            <w:pPr>
              <w:pStyle w:val="78"/>
              <w:widowControl w:val="0"/>
              <w:adjustRightInd/>
              <w:spacing w:before="0" w:line="240" w:lineRule="auto"/>
              <w:jc w:val="both"/>
              <w:rPr>
                <w:rFonts w:hint="eastAsia" w:ascii="宋体" w:hAnsi="宋体" w:eastAsia="宋体" w:cs="宋体"/>
                <w:sz w:val="21"/>
                <w:szCs w:val="21"/>
              </w:rPr>
            </w:pPr>
          </w:p>
        </w:tc>
        <w:tc>
          <w:tcPr>
            <w:tcW w:w="735" w:type="pct"/>
            <w:gridSpan w:val="2"/>
            <w:vMerge w:val="continue"/>
            <w:noWrap w:val="0"/>
            <w:vAlign w:val="center"/>
          </w:tcPr>
          <w:p w14:paraId="3653A0D5">
            <w:pPr>
              <w:rPr>
                <w:rFonts w:hint="eastAsia" w:ascii="宋体" w:hAnsi="宋体" w:eastAsia="宋体" w:cs="宋体"/>
                <w:color w:val="auto"/>
                <w:sz w:val="21"/>
                <w:szCs w:val="21"/>
                <w:highlight w:val="none"/>
                <w:lang w:val="zh-CN"/>
              </w:rPr>
            </w:pPr>
          </w:p>
        </w:tc>
        <w:tc>
          <w:tcPr>
            <w:tcW w:w="3491" w:type="pct"/>
            <w:noWrap w:val="0"/>
            <w:vAlign w:val="center"/>
          </w:tcPr>
          <w:p w14:paraId="5710B4A4">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项目团队人员（项目负责人除外），</w:t>
            </w:r>
          </w:p>
          <w:p w14:paraId="741114C9">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具有环保类专业正高级职称的每人得2分，</w:t>
            </w:r>
          </w:p>
          <w:p w14:paraId="460BC52B">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具有环保专业高级职称的每人得1分，</w:t>
            </w:r>
          </w:p>
          <w:p w14:paraId="266771C4">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具有环保专业中级职称的每人得0.5分，</w:t>
            </w:r>
          </w:p>
          <w:p w14:paraId="59467D52">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注：提供项目人员有效的职称证书扫描件及近期在供应商单位缴纳的社保证明材料加盖公章，否则不得分。</w:t>
            </w:r>
          </w:p>
        </w:tc>
        <w:tc>
          <w:tcPr>
            <w:tcW w:w="430" w:type="pct"/>
            <w:noWrap w:val="0"/>
            <w:vAlign w:val="center"/>
          </w:tcPr>
          <w:p w14:paraId="71DB84C1">
            <w:pPr>
              <w:pStyle w:val="78"/>
              <w:widowControl w:val="0"/>
              <w:adjustRightInd/>
              <w:spacing w:before="0" w:line="24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kern w:val="0"/>
                <w:sz w:val="21"/>
                <w:szCs w:val="21"/>
                <w:highlight w:val="none"/>
                <w:u w:val="none" w:color="000000"/>
              </w:rPr>
              <w:t>分</w:t>
            </w:r>
          </w:p>
        </w:tc>
      </w:tr>
      <w:tr w14:paraId="317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43" w:hRule="atLeast"/>
          <w:jc w:val="center"/>
        </w:trPr>
        <w:tc>
          <w:tcPr>
            <w:tcW w:w="343" w:type="pct"/>
            <w:vMerge w:val="continue"/>
            <w:noWrap w:val="0"/>
            <w:vAlign w:val="center"/>
          </w:tcPr>
          <w:p w14:paraId="58AEA34E">
            <w:pPr>
              <w:pStyle w:val="78"/>
              <w:widowControl w:val="0"/>
              <w:adjustRightInd/>
              <w:spacing w:before="0" w:line="240" w:lineRule="auto"/>
              <w:jc w:val="both"/>
              <w:rPr>
                <w:rFonts w:hint="eastAsia" w:ascii="宋体" w:hAnsi="宋体" w:eastAsia="宋体" w:cs="宋体"/>
                <w:sz w:val="21"/>
                <w:szCs w:val="21"/>
                <w:lang w:val="en-US" w:eastAsia="zh-CN"/>
              </w:rPr>
            </w:pPr>
          </w:p>
        </w:tc>
        <w:tc>
          <w:tcPr>
            <w:tcW w:w="735" w:type="pct"/>
            <w:gridSpan w:val="2"/>
            <w:noWrap w:val="0"/>
            <w:vAlign w:val="center"/>
          </w:tcPr>
          <w:p w14:paraId="155F7CD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拟投入设备</w:t>
            </w:r>
          </w:p>
        </w:tc>
        <w:tc>
          <w:tcPr>
            <w:tcW w:w="3491" w:type="pct"/>
            <w:noWrap w:val="0"/>
            <w:vAlign w:val="center"/>
          </w:tcPr>
          <w:p w14:paraId="2189E19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根据供应商为本项目拟投入</w:t>
            </w:r>
            <w:r>
              <w:rPr>
                <w:rFonts w:hint="eastAsia" w:ascii="宋体" w:hAnsi="宋体" w:eastAsia="宋体" w:cs="宋体"/>
                <w:color w:val="auto"/>
                <w:sz w:val="21"/>
                <w:szCs w:val="21"/>
                <w:highlight w:val="none"/>
                <w:lang w:val="en-US"/>
              </w:rPr>
              <w:t>气相色谱/质谱联用仪、气相色谱仪、液相色谱仪、液相色谱-质谱仪、电感耦合等离子质谱仪、高分辨气相色谱-高分辨双聚焦磁式质谱仪等检测设备</w:t>
            </w:r>
            <w:r>
              <w:rPr>
                <w:rFonts w:hint="eastAsia" w:ascii="宋体" w:hAnsi="宋体" w:eastAsia="宋体" w:cs="宋体"/>
                <w:color w:val="auto"/>
                <w:sz w:val="21"/>
                <w:szCs w:val="21"/>
                <w:highlight w:val="none"/>
                <w:lang w:val="en-US" w:eastAsia="zh-CN"/>
              </w:rPr>
              <w:t>进行综合打分（需提供相关证明材料并加盖公章）。</w:t>
            </w:r>
          </w:p>
        </w:tc>
        <w:tc>
          <w:tcPr>
            <w:tcW w:w="430" w:type="pct"/>
            <w:noWrap w:val="0"/>
            <w:vAlign w:val="center"/>
          </w:tcPr>
          <w:p w14:paraId="51019972">
            <w:pPr>
              <w:pStyle w:val="78"/>
              <w:widowControl w:val="0"/>
              <w:adjustRightInd/>
              <w:spacing w:before="0" w:line="24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kern w:val="0"/>
                <w:sz w:val="21"/>
                <w:szCs w:val="21"/>
                <w:highlight w:val="none"/>
                <w:u w:val="none" w:color="000000"/>
              </w:rPr>
              <w:t>分</w:t>
            </w:r>
          </w:p>
        </w:tc>
      </w:tr>
      <w:tr w14:paraId="6D22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9" w:hRule="atLeast"/>
          <w:jc w:val="center"/>
        </w:trPr>
        <w:tc>
          <w:tcPr>
            <w:tcW w:w="343" w:type="pct"/>
            <w:vMerge w:val="continue"/>
            <w:noWrap w:val="0"/>
            <w:vAlign w:val="center"/>
          </w:tcPr>
          <w:p w14:paraId="364449AB">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rPr>
            </w:pPr>
          </w:p>
        </w:tc>
        <w:tc>
          <w:tcPr>
            <w:tcW w:w="735" w:type="pct"/>
            <w:gridSpan w:val="2"/>
            <w:noWrap w:val="0"/>
            <w:vAlign w:val="center"/>
          </w:tcPr>
          <w:p w14:paraId="6661BE59">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项目理解</w:t>
            </w:r>
          </w:p>
        </w:tc>
        <w:tc>
          <w:tcPr>
            <w:tcW w:w="3491" w:type="pct"/>
            <w:noWrap w:val="0"/>
            <w:vAlign w:val="center"/>
          </w:tcPr>
          <w:p w14:paraId="04485345">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根据供应商对本项目完成地下水污染风险监控点建设</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目标</w:t>
            </w:r>
            <w:r>
              <w:rPr>
                <w:rFonts w:hint="eastAsia" w:ascii="宋体" w:hAnsi="宋体" w:eastAsia="宋体" w:cs="宋体"/>
                <w:color w:val="auto"/>
                <w:sz w:val="21"/>
                <w:szCs w:val="21"/>
                <w:highlight w:val="none"/>
                <w:lang w:val="zh-CN" w:eastAsia="zh-CN"/>
              </w:rPr>
              <w:t>，具体要做的</w:t>
            </w:r>
            <w:r>
              <w:rPr>
                <w:rFonts w:hint="eastAsia" w:ascii="宋体" w:hAnsi="宋体" w:eastAsia="宋体" w:cs="宋体"/>
                <w:color w:val="auto"/>
                <w:sz w:val="21"/>
                <w:szCs w:val="21"/>
                <w:highlight w:val="none"/>
                <w:lang w:val="zh-CN"/>
              </w:rPr>
              <w:t>内容和流程等方面的理解进行</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lang w:val="zh-CN"/>
              </w:rPr>
              <w:t>打分。</w:t>
            </w:r>
          </w:p>
        </w:tc>
        <w:tc>
          <w:tcPr>
            <w:tcW w:w="430" w:type="pct"/>
            <w:noWrap w:val="0"/>
            <w:vAlign w:val="center"/>
          </w:tcPr>
          <w:p w14:paraId="2D9D5DA0">
            <w:pPr>
              <w:jc w:val="cente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5</w:t>
            </w:r>
            <w:r>
              <w:rPr>
                <w:rFonts w:hint="eastAsia" w:ascii="宋体" w:hAnsi="宋体" w:eastAsia="宋体" w:cs="宋体"/>
                <w:bCs/>
                <w:color w:val="auto"/>
                <w:kern w:val="0"/>
                <w:sz w:val="21"/>
                <w:szCs w:val="21"/>
                <w:highlight w:val="none"/>
                <w:u w:val="none" w:color="000000"/>
              </w:rPr>
              <w:t>分</w:t>
            </w:r>
          </w:p>
        </w:tc>
      </w:tr>
      <w:tr w14:paraId="6C74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43" w:type="pct"/>
            <w:vMerge w:val="continue"/>
            <w:noWrap w:val="0"/>
            <w:vAlign w:val="center"/>
          </w:tcPr>
          <w:p w14:paraId="059FF6AF">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rPr>
            </w:pPr>
          </w:p>
        </w:tc>
        <w:tc>
          <w:tcPr>
            <w:tcW w:w="386" w:type="pct"/>
            <w:vMerge w:val="restart"/>
            <w:noWrap w:val="0"/>
            <w:vAlign w:val="center"/>
          </w:tcPr>
          <w:p w14:paraId="0BA79BFA">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项目建设方案</w:t>
            </w:r>
          </w:p>
        </w:tc>
        <w:tc>
          <w:tcPr>
            <w:tcW w:w="349" w:type="pct"/>
            <w:noWrap w:val="0"/>
            <w:vAlign w:val="center"/>
          </w:tcPr>
          <w:p w14:paraId="64B529D2">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基本信息掌握</w:t>
            </w:r>
          </w:p>
        </w:tc>
        <w:tc>
          <w:tcPr>
            <w:tcW w:w="3491" w:type="pct"/>
            <w:noWrap w:val="0"/>
            <w:vAlign w:val="center"/>
          </w:tcPr>
          <w:p w14:paraId="458BDF72">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根据供应商对点位基本信息、周边自然环境、水文地质概况、历史水质情况的掌握进行</w:t>
            </w:r>
            <w:r>
              <w:rPr>
                <w:rFonts w:hint="eastAsia" w:ascii="宋体" w:hAnsi="宋体" w:eastAsia="宋体" w:cs="宋体"/>
                <w:bCs/>
                <w:color w:val="auto"/>
                <w:kern w:val="0"/>
                <w:sz w:val="21"/>
                <w:szCs w:val="21"/>
                <w:highlight w:val="none"/>
                <w:u w:val="none" w:color="000000"/>
                <w:lang w:val="en-US" w:eastAsia="zh-CN"/>
              </w:rPr>
              <w:t>综合</w:t>
            </w:r>
            <w:r>
              <w:rPr>
                <w:rFonts w:hint="eastAsia" w:ascii="宋体" w:hAnsi="宋体" w:eastAsia="宋体" w:cs="宋体"/>
                <w:bCs/>
                <w:color w:val="auto"/>
                <w:kern w:val="0"/>
                <w:sz w:val="21"/>
                <w:szCs w:val="21"/>
                <w:highlight w:val="none"/>
                <w:u w:val="none" w:color="000000"/>
              </w:rPr>
              <w:t>打分。</w:t>
            </w:r>
          </w:p>
        </w:tc>
        <w:tc>
          <w:tcPr>
            <w:tcW w:w="430" w:type="pct"/>
            <w:noWrap w:val="0"/>
            <w:vAlign w:val="center"/>
          </w:tcPr>
          <w:p w14:paraId="2DE9AEF1">
            <w:pPr>
              <w:jc w:val="center"/>
              <w:rPr>
                <w:rFonts w:hint="eastAsia" w:ascii="宋体" w:hAnsi="宋体" w:eastAsia="宋体" w:cs="宋体"/>
                <w:bCs/>
                <w:color w:val="auto"/>
                <w:kern w:val="0"/>
                <w:sz w:val="21"/>
                <w:szCs w:val="21"/>
                <w:highlight w:val="none"/>
                <w:u w:val="none" w:color="000000"/>
                <w:lang w:eastAsia="zh-CN"/>
              </w:rPr>
            </w:pPr>
            <w:r>
              <w:rPr>
                <w:rFonts w:hint="eastAsia" w:ascii="宋体" w:hAnsi="宋体" w:eastAsia="宋体" w:cs="宋体"/>
                <w:bCs/>
                <w:color w:val="auto"/>
                <w:kern w:val="0"/>
                <w:sz w:val="21"/>
                <w:szCs w:val="21"/>
                <w:highlight w:val="none"/>
                <w:u w:val="none" w:color="000000"/>
                <w:lang w:val="en-US" w:eastAsia="zh-CN"/>
              </w:rPr>
              <w:t>5</w:t>
            </w:r>
            <w:r>
              <w:rPr>
                <w:rFonts w:hint="eastAsia" w:ascii="宋体" w:hAnsi="宋体" w:eastAsia="宋体" w:cs="宋体"/>
                <w:bCs/>
                <w:color w:val="auto"/>
                <w:kern w:val="0"/>
                <w:sz w:val="21"/>
                <w:szCs w:val="21"/>
                <w:highlight w:val="none"/>
                <w:u w:val="none" w:color="000000"/>
              </w:rPr>
              <w:t>分</w:t>
            </w:r>
          </w:p>
        </w:tc>
      </w:tr>
      <w:tr w14:paraId="697F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3" w:hRule="atLeast"/>
          <w:jc w:val="center"/>
        </w:trPr>
        <w:tc>
          <w:tcPr>
            <w:tcW w:w="343" w:type="pct"/>
            <w:vMerge w:val="continue"/>
            <w:noWrap w:val="0"/>
            <w:vAlign w:val="center"/>
          </w:tcPr>
          <w:p w14:paraId="1514CF61">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rPr>
            </w:pPr>
          </w:p>
        </w:tc>
        <w:tc>
          <w:tcPr>
            <w:tcW w:w="386" w:type="pct"/>
            <w:vMerge w:val="continue"/>
            <w:noWrap w:val="0"/>
            <w:vAlign w:val="center"/>
          </w:tcPr>
          <w:p w14:paraId="32AA11D4">
            <w:pPr>
              <w:rPr>
                <w:rFonts w:hint="eastAsia" w:ascii="宋体" w:hAnsi="宋体" w:eastAsia="宋体" w:cs="宋体"/>
                <w:bCs/>
                <w:color w:val="auto"/>
                <w:kern w:val="0"/>
                <w:sz w:val="21"/>
                <w:szCs w:val="21"/>
                <w:highlight w:val="none"/>
                <w:u w:val="none" w:color="000000"/>
              </w:rPr>
            </w:pPr>
          </w:p>
        </w:tc>
        <w:tc>
          <w:tcPr>
            <w:tcW w:w="349" w:type="pct"/>
            <w:noWrap w:val="0"/>
            <w:vAlign w:val="center"/>
          </w:tcPr>
          <w:p w14:paraId="10B83779">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必要性分析</w:t>
            </w:r>
          </w:p>
        </w:tc>
        <w:tc>
          <w:tcPr>
            <w:tcW w:w="3491" w:type="pct"/>
            <w:noWrap w:val="0"/>
            <w:vAlign w:val="center"/>
          </w:tcPr>
          <w:p w14:paraId="32AB58A0">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根据供应商对监测井开展必要性分析进行</w:t>
            </w:r>
            <w:r>
              <w:rPr>
                <w:rFonts w:hint="eastAsia" w:ascii="宋体" w:hAnsi="宋体" w:eastAsia="宋体" w:cs="宋体"/>
                <w:bCs/>
                <w:color w:val="auto"/>
                <w:kern w:val="0"/>
                <w:sz w:val="21"/>
                <w:szCs w:val="21"/>
                <w:highlight w:val="none"/>
                <w:u w:val="none" w:color="000000"/>
                <w:lang w:val="en-US" w:eastAsia="zh-CN"/>
              </w:rPr>
              <w:t>综合</w:t>
            </w:r>
            <w:r>
              <w:rPr>
                <w:rFonts w:hint="eastAsia" w:ascii="宋体" w:hAnsi="宋体" w:eastAsia="宋体" w:cs="宋体"/>
                <w:bCs/>
                <w:color w:val="auto"/>
                <w:kern w:val="0"/>
                <w:sz w:val="21"/>
                <w:szCs w:val="21"/>
                <w:highlight w:val="none"/>
                <w:u w:val="none" w:color="000000"/>
              </w:rPr>
              <w:t>打分。</w:t>
            </w:r>
          </w:p>
        </w:tc>
        <w:tc>
          <w:tcPr>
            <w:tcW w:w="430" w:type="pct"/>
            <w:noWrap w:val="0"/>
            <w:vAlign w:val="center"/>
          </w:tcPr>
          <w:p w14:paraId="03728400">
            <w:pPr>
              <w:jc w:val="cente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5</w:t>
            </w:r>
            <w:r>
              <w:rPr>
                <w:rFonts w:hint="eastAsia" w:ascii="宋体" w:hAnsi="宋体" w:eastAsia="宋体" w:cs="宋体"/>
                <w:bCs/>
                <w:color w:val="auto"/>
                <w:kern w:val="0"/>
                <w:sz w:val="21"/>
                <w:szCs w:val="21"/>
                <w:highlight w:val="none"/>
                <w:u w:val="none" w:color="000000"/>
              </w:rPr>
              <w:t>分</w:t>
            </w:r>
          </w:p>
        </w:tc>
      </w:tr>
      <w:tr w14:paraId="65E5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3" w:hRule="atLeast"/>
          <w:jc w:val="center"/>
        </w:trPr>
        <w:tc>
          <w:tcPr>
            <w:tcW w:w="343" w:type="pct"/>
            <w:vMerge w:val="continue"/>
            <w:noWrap w:val="0"/>
            <w:vAlign w:val="center"/>
          </w:tcPr>
          <w:p w14:paraId="2DCBC28C">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rPr>
            </w:pPr>
          </w:p>
        </w:tc>
        <w:tc>
          <w:tcPr>
            <w:tcW w:w="386" w:type="pct"/>
            <w:vMerge w:val="continue"/>
            <w:noWrap w:val="0"/>
            <w:vAlign w:val="center"/>
          </w:tcPr>
          <w:p w14:paraId="67AF6790">
            <w:pPr>
              <w:rPr>
                <w:rFonts w:hint="eastAsia" w:ascii="宋体" w:hAnsi="宋体" w:eastAsia="宋体" w:cs="宋体"/>
                <w:bCs/>
                <w:color w:val="auto"/>
                <w:kern w:val="0"/>
                <w:sz w:val="21"/>
                <w:szCs w:val="21"/>
                <w:highlight w:val="none"/>
                <w:u w:val="none" w:color="000000"/>
              </w:rPr>
            </w:pPr>
          </w:p>
        </w:tc>
        <w:tc>
          <w:tcPr>
            <w:tcW w:w="349" w:type="pct"/>
            <w:noWrap w:val="0"/>
            <w:vAlign w:val="center"/>
          </w:tcPr>
          <w:p w14:paraId="5F0F3934">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建设方案</w:t>
            </w:r>
          </w:p>
        </w:tc>
        <w:tc>
          <w:tcPr>
            <w:tcW w:w="3491" w:type="pct"/>
            <w:noWrap w:val="0"/>
            <w:vAlign w:val="center"/>
          </w:tcPr>
          <w:p w14:paraId="7510BE36">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根据供应商对监测井建设方案、水质监测方案的设计内容进行</w:t>
            </w:r>
            <w:r>
              <w:rPr>
                <w:rFonts w:hint="eastAsia" w:ascii="宋体" w:hAnsi="宋体" w:eastAsia="宋体" w:cs="宋体"/>
                <w:bCs/>
                <w:color w:val="auto"/>
                <w:kern w:val="0"/>
                <w:sz w:val="21"/>
                <w:szCs w:val="21"/>
                <w:highlight w:val="none"/>
                <w:u w:val="none" w:color="000000"/>
                <w:lang w:val="en-US" w:eastAsia="zh-CN"/>
              </w:rPr>
              <w:t>综合</w:t>
            </w:r>
            <w:r>
              <w:rPr>
                <w:rFonts w:hint="eastAsia" w:ascii="宋体" w:hAnsi="宋体" w:eastAsia="宋体" w:cs="宋体"/>
                <w:bCs/>
                <w:color w:val="auto"/>
                <w:kern w:val="0"/>
                <w:sz w:val="21"/>
                <w:szCs w:val="21"/>
                <w:highlight w:val="none"/>
                <w:u w:val="none" w:color="000000"/>
              </w:rPr>
              <w:t>打分。</w:t>
            </w:r>
          </w:p>
        </w:tc>
        <w:tc>
          <w:tcPr>
            <w:tcW w:w="430" w:type="pct"/>
            <w:noWrap w:val="0"/>
            <w:vAlign w:val="center"/>
          </w:tcPr>
          <w:p w14:paraId="476BBB3E">
            <w:pPr>
              <w:jc w:val="cente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5</w:t>
            </w:r>
            <w:r>
              <w:rPr>
                <w:rFonts w:hint="eastAsia" w:ascii="宋体" w:hAnsi="宋体" w:eastAsia="宋体" w:cs="宋体"/>
                <w:bCs/>
                <w:color w:val="auto"/>
                <w:kern w:val="0"/>
                <w:sz w:val="21"/>
                <w:szCs w:val="21"/>
                <w:highlight w:val="none"/>
                <w:u w:val="none" w:color="000000"/>
              </w:rPr>
              <w:t>分</w:t>
            </w:r>
          </w:p>
        </w:tc>
      </w:tr>
      <w:tr w14:paraId="31FD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78" w:hRule="atLeast"/>
          <w:jc w:val="center"/>
        </w:trPr>
        <w:tc>
          <w:tcPr>
            <w:tcW w:w="343" w:type="pct"/>
            <w:vMerge w:val="continue"/>
            <w:noWrap w:val="0"/>
            <w:vAlign w:val="center"/>
          </w:tcPr>
          <w:p w14:paraId="778E8B9A">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rPr>
            </w:pPr>
          </w:p>
        </w:tc>
        <w:tc>
          <w:tcPr>
            <w:tcW w:w="386" w:type="pct"/>
            <w:vMerge w:val="restart"/>
            <w:noWrap w:val="0"/>
            <w:vAlign w:val="center"/>
          </w:tcPr>
          <w:p w14:paraId="18F909A7">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项目建设报告</w:t>
            </w:r>
          </w:p>
        </w:tc>
        <w:tc>
          <w:tcPr>
            <w:tcW w:w="349" w:type="pct"/>
            <w:noWrap w:val="0"/>
            <w:vAlign w:val="center"/>
          </w:tcPr>
          <w:p w14:paraId="7F7512A8">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水质监测能力保障</w:t>
            </w:r>
          </w:p>
        </w:tc>
        <w:tc>
          <w:tcPr>
            <w:tcW w:w="3491" w:type="pct"/>
            <w:noWrap w:val="0"/>
            <w:vAlign w:val="center"/>
          </w:tcPr>
          <w:p w14:paraId="2053C471">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根据供应商提供本项目服务使用的实验室所具备的能力水平进行打分，实验室CMA资质涵盖《地下水质量标准》（GB/T 14848-2017）表1和表2涉及指标，90项及以上得</w:t>
            </w:r>
            <w:r>
              <w:rPr>
                <w:rFonts w:hint="eastAsia" w:ascii="宋体" w:hAnsi="宋体" w:eastAsia="宋体" w:cs="宋体"/>
                <w:bCs/>
                <w:color w:val="auto"/>
                <w:kern w:val="0"/>
                <w:sz w:val="21"/>
                <w:szCs w:val="21"/>
                <w:highlight w:val="none"/>
                <w:u w:val="none" w:color="000000"/>
                <w:lang w:val="en-US" w:eastAsia="zh-CN"/>
              </w:rPr>
              <w:t>5</w:t>
            </w:r>
            <w:r>
              <w:rPr>
                <w:rFonts w:hint="eastAsia" w:ascii="宋体" w:hAnsi="宋体" w:eastAsia="宋体" w:cs="宋体"/>
                <w:bCs/>
                <w:color w:val="auto"/>
                <w:kern w:val="0"/>
                <w:sz w:val="21"/>
                <w:szCs w:val="21"/>
                <w:highlight w:val="none"/>
                <w:u w:val="none" w:color="000000"/>
              </w:rPr>
              <w:t>分，85-89项得</w:t>
            </w:r>
            <w:r>
              <w:rPr>
                <w:rFonts w:hint="eastAsia" w:ascii="宋体" w:hAnsi="宋体" w:eastAsia="宋体" w:cs="宋体"/>
                <w:bCs/>
                <w:color w:val="auto"/>
                <w:kern w:val="0"/>
                <w:sz w:val="21"/>
                <w:szCs w:val="21"/>
                <w:highlight w:val="none"/>
                <w:u w:val="none" w:color="000000"/>
                <w:lang w:val="en-US" w:eastAsia="zh-CN"/>
              </w:rPr>
              <w:t>3</w:t>
            </w:r>
            <w:r>
              <w:rPr>
                <w:rFonts w:hint="eastAsia" w:ascii="宋体" w:hAnsi="宋体" w:eastAsia="宋体" w:cs="宋体"/>
                <w:bCs/>
                <w:color w:val="auto"/>
                <w:kern w:val="0"/>
                <w:sz w:val="21"/>
                <w:szCs w:val="21"/>
                <w:highlight w:val="none"/>
                <w:u w:val="none" w:color="000000"/>
              </w:rPr>
              <w:t>分，80-84项得1分。</w:t>
            </w:r>
          </w:p>
          <w:p w14:paraId="6C05E086">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注：供应商提供指标项数承诺书（格式自拟）即可，加盖公章，否则不得分。</w:t>
            </w:r>
          </w:p>
        </w:tc>
        <w:tc>
          <w:tcPr>
            <w:tcW w:w="430" w:type="pct"/>
            <w:noWrap w:val="0"/>
            <w:vAlign w:val="center"/>
          </w:tcPr>
          <w:p w14:paraId="0A251D3D">
            <w:pPr>
              <w:jc w:val="cente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5</w:t>
            </w:r>
            <w:r>
              <w:rPr>
                <w:rFonts w:hint="eastAsia" w:ascii="宋体" w:hAnsi="宋体" w:eastAsia="宋体" w:cs="宋体"/>
                <w:bCs/>
                <w:color w:val="auto"/>
                <w:kern w:val="0"/>
                <w:sz w:val="21"/>
                <w:szCs w:val="21"/>
                <w:highlight w:val="none"/>
                <w:u w:val="none" w:color="000000"/>
              </w:rPr>
              <w:t>分</w:t>
            </w:r>
          </w:p>
        </w:tc>
      </w:tr>
      <w:tr w14:paraId="0A18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3" w:hRule="atLeast"/>
          <w:jc w:val="center"/>
        </w:trPr>
        <w:tc>
          <w:tcPr>
            <w:tcW w:w="343" w:type="pct"/>
            <w:vMerge w:val="continue"/>
            <w:noWrap w:val="0"/>
            <w:vAlign w:val="center"/>
          </w:tcPr>
          <w:p w14:paraId="45ECC50F">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rPr>
            </w:pPr>
          </w:p>
        </w:tc>
        <w:tc>
          <w:tcPr>
            <w:tcW w:w="386" w:type="pct"/>
            <w:vMerge w:val="continue"/>
            <w:noWrap w:val="0"/>
            <w:vAlign w:val="center"/>
          </w:tcPr>
          <w:p w14:paraId="28FAB52B">
            <w:pPr>
              <w:rPr>
                <w:rFonts w:hint="eastAsia" w:ascii="宋体" w:hAnsi="宋体" w:eastAsia="宋体" w:cs="宋体"/>
                <w:bCs/>
                <w:color w:val="auto"/>
                <w:kern w:val="0"/>
                <w:sz w:val="21"/>
                <w:szCs w:val="21"/>
                <w:highlight w:val="none"/>
                <w:u w:val="none" w:color="000000"/>
              </w:rPr>
            </w:pPr>
          </w:p>
        </w:tc>
        <w:tc>
          <w:tcPr>
            <w:tcW w:w="349" w:type="pct"/>
            <w:noWrap w:val="0"/>
            <w:vAlign w:val="center"/>
          </w:tcPr>
          <w:p w14:paraId="38E554F9">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报告内容</w:t>
            </w:r>
          </w:p>
        </w:tc>
        <w:tc>
          <w:tcPr>
            <w:tcW w:w="3491" w:type="pct"/>
            <w:noWrap w:val="0"/>
            <w:vAlign w:val="center"/>
          </w:tcPr>
          <w:p w14:paraId="1B1FD611">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根据供应商对点位</w:t>
            </w:r>
            <w:r>
              <w:rPr>
                <w:rFonts w:hint="eastAsia" w:ascii="宋体" w:hAnsi="宋体" w:eastAsia="宋体" w:cs="宋体"/>
                <w:bCs/>
                <w:color w:val="auto"/>
                <w:kern w:val="0"/>
                <w:sz w:val="21"/>
                <w:szCs w:val="21"/>
                <w:highlight w:val="none"/>
                <w:u w:val="none" w:color="000000"/>
                <w:lang w:val="en-US" w:eastAsia="zh-CN"/>
              </w:rPr>
              <w:t>建设</w:t>
            </w:r>
            <w:r>
              <w:rPr>
                <w:rFonts w:hint="eastAsia" w:ascii="宋体" w:hAnsi="宋体" w:eastAsia="宋体" w:cs="宋体"/>
                <w:bCs/>
                <w:color w:val="auto"/>
                <w:kern w:val="0"/>
                <w:sz w:val="21"/>
                <w:szCs w:val="21"/>
                <w:highlight w:val="none"/>
                <w:u w:val="none" w:color="000000"/>
              </w:rPr>
              <w:t>基础信息比对和水质情况对比的报告内容进行</w:t>
            </w:r>
            <w:r>
              <w:rPr>
                <w:rFonts w:hint="eastAsia" w:ascii="宋体" w:hAnsi="宋体" w:eastAsia="宋体" w:cs="宋体"/>
                <w:bCs/>
                <w:color w:val="auto"/>
                <w:kern w:val="0"/>
                <w:sz w:val="21"/>
                <w:szCs w:val="21"/>
                <w:highlight w:val="none"/>
                <w:u w:val="none" w:color="000000"/>
                <w:lang w:val="en-US" w:eastAsia="zh-CN"/>
              </w:rPr>
              <w:t>综合</w:t>
            </w:r>
            <w:r>
              <w:rPr>
                <w:rFonts w:hint="eastAsia" w:ascii="宋体" w:hAnsi="宋体" w:eastAsia="宋体" w:cs="宋体"/>
                <w:bCs/>
                <w:color w:val="auto"/>
                <w:kern w:val="0"/>
                <w:sz w:val="21"/>
                <w:szCs w:val="21"/>
                <w:highlight w:val="none"/>
                <w:u w:val="none" w:color="000000"/>
              </w:rPr>
              <w:t>打分。</w:t>
            </w:r>
          </w:p>
        </w:tc>
        <w:tc>
          <w:tcPr>
            <w:tcW w:w="430" w:type="pct"/>
            <w:noWrap w:val="0"/>
            <w:vAlign w:val="center"/>
          </w:tcPr>
          <w:p w14:paraId="1C48A613">
            <w:pPr>
              <w:jc w:val="cente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5</w:t>
            </w:r>
            <w:r>
              <w:rPr>
                <w:rFonts w:hint="eastAsia" w:ascii="宋体" w:hAnsi="宋体" w:eastAsia="宋体" w:cs="宋体"/>
                <w:bCs/>
                <w:color w:val="auto"/>
                <w:kern w:val="0"/>
                <w:sz w:val="21"/>
                <w:szCs w:val="21"/>
                <w:highlight w:val="none"/>
                <w:u w:val="none" w:color="000000"/>
              </w:rPr>
              <w:t>分</w:t>
            </w:r>
          </w:p>
        </w:tc>
      </w:tr>
      <w:tr w14:paraId="56ED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3" w:hRule="atLeast"/>
          <w:jc w:val="center"/>
        </w:trPr>
        <w:tc>
          <w:tcPr>
            <w:tcW w:w="343" w:type="pct"/>
            <w:vMerge w:val="continue"/>
            <w:noWrap w:val="0"/>
            <w:vAlign w:val="center"/>
          </w:tcPr>
          <w:p w14:paraId="33FA2731">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lang w:eastAsia="zh-CN"/>
              </w:rPr>
            </w:pPr>
          </w:p>
        </w:tc>
        <w:tc>
          <w:tcPr>
            <w:tcW w:w="735" w:type="pct"/>
            <w:gridSpan w:val="2"/>
            <w:noWrap w:val="0"/>
            <w:vAlign w:val="center"/>
          </w:tcPr>
          <w:p w14:paraId="4B59A828">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项目重难点分析</w:t>
            </w:r>
          </w:p>
        </w:tc>
        <w:tc>
          <w:tcPr>
            <w:tcW w:w="3491" w:type="pct"/>
            <w:noWrap w:val="0"/>
            <w:vAlign w:val="center"/>
          </w:tcPr>
          <w:p w14:paraId="4117F5B6">
            <w:pPr>
              <w:rPr>
                <w:rFonts w:hint="default" w:ascii="宋体" w:hAnsi="宋体" w:eastAsia="宋体" w:cs="宋体"/>
                <w:bCs/>
                <w:color w:val="auto"/>
                <w:kern w:val="0"/>
                <w:sz w:val="21"/>
                <w:szCs w:val="21"/>
                <w:highlight w:val="none"/>
                <w:u w:val="none" w:color="000000"/>
                <w:lang w:val="en-US" w:eastAsia="zh-CN"/>
              </w:rPr>
            </w:pPr>
            <w:r>
              <w:rPr>
                <w:rFonts w:hint="eastAsia" w:ascii="宋体" w:hAnsi="宋体" w:eastAsia="宋体" w:cs="宋体"/>
                <w:bCs/>
                <w:color w:val="auto"/>
                <w:kern w:val="0"/>
                <w:sz w:val="21"/>
                <w:szCs w:val="21"/>
                <w:highlight w:val="none"/>
                <w:u w:val="none" w:color="000000"/>
              </w:rPr>
              <w:t>根据供应商</w:t>
            </w:r>
            <w:r>
              <w:rPr>
                <w:rFonts w:hint="eastAsia" w:ascii="宋体" w:hAnsi="宋体" w:eastAsia="宋体" w:cs="宋体"/>
                <w:bCs/>
                <w:color w:val="auto"/>
                <w:kern w:val="0"/>
                <w:sz w:val="21"/>
                <w:szCs w:val="21"/>
                <w:highlight w:val="none"/>
                <w:u w:val="none" w:color="000000"/>
                <w:lang w:val="en-US" w:eastAsia="zh-CN"/>
              </w:rPr>
              <w:t>对</w:t>
            </w:r>
            <w:r>
              <w:rPr>
                <w:rFonts w:hint="eastAsia" w:ascii="宋体" w:hAnsi="宋体" w:eastAsia="宋体" w:cs="宋体"/>
                <w:bCs/>
                <w:color w:val="auto"/>
                <w:kern w:val="0"/>
                <w:sz w:val="21"/>
                <w:szCs w:val="21"/>
                <w:highlight w:val="none"/>
                <w:u w:val="none" w:color="000000"/>
                <w:lang w:eastAsia="zh-CN"/>
              </w:rPr>
              <w:t>前期调查、点位方案编辑、检测井建设等</w:t>
            </w:r>
            <w:r>
              <w:rPr>
                <w:rFonts w:hint="eastAsia" w:ascii="宋体" w:hAnsi="宋体" w:eastAsia="宋体" w:cs="宋体"/>
                <w:bCs/>
                <w:color w:val="auto"/>
                <w:kern w:val="0"/>
                <w:sz w:val="21"/>
                <w:szCs w:val="21"/>
                <w:highlight w:val="none"/>
                <w:u w:val="none" w:color="000000"/>
              </w:rPr>
              <w:t>特点及难点</w:t>
            </w:r>
            <w:r>
              <w:rPr>
                <w:rFonts w:hint="eastAsia" w:ascii="宋体" w:hAnsi="宋体" w:eastAsia="宋体" w:cs="宋体"/>
                <w:bCs/>
                <w:color w:val="auto"/>
                <w:kern w:val="0"/>
                <w:sz w:val="21"/>
                <w:szCs w:val="21"/>
                <w:highlight w:val="none"/>
                <w:u w:val="none" w:color="000000"/>
                <w:lang w:val="en-US" w:eastAsia="zh-CN"/>
              </w:rPr>
              <w:t>分析</w:t>
            </w:r>
            <w:r>
              <w:rPr>
                <w:rFonts w:hint="eastAsia" w:ascii="宋体" w:hAnsi="宋体" w:eastAsia="宋体" w:cs="宋体"/>
                <w:bCs/>
                <w:color w:val="auto"/>
                <w:kern w:val="0"/>
                <w:sz w:val="21"/>
                <w:szCs w:val="21"/>
                <w:highlight w:val="none"/>
                <w:u w:val="none" w:color="000000"/>
              </w:rPr>
              <w:t>，提供解决方案。根据解决方案</w:t>
            </w:r>
            <w:r>
              <w:rPr>
                <w:rFonts w:hint="eastAsia" w:ascii="宋体" w:hAnsi="宋体" w:eastAsia="宋体" w:cs="宋体"/>
                <w:bCs/>
                <w:color w:val="auto"/>
                <w:kern w:val="0"/>
                <w:sz w:val="21"/>
                <w:szCs w:val="21"/>
                <w:highlight w:val="none"/>
                <w:u w:val="none" w:color="000000"/>
                <w:lang w:val="en-US" w:eastAsia="zh-CN"/>
              </w:rPr>
              <w:t>进行综合打分</w:t>
            </w:r>
            <w:r>
              <w:rPr>
                <w:rFonts w:hint="eastAsia" w:ascii="宋体" w:hAnsi="宋体" w:cs="宋体"/>
                <w:bCs/>
                <w:color w:val="auto"/>
                <w:kern w:val="0"/>
                <w:sz w:val="21"/>
                <w:szCs w:val="21"/>
                <w:highlight w:val="none"/>
                <w:u w:val="none" w:color="000000"/>
                <w:lang w:val="en-US" w:eastAsia="zh-CN"/>
              </w:rPr>
              <w:t>.</w:t>
            </w:r>
          </w:p>
        </w:tc>
        <w:tc>
          <w:tcPr>
            <w:tcW w:w="430" w:type="pct"/>
            <w:noWrap w:val="0"/>
            <w:vAlign w:val="center"/>
          </w:tcPr>
          <w:p w14:paraId="500726C2">
            <w:pPr>
              <w:jc w:val="cente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5</w:t>
            </w:r>
            <w:r>
              <w:rPr>
                <w:rFonts w:hint="eastAsia" w:ascii="宋体" w:hAnsi="宋体" w:eastAsia="宋体" w:cs="宋体"/>
                <w:bCs/>
                <w:color w:val="auto"/>
                <w:kern w:val="0"/>
                <w:sz w:val="21"/>
                <w:szCs w:val="21"/>
                <w:highlight w:val="none"/>
                <w:u w:val="none" w:color="000000"/>
              </w:rPr>
              <w:t>分</w:t>
            </w:r>
          </w:p>
        </w:tc>
      </w:tr>
      <w:tr w14:paraId="7734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3" w:hRule="atLeast"/>
          <w:jc w:val="center"/>
        </w:trPr>
        <w:tc>
          <w:tcPr>
            <w:tcW w:w="343" w:type="pct"/>
            <w:vMerge w:val="continue"/>
            <w:noWrap w:val="0"/>
            <w:vAlign w:val="center"/>
          </w:tcPr>
          <w:p w14:paraId="42145C2E">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lang w:eastAsia="zh-CN"/>
              </w:rPr>
            </w:pPr>
          </w:p>
        </w:tc>
        <w:tc>
          <w:tcPr>
            <w:tcW w:w="735" w:type="pct"/>
            <w:gridSpan w:val="2"/>
            <w:noWrap w:val="0"/>
            <w:vAlign w:val="center"/>
          </w:tcPr>
          <w:p w14:paraId="229E034C">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组织实施与进度安排</w:t>
            </w:r>
          </w:p>
        </w:tc>
        <w:tc>
          <w:tcPr>
            <w:tcW w:w="3491" w:type="pct"/>
            <w:noWrap w:val="0"/>
            <w:vAlign w:val="center"/>
          </w:tcPr>
          <w:p w14:paraId="03439511">
            <w:pPr>
              <w:rPr>
                <w:rFonts w:hint="eastAsia" w:ascii="宋体" w:hAnsi="宋体" w:eastAsia="宋体" w:cs="宋体"/>
                <w:bCs/>
                <w:color w:val="auto"/>
                <w:kern w:val="0"/>
                <w:sz w:val="21"/>
                <w:szCs w:val="21"/>
                <w:highlight w:val="none"/>
                <w:u w:val="none" w:color="000000"/>
                <w:lang w:eastAsia="zh-CN"/>
              </w:rPr>
            </w:pPr>
            <w:r>
              <w:rPr>
                <w:rFonts w:hint="eastAsia" w:ascii="宋体" w:hAnsi="宋体" w:eastAsia="宋体" w:cs="宋体"/>
                <w:bCs/>
                <w:color w:val="auto"/>
                <w:kern w:val="0"/>
                <w:sz w:val="21"/>
                <w:szCs w:val="21"/>
                <w:highlight w:val="none"/>
                <w:u w:val="none" w:color="000000"/>
              </w:rPr>
              <w:t>根据供应商提供的组织实施与进度安排方案进行</w:t>
            </w:r>
            <w:r>
              <w:rPr>
                <w:rFonts w:hint="eastAsia" w:ascii="宋体" w:hAnsi="宋体" w:eastAsia="宋体" w:cs="宋体"/>
                <w:bCs/>
                <w:color w:val="auto"/>
                <w:kern w:val="0"/>
                <w:sz w:val="21"/>
                <w:szCs w:val="21"/>
                <w:highlight w:val="none"/>
                <w:u w:val="none" w:color="000000"/>
                <w:lang w:val="en-US" w:eastAsia="zh-CN"/>
              </w:rPr>
              <w:t>综合</w:t>
            </w:r>
            <w:r>
              <w:rPr>
                <w:rFonts w:hint="eastAsia" w:ascii="宋体" w:hAnsi="宋体" w:eastAsia="宋体" w:cs="宋体"/>
                <w:bCs/>
                <w:color w:val="auto"/>
                <w:kern w:val="0"/>
                <w:sz w:val="21"/>
                <w:szCs w:val="21"/>
                <w:highlight w:val="none"/>
                <w:u w:val="none" w:color="000000"/>
              </w:rPr>
              <w:t>打分</w:t>
            </w:r>
            <w:r>
              <w:rPr>
                <w:rFonts w:hint="eastAsia" w:ascii="宋体" w:hAnsi="宋体" w:eastAsia="宋体" w:cs="宋体"/>
                <w:bCs/>
                <w:color w:val="auto"/>
                <w:kern w:val="0"/>
                <w:sz w:val="21"/>
                <w:szCs w:val="21"/>
                <w:highlight w:val="none"/>
                <w:u w:val="none" w:color="000000"/>
                <w:lang w:eastAsia="zh-CN"/>
              </w:rPr>
              <w:t>。</w:t>
            </w:r>
          </w:p>
        </w:tc>
        <w:tc>
          <w:tcPr>
            <w:tcW w:w="430" w:type="pct"/>
            <w:noWrap w:val="0"/>
            <w:vAlign w:val="center"/>
          </w:tcPr>
          <w:p w14:paraId="11659B81">
            <w:pPr>
              <w:jc w:val="cente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5</w:t>
            </w:r>
            <w:r>
              <w:rPr>
                <w:rFonts w:hint="eastAsia" w:ascii="宋体" w:hAnsi="宋体" w:eastAsia="宋体" w:cs="宋体"/>
                <w:bCs/>
                <w:color w:val="auto"/>
                <w:kern w:val="0"/>
                <w:sz w:val="21"/>
                <w:szCs w:val="21"/>
                <w:highlight w:val="none"/>
                <w:u w:val="none" w:color="000000"/>
              </w:rPr>
              <w:t>分</w:t>
            </w:r>
          </w:p>
        </w:tc>
      </w:tr>
      <w:tr w14:paraId="108C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3" w:hRule="atLeast"/>
          <w:jc w:val="center"/>
        </w:trPr>
        <w:tc>
          <w:tcPr>
            <w:tcW w:w="343" w:type="pct"/>
            <w:vMerge w:val="continue"/>
            <w:noWrap w:val="0"/>
            <w:vAlign w:val="center"/>
          </w:tcPr>
          <w:p w14:paraId="1370A4C5">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rPr>
            </w:pPr>
          </w:p>
        </w:tc>
        <w:tc>
          <w:tcPr>
            <w:tcW w:w="735" w:type="pct"/>
            <w:gridSpan w:val="2"/>
            <w:noWrap w:val="0"/>
            <w:vAlign w:val="center"/>
          </w:tcPr>
          <w:p w14:paraId="4AB42120">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质量保障措施</w:t>
            </w:r>
          </w:p>
        </w:tc>
        <w:tc>
          <w:tcPr>
            <w:tcW w:w="3491" w:type="pct"/>
            <w:noWrap w:val="0"/>
            <w:vAlign w:val="center"/>
          </w:tcPr>
          <w:p w14:paraId="2FD2D4D3">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根据供应商在项目实施过程中，是否能通过对监测全过程进行可溯性监管和质量把控，是否具有相应措施同步提供现场采样定位、照片、视频等</w:t>
            </w:r>
            <w:r>
              <w:rPr>
                <w:rFonts w:hint="eastAsia" w:ascii="宋体" w:hAnsi="宋体" w:eastAsia="宋体" w:cs="宋体"/>
                <w:bCs/>
                <w:color w:val="auto"/>
                <w:kern w:val="0"/>
                <w:sz w:val="21"/>
                <w:szCs w:val="21"/>
                <w:highlight w:val="none"/>
                <w:u w:val="none" w:color="000000"/>
                <w:lang w:eastAsia="zh-CN"/>
              </w:rPr>
              <w:t>，</w:t>
            </w:r>
            <w:r>
              <w:rPr>
                <w:rFonts w:hint="eastAsia" w:ascii="宋体" w:hAnsi="宋体" w:eastAsia="宋体" w:cs="宋体"/>
                <w:bCs/>
                <w:color w:val="auto"/>
                <w:kern w:val="0"/>
                <w:sz w:val="21"/>
                <w:szCs w:val="21"/>
                <w:highlight w:val="none"/>
                <w:u w:val="none" w:color="000000"/>
                <w:lang w:val="en-US" w:eastAsia="zh-CN"/>
              </w:rPr>
              <w:t>进行综合打分</w:t>
            </w:r>
            <w:r>
              <w:rPr>
                <w:rFonts w:hint="eastAsia" w:ascii="宋体" w:hAnsi="宋体" w:eastAsia="宋体" w:cs="宋体"/>
                <w:bCs/>
                <w:color w:val="auto"/>
                <w:kern w:val="0"/>
                <w:sz w:val="21"/>
                <w:szCs w:val="21"/>
                <w:highlight w:val="none"/>
                <w:u w:val="none" w:color="000000"/>
              </w:rPr>
              <w:t>。</w:t>
            </w:r>
          </w:p>
        </w:tc>
        <w:tc>
          <w:tcPr>
            <w:tcW w:w="430" w:type="pct"/>
            <w:noWrap w:val="0"/>
            <w:vAlign w:val="center"/>
          </w:tcPr>
          <w:p w14:paraId="04D567E0">
            <w:pPr>
              <w:jc w:val="cente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5</w:t>
            </w:r>
            <w:r>
              <w:rPr>
                <w:rFonts w:hint="eastAsia" w:ascii="宋体" w:hAnsi="宋体" w:eastAsia="宋体" w:cs="宋体"/>
                <w:bCs/>
                <w:color w:val="auto"/>
                <w:kern w:val="0"/>
                <w:sz w:val="21"/>
                <w:szCs w:val="21"/>
                <w:highlight w:val="none"/>
                <w:u w:val="none" w:color="000000"/>
              </w:rPr>
              <w:t>分</w:t>
            </w:r>
          </w:p>
        </w:tc>
      </w:tr>
      <w:tr w14:paraId="2A27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 w:hRule="atLeast"/>
          <w:jc w:val="center"/>
        </w:trPr>
        <w:tc>
          <w:tcPr>
            <w:tcW w:w="343" w:type="pct"/>
            <w:vMerge w:val="continue"/>
            <w:noWrap w:val="0"/>
            <w:vAlign w:val="center"/>
          </w:tcPr>
          <w:p w14:paraId="214FDC87">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lang w:eastAsia="zh-CN"/>
              </w:rPr>
            </w:pPr>
          </w:p>
        </w:tc>
        <w:tc>
          <w:tcPr>
            <w:tcW w:w="735" w:type="pct"/>
            <w:gridSpan w:val="2"/>
            <w:noWrap w:val="0"/>
            <w:vAlign w:val="center"/>
          </w:tcPr>
          <w:p w14:paraId="0975681B">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组织和管理体制</w:t>
            </w:r>
          </w:p>
        </w:tc>
        <w:tc>
          <w:tcPr>
            <w:tcW w:w="3491" w:type="pct"/>
            <w:noWrap w:val="0"/>
            <w:vAlign w:val="center"/>
          </w:tcPr>
          <w:p w14:paraId="77D1E79B">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根据供应商是否建立了现代企业管理体制，是否具有完备的检测组织、检测规范、检测管理和财务会计制度，确保合同履行，及保密制度进行</w:t>
            </w:r>
            <w:r>
              <w:rPr>
                <w:rFonts w:hint="eastAsia" w:ascii="宋体" w:hAnsi="宋体" w:eastAsia="宋体" w:cs="宋体"/>
                <w:bCs/>
                <w:color w:val="auto"/>
                <w:kern w:val="0"/>
                <w:sz w:val="21"/>
                <w:szCs w:val="21"/>
                <w:highlight w:val="none"/>
                <w:u w:val="none" w:color="000000"/>
                <w:lang w:val="en-US" w:eastAsia="zh-CN"/>
              </w:rPr>
              <w:t>综合打分</w:t>
            </w:r>
            <w:r>
              <w:rPr>
                <w:rFonts w:hint="eastAsia" w:ascii="宋体" w:hAnsi="宋体" w:eastAsia="宋体" w:cs="宋体"/>
                <w:bCs/>
                <w:color w:val="auto"/>
                <w:kern w:val="0"/>
                <w:sz w:val="21"/>
                <w:szCs w:val="21"/>
                <w:highlight w:val="none"/>
                <w:u w:val="none" w:color="000000"/>
              </w:rPr>
              <w:t>。</w:t>
            </w:r>
          </w:p>
        </w:tc>
        <w:tc>
          <w:tcPr>
            <w:tcW w:w="430" w:type="pct"/>
            <w:noWrap w:val="0"/>
            <w:vAlign w:val="center"/>
          </w:tcPr>
          <w:p w14:paraId="563D5562">
            <w:pPr>
              <w:jc w:val="cente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5</w:t>
            </w:r>
            <w:r>
              <w:rPr>
                <w:rFonts w:hint="eastAsia" w:ascii="宋体" w:hAnsi="宋体" w:eastAsia="宋体" w:cs="宋体"/>
                <w:bCs/>
                <w:color w:val="auto"/>
                <w:kern w:val="0"/>
                <w:sz w:val="21"/>
                <w:szCs w:val="21"/>
                <w:highlight w:val="none"/>
                <w:u w:val="none" w:color="000000"/>
              </w:rPr>
              <w:t>分</w:t>
            </w:r>
          </w:p>
        </w:tc>
      </w:tr>
      <w:tr w14:paraId="677E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9" w:hRule="atLeast"/>
          <w:jc w:val="center"/>
        </w:trPr>
        <w:tc>
          <w:tcPr>
            <w:tcW w:w="343" w:type="pct"/>
            <w:vMerge w:val="continue"/>
            <w:noWrap w:val="0"/>
            <w:vAlign w:val="center"/>
          </w:tcPr>
          <w:p w14:paraId="503AF9AF">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lang w:val="en-US" w:eastAsia="zh-CN"/>
              </w:rPr>
            </w:pPr>
          </w:p>
        </w:tc>
        <w:tc>
          <w:tcPr>
            <w:tcW w:w="735" w:type="pct"/>
            <w:gridSpan w:val="2"/>
            <w:noWrap w:val="0"/>
            <w:vAlign w:val="center"/>
          </w:tcPr>
          <w:p w14:paraId="46EF2FF3">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售后服务</w:t>
            </w:r>
          </w:p>
        </w:tc>
        <w:tc>
          <w:tcPr>
            <w:tcW w:w="3491" w:type="pct"/>
            <w:noWrap w:val="0"/>
            <w:vAlign w:val="center"/>
          </w:tcPr>
          <w:p w14:paraId="57709BFB">
            <w:pPr>
              <w:rPr>
                <w:rFonts w:hint="eastAsia" w:ascii="宋体" w:hAnsi="宋体" w:eastAsia="宋体" w:cs="宋体"/>
                <w:bCs/>
                <w:color w:val="auto"/>
                <w:kern w:val="0"/>
                <w:sz w:val="21"/>
                <w:szCs w:val="21"/>
                <w:highlight w:val="none"/>
                <w:u w:val="none" w:color="000000"/>
                <w:lang w:val="en-US" w:eastAsia="zh-CN"/>
              </w:rPr>
            </w:pPr>
            <w:r>
              <w:rPr>
                <w:rFonts w:hint="eastAsia" w:ascii="宋体" w:hAnsi="宋体" w:eastAsia="宋体" w:cs="宋体"/>
                <w:bCs/>
                <w:color w:val="auto"/>
                <w:kern w:val="0"/>
                <w:sz w:val="21"/>
                <w:szCs w:val="21"/>
                <w:highlight w:val="none"/>
                <w:u w:val="none" w:color="000000"/>
              </w:rPr>
              <w:t>根据供应商提供的服务方案是否能提供快速的售后服务响应、售后服务承诺等，以及较强的专业技术队伍的科学可行性、完整性，及其可实现程度等进行</w:t>
            </w:r>
            <w:r>
              <w:rPr>
                <w:rFonts w:hint="eastAsia" w:ascii="宋体" w:hAnsi="宋体" w:eastAsia="宋体" w:cs="宋体"/>
                <w:bCs/>
                <w:color w:val="auto"/>
                <w:kern w:val="0"/>
                <w:sz w:val="21"/>
                <w:szCs w:val="21"/>
                <w:highlight w:val="none"/>
                <w:u w:val="none" w:color="000000"/>
                <w:lang w:val="en-US" w:eastAsia="zh-CN"/>
              </w:rPr>
              <w:t>综合打分。</w:t>
            </w:r>
          </w:p>
        </w:tc>
        <w:tc>
          <w:tcPr>
            <w:tcW w:w="430" w:type="pct"/>
            <w:noWrap w:val="0"/>
            <w:vAlign w:val="center"/>
          </w:tcPr>
          <w:p w14:paraId="773D6C49">
            <w:pPr>
              <w:jc w:val="cente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5</w:t>
            </w:r>
            <w:r>
              <w:rPr>
                <w:rFonts w:hint="eastAsia" w:ascii="宋体" w:hAnsi="宋体" w:eastAsia="宋体" w:cs="宋体"/>
                <w:bCs/>
                <w:color w:val="auto"/>
                <w:kern w:val="0"/>
                <w:sz w:val="21"/>
                <w:szCs w:val="21"/>
                <w:highlight w:val="none"/>
                <w:u w:val="none" w:color="000000"/>
              </w:rPr>
              <w:t>分</w:t>
            </w:r>
          </w:p>
        </w:tc>
      </w:tr>
      <w:tr w14:paraId="60BC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 w:hRule="atLeast"/>
          <w:jc w:val="center"/>
        </w:trPr>
        <w:tc>
          <w:tcPr>
            <w:tcW w:w="343" w:type="pct"/>
            <w:vMerge w:val="continue"/>
            <w:noWrap w:val="0"/>
            <w:vAlign w:val="center"/>
          </w:tcPr>
          <w:p w14:paraId="0A431CAD">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lang w:val="en-US" w:eastAsia="zh-CN"/>
              </w:rPr>
            </w:pPr>
          </w:p>
        </w:tc>
        <w:tc>
          <w:tcPr>
            <w:tcW w:w="735" w:type="pct"/>
            <w:gridSpan w:val="2"/>
            <w:noWrap w:val="0"/>
            <w:vAlign w:val="center"/>
          </w:tcPr>
          <w:p w14:paraId="5637D4A0">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其他合理化建议</w:t>
            </w:r>
          </w:p>
        </w:tc>
        <w:tc>
          <w:tcPr>
            <w:tcW w:w="3491" w:type="pct"/>
            <w:noWrap w:val="0"/>
            <w:vAlign w:val="top"/>
          </w:tcPr>
          <w:p w14:paraId="5D859E3C">
            <w:pP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根据供应商针对检测现状、项目实施过程及成果报告的其他合理化建议的科学性、合理性进行综合打分。</w:t>
            </w:r>
          </w:p>
        </w:tc>
        <w:tc>
          <w:tcPr>
            <w:tcW w:w="430" w:type="pct"/>
            <w:noWrap w:val="0"/>
            <w:vAlign w:val="center"/>
          </w:tcPr>
          <w:p w14:paraId="7853870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Cs/>
                <w:color w:val="auto"/>
                <w:kern w:val="0"/>
                <w:sz w:val="21"/>
                <w:szCs w:val="21"/>
                <w:highlight w:val="none"/>
                <w:u w:val="none" w:color="000000"/>
                <w:lang w:val="en-US"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bCs/>
                <w:color w:val="auto"/>
                <w:kern w:val="0"/>
                <w:sz w:val="21"/>
                <w:szCs w:val="21"/>
                <w:highlight w:val="none"/>
                <w:u w:val="none" w:color="000000"/>
              </w:rPr>
              <w:t>分</w:t>
            </w:r>
          </w:p>
        </w:tc>
      </w:tr>
      <w:tr w14:paraId="7101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2" w:hRule="atLeast"/>
          <w:jc w:val="center"/>
        </w:trPr>
        <w:tc>
          <w:tcPr>
            <w:tcW w:w="343" w:type="pct"/>
            <w:vMerge w:val="restart"/>
            <w:noWrap w:val="0"/>
            <w:vAlign w:val="center"/>
          </w:tcPr>
          <w:p w14:paraId="0E78FB62">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lang w:val="en-US" w:eastAsia="zh-CN" w:bidi="ar-SA"/>
              </w:rPr>
            </w:pPr>
            <w:r>
              <w:rPr>
                <w:rFonts w:hint="eastAsia" w:ascii="宋体" w:hAnsi="宋体" w:eastAsia="宋体" w:cs="宋体"/>
                <w:bCs/>
                <w:color w:val="auto"/>
                <w:sz w:val="21"/>
                <w:szCs w:val="21"/>
                <w:highlight w:val="none"/>
                <w:lang w:val="en-US" w:eastAsia="zh-CN"/>
              </w:rPr>
              <w:t>商务</w:t>
            </w:r>
          </w:p>
        </w:tc>
        <w:tc>
          <w:tcPr>
            <w:tcW w:w="735" w:type="pct"/>
            <w:gridSpan w:val="2"/>
            <w:noWrap w:val="0"/>
            <w:vAlign w:val="center"/>
          </w:tcPr>
          <w:p w14:paraId="6BF4B7E6">
            <w:pPr>
              <w:pStyle w:val="78"/>
              <w:widowControl w:val="0"/>
              <w:adjustRightInd/>
              <w:spacing w:before="0" w:line="240" w:lineRule="auto"/>
              <w:rPr>
                <w:rFonts w:hint="eastAsia" w:ascii="宋体" w:hAnsi="宋体" w:eastAsia="宋体" w:cs="宋体"/>
                <w:bCs/>
                <w:color w:val="auto"/>
                <w:kern w:val="0"/>
                <w:sz w:val="21"/>
                <w:szCs w:val="21"/>
                <w:highlight w:val="none"/>
                <w:u w:val="none" w:color="000000"/>
                <w:lang w:val="en-US" w:eastAsia="zh-CN" w:bidi="ar-SA"/>
              </w:rPr>
            </w:pPr>
            <w:r>
              <w:rPr>
                <w:rFonts w:hint="eastAsia" w:ascii="宋体" w:hAnsi="宋体" w:eastAsia="宋体" w:cs="宋体"/>
                <w:bCs/>
                <w:color w:val="auto"/>
                <w:sz w:val="21"/>
                <w:szCs w:val="21"/>
                <w:highlight w:val="none"/>
                <w:lang w:val="en-US" w:eastAsia="zh-CN"/>
              </w:rPr>
              <w:t>类似业绩</w:t>
            </w:r>
          </w:p>
        </w:tc>
        <w:tc>
          <w:tcPr>
            <w:tcW w:w="3491" w:type="pct"/>
            <w:noWrap w:val="0"/>
            <w:vAlign w:val="center"/>
          </w:tcPr>
          <w:p w14:paraId="40DD0060">
            <w:pPr>
              <w:pStyle w:val="78"/>
              <w:widowControl w:val="0"/>
              <w:adjustRightInd/>
              <w:spacing w:before="0" w:line="240" w:lineRule="auto"/>
              <w:jc w:val="both"/>
              <w:rPr>
                <w:rFonts w:hint="eastAsia" w:ascii="宋体" w:hAnsi="宋体" w:eastAsia="宋体" w:cs="宋体"/>
                <w:bCs/>
                <w:color w:val="auto"/>
                <w:kern w:val="0"/>
                <w:sz w:val="21"/>
                <w:szCs w:val="21"/>
                <w:highlight w:val="none"/>
                <w:u w:val="none" w:color="000000"/>
                <w:lang w:val="en-US" w:eastAsia="zh-CN" w:bidi="ar-SA"/>
              </w:rPr>
            </w:pPr>
            <w:r>
              <w:rPr>
                <w:rFonts w:hint="eastAsia" w:ascii="宋体" w:hAnsi="宋体" w:eastAsia="宋体" w:cs="宋体"/>
                <w:b/>
                <w:bCs/>
                <w:color w:val="auto"/>
                <w:sz w:val="21"/>
                <w:szCs w:val="21"/>
              </w:rPr>
              <w:t>详见商务要求表</w:t>
            </w:r>
          </w:p>
        </w:tc>
        <w:tc>
          <w:tcPr>
            <w:tcW w:w="430" w:type="pct"/>
            <w:noWrap w:val="0"/>
            <w:vAlign w:val="center"/>
          </w:tcPr>
          <w:p w14:paraId="4DA64705">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lang w:val="en-US" w:eastAsia="zh-CN" w:bidi="ar-SA"/>
              </w:rPr>
            </w:pPr>
            <w:r>
              <w:rPr>
                <w:rFonts w:hint="eastAsia" w:ascii="宋体" w:hAnsi="宋体" w:eastAsia="宋体" w:cs="宋体"/>
                <w:bCs/>
                <w:color w:val="auto"/>
                <w:kern w:val="0"/>
                <w:sz w:val="21"/>
                <w:szCs w:val="21"/>
                <w:highlight w:val="none"/>
                <w:u w:val="none" w:color="000000"/>
                <w:lang w:val="en-US" w:eastAsia="zh-CN"/>
              </w:rPr>
              <w:t>3</w:t>
            </w:r>
            <w:r>
              <w:rPr>
                <w:rFonts w:hint="eastAsia" w:ascii="宋体" w:hAnsi="宋体" w:eastAsia="宋体" w:cs="宋体"/>
                <w:bCs/>
                <w:color w:val="auto"/>
                <w:kern w:val="0"/>
                <w:sz w:val="21"/>
                <w:szCs w:val="21"/>
                <w:highlight w:val="none"/>
                <w:u w:val="none" w:color="000000"/>
              </w:rPr>
              <w:t>分</w:t>
            </w:r>
          </w:p>
        </w:tc>
      </w:tr>
      <w:tr w14:paraId="63DF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 w:hRule="atLeast"/>
          <w:jc w:val="center"/>
        </w:trPr>
        <w:tc>
          <w:tcPr>
            <w:tcW w:w="343" w:type="pct"/>
            <w:vMerge w:val="continue"/>
            <w:noWrap w:val="0"/>
            <w:vAlign w:val="center"/>
          </w:tcPr>
          <w:p w14:paraId="5685ED73">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lang w:val="en-US" w:eastAsia="zh-CN"/>
              </w:rPr>
            </w:pPr>
          </w:p>
        </w:tc>
        <w:tc>
          <w:tcPr>
            <w:tcW w:w="735" w:type="pct"/>
            <w:gridSpan w:val="2"/>
            <w:noWrap w:val="0"/>
            <w:vAlign w:val="center"/>
          </w:tcPr>
          <w:p w14:paraId="38734FD6">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lang w:val="en-US" w:eastAsia="zh-CN" w:bidi="ar-SA"/>
              </w:rPr>
            </w:pPr>
            <w:r>
              <w:rPr>
                <w:rFonts w:hint="eastAsia" w:ascii="宋体" w:hAnsi="宋体" w:eastAsia="宋体" w:cs="宋体"/>
                <w:bCs/>
                <w:color w:val="auto"/>
                <w:kern w:val="0"/>
                <w:sz w:val="21"/>
                <w:szCs w:val="21"/>
                <w:highlight w:val="none"/>
                <w:u w:val="none" w:color="000000"/>
              </w:rPr>
              <w:t>认证证书</w:t>
            </w:r>
          </w:p>
        </w:tc>
        <w:tc>
          <w:tcPr>
            <w:tcW w:w="3491" w:type="pct"/>
            <w:noWrap w:val="0"/>
            <w:vAlign w:val="center"/>
          </w:tcPr>
          <w:p w14:paraId="112BD23A">
            <w:pPr>
              <w:pStyle w:val="78"/>
              <w:widowControl w:val="0"/>
              <w:adjustRightInd/>
              <w:spacing w:before="0" w:line="240" w:lineRule="auto"/>
              <w:jc w:val="both"/>
              <w:rPr>
                <w:rFonts w:hint="eastAsia" w:ascii="宋体" w:hAnsi="宋体" w:eastAsia="宋体" w:cs="宋体"/>
                <w:bCs/>
                <w:color w:val="auto"/>
                <w:kern w:val="0"/>
                <w:sz w:val="21"/>
                <w:szCs w:val="21"/>
                <w:highlight w:val="none"/>
                <w:u w:val="none" w:color="000000"/>
                <w:lang w:val="en-US" w:eastAsia="zh-CN" w:bidi="ar-SA"/>
              </w:rPr>
            </w:pPr>
            <w:r>
              <w:rPr>
                <w:rFonts w:hint="eastAsia" w:ascii="宋体" w:hAnsi="宋体" w:eastAsia="宋体" w:cs="宋体"/>
                <w:b/>
                <w:bCs/>
                <w:color w:val="auto"/>
                <w:sz w:val="21"/>
                <w:szCs w:val="21"/>
              </w:rPr>
              <w:t>详见商务要求表</w:t>
            </w:r>
          </w:p>
        </w:tc>
        <w:tc>
          <w:tcPr>
            <w:tcW w:w="430" w:type="pct"/>
            <w:noWrap w:val="0"/>
            <w:vAlign w:val="center"/>
          </w:tcPr>
          <w:p w14:paraId="71776637">
            <w:pPr>
              <w:jc w:val="center"/>
              <w:rPr>
                <w:rFonts w:hint="eastAsia" w:ascii="宋体" w:hAnsi="宋体" w:eastAsia="宋体" w:cs="宋体"/>
                <w:bCs/>
                <w:color w:val="auto"/>
                <w:kern w:val="0"/>
                <w:sz w:val="21"/>
                <w:szCs w:val="21"/>
                <w:highlight w:val="none"/>
                <w:u w:val="none" w:color="000000"/>
                <w:lang w:val="en-US" w:eastAsia="zh-CN" w:bidi="ar-SA"/>
              </w:rPr>
            </w:pPr>
            <w:r>
              <w:rPr>
                <w:rFonts w:hint="eastAsia" w:ascii="宋体" w:hAnsi="宋体" w:eastAsia="宋体" w:cs="宋体"/>
                <w:bCs/>
                <w:color w:val="auto"/>
                <w:kern w:val="0"/>
                <w:sz w:val="21"/>
                <w:szCs w:val="21"/>
                <w:highlight w:val="none"/>
                <w:u w:val="none" w:color="000000"/>
                <w:lang w:val="en-US" w:eastAsia="zh-CN"/>
              </w:rPr>
              <w:t>4</w:t>
            </w:r>
            <w:r>
              <w:rPr>
                <w:rFonts w:hint="eastAsia" w:ascii="宋体" w:hAnsi="宋体" w:eastAsia="宋体" w:cs="宋体"/>
                <w:bCs/>
                <w:color w:val="auto"/>
                <w:kern w:val="0"/>
                <w:sz w:val="21"/>
                <w:szCs w:val="21"/>
                <w:highlight w:val="none"/>
                <w:u w:val="none" w:color="000000"/>
              </w:rPr>
              <w:t>分</w:t>
            </w:r>
          </w:p>
        </w:tc>
      </w:tr>
    </w:tbl>
    <w:p w14:paraId="7DF33FD9">
      <w:pPr>
        <w:pStyle w:val="5"/>
        <w:rPr>
          <w:rFonts w:hint="eastAsia" w:ascii="宋体" w:hAnsi="宋体" w:eastAsia="宋体" w:cs="宋体"/>
        </w:rPr>
      </w:pPr>
    </w:p>
    <w:p w14:paraId="1807675E">
      <w:pPr>
        <w:spacing w:line="360" w:lineRule="auto"/>
        <w:ind w:firstLine="480" w:firstLineChars="200"/>
        <w:rPr>
          <w:rFonts w:hint="eastAsia" w:ascii="宋体" w:hAnsi="宋体" w:eastAsia="宋体" w:cs="宋体"/>
          <w:lang w:eastAsia="zh-CN"/>
        </w:rPr>
      </w:pPr>
      <w:r>
        <w:rPr>
          <w:rFonts w:hint="eastAsia" w:ascii="宋体" w:hAnsi="宋体" w:eastAsia="宋体" w:cs="宋体"/>
          <w:color w:val="auto"/>
          <w:sz w:val="24"/>
          <w:szCs w:val="24"/>
          <w:lang w:val="en-US" w:eastAsia="zh-CN"/>
        </w:rPr>
        <w:t xml:space="preserve"> </w:t>
      </w:r>
    </w:p>
    <w:p w14:paraId="6E962A8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sz w:val="24"/>
          <w:szCs w:val="24"/>
          <w:lang w:eastAsia="zh-CN"/>
        </w:rPr>
      </w:pPr>
      <w:r>
        <w:rPr>
          <w:rFonts w:hint="eastAsia" w:ascii="宋体" w:hAnsi="宋体" w:eastAsia="宋体" w:cs="宋体"/>
          <w:sz w:val="24"/>
          <w:lang w:eastAsia="zh-CN"/>
        </w:rPr>
        <w:t>2、商务要求表（对应评分标准）</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91"/>
        <w:gridCol w:w="1238"/>
        <w:gridCol w:w="5864"/>
        <w:gridCol w:w="724"/>
      </w:tblGrid>
      <w:tr w14:paraId="4321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54" w:hRule="atLeast"/>
          <w:jc w:val="center"/>
        </w:trPr>
        <w:tc>
          <w:tcPr>
            <w:tcW w:w="351" w:type="pct"/>
            <w:vMerge w:val="restart"/>
            <w:noWrap w:val="0"/>
            <w:vAlign w:val="center"/>
          </w:tcPr>
          <w:p w14:paraId="0644543D">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lang w:val="en-US" w:eastAsia="zh-CN"/>
              </w:rPr>
            </w:pPr>
            <w:r>
              <w:rPr>
                <w:rFonts w:hint="eastAsia" w:ascii="宋体" w:hAnsi="宋体" w:eastAsia="宋体" w:cs="宋体"/>
                <w:bCs/>
                <w:color w:val="auto"/>
                <w:sz w:val="21"/>
                <w:szCs w:val="21"/>
                <w:highlight w:val="none"/>
                <w:lang w:val="en-US" w:eastAsia="zh-CN"/>
              </w:rPr>
              <w:t>商务</w:t>
            </w:r>
          </w:p>
        </w:tc>
        <w:tc>
          <w:tcPr>
            <w:tcW w:w="735" w:type="pct"/>
            <w:noWrap w:val="0"/>
            <w:vAlign w:val="center"/>
          </w:tcPr>
          <w:p w14:paraId="60CF2A1D">
            <w:pPr>
              <w:pStyle w:val="78"/>
              <w:widowControl w:val="0"/>
              <w:adjustRightInd/>
              <w:spacing w:before="0" w:line="24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类似业绩</w:t>
            </w:r>
          </w:p>
        </w:tc>
        <w:tc>
          <w:tcPr>
            <w:tcW w:w="3482" w:type="pct"/>
            <w:noWrap w:val="0"/>
            <w:vAlign w:val="center"/>
          </w:tcPr>
          <w:p w14:paraId="294EE038">
            <w:pPr>
              <w:pStyle w:val="78"/>
              <w:widowControl w:val="0"/>
              <w:adjustRightInd/>
              <w:spacing w:before="0" w:line="240" w:lineRule="auto"/>
              <w:jc w:val="both"/>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2021年1月1日起</w:t>
            </w:r>
            <w:r>
              <w:rPr>
                <w:rFonts w:hint="eastAsia" w:ascii="宋体" w:hAnsi="宋体" w:eastAsia="宋体" w:cs="宋体"/>
                <w:bCs/>
                <w:color w:val="auto"/>
                <w:szCs w:val="21"/>
                <w:highlight w:val="none"/>
              </w:rPr>
              <w:t>供应商主持或</w:t>
            </w:r>
            <w:r>
              <w:rPr>
                <w:rFonts w:hint="eastAsia" w:ascii="宋体" w:hAnsi="宋体" w:eastAsia="宋体" w:cs="宋体"/>
                <w:bCs/>
                <w:color w:val="auto"/>
                <w:szCs w:val="21"/>
                <w:highlight w:val="none"/>
                <w:lang w:eastAsia="zh-CN"/>
              </w:rPr>
              <w:t>参与</w:t>
            </w:r>
            <w:r>
              <w:rPr>
                <w:rFonts w:hint="eastAsia" w:ascii="宋体" w:hAnsi="宋体" w:eastAsia="宋体" w:cs="宋体"/>
                <w:bCs/>
                <w:color w:val="auto"/>
                <w:szCs w:val="21"/>
                <w:highlight w:val="none"/>
              </w:rPr>
              <w:t>发布地下水或土壤类相关国家（GB）或行业（HJ）标准</w:t>
            </w:r>
            <w:r>
              <w:rPr>
                <w:rFonts w:hint="eastAsia" w:ascii="宋体" w:hAnsi="宋体" w:eastAsia="宋体" w:cs="宋体"/>
                <w:bCs/>
                <w:color w:val="auto"/>
                <w:szCs w:val="21"/>
                <w:highlight w:val="none"/>
                <w:lang w:eastAsia="zh-CN"/>
              </w:rPr>
              <w:t>，每个</w:t>
            </w:r>
            <w:r>
              <w:rPr>
                <w:rFonts w:hint="eastAsia" w:ascii="宋体" w:hAnsi="宋体" w:eastAsia="宋体" w:cs="宋体"/>
                <w:bCs/>
                <w:color w:val="auto"/>
                <w:szCs w:val="21"/>
                <w:highlight w:val="none"/>
              </w:rPr>
              <w:t>得1分，最高3分。</w:t>
            </w:r>
            <w:r>
              <w:rPr>
                <w:rFonts w:hint="eastAsia" w:ascii="宋体" w:hAnsi="宋体" w:eastAsia="宋体" w:cs="宋体"/>
                <w:bCs/>
                <w:color w:val="auto"/>
                <w:szCs w:val="21"/>
                <w:highlight w:val="none"/>
                <w:lang w:eastAsia="zh-CN"/>
              </w:rPr>
              <w:t>（需提供相关证明材料并加盖公章）</w:t>
            </w:r>
          </w:p>
          <w:p w14:paraId="46E10E08">
            <w:pPr>
              <w:pStyle w:val="78"/>
              <w:widowControl w:val="0"/>
              <w:adjustRightInd/>
              <w:spacing w:before="0" w:line="240" w:lineRule="auto"/>
              <w:jc w:val="both"/>
              <w:rPr>
                <w:rFonts w:hint="eastAsia" w:ascii="宋体" w:hAnsi="宋体" w:eastAsia="宋体" w:cs="宋体"/>
                <w:bCs/>
                <w:color w:val="auto"/>
                <w:szCs w:val="21"/>
                <w:highlight w:val="none"/>
              </w:rPr>
            </w:pPr>
          </w:p>
        </w:tc>
        <w:tc>
          <w:tcPr>
            <w:tcW w:w="430" w:type="pct"/>
            <w:noWrap w:val="0"/>
            <w:vAlign w:val="center"/>
          </w:tcPr>
          <w:p w14:paraId="29AA4AEA">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3</w:t>
            </w:r>
            <w:r>
              <w:rPr>
                <w:rFonts w:hint="eastAsia" w:ascii="宋体" w:hAnsi="宋体" w:eastAsia="宋体" w:cs="宋体"/>
                <w:bCs/>
                <w:color w:val="auto"/>
                <w:kern w:val="0"/>
                <w:sz w:val="21"/>
                <w:szCs w:val="21"/>
                <w:highlight w:val="none"/>
                <w:u w:val="none" w:color="000000"/>
              </w:rPr>
              <w:t>分</w:t>
            </w:r>
          </w:p>
        </w:tc>
      </w:tr>
      <w:tr w14:paraId="6A73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66" w:hRule="atLeast"/>
          <w:jc w:val="center"/>
        </w:trPr>
        <w:tc>
          <w:tcPr>
            <w:tcW w:w="351" w:type="pct"/>
            <w:vMerge w:val="continue"/>
            <w:noWrap w:val="0"/>
            <w:vAlign w:val="center"/>
          </w:tcPr>
          <w:p w14:paraId="3CD78A15">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rPr>
            </w:pPr>
          </w:p>
        </w:tc>
        <w:tc>
          <w:tcPr>
            <w:tcW w:w="735" w:type="pct"/>
            <w:noWrap w:val="0"/>
            <w:vAlign w:val="center"/>
          </w:tcPr>
          <w:p w14:paraId="060CF95D">
            <w:pPr>
              <w:pStyle w:val="17"/>
              <w:spacing w:after="0" w:line="240" w:lineRule="auto"/>
              <w:ind w:left="0" w:leftChars="0"/>
              <w:jc w:val="cente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认证证书</w:t>
            </w:r>
          </w:p>
        </w:tc>
        <w:tc>
          <w:tcPr>
            <w:tcW w:w="3482" w:type="pct"/>
            <w:noWrap w:val="0"/>
            <w:vAlign w:val="center"/>
          </w:tcPr>
          <w:p w14:paraId="247D6D43">
            <w:pPr>
              <w:pStyle w:val="78"/>
              <w:widowControl w:val="0"/>
              <w:adjustRightInd/>
              <w:spacing w:before="0" w:line="240" w:lineRule="auto"/>
              <w:jc w:val="both"/>
              <w:rPr>
                <w:rFonts w:hint="eastAsia" w:ascii="宋体" w:hAnsi="宋体" w:eastAsia="宋体" w:cs="宋体"/>
                <w:bCs/>
                <w:color w:val="auto"/>
                <w:szCs w:val="21"/>
                <w:highlight w:val="none"/>
              </w:rPr>
            </w:pPr>
            <w:bookmarkStart w:id="110" w:name="_GoBack"/>
            <w:r>
              <w:rPr>
                <w:rFonts w:hint="eastAsia" w:ascii="宋体" w:hAnsi="宋体" w:eastAsia="宋体" w:cs="宋体"/>
                <w:bCs/>
                <w:color w:val="auto"/>
                <w:szCs w:val="21"/>
                <w:highlight w:val="none"/>
              </w:rPr>
              <w:t>供应商具有中国合格评定国家认可委员会颁发的实验室认可证书（CNAS）得2分。</w:t>
            </w:r>
          </w:p>
          <w:p w14:paraId="6AFB887A">
            <w:pPr>
              <w:pStyle w:val="78"/>
              <w:widowControl w:val="0"/>
              <w:adjustRightInd/>
              <w:spacing w:before="0" w:line="240" w:lineRule="auto"/>
              <w:jc w:val="both"/>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供应商具有在有效期内的国家级计量监督管理部门颁发的计量认证证书（CMA）的得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分，省级计量监督管理部门颁发的计量认证证书（CMA）的得1分；</w:t>
            </w:r>
          </w:p>
          <w:p w14:paraId="43D8A0A9">
            <w:pPr>
              <w:pStyle w:val="78"/>
              <w:widowControl w:val="0"/>
              <w:adjustRightInd/>
              <w:spacing w:before="0" w:line="240" w:lineRule="auto"/>
              <w:jc w:val="both"/>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注：提供有效的证书扫描件加盖</w:t>
            </w:r>
            <w:r>
              <w:rPr>
                <w:rFonts w:hint="eastAsia" w:ascii="宋体" w:hAnsi="宋体" w:eastAsia="宋体" w:cs="宋体"/>
                <w:sz w:val="24"/>
                <w:szCs w:val="24"/>
                <w:lang w:val="en-US" w:eastAsia="zh-CN"/>
              </w:rPr>
              <w:t>供应商</w:t>
            </w:r>
            <w:r>
              <w:rPr>
                <w:rFonts w:hint="eastAsia" w:ascii="宋体" w:hAnsi="宋体" w:eastAsia="宋体" w:cs="宋体"/>
                <w:bCs/>
                <w:color w:val="auto"/>
                <w:szCs w:val="21"/>
                <w:highlight w:val="none"/>
              </w:rPr>
              <w:t>公章，否则不得分。</w:t>
            </w:r>
            <w:bookmarkEnd w:id="110"/>
          </w:p>
        </w:tc>
        <w:tc>
          <w:tcPr>
            <w:tcW w:w="430" w:type="pct"/>
            <w:noWrap w:val="0"/>
            <w:vAlign w:val="center"/>
          </w:tcPr>
          <w:p w14:paraId="558D7D53">
            <w:pPr>
              <w:jc w:val="center"/>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lang w:val="en-US" w:eastAsia="zh-CN"/>
              </w:rPr>
              <w:t>4</w:t>
            </w:r>
            <w:r>
              <w:rPr>
                <w:rFonts w:hint="eastAsia" w:ascii="宋体" w:hAnsi="宋体" w:eastAsia="宋体" w:cs="宋体"/>
                <w:bCs/>
                <w:color w:val="auto"/>
                <w:kern w:val="0"/>
                <w:sz w:val="21"/>
                <w:szCs w:val="21"/>
                <w:highlight w:val="none"/>
                <w:u w:val="none" w:color="000000"/>
              </w:rPr>
              <w:t>分</w:t>
            </w:r>
          </w:p>
        </w:tc>
      </w:tr>
    </w:tbl>
    <w:p w14:paraId="493B2E56">
      <w:pPr>
        <w:spacing w:line="360" w:lineRule="auto"/>
        <w:ind w:firstLine="482" w:firstLineChars="200"/>
        <w:rPr>
          <w:rFonts w:hint="eastAsia" w:ascii="宋体" w:hAnsi="宋体" w:eastAsia="宋体" w:cs="宋体"/>
          <w:b/>
          <w:sz w:val="24"/>
          <w:szCs w:val="24"/>
          <w:lang w:eastAsia="zh-CN"/>
        </w:rPr>
      </w:pPr>
    </w:p>
    <w:p w14:paraId="5FA64CC2">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sz w:val="24"/>
          <w:szCs w:val="24"/>
          <w:lang w:eastAsia="zh-CN"/>
        </w:rPr>
        <w:t>注：</w:t>
      </w:r>
    </w:p>
    <w:p w14:paraId="5C0157F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1.本项目招标文件内对开标现场原件核验不作要求，招标人有权</w:t>
      </w:r>
      <w:r>
        <w:rPr>
          <w:rFonts w:hint="eastAsia" w:ascii="宋体" w:hAnsi="宋体" w:eastAsia="宋体" w:cs="宋体"/>
          <w:color w:val="auto"/>
          <w:sz w:val="24"/>
          <w:szCs w:val="24"/>
          <w:lang w:eastAsia="zh-CN"/>
        </w:rPr>
        <w:t>在开</w:t>
      </w:r>
      <w:r>
        <w:rPr>
          <w:rFonts w:hint="eastAsia" w:ascii="宋体" w:hAnsi="宋体" w:eastAsia="宋体" w:cs="宋体"/>
          <w:color w:val="auto"/>
          <w:sz w:val="24"/>
          <w:szCs w:val="24"/>
        </w:rPr>
        <w:t>标后对中标候选人进行原件核验，投标人对所提供的全部资料的真实性承担法律责任。</w:t>
      </w:r>
    </w:p>
    <w:p w14:paraId="6175B0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2.所有的证书及检测报告必须在有效期内，不在有效期内的不得分。</w:t>
      </w:r>
    </w:p>
    <w:p w14:paraId="0CB7ED4A">
      <w:pPr>
        <w:rPr>
          <w:rFonts w:hint="eastAsia" w:ascii="宋体" w:hAnsi="宋体" w:eastAsia="宋体" w:cs="宋体"/>
          <w:color w:val="auto"/>
          <w:sz w:val="36"/>
          <w:szCs w:val="36"/>
        </w:rPr>
      </w:pPr>
      <w:bookmarkStart w:id="86" w:name="_Toc4517"/>
      <w:bookmarkStart w:id="87" w:name="_Toc8033"/>
      <w:r>
        <w:rPr>
          <w:rFonts w:hint="eastAsia" w:ascii="宋体" w:hAnsi="宋体" w:eastAsia="宋体" w:cs="宋体"/>
          <w:color w:val="auto"/>
          <w:sz w:val="36"/>
          <w:szCs w:val="36"/>
        </w:rPr>
        <w:br w:type="page"/>
      </w:r>
    </w:p>
    <w:p w14:paraId="107A4C8D">
      <w:pPr>
        <w:pStyle w:val="4"/>
        <w:jc w:val="center"/>
        <w:rPr>
          <w:rFonts w:hint="eastAsia" w:ascii="宋体" w:hAnsi="宋体" w:eastAsia="宋体" w:cs="宋体"/>
          <w:color w:val="auto"/>
        </w:rPr>
      </w:pPr>
      <w:bookmarkStart w:id="88" w:name="_Toc32092"/>
      <w:r>
        <w:rPr>
          <w:rFonts w:hint="eastAsia" w:ascii="宋体" w:hAnsi="宋体" w:eastAsia="宋体" w:cs="宋体"/>
          <w:color w:val="auto"/>
          <w:sz w:val="36"/>
          <w:szCs w:val="36"/>
        </w:rPr>
        <w:t>第五部分 采购合同</w:t>
      </w:r>
      <w:bookmarkEnd w:id="86"/>
      <w:bookmarkEnd w:id="87"/>
      <w:bookmarkEnd w:id="88"/>
    </w:p>
    <w:p w14:paraId="1EC442BB">
      <w:pPr>
        <w:pStyle w:val="15"/>
        <w:keepNext w:val="0"/>
        <w:keepLines w:val="0"/>
        <w:pageBreakBefore w:val="0"/>
        <w:kinsoku/>
        <w:wordWrap/>
        <w:overflowPunct/>
        <w:topLinePunct w:val="0"/>
        <w:bidi w:val="0"/>
        <w:snapToGrid w:val="0"/>
        <w:spacing w:line="336"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项目名称：省控地下水点位规范化建设项目</w:t>
      </w:r>
    </w:p>
    <w:p w14:paraId="7AD7265E">
      <w:pPr>
        <w:keepNext w:val="0"/>
        <w:keepLines w:val="0"/>
        <w:pageBreakBefore w:val="0"/>
        <w:kinsoku/>
        <w:wordWrap/>
        <w:overflowPunct/>
        <w:topLinePunct w:val="0"/>
        <w:bidi w:val="0"/>
        <w:spacing w:line="336" w:lineRule="auto"/>
        <w:ind w:left="0" w:firstLine="480" w:firstLineChars="200"/>
        <w:textAlignment w:val="auto"/>
        <w:rPr>
          <w:rFonts w:hint="eastAsia" w:ascii="宋体" w:hAnsi="宋体" w:eastAsia="宋体" w:cs="宋体"/>
          <w:color w:val="auto"/>
          <w:sz w:val="24"/>
          <w:u w:val="single"/>
          <w:lang w:val="en-US" w:eastAsia="zh-CN"/>
        </w:rPr>
      </w:pPr>
      <w:r>
        <w:rPr>
          <w:rFonts w:hint="eastAsia" w:ascii="宋体" w:hAnsi="宋体" w:eastAsia="宋体" w:cs="宋体"/>
          <w:color w:val="auto"/>
          <w:sz w:val="24"/>
        </w:rPr>
        <w:t>项目编号：</w:t>
      </w:r>
      <w:r>
        <w:rPr>
          <w:rFonts w:hint="eastAsia" w:ascii="宋体" w:hAnsi="宋体" w:eastAsia="宋体" w:cs="宋体"/>
          <w:color w:val="auto"/>
          <w:sz w:val="24"/>
          <w:u w:val="single"/>
          <w:lang w:val="en-US" w:eastAsia="zh-CN"/>
        </w:rPr>
        <w:t xml:space="preserve">                </w:t>
      </w:r>
    </w:p>
    <w:p w14:paraId="0ADAABC6">
      <w:pPr>
        <w:keepNext w:val="0"/>
        <w:keepLines w:val="0"/>
        <w:pageBreakBefore w:val="0"/>
        <w:widowControl/>
        <w:kinsoku/>
        <w:wordWrap/>
        <w:overflowPunct/>
        <w:topLinePunct w:val="0"/>
        <w:bidi w:val="0"/>
        <w:spacing w:line="336"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甲方：</w:t>
      </w:r>
      <w:r>
        <w:rPr>
          <w:rFonts w:hint="eastAsia" w:ascii="宋体" w:hAnsi="宋体" w:eastAsia="宋体" w:cs="宋体"/>
          <w:color w:val="auto"/>
          <w:sz w:val="24"/>
          <w:lang w:eastAsia="zh-CN"/>
        </w:rPr>
        <w:t>绍兴市生态环境局上虞分局</w:t>
      </w:r>
      <w:r>
        <w:rPr>
          <w:rFonts w:hint="eastAsia" w:ascii="宋体" w:hAnsi="宋体" w:eastAsia="宋体" w:cs="宋体"/>
          <w:color w:val="auto"/>
          <w:sz w:val="24"/>
        </w:rPr>
        <w:t>(以下简称甲方)</w:t>
      </w:r>
    </w:p>
    <w:p w14:paraId="796CB2C1">
      <w:pPr>
        <w:keepNext w:val="0"/>
        <w:keepLines w:val="0"/>
        <w:pageBreakBefore w:val="0"/>
        <w:widowControl/>
        <w:kinsoku/>
        <w:wordWrap/>
        <w:overflowPunct/>
        <w:topLinePunct w:val="0"/>
        <w:bidi w:val="0"/>
        <w:spacing w:line="336"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r>
        <w:rPr>
          <w:rFonts w:hint="eastAsia" w:ascii="宋体" w:hAnsi="宋体" w:eastAsia="宋体" w:cs="宋体"/>
          <w:color w:val="auto"/>
          <w:sz w:val="24"/>
        </w:rPr>
        <w:t>(以下简称乙方)</w:t>
      </w:r>
    </w:p>
    <w:p w14:paraId="62B9E0CD">
      <w:pPr>
        <w:keepNext w:val="0"/>
        <w:keepLines w:val="0"/>
        <w:pageBreakBefore w:val="0"/>
        <w:kinsoku/>
        <w:wordWrap/>
        <w:overflowPunct/>
        <w:topLinePunct w:val="0"/>
        <w:bidi w:val="0"/>
        <w:spacing w:line="336" w:lineRule="auto"/>
        <w:ind w:left="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根据《中华人民共和国民法典》、政府采购编号为</w:t>
      </w:r>
      <w:r>
        <w:rPr>
          <w:rFonts w:hint="eastAsia" w:ascii="宋体" w:hAnsi="宋体" w:eastAsia="宋体" w:cs="宋体"/>
          <w:color w:val="auto"/>
          <w:kern w:val="0"/>
          <w:sz w:val="24"/>
          <w:highlight w:val="none"/>
          <w:u w:val="single"/>
          <w:lang w:val="en-US" w:eastAsia="zh-CN"/>
        </w:rPr>
        <w:t xml:space="preserve"> CY2024025 </w:t>
      </w:r>
      <w:r>
        <w:rPr>
          <w:rFonts w:hint="eastAsia" w:ascii="宋体" w:hAnsi="宋体" w:eastAsia="宋体" w:cs="宋体"/>
          <w:color w:val="auto"/>
          <w:kern w:val="0"/>
          <w:sz w:val="24"/>
        </w:rPr>
        <w:t>磋商文件、成交供应商响应文件的规定，经竞争性磋商采购，签订本合同。</w:t>
      </w:r>
    </w:p>
    <w:p w14:paraId="5F4CDC46">
      <w:pPr>
        <w:keepNext w:val="0"/>
        <w:keepLines w:val="0"/>
        <w:pageBreakBefore w:val="0"/>
        <w:widowControl w:val="0"/>
        <w:kinsoku/>
        <w:wordWrap/>
        <w:overflowPunct/>
        <w:topLinePunct w:val="0"/>
        <w:autoSpaceDE/>
        <w:autoSpaceDN/>
        <w:bidi w:val="0"/>
        <w:adjustRightInd/>
        <w:snapToGrid/>
        <w:spacing w:line="336" w:lineRule="auto"/>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一、项目背景</w:t>
      </w:r>
    </w:p>
    <w:p w14:paraId="4C328193">
      <w:pPr>
        <w:keepNext w:val="0"/>
        <w:keepLines w:val="0"/>
        <w:pageBreakBefore w:val="0"/>
        <w:kinsoku/>
        <w:wordWrap/>
        <w:overflowPunct/>
        <w:topLinePunct w:val="0"/>
        <w:bidi w:val="0"/>
        <w:spacing w:line="336" w:lineRule="auto"/>
        <w:ind w:left="0" w:firstLine="480" w:firstLineChars="200"/>
        <w:textAlignment w:val="auto"/>
        <w:rPr>
          <w:rFonts w:hint="eastAsia" w:ascii="宋体" w:hAnsi="宋体" w:eastAsia="宋体" w:cs="宋体"/>
          <w:kern w:val="0"/>
          <w:sz w:val="24"/>
          <w:szCs w:val="22"/>
        </w:rPr>
      </w:pPr>
      <w:r>
        <w:rPr>
          <w:rFonts w:hint="eastAsia" w:ascii="宋体" w:hAnsi="宋体" w:eastAsia="宋体" w:cs="宋体"/>
          <w:color w:val="000000" w:themeColor="text1"/>
          <w:sz w:val="24"/>
          <w:szCs w:val="24"/>
          <w:lang w:val="en-US" w:eastAsia="zh-CN"/>
          <w14:textFill>
            <w14:solidFill>
              <w14:schemeClr w14:val="tx1"/>
            </w14:solidFill>
          </w14:textFill>
        </w:rPr>
        <w:t>上虞需增加2个地下水风险监控点和1个省控地下水区域监测点位</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kern w:val="0"/>
          <w:sz w:val="24"/>
          <w:szCs w:val="22"/>
        </w:rPr>
        <w:t>供应商按照《浙江省地下水环境质量监测点位规范化建设实施方案》中的技术要求，开展资料收集、确定布点区域、基本情况调查分析、点位预布设、现场踏勘和点位确认、点位布设方案编制和评审、水文地质勘查（如必要）、监测井建设、水质监测等，完成地下水污染风险监控点的建设，确保监测井点位建设符合相关技术规范要求。</w:t>
      </w:r>
    </w:p>
    <w:p w14:paraId="4B6CD80F">
      <w:pPr>
        <w:keepNext w:val="0"/>
        <w:keepLines w:val="0"/>
        <w:pageBreakBefore w:val="0"/>
        <w:widowControl w:val="0"/>
        <w:kinsoku/>
        <w:wordWrap/>
        <w:overflowPunct/>
        <w:topLinePunct w:val="0"/>
        <w:autoSpaceDE/>
        <w:autoSpaceDN/>
        <w:bidi w:val="0"/>
        <w:adjustRightInd/>
        <w:snapToGrid/>
        <w:spacing w:line="336" w:lineRule="auto"/>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资料分析与前期调查</w:t>
      </w:r>
    </w:p>
    <w:p w14:paraId="20790DDF">
      <w:pPr>
        <w:keepNext w:val="0"/>
        <w:keepLines w:val="0"/>
        <w:pageBreakBefore w:val="0"/>
        <w:kinsoku/>
        <w:wordWrap/>
        <w:overflowPunct/>
        <w:topLinePunct w:val="0"/>
        <w:bidi w:val="0"/>
        <w:spacing w:line="336" w:lineRule="auto"/>
        <w:ind w:left="0" w:firstLine="480" w:firstLineChars="200"/>
        <w:textAlignment w:val="auto"/>
        <w:rPr>
          <w:rFonts w:hint="eastAsia" w:ascii="宋体" w:hAnsi="宋体" w:eastAsia="宋体" w:cs="宋体"/>
          <w:kern w:val="0"/>
          <w:sz w:val="24"/>
          <w:szCs w:val="22"/>
        </w:rPr>
      </w:pPr>
      <w:r>
        <w:rPr>
          <w:rFonts w:hint="eastAsia" w:ascii="宋体" w:hAnsi="宋体" w:eastAsia="宋体" w:cs="宋体"/>
          <w:kern w:val="0"/>
          <w:sz w:val="24"/>
          <w:szCs w:val="22"/>
        </w:rPr>
        <w:t>1）基础资料收集与分析。收集园区所在区域自然和社会信息、地形地貌、水文地质、园区地块利用变迁资料、地下水开发利用现状、已有监测井信息、园区地下水调查、监测、研究等项目的相关资料。</w:t>
      </w:r>
    </w:p>
    <w:p w14:paraId="4869C90D">
      <w:pPr>
        <w:keepNext w:val="0"/>
        <w:keepLines w:val="0"/>
        <w:pageBreakBefore w:val="0"/>
        <w:kinsoku/>
        <w:wordWrap/>
        <w:overflowPunct/>
        <w:topLinePunct w:val="0"/>
        <w:bidi w:val="0"/>
        <w:spacing w:line="336" w:lineRule="auto"/>
        <w:ind w:left="0" w:firstLine="480" w:firstLineChars="200"/>
        <w:textAlignment w:val="auto"/>
        <w:rPr>
          <w:rFonts w:hint="eastAsia" w:ascii="宋体" w:hAnsi="宋体" w:eastAsia="宋体" w:cs="宋体"/>
          <w:kern w:val="0"/>
          <w:sz w:val="24"/>
          <w:szCs w:val="22"/>
        </w:rPr>
      </w:pPr>
      <w:r>
        <w:rPr>
          <w:rFonts w:hint="eastAsia" w:ascii="宋体" w:hAnsi="宋体" w:eastAsia="宋体" w:cs="宋体"/>
          <w:kern w:val="0"/>
          <w:sz w:val="24"/>
          <w:szCs w:val="22"/>
        </w:rPr>
        <w:t>2）地下水污染源调查。对布点区域进行现场踏勘，调查了解布点区域内及周边主要工业企业分布情况，收集布点区域及周边地下水污染源相关资料和信息，调查评估区域内现有地下水环境监测井及水质情况。</w:t>
      </w:r>
    </w:p>
    <w:p w14:paraId="78E75EAE">
      <w:pPr>
        <w:keepNext w:val="0"/>
        <w:keepLines w:val="0"/>
        <w:pageBreakBefore w:val="0"/>
        <w:kinsoku/>
        <w:wordWrap/>
        <w:overflowPunct/>
        <w:topLinePunct w:val="0"/>
        <w:bidi w:val="0"/>
        <w:spacing w:line="336" w:lineRule="auto"/>
        <w:ind w:left="0" w:firstLine="480" w:firstLineChars="200"/>
        <w:textAlignment w:val="auto"/>
        <w:rPr>
          <w:rFonts w:hint="eastAsia" w:ascii="宋体" w:hAnsi="宋体" w:eastAsia="宋体" w:cs="宋体"/>
          <w:kern w:val="0"/>
          <w:sz w:val="24"/>
          <w:szCs w:val="22"/>
        </w:rPr>
      </w:pPr>
      <w:r>
        <w:rPr>
          <w:rFonts w:hint="eastAsia" w:ascii="宋体" w:hAnsi="宋体" w:eastAsia="宋体" w:cs="宋体"/>
          <w:kern w:val="0"/>
          <w:sz w:val="24"/>
          <w:szCs w:val="22"/>
        </w:rPr>
        <w:t>3）水文地质调查。开展水文地质调查，通过资料收集或水文地质勘查方式掌握布点区域岩层分布，地下水类型，地下水流向、地下水补径排规律。</w:t>
      </w:r>
    </w:p>
    <w:p w14:paraId="504A65DD">
      <w:pPr>
        <w:keepNext w:val="0"/>
        <w:keepLines w:val="0"/>
        <w:pageBreakBefore w:val="0"/>
        <w:kinsoku/>
        <w:wordWrap/>
        <w:overflowPunct/>
        <w:topLinePunct w:val="0"/>
        <w:bidi w:val="0"/>
        <w:spacing w:line="336" w:lineRule="auto"/>
        <w:ind w:left="0" w:firstLine="482" w:firstLineChars="200"/>
        <w:textAlignment w:val="auto"/>
        <w:rPr>
          <w:rFonts w:hint="eastAsia" w:ascii="宋体" w:hAnsi="宋体" w:eastAsia="宋体" w:cs="宋体"/>
          <w:b/>
          <w:bCs/>
          <w:kern w:val="0"/>
          <w:sz w:val="24"/>
          <w:szCs w:val="22"/>
        </w:rPr>
      </w:pPr>
      <w:r>
        <w:rPr>
          <w:rFonts w:hint="eastAsia" w:ascii="宋体" w:hAnsi="宋体" w:eastAsia="宋体" w:cs="宋体"/>
          <w:b/>
          <w:bCs/>
          <w:kern w:val="0"/>
          <w:sz w:val="24"/>
          <w:szCs w:val="22"/>
          <w:lang w:eastAsia="zh-CN"/>
        </w:rPr>
        <w:t>三、</w:t>
      </w:r>
      <w:r>
        <w:rPr>
          <w:rFonts w:hint="eastAsia" w:ascii="宋体" w:hAnsi="宋体" w:eastAsia="宋体" w:cs="宋体"/>
          <w:b/>
          <w:bCs/>
          <w:kern w:val="0"/>
          <w:sz w:val="24"/>
          <w:szCs w:val="22"/>
        </w:rPr>
        <w:t>点位布设方案编制与评审</w:t>
      </w:r>
    </w:p>
    <w:p w14:paraId="72B5099A">
      <w:pPr>
        <w:keepNext w:val="0"/>
        <w:keepLines w:val="0"/>
        <w:pageBreakBefore w:val="0"/>
        <w:kinsoku/>
        <w:wordWrap/>
        <w:overflowPunct/>
        <w:topLinePunct w:val="0"/>
        <w:bidi w:val="0"/>
        <w:spacing w:line="336" w:lineRule="auto"/>
        <w:ind w:left="0" w:firstLine="480" w:firstLineChars="200"/>
        <w:textAlignment w:val="auto"/>
        <w:rPr>
          <w:rFonts w:hint="eastAsia" w:ascii="宋体" w:hAnsi="宋体" w:eastAsia="宋体" w:cs="宋体"/>
          <w:kern w:val="0"/>
          <w:sz w:val="24"/>
          <w:szCs w:val="22"/>
        </w:rPr>
      </w:pPr>
      <w:r>
        <w:rPr>
          <w:rFonts w:hint="eastAsia" w:ascii="宋体" w:hAnsi="宋体" w:eastAsia="宋体" w:cs="宋体"/>
          <w:kern w:val="0"/>
          <w:sz w:val="24"/>
          <w:szCs w:val="22"/>
        </w:rPr>
        <w:t>1）编制点位布设方案。根据资料分析和前期调查结果，确定工业园区边界和面积大小，基于水文地质状况和地下水流向，综合考虑园区地下水环境污染风险评价结果，进行点位预布设、现场踏勘和点位确认，编制点位布设方案，确定点位布设个数及预布设位置，重点说明点位布设的合理性，明确监测井建设内容、水质监测要求、进度安排等。</w:t>
      </w:r>
    </w:p>
    <w:p w14:paraId="065B1788">
      <w:pPr>
        <w:keepNext w:val="0"/>
        <w:keepLines w:val="0"/>
        <w:pageBreakBefore w:val="0"/>
        <w:kinsoku/>
        <w:wordWrap/>
        <w:overflowPunct/>
        <w:topLinePunct w:val="0"/>
        <w:bidi w:val="0"/>
        <w:spacing w:line="336" w:lineRule="auto"/>
        <w:ind w:left="0" w:firstLine="480" w:firstLineChars="200"/>
        <w:textAlignment w:val="auto"/>
        <w:rPr>
          <w:rFonts w:hint="eastAsia" w:ascii="宋体" w:hAnsi="宋体" w:eastAsia="宋体" w:cs="宋体"/>
        </w:rPr>
      </w:pPr>
      <w:r>
        <w:rPr>
          <w:rFonts w:hint="eastAsia" w:ascii="宋体" w:hAnsi="宋体" w:eastAsia="宋体" w:cs="宋体"/>
          <w:kern w:val="0"/>
          <w:sz w:val="24"/>
          <w:szCs w:val="22"/>
        </w:rPr>
        <w:t>2）编制点位布设方案并通过评审。</w:t>
      </w:r>
    </w:p>
    <w:p w14:paraId="3F812BC2">
      <w:pPr>
        <w:keepNext w:val="0"/>
        <w:keepLines w:val="0"/>
        <w:pageBreakBefore w:val="0"/>
        <w:kinsoku/>
        <w:wordWrap/>
        <w:overflowPunct/>
        <w:topLinePunct w:val="0"/>
        <w:bidi w:val="0"/>
        <w:spacing w:line="336" w:lineRule="auto"/>
        <w:ind w:left="0" w:firstLine="482" w:firstLineChars="200"/>
        <w:textAlignment w:val="auto"/>
        <w:rPr>
          <w:rFonts w:hint="eastAsia" w:ascii="宋体" w:hAnsi="宋体" w:eastAsia="宋体" w:cs="宋体"/>
          <w:b/>
          <w:bCs/>
          <w:kern w:val="0"/>
          <w:sz w:val="24"/>
          <w:szCs w:val="22"/>
        </w:rPr>
      </w:pPr>
      <w:r>
        <w:rPr>
          <w:rFonts w:hint="eastAsia" w:ascii="宋体" w:hAnsi="宋体" w:eastAsia="宋体" w:cs="宋体"/>
          <w:b/>
          <w:bCs/>
          <w:kern w:val="0"/>
          <w:sz w:val="24"/>
          <w:szCs w:val="22"/>
          <w:lang w:eastAsia="zh-CN"/>
        </w:rPr>
        <w:t>四、</w:t>
      </w:r>
      <w:r>
        <w:rPr>
          <w:rFonts w:hint="eastAsia" w:ascii="宋体" w:hAnsi="宋体" w:eastAsia="宋体" w:cs="宋体"/>
          <w:b/>
          <w:bCs/>
          <w:kern w:val="0"/>
          <w:sz w:val="24"/>
          <w:szCs w:val="22"/>
        </w:rPr>
        <w:t>监测井建设</w:t>
      </w:r>
    </w:p>
    <w:p w14:paraId="0FEE20A3">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0"/>
          <w:sz w:val="24"/>
          <w:szCs w:val="22"/>
        </w:rPr>
      </w:pPr>
      <w:r>
        <w:rPr>
          <w:rFonts w:hint="eastAsia" w:ascii="宋体" w:hAnsi="宋体" w:eastAsia="宋体" w:cs="宋体"/>
          <w:kern w:val="0"/>
          <w:sz w:val="24"/>
          <w:szCs w:val="22"/>
        </w:rPr>
        <w:t>1）依据《地下水环境监测技术规范》（HJ164-2020）、《地下水监测井建设规范》（DZ/T 0270-2014）等相关标准规范，开展地下水环境监测井建设。根据水文地质勘查资料，合理设计井的深度和建设方式，现场钻探作业，并结合相关要求，开展下管、填砾、止水等配套工作，以及成井洗井及水文试验。</w:t>
      </w:r>
    </w:p>
    <w:p w14:paraId="6B3A5955">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b/>
          <w:bCs/>
          <w:kern w:val="0"/>
          <w:sz w:val="24"/>
          <w:szCs w:val="22"/>
        </w:rPr>
      </w:pPr>
      <w:r>
        <w:rPr>
          <w:rFonts w:hint="eastAsia" w:ascii="宋体" w:hAnsi="宋体" w:eastAsia="宋体" w:cs="宋体"/>
          <w:kern w:val="0"/>
          <w:sz w:val="24"/>
          <w:szCs w:val="22"/>
        </w:rPr>
        <w:t>2）按照《浙江省地下水环境质量监测点位规范化建设实施方案》开展监测井规范化建设，包括监测井保护筒、井台、栅栏、标牌、警示牌、宣传牌、二维码等制作，整理点位档案资料。</w:t>
      </w:r>
    </w:p>
    <w:p w14:paraId="23683289">
      <w:pPr>
        <w:keepNext w:val="0"/>
        <w:keepLines w:val="0"/>
        <w:pageBreakBefore w:val="0"/>
        <w:widowControl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0"/>
          <w:sz w:val="24"/>
          <w:szCs w:val="22"/>
        </w:rPr>
      </w:pPr>
      <w:r>
        <w:rPr>
          <w:rFonts w:hint="eastAsia" w:ascii="宋体" w:hAnsi="宋体" w:eastAsia="宋体" w:cs="宋体"/>
          <w:b/>
          <w:bCs/>
          <w:kern w:val="0"/>
          <w:sz w:val="24"/>
          <w:szCs w:val="22"/>
          <w:lang w:eastAsia="zh-CN"/>
        </w:rPr>
        <w:t>五、</w:t>
      </w:r>
      <w:r>
        <w:rPr>
          <w:rFonts w:hint="eastAsia" w:ascii="宋体" w:hAnsi="宋体" w:eastAsia="宋体" w:cs="宋体"/>
          <w:b/>
          <w:bCs/>
          <w:kern w:val="0"/>
          <w:sz w:val="24"/>
          <w:szCs w:val="22"/>
        </w:rPr>
        <w:t>水质监测</w:t>
      </w:r>
    </w:p>
    <w:p w14:paraId="2EB8B1B1">
      <w:pPr>
        <w:keepNext w:val="0"/>
        <w:keepLines w:val="0"/>
        <w:pageBreakBefore w:val="0"/>
        <w:widowControl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kern w:val="0"/>
          <w:sz w:val="24"/>
          <w:szCs w:val="22"/>
        </w:rPr>
      </w:pPr>
      <w:r>
        <w:rPr>
          <w:rFonts w:hint="eastAsia" w:ascii="宋体" w:hAnsi="宋体" w:eastAsia="宋体" w:cs="宋体"/>
          <w:b/>
          <w:bCs/>
          <w:kern w:val="0"/>
          <w:sz w:val="24"/>
          <w:szCs w:val="22"/>
        </w:rPr>
        <w:t>2个地下水风险监控点</w:t>
      </w:r>
      <w:r>
        <w:rPr>
          <w:rFonts w:hint="eastAsia" w:ascii="宋体" w:hAnsi="宋体" w:eastAsia="宋体" w:cs="宋体"/>
          <w:kern w:val="0"/>
          <w:sz w:val="24"/>
          <w:szCs w:val="22"/>
          <w:lang w:val="en-US" w:eastAsia="zh-CN"/>
        </w:rPr>
        <w:t>;</w:t>
      </w:r>
      <w:r>
        <w:rPr>
          <w:rFonts w:hint="eastAsia" w:ascii="宋体" w:hAnsi="宋体" w:eastAsia="宋体" w:cs="宋体"/>
          <w:kern w:val="0"/>
          <w:sz w:val="24"/>
          <w:szCs w:val="22"/>
        </w:rPr>
        <w:t>监测井建成后，开展</w:t>
      </w:r>
      <w:r>
        <w:rPr>
          <w:rFonts w:hint="eastAsia" w:ascii="宋体" w:hAnsi="宋体" w:eastAsia="宋体" w:cs="宋体"/>
          <w:kern w:val="0"/>
          <w:sz w:val="24"/>
          <w:szCs w:val="22"/>
          <w:lang w:val="en-US" w:eastAsia="zh-CN"/>
        </w:rPr>
        <w:t>6</w:t>
      </w:r>
      <w:r>
        <w:rPr>
          <w:rFonts w:hint="eastAsia" w:ascii="宋体" w:hAnsi="宋体" w:eastAsia="宋体" w:cs="宋体"/>
          <w:kern w:val="0"/>
          <w:sz w:val="24"/>
          <w:szCs w:val="22"/>
        </w:rPr>
        <w:t>次水质监测。包含监测井洗井、样品采集、现场指标测试、实验室样品分析、监测报告编制等。</w:t>
      </w:r>
    </w:p>
    <w:p w14:paraId="2C799093">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0"/>
          <w:sz w:val="24"/>
          <w:szCs w:val="22"/>
        </w:rPr>
      </w:pPr>
      <w:r>
        <w:rPr>
          <w:rFonts w:hint="eastAsia" w:ascii="宋体" w:hAnsi="宋体" w:eastAsia="宋体" w:cs="宋体"/>
          <w:kern w:val="0"/>
          <w:sz w:val="24"/>
          <w:szCs w:val="22"/>
        </w:rPr>
        <w:t>测试指标如下：</w:t>
      </w:r>
    </w:p>
    <w:p w14:paraId="1CF1AFA0">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0"/>
          <w:sz w:val="24"/>
          <w:szCs w:val="22"/>
        </w:rPr>
      </w:pPr>
      <w:r>
        <w:rPr>
          <w:rFonts w:hint="eastAsia" w:ascii="宋体" w:hAnsi="宋体" w:eastAsia="宋体" w:cs="宋体"/>
          <w:kern w:val="0"/>
          <w:sz w:val="24"/>
          <w:szCs w:val="22"/>
        </w:rPr>
        <w:t>29项基本指标：pH、硫酸盐、氯化物、铁、锰、铜、锌、铝、挥发性酚类（以苯酚计）、阴离子表面活性剂、耗氧量（COD</w:t>
      </w:r>
      <w:r>
        <w:rPr>
          <w:rFonts w:hint="eastAsia" w:ascii="宋体" w:hAnsi="宋体" w:eastAsia="宋体" w:cs="宋体"/>
          <w:kern w:val="0"/>
          <w:sz w:val="24"/>
          <w:szCs w:val="22"/>
          <w:vertAlign w:val="subscript"/>
        </w:rPr>
        <w:t>mn</w:t>
      </w:r>
      <w:r>
        <w:rPr>
          <w:rFonts w:hint="eastAsia" w:ascii="宋体" w:hAnsi="宋体" w:eastAsia="宋体" w:cs="宋体"/>
          <w:kern w:val="0"/>
          <w:sz w:val="24"/>
          <w:szCs w:val="22"/>
        </w:rPr>
        <w:t>法，以O</w:t>
      </w:r>
      <w:r>
        <w:rPr>
          <w:rFonts w:hint="eastAsia" w:ascii="宋体" w:hAnsi="宋体" w:eastAsia="宋体" w:cs="宋体"/>
          <w:kern w:val="0"/>
          <w:sz w:val="24"/>
          <w:szCs w:val="22"/>
          <w:vertAlign w:val="subscript"/>
        </w:rPr>
        <w:t>2</w:t>
      </w:r>
      <w:r>
        <w:rPr>
          <w:rFonts w:hint="eastAsia" w:ascii="宋体" w:hAnsi="宋体" w:eastAsia="宋体" w:cs="宋体"/>
          <w:kern w:val="0"/>
          <w:sz w:val="24"/>
          <w:szCs w:val="22"/>
        </w:rPr>
        <w:t>计）、氨氮（以N计）、硫化物、钠、亚硝酸盐（以N计）、硝酸盐（以N计）、氰化物、氟化物、碘化物、汞、砷、硒、镉、铬（六价）、铅、三氯甲烷、四氯化碳、苯和甲苯。</w:t>
      </w:r>
    </w:p>
    <w:p w14:paraId="2BDC159D">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0"/>
          <w:sz w:val="24"/>
          <w:szCs w:val="22"/>
        </w:rPr>
      </w:pPr>
      <w:r>
        <w:rPr>
          <w:rFonts w:hint="eastAsia" w:ascii="宋体" w:hAnsi="宋体" w:eastAsia="宋体" w:cs="宋体"/>
          <w:kern w:val="0"/>
          <w:sz w:val="24"/>
          <w:szCs w:val="22"/>
        </w:rPr>
        <w:t>13项辅助指标：色（铂钴色度单位）、嗅和味、浑浊度/NTU、肉眼可见物、总硬度（以 CaCO</w:t>
      </w:r>
      <w:r>
        <w:rPr>
          <w:rFonts w:hint="eastAsia" w:ascii="宋体" w:hAnsi="宋体" w:eastAsia="宋体" w:cs="宋体"/>
          <w:kern w:val="0"/>
          <w:sz w:val="24"/>
          <w:szCs w:val="22"/>
          <w:vertAlign w:val="subscript"/>
        </w:rPr>
        <w:t>3</w:t>
      </w:r>
      <w:r>
        <w:rPr>
          <w:rFonts w:hint="eastAsia" w:ascii="宋体" w:hAnsi="宋体" w:eastAsia="宋体" w:cs="宋体"/>
          <w:kern w:val="0"/>
          <w:sz w:val="24"/>
          <w:szCs w:val="22"/>
        </w:rPr>
        <w:t>计）、溶解性总固体、钾、钙、镁、重碳酸根、碳酸根、游离二氧化碳和总氮。</w:t>
      </w:r>
    </w:p>
    <w:p w14:paraId="680892C2">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0"/>
          <w:sz w:val="24"/>
          <w:szCs w:val="22"/>
        </w:rPr>
      </w:pPr>
      <w:r>
        <w:rPr>
          <w:rFonts w:hint="eastAsia" w:ascii="宋体" w:hAnsi="宋体" w:eastAsia="宋体" w:cs="宋体"/>
          <w:kern w:val="0"/>
          <w:sz w:val="24"/>
          <w:szCs w:val="22"/>
        </w:rPr>
        <w:t>19 项特征指标：铍、锑、镍、钴、银、钡、铊、二氯甲烷、1，2-二氯乙烷、氯乙烯、氯苯、乙苯、二甲苯、苯乙烯、2，4-二硝基甲苯、2，6-二硝基甲苯、苯并[a]芘、五氯酚和乐果。</w:t>
      </w:r>
    </w:p>
    <w:p w14:paraId="1121EA17">
      <w:pPr>
        <w:keepNext w:val="0"/>
        <w:keepLines w:val="0"/>
        <w:pageBreakBefore w:val="0"/>
        <w:widowControl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1个省控地下水区域点位</w:t>
      </w:r>
      <w:r>
        <w:rPr>
          <w:rFonts w:hint="eastAsia" w:ascii="宋体" w:hAnsi="宋体" w:eastAsia="宋体" w:cs="宋体"/>
          <w:sz w:val="24"/>
          <w:szCs w:val="24"/>
          <w:lang w:val="en-US" w:eastAsia="zh-CN"/>
        </w:rPr>
        <w:t>：</w:t>
      </w:r>
      <w:r>
        <w:rPr>
          <w:rFonts w:hint="eastAsia" w:ascii="宋体" w:hAnsi="宋体" w:eastAsia="宋体" w:cs="宋体"/>
          <w:sz w:val="24"/>
          <w:szCs w:val="24"/>
        </w:rPr>
        <w:t>样品采集包含洗井、测试现场指标、采样、监测报告编制等；29项基本指标监测次数为6次（连续半年，每月1次），13项辅助指标监测次数为2次。</w:t>
      </w:r>
    </w:p>
    <w:p w14:paraId="43F60DA7">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测试指标如下：</w:t>
      </w:r>
    </w:p>
    <w:p w14:paraId="2C3130E2">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29项基本指标：pH、硫酸盐、氯化物、铁、锰、铜、锌、铝、挥发性酚类（以苯酚计）、阴离子表面活性剂、耗氧量（CODMn法，以O</w:t>
      </w:r>
      <w:r>
        <w:rPr>
          <w:rFonts w:hint="eastAsia" w:ascii="宋体" w:hAnsi="宋体" w:eastAsia="宋体" w:cs="宋体"/>
          <w:sz w:val="24"/>
          <w:szCs w:val="24"/>
          <w:vertAlign w:val="subscript"/>
        </w:rPr>
        <w:t>2</w:t>
      </w:r>
      <w:r>
        <w:rPr>
          <w:rFonts w:hint="eastAsia" w:ascii="宋体" w:hAnsi="宋体" w:eastAsia="宋体" w:cs="宋体"/>
          <w:sz w:val="24"/>
          <w:szCs w:val="24"/>
        </w:rPr>
        <w:t>计）、氨氮（以N计）、硫化物、钠、亚硝酸盐（以N计）、硝酸盐（以N计）、氰化物、氟化物、碘化物、汞、砷、硒、镉、铬（六价）、铅、三氯甲烷、四氯化碳、苯和甲苯。</w:t>
      </w:r>
    </w:p>
    <w:p w14:paraId="35469D44">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0"/>
          <w:sz w:val="24"/>
          <w:szCs w:val="22"/>
        </w:rPr>
      </w:pPr>
      <w:r>
        <w:rPr>
          <w:rFonts w:hint="eastAsia" w:ascii="宋体" w:hAnsi="宋体" w:eastAsia="宋体" w:cs="宋体"/>
          <w:sz w:val="24"/>
          <w:szCs w:val="24"/>
        </w:rPr>
        <w:t>13项辅助指标：色（铂钴色度单位）、嗅和味、浑浊度/NTU、肉眼可见物、总硬度（以 CaCO</w:t>
      </w:r>
      <w:r>
        <w:rPr>
          <w:rFonts w:hint="eastAsia" w:ascii="宋体" w:hAnsi="宋体" w:eastAsia="宋体" w:cs="宋体"/>
          <w:sz w:val="24"/>
          <w:szCs w:val="24"/>
          <w:vertAlign w:val="subscript"/>
        </w:rPr>
        <w:t>3</w:t>
      </w:r>
      <w:r>
        <w:rPr>
          <w:rFonts w:hint="eastAsia" w:ascii="宋体" w:hAnsi="宋体" w:eastAsia="宋体" w:cs="宋体"/>
          <w:sz w:val="24"/>
          <w:szCs w:val="24"/>
        </w:rPr>
        <w:t>计）、溶解性总固体、钾、钙、镁、重碳酸根、碳酸根、游离二氧化碳和总氮。</w:t>
      </w:r>
    </w:p>
    <w:p w14:paraId="21538724">
      <w:pPr>
        <w:keepNext w:val="0"/>
        <w:keepLines w:val="0"/>
        <w:pageBreakBefore w:val="0"/>
        <w:widowControl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0"/>
          <w:sz w:val="24"/>
          <w:szCs w:val="22"/>
        </w:rPr>
      </w:pPr>
      <w:r>
        <w:rPr>
          <w:rFonts w:hint="eastAsia" w:ascii="宋体" w:hAnsi="宋体" w:eastAsia="宋体" w:cs="宋体"/>
          <w:b/>
          <w:bCs/>
          <w:kern w:val="0"/>
          <w:sz w:val="24"/>
          <w:szCs w:val="22"/>
          <w:lang w:eastAsia="zh-CN"/>
        </w:rPr>
        <w:t>六、</w:t>
      </w:r>
      <w:r>
        <w:rPr>
          <w:rFonts w:hint="eastAsia" w:ascii="宋体" w:hAnsi="宋体" w:eastAsia="宋体" w:cs="宋体"/>
          <w:b/>
          <w:bCs/>
          <w:kern w:val="0"/>
          <w:sz w:val="24"/>
          <w:szCs w:val="22"/>
        </w:rPr>
        <w:t>点位布设报告编制与提交</w:t>
      </w:r>
    </w:p>
    <w:p w14:paraId="32E35A26">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0"/>
          <w:sz w:val="24"/>
          <w:szCs w:val="22"/>
        </w:rPr>
      </w:pPr>
      <w:r>
        <w:rPr>
          <w:rFonts w:hint="eastAsia" w:ascii="宋体" w:hAnsi="宋体" w:eastAsia="宋体" w:cs="宋体"/>
          <w:sz w:val="24"/>
          <w:szCs w:val="24"/>
        </w:rPr>
        <w:t>收集整理项目资料，综合监测井建设情况和水质监测结果，编制</w:t>
      </w:r>
      <w:r>
        <w:rPr>
          <w:rFonts w:hint="eastAsia" w:ascii="宋体" w:hAnsi="宋体" w:eastAsia="宋体" w:cs="宋体"/>
          <w:sz w:val="24"/>
          <w:szCs w:val="24"/>
          <w:lang w:val="en-US" w:eastAsia="zh-CN"/>
        </w:rPr>
        <w:t>点位建设报告</w:t>
      </w:r>
      <w:r>
        <w:rPr>
          <w:rFonts w:hint="eastAsia" w:ascii="宋体" w:hAnsi="宋体" w:eastAsia="宋体" w:cs="宋体"/>
          <w:sz w:val="24"/>
          <w:szCs w:val="24"/>
        </w:rPr>
        <w:t>，提交项目成果。</w:t>
      </w:r>
    </w:p>
    <w:p w14:paraId="7394F60A">
      <w:pPr>
        <w:keepNext w:val="0"/>
        <w:keepLines w:val="0"/>
        <w:pageBreakBefore w:val="0"/>
        <w:widowControl w:val="0"/>
        <w:kinsoku/>
        <w:wordWrap/>
        <w:overflowPunct/>
        <w:topLinePunct w:val="0"/>
        <w:bidi w:val="0"/>
        <w:spacing w:line="336" w:lineRule="auto"/>
        <w:ind w:left="0" w:firstLine="482" w:firstLineChars="200"/>
        <w:textAlignment w:val="auto"/>
        <w:rPr>
          <w:rFonts w:hint="eastAsia" w:ascii="宋体" w:hAnsi="宋体" w:eastAsia="宋体" w:cs="宋体"/>
          <w:b/>
          <w:bCs/>
          <w:kern w:val="0"/>
          <w:sz w:val="24"/>
          <w:szCs w:val="22"/>
        </w:rPr>
      </w:pPr>
      <w:r>
        <w:rPr>
          <w:rFonts w:hint="eastAsia" w:ascii="宋体" w:hAnsi="宋体" w:eastAsia="宋体" w:cs="宋体"/>
          <w:b/>
          <w:bCs/>
          <w:kern w:val="0"/>
          <w:sz w:val="24"/>
          <w:szCs w:val="22"/>
          <w:lang w:eastAsia="zh-CN"/>
        </w:rPr>
        <w:t>七、</w:t>
      </w:r>
      <w:r>
        <w:rPr>
          <w:rFonts w:hint="eastAsia" w:ascii="宋体" w:hAnsi="宋体" w:eastAsia="宋体" w:cs="宋体"/>
          <w:b/>
          <w:bCs/>
          <w:kern w:val="0"/>
          <w:sz w:val="24"/>
          <w:szCs w:val="22"/>
        </w:rPr>
        <w:t>其他相关要求</w:t>
      </w:r>
    </w:p>
    <w:p w14:paraId="116A05F6">
      <w:pPr>
        <w:keepNext w:val="0"/>
        <w:keepLines w:val="0"/>
        <w:pageBreakBefore w:val="0"/>
        <w:widowControl w:val="0"/>
        <w:kinsoku/>
        <w:wordWrap/>
        <w:overflowPunct/>
        <w:topLinePunct w:val="0"/>
        <w:bidi w:val="0"/>
        <w:spacing w:line="336" w:lineRule="auto"/>
        <w:ind w:left="0" w:firstLine="480" w:firstLineChars="200"/>
        <w:textAlignment w:val="auto"/>
        <w:rPr>
          <w:rFonts w:hint="eastAsia" w:ascii="宋体" w:hAnsi="宋体" w:eastAsia="宋体" w:cs="宋体"/>
          <w:kern w:val="0"/>
          <w:sz w:val="24"/>
          <w:szCs w:val="22"/>
        </w:rPr>
      </w:pPr>
      <w:r>
        <w:rPr>
          <w:rFonts w:hint="eastAsia" w:ascii="宋体" w:hAnsi="宋体" w:eastAsia="宋体" w:cs="宋体"/>
          <w:kern w:val="0"/>
          <w:sz w:val="24"/>
          <w:szCs w:val="22"/>
        </w:rPr>
        <w:t>1、根据本项目采购内容和要求及时完成技术成果提交采购人，并对提交的成果文件的质量负责。供应商必须对本项目</w:t>
      </w:r>
      <w:r>
        <w:rPr>
          <w:rFonts w:hint="eastAsia" w:ascii="宋体" w:hAnsi="宋体" w:eastAsia="宋体" w:cs="宋体"/>
          <w:kern w:val="0"/>
          <w:sz w:val="24"/>
          <w:szCs w:val="22"/>
          <w:lang w:eastAsia="zh-CN"/>
        </w:rPr>
        <w:t>涉及的</w:t>
      </w:r>
      <w:r>
        <w:rPr>
          <w:rFonts w:hint="eastAsia" w:ascii="宋体" w:hAnsi="宋体" w:eastAsia="宋体" w:cs="宋体"/>
          <w:kern w:val="0"/>
          <w:sz w:val="24"/>
          <w:szCs w:val="22"/>
        </w:rPr>
        <w:t>资料及成果承担安全、保密责任。</w:t>
      </w:r>
    </w:p>
    <w:p w14:paraId="76991EEC">
      <w:pPr>
        <w:keepNext w:val="0"/>
        <w:keepLines w:val="0"/>
        <w:pageBreakBefore w:val="0"/>
        <w:widowControl w:val="0"/>
        <w:kinsoku/>
        <w:wordWrap/>
        <w:overflowPunct/>
        <w:topLinePunct w:val="0"/>
        <w:bidi w:val="0"/>
        <w:spacing w:line="336" w:lineRule="auto"/>
        <w:ind w:left="0" w:firstLine="480" w:firstLineChars="200"/>
        <w:textAlignment w:val="auto"/>
        <w:rPr>
          <w:rFonts w:hint="eastAsia" w:ascii="宋体" w:hAnsi="宋体" w:eastAsia="宋体" w:cs="宋体"/>
          <w:b/>
          <w:bCs/>
          <w:kern w:val="0"/>
          <w:sz w:val="24"/>
          <w:szCs w:val="22"/>
        </w:rPr>
      </w:pPr>
      <w:r>
        <w:rPr>
          <w:rFonts w:hint="eastAsia" w:ascii="宋体" w:hAnsi="宋体" w:eastAsia="宋体" w:cs="宋体"/>
          <w:kern w:val="0"/>
          <w:sz w:val="24"/>
          <w:szCs w:val="22"/>
        </w:rPr>
        <w:t>2、本项目技术成果的知识产权归属采购人所有，未经采购人同意，供应商不得擅自将成果以自己的名义发表或进行其他学术活动。</w:t>
      </w:r>
    </w:p>
    <w:p w14:paraId="50D56774">
      <w:pPr>
        <w:keepNext w:val="0"/>
        <w:keepLines w:val="0"/>
        <w:pageBreakBefore w:val="0"/>
        <w:widowControl w:val="0"/>
        <w:kinsoku/>
        <w:wordWrap/>
        <w:overflowPunct/>
        <w:topLinePunct w:val="0"/>
        <w:autoSpaceDE/>
        <w:autoSpaceDN/>
        <w:bidi w:val="0"/>
        <w:adjustRightInd/>
        <w:snapToGrid/>
        <w:spacing w:line="336" w:lineRule="auto"/>
        <w:ind w:left="0" w:leftChars="0" w:firstLine="482" w:firstLineChars="200"/>
        <w:contextualSpacing/>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、绩效考核</w:t>
      </w:r>
    </w:p>
    <w:p w14:paraId="6A44EEA0">
      <w:pPr>
        <w:keepNext w:val="0"/>
        <w:keepLines w:val="0"/>
        <w:pageBreakBefore w:val="0"/>
        <w:widowControl w:val="0"/>
        <w:kinsoku/>
        <w:wordWrap/>
        <w:overflowPunct/>
        <w:topLinePunct w:val="0"/>
        <w:autoSpaceDE/>
        <w:autoSpaceDN/>
        <w:bidi w:val="0"/>
        <w:adjustRightInd/>
        <w:snapToGrid/>
        <w:spacing w:line="336" w:lineRule="auto"/>
        <w:ind w:left="0" w:leftChars="0" w:firstLine="480" w:firstLineChars="200"/>
        <w:contextualSpacing/>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采购人对现场采样是否准确规范进行现场监督，检测机构提供CMA检测报告，报告的准确性应满足</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lang w:eastAsia="zh-CN"/>
        </w:rPr>
        <w:t>要求。</w:t>
      </w:r>
    </w:p>
    <w:p w14:paraId="0A461695">
      <w:pPr>
        <w:pStyle w:val="15"/>
        <w:keepNext w:val="0"/>
        <w:keepLines w:val="0"/>
        <w:pageBreakBefore w:val="0"/>
        <w:widowControl w:val="0"/>
        <w:kinsoku/>
        <w:wordWrap/>
        <w:overflowPunct/>
        <w:topLinePunct w:val="0"/>
        <w:autoSpaceDE/>
        <w:autoSpaceDN/>
        <w:bidi w:val="0"/>
        <w:spacing w:line="360" w:lineRule="auto"/>
        <w:ind w:left="0" w:leftChars="0" w:firstLine="241" w:firstLineChars="100"/>
        <w:textAlignment w:val="auto"/>
        <w:rPr>
          <w:rFonts w:hint="eastAsia" w:ascii="宋体" w:hAnsi="宋体" w:eastAsia="宋体" w:cs="宋体"/>
          <w:b/>
          <w:sz w:val="24"/>
          <w:szCs w:val="24"/>
        </w:rPr>
      </w:pPr>
      <w:r>
        <w:rPr>
          <w:rFonts w:hint="eastAsia" w:ascii="宋体" w:hAnsi="宋体" w:eastAsia="宋体" w:cs="宋体"/>
          <w:b/>
          <w:bCs/>
          <w:color w:val="auto"/>
          <w:kern w:val="0"/>
          <w:sz w:val="24"/>
          <w:szCs w:val="24"/>
          <w:highlight w:val="none"/>
          <w:lang w:val="en-US" w:eastAsia="zh-CN"/>
        </w:rPr>
        <w:t>九、履约</w:t>
      </w:r>
      <w:r>
        <w:rPr>
          <w:rFonts w:hint="eastAsia" w:ascii="宋体" w:hAnsi="宋体" w:eastAsia="宋体" w:cs="宋体"/>
          <w:b/>
          <w:sz w:val="24"/>
          <w:szCs w:val="24"/>
        </w:rPr>
        <w:t>验收</w:t>
      </w:r>
    </w:p>
    <w:p w14:paraId="5284CA22">
      <w:pPr>
        <w:pStyle w:val="56"/>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eastAsia="zh-CN"/>
        </w:rPr>
        <w:t>甲方</w:t>
      </w:r>
      <w:r>
        <w:rPr>
          <w:rFonts w:hint="eastAsia" w:ascii="宋体" w:hAnsi="宋体" w:eastAsia="宋体" w:cs="宋体"/>
          <w:szCs w:val="24"/>
        </w:rPr>
        <w:t>组织对</w:t>
      </w:r>
      <w:r>
        <w:rPr>
          <w:rFonts w:hint="eastAsia" w:ascii="宋体" w:hAnsi="宋体" w:eastAsia="宋体" w:cs="宋体"/>
          <w:szCs w:val="24"/>
          <w:lang w:eastAsia="zh-CN"/>
        </w:rPr>
        <w:t>乙方</w:t>
      </w:r>
      <w:r>
        <w:rPr>
          <w:rFonts w:hint="eastAsia" w:ascii="宋体" w:hAnsi="宋体" w:eastAsia="宋体" w:cs="宋体"/>
          <w:szCs w:val="24"/>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szCs w:val="24"/>
          <w:lang w:eastAsia="zh-CN"/>
        </w:rPr>
        <w:t>乙方</w:t>
      </w:r>
      <w:r>
        <w:rPr>
          <w:rFonts w:hint="eastAsia" w:ascii="宋体" w:hAnsi="宋体" w:eastAsia="宋体" w:cs="宋体"/>
          <w:szCs w:val="24"/>
        </w:rPr>
        <w:t>须承担由此发生的一切损失和费用，并接受相应的处理。</w:t>
      </w:r>
    </w:p>
    <w:p w14:paraId="3AC4932C">
      <w:pPr>
        <w:pStyle w:val="56"/>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eastAsia="宋体" w:cs="宋体"/>
          <w:szCs w:val="24"/>
        </w:rPr>
      </w:pPr>
      <w:r>
        <w:rPr>
          <w:rFonts w:hint="eastAsia" w:ascii="宋体" w:hAnsi="宋体" w:eastAsia="宋体" w:cs="宋体"/>
          <w:szCs w:val="24"/>
        </w:rPr>
        <w:t>2</w:t>
      </w:r>
      <w:r>
        <w:rPr>
          <w:rFonts w:hint="eastAsia" w:ascii="宋体" w:hAnsi="宋体" w:eastAsia="宋体" w:cs="宋体"/>
          <w:szCs w:val="24"/>
          <w:lang w:eastAsia="zh-CN"/>
        </w:rPr>
        <w:t>甲方</w:t>
      </w:r>
      <w:r>
        <w:rPr>
          <w:rFonts w:hint="eastAsia" w:ascii="宋体" w:hAnsi="宋体" w:eastAsia="宋体" w:cs="宋体"/>
          <w:szCs w:val="24"/>
        </w:rPr>
        <w:t>应当及时对采购项目进行验收，</w:t>
      </w:r>
      <w:r>
        <w:rPr>
          <w:rFonts w:hint="eastAsia" w:ascii="宋体" w:hAnsi="宋体" w:eastAsia="宋体" w:cs="宋体"/>
          <w:szCs w:val="24"/>
          <w:lang w:eastAsia="zh-CN"/>
        </w:rPr>
        <w:t>甲方</w:t>
      </w:r>
      <w:r>
        <w:rPr>
          <w:rFonts w:hint="eastAsia" w:ascii="宋体" w:hAnsi="宋体" w:eastAsia="宋体" w:cs="宋体"/>
          <w:szCs w:val="24"/>
        </w:rPr>
        <w:t>可以邀请参加本项目的其他投标人或者第三方机构参与验收，参与验收的投标人或者第三方机构的意见作为验收书的参考资料一并存档。</w:t>
      </w:r>
    </w:p>
    <w:p w14:paraId="76E0ABBD">
      <w:pPr>
        <w:pStyle w:val="56"/>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eastAsia="zh-CN"/>
        </w:rPr>
        <w:t>甲方</w:t>
      </w:r>
      <w:r>
        <w:rPr>
          <w:rFonts w:hint="eastAsia" w:ascii="宋体" w:hAnsi="宋体" w:eastAsia="宋体" w:cs="宋体"/>
          <w:szCs w:val="24"/>
        </w:rPr>
        <w:t>负责加强对</w:t>
      </w:r>
      <w:r>
        <w:rPr>
          <w:rFonts w:hint="eastAsia" w:ascii="宋体" w:hAnsi="宋体" w:eastAsia="宋体" w:cs="宋体"/>
          <w:szCs w:val="24"/>
          <w:lang w:eastAsia="zh-CN"/>
        </w:rPr>
        <w:t>乙方</w:t>
      </w:r>
      <w:r>
        <w:rPr>
          <w:rFonts w:hint="eastAsia" w:ascii="宋体" w:hAnsi="宋体" w:eastAsia="宋体" w:cs="宋体"/>
          <w:szCs w:val="24"/>
        </w:rPr>
        <w:t>的履约管理，并按照采购合同约定，及时向</w:t>
      </w:r>
      <w:r>
        <w:rPr>
          <w:rFonts w:hint="eastAsia" w:ascii="宋体" w:hAnsi="宋体" w:eastAsia="宋体" w:cs="宋体"/>
          <w:szCs w:val="24"/>
          <w:lang w:eastAsia="zh-CN"/>
        </w:rPr>
        <w:t>乙方</w:t>
      </w:r>
      <w:r>
        <w:rPr>
          <w:rFonts w:hint="eastAsia" w:ascii="宋体" w:hAnsi="宋体" w:eastAsia="宋体" w:cs="宋体"/>
          <w:szCs w:val="24"/>
        </w:rPr>
        <w:t>支付采购资金。对于</w:t>
      </w:r>
      <w:r>
        <w:rPr>
          <w:rFonts w:hint="eastAsia" w:ascii="宋体" w:hAnsi="宋体" w:eastAsia="宋体" w:cs="宋体"/>
          <w:szCs w:val="24"/>
          <w:lang w:eastAsia="zh-CN"/>
        </w:rPr>
        <w:t>乙方</w:t>
      </w:r>
      <w:r>
        <w:rPr>
          <w:rFonts w:hint="eastAsia" w:ascii="宋体" w:hAnsi="宋体" w:eastAsia="宋体" w:cs="宋体"/>
          <w:szCs w:val="24"/>
        </w:rPr>
        <w:t>违反采购合同约定的行为，</w:t>
      </w:r>
      <w:r>
        <w:rPr>
          <w:rFonts w:hint="eastAsia" w:ascii="宋体" w:hAnsi="宋体" w:eastAsia="宋体" w:cs="宋体"/>
          <w:szCs w:val="24"/>
          <w:lang w:eastAsia="zh-CN"/>
        </w:rPr>
        <w:t>甲方</w:t>
      </w:r>
      <w:r>
        <w:rPr>
          <w:rFonts w:hint="eastAsia" w:ascii="宋体" w:hAnsi="宋体" w:eastAsia="宋体" w:cs="宋体"/>
          <w:szCs w:val="24"/>
        </w:rPr>
        <w:t>应当及时处理，依法追究其违约责任。</w:t>
      </w:r>
    </w:p>
    <w:p w14:paraId="2CD934CC">
      <w:pPr>
        <w:keepNext w:val="0"/>
        <w:keepLines w:val="0"/>
        <w:pageBreakBefore w:val="0"/>
        <w:widowControl w:val="0"/>
        <w:kinsoku/>
        <w:wordWrap/>
        <w:overflowPunct/>
        <w:topLinePunct w:val="0"/>
        <w:autoSpaceDE/>
        <w:autoSpaceDN/>
        <w:bidi w:val="0"/>
        <w:adjustRightInd/>
        <w:snapToGrid/>
        <w:spacing w:line="336" w:lineRule="auto"/>
        <w:ind w:firstLine="241" w:firstLineChars="100"/>
        <w:contextualSpacing/>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付款方式</w:t>
      </w:r>
    </w:p>
    <w:p w14:paraId="3C26862E">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1、付款方式：2025年3月30日前具备实施条件后支付20万元；项目验收合格并提交CMA检测报告后7个工作日内支付20万元；2026年服务期满一年后经采购人确认7个工作日内支付剩余合同价款。</w:t>
      </w:r>
    </w:p>
    <w:p w14:paraId="001F194B">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2"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付款要求：</w:t>
      </w:r>
      <w:r>
        <w:rPr>
          <w:rFonts w:hint="eastAsia" w:ascii="宋体" w:hAnsi="宋体" w:eastAsia="宋体" w:cs="宋体"/>
          <w:b/>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在收款之前，应向</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提供等额、合法、有效的增值税发票，</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凭发票付款。如</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未按约定提供增值税发票的，</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有权拒绝付款，直至收到</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提交的相应增值税发票为止，在此情况下，</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不承担逾期付款违约责任。</w:t>
      </w:r>
    </w:p>
    <w:p w14:paraId="4496B988">
      <w:pPr>
        <w:pStyle w:val="15"/>
        <w:keepNext w:val="0"/>
        <w:keepLines w:val="0"/>
        <w:pageBreakBefore w:val="0"/>
        <w:widowControl w:val="0"/>
        <w:kinsoku/>
        <w:wordWrap/>
        <w:overflowPunct/>
        <w:topLinePunct w:val="0"/>
        <w:autoSpaceDE/>
        <w:autoSpaceDN/>
        <w:bidi w:val="0"/>
        <w:adjustRightInd/>
        <w:snapToGrid w:val="0"/>
        <w:spacing w:line="336" w:lineRule="auto"/>
        <w:ind w:left="0" w:firstLine="482" w:firstLineChars="200"/>
        <w:jc w:val="lef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十一.</w:t>
      </w:r>
      <w:r>
        <w:rPr>
          <w:rFonts w:hint="eastAsia" w:ascii="宋体" w:hAnsi="宋体" w:eastAsia="宋体" w:cs="宋体"/>
          <w:b/>
          <w:color w:val="auto"/>
          <w:sz w:val="24"/>
          <w:szCs w:val="24"/>
          <w:lang w:eastAsia="zh-CN"/>
        </w:rPr>
        <w:t>违约责任：</w:t>
      </w:r>
    </w:p>
    <w:p w14:paraId="12C762D6">
      <w:pPr>
        <w:keepNext w:val="0"/>
        <w:keepLines w:val="0"/>
        <w:pageBreakBefore w:val="0"/>
        <w:widowControl w:val="0"/>
        <w:numPr>
          <w:ilvl w:val="0"/>
          <w:numId w:val="18"/>
        </w:numPr>
        <w:kinsoku/>
        <w:wordWrap/>
        <w:overflowPunct/>
        <w:topLinePunct w:val="0"/>
        <w:autoSpaceDE/>
        <w:autoSpaceDN/>
        <w:bidi w:val="0"/>
        <w:adjustRightInd/>
        <w:spacing w:line="336" w:lineRule="auto"/>
        <w:ind w:left="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本合同签订后，任何一方不履行或不完全履行本合同约定条款的，即构成违约。任何一方违约时，守约方有权要求违约方继续履行本合同，同时有权要求违约方支付违约金或赔偿损失。</w:t>
      </w:r>
    </w:p>
    <w:p w14:paraId="3FD0284D">
      <w:pPr>
        <w:keepNext w:val="0"/>
        <w:keepLines w:val="0"/>
        <w:pageBreakBefore w:val="0"/>
        <w:widowControl w:val="0"/>
        <w:numPr>
          <w:ilvl w:val="0"/>
          <w:numId w:val="18"/>
        </w:numPr>
        <w:kinsoku/>
        <w:wordWrap/>
        <w:overflowPunct/>
        <w:topLinePunct w:val="0"/>
        <w:autoSpaceDE/>
        <w:autoSpaceDN/>
        <w:bidi w:val="0"/>
        <w:adjustRightInd/>
        <w:spacing w:line="336" w:lineRule="auto"/>
        <w:ind w:left="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如果甲方未按照合同约定支付价款，乙方有权要求其每天承担应付未付金额万分之四的违约金，但违约金总额不超过合同总金额的【5%】；</w:t>
      </w:r>
      <w:r>
        <w:rPr>
          <w:rFonts w:hint="eastAsia" w:ascii="宋体" w:hAnsi="宋体" w:eastAsia="宋体" w:cs="宋体"/>
          <w:kern w:val="0"/>
          <w:sz w:val="24"/>
          <w:highlight w:val="none"/>
        </w:rPr>
        <w:t>如果因乙方原因导致维护、维修、设备核查标校工作等未达到本协议第</w:t>
      </w:r>
      <w:r>
        <w:rPr>
          <w:rFonts w:hint="eastAsia" w:ascii="宋体" w:hAnsi="宋体" w:eastAsia="宋体" w:cs="宋体"/>
          <w:kern w:val="0"/>
          <w:sz w:val="24"/>
          <w:highlight w:val="none"/>
          <w:lang w:eastAsia="zh-CN"/>
        </w:rPr>
        <w:t>四</w:t>
      </w:r>
      <w:r>
        <w:rPr>
          <w:rFonts w:hint="eastAsia" w:ascii="宋体" w:hAnsi="宋体" w:eastAsia="宋体" w:cs="宋体"/>
          <w:kern w:val="0"/>
          <w:sz w:val="24"/>
          <w:highlight w:val="none"/>
        </w:rPr>
        <w:t>款要求，甲方有权要求其承担合同总金额【5%】的违约金。</w:t>
      </w:r>
    </w:p>
    <w:p w14:paraId="1FC939AB">
      <w:pPr>
        <w:keepNext w:val="0"/>
        <w:keepLines w:val="0"/>
        <w:pageBreakBefore w:val="0"/>
        <w:widowControl w:val="0"/>
        <w:numPr>
          <w:ilvl w:val="0"/>
          <w:numId w:val="18"/>
        </w:numPr>
        <w:kinsoku/>
        <w:wordWrap/>
        <w:overflowPunct/>
        <w:topLinePunct w:val="0"/>
        <w:autoSpaceDE/>
        <w:autoSpaceDN/>
        <w:bidi w:val="0"/>
        <w:adjustRightInd/>
        <w:spacing w:line="336" w:lineRule="auto"/>
        <w:ind w:left="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w:t>
      </w:r>
      <w:r>
        <w:rPr>
          <w:rFonts w:hint="eastAsia" w:ascii="宋体" w:hAnsi="宋体" w:eastAsia="宋体" w:cs="宋体"/>
          <w:kern w:val="0"/>
          <w:sz w:val="24"/>
          <w:lang w:eastAsia="zh-CN"/>
        </w:rPr>
        <w:t>以及其他</w:t>
      </w:r>
      <w:r>
        <w:rPr>
          <w:rFonts w:hint="eastAsia" w:ascii="宋体" w:hAnsi="宋体" w:eastAsia="宋体" w:cs="宋体"/>
          <w:kern w:val="0"/>
          <w:sz w:val="24"/>
        </w:rPr>
        <w:t>可预见的间接经济损失。</w:t>
      </w:r>
    </w:p>
    <w:p w14:paraId="36172FE9">
      <w:pPr>
        <w:pStyle w:val="15"/>
        <w:keepNext w:val="0"/>
        <w:keepLines w:val="0"/>
        <w:pageBreakBefore w:val="0"/>
        <w:kinsoku/>
        <w:wordWrap/>
        <w:overflowPunct/>
        <w:topLinePunct w:val="0"/>
        <w:bidi w:val="0"/>
        <w:snapToGrid w:val="0"/>
        <w:spacing w:line="336"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十二.</w:t>
      </w:r>
      <w:r>
        <w:rPr>
          <w:rFonts w:hint="eastAsia" w:ascii="宋体" w:hAnsi="宋体" w:eastAsia="宋体" w:cs="宋体"/>
          <w:b/>
          <w:color w:val="auto"/>
          <w:sz w:val="24"/>
          <w:szCs w:val="24"/>
        </w:rPr>
        <w:t>不可抗力事件处理</w:t>
      </w:r>
    </w:p>
    <w:p w14:paraId="7CB51B2F">
      <w:pPr>
        <w:pStyle w:val="15"/>
        <w:keepNext w:val="0"/>
        <w:keepLines w:val="0"/>
        <w:pageBreakBefore w:val="0"/>
        <w:kinsoku/>
        <w:wordWrap/>
        <w:overflowPunct/>
        <w:topLinePunct w:val="0"/>
        <w:bidi w:val="0"/>
        <w:snapToGrid w:val="0"/>
        <w:spacing w:line="336"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1.在合同有效期内，任何一方因不可抗力事件导致不能履行合同，则合同履行期可延长，其延长期与不可抗力影响期相同。</w:t>
      </w:r>
    </w:p>
    <w:p w14:paraId="0EE91097">
      <w:pPr>
        <w:pStyle w:val="15"/>
        <w:keepNext w:val="0"/>
        <w:keepLines w:val="0"/>
        <w:pageBreakBefore w:val="0"/>
        <w:kinsoku/>
        <w:wordWrap/>
        <w:overflowPunct/>
        <w:topLinePunct w:val="0"/>
        <w:bidi w:val="0"/>
        <w:snapToGrid w:val="0"/>
        <w:spacing w:line="336"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2.不可抗力事件发生后，应立即通知对方，并寄送有关权威机构出具的证明。</w:t>
      </w:r>
    </w:p>
    <w:p w14:paraId="6639ECDC">
      <w:pPr>
        <w:pStyle w:val="15"/>
        <w:keepNext w:val="0"/>
        <w:keepLines w:val="0"/>
        <w:pageBreakBefore w:val="0"/>
        <w:kinsoku/>
        <w:wordWrap/>
        <w:overflowPunct/>
        <w:topLinePunct w:val="0"/>
        <w:bidi w:val="0"/>
        <w:snapToGrid w:val="0"/>
        <w:spacing w:line="336"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3.不可抗力事件延续120天以上，双方应通过友好协商，确定是否继续履行合同。</w:t>
      </w:r>
    </w:p>
    <w:p w14:paraId="3F878FBC">
      <w:pPr>
        <w:pStyle w:val="15"/>
        <w:keepNext w:val="0"/>
        <w:keepLines w:val="0"/>
        <w:pageBreakBefore w:val="0"/>
        <w:kinsoku/>
        <w:wordWrap/>
        <w:overflowPunct/>
        <w:topLinePunct w:val="0"/>
        <w:bidi w:val="0"/>
        <w:snapToGrid w:val="0"/>
        <w:spacing w:line="336"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十三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解决争议的方法</w:t>
      </w:r>
    </w:p>
    <w:p w14:paraId="1D79BDD5">
      <w:pPr>
        <w:pStyle w:val="15"/>
        <w:keepNext w:val="0"/>
        <w:keepLines w:val="0"/>
        <w:pageBreakBefore w:val="0"/>
        <w:numPr>
          <w:ilvl w:val="0"/>
          <w:numId w:val="0"/>
        </w:numPr>
        <w:kinsoku/>
        <w:wordWrap/>
        <w:overflowPunct/>
        <w:topLinePunct w:val="0"/>
        <w:bidi w:val="0"/>
        <w:adjustRightInd w:val="0"/>
        <w:snapToGrid w:val="0"/>
        <w:spacing w:line="336"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因本合同及合同有关事项发生的争议，由甲乙双方友好协商解决。协商不成时，可以向有关组织申请调解。合同一方或双方不愿调解或调解不成的，可以通过仲裁或诉讼的方式解决争议。</w:t>
      </w:r>
    </w:p>
    <w:p w14:paraId="3AFB8AE9">
      <w:pPr>
        <w:pStyle w:val="15"/>
        <w:keepNext w:val="0"/>
        <w:keepLines w:val="0"/>
        <w:pageBreakBefore w:val="0"/>
        <w:numPr>
          <w:ilvl w:val="0"/>
          <w:numId w:val="0"/>
        </w:numPr>
        <w:kinsoku/>
        <w:wordWrap/>
        <w:overflowPunct/>
        <w:topLinePunct w:val="0"/>
        <w:bidi w:val="0"/>
        <w:adjustRightInd w:val="0"/>
        <w:snapToGrid w:val="0"/>
        <w:spacing w:line="336"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2.因本合同及合同有关事项发生的争议，按下列第（2）种方式解决：</w:t>
      </w:r>
    </w:p>
    <w:p w14:paraId="45A5204B">
      <w:pPr>
        <w:pStyle w:val="15"/>
        <w:keepNext w:val="0"/>
        <w:keepLines w:val="0"/>
        <w:pageBreakBefore w:val="0"/>
        <w:numPr>
          <w:ilvl w:val="0"/>
          <w:numId w:val="0"/>
        </w:numPr>
        <w:kinsoku/>
        <w:wordWrap/>
        <w:overflowPunct/>
        <w:topLinePunct w:val="0"/>
        <w:bidi w:val="0"/>
        <w:adjustRightInd w:val="0"/>
        <w:snapToGrid w:val="0"/>
        <w:spacing w:line="336"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绍兴市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仲裁委员会申请仲裁，仲裁地点为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3412FE7">
      <w:pPr>
        <w:pStyle w:val="15"/>
        <w:keepNext w:val="0"/>
        <w:keepLines w:val="0"/>
        <w:pageBreakBefore w:val="0"/>
        <w:numPr>
          <w:ilvl w:val="0"/>
          <w:numId w:val="0"/>
        </w:numPr>
        <w:kinsoku/>
        <w:wordWrap/>
        <w:overflowPunct/>
        <w:topLinePunct w:val="0"/>
        <w:bidi w:val="0"/>
        <w:adjustRightInd w:val="0"/>
        <w:snapToGrid w:val="0"/>
        <w:spacing w:line="336"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（2）向</w:t>
      </w:r>
      <w:r>
        <w:rPr>
          <w:rFonts w:hint="eastAsia" w:ascii="宋体" w:hAnsi="宋体" w:eastAsia="宋体" w:cs="宋体"/>
          <w:color w:val="auto"/>
          <w:sz w:val="24"/>
          <w:szCs w:val="24"/>
          <w:u w:val="single"/>
        </w:rPr>
        <w:t xml:space="preserve">  绍兴市上虞区 </w:t>
      </w:r>
      <w:r>
        <w:rPr>
          <w:rFonts w:hint="eastAsia" w:ascii="宋体" w:hAnsi="宋体" w:eastAsia="宋体" w:cs="宋体"/>
          <w:color w:val="auto"/>
          <w:sz w:val="24"/>
          <w:szCs w:val="24"/>
        </w:rPr>
        <w:t>人民法院起诉。</w:t>
      </w:r>
    </w:p>
    <w:p w14:paraId="3426239F">
      <w:pPr>
        <w:pStyle w:val="15"/>
        <w:keepNext w:val="0"/>
        <w:keepLines w:val="0"/>
        <w:pageBreakBefore w:val="0"/>
        <w:numPr>
          <w:ilvl w:val="0"/>
          <w:numId w:val="0"/>
        </w:numPr>
        <w:kinsoku/>
        <w:wordWrap/>
        <w:overflowPunct/>
        <w:topLinePunct w:val="0"/>
        <w:bidi w:val="0"/>
        <w:adjustRightInd w:val="0"/>
        <w:snapToGrid w:val="0"/>
        <w:spacing w:line="336"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如甲乙双方有争议的事项不影响合同其他部分的履行，在争议解决期间，合同其他部分应当继续履行。</w:t>
      </w:r>
    </w:p>
    <w:p w14:paraId="7F23CB07">
      <w:pPr>
        <w:pStyle w:val="15"/>
        <w:keepNext w:val="0"/>
        <w:keepLines w:val="0"/>
        <w:pageBreakBefore w:val="0"/>
        <w:numPr>
          <w:ilvl w:val="0"/>
          <w:numId w:val="0"/>
        </w:numPr>
        <w:kinsoku/>
        <w:wordWrap/>
        <w:overflowPunct/>
        <w:topLinePunct w:val="0"/>
        <w:bidi w:val="0"/>
        <w:adjustRightInd w:val="0"/>
        <w:snapToGrid w:val="0"/>
        <w:spacing w:line="336" w:lineRule="auto"/>
        <w:ind w:left="0" w:firstLine="482" w:firstLineChars="200"/>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十四、附则</w:t>
      </w:r>
    </w:p>
    <w:p w14:paraId="26658DE9">
      <w:pPr>
        <w:keepNext w:val="0"/>
        <w:keepLines w:val="0"/>
        <w:pageBreakBefore w:val="0"/>
        <w:numPr>
          <w:ilvl w:val="0"/>
          <w:numId w:val="19"/>
        </w:numPr>
        <w:kinsoku/>
        <w:wordWrap/>
        <w:overflowPunct/>
        <w:topLinePunct w:val="0"/>
        <w:bidi w:val="0"/>
        <w:spacing w:line="336"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本合同由双方</w:t>
      </w:r>
      <w:r>
        <w:rPr>
          <w:rFonts w:hint="eastAsia" w:ascii="宋体" w:hAnsi="宋体" w:eastAsia="宋体" w:cs="宋体"/>
          <w:b w:val="0"/>
          <w:bCs w:val="0"/>
          <w:color w:val="000000"/>
          <w:sz w:val="24"/>
          <w:szCs w:val="24"/>
          <w:highlight w:val="none"/>
          <w:lang w:val="en-US" w:eastAsia="zh-CN"/>
        </w:rPr>
        <w:t>代表</w:t>
      </w:r>
      <w:r>
        <w:rPr>
          <w:rFonts w:hint="eastAsia" w:ascii="宋体" w:hAnsi="宋体" w:eastAsia="宋体" w:cs="宋体"/>
          <w:color w:val="000000"/>
          <w:sz w:val="24"/>
        </w:rPr>
        <w:t>签字，加盖双方公章或合同专用章即生效。服务期满，且全部成果交接完毕，本合同终止。</w:t>
      </w:r>
    </w:p>
    <w:p w14:paraId="50ABE314">
      <w:pPr>
        <w:keepNext w:val="0"/>
        <w:keepLines w:val="0"/>
        <w:pageBreakBefore w:val="0"/>
        <w:numPr>
          <w:ilvl w:val="0"/>
          <w:numId w:val="19"/>
        </w:numPr>
        <w:kinsoku/>
        <w:wordWrap/>
        <w:overflowPunct/>
        <w:topLinePunct w:val="0"/>
        <w:bidi w:val="0"/>
        <w:spacing w:line="336" w:lineRule="auto"/>
        <w:ind w:left="0" w:leftChars="0" w:firstLine="480" w:firstLineChars="200"/>
        <w:textAlignment w:val="auto"/>
        <w:rPr>
          <w:rFonts w:hint="eastAsia" w:ascii="宋体" w:hAnsi="宋体" w:eastAsia="宋体" w:cs="宋体"/>
        </w:rPr>
      </w:pPr>
      <w:r>
        <w:rPr>
          <w:rFonts w:hint="eastAsia" w:ascii="宋体" w:hAnsi="宋体" w:eastAsia="宋体" w:cs="宋体"/>
          <w:b w:val="0"/>
          <w:bCs w:val="0"/>
          <w:color w:val="000000"/>
          <w:sz w:val="24"/>
        </w:rPr>
        <w:t>本</w:t>
      </w:r>
      <w:r>
        <w:rPr>
          <w:rFonts w:hint="eastAsia" w:ascii="宋体" w:hAnsi="宋体" w:eastAsia="宋体" w:cs="宋体"/>
          <w:b w:val="0"/>
          <w:bCs w:val="0"/>
          <w:color w:val="000000"/>
          <w:sz w:val="24"/>
          <w:szCs w:val="24"/>
          <w:highlight w:val="none"/>
          <w:lang w:val="en-US" w:eastAsia="zh-CN"/>
        </w:rPr>
        <w:t>项目</w:t>
      </w:r>
      <w:r>
        <w:rPr>
          <w:rFonts w:hint="eastAsia" w:ascii="宋体" w:hAnsi="宋体" w:eastAsia="宋体" w:cs="宋体"/>
          <w:b w:val="0"/>
          <w:bCs w:val="0"/>
          <w:color w:val="000000"/>
          <w:sz w:val="24"/>
        </w:rPr>
        <w:t>货物如涉及柴油动力移动源，柴油动力移动源应当符合低排放要求。</w:t>
      </w:r>
    </w:p>
    <w:p w14:paraId="7B67B2CF">
      <w:pPr>
        <w:pStyle w:val="15"/>
        <w:keepNext w:val="0"/>
        <w:keepLines w:val="0"/>
        <w:pageBreakBefore w:val="0"/>
        <w:kinsoku/>
        <w:wordWrap/>
        <w:overflowPunct/>
        <w:topLinePunct w:val="0"/>
        <w:bidi w:val="0"/>
        <w:snapToGrid w:val="0"/>
        <w:spacing w:line="336" w:lineRule="auto"/>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十五</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合同生效及其它</w:t>
      </w:r>
    </w:p>
    <w:p w14:paraId="3933049A">
      <w:pPr>
        <w:keepNext w:val="0"/>
        <w:keepLines w:val="0"/>
        <w:pageBreakBefore w:val="0"/>
        <w:numPr>
          <w:ilvl w:val="0"/>
          <w:numId w:val="20"/>
        </w:numPr>
        <w:kinsoku/>
        <w:wordWrap/>
        <w:overflowPunct/>
        <w:topLinePunct w:val="0"/>
        <w:bidi w:val="0"/>
        <w:spacing w:line="336"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合同经甲、乙两方签字并加盖单位公章后生效。</w:t>
      </w:r>
    </w:p>
    <w:p w14:paraId="56B52597">
      <w:pPr>
        <w:keepNext w:val="0"/>
        <w:keepLines w:val="0"/>
        <w:pageBreakBefore w:val="0"/>
        <w:numPr>
          <w:ilvl w:val="0"/>
          <w:numId w:val="20"/>
        </w:numPr>
        <w:kinsoku/>
        <w:wordWrap/>
        <w:overflowPunct/>
        <w:topLinePunct w:val="0"/>
        <w:bidi w:val="0"/>
        <w:spacing w:line="336"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招标文件、投标文件与本合同具有同等法律效力。</w:t>
      </w:r>
    </w:p>
    <w:p w14:paraId="20008986">
      <w:pPr>
        <w:keepNext w:val="0"/>
        <w:keepLines w:val="0"/>
        <w:pageBreakBefore w:val="0"/>
        <w:numPr>
          <w:ilvl w:val="0"/>
          <w:numId w:val="20"/>
        </w:numPr>
        <w:kinsoku/>
        <w:wordWrap/>
        <w:overflowPunct/>
        <w:topLinePunct w:val="0"/>
        <w:bidi w:val="0"/>
        <w:spacing w:line="336"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本合同未尽事宜，遵照</w:t>
      </w:r>
      <w:r>
        <w:rPr>
          <w:rFonts w:hint="eastAsia" w:ascii="宋体" w:hAnsi="宋体" w:eastAsia="宋体" w:cs="宋体"/>
          <w:color w:val="FF0000"/>
          <w:sz w:val="24"/>
        </w:rPr>
        <w:t>《中华人民共和国民法典》</w:t>
      </w:r>
      <w:r>
        <w:rPr>
          <w:rFonts w:hint="eastAsia" w:ascii="宋体" w:hAnsi="宋体" w:eastAsia="宋体" w:cs="宋体"/>
          <w:color w:val="auto"/>
          <w:sz w:val="24"/>
        </w:rPr>
        <w:t>有关条文执行。</w:t>
      </w:r>
    </w:p>
    <w:p w14:paraId="4D231A7B">
      <w:pPr>
        <w:pStyle w:val="12"/>
        <w:keepNext w:val="0"/>
        <w:keepLines w:val="0"/>
        <w:pageBreakBefore w:val="0"/>
        <w:kinsoku/>
        <w:wordWrap/>
        <w:overflowPunct/>
        <w:topLinePunct w:val="0"/>
        <w:bidi w:val="0"/>
        <w:spacing w:before="0" w:after="0" w:line="336" w:lineRule="auto"/>
        <w:ind w:left="0" w:firstLine="480" w:firstLineChars="200"/>
        <w:textAlignment w:val="auto"/>
        <w:rPr>
          <w:rFonts w:hint="eastAsia" w:ascii="宋体" w:hAnsi="宋体" w:eastAsia="宋体" w:cs="宋体"/>
          <w:b/>
          <w:bCs/>
          <w:color w:val="auto"/>
          <w:kern w:val="0"/>
          <w:sz w:val="24"/>
          <w:lang w:val="en-US" w:eastAsia="zh-CN"/>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bCs/>
          <w:color w:val="auto"/>
          <w:kern w:val="2"/>
          <w:sz w:val="24"/>
          <w:szCs w:val="24"/>
          <w:lang w:val="en-US" w:eastAsia="zh-CN" w:bidi="ar-SA"/>
        </w:rPr>
        <w:t>本项目货物如涉及柴油动力移动源，应当符合低排放要求。</w:t>
      </w:r>
    </w:p>
    <w:p w14:paraId="669B6DC8">
      <w:pPr>
        <w:keepNext w:val="0"/>
        <w:keepLines w:val="0"/>
        <w:pageBreakBefore w:val="0"/>
        <w:numPr>
          <w:ilvl w:val="0"/>
          <w:numId w:val="0"/>
        </w:numPr>
        <w:kinsoku/>
        <w:wordWrap/>
        <w:overflowPunct/>
        <w:topLinePunct w:val="0"/>
        <w:bidi w:val="0"/>
        <w:spacing w:line="336" w:lineRule="auto"/>
        <w:ind w:left="0"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本合同一式</w:t>
      </w:r>
      <w:r>
        <w:rPr>
          <w:rFonts w:hint="eastAsia" w:ascii="宋体" w:hAnsi="宋体" w:eastAsia="宋体" w:cs="宋体"/>
          <w:b/>
          <w:bCs/>
          <w:color w:val="auto"/>
          <w:kern w:val="0"/>
          <w:sz w:val="24"/>
          <w:u w:val="single"/>
        </w:rPr>
        <w:t>　</w:t>
      </w:r>
      <w:r>
        <w:rPr>
          <w:rFonts w:hint="eastAsia" w:ascii="宋体" w:hAnsi="宋体" w:eastAsia="宋体" w:cs="宋体"/>
          <w:b/>
          <w:bCs/>
          <w:color w:val="auto"/>
          <w:kern w:val="0"/>
          <w:sz w:val="24"/>
          <w:u w:val="single"/>
          <w:lang w:val="en-US" w:eastAsia="zh-CN"/>
        </w:rPr>
        <w:t>肆</w:t>
      </w:r>
      <w:r>
        <w:rPr>
          <w:rFonts w:hint="eastAsia" w:ascii="宋体" w:hAnsi="宋体" w:eastAsia="宋体" w:cs="宋体"/>
          <w:b/>
          <w:bCs/>
          <w:color w:val="auto"/>
          <w:kern w:val="0"/>
          <w:sz w:val="24"/>
          <w:u w:val="single"/>
        </w:rPr>
        <w:t xml:space="preserve">  </w:t>
      </w:r>
      <w:r>
        <w:rPr>
          <w:rFonts w:hint="eastAsia" w:ascii="宋体" w:hAnsi="宋体" w:eastAsia="宋体" w:cs="宋体"/>
          <w:b/>
          <w:bCs/>
          <w:color w:val="auto"/>
          <w:kern w:val="0"/>
          <w:sz w:val="24"/>
        </w:rPr>
        <w:t>份，其中正本两份，</w:t>
      </w:r>
      <w:r>
        <w:rPr>
          <w:rFonts w:hint="eastAsia" w:ascii="宋体" w:hAnsi="宋体" w:eastAsia="宋体" w:cs="宋体"/>
          <w:b/>
          <w:bCs/>
          <w:color w:val="auto"/>
          <w:kern w:val="0"/>
          <w:sz w:val="24"/>
          <w:lang w:eastAsia="zh-CN"/>
        </w:rPr>
        <w:t>甲方</w:t>
      </w:r>
      <w:r>
        <w:rPr>
          <w:rFonts w:hint="eastAsia" w:ascii="宋体" w:hAnsi="宋体" w:eastAsia="宋体" w:cs="宋体"/>
          <w:b/>
          <w:bCs/>
          <w:color w:val="auto"/>
          <w:kern w:val="0"/>
          <w:sz w:val="24"/>
        </w:rPr>
        <w:t>和</w:t>
      </w:r>
      <w:r>
        <w:rPr>
          <w:rFonts w:hint="eastAsia" w:ascii="宋体" w:hAnsi="宋体" w:eastAsia="宋体" w:cs="宋体"/>
          <w:b/>
          <w:bCs/>
          <w:color w:val="auto"/>
          <w:kern w:val="0"/>
          <w:sz w:val="24"/>
          <w:lang w:eastAsia="zh-CN"/>
        </w:rPr>
        <w:t>乙方</w:t>
      </w:r>
      <w:r>
        <w:rPr>
          <w:rFonts w:hint="eastAsia" w:ascii="宋体" w:hAnsi="宋体" w:eastAsia="宋体" w:cs="宋体"/>
          <w:b/>
          <w:bCs/>
          <w:color w:val="auto"/>
          <w:kern w:val="0"/>
          <w:sz w:val="24"/>
        </w:rPr>
        <w:t>各执一份，并由</w:t>
      </w:r>
      <w:r>
        <w:rPr>
          <w:rFonts w:hint="eastAsia" w:ascii="宋体" w:hAnsi="宋体" w:eastAsia="宋体" w:cs="宋体"/>
          <w:b/>
          <w:bCs/>
          <w:color w:val="auto"/>
          <w:kern w:val="0"/>
          <w:sz w:val="24"/>
          <w:lang w:eastAsia="zh-CN"/>
        </w:rPr>
        <w:t>甲方</w:t>
      </w:r>
      <w:r>
        <w:rPr>
          <w:rFonts w:hint="eastAsia" w:ascii="宋体" w:hAnsi="宋体" w:eastAsia="宋体" w:cs="宋体"/>
          <w:b/>
          <w:bCs/>
          <w:color w:val="auto"/>
          <w:kern w:val="0"/>
          <w:sz w:val="24"/>
        </w:rPr>
        <w:t>在30日内做好政采云平台网上合同创建及备案。</w:t>
      </w:r>
    </w:p>
    <w:tbl>
      <w:tblPr>
        <w:tblStyle w:val="28"/>
        <w:tblpPr w:leftFromText="180" w:rightFromText="180" w:vertAnchor="text" w:horzAnchor="page" w:tblpX="1945" w:tblpY="99"/>
        <w:tblOverlap w:val="never"/>
        <w:tblW w:w="8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409"/>
        <w:gridCol w:w="1668"/>
        <w:gridCol w:w="2780"/>
      </w:tblGrid>
      <w:tr w14:paraId="3757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482" w:type="dxa"/>
            <w:tcBorders>
              <w:top w:val="single" w:color="auto" w:sz="4" w:space="0"/>
              <w:left w:val="single" w:color="auto" w:sz="4" w:space="0"/>
              <w:bottom w:val="single" w:color="auto" w:sz="4" w:space="0"/>
              <w:right w:val="single" w:color="auto" w:sz="4" w:space="0"/>
            </w:tcBorders>
            <w:noWrap/>
            <w:vAlign w:val="center"/>
          </w:tcPr>
          <w:p w14:paraId="2ECE9365">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r>
              <w:rPr>
                <w:rFonts w:hint="eastAsia" w:ascii="宋体" w:hAnsi="宋体" w:eastAsia="宋体" w:cs="宋体"/>
                <w:sz w:val="24"/>
              </w:rPr>
              <w:t>甲方单位</w:t>
            </w:r>
          </w:p>
        </w:tc>
        <w:tc>
          <w:tcPr>
            <w:tcW w:w="2409" w:type="dxa"/>
            <w:tcBorders>
              <w:top w:val="single" w:color="auto" w:sz="4" w:space="0"/>
              <w:left w:val="single" w:color="auto" w:sz="4" w:space="0"/>
              <w:bottom w:val="single" w:color="auto" w:sz="4" w:space="0"/>
              <w:right w:val="single" w:color="auto" w:sz="4" w:space="0"/>
            </w:tcBorders>
            <w:noWrap/>
            <w:vAlign w:val="center"/>
          </w:tcPr>
          <w:p w14:paraId="41BA18F5">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r>
              <w:rPr>
                <w:rFonts w:hint="eastAsia" w:ascii="宋体" w:hAnsi="宋体" w:eastAsia="宋体" w:cs="宋体"/>
                <w:sz w:val="24"/>
              </w:rPr>
              <w:t>（盖章）</w:t>
            </w:r>
          </w:p>
        </w:tc>
        <w:tc>
          <w:tcPr>
            <w:tcW w:w="1668" w:type="dxa"/>
            <w:tcBorders>
              <w:top w:val="single" w:color="auto" w:sz="4" w:space="0"/>
              <w:left w:val="single" w:color="auto" w:sz="4" w:space="0"/>
              <w:bottom w:val="single" w:color="auto" w:sz="4" w:space="0"/>
              <w:right w:val="single" w:color="auto" w:sz="4" w:space="0"/>
            </w:tcBorders>
            <w:noWrap/>
            <w:vAlign w:val="center"/>
          </w:tcPr>
          <w:p w14:paraId="05EED899">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r>
              <w:rPr>
                <w:rFonts w:hint="eastAsia" w:ascii="宋体" w:hAnsi="宋体" w:eastAsia="宋体" w:cs="宋体"/>
                <w:sz w:val="24"/>
              </w:rPr>
              <w:t>乙方单位</w:t>
            </w:r>
          </w:p>
        </w:tc>
        <w:tc>
          <w:tcPr>
            <w:tcW w:w="2780" w:type="dxa"/>
            <w:tcBorders>
              <w:top w:val="single" w:color="auto" w:sz="4" w:space="0"/>
              <w:left w:val="single" w:color="auto" w:sz="4" w:space="0"/>
              <w:bottom w:val="single" w:color="auto" w:sz="4" w:space="0"/>
              <w:right w:val="single" w:color="auto" w:sz="4" w:space="0"/>
            </w:tcBorders>
            <w:noWrap/>
            <w:vAlign w:val="center"/>
          </w:tcPr>
          <w:p w14:paraId="3292641A">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r>
              <w:rPr>
                <w:rFonts w:hint="eastAsia" w:ascii="宋体" w:hAnsi="宋体" w:eastAsia="宋体" w:cs="宋体"/>
                <w:sz w:val="24"/>
              </w:rPr>
              <w:t>（盖章）</w:t>
            </w:r>
          </w:p>
        </w:tc>
      </w:tr>
      <w:tr w14:paraId="523A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482" w:type="dxa"/>
            <w:tcBorders>
              <w:top w:val="single" w:color="auto" w:sz="4" w:space="0"/>
              <w:left w:val="single" w:color="auto" w:sz="4" w:space="0"/>
              <w:bottom w:val="single" w:color="auto" w:sz="4" w:space="0"/>
              <w:right w:val="single" w:color="auto" w:sz="4" w:space="0"/>
            </w:tcBorders>
            <w:noWrap/>
            <w:vAlign w:val="center"/>
          </w:tcPr>
          <w:p w14:paraId="40E3A355">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r>
              <w:rPr>
                <w:rFonts w:hint="eastAsia" w:ascii="宋体" w:hAnsi="宋体" w:eastAsia="宋体" w:cs="宋体"/>
                <w:sz w:val="24"/>
              </w:rPr>
              <w:t>代表签名</w:t>
            </w:r>
          </w:p>
        </w:tc>
        <w:tc>
          <w:tcPr>
            <w:tcW w:w="2409" w:type="dxa"/>
            <w:tcBorders>
              <w:top w:val="single" w:color="auto" w:sz="4" w:space="0"/>
              <w:left w:val="single" w:color="auto" w:sz="4" w:space="0"/>
              <w:bottom w:val="single" w:color="auto" w:sz="4" w:space="0"/>
              <w:right w:val="single" w:color="auto" w:sz="4" w:space="0"/>
            </w:tcBorders>
            <w:noWrap/>
            <w:vAlign w:val="center"/>
          </w:tcPr>
          <w:p w14:paraId="361D61ED">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p>
        </w:tc>
        <w:tc>
          <w:tcPr>
            <w:tcW w:w="1668" w:type="dxa"/>
            <w:tcBorders>
              <w:top w:val="single" w:color="auto" w:sz="4" w:space="0"/>
              <w:left w:val="single" w:color="auto" w:sz="4" w:space="0"/>
              <w:bottom w:val="single" w:color="auto" w:sz="4" w:space="0"/>
              <w:right w:val="single" w:color="auto" w:sz="4" w:space="0"/>
            </w:tcBorders>
            <w:noWrap/>
            <w:vAlign w:val="center"/>
          </w:tcPr>
          <w:p w14:paraId="112AE027">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r>
              <w:rPr>
                <w:rFonts w:hint="eastAsia" w:ascii="宋体" w:hAnsi="宋体" w:eastAsia="宋体" w:cs="宋体"/>
                <w:sz w:val="24"/>
              </w:rPr>
              <w:t>代表签名</w:t>
            </w:r>
          </w:p>
        </w:tc>
        <w:tc>
          <w:tcPr>
            <w:tcW w:w="2780" w:type="dxa"/>
            <w:tcBorders>
              <w:top w:val="single" w:color="auto" w:sz="4" w:space="0"/>
              <w:left w:val="single" w:color="auto" w:sz="4" w:space="0"/>
              <w:bottom w:val="single" w:color="auto" w:sz="4" w:space="0"/>
              <w:right w:val="single" w:color="auto" w:sz="4" w:space="0"/>
            </w:tcBorders>
            <w:noWrap/>
            <w:vAlign w:val="center"/>
          </w:tcPr>
          <w:p w14:paraId="471DDF44">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p>
        </w:tc>
      </w:tr>
      <w:tr w14:paraId="0350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482" w:type="dxa"/>
            <w:tcBorders>
              <w:top w:val="single" w:color="auto" w:sz="4" w:space="0"/>
              <w:left w:val="single" w:color="auto" w:sz="4" w:space="0"/>
              <w:bottom w:val="single" w:color="auto" w:sz="4" w:space="0"/>
              <w:right w:val="single" w:color="auto" w:sz="4" w:space="0"/>
            </w:tcBorders>
            <w:noWrap/>
            <w:vAlign w:val="center"/>
          </w:tcPr>
          <w:p w14:paraId="4A95F772">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r>
              <w:rPr>
                <w:rFonts w:hint="eastAsia" w:ascii="宋体" w:hAnsi="宋体" w:eastAsia="宋体" w:cs="宋体"/>
                <w:sz w:val="24"/>
              </w:rPr>
              <w:t>地址</w:t>
            </w:r>
          </w:p>
        </w:tc>
        <w:tc>
          <w:tcPr>
            <w:tcW w:w="2409" w:type="dxa"/>
            <w:tcBorders>
              <w:top w:val="single" w:color="auto" w:sz="4" w:space="0"/>
              <w:left w:val="single" w:color="auto" w:sz="4" w:space="0"/>
              <w:bottom w:val="single" w:color="auto" w:sz="4" w:space="0"/>
              <w:right w:val="single" w:color="auto" w:sz="4" w:space="0"/>
            </w:tcBorders>
            <w:noWrap/>
            <w:vAlign w:val="center"/>
          </w:tcPr>
          <w:p w14:paraId="72F8F5FA">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p>
        </w:tc>
        <w:tc>
          <w:tcPr>
            <w:tcW w:w="1668" w:type="dxa"/>
            <w:tcBorders>
              <w:top w:val="single" w:color="auto" w:sz="4" w:space="0"/>
              <w:left w:val="single" w:color="auto" w:sz="4" w:space="0"/>
              <w:bottom w:val="single" w:color="auto" w:sz="4" w:space="0"/>
              <w:right w:val="single" w:color="auto" w:sz="4" w:space="0"/>
            </w:tcBorders>
            <w:noWrap/>
            <w:vAlign w:val="center"/>
          </w:tcPr>
          <w:p w14:paraId="3D143121">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r>
              <w:rPr>
                <w:rFonts w:hint="eastAsia" w:ascii="宋体" w:hAnsi="宋体" w:eastAsia="宋体" w:cs="宋体"/>
                <w:sz w:val="24"/>
              </w:rPr>
              <w:t>地址</w:t>
            </w:r>
          </w:p>
        </w:tc>
        <w:tc>
          <w:tcPr>
            <w:tcW w:w="2780" w:type="dxa"/>
            <w:tcBorders>
              <w:top w:val="single" w:color="auto" w:sz="4" w:space="0"/>
              <w:left w:val="single" w:color="auto" w:sz="4" w:space="0"/>
              <w:bottom w:val="single" w:color="auto" w:sz="4" w:space="0"/>
              <w:right w:val="single" w:color="auto" w:sz="4" w:space="0"/>
            </w:tcBorders>
            <w:noWrap/>
            <w:vAlign w:val="center"/>
          </w:tcPr>
          <w:p w14:paraId="5A32520E">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p>
        </w:tc>
      </w:tr>
      <w:tr w14:paraId="4EC7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482" w:type="dxa"/>
            <w:tcBorders>
              <w:top w:val="single" w:color="auto" w:sz="4" w:space="0"/>
              <w:left w:val="single" w:color="auto" w:sz="4" w:space="0"/>
              <w:bottom w:val="single" w:color="auto" w:sz="4" w:space="0"/>
              <w:right w:val="single" w:color="auto" w:sz="4" w:space="0"/>
            </w:tcBorders>
            <w:noWrap/>
            <w:vAlign w:val="center"/>
          </w:tcPr>
          <w:p w14:paraId="5AE5AA02">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r>
              <w:rPr>
                <w:rFonts w:hint="eastAsia" w:ascii="宋体" w:hAnsi="宋体" w:eastAsia="宋体" w:cs="宋体"/>
                <w:sz w:val="24"/>
              </w:rPr>
              <w:t>电话</w:t>
            </w:r>
          </w:p>
        </w:tc>
        <w:tc>
          <w:tcPr>
            <w:tcW w:w="2409" w:type="dxa"/>
            <w:tcBorders>
              <w:top w:val="single" w:color="auto" w:sz="4" w:space="0"/>
              <w:left w:val="single" w:color="auto" w:sz="4" w:space="0"/>
              <w:bottom w:val="single" w:color="auto" w:sz="4" w:space="0"/>
              <w:right w:val="single" w:color="auto" w:sz="4" w:space="0"/>
            </w:tcBorders>
            <w:noWrap/>
            <w:vAlign w:val="center"/>
          </w:tcPr>
          <w:p w14:paraId="13F377A7">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p>
        </w:tc>
        <w:tc>
          <w:tcPr>
            <w:tcW w:w="1668" w:type="dxa"/>
            <w:tcBorders>
              <w:top w:val="single" w:color="auto" w:sz="4" w:space="0"/>
              <w:left w:val="single" w:color="auto" w:sz="4" w:space="0"/>
              <w:bottom w:val="single" w:color="auto" w:sz="4" w:space="0"/>
              <w:right w:val="single" w:color="auto" w:sz="4" w:space="0"/>
            </w:tcBorders>
            <w:noWrap/>
            <w:vAlign w:val="center"/>
          </w:tcPr>
          <w:p w14:paraId="04E46ABC">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r>
              <w:rPr>
                <w:rFonts w:hint="eastAsia" w:ascii="宋体" w:hAnsi="宋体" w:eastAsia="宋体" w:cs="宋体"/>
                <w:sz w:val="24"/>
              </w:rPr>
              <w:t>电话</w:t>
            </w:r>
          </w:p>
        </w:tc>
        <w:tc>
          <w:tcPr>
            <w:tcW w:w="2780" w:type="dxa"/>
            <w:tcBorders>
              <w:top w:val="single" w:color="auto" w:sz="4" w:space="0"/>
              <w:left w:val="single" w:color="auto" w:sz="4" w:space="0"/>
              <w:bottom w:val="single" w:color="auto" w:sz="4" w:space="0"/>
              <w:right w:val="single" w:color="auto" w:sz="4" w:space="0"/>
            </w:tcBorders>
            <w:noWrap/>
            <w:vAlign w:val="center"/>
          </w:tcPr>
          <w:p w14:paraId="4C420916">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p>
        </w:tc>
      </w:tr>
      <w:tr w14:paraId="56F3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482" w:type="dxa"/>
            <w:tcBorders>
              <w:top w:val="single" w:color="auto" w:sz="4" w:space="0"/>
              <w:left w:val="single" w:color="auto" w:sz="4" w:space="0"/>
              <w:bottom w:val="single" w:color="auto" w:sz="4" w:space="0"/>
              <w:right w:val="single" w:color="auto" w:sz="4" w:space="0"/>
            </w:tcBorders>
            <w:noWrap/>
            <w:vAlign w:val="center"/>
          </w:tcPr>
          <w:p w14:paraId="563FE86B">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r>
              <w:rPr>
                <w:rFonts w:hint="eastAsia" w:ascii="宋体" w:hAnsi="宋体" w:eastAsia="宋体" w:cs="宋体"/>
                <w:sz w:val="24"/>
              </w:rPr>
              <w:t>开户银行</w:t>
            </w:r>
          </w:p>
        </w:tc>
        <w:tc>
          <w:tcPr>
            <w:tcW w:w="2409" w:type="dxa"/>
            <w:tcBorders>
              <w:top w:val="single" w:color="auto" w:sz="4" w:space="0"/>
              <w:left w:val="single" w:color="auto" w:sz="4" w:space="0"/>
              <w:bottom w:val="single" w:color="auto" w:sz="4" w:space="0"/>
              <w:right w:val="single" w:color="auto" w:sz="4" w:space="0"/>
            </w:tcBorders>
            <w:noWrap/>
            <w:vAlign w:val="center"/>
          </w:tcPr>
          <w:p w14:paraId="61598919">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p>
        </w:tc>
        <w:tc>
          <w:tcPr>
            <w:tcW w:w="1668" w:type="dxa"/>
            <w:tcBorders>
              <w:top w:val="single" w:color="auto" w:sz="4" w:space="0"/>
              <w:left w:val="single" w:color="auto" w:sz="4" w:space="0"/>
              <w:bottom w:val="single" w:color="auto" w:sz="4" w:space="0"/>
              <w:right w:val="single" w:color="auto" w:sz="4" w:space="0"/>
            </w:tcBorders>
            <w:noWrap/>
            <w:vAlign w:val="center"/>
          </w:tcPr>
          <w:p w14:paraId="2BF52E2B">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r>
              <w:rPr>
                <w:rFonts w:hint="eastAsia" w:ascii="宋体" w:hAnsi="宋体" w:eastAsia="宋体" w:cs="宋体"/>
                <w:sz w:val="24"/>
              </w:rPr>
              <w:t>开户银行</w:t>
            </w:r>
          </w:p>
        </w:tc>
        <w:tc>
          <w:tcPr>
            <w:tcW w:w="2780" w:type="dxa"/>
            <w:tcBorders>
              <w:top w:val="single" w:color="auto" w:sz="4" w:space="0"/>
              <w:left w:val="single" w:color="auto" w:sz="4" w:space="0"/>
              <w:bottom w:val="single" w:color="auto" w:sz="4" w:space="0"/>
              <w:right w:val="single" w:color="auto" w:sz="4" w:space="0"/>
            </w:tcBorders>
            <w:noWrap/>
            <w:vAlign w:val="center"/>
          </w:tcPr>
          <w:p w14:paraId="6AC44AE7">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p>
        </w:tc>
      </w:tr>
      <w:tr w14:paraId="104E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482" w:type="dxa"/>
            <w:tcBorders>
              <w:top w:val="single" w:color="auto" w:sz="4" w:space="0"/>
              <w:left w:val="single" w:color="auto" w:sz="4" w:space="0"/>
              <w:bottom w:val="single" w:color="auto" w:sz="4" w:space="0"/>
              <w:right w:val="single" w:color="auto" w:sz="4" w:space="0"/>
            </w:tcBorders>
            <w:noWrap/>
            <w:vAlign w:val="center"/>
          </w:tcPr>
          <w:p w14:paraId="1DA31BFB">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r>
              <w:rPr>
                <w:rFonts w:hint="eastAsia" w:ascii="宋体" w:hAnsi="宋体" w:eastAsia="宋体" w:cs="宋体"/>
                <w:sz w:val="24"/>
              </w:rPr>
              <w:t>账号</w:t>
            </w:r>
          </w:p>
        </w:tc>
        <w:tc>
          <w:tcPr>
            <w:tcW w:w="2409" w:type="dxa"/>
            <w:tcBorders>
              <w:top w:val="single" w:color="auto" w:sz="4" w:space="0"/>
              <w:left w:val="single" w:color="auto" w:sz="4" w:space="0"/>
              <w:bottom w:val="single" w:color="auto" w:sz="4" w:space="0"/>
              <w:right w:val="single" w:color="auto" w:sz="4" w:space="0"/>
            </w:tcBorders>
            <w:noWrap/>
            <w:vAlign w:val="center"/>
          </w:tcPr>
          <w:p w14:paraId="6106C5F2">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p>
        </w:tc>
        <w:tc>
          <w:tcPr>
            <w:tcW w:w="1668" w:type="dxa"/>
            <w:tcBorders>
              <w:top w:val="single" w:color="auto" w:sz="4" w:space="0"/>
              <w:left w:val="single" w:color="auto" w:sz="4" w:space="0"/>
              <w:bottom w:val="single" w:color="auto" w:sz="4" w:space="0"/>
              <w:right w:val="single" w:color="auto" w:sz="4" w:space="0"/>
            </w:tcBorders>
            <w:noWrap/>
            <w:vAlign w:val="center"/>
          </w:tcPr>
          <w:p w14:paraId="73F7F53E">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r>
              <w:rPr>
                <w:rFonts w:hint="eastAsia" w:ascii="宋体" w:hAnsi="宋体" w:eastAsia="宋体" w:cs="宋体"/>
                <w:sz w:val="24"/>
              </w:rPr>
              <w:t>账号</w:t>
            </w:r>
          </w:p>
        </w:tc>
        <w:tc>
          <w:tcPr>
            <w:tcW w:w="2780" w:type="dxa"/>
            <w:tcBorders>
              <w:top w:val="single" w:color="auto" w:sz="4" w:space="0"/>
              <w:left w:val="single" w:color="auto" w:sz="4" w:space="0"/>
              <w:bottom w:val="single" w:color="auto" w:sz="4" w:space="0"/>
              <w:right w:val="single" w:color="auto" w:sz="4" w:space="0"/>
            </w:tcBorders>
            <w:noWrap/>
            <w:vAlign w:val="center"/>
          </w:tcPr>
          <w:p w14:paraId="172B78CB">
            <w:pPr>
              <w:keepNext w:val="0"/>
              <w:keepLines w:val="0"/>
              <w:pageBreakBefore w:val="0"/>
              <w:kinsoku/>
              <w:wordWrap/>
              <w:overflowPunct/>
              <w:topLinePunct w:val="0"/>
              <w:bidi w:val="0"/>
              <w:spacing w:line="336" w:lineRule="auto"/>
              <w:ind w:left="0"/>
              <w:jc w:val="center"/>
              <w:textAlignment w:val="auto"/>
              <w:rPr>
                <w:rFonts w:hint="eastAsia" w:ascii="宋体" w:hAnsi="宋体" w:eastAsia="宋体" w:cs="宋体"/>
                <w:sz w:val="24"/>
              </w:rPr>
            </w:pPr>
          </w:p>
        </w:tc>
      </w:tr>
    </w:tbl>
    <w:p w14:paraId="0B6A8138">
      <w:pPr>
        <w:keepNext w:val="0"/>
        <w:keepLines w:val="0"/>
        <w:pageBreakBefore w:val="0"/>
        <w:kinsoku/>
        <w:wordWrap/>
        <w:overflowPunct/>
        <w:topLinePunct w:val="0"/>
        <w:bidi w:val="0"/>
        <w:spacing w:line="336" w:lineRule="auto"/>
        <w:ind w:left="0" w:firstLine="480" w:firstLineChars="200"/>
        <w:jc w:val="left"/>
        <w:textAlignment w:val="auto"/>
        <w:rPr>
          <w:rFonts w:hint="eastAsia" w:ascii="宋体" w:hAnsi="宋体" w:eastAsia="宋体" w:cs="宋体"/>
          <w:color w:val="auto"/>
          <w:kern w:val="0"/>
          <w:sz w:val="24"/>
        </w:rPr>
      </w:pPr>
    </w:p>
    <w:p w14:paraId="387CAA90">
      <w:pPr>
        <w:keepNext w:val="0"/>
        <w:keepLines w:val="0"/>
        <w:pageBreakBefore w:val="0"/>
        <w:kinsoku/>
        <w:wordWrap/>
        <w:overflowPunct/>
        <w:topLinePunct w:val="0"/>
        <w:bidi w:val="0"/>
        <w:spacing w:line="336" w:lineRule="auto"/>
        <w:ind w:left="0"/>
        <w:textAlignment w:val="auto"/>
        <w:rPr>
          <w:rFonts w:hint="eastAsia" w:ascii="宋体" w:hAnsi="宋体" w:eastAsia="宋体" w:cs="宋体"/>
          <w:b/>
          <w:color w:val="auto"/>
        </w:rPr>
      </w:pPr>
      <w:r>
        <w:rPr>
          <w:rFonts w:hint="eastAsia" w:ascii="宋体" w:hAnsi="宋体" w:eastAsia="宋体" w:cs="宋体"/>
          <w:b/>
          <w:color w:val="auto"/>
          <w:sz w:val="24"/>
        </w:rPr>
        <w:t>注：此合同样本仅作参考，采购单位、供应商可根据采购项目的实际情况进行修改。</w:t>
      </w:r>
    </w:p>
    <w:p w14:paraId="1857D322">
      <w:pPr>
        <w:keepNext w:val="0"/>
        <w:keepLines w:val="0"/>
        <w:pageBreakBefore w:val="0"/>
        <w:kinsoku/>
        <w:wordWrap/>
        <w:overflowPunct/>
        <w:topLinePunct w:val="0"/>
        <w:bidi w:val="0"/>
        <w:spacing w:line="336" w:lineRule="auto"/>
        <w:ind w:left="0"/>
        <w:textAlignment w:val="auto"/>
        <w:rPr>
          <w:rFonts w:hint="eastAsia" w:ascii="宋体" w:hAnsi="宋体" w:eastAsia="宋体" w:cs="宋体"/>
          <w:color w:val="auto"/>
          <w:sz w:val="36"/>
          <w:szCs w:val="36"/>
        </w:rPr>
      </w:pPr>
      <w:bookmarkStart w:id="89" w:name="_Toc4669"/>
      <w:bookmarkStart w:id="90" w:name="_Toc31834"/>
      <w:bookmarkStart w:id="91" w:name="_Toc7690"/>
      <w:r>
        <w:rPr>
          <w:rFonts w:hint="eastAsia" w:ascii="宋体" w:hAnsi="宋体" w:eastAsia="宋体" w:cs="宋体"/>
          <w:color w:val="auto"/>
          <w:sz w:val="36"/>
          <w:szCs w:val="36"/>
        </w:rPr>
        <w:br w:type="page"/>
      </w:r>
    </w:p>
    <w:p w14:paraId="34F2DB8B">
      <w:pPr>
        <w:pStyle w:val="4"/>
        <w:jc w:val="center"/>
        <w:rPr>
          <w:rFonts w:hint="eastAsia" w:ascii="宋体" w:hAnsi="宋体" w:eastAsia="宋体" w:cs="宋体"/>
          <w:color w:val="auto"/>
          <w:sz w:val="36"/>
          <w:szCs w:val="36"/>
        </w:rPr>
      </w:pPr>
      <w:r>
        <w:rPr>
          <w:rFonts w:hint="eastAsia" w:ascii="宋体" w:hAnsi="宋体" w:eastAsia="宋体" w:cs="宋体"/>
          <w:color w:val="auto"/>
          <w:sz w:val="36"/>
          <w:szCs w:val="36"/>
        </w:rPr>
        <w:t>第六部分 应提交的有关格式范例</w:t>
      </w:r>
      <w:bookmarkEnd w:id="89"/>
      <w:bookmarkEnd w:id="90"/>
      <w:bookmarkEnd w:id="91"/>
    </w:p>
    <w:p w14:paraId="00979BC8">
      <w:pPr>
        <w:spacing w:line="360" w:lineRule="auto"/>
        <w:ind w:firstLine="480" w:firstLineChars="200"/>
        <w:outlineLvl w:val="0"/>
        <w:rPr>
          <w:rFonts w:hint="eastAsia" w:ascii="宋体" w:hAnsi="宋体" w:eastAsia="宋体" w:cs="宋体"/>
          <w:color w:val="auto"/>
          <w:sz w:val="24"/>
          <w:szCs w:val="24"/>
        </w:rPr>
      </w:pPr>
    </w:p>
    <w:p w14:paraId="6480C5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供应商按照以下格式编制响应文件，</w:t>
      </w:r>
      <w:r>
        <w:rPr>
          <w:rFonts w:hint="eastAsia" w:ascii="宋体" w:hAnsi="宋体" w:eastAsia="宋体" w:cs="宋体"/>
          <w:b/>
          <w:bCs/>
          <w:color w:val="auto"/>
          <w:sz w:val="24"/>
          <w:szCs w:val="24"/>
        </w:rPr>
        <w:t>“资格文件”、“商务技术文件”、“报价文件”须分3个PDF格式分别导入。</w:t>
      </w:r>
    </w:p>
    <w:p w14:paraId="27375FE2">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此格式内容仅为参考模板，具体内容供应商应根据磋商文件要求进行调整。未按以下格式编制响应文件或因格式不规范、页码不清等原因引发的一切后果由供应商自行承担。</w:t>
      </w:r>
    </w:p>
    <w:p w14:paraId="591F2103">
      <w:pPr>
        <w:spacing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24"/>
          <w:szCs w:val="24"/>
        </w:rPr>
        <w:br w:type="page"/>
      </w:r>
      <w:r>
        <w:rPr>
          <w:rFonts w:hint="eastAsia" w:ascii="宋体" w:hAnsi="宋体" w:eastAsia="宋体" w:cs="宋体"/>
          <w:b/>
          <w:bCs/>
          <w:color w:val="auto"/>
          <w:sz w:val="36"/>
          <w:szCs w:val="36"/>
        </w:rPr>
        <w:t>资格文件部分</w:t>
      </w:r>
    </w:p>
    <w:p w14:paraId="4D838031">
      <w:pPr>
        <w:spacing w:line="360" w:lineRule="auto"/>
        <w:jc w:val="center"/>
        <w:rPr>
          <w:rFonts w:hint="eastAsia" w:ascii="宋体" w:hAnsi="宋体" w:eastAsia="宋体" w:cs="宋体"/>
          <w:b/>
          <w:bCs/>
          <w:color w:val="auto"/>
          <w:sz w:val="36"/>
          <w:szCs w:val="36"/>
        </w:rPr>
      </w:pPr>
    </w:p>
    <w:p w14:paraId="26D14F15">
      <w:pPr>
        <w:spacing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目录</w:t>
      </w:r>
    </w:p>
    <w:p w14:paraId="496CA65F">
      <w:pPr>
        <w:pStyle w:val="13"/>
        <w:ind w:firstLine="486"/>
        <w:rPr>
          <w:rFonts w:hint="eastAsia" w:ascii="宋体" w:hAnsi="宋体" w:eastAsia="宋体" w:cs="宋体"/>
          <w:color w:val="auto"/>
          <w:sz w:val="24"/>
          <w:szCs w:val="24"/>
        </w:rPr>
      </w:pPr>
      <w:r>
        <w:rPr>
          <w:rFonts w:hint="eastAsia" w:ascii="宋体" w:hAnsi="宋体" w:eastAsia="宋体" w:cs="宋体"/>
          <w:color w:val="auto"/>
          <w:sz w:val="24"/>
          <w:szCs w:val="24"/>
        </w:rPr>
        <w:t>①　法定代表人授权书（格式见附件）；如法定代表人直接参加谈判并对相应文件签字的（签字是指线下签字扫描后上传或者线上进行电子签章），只需提供其身份证复印件，否则则应提供授权代表身份证复印件；</w:t>
      </w:r>
    </w:p>
    <w:p w14:paraId="62F21EE4">
      <w:pPr>
        <w:pStyle w:val="13"/>
        <w:ind w:firstLine="486"/>
        <w:rPr>
          <w:rFonts w:hint="eastAsia" w:ascii="宋体" w:hAnsi="宋体" w:eastAsia="宋体" w:cs="宋体"/>
          <w:color w:val="auto"/>
          <w:sz w:val="24"/>
          <w:szCs w:val="24"/>
        </w:rPr>
      </w:pPr>
      <w:r>
        <w:rPr>
          <w:rFonts w:hint="eastAsia" w:ascii="宋体" w:hAnsi="宋体" w:eastAsia="宋体" w:cs="宋体"/>
          <w:color w:val="auto"/>
          <w:sz w:val="24"/>
          <w:szCs w:val="24"/>
        </w:rPr>
        <w:t>②　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14:paraId="5E03DDF4">
      <w:pPr>
        <w:pStyle w:val="13"/>
        <w:ind w:firstLine="486"/>
        <w:rPr>
          <w:rFonts w:hint="eastAsia" w:ascii="宋体" w:hAnsi="宋体" w:eastAsia="宋体" w:cs="宋体"/>
          <w:color w:val="auto"/>
          <w:sz w:val="24"/>
          <w:szCs w:val="24"/>
        </w:rPr>
      </w:pPr>
      <w:r>
        <w:rPr>
          <w:rFonts w:hint="eastAsia" w:ascii="宋体" w:hAnsi="宋体" w:eastAsia="宋体" w:cs="宋体"/>
          <w:color w:val="auto"/>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谈判响应文件中提供相关材料），证明其具备实际承担责任的能力和法定的缔结合同能力，可以独立参加政府采购活动，由单位负责人签署相关文件材料；</w:t>
      </w:r>
    </w:p>
    <w:p w14:paraId="48F3C68D">
      <w:pPr>
        <w:pStyle w:val="13"/>
        <w:ind w:firstLine="486"/>
        <w:rPr>
          <w:rFonts w:hint="eastAsia" w:ascii="宋体" w:hAnsi="宋体" w:eastAsia="宋体" w:cs="宋体"/>
          <w:color w:val="auto"/>
          <w:sz w:val="24"/>
          <w:szCs w:val="24"/>
        </w:rPr>
      </w:pPr>
      <w:r>
        <w:rPr>
          <w:rFonts w:hint="eastAsia" w:ascii="宋体" w:hAnsi="宋体" w:eastAsia="宋体" w:cs="宋体"/>
          <w:color w:val="auto"/>
          <w:sz w:val="24"/>
          <w:szCs w:val="24"/>
        </w:rPr>
        <w:t>③　具有履行合同所必需的产品和专业技术能力的承诺函；</w:t>
      </w:r>
    </w:p>
    <w:p w14:paraId="429F9D66">
      <w:pPr>
        <w:pStyle w:val="13"/>
        <w:ind w:firstLine="486"/>
        <w:rPr>
          <w:rFonts w:hint="eastAsia" w:ascii="宋体" w:hAnsi="宋体" w:eastAsia="宋体" w:cs="宋体"/>
          <w:color w:val="auto"/>
          <w:sz w:val="24"/>
          <w:szCs w:val="24"/>
        </w:rPr>
      </w:pPr>
      <w:r>
        <w:rPr>
          <w:rFonts w:hint="eastAsia" w:ascii="宋体" w:hAnsi="宋体" w:eastAsia="宋体" w:cs="宋体"/>
          <w:color w:val="auto"/>
          <w:sz w:val="24"/>
          <w:szCs w:val="24"/>
        </w:rPr>
        <w:t>④　投标人承诺函（格式见附件</w:t>
      </w:r>
      <w:r>
        <w:rPr>
          <w:rFonts w:hint="eastAsia" w:ascii="宋体" w:hAnsi="宋体" w:eastAsia="宋体" w:cs="宋体"/>
          <w:color w:val="auto"/>
          <w:sz w:val="24"/>
          <w:szCs w:val="24"/>
          <w:lang w:val="en-US" w:eastAsia="zh-CN"/>
        </w:rPr>
        <w:t>);</w:t>
      </w:r>
    </w:p>
    <w:p w14:paraId="1320772D">
      <w:pPr>
        <w:pStyle w:val="13"/>
        <w:ind w:firstLine="486"/>
        <w:rPr>
          <w:rFonts w:hint="eastAsia" w:ascii="宋体" w:hAnsi="宋体" w:eastAsia="宋体" w:cs="宋体"/>
          <w:color w:val="auto"/>
          <w:sz w:val="24"/>
          <w:szCs w:val="24"/>
        </w:rPr>
      </w:pPr>
    </w:p>
    <w:p w14:paraId="7546FEB6">
      <w:pPr>
        <w:pStyle w:val="13"/>
        <w:ind w:firstLine="486"/>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92" w:name="_Toc24699"/>
    </w:p>
    <w:p w14:paraId="0D51366A">
      <w:pPr>
        <w:snapToGrid w:val="0"/>
        <w:spacing w:before="50" w:after="162" w:afterLines="5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附件一：</w:t>
      </w:r>
    </w:p>
    <w:p w14:paraId="44643FAD">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法定代表人授权书</w:t>
      </w:r>
      <w:bookmarkEnd w:id="92"/>
    </w:p>
    <w:p w14:paraId="68BFF26D">
      <w:pPr>
        <w:pStyle w:val="6"/>
        <w:spacing w:line="360" w:lineRule="auto"/>
        <w:rPr>
          <w:rFonts w:hint="eastAsia" w:ascii="宋体" w:hAnsi="宋体" w:eastAsia="宋体" w:cs="宋体"/>
          <w:color w:val="auto"/>
        </w:rPr>
      </w:pPr>
    </w:p>
    <w:p w14:paraId="717F7A3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绍兴市生态环境局上虞分局</w:t>
      </w:r>
      <w:r>
        <w:rPr>
          <w:rFonts w:hint="eastAsia" w:ascii="宋体" w:hAnsi="宋体" w:eastAsia="宋体" w:cs="宋体"/>
          <w:color w:val="auto"/>
          <w:sz w:val="24"/>
          <w:szCs w:val="24"/>
        </w:rPr>
        <w:t>：</w:t>
      </w:r>
    </w:p>
    <w:p w14:paraId="703538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绍兴成言工程咨询管理有限公司</w:t>
      </w:r>
      <w:r>
        <w:rPr>
          <w:rFonts w:hint="eastAsia" w:ascii="宋体" w:hAnsi="宋体" w:eastAsia="宋体" w:cs="宋体"/>
          <w:color w:val="auto"/>
          <w:sz w:val="24"/>
          <w:szCs w:val="24"/>
        </w:rPr>
        <w:t>：</w:t>
      </w:r>
    </w:p>
    <w:p w14:paraId="28715A9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（供应商全称） </w:t>
      </w: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授权</w:t>
      </w:r>
      <w:r>
        <w:rPr>
          <w:rFonts w:hint="eastAsia" w:ascii="宋体" w:hAnsi="宋体" w:eastAsia="宋体" w:cs="宋体"/>
          <w:color w:val="auto"/>
          <w:sz w:val="24"/>
          <w:szCs w:val="24"/>
          <w:u w:val="single"/>
        </w:rPr>
        <w:t>（授权代表名称）</w:t>
      </w:r>
      <w:r>
        <w:rPr>
          <w:rFonts w:hint="eastAsia" w:ascii="宋体" w:hAnsi="宋体" w:eastAsia="宋体" w:cs="宋体"/>
          <w:color w:val="auto"/>
          <w:sz w:val="24"/>
          <w:szCs w:val="24"/>
        </w:rPr>
        <w:t>为授权代表，参加贵处组织的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w:t>
      </w:r>
      <w:r>
        <w:rPr>
          <w:rFonts w:hint="eastAsia" w:ascii="宋体" w:hAnsi="宋体" w:eastAsia="宋体" w:cs="宋体"/>
          <w:color w:val="auto"/>
          <w:sz w:val="24"/>
          <w:szCs w:val="24"/>
          <w:u w:val="single"/>
        </w:rPr>
        <w:t>（括号内填写招标编号）</w:t>
      </w:r>
      <w:r>
        <w:rPr>
          <w:rFonts w:hint="eastAsia" w:ascii="宋体" w:hAnsi="宋体" w:eastAsia="宋体" w:cs="宋体"/>
          <w:color w:val="auto"/>
          <w:sz w:val="24"/>
          <w:szCs w:val="24"/>
        </w:rPr>
        <w:t>，授权处理招投标活动中的一切事宜。</w:t>
      </w:r>
    </w:p>
    <w:p w14:paraId="5931CEDF">
      <w:pPr>
        <w:spacing w:line="360" w:lineRule="auto"/>
        <w:ind w:firstLine="480" w:firstLineChars="200"/>
        <w:rPr>
          <w:rFonts w:hint="eastAsia" w:ascii="宋体" w:hAnsi="宋体" w:eastAsia="宋体" w:cs="宋体"/>
          <w:color w:val="auto"/>
          <w:sz w:val="24"/>
          <w:szCs w:val="24"/>
        </w:rPr>
      </w:pPr>
    </w:p>
    <w:p w14:paraId="6AF53F0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p>
    <w:p w14:paraId="7D13E37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供应商全称：（盖章）</w:t>
      </w:r>
    </w:p>
    <w:p w14:paraId="4D8E26D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38B74C9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w:t>
      </w:r>
    </w:p>
    <w:p w14:paraId="59B57CF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授权代表姓名：</w:t>
      </w:r>
    </w:p>
    <w:p w14:paraId="711C86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职务：</w:t>
      </w:r>
    </w:p>
    <w:p w14:paraId="026511F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详细通讯地址：</w:t>
      </w:r>
    </w:p>
    <w:p w14:paraId="0887CFA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w:t>
      </w:r>
    </w:p>
    <w:p w14:paraId="59E2A5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w:t>
      </w:r>
    </w:p>
    <w:p w14:paraId="28BDAEE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p w14:paraId="06A39263">
      <w:pPr>
        <w:pStyle w:val="15"/>
        <w:snapToGrid w:val="0"/>
        <w:spacing w:line="360" w:lineRule="auto"/>
        <w:rPr>
          <w:rFonts w:hint="eastAsia" w:ascii="宋体" w:hAnsi="宋体" w:eastAsia="宋体" w:cs="宋体"/>
          <w:color w:val="auto"/>
          <w:sz w:val="24"/>
          <w:szCs w:val="24"/>
        </w:rPr>
      </w:pPr>
    </w:p>
    <w:p w14:paraId="651BC20A">
      <w:pPr>
        <w:pStyle w:val="15"/>
        <w:snapToGrid w:val="0"/>
        <w:spacing w:line="360" w:lineRule="auto"/>
        <w:rPr>
          <w:rFonts w:hint="eastAsia" w:ascii="宋体" w:hAnsi="宋体" w:eastAsia="宋体" w:cs="宋体"/>
          <w:color w:val="auto"/>
          <w:sz w:val="24"/>
          <w:szCs w:val="24"/>
        </w:rPr>
      </w:pPr>
    </w:p>
    <w:p w14:paraId="4FAA1BC1">
      <w:pPr>
        <w:pStyle w:val="15"/>
        <w:snapToGrid w:val="0"/>
        <w:spacing w:line="360" w:lineRule="auto"/>
        <w:rPr>
          <w:rFonts w:hint="eastAsia" w:ascii="宋体" w:hAnsi="宋体" w:eastAsia="宋体" w:cs="宋体"/>
          <w:color w:val="auto"/>
          <w:sz w:val="24"/>
          <w:szCs w:val="24"/>
        </w:rPr>
      </w:pPr>
    </w:p>
    <w:p w14:paraId="18663873">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附：授权代表身份证复印件（正反面）</w:t>
      </w:r>
    </w:p>
    <w:p w14:paraId="541F571F">
      <w:pPr>
        <w:spacing w:line="360" w:lineRule="auto"/>
        <w:rPr>
          <w:rFonts w:hint="eastAsia" w:ascii="宋体" w:hAnsi="宋体" w:eastAsia="宋体" w:cs="宋体"/>
          <w:b/>
          <w:bCs/>
          <w:color w:val="auto"/>
          <w:sz w:val="24"/>
          <w:szCs w:val="24"/>
        </w:rPr>
      </w:pPr>
    </w:p>
    <w:p w14:paraId="2EE9E7A3">
      <w:pPr>
        <w:pStyle w:val="13"/>
        <w:ind w:firstLine="486"/>
        <w:rPr>
          <w:rFonts w:hint="eastAsia" w:ascii="宋体" w:hAnsi="宋体" w:eastAsia="宋体" w:cs="宋体"/>
          <w:color w:val="auto"/>
        </w:rPr>
      </w:pPr>
    </w:p>
    <w:p w14:paraId="786FF51C">
      <w:pPr>
        <w:snapToGrid w:val="0"/>
        <w:spacing w:before="50" w:after="162" w:afterLines="5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lang w:val="zh-CN"/>
        </w:rPr>
        <w:t>附件二：</w:t>
      </w:r>
    </w:p>
    <w:p w14:paraId="54B26D61">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投标人承诺函</w:t>
      </w:r>
    </w:p>
    <w:p w14:paraId="4E2EEB13">
      <w:pPr>
        <w:spacing w:line="360" w:lineRule="auto"/>
        <w:ind w:firstLine="400" w:firstLineChars="200"/>
        <w:rPr>
          <w:rFonts w:hint="eastAsia" w:ascii="宋体" w:hAnsi="宋体" w:eastAsia="宋体" w:cs="宋体"/>
          <w:color w:val="auto"/>
        </w:rPr>
      </w:pPr>
    </w:p>
    <w:p w14:paraId="745174F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绍兴市生态环境局上虞分局</w:t>
      </w:r>
      <w:r>
        <w:rPr>
          <w:rFonts w:hint="eastAsia" w:ascii="宋体" w:hAnsi="宋体" w:eastAsia="宋体" w:cs="宋体"/>
          <w:color w:val="auto"/>
          <w:sz w:val="24"/>
        </w:rPr>
        <w:t>：</w:t>
      </w:r>
    </w:p>
    <w:p w14:paraId="2EAFB17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绍兴成言工程咨询管理有限公司：</w:t>
      </w:r>
    </w:p>
    <w:p w14:paraId="706DB7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p>
    <w:p w14:paraId="1CF800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p>
    <w:p w14:paraId="255E74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，同意</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的各项要求。</w:t>
      </w:r>
    </w:p>
    <w:p w14:paraId="03AC23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7116F6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规定履行合同责任和义务。</w:t>
      </w:r>
    </w:p>
    <w:p w14:paraId="733472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2EA01F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48C66A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26D9EA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2FAD56FE">
      <w:pPr>
        <w:pStyle w:val="56"/>
        <w:numPr>
          <w:ilvl w:val="0"/>
          <w:numId w:val="0"/>
        </w:numPr>
        <w:spacing w:before="0"/>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 w:val="24"/>
          <w:highlight w:val="none"/>
        </w:rPr>
        <w:t>8、</w:t>
      </w:r>
      <w:r>
        <w:rPr>
          <w:rFonts w:hint="eastAsia" w:ascii="宋体" w:hAnsi="宋体" w:eastAsia="宋体" w:cs="宋体"/>
          <w:color w:val="auto"/>
          <w:szCs w:val="24"/>
          <w:highlight w:val="none"/>
          <w:lang w:val="en-US" w:eastAsia="zh-CN"/>
        </w:rPr>
        <w:t>具有良好的商业信誉和健全的财务会计制度；</w:t>
      </w:r>
    </w:p>
    <w:p w14:paraId="61C686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9、具有依法缴纳税收和社会保障资金的良好记录</w:t>
      </w:r>
      <w:r>
        <w:rPr>
          <w:rFonts w:hint="eastAsia" w:ascii="宋体" w:hAnsi="宋体" w:eastAsia="宋体" w:cs="宋体"/>
          <w:color w:val="auto"/>
          <w:sz w:val="24"/>
          <w:highlight w:val="none"/>
        </w:rPr>
        <w:t>；</w:t>
      </w:r>
    </w:p>
    <w:p w14:paraId="36D7C2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597079F2">
      <w:pPr>
        <w:pStyle w:val="13"/>
        <w:rPr>
          <w:rFonts w:hint="eastAsia" w:ascii="宋体" w:hAnsi="宋体" w:eastAsia="宋体" w:cs="宋体"/>
          <w:color w:val="auto"/>
        </w:rPr>
      </w:pPr>
    </w:p>
    <w:p w14:paraId="2EAF6403">
      <w:pPr>
        <w:pStyle w:val="13"/>
        <w:rPr>
          <w:rFonts w:hint="eastAsia" w:ascii="宋体" w:hAnsi="宋体" w:eastAsia="宋体" w:cs="宋体"/>
          <w:color w:val="auto"/>
        </w:rPr>
      </w:pPr>
    </w:p>
    <w:p w14:paraId="2A502A6C">
      <w:pPr>
        <w:spacing w:line="360" w:lineRule="auto"/>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lang w:val="en-US" w:eastAsia="zh-CN"/>
        </w:rPr>
        <w:t>或被授权委托人</w:t>
      </w:r>
      <w:r>
        <w:rPr>
          <w:rFonts w:hint="eastAsia" w:ascii="宋体" w:hAnsi="宋体" w:eastAsia="宋体" w:cs="宋体"/>
          <w:color w:val="auto"/>
          <w:sz w:val="24"/>
        </w:rPr>
        <w:t xml:space="preserve">签名（或签名章）：                       </w:t>
      </w:r>
    </w:p>
    <w:p w14:paraId="24EBF909">
      <w:pPr>
        <w:spacing w:line="360" w:lineRule="auto"/>
        <w:rPr>
          <w:rFonts w:hint="eastAsia" w:ascii="宋体" w:hAnsi="宋体" w:eastAsia="宋体" w:cs="宋体"/>
          <w:color w:val="auto"/>
          <w:sz w:val="24"/>
        </w:rPr>
      </w:pPr>
      <w:r>
        <w:rPr>
          <w:rFonts w:hint="eastAsia" w:ascii="宋体" w:hAnsi="宋体" w:eastAsia="宋体" w:cs="宋体"/>
          <w:color w:val="auto"/>
          <w:sz w:val="24"/>
        </w:rPr>
        <w:t>日 期：</w:t>
      </w:r>
    </w:p>
    <w:p w14:paraId="4652EC77">
      <w:pPr>
        <w:spacing w:line="360" w:lineRule="auto"/>
        <w:rPr>
          <w:rFonts w:hint="eastAsia" w:ascii="宋体" w:hAnsi="宋体" w:eastAsia="宋体" w:cs="宋体"/>
          <w:color w:val="auto"/>
          <w:sz w:val="24"/>
        </w:rPr>
      </w:pPr>
      <w:r>
        <w:rPr>
          <w:rFonts w:hint="eastAsia" w:ascii="宋体" w:hAnsi="宋体" w:eastAsia="宋体" w:cs="宋体"/>
          <w:color w:val="auto"/>
          <w:sz w:val="24"/>
        </w:rPr>
        <w:t>供应商全称（公章）：</w:t>
      </w:r>
    </w:p>
    <w:p w14:paraId="69912B24">
      <w:pPr>
        <w:rPr>
          <w:rFonts w:hint="eastAsia"/>
          <w:b/>
          <w:bCs/>
          <w:color w:val="auto"/>
          <w:sz w:val="32"/>
          <w:szCs w:val="32"/>
          <w:highlight w:val="none"/>
        </w:rPr>
      </w:pPr>
      <w:r>
        <w:rPr>
          <w:rFonts w:hint="eastAsia"/>
          <w:b/>
          <w:bCs/>
          <w:color w:val="auto"/>
          <w:sz w:val="32"/>
          <w:szCs w:val="32"/>
          <w:highlight w:val="none"/>
        </w:rPr>
        <w:br w:type="page"/>
      </w:r>
    </w:p>
    <w:p w14:paraId="20145A7F">
      <w:pPr>
        <w:widowControl/>
        <w:jc w:val="left"/>
        <w:rPr>
          <w:rFonts w:hint="eastAsia" w:ascii="宋体" w:hAnsi="宋体" w:eastAsia="宋体" w:cs="宋体"/>
          <w:b/>
          <w:bCs/>
          <w:color w:val="auto"/>
          <w:sz w:val="24"/>
          <w:szCs w:val="24"/>
        </w:rPr>
      </w:pPr>
    </w:p>
    <w:p w14:paraId="027C6B54">
      <w:pPr>
        <w:spacing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商务技术文件</w:t>
      </w:r>
    </w:p>
    <w:p w14:paraId="4BA9BB3E">
      <w:pPr>
        <w:spacing w:line="360" w:lineRule="auto"/>
        <w:jc w:val="center"/>
        <w:rPr>
          <w:rFonts w:hint="eastAsia" w:ascii="宋体" w:hAnsi="宋体" w:eastAsia="宋体" w:cs="宋体"/>
          <w:b/>
          <w:bCs/>
          <w:color w:val="auto"/>
          <w:sz w:val="36"/>
          <w:szCs w:val="36"/>
        </w:rPr>
      </w:pPr>
    </w:p>
    <w:p w14:paraId="367EF332">
      <w:pPr>
        <w:spacing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目录</w:t>
      </w:r>
    </w:p>
    <w:p w14:paraId="7DA08AF1">
      <w:pPr>
        <w:pStyle w:val="56"/>
        <w:numPr>
          <w:ilvl w:val="0"/>
          <w:numId w:val="21"/>
        </w:numPr>
        <w:spacing w:before="0" w:line="336" w:lineRule="auto"/>
        <w:ind w:firstLine="480"/>
        <w:rPr>
          <w:rFonts w:hint="eastAsia" w:ascii="宋体" w:hAnsi="宋体" w:eastAsia="宋体" w:cs="宋体"/>
          <w:color w:val="auto"/>
        </w:rPr>
      </w:pPr>
      <w:r>
        <w:rPr>
          <w:rFonts w:hint="eastAsia" w:ascii="宋体" w:hAnsi="宋体" w:eastAsia="宋体" w:cs="宋体"/>
          <w:color w:val="auto"/>
        </w:rPr>
        <w:t>评分对应表（格式见附件，主要用于评委对应评分内容）</w:t>
      </w:r>
    </w:p>
    <w:p w14:paraId="68ADFDAA">
      <w:pPr>
        <w:pStyle w:val="56"/>
        <w:numPr>
          <w:ilvl w:val="0"/>
          <w:numId w:val="21"/>
        </w:numPr>
        <w:spacing w:before="0" w:line="336" w:lineRule="auto"/>
        <w:ind w:firstLine="480"/>
        <w:rPr>
          <w:rFonts w:hint="eastAsia" w:ascii="宋体" w:hAnsi="宋体" w:eastAsia="宋体" w:cs="宋体"/>
          <w:color w:val="auto"/>
        </w:rPr>
      </w:pPr>
      <w:r>
        <w:rPr>
          <w:rFonts w:hint="eastAsia" w:ascii="宋体" w:hAnsi="宋体" w:eastAsia="宋体" w:cs="宋体"/>
          <w:color w:val="auto"/>
        </w:rPr>
        <w:t>供应商商务技术文件中资信分自评表（格式见附件）；</w:t>
      </w:r>
    </w:p>
    <w:p w14:paraId="5B582F82">
      <w:pPr>
        <w:pStyle w:val="56"/>
        <w:numPr>
          <w:ilvl w:val="0"/>
          <w:numId w:val="21"/>
        </w:numPr>
        <w:spacing w:before="0" w:line="336" w:lineRule="auto"/>
        <w:ind w:firstLine="480"/>
        <w:rPr>
          <w:rFonts w:hint="eastAsia" w:ascii="宋体" w:hAnsi="宋体" w:eastAsia="宋体" w:cs="宋体"/>
          <w:color w:val="auto"/>
        </w:rPr>
      </w:pPr>
      <w:r>
        <w:rPr>
          <w:rFonts w:hint="eastAsia" w:ascii="宋体" w:hAnsi="宋体" w:eastAsia="宋体" w:cs="宋体"/>
          <w:color w:val="auto"/>
        </w:rPr>
        <w:t>磋商项目明细清单（格式见附件）；</w:t>
      </w:r>
    </w:p>
    <w:p w14:paraId="6DB8C63F">
      <w:pPr>
        <w:pStyle w:val="56"/>
        <w:numPr>
          <w:ilvl w:val="0"/>
          <w:numId w:val="21"/>
        </w:numPr>
        <w:spacing w:before="0" w:line="336" w:lineRule="auto"/>
        <w:ind w:firstLine="480"/>
        <w:rPr>
          <w:rFonts w:hint="eastAsia" w:ascii="宋体" w:hAnsi="宋体" w:eastAsia="宋体" w:cs="宋体"/>
          <w:color w:val="auto"/>
        </w:rPr>
      </w:pPr>
      <w:r>
        <w:rPr>
          <w:rFonts w:hint="eastAsia" w:ascii="宋体" w:hAnsi="宋体" w:eastAsia="宋体" w:cs="宋体"/>
          <w:color w:val="auto"/>
        </w:rPr>
        <w:t>技术响应及建议表（格式见附件）；</w:t>
      </w:r>
    </w:p>
    <w:p w14:paraId="6128AA01">
      <w:pPr>
        <w:pStyle w:val="56"/>
        <w:numPr>
          <w:ilvl w:val="0"/>
          <w:numId w:val="21"/>
        </w:numPr>
        <w:spacing w:before="0" w:line="336" w:lineRule="auto"/>
        <w:ind w:firstLine="480"/>
        <w:rPr>
          <w:rFonts w:hint="eastAsia" w:ascii="宋体" w:hAnsi="宋体" w:eastAsia="宋体" w:cs="宋体"/>
          <w:color w:val="auto"/>
        </w:rPr>
      </w:pPr>
      <w:r>
        <w:rPr>
          <w:rFonts w:hint="eastAsia" w:ascii="宋体" w:hAnsi="宋体" w:eastAsia="宋体" w:cs="宋体"/>
          <w:color w:val="auto"/>
        </w:rPr>
        <w:t>商务响应表（格式见附件）；</w:t>
      </w:r>
    </w:p>
    <w:p w14:paraId="6E1FAF38">
      <w:pPr>
        <w:pStyle w:val="56"/>
        <w:numPr>
          <w:ilvl w:val="0"/>
          <w:numId w:val="21"/>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拟投入团队</w:t>
      </w:r>
    </w:p>
    <w:p w14:paraId="59B69F09">
      <w:pPr>
        <w:pStyle w:val="56"/>
        <w:numPr>
          <w:ilvl w:val="0"/>
          <w:numId w:val="21"/>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拟投入设备</w:t>
      </w:r>
    </w:p>
    <w:p w14:paraId="7273A223">
      <w:pPr>
        <w:pStyle w:val="56"/>
        <w:numPr>
          <w:ilvl w:val="0"/>
          <w:numId w:val="21"/>
        </w:numPr>
        <w:spacing w:before="0" w:line="336" w:lineRule="auto"/>
        <w:ind w:firstLine="480"/>
        <w:rPr>
          <w:rFonts w:hint="eastAsia" w:ascii="宋体" w:hAnsi="宋体" w:eastAsia="宋体" w:cs="宋体"/>
          <w:color w:val="auto"/>
        </w:rPr>
      </w:pPr>
      <w:r>
        <w:rPr>
          <w:rFonts w:hint="eastAsia" w:ascii="宋体" w:hAnsi="宋体" w:eastAsia="宋体" w:cs="宋体"/>
          <w:color w:val="auto"/>
        </w:rPr>
        <w:t>项目理解</w:t>
      </w:r>
      <w:r>
        <w:rPr>
          <w:rFonts w:hint="eastAsia" w:ascii="宋体" w:hAnsi="宋体" w:eastAsia="宋体" w:cs="宋体"/>
          <w:color w:val="auto"/>
          <w:lang w:eastAsia="zh-CN"/>
        </w:rPr>
        <w:t>；</w:t>
      </w:r>
    </w:p>
    <w:p w14:paraId="62D02D32">
      <w:pPr>
        <w:pStyle w:val="56"/>
        <w:numPr>
          <w:ilvl w:val="0"/>
          <w:numId w:val="21"/>
        </w:numPr>
        <w:spacing w:before="0" w:line="336" w:lineRule="auto"/>
        <w:ind w:firstLine="480"/>
        <w:rPr>
          <w:rFonts w:hint="eastAsia" w:ascii="宋体" w:hAnsi="宋体" w:eastAsia="宋体" w:cs="宋体"/>
          <w:color w:val="auto"/>
          <w:lang w:eastAsia="zh-CN"/>
        </w:rPr>
      </w:pPr>
      <w:r>
        <w:rPr>
          <w:rFonts w:hint="eastAsia" w:ascii="宋体" w:hAnsi="宋体" w:eastAsia="宋体" w:cs="宋体"/>
          <w:color w:val="auto"/>
          <w:lang w:val="en-US" w:eastAsia="zh-CN"/>
        </w:rPr>
        <w:t>项目服务</w:t>
      </w:r>
      <w:r>
        <w:rPr>
          <w:rFonts w:hint="eastAsia" w:ascii="宋体" w:hAnsi="宋体" w:eastAsia="宋体" w:cs="宋体"/>
          <w:color w:val="auto"/>
          <w:lang w:eastAsia="zh-CN"/>
        </w:rPr>
        <w:t>方案；</w:t>
      </w:r>
    </w:p>
    <w:p w14:paraId="3745703F">
      <w:pPr>
        <w:pStyle w:val="56"/>
        <w:numPr>
          <w:ilvl w:val="0"/>
          <w:numId w:val="21"/>
        </w:numPr>
        <w:spacing w:before="0" w:line="336" w:lineRule="auto"/>
        <w:ind w:firstLine="480"/>
        <w:rPr>
          <w:rFonts w:hint="eastAsia" w:ascii="宋体" w:hAnsi="宋体" w:eastAsia="宋体" w:cs="宋体"/>
          <w:color w:val="auto"/>
          <w:lang w:eastAsia="zh-CN"/>
        </w:rPr>
      </w:pPr>
      <w:r>
        <w:rPr>
          <w:rFonts w:hint="eastAsia" w:ascii="宋体" w:hAnsi="宋体" w:eastAsia="宋体" w:cs="宋体"/>
          <w:color w:val="auto"/>
          <w:lang w:val="en-US" w:eastAsia="zh-CN"/>
        </w:rPr>
        <w:t>项目建设报告；</w:t>
      </w:r>
    </w:p>
    <w:p w14:paraId="2592E854">
      <w:pPr>
        <w:pStyle w:val="56"/>
        <w:numPr>
          <w:ilvl w:val="0"/>
          <w:numId w:val="21"/>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项目重难点分析；</w:t>
      </w:r>
    </w:p>
    <w:p w14:paraId="490C6186">
      <w:pPr>
        <w:pStyle w:val="56"/>
        <w:numPr>
          <w:ilvl w:val="0"/>
          <w:numId w:val="21"/>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组织实施和进度安排；</w:t>
      </w:r>
    </w:p>
    <w:p w14:paraId="3AB85425">
      <w:pPr>
        <w:pStyle w:val="56"/>
        <w:numPr>
          <w:ilvl w:val="0"/>
          <w:numId w:val="21"/>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质量保障措施；</w:t>
      </w:r>
    </w:p>
    <w:p w14:paraId="7F7B77FB">
      <w:pPr>
        <w:pStyle w:val="56"/>
        <w:numPr>
          <w:ilvl w:val="0"/>
          <w:numId w:val="21"/>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组织和管理体制</w:t>
      </w:r>
      <w:r>
        <w:rPr>
          <w:rFonts w:hint="eastAsia" w:ascii="宋体" w:hAnsi="宋体" w:eastAsia="宋体" w:cs="宋体"/>
          <w:color w:val="auto"/>
          <w:lang w:eastAsia="zh-CN"/>
        </w:rPr>
        <w:t>；</w:t>
      </w:r>
    </w:p>
    <w:p w14:paraId="0E39FEB3">
      <w:pPr>
        <w:pStyle w:val="56"/>
        <w:numPr>
          <w:ilvl w:val="0"/>
          <w:numId w:val="21"/>
        </w:numPr>
        <w:spacing w:before="0" w:line="336" w:lineRule="auto"/>
        <w:ind w:firstLine="480"/>
        <w:rPr>
          <w:rFonts w:hint="eastAsia" w:ascii="宋体" w:hAnsi="宋体" w:eastAsia="宋体" w:cs="宋体"/>
          <w:color w:val="auto"/>
        </w:rPr>
      </w:pPr>
      <w:r>
        <w:rPr>
          <w:rFonts w:hint="eastAsia" w:ascii="宋体" w:hAnsi="宋体" w:eastAsia="宋体" w:cs="宋体"/>
          <w:color w:val="auto"/>
          <w:sz w:val="24"/>
          <w:lang w:val="en-US" w:eastAsia="zh-CN"/>
        </w:rPr>
        <w:t>售后服务；</w:t>
      </w:r>
    </w:p>
    <w:p w14:paraId="131DE7A1">
      <w:pPr>
        <w:pStyle w:val="56"/>
        <w:numPr>
          <w:ilvl w:val="0"/>
          <w:numId w:val="21"/>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其他合理化建议；</w:t>
      </w:r>
    </w:p>
    <w:p w14:paraId="41FE5EE1">
      <w:pPr>
        <w:pStyle w:val="56"/>
        <w:numPr>
          <w:ilvl w:val="0"/>
          <w:numId w:val="21"/>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类似业绩；</w:t>
      </w:r>
    </w:p>
    <w:p w14:paraId="4C3198FB">
      <w:pPr>
        <w:pStyle w:val="56"/>
        <w:numPr>
          <w:ilvl w:val="0"/>
          <w:numId w:val="21"/>
        </w:numPr>
        <w:spacing w:before="0" w:line="336" w:lineRule="auto"/>
        <w:ind w:firstLine="480"/>
        <w:rPr>
          <w:rFonts w:hint="eastAsia" w:ascii="宋体" w:hAnsi="宋体" w:eastAsia="宋体" w:cs="宋体"/>
          <w:color w:val="auto"/>
        </w:rPr>
      </w:pPr>
      <w:r>
        <w:rPr>
          <w:rFonts w:hint="eastAsia" w:ascii="宋体" w:hAnsi="宋体" w:eastAsia="宋体" w:cs="宋体"/>
          <w:color w:val="auto"/>
          <w:lang w:val="en-US" w:eastAsia="zh-CN"/>
        </w:rPr>
        <w:t>认证证书</w:t>
      </w:r>
      <w:r>
        <w:rPr>
          <w:rFonts w:hint="eastAsia" w:ascii="宋体" w:hAnsi="宋体" w:eastAsia="宋体" w:cs="宋体"/>
          <w:color w:val="auto"/>
          <w:lang w:eastAsia="zh-CN"/>
        </w:rPr>
        <w:t>。</w:t>
      </w:r>
    </w:p>
    <w:p w14:paraId="39A29734">
      <w:pPr>
        <w:pStyle w:val="56"/>
        <w:tabs>
          <w:tab w:val="left" w:pos="0"/>
        </w:tabs>
        <w:spacing w:before="0" w:line="336" w:lineRule="auto"/>
        <w:rPr>
          <w:rFonts w:hint="eastAsia" w:ascii="宋体" w:hAnsi="宋体" w:eastAsia="宋体" w:cs="宋体"/>
          <w:color w:val="auto"/>
        </w:rPr>
      </w:pPr>
      <w:r>
        <w:rPr>
          <w:rFonts w:hint="eastAsia" w:ascii="宋体" w:hAnsi="宋体" w:eastAsia="宋体" w:cs="宋体"/>
          <w:color w:val="auto"/>
        </w:rPr>
        <w:t>注：以上内容应与评标办法中内容具有一致性。</w:t>
      </w:r>
    </w:p>
    <w:p w14:paraId="2B977415">
      <w:pPr>
        <w:rPr>
          <w:rFonts w:hint="eastAsia" w:ascii="宋体" w:hAnsi="宋体" w:eastAsia="宋体" w:cs="宋体"/>
          <w:color w:val="auto"/>
          <w:sz w:val="24"/>
          <w:szCs w:val="24"/>
        </w:rPr>
      </w:pPr>
    </w:p>
    <w:p w14:paraId="00975A0A">
      <w:pPr>
        <w:rPr>
          <w:rFonts w:hint="eastAsia" w:ascii="宋体" w:hAnsi="宋体" w:eastAsia="宋体" w:cs="宋体"/>
          <w:b/>
          <w:bCs/>
          <w:color w:val="auto"/>
          <w:sz w:val="24"/>
          <w:szCs w:val="24"/>
          <w:lang w:val="zh-CN"/>
        </w:rPr>
      </w:pPr>
      <w:bookmarkStart w:id="93" w:name="_Toc10131"/>
      <w:r>
        <w:rPr>
          <w:rFonts w:hint="eastAsia" w:ascii="宋体" w:hAnsi="宋体" w:eastAsia="宋体" w:cs="宋体"/>
          <w:b/>
          <w:bCs/>
          <w:color w:val="auto"/>
          <w:sz w:val="24"/>
          <w:szCs w:val="24"/>
          <w:lang w:val="zh-CN"/>
        </w:rPr>
        <w:br w:type="page"/>
      </w:r>
    </w:p>
    <w:p w14:paraId="7E08C848">
      <w:pPr>
        <w:snapToGrid w:val="0"/>
        <w:spacing w:before="50" w:after="5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附件</w:t>
      </w: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lang w:val="zh-CN"/>
        </w:rPr>
        <w:t>：</w:t>
      </w:r>
    </w:p>
    <w:p w14:paraId="0837DD6C">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评分对应表</w:t>
      </w:r>
    </w:p>
    <w:p w14:paraId="21C1273F">
      <w:pPr>
        <w:snapToGrid w:val="0"/>
        <w:spacing w:before="50"/>
        <w:jc w:val="center"/>
        <w:rPr>
          <w:rFonts w:hint="eastAsia" w:ascii="宋体" w:hAnsi="宋体" w:eastAsia="宋体" w:cs="宋体"/>
          <w:b/>
          <w:bCs/>
          <w:color w:val="auto"/>
          <w:sz w:val="32"/>
          <w:szCs w:val="32"/>
        </w:rPr>
      </w:pPr>
    </w:p>
    <w:p w14:paraId="2CB3A57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7F0BC3E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采购编号：</w:t>
      </w:r>
    </w:p>
    <w:tbl>
      <w:tblPr>
        <w:tblStyle w:val="28"/>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5DAA5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76B6F4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122E38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响应文件对应资料</w:t>
            </w:r>
          </w:p>
        </w:tc>
        <w:tc>
          <w:tcPr>
            <w:tcW w:w="1977" w:type="dxa"/>
            <w:tcBorders>
              <w:top w:val="single" w:color="auto" w:sz="4" w:space="0"/>
              <w:left w:val="single" w:color="auto" w:sz="4" w:space="0"/>
              <w:bottom w:val="single" w:color="auto" w:sz="4" w:space="0"/>
            </w:tcBorders>
            <w:vAlign w:val="center"/>
          </w:tcPr>
          <w:p w14:paraId="63D4102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响应文件页码</w:t>
            </w:r>
          </w:p>
        </w:tc>
      </w:tr>
      <w:tr w14:paraId="09DEE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0CF844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对应评分办法及评分标准</w:t>
            </w:r>
          </w:p>
          <w:p w14:paraId="3A9772D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3EFB551F">
            <w:pPr>
              <w:jc w:val="center"/>
              <w:rPr>
                <w:rFonts w:hint="eastAsia" w:ascii="宋体" w:hAnsi="宋体" w:eastAsia="宋体" w:cs="宋体"/>
                <w:color w:val="auto"/>
                <w:sz w:val="24"/>
                <w:szCs w:val="24"/>
              </w:rPr>
            </w:pPr>
          </w:p>
        </w:tc>
        <w:tc>
          <w:tcPr>
            <w:tcW w:w="1977" w:type="dxa"/>
            <w:tcBorders>
              <w:top w:val="single" w:color="auto" w:sz="4" w:space="0"/>
              <w:left w:val="single" w:color="auto" w:sz="4" w:space="0"/>
              <w:bottom w:val="single" w:color="auto" w:sz="4" w:space="0"/>
            </w:tcBorders>
            <w:vAlign w:val="center"/>
          </w:tcPr>
          <w:p w14:paraId="0344A789">
            <w:pPr>
              <w:jc w:val="center"/>
              <w:rPr>
                <w:rFonts w:hint="eastAsia" w:ascii="宋体" w:hAnsi="宋体" w:eastAsia="宋体" w:cs="宋体"/>
                <w:color w:val="auto"/>
                <w:sz w:val="24"/>
                <w:szCs w:val="24"/>
              </w:rPr>
            </w:pPr>
          </w:p>
        </w:tc>
      </w:tr>
      <w:tr w14:paraId="26D04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6F2430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060" w:type="dxa"/>
            <w:tcBorders>
              <w:top w:val="single" w:color="auto" w:sz="4" w:space="0"/>
              <w:left w:val="single" w:color="auto" w:sz="4" w:space="0"/>
              <w:bottom w:val="single" w:color="auto" w:sz="4" w:space="0"/>
              <w:right w:val="single" w:color="auto" w:sz="4" w:space="0"/>
            </w:tcBorders>
            <w:vAlign w:val="center"/>
          </w:tcPr>
          <w:p w14:paraId="716D6B23">
            <w:pPr>
              <w:jc w:val="center"/>
              <w:rPr>
                <w:rFonts w:hint="eastAsia" w:ascii="宋体" w:hAnsi="宋体" w:eastAsia="宋体" w:cs="宋体"/>
                <w:color w:val="auto"/>
                <w:sz w:val="24"/>
                <w:szCs w:val="24"/>
              </w:rPr>
            </w:pPr>
          </w:p>
        </w:tc>
        <w:tc>
          <w:tcPr>
            <w:tcW w:w="1977" w:type="dxa"/>
            <w:tcBorders>
              <w:top w:val="single" w:color="auto" w:sz="4" w:space="0"/>
              <w:left w:val="single" w:color="auto" w:sz="4" w:space="0"/>
              <w:bottom w:val="single" w:color="auto" w:sz="4" w:space="0"/>
            </w:tcBorders>
            <w:vAlign w:val="center"/>
          </w:tcPr>
          <w:p w14:paraId="767A144D">
            <w:pPr>
              <w:jc w:val="center"/>
              <w:rPr>
                <w:rFonts w:hint="eastAsia" w:ascii="宋体" w:hAnsi="宋体" w:eastAsia="宋体" w:cs="宋体"/>
                <w:color w:val="auto"/>
                <w:sz w:val="24"/>
                <w:szCs w:val="24"/>
              </w:rPr>
            </w:pPr>
          </w:p>
        </w:tc>
      </w:tr>
      <w:tr w14:paraId="7CCAF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6AEFB2B">
            <w:pPr>
              <w:jc w:val="center"/>
              <w:rPr>
                <w:rFonts w:hint="eastAsia" w:ascii="宋体" w:hAnsi="宋体" w:eastAsia="宋体" w:cs="宋体"/>
                <w:color w:val="auto"/>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229C807">
            <w:pPr>
              <w:jc w:val="center"/>
              <w:rPr>
                <w:rFonts w:hint="eastAsia" w:ascii="宋体" w:hAnsi="宋体" w:eastAsia="宋体" w:cs="宋体"/>
                <w:color w:val="auto"/>
                <w:sz w:val="24"/>
                <w:szCs w:val="24"/>
              </w:rPr>
            </w:pPr>
          </w:p>
        </w:tc>
        <w:tc>
          <w:tcPr>
            <w:tcW w:w="1977" w:type="dxa"/>
            <w:tcBorders>
              <w:top w:val="single" w:color="auto" w:sz="4" w:space="0"/>
              <w:left w:val="single" w:color="auto" w:sz="4" w:space="0"/>
              <w:bottom w:val="single" w:color="auto" w:sz="4" w:space="0"/>
            </w:tcBorders>
            <w:vAlign w:val="center"/>
          </w:tcPr>
          <w:p w14:paraId="2EED5D1E">
            <w:pPr>
              <w:jc w:val="center"/>
              <w:rPr>
                <w:rFonts w:hint="eastAsia" w:ascii="宋体" w:hAnsi="宋体" w:eastAsia="宋体" w:cs="宋体"/>
                <w:color w:val="auto"/>
                <w:sz w:val="24"/>
                <w:szCs w:val="24"/>
              </w:rPr>
            </w:pPr>
          </w:p>
        </w:tc>
      </w:tr>
      <w:tr w14:paraId="221F3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4F32DAE">
            <w:pPr>
              <w:spacing w:line="360" w:lineRule="auto"/>
              <w:ind w:firstLine="480" w:firstLineChars="200"/>
              <w:jc w:val="center"/>
              <w:rPr>
                <w:rFonts w:hint="eastAsia" w:ascii="宋体" w:hAnsi="宋体" w:eastAsia="宋体" w:cs="宋体"/>
                <w:color w:val="auto"/>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CB92A71">
            <w:pPr>
              <w:spacing w:line="360" w:lineRule="auto"/>
              <w:ind w:firstLine="480" w:firstLineChars="200"/>
              <w:jc w:val="center"/>
              <w:rPr>
                <w:rFonts w:hint="eastAsia" w:ascii="宋体" w:hAnsi="宋体" w:eastAsia="宋体" w:cs="宋体"/>
                <w:color w:val="auto"/>
                <w:sz w:val="24"/>
                <w:szCs w:val="24"/>
              </w:rPr>
            </w:pPr>
          </w:p>
        </w:tc>
        <w:tc>
          <w:tcPr>
            <w:tcW w:w="1977" w:type="dxa"/>
            <w:tcBorders>
              <w:top w:val="single" w:color="auto" w:sz="4" w:space="0"/>
              <w:left w:val="single" w:color="auto" w:sz="4" w:space="0"/>
              <w:bottom w:val="single" w:color="auto" w:sz="4" w:space="0"/>
            </w:tcBorders>
            <w:vAlign w:val="center"/>
          </w:tcPr>
          <w:p w14:paraId="088FDE4A">
            <w:pPr>
              <w:spacing w:line="360" w:lineRule="auto"/>
              <w:ind w:firstLine="480" w:firstLineChars="200"/>
              <w:jc w:val="center"/>
              <w:rPr>
                <w:rFonts w:hint="eastAsia" w:ascii="宋体" w:hAnsi="宋体" w:eastAsia="宋体" w:cs="宋体"/>
                <w:color w:val="auto"/>
                <w:sz w:val="24"/>
                <w:szCs w:val="24"/>
              </w:rPr>
            </w:pPr>
          </w:p>
        </w:tc>
      </w:tr>
      <w:tr w14:paraId="3E7C3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F3294A5">
            <w:pPr>
              <w:spacing w:line="360" w:lineRule="auto"/>
              <w:ind w:firstLine="480" w:firstLineChars="200"/>
              <w:jc w:val="center"/>
              <w:rPr>
                <w:rFonts w:hint="eastAsia" w:ascii="宋体" w:hAnsi="宋体" w:eastAsia="宋体" w:cs="宋体"/>
                <w:color w:val="auto"/>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58D2F21">
            <w:pPr>
              <w:spacing w:line="360" w:lineRule="auto"/>
              <w:ind w:firstLine="480" w:firstLineChars="200"/>
              <w:jc w:val="center"/>
              <w:rPr>
                <w:rFonts w:hint="eastAsia" w:ascii="宋体" w:hAnsi="宋体" w:eastAsia="宋体" w:cs="宋体"/>
                <w:color w:val="auto"/>
                <w:sz w:val="24"/>
                <w:szCs w:val="24"/>
              </w:rPr>
            </w:pPr>
          </w:p>
        </w:tc>
        <w:tc>
          <w:tcPr>
            <w:tcW w:w="1977" w:type="dxa"/>
            <w:tcBorders>
              <w:top w:val="single" w:color="auto" w:sz="4" w:space="0"/>
              <w:left w:val="single" w:color="auto" w:sz="4" w:space="0"/>
              <w:bottom w:val="single" w:color="auto" w:sz="4" w:space="0"/>
            </w:tcBorders>
            <w:vAlign w:val="center"/>
          </w:tcPr>
          <w:p w14:paraId="659865FC">
            <w:pPr>
              <w:spacing w:line="360" w:lineRule="auto"/>
              <w:ind w:firstLine="480" w:firstLineChars="200"/>
              <w:jc w:val="center"/>
              <w:rPr>
                <w:rFonts w:hint="eastAsia" w:ascii="宋体" w:hAnsi="宋体" w:eastAsia="宋体" w:cs="宋体"/>
                <w:color w:val="auto"/>
                <w:sz w:val="24"/>
                <w:szCs w:val="24"/>
              </w:rPr>
            </w:pPr>
          </w:p>
        </w:tc>
      </w:tr>
      <w:tr w14:paraId="13A33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94EEEDF">
            <w:pPr>
              <w:spacing w:line="360" w:lineRule="auto"/>
              <w:ind w:firstLine="480" w:firstLineChars="200"/>
              <w:jc w:val="center"/>
              <w:rPr>
                <w:rFonts w:hint="eastAsia" w:ascii="宋体" w:hAnsi="宋体" w:eastAsia="宋体" w:cs="宋体"/>
                <w:color w:val="auto"/>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74BD84A">
            <w:pPr>
              <w:spacing w:line="360" w:lineRule="auto"/>
              <w:ind w:firstLine="480" w:firstLineChars="200"/>
              <w:jc w:val="center"/>
              <w:rPr>
                <w:rFonts w:hint="eastAsia" w:ascii="宋体" w:hAnsi="宋体" w:eastAsia="宋体" w:cs="宋体"/>
                <w:color w:val="auto"/>
                <w:sz w:val="24"/>
                <w:szCs w:val="24"/>
              </w:rPr>
            </w:pPr>
          </w:p>
        </w:tc>
        <w:tc>
          <w:tcPr>
            <w:tcW w:w="1977" w:type="dxa"/>
            <w:tcBorders>
              <w:top w:val="single" w:color="auto" w:sz="4" w:space="0"/>
              <w:left w:val="single" w:color="auto" w:sz="4" w:space="0"/>
              <w:bottom w:val="single" w:color="auto" w:sz="4" w:space="0"/>
            </w:tcBorders>
            <w:vAlign w:val="center"/>
          </w:tcPr>
          <w:p w14:paraId="34431E64">
            <w:pPr>
              <w:spacing w:line="360" w:lineRule="auto"/>
              <w:ind w:firstLine="480" w:firstLineChars="200"/>
              <w:jc w:val="center"/>
              <w:rPr>
                <w:rFonts w:hint="eastAsia" w:ascii="宋体" w:hAnsi="宋体" w:eastAsia="宋体" w:cs="宋体"/>
                <w:color w:val="auto"/>
                <w:sz w:val="24"/>
                <w:szCs w:val="24"/>
              </w:rPr>
            </w:pPr>
          </w:p>
        </w:tc>
      </w:tr>
      <w:tr w14:paraId="29472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991A20E">
            <w:pPr>
              <w:spacing w:line="360" w:lineRule="auto"/>
              <w:ind w:firstLine="480" w:firstLineChars="200"/>
              <w:jc w:val="center"/>
              <w:rPr>
                <w:rFonts w:hint="eastAsia" w:ascii="宋体" w:hAnsi="宋体" w:eastAsia="宋体" w:cs="宋体"/>
                <w:color w:val="auto"/>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3F3C75B">
            <w:pPr>
              <w:spacing w:line="360" w:lineRule="auto"/>
              <w:ind w:firstLine="480" w:firstLineChars="200"/>
              <w:jc w:val="center"/>
              <w:rPr>
                <w:rFonts w:hint="eastAsia" w:ascii="宋体" w:hAnsi="宋体" w:eastAsia="宋体" w:cs="宋体"/>
                <w:color w:val="auto"/>
                <w:sz w:val="24"/>
                <w:szCs w:val="24"/>
              </w:rPr>
            </w:pPr>
          </w:p>
        </w:tc>
        <w:tc>
          <w:tcPr>
            <w:tcW w:w="1977" w:type="dxa"/>
            <w:tcBorders>
              <w:top w:val="single" w:color="auto" w:sz="4" w:space="0"/>
              <w:left w:val="single" w:color="auto" w:sz="4" w:space="0"/>
              <w:bottom w:val="single" w:color="auto" w:sz="4" w:space="0"/>
            </w:tcBorders>
            <w:vAlign w:val="center"/>
          </w:tcPr>
          <w:p w14:paraId="0B83D96A">
            <w:pPr>
              <w:spacing w:line="360" w:lineRule="auto"/>
              <w:ind w:firstLine="480" w:firstLineChars="200"/>
              <w:jc w:val="center"/>
              <w:rPr>
                <w:rFonts w:hint="eastAsia" w:ascii="宋体" w:hAnsi="宋体" w:eastAsia="宋体" w:cs="宋体"/>
                <w:color w:val="auto"/>
                <w:sz w:val="24"/>
                <w:szCs w:val="24"/>
              </w:rPr>
            </w:pPr>
          </w:p>
        </w:tc>
      </w:tr>
      <w:tr w14:paraId="3DF01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FD95432">
            <w:pPr>
              <w:spacing w:line="360" w:lineRule="auto"/>
              <w:ind w:firstLine="480" w:firstLineChars="200"/>
              <w:jc w:val="center"/>
              <w:rPr>
                <w:rFonts w:hint="eastAsia" w:ascii="宋体" w:hAnsi="宋体" w:eastAsia="宋体" w:cs="宋体"/>
                <w:color w:val="auto"/>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0EFA99D">
            <w:pPr>
              <w:spacing w:line="360" w:lineRule="auto"/>
              <w:ind w:firstLine="480" w:firstLineChars="200"/>
              <w:jc w:val="center"/>
              <w:rPr>
                <w:rFonts w:hint="eastAsia" w:ascii="宋体" w:hAnsi="宋体" w:eastAsia="宋体" w:cs="宋体"/>
                <w:color w:val="auto"/>
                <w:sz w:val="24"/>
                <w:szCs w:val="24"/>
              </w:rPr>
            </w:pPr>
          </w:p>
        </w:tc>
        <w:tc>
          <w:tcPr>
            <w:tcW w:w="1977" w:type="dxa"/>
            <w:tcBorders>
              <w:top w:val="single" w:color="auto" w:sz="4" w:space="0"/>
              <w:left w:val="single" w:color="auto" w:sz="4" w:space="0"/>
              <w:bottom w:val="single" w:color="auto" w:sz="4" w:space="0"/>
            </w:tcBorders>
            <w:vAlign w:val="center"/>
          </w:tcPr>
          <w:p w14:paraId="15BDFDBD">
            <w:pPr>
              <w:spacing w:line="360" w:lineRule="auto"/>
              <w:ind w:firstLine="480" w:firstLineChars="200"/>
              <w:jc w:val="center"/>
              <w:rPr>
                <w:rFonts w:hint="eastAsia" w:ascii="宋体" w:hAnsi="宋体" w:eastAsia="宋体" w:cs="宋体"/>
                <w:color w:val="auto"/>
                <w:sz w:val="24"/>
                <w:szCs w:val="24"/>
              </w:rPr>
            </w:pPr>
          </w:p>
        </w:tc>
      </w:tr>
      <w:tr w14:paraId="52932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8E5A8C2">
            <w:pPr>
              <w:spacing w:line="360" w:lineRule="auto"/>
              <w:ind w:firstLine="480" w:firstLineChars="200"/>
              <w:jc w:val="center"/>
              <w:rPr>
                <w:rFonts w:hint="eastAsia" w:ascii="宋体" w:hAnsi="宋体" w:eastAsia="宋体" w:cs="宋体"/>
                <w:color w:val="auto"/>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272478B0">
            <w:pPr>
              <w:spacing w:line="360" w:lineRule="auto"/>
              <w:ind w:firstLine="480" w:firstLineChars="200"/>
              <w:jc w:val="center"/>
              <w:rPr>
                <w:rFonts w:hint="eastAsia" w:ascii="宋体" w:hAnsi="宋体" w:eastAsia="宋体" w:cs="宋体"/>
                <w:color w:val="auto"/>
                <w:sz w:val="24"/>
                <w:szCs w:val="24"/>
              </w:rPr>
            </w:pPr>
          </w:p>
        </w:tc>
        <w:tc>
          <w:tcPr>
            <w:tcW w:w="1977" w:type="dxa"/>
            <w:tcBorders>
              <w:top w:val="single" w:color="auto" w:sz="4" w:space="0"/>
              <w:left w:val="single" w:color="auto" w:sz="4" w:space="0"/>
              <w:bottom w:val="single" w:color="auto" w:sz="4" w:space="0"/>
            </w:tcBorders>
            <w:vAlign w:val="center"/>
          </w:tcPr>
          <w:p w14:paraId="67254026">
            <w:pPr>
              <w:spacing w:line="360" w:lineRule="auto"/>
              <w:ind w:firstLine="480" w:firstLineChars="200"/>
              <w:jc w:val="center"/>
              <w:rPr>
                <w:rFonts w:hint="eastAsia" w:ascii="宋体" w:hAnsi="宋体" w:eastAsia="宋体" w:cs="宋体"/>
                <w:color w:val="auto"/>
                <w:sz w:val="24"/>
                <w:szCs w:val="24"/>
              </w:rPr>
            </w:pPr>
          </w:p>
        </w:tc>
      </w:tr>
    </w:tbl>
    <w:p w14:paraId="3AE82E11">
      <w:pPr>
        <w:spacing w:line="360" w:lineRule="auto"/>
        <w:ind w:firstLine="480" w:firstLineChars="200"/>
        <w:rPr>
          <w:rFonts w:hint="eastAsia" w:ascii="宋体" w:hAnsi="宋体" w:eastAsia="宋体" w:cs="宋体"/>
          <w:color w:val="auto"/>
          <w:sz w:val="24"/>
          <w:szCs w:val="24"/>
        </w:rPr>
      </w:pPr>
    </w:p>
    <w:p w14:paraId="34BDC722">
      <w:pPr>
        <w:spacing w:line="360" w:lineRule="auto"/>
        <w:ind w:left="3600" w:leftChars="1800" w:firstLine="480" w:firstLineChars="200"/>
        <w:rPr>
          <w:rFonts w:hint="eastAsia" w:ascii="宋体" w:hAnsi="宋体" w:eastAsia="宋体" w:cs="宋体"/>
          <w:color w:val="auto"/>
          <w:sz w:val="24"/>
          <w:szCs w:val="24"/>
        </w:rPr>
      </w:pPr>
    </w:p>
    <w:p w14:paraId="7D8201D5">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法定代表人签名（或签名章）：                       </w:t>
      </w:r>
    </w:p>
    <w:p w14:paraId="48035632">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054D90A7">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供应商全称（公章）：</w:t>
      </w:r>
    </w:p>
    <w:p w14:paraId="483487F9">
      <w:pPr>
        <w:rPr>
          <w:rFonts w:hint="eastAsia" w:ascii="宋体" w:hAnsi="宋体" w:eastAsia="宋体" w:cs="宋体"/>
          <w:color w:val="auto"/>
          <w:lang w:val="zh-CN"/>
        </w:rPr>
      </w:pPr>
    </w:p>
    <w:p w14:paraId="164953EB">
      <w:pP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附件</w:t>
      </w: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rPr>
        <w:t>：</w:t>
      </w:r>
    </w:p>
    <w:p w14:paraId="6925DB43">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供应商商务技术文件中资信分自评表</w:t>
      </w:r>
      <w:bookmarkEnd w:id="93"/>
    </w:p>
    <w:p w14:paraId="74B9743A">
      <w:pPr>
        <w:snapToGrid w:val="0"/>
        <w:spacing w:before="50"/>
        <w:jc w:val="center"/>
        <w:rPr>
          <w:rFonts w:hint="eastAsia" w:ascii="宋体" w:hAnsi="宋体" w:eastAsia="宋体" w:cs="宋体"/>
          <w:b/>
          <w:bCs/>
          <w:color w:val="auto"/>
          <w:sz w:val="32"/>
          <w:szCs w:val="32"/>
        </w:rPr>
      </w:pPr>
    </w:p>
    <w:p w14:paraId="7D600CD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230B99B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采购编号：</w:t>
      </w:r>
    </w:p>
    <w:tbl>
      <w:tblPr>
        <w:tblStyle w:val="28"/>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59538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933975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87" w:type="dxa"/>
            <w:vAlign w:val="center"/>
          </w:tcPr>
          <w:p w14:paraId="297ED2B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资信分内容</w:t>
            </w:r>
          </w:p>
        </w:tc>
        <w:tc>
          <w:tcPr>
            <w:tcW w:w="1462" w:type="dxa"/>
            <w:vAlign w:val="center"/>
          </w:tcPr>
          <w:p w14:paraId="3B49396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自评得分</w:t>
            </w:r>
          </w:p>
        </w:tc>
        <w:tc>
          <w:tcPr>
            <w:tcW w:w="2415" w:type="dxa"/>
            <w:tcBorders>
              <w:right w:val="single" w:color="auto" w:sz="4" w:space="0"/>
            </w:tcBorders>
            <w:vAlign w:val="center"/>
          </w:tcPr>
          <w:p w14:paraId="431B7CA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响应文件对应资料</w:t>
            </w:r>
          </w:p>
        </w:tc>
        <w:tc>
          <w:tcPr>
            <w:tcW w:w="1746" w:type="dxa"/>
            <w:tcBorders>
              <w:left w:val="single" w:color="auto" w:sz="4" w:space="0"/>
            </w:tcBorders>
            <w:vAlign w:val="center"/>
          </w:tcPr>
          <w:p w14:paraId="1847509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响应文件页码</w:t>
            </w:r>
          </w:p>
        </w:tc>
      </w:tr>
      <w:tr w14:paraId="45DF9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421FFD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87" w:type="dxa"/>
          </w:tcPr>
          <w:p w14:paraId="070DCEE8">
            <w:pPr>
              <w:jc w:val="center"/>
              <w:rPr>
                <w:rFonts w:hint="eastAsia" w:ascii="宋体" w:hAnsi="宋体" w:eastAsia="宋体" w:cs="宋体"/>
                <w:color w:val="auto"/>
                <w:sz w:val="24"/>
                <w:szCs w:val="24"/>
              </w:rPr>
            </w:pPr>
          </w:p>
        </w:tc>
        <w:tc>
          <w:tcPr>
            <w:tcW w:w="1462" w:type="dxa"/>
          </w:tcPr>
          <w:p w14:paraId="5CE680B5">
            <w:pPr>
              <w:jc w:val="center"/>
              <w:rPr>
                <w:rFonts w:hint="eastAsia" w:ascii="宋体" w:hAnsi="宋体" w:eastAsia="宋体" w:cs="宋体"/>
                <w:color w:val="auto"/>
                <w:sz w:val="24"/>
                <w:szCs w:val="24"/>
              </w:rPr>
            </w:pPr>
          </w:p>
        </w:tc>
        <w:tc>
          <w:tcPr>
            <w:tcW w:w="2415" w:type="dxa"/>
            <w:tcBorders>
              <w:right w:val="single" w:color="auto" w:sz="4" w:space="0"/>
            </w:tcBorders>
          </w:tcPr>
          <w:p w14:paraId="7A2F2E8A">
            <w:pPr>
              <w:jc w:val="center"/>
              <w:rPr>
                <w:rFonts w:hint="eastAsia" w:ascii="宋体" w:hAnsi="宋体" w:eastAsia="宋体" w:cs="宋体"/>
                <w:color w:val="auto"/>
                <w:sz w:val="24"/>
                <w:szCs w:val="24"/>
              </w:rPr>
            </w:pPr>
          </w:p>
        </w:tc>
        <w:tc>
          <w:tcPr>
            <w:tcW w:w="1746" w:type="dxa"/>
            <w:tcBorders>
              <w:left w:val="single" w:color="auto" w:sz="4" w:space="0"/>
            </w:tcBorders>
          </w:tcPr>
          <w:p w14:paraId="591DFB44">
            <w:pPr>
              <w:jc w:val="center"/>
              <w:rPr>
                <w:rFonts w:hint="eastAsia" w:ascii="宋体" w:hAnsi="宋体" w:eastAsia="宋体" w:cs="宋体"/>
                <w:color w:val="auto"/>
                <w:sz w:val="24"/>
                <w:szCs w:val="24"/>
              </w:rPr>
            </w:pPr>
          </w:p>
        </w:tc>
      </w:tr>
      <w:tr w14:paraId="4254A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BB38F0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87" w:type="dxa"/>
          </w:tcPr>
          <w:p w14:paraId="50E2FA73">
            <w:pPr>
              <w:jc w:val="center"/>
              <w:rPr>
                <w:rFonts w:hint="eastAsia" w:ascii="宋体" w:hAnsi="宋体" w:eastAsia="宋体" w:cs="宋体"/>
                <w:color w:val="auto"/>
                <w:sz w:val="24"/>
                <w:szCs w:val="24"/>
              </w:rPr>
            </w:pPr>
          </w:p>
        </w:tc>
        <w:tc>
          <w:tcPr>
            <w:tcW w:w="1462" w:type="dxa"/>
          </w:tcPr>
          <w:p w14:paraId="6284A1DA">
            <w:pPr>
              <w:jc w:val="center"/>
              <w:rPr>
                <w:rFonts w:hint="eastAsia" w:ascii="宋体" w:hAnsi="宋体" w:eastAsia="宋体" w:cs="宋体"/>
                <w:color w:val="auto"/>
                <w:sz w:val="24"/>
                <w:szCs w:val="24"/>
              </w:rPr>
            </w:pPr>
          </w:p>
        </w:tc>
        <w:tc>
          <w:tcPr>
            <w:tcW w:w="2415" w:type="dxa"/>
            <w:tcBorders>
              <w:right w:val="single" w:color="auto" w:sz="4" w:space="0"/>
            </w:tcBorders>
          </w:tcPr>
          <w:p w14:paraId="0CEDB2A7">
            <w:pPr>
              <w:jc w:val="center"/>
              <w:rPr>
                <w:rFonts w:hint="eastAsia" w:ascii="宋体" w:hAnsi="宋体" w:eastAsia="宋体" w:cs="宋体"/>
                <w:color w:val="auto"/>
                <w:sz w:val="24"/>
                <w:szCs w:val="24"/>
              </w:rPr>
            </w:pPr>
          </w:p>
        </w:tc>
        <w:tc>
          <w:tcPr>
            <w:tcW w:w="1746" w:type="dxa"/>
            <w:tcBorders>
              <w:left w:val="single" w:color="auto" w:sz="4" w:space="0"/>
            </w:tcBorders>
          </w:tcPr>
          <w:p w14:paraId="3EE7BAF8">
            <w:pPr>
              <w:jc w:val="center"/>
              <w:rPr>
                <w:rFonts w:hint="eastAsia" w:ascii="宋体" w:hAnsi="宋体" w:eastAsia="宋体" w:cs="宋体"/>
                <w:color w:val="auto"/>
                <w:sz w:val="24"/>
                <w:szCs w:val="24"/>
              </w:rPr>
            </w:pPr>
          </w:p>
        </w:tc>
      </w:tr>
      <w:tr w14:paraId="59299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DC29EC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87" w:type="dxa"/>
          </w:tcPr>
          <w:p w14:paraId="06E80708">
            <w:pPr>
              <w:jc w:val="center"/>
              <w:rPr>
                <w:rFonts w:hint="eastAsia" w:ascii="宋体" w:hAnsi="宋体" w:eastAsia="宋体" w:cs="宋体"/>
                <w:color w:val="auto"/>
                <w:sz w:val="24"/>
                <w:szCs w:val="24"/>
              </w:rPr>
            </w:pPr>
          </w:p>
        </w:tc>
        <w:tc>
          <w:tcPr>
            <w:tcW w:w="1462" w:type="dxa"/>
          </w:tcPr>
          <w:p w14:paraId="31911CF6">
            <w:pPr>
              <w:jc w:val="center"/>
              <w:rPr>
                <w:rFonts w:hint="eastAsia" w:ascii="宋体" w:hAnsi="宋体" w:eastAsia="宋体" w:cs="宋体"/>
                <w:color w:val="auto"/>
                <w:sz w:val="24"/>
                <w:szCs w:val="24"/>
              </w:rPr>
            </w:pPr>
          </w:p>
        </w:tc>
        <w:tc>
          <w:tcPr>
            <w:tcW w:w="2415" w:type="dxa"/>
            <w:tcBorders>
              <w:right w:val="single" w:color="auto" w:sz="4" w:space="0"/>
            </w:tcBorders>
          </w:tcPr>
          <w:p w14:paraId="0BCD1A7D">
            <w:pPr>
              <w:jc w:val="center"/>
              <w:rPr>
                <w:rFonts w:hint="eastAsia" w:ascii="宋体" w:hAnsi="宋体" w:eastAsia="宋体" w:cs="宋体"/>
                <w:color w:val="auto"/>
                <w:sz w:val="24"/>
                <w:szCs w:val="24"/>
              </w:rPr>
            </w:pPr>
          </w:p>
        </w:tc>
        <w:tc>
          <w:tcPr>
            <w:tcW w:w="1746" w:type="dxa"/>
            <w:tcBorders>
              <w:left w:val="single" w:color="auto" w:sz="4" w:space="0"/>
            </w:tcBorders>
          </w:tcPr>
          <w:p w14:paraId="7A79FF22">
            <w:pPr>
              <w:jc w:val="center"/>
              <w:rPr>
                <w:rFonts w:hint="eastAsia" w:ascii="宋体" w:hAnsi="宋体" w:eastAsia="宋体" w:cs="宋体"/>
                <w:color w:val="auto"/>
                <w:sz w:val="24"/>
                <w:szCs w:val="24"/>
              </w:rPr>
            </w:pPr>
          </w:p>
        </w:tc>
      </w:tr>
      <w:tr w14:paraId="76028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0E665B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387" w:type="dxa"/>
          </w:tcPr>
          <w:p w14:paraId="465F6553">
            <w:pPr>
              <w:jc w:val="center"/>
              <w:rPr>
                <w:rFonts w:hint="eastAsia" w:ascii="宋体" w:hAnsi="宋体" w:eastAsia="宋体" w:cs="宋体"/>
                <w:color w:val="auto"/>
                <w:sz w:val="24"/>
                <w:szCs w:val="24"/>
              </w:rPr>
            </w:pPr>
          </w:p>
        </w:tc>
        <w:tc>
          <w:tcPr>
            <w:tcW w:w="1462" w:type="dxa"/>
          </w:tcPr>
          <w:p w14:paraId="556121BD">
            <w:pPr>
              <w:jc w:val="center"/>
              <w:rPr>
                <w:rFonts w:hint="eastAsia" w:ascii="宋体" w:hAnsi="宋体" w:eastAsia="宋体" w:cs="宋体"/>
                <w:color w:val="auto"/>
                <w:sz w:val="24"/>
                <w:szCs w:val="24"/>
              </w:rPr>
            </w:pPr>
          </w:p>
        </w:tc>
        <w:tc>
          <w:tcPr>
            <w:tcW w:w="2415" w:type="dxa"/>
            <w:tcBorders>
              <w:right w:val="single" w:color="auto" w:sz="4" w:space="0"/>
            </w:tcBorders>
          </w:tcPr>
          <w:p w14:paraId="7E304C4D">
            <w:pPr>
              <w:jc w:val="center"/>
              <w:rPr>
                <w:rFonts w:hint="eastAsia" w:ascii="宋体" w:hAnsi="宋体" w:eastAsia="宋体" w:cs="宋体"/>
                <w:color w:val="auto"/>
                <w:sz w:val="24"/>
                <w:szCs w:val="24"/>
              </w:rPr>
            </w:pPr>
          </w:p>
        </w:tc>
        <w:tc>
          <w:tcPr>
            <w:tcW w:w="1746" w:type="dxa"/>
            <w:tcBorders>
              <w:left w:val="single" w:color="auto" w:sz="4" w:space="0"/>
            </w:tcBorders>
          </w:tcPr>
          <w:p w14:paraId="70CC5638">
            <w:pPr>
              <w:jc w:val="center"/>
              <w:rPr>
                <w:rFonts w:hint="eastAsia" w:ascii="宋体" w:hAnsi="宋体" w:eastAsia="宋体" w:cs="宋体"/>
                <w:color w:val="auto"/>
                <w:sz w:val="24"/>
                <w:szCs w:val="24"/>
              </w:rPr>
            </w:pPr>
          </w:p>
        </w:tc>
      </w:tr>
      <w:tr w14:paraId="36655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153003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387" w:type="dxa"/>
          </w:tcPr>
          <w:p w14:paraId="6A667629">
            <w:pPr>
              <w:jc w:val="center"/>
              <w:rPr>
                <w:rFonts w:hint="eastAsia" w:ascii="宋体" w:hAnsi="宋体" w:eastAsia="宋体" w:cs="宋体"/>
                <w:color w:val="auto"/>
                <w:sz w:val="24"/>
                <w:szCs w:val="24"/>
              </w:rPr>
            </w:pPr>
          </w:p>
        </w:tc>
        <w:tc>
          <w:tcPr>
            <w:tcW w:w="1462" w:type="dxa"/>
          </w:tcPr>
          <w:p w14:paraId="70810B92">
            <w:pPr>
              <w:jc w:val="center"/>
              <w:rPr>
                <w:rFonts w:hint="eastAsia" w:ascii="宋体" w:hAnsi="宋体" w:eastAsia="宋体" w:cs="宋体"/>
                <w:color w:val="auto"/>
                <w:sz w:val="24"/>
                <w:szCs w:val="24"/>
              </w:rPr>
            </w:pPr>
          </w:p>
        </w:tc>
        <w:tc>
          <w:tcPr>
            <w:tcW w:w="2415" w:type="dxa"/>
            <w:tcBorders>
              <w:right w:val="single" w:color="auto" w:sz="4" w:space="0"/>
            </w:tcBorders>
          </w:tcPr>
          <w:p w14:paraId="51C36A27">
            <w:pPr>
              <w:jc w:val="center"/>
              <w:rPr>
                <w:rFonts w:hint="eastAsia" w:ascii="宋体" w:hAnsi="宋体" w:eastAsia="宋体" w:cs="宋体"/>
                <w:color w:val="auto"/>
                <w:sz w:val="24"/>
                <w:szCs w:val="24"/>
              </w:rPr>
            </w:pPr>
          </w:p>
        </w:tc>
        <w:tc>
          <w:tcPr>
            <w:tcW w:w="1746" w:type="dxa"/>
            <w:tcBorders>
              <w:left w:val="single" w:color="auto" w:sz="4" w:space="0"/>
            </w:tcBorders>
          </w:tcPr>
          <w:p w14:paraId="28D68B2E">
            <w:pPr>
              <w:jc w:val="center"/>
              <w:rPr>
                <w:rFonts w:hint="eastAsia" w:ascii="宋体" w:hAnsi="宋体" w:eastAsia="宋体" w:cs="宋体"/>
                <w:color w:val="auto"/>
                <w:sz w:val="24"/>
                <w:szCs w:val="24"/>
              </w:rPr>
            </w:pPr>
          </w:p>
        </w:tc>
      </w:tr>
      <w:tr w14:paraId="393A5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0EE2D2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387" w:type="dxa"/>
          </w:tcPr>
          <w:p w14:paraId="0399E80E">
            <w:pPr>
              <w:jc w:val="center"/>
              <w:rPr>
                <w:rFonts w:hint="eastAsia" w:ascii="宋体" w:hAnsi="宋体" w:eastAsia="宋体" w:cs="宋体"/>
                <w:color w:val="auto"/>
                <w:sz w:val="24"/>
                <w:szCs w:val="24"/>
              </w:rPr>
            </w:pPr>
          </w:p>
        </w:tc>
        <w:tc>
          <w:tcPr>
            <w:tcW w:w="1462" w:type="dxa"/>
          </w:tcPr>
          <w:p w14:paraId="09B9C9B5">
            <w:pPr>
              <w:jc w:val="center"/>
              <w:rPr>
                <w:rFonts w:hint="eastAsia" w:ascii="宋体" w:hAnsi="宋体" w:eastAsia="宋体" w:cs="宋体"/>
                <w:color w:val="auto"/>
                <w:sz w:val="24"/>
                <w:szCs w:val="24"/>
              </w:rPr>
            </w:pPr>
          </w:p>
        </w:tc>
        <w:tc>
          <w:tcPr>
            <w:tcW w:w="2415" w:type="dxa"/>
            <w:tcBorders>
              <w:right w:val="single" w:color="auto" w:sz="4" w:space="0"/>
            </w:tcBorders>
          </w:tcPr>
          <w:p w14:paraId="5D02D46F">
            <w:pPr>
              <w:jc w:val="center"/>
              <w:rPr>
                <w:rFonts w:hint="eastAsia" w:ascii="宋体" w:hAnsi="宋体" w:eastAsia="宋体" w:cs="宋体"/>
                <w:color w:val="auto"/>
                <w:sz w:val="24"/>
                <w:szCs w:val="24"/>
              </w:rPr>
            </w:pPr>
          </w:p>
        </w:tc>
        <w:tc>
          <w:tcPr>
            <w:tcW w:w="1746" w:type="dxa"/>
            <w:tcBorders>
              <w:left w:val="single" w:color="auto" w:sz="4" w:space="0"/>
            </w:tcBorders>
          </w:tcPr>
          <w:p w14:paraId="459449D2">
            <w:pPr>
              <w:jc w:val="center"/>
              <w:rPr>
                <w:rFonts w:hint="eastAsia" w:ascii="宋体" w:hAnsi="宋体" w:eastAsia="宋体" w:cs="宋体"/>
                <w:color w:val="auto"/>
                <w:sz w:val="24"/>
                <w:szCs w:val="24"/>
              </w:rPr>
            </w:pPr>
          </w:p>
        </w:tc>
      </w:tr>
      <w:tr w14:paraId="3FB2E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A21E6C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387" w:type="dxa"/>
          </w:tcPr>
          <w:p w14:paraId="6F3D4BAF">
            <w:pPr>
              <w:jc w:val="center"/>
              <w:rPr>
                <w:rFonts w:hint="eastAsia" w:ascii="宋体" w:hAnsi="宋体" w:eastAsia="宋体" w:cs="宋体"/>
                <w:color w:val="auto"/>
                <w:sz w:val="24"/>
                <w:szCs w:val="24"/>
              </w:rPr>
            </w:pPr>
          </w:p>
        </w:tc>
        <w:tc>
          <w:tcPr>
            <w:tcW w:w="1462" w:type="dxa"/>
          </w:tcPr>
          <w:p w14:paraId="19EF4165">
            <w:pPr>
              <w:jc w:val="center"/>
              <w:rPr>
                <w:rFonts w:hint="eastAsia" w:ascii="宋体" w:hAnsi="宋体" w:eastAsia="宋体" w:cs="宋体"/>
                <w:color w:val="auto"/>
                <w:sz w:val="24"/>
                <w:szCs w:val="24"/>
              </w:rPr>
            </w:pPr>
          </w:p>
        </w:tc>
        <w:tc>
          <w:tcPr>
            <w:tcW w:w="2415" w:type="dxa"/>
            <w:tcBorders>
              <w:right w:val="single" w:color="auto" w:sz="4" w:space="0"/>
            </w:tcBorders>
          </w:tcPr>
          <w:p w14:paraId="4BF17BEA">
            <w:pPr>
              <w:jc w:val="center"/>
              <w:rPr>
                <w:rFonts w:hint="eastAsia" w:ascii="宋体" w:hAnsi="宋体" w:eastAsia="宋体" w:cs="宋体"/>
                <w:color w:val="auto"/>
                <w:sz w:val="24"/>
                <w:szCs w:val="24"/>
              </w:rPr>
            </w:pPr>
          </w:p>
        </w:tc>
        <w:tc>
          <w:tcPr>
            <w:tcW w:w="1746" w:type="dxa"/>
            <w:tcBorders>
              <w:left w:val="single" w:color="auto" w:sz="4" w:space="0"/>
            </w:tcBorders>
          </w:tcPr>
          <w:p w14:paraId="0041D99F">
            <w:pPr>
              <w:jc w:val="center"/>
              <w:rPr>
                <w:rFonts w:hint="eastAsia" w:ascii="宋体" w:hAnsi="宋体" w:eastAsia="宋体" w:cs="宋体"/>
                <w:color w:val="auto"/>
                <w:sz w:val="24"/>
                <w:szCs w:val="24"/>
              </w:rPr>
            </w:pPr>
          </w:p>
        </w:tc>
      </w:tr>
      <w:tr w14:paraId="3C812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ED1D9D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387" w:type="dxa"/>
          </w:tcPr>
          <w:p w14:paraId="67663F0B">
            <w:pPr>
              <w:jc w:val="center"/>
              <w:rPr>
                <w:rFonts w:hint="eastAsia" w:ascii="宋体" w:hAnsi="宋体" w:eastAsia="宋体" w:cs="宋体"/>
                <w:color w:val="auto"/>
                <w:sz w:val="24"/>
                <w:szCs w:val="24"/>
              </w:rPr>
            </w:pPr>
          </w:p>
        </w:tc>
        <w:tc>
          <w:tcPr>
            <w:tcW w:w="1462" w:type="dxa"/>
          </w:tcPr>
          <w:p w14:paraId="0F3FF4AC">
            <w:pPr>
              <w:jc w:val="center"/>
              <w:rPr>
                <w:rFonts w:hint="eastAsia" w:ascii="宋体" w:hAnsi="宋体" w:eastAsia="宋体" w:cs="宋体"/>
                <w:color w:val="auto"/>
                <w:sz w:val="24"/>
                <w:szCs w:val="24"/>
              </w:rPr>
            </w:pPr>
          </w:p>
        </w:tc>
        <w:tc>
          <w:tcPr>
            <w:tcW w:w="2415" w:type="dxa"/>
            <w:tcBorders>
              <w:right w:val="single" w:color="auto" w:sz="4" w:space="0"/>
            </w:tcBorders>
          </w:tcPr>
          <w:p w14:paraId="437446E9">
            <w:pPr>
              <w:jc w:val="center"/>
              <w:rPr>
                <w:rFonts w:hint="eastAsia" w:ascii="宋体" w:hAnsi="宋体" w:eastAsia="宋体" w:cs="宋体"/>
                <w:color w:val="auto"/>
                <w:sz w:val="24"/>
                <w:szCs w:val="24"/>
              </w:rPr>
            </w:pPr>
          </w:p>
        </w:tc>
        <w:tc>
          <w:tcPr>
            <w:tcW w:w="1746" w:type="dxa"/>
            <w:tcBorders>
              <w:left w:val="single" w:color="auto" w:sz="4" w:space="0"/>
            </w:tcBorders>
          </w:tcPr>
          <w:p w14:paraId="1978A916">
            <w:pPr>
              <w:jc w:val="center"/>
              <w:rPr>
                <w:rFonts w:hint="eastAsia" w:ascii="宋体" w:hAnsi="宋体" w:eastAsia="宋体" w:cs="宋体"/>
                <w:color w:val="auto"/>
                <w:sz w:val="24"/>
                <w:szCs w:val="24"/>
              </w:rPr>
            </w:pPr>
          </w:p>
        </w:tc>
      </w:tr>
      <w:tr w14:paraId="2FF59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74CDC9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2387" w:type="dxa"/>
          </w:tcPr>
          <w:p w14:paraId="6B2D387C">
            <w:pPr>
              <w:jc w:val="center"/>
              <w:rPr>
                <w:rFonts w:hint="eastAsia" w:ascii="宋体" w:hAnsi="宋体" w:eastAsia="宋体" w:cs="宋体"/>
                <w:color w:val="auto"/>
                <w:sz w:val="24"/>
                <w:szCs w:val="24"/>
              </w:rPr>
            </w:pPr>
          </w:p>
        </w:tc>
        <w:tc>
          <w:tcPr>
            <w:tcW w:w="1462" w:type="dxa"/>
          </w:tcPr>
          <w:p w14:paraId="37ED1B70">
            <w:pPr>
              <w:jc w:val="center"/>
              <w:rPr>
                <w:rFonts w:hint="eastAsia" w:ascii="宋体" w:hAnsi="宋体" w:eastAsia="宋体" w:cs="宋体"/>
                <w:color w:val="auto"/>
                <w:sz w:val="24"/>
                <w:szCs w:val="24"/>
              </w:rPr>
            </w:pPr>
          </w:p>
        </w:tc>
        <w:tc>
          <w:tcPr>
            <w:tcW w:w="2415" w:type="dxa"/>
            <w:tcBorders>
              <w:right w:val="single" w:color="auto" w:sz="4" w:space="0"/>
            </w:tcBorders>
          </w:tcPr>
          <w:p w14:paraId="3866CED7">
            <w:pPr>
              <w:jc w:val="center"/>
              <w:rPr>
                <w:rFonts w:hint="eastAsia" w:ascii="宋体" w:hAnsi="宋体" w:eastAsia="宋体" w:cs="宋体"/>
                <w:color w:val="auto"/>
                <w:sz w:val="24"/>
                <w:szCs w:val="24"/>
              </w:rPr>
            </w:pPr>
          </w:p>
        </w:tc>
        <w:tc>
          <w:tcPr>
            <w:tcW w:w="1746" w:type="dxa"/>
            <w:tcBorders>
              <w:left w:val="single" w:color="auto" w:sz="4" w:space="0"/>
            </w:tcBorders>
          </w:tcPr>
          <w:p w14:paraId="3F2E27D7">
            <w:pPr>
              <w:jc w:val="center"/>
              <w:rPr>
                <w:rFonts w:hint="eastAsia" w:ascii="宋体" w:hAnsi="宋体" w:eastAsia="宋体" w:cs="宋体"/>
                <w:color w:val="auto"/>
                <w:sz w:val="24"/>
                <w:szCs w:val="24"/>
              </w:rPr>
            </w:pPr>
          </w:p>
        </w:tc>
      </w:tr>
    </w:tbl>
    <w:p w14:paraId="250D7971">
      <w:pPr>
        <w:spacing w:line="360" w:lineRule="auto"/>
        <w:ind w:firstLine="480" w:firstLineChars="200"/>
        <w:rPr>
          <w:rFonts w:hint="eastAsia" w:ascii="宋体" w:hAnsi="宋体" w:eastAsia="宋体" w:cs="宋体"/>
          <w:color w:val="auto"/>
          <w:sz w:val="24"/>
          <w:szCs w:val="24"/>
        </w:rPr>
      </w:pPr>
    </w:p>
    <w:p w14:paraId="06C4179B">
      <w:pPr>
        <w:spacing w:line="360" w:lineRule="auto"/>
        <w:ind w:left="3600" w:leftChars="1800" w:firstLine="480" w:firstLineChars="200"/>
        <w:rPr>
          <w:rFonts w:hint="eastAsia" w:ascii="宋体" w:hAnsi="宋体" w:eastAsia="宋体" w:cs="宋体"/>
          <w:color w:val="auto"/>
          <w:sz w:val="24"/>
          <w:szCs w:val="24"/>
        </w:rPr>
      </w:pPr>
    </w:p>
    <w:p w14:paraId="0EE59F6A">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法定代表人签名（或签名章）：                       </w:t>
      </w:r>
    </w:p>
    <w:p w14:paraId="52F134D0">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16B862A9">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供应商全称（公章）：</w:t>
      </w:r>
    </w:p>
    <w:p w14:paraId="7E7D7406">
      <w:pPr>
        <w:snapToGrid w:val="0"/>
        <w:spacing w:before="50" w:after="156" w:afterLines="5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30"/>
          <w:szCs w:val="30"/>
        </w:rPr>
        <w:br w:type="page"/>
      </w:r>
      <w:r>
        <w:rPr>
          <w:rFonts w:hint="eastAsia" w:ascii="宋体" w:hAnsi="宋体" w:eastAsia="宋体" w:cs="宋体"/>
          <w:b/>
          <w:bCs/>
          <w:color w:val="auto"/>
          <w:sz w:val="24"/>
          <w:szCs w:val="24"/>
          <w:lang w:val="zh-CN"/>
        </w:rPr>
        <w:t>附件</w:t>
      </w: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lang w:val="zh-CN"/>
        </w:rPr>
        <w:t>：</w:t>
      </w:r>
    </w:p>
    <w:p w14:paraId="1FA85F1F">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投标项目明细清单</w:t>
      </w:r>
    </w:p>
    <w:p w14:paraId="7B062D00">
      <w:pPr>
        <w:spacing w:line="360" w:lineRule="auto"/>
        <w:ind w:firstLine="480" w:firstLineChars="200"/>
        <w:rPr>
          <w:rFonts w:hint="eastAsia" w:ascii="宋体" w:hAnsi="宋体" w:eastAsia="宋体" w:cs="宋体"/>
          <w:color w:val="auto"/>
          <w:sz w:val="24"/>
          <w:szCs w:val="24"/>
        </w:rPr>
      </w:pPr>
    </w:p>
    <w:p w14:paraId="67AFA4C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7269831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采购编号：</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360C8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27A12219">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F593375">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20F06A25">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服务人员数量</w:t>
            </w:r>
          </w:p>
        </w:tc>
        <w:tc>
          <w:tcPr>
            <w:tcW w:w="2830" w:type="dxa"/>
            <w:tcBorders>
              <w:top w:val="single" w:color="auto" w:sz="4" w:space="0"/>
              <w:left w:val="single" w:color="auto" w:sz="4" w:space="0"/>
              <w:bottom w:val="single" w:color="auto" w:sz="4" w:space="0"/>
            </w:tcBorders>
            <w:vAlign w:val="center"/>
          </w:tcPr>
          <w:p w14:paraId="2BC12ACE">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工作量</w:t>
            </w:r>
          </w:p>
        </w:tc>
      </w:tr>
      <w:tr w14:paraId="7AA74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B17055F">
            <w:pPr>
              <w:snapToGrid w:val="0"/>
              <w:spacing w:before="50" w:after="50"/>
              <w:jc w:val="center"/>
              <w:rPr>
                <w:rFonts w:hint="eastAsia" w:ascii="宋体" w:hAnsi="宋体" w:eastAsia="宋体" w:cs="宋体"/>
                <w:color w:val="auto"/>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7B97225A">
            <w:pPr>
              <w:snapToGrid w:val="0"/>
              <w:spacing w:before="50" w:after="50"/>
              <w:jc w:val="center"/>
              <w:rPr>
                <w:rFonts w:hint="eastAsia" w:ascii="宋体" w:hAnsi="宋体" w:eastAsia="宋体" w:cs="宋体"/>
                <w:color w:val="auto"/>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008B895C">
            <w:pPr>
              <w:snapToGrid w:val="0"/>
              <w:spacing w:before="50" w:after="50"/>
              <w:ind w:left="480" w:hanging="480"/>
              <w:jc w:val="center"/>
              <w:rPr>
                <w:rFonts w:hint="eastAsia" w:ascii="宋体" w:hAnsi="宋体" w:eastAsia="宋体" w:cs="宋体"/>
                <w:color w:val="auto"/>
                <w:sz w:val="24"/>
                <w:szCs w:val="24"/>
              </w:rPr>
            </w:pPr>
          </w:p>
        </w:tc>
        <w:tc>
          <w:tcPr>
            <w:tcW w:w="2830" w:type="dxa"/>
            <w:tcBorders>
              <w:top w:val="single" w:color="auto" w:sz="4" w:space="0"/>
              <w:left w:val="single" w:color="auto" w:sz="4" w:space="0"/>
              <w:bottom w:val="single" w:color="auto" w:sz="4" w:space="0"/>
            </w:tcBorders>
            <w:vAlign w:val="center"/>
          </w:tcPr>
          <w:p w14:paraId="36686F6E">
            <w:pPr>
              <w:snapToGrid w:val="0"/>
              <w:spacing w:before="50" w:after="50"/>
              <w:jc w:val="center"/>
              <w:rPr>
                <w:rFonts w:hint="eastAsia" w:ascii="宋体" w:hAnsi="宋体" w:eastAsia="宋体" w:cs="宋体"/>
                <w:color w:val="auto"/>
                <w:sz w:val="24"/>
                <w:szCs w:val="24"/>
              </w:rPr>
            </w:pPr>
          </w:p>
        </w:tc>
      </w:tr>
      <w:tr w14:paraId="14118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4347A40">
            <w:pPr>
              <w:snapToGrid w:val="0"/>
              <w:spacing w:before="50" w:after="50"/>
              <w:jc w:val="center"/>
              <w:rPr>
                <w:rFonts w:hint="eastAsia" w:ascii="宋体" w:hAnsi="宋体" w:eastAsia="宋体" w:cs="宋体"/>
                <w:color w:val="auto"/>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14628037">
            <w:pPr>
              <w:snapToGrid w:val="0"/>
              <w:spacing w:before="50" w:after="50"/>
              <w:jc w:val="center"/>
              <w:rPr>
                <w:rFonts w:hint="eastAsia" w:ascii="宋体" w:hAnsi="宋体" w:eastAsia="宋体" w:cs="宋体"/>
                <w:color w:val="auto"/>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082DFC00">
            <w:pPr>
              <w:snapToGrid w:val="0"/>
              <w:spacing w:before="50" w:after="50"/>
              <w:ind w:left="480" w:hanging="480"/>
              <w:jc w:val="center"/>
              <w:rPr>
                <w:rFonts w:hint="eastAsia" w:ascii="宋体" w:hAnsi="宋体" w:eastAsia="宋体" w:cs="宋体"/>
                <w:color w:val="auto"/>
                <w:sz w:val="24"/>
                <w:szCs w:val="24"/>
              </w:rPr>
            </w:pPr>
          </w:p>
        </w:tc>
        <w:tc>
          <w:tcPr>
            <w:tcW w:w="2830" w:type="dxa"/>
            <w:tcBorders>
              <w:top w:val="single" w:color="auto" w:sz="4" w:space="0"/>
              <w:left w:val="single" w:color="auto" w:sz="4" w:space="0"/>
              <w:bottom w:val="single" w:color="auto" w:sz="4" w:space="0"/>
            </w:tcBorders>
            <w:vAlign w:val="center"/>
          </w:tcPr>
          <w:p w14:paraId="168AE7F7">
            <w:pPr>
              <w:snapToGrid w:val="0"/>
              <w:spacing w:before="50" w:after="50"/>
              <w:jc w:val="center"/>
              <w:rPr>
                <w:rFonts w:hint="eastAsia" w:ascii="宋体" w:hAnsi="宋体" w:eastAsia="宋体" w:cs="宋体"/>
                <w:color w:val="auto"/>
                <w:sz w:val="24"/>
                <w:szCs w:val="24"/>
              </w:rPr>
            </w:pPr>
          </w:p>
        </w:tc>
      </w:tr>
    </w:tbl>
    <w:p w14:paraId="035022FF">
      <w:pPr>
        <w:snapToGrid w:val="0"/>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注：在填写时，如上表不适合本项目的实际情况，可在确保投标明细内容完整的情况下，根据上表格式自行划表填写。</w:t>
      </w:r>
    </w:p>
    <w:p w14:paraId="43931DC8">
      <w:pPr>
        <w:pStyle w:val="13"/>
        <w:rPr>
          <w:rFonts w:hint="eastAsia" w:ascii="宋体" w:hAnsi="宋体" w:eastAsia="宋体" w:cs="宋体"/>
          <w:color w:val="auto"/>
        </w:rPr>
      </w:pPr>
    </w:p>
    <w:p w14:paraId="65D09B1B">
      <w:pPr>
        <w:pStyle w:val="13"/>
        <w:rPr>
          <w:rFonts w:hint="eastAsia" w:ascii="宋体" w:hAnsi="宋体" w:eastAsia="宋体" w:cs="宋体"/>
          <w:color w:val="auto"/>
        </w:rPr>
      </w:pPr>
    </w:p>
    <w:p w14:paraId="441DDF8C">
      <w:pPr>
        <w:pStyle w:val="13"/>
        <w:rPr>
          <w:rFonts w:hint="eastAsia" w:ascii="宋体" w:hAnsi="宋体" w:eastAsia="宋体" w:cs="宋体"/>
          <w:color w:val="auto"/>
        </w:rPr>
      </w:pPr>
    </w:p>
    <w:p w14:paraId="5DF243B3">
      <w:pPr>
        <w:snapToGrid w:val="0"/>
        <w:spacing w:before="156" w:beforeLines="50"/>
        <w:rPr>
          <w:rFonts w:hint="eastAsia" w:ascii="宋体" w:hAnsi="宋体" w:eastAsia="宋体" w:cs="宋体"/>
          <w:color w:val="auto"/>
          <w:sz w:val="24"/>
          <w:szCs w:val="24"/>
        </w:rPr>
      </w:pPr>
    </w:p>
    <w:p w14:paraId="0DCA0554">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法定代表人签名（或签名章）：                       </w:t>
      </w:r>
    </w:p>
    <w:p w14:paraId="18CA09F8">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42B4ABA7">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供应商全称（公章）：</w:t>
      </w:r>
    </w:p>
    <w:p w14:paraId="5798E5B1">
      <w:pPr>
        <w:snapToGrid w:val="0"/>
        <w:spacing w:before="50" w:after="50"/>
        <w:rPr>
          <w:rFonts w:hint="eastAsia" w:ascii="宋体" w:hAnsi="宋体" w:eastAsia="宋体" w:cs="宋体"/>
          <w:color w:val="auto"/>
          <w:spacing w:val="20"/>
          <w:sz w:val="24"/>
          <w:szCs w:val="24"/>
        </w:rPr>
      </w:pPr>
    </w:p>
    <w:p w14:paraId="285D1DCE">
      <w:pPr>
        <w:snapToGrid w:val="0"/>
        <w:spacing w:before="50" w:after="50"/>
        <w:rPr>
          <w:rFonts w:hint="eastAsia" w:ascii="宋体" w:hAnsi="宋体" w:eastAsia="宋体" w:cs="宋体"/>
          <w:color w:val="auto"/>
          <w:spacing w:val="20"/>
          <w:sz w:val="30"/>
          <w:szCs w:val="30"/>
        </w:rPr>
      </w:pPr>
    </w:p>
    <w:p w14:paraId="6F4F2760">
      <w:pPr>
        <w:pStyle w:val="13"/>
        <w:ind w:firstLine="686"/>
        <w:rPr>
          <w:rFonts w:hint="eastAsia" w:ascii="宋体" w:hAnsi="宋体" w:eastAsia="宋体" w:cs="宋体"/>
          <w:color w:val="auto"/>
          <w:spacing w:val="20"/>
          <w:sz w:val="30"/>
          <w:szCs w:val="30"/>
        </w:rPr>
      </w:pPr>
    </w:p>
    <w:p w14:paraId="1D2366C8">
      <w:pPr>
        <w:pStyle w:val="13"/>
        <w:ind w:firstLine="686"/>
        <w:rPr>
          <w:rFonts w:hint="eastAsia" w:ascii="宋体" w:hAnsi="宋体" w:eastAsia="宋体" w:cs="宋体"/>
          <w:color w:val="auto"/>
          <w:spacing w:val="20"/>
          <w:sz w:val="30"/>
          <w:szCs w:val="30"/>
        </w:rPr>
        <w:sectPr>
          <w:pgSz w:w="11906" w:h="16838"/>
          <w:pgMar w:top="1440" w:right="1800" w:bottom="1440" w:left="1800" w:header="851" w:footer="992" w:gutter="0"/>
          <w:pgNumType w:start="10"/>
          <w:cols w:space="425" w:num="1"/>
          <w:docGrid w:type="lines" w:linePitch="312" w:charSpace="0"/>
        </w:sectPr>
      </w:pPr>
    </w:p>
    <w:p w14:paraId="7FB3A94D">
      <w:pPr>
        <w:rPr>
          <w:rFonts w:hint="eastAsia" w:ascii="宋体" w:hAnsi="宋体" w:eastAsia="宋体" w:cs="宋体"/>
          <w:b/>
          <w:bCs/>
          <w:color w:val="auto"/>
          <w:sz w:val="24"/>
          <w:szCs w:val="24"/>
        </w:rPr>
      </w:pPr>
      <w:bookmarkStart w:id="94" w:name="_Toc2823"/>
      <w:r>
        <w:rPr>
          <w:rFonts w:hint="eastAsia" w:ascii="宋体" w:hAnsi="宋体" w:eastAsia="宋体" w:cs="宋体"/>
          <w:b/>
          <w:bCs/>
          <w:color w:val="auto"/>
          <w:sz w:val="24"/>
          <w:szCs w:val="24"/>
        </w:rPr>
        <w:t>附件</w:t>
      </w: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rPr>
        <w:t>：</w:t>
      </w:r>
    </w:p>
    <w:p w14:paraId="5F0A9081">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技术响应及建议表</w:t>
      </w:r>
      <w:bookmarkEnd w:id="94"/>
    </w:p>
    <w:p w14:paraId="1DAE9F1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43E7BFF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4E2FAA1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采购编号：</w:t>
      </w:r>
    </w:p>
    <w:tbl>
      <w:tblPr>
        <w:tblStyle w:val="2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4229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FB8D97D">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40" w:type="dxa"/>
            <w:vAlign w:val="center"/>
          </w:tcPr>
          <w:p w14:paraId="2F2EF2C7">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980" w:type="dxa"/>
            <w:vAlign w:val="center"/>
          </w:tcPr>
          <w:p w14:paraId="5D38E6DC">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磋商文件要求</w:t>
            </w:r>
          </w:p>
        </w:tc>
        <w:tc>
          <w:tcPr>
            <w:tcW w:w="2520" w:type="dxa"/>
            <w:vAlign w:val="center"/>
          </w:tcPr>
          <w:p w14:paraId="51627906">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响应文件响应</w:t>
            </w:r>
          </w:p>
        </w:tc>
        <w:tc>
          <w:tcPr>
            <w:tcW w:w="1953" w:type="dxa"/>
            <w:vAlign w:val="center"/>
          </w:tcPr>
          <w:p w14:paraId="5E7EC554">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偏离情况</w:t>
            </w:r>
          </w:p>
        </w:tc>
      </w:tr>
      <w:tr w14:paraId="0D05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B6C4834">
            <w:pPr>
              <w:snapToGrid w:val="0"/>
              <w:spacing w:before="50" w:after="50"/>
              <w:jc w:val="center"/>
              <w:rPr>
                <w:rFonts w:hint="eastAsia" w:ascii="宋体" w:hAnsi="宋体" w:eastAsia="宋体" w:cs="宋体"/>
                <w:color w:val="auto"/>
                <w:sz w:val="24"/>
                <w:szCs w:val="24"/>
              </w:rPr>
            </w:pPr>
          </w:p>
        </w:tc>
        <w:tc>
          <w:tcPr>
            <w:tcW w:w="1440" w:type="dxa"/>
            <w:vAlign w:val="center"/>
          </w:tcPr>
          <w:p w14:paraId="43228FB3">
            <w:pPr>
              <w:snapToGrid w:val="0"/>
              <w:spacing w:before="50" w:after="50"/>
              <w:jc w:val="center"/>
              <w:rPr>
                <w:rFonts w:hint="eastAsia" w:ascii="宋体" w:hAnsi="宋体" w:eastAsia="宋体" w:cs="宋体"/>
                <w:color w:val="auto"/>
                <w:sz w:val="24"/>
                <w:szCs w:val="24"/>
              </w:rPr>
            </w:pPr>
          </w:p>
        </w:tc>
        <w:tc>
          <w:tcPr>
            <w:tcW w:w="1980" w:type="dxa"/>
            <w:vAlign w:val="center"/>
          </w:tcPr>
          <w:p w14:paraId="3C7E3252">
            <w:pPr>
              <w:snapToGrid w:val="0"/>
              <w:spacing w:before="50" w:after="50"/>
              <w:jc w:val="center"/>
              <w:rPr>
                <w:rFonts w:hint="eastAsia" w:ascii="宋体" w:hAnsi="宋体" w:eastAsia="宋体" w:cs="宋体"/>
                <w:color w:val="auto"/>
                <w:sz w:val="24"/>
                <w:szCs w:val="24"/>
              </w:rPr>
            </w:pPr>
          </w:p>
        </w:tc>
        <w:tc>
          <w:tcPr>
            <w:tcW w:w="2520" w:type="dxa"/>
            <w:vAlign w:val="center"/>
          </w:tcPr>
          <w:p w14:paraId="2F9922C9">
            <w:pPr>
              <w:snapToGrid w:val="0"/>
              <w:spacing w:before="50" w:after="50"/>
              <w:jc w:val="center"/>
              <w:rPr>
                <w:rFonts w:hint="eastAsia" w:ascii="宋体" w:hAnsi="宋体" w:eastAsia="宋体" w:cs="宋体"/>
                <w:color w:val="auto"/>
                <w:sz w:val="24"/>
                <w:szCs w:val="24"/>
              </w:rPr>
            </w:pPr>
          </w:p>
        </w:tc>
        <w:tc>
          <w:tcPr>
            <w:tcW w:w="1953" w:type="dxa"/>
            <w:vAlign w:val="center"/>
          </w:tcPr>
          <w:p w14:paraId="7757FCB7">
            <w:pPr>
              <w:snapToGrid w:val="0"/>
              <w:spacing w:before="50" w:after="50"/>
              <w:jc w:val="center"/>
              <w:rPr>
                <w:rFonts w:hint="eastAsia" w:ascii="宋体" w:hAnsi="宋体" w:eastAsia="宋体" w:cs="宋体"/>
                <w:color w:val="auto"/>
                <w:sz w:val="24"/>
                <w:szCs w:val="24"/>
              </w:rPr>
            </w:pPr>
          </w:p>
        </w:tc>
      </w:tr>
      <w:tr w14:paraId="15AF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2E4BE35">
            <w:pPr>
              <w:snapToGrid w:val="0"/>
              <w:spacing w:before="50" w:after="50"/>
              <w:jc w:val="center"/>
              <w:rPr>
                <w:rFonts w:hint="eastAsia" w:ascii="宋体" w:hAnsi="宋体" w:eastAsia="宋体" w:cs="宋体"/>
                <w:color w:val="auto"/>
                <w:sz w:val="24"/>
                <w:szCs w:val="24"/>
              </w:rPr>
            </w:pPr>
          </w:p>
        </w:tc>
        <w:tc>
          <w:tcPr>
            <w:tcW w:w="1440" w:type="dxa"/>
            <w:vAlign w:val="center"/>
          </w:tcPr>
          <w:p w14:paraId="2D976D6C">
            <w:pPr>
              <w:snapToGrid w:val="0"/>
              <w:spacing w:before="50" w:after="50"/>
              <w:jc w:val="center"/>
              <w:rPr>
                <w:rFonts w:hint="eastAsia" w:ascii="宋体" w:hAnsi="宋体" w:eastAsia="宋体" w:cs="宋体"/>
                <w:color w:val="auto"/>
                <w:sz w:val="24"/>
                <w:szCs w:val="24"/>
              </w:rPr>
            </w:pPr>
          </w:p>
        </w:tc>
        <w:tc>
          <w:tcPr>
            <w:tcW w:w="1980" w:type="dxa"/>
            <w:vAlign w:val="center"/>
          </w:tcPr>
          <w:p w14:paraId="4F4C0F67">
            <w:pPr>
              <w:snapToGrid w:val="0"/>
              <w:spacing w:before="50" w:after="50"/>
              <w:jc w:val="center"/>
              <w:rPr>
                <w:rFonts w:hint="eastAsia" w:ascii="宋体" w:hAnsi="宋体" w:eastAsia="宋体" w:cs="宋体"/>
                <w:color w:val="auto"/>
                <w:sz w:val="24"/>
                <w:szCs w:val="24"/>
              </w:rPr>
            </w:pPr>
          </w:p>
        </w:tc>
        <w:tc>
          <w:tcPr>
            <w:tcW w:w="2520" w:type="dxa"/>
            <w:vAlign w:val="center"/>
          </w:tcPr>
          <w:p w14:paraId="5D1727E1">
            <w:pPr>
              <w:snapToGrid w:val="0"/>
              <w:spacing w:before="50" w:after="50"/>
              <w:jc w:val="center"/>
              <w:rPr>
                <w:rFonts w:hint="eastAsia" w:ascii="宋体" w:hAnsi="宋体" w:eastAsia="宋体" w:cs="宋体"/>
                <w:color w:val="auto"/>
                <w:sz w:val="24"/>
                <w:szCs w:val="24"/>
              </w:rPr>
            </w:pPr>
          </w:p>
        </w:tc>
        <w:tc>
          <w:tcPr>
            <w:tcW w:w="1953" w:type="dxa"/>
            <w:vAlign w:val="center"/>
          </w:tcPr>
          <w:p w14:paraId="43DEF9D7">
            <w:pPr>
              <w:snapToGrid w:val="0"/>
              <w:spacing w:before="50" w:after="50"/>
              <w:jc w:val="center"/>
              <w:rPr>
                <w:rFonts w:hint="eastAsia" w:ascii="宋体" w:hAnsi="宋体" w:eastAsia="宋体" w:cs="宋体"/>
                <w:color w:val="auto"/>
                <w:sz w:val="24"/>
                <w:szCs w:val="24"/>
              </w:rPr>
            </w:pPr>
          </w:p>
        </w:tc>
      </w:tr>
      <w:tr w14:paraId="7967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1A75C60">
            <w:pPr>
              <w:snapToGrid w:val="0"/>
              <w:spacing w:before="50" w:after="50"/>
              <w:jc w:val="center"/>
              <w:rPr>
                <w:rFonts w:hint="eastAsia" w:ascii="宋体" w:hAnsi="宋体" w:eastAsia="宋体" w:cs="宋体"/>
                <w:color w:val="auto"/>
                <w:sz w:val="24"/>
                <w:szCs w:val="24"/>
              </w:rPr>
            </w:pPr>
          </w:p>
        </w:tc>
        <w:tc>
          <w:tcPr>
            <w:tcW w:w="1440" w:type="dxa"/>
            <w:vAlign w:val="center"/>
          </w:tcPr>
          <w:p w14:paraId="533AC23C">
            <w:pPr>
              <w:snapToGrid w:val="0"/>
              <w:spacing w:before="50" w:after="50"/>
              <w:jc w:val="center"/>
              <w:rPr>
                <w:rFonts w:hint="eastAsia" w:ascii="宋体" w:hAnsi="宋体" w:eastAsia="宋体" w:cs="宋体"/>
                <w:color w:val="auto"/>
                <w:sz w:val="24"/>
                <w:szCs w:val="24"/>
              </w:rPr>
            </w:pPr>
          </w:p>
        </w:tc>
        <w:tc>
          <w:tcPr>
            <w:tcW w:w="1980" w:type="dxa"/>
            <w:vAlign w:val="center"/>
          </w:tcPr>
          <w:p w14:paraId="2CB7231F">
            <w:pPr>
              <w:snapToGrid w:val="0"/>
              <w:spacing w:before="50" w:after="50"/>
              <w:jc w:val="center"/>
              <w:rPr>
                <w:rFonts w:hint="eastAsia" w:ascii="宋体" w:hAnsi="宋体" w:eastAsia="宋体" w:cs="宋体"/>
                <w:color w:val="auto"/>
                <w:sz w:val="24"/>
                <w:szCs w:val="24"/>
              </w:rPr>
            </w:pPr>
          </w:p>
        </w:tc>
        <w:tc>
          <w:tcPr>
            <w:tcW w:w="2520" w:type="dxa"/>
            <w:vAlign w:val="center"/>
          </w:tcPr>
          <w:p w14:paraId="69D3B802">
            <w:pPr>
              <w:snapToGrid w:val="0"/>
              <w:spacing w:before="50" w:after="50"/>
              <w:jc w:val="center"/>
              <w:rPr>
                <w:rFonts w:hint="eastAsia" w:ascii="宋体" w:hAnsi="宋体" w:eastAsia="宋体" w:cs="宋体"/>
                <w:color w:val="auto"/>
                <w:sz w:val="24"/>
                <w:szCs w:val="24"/>
              </w:rPr>
            </w:pPr>
          </w:p>
        </w:tc>
        <w:tc>
          <w:tcPr>
            <w:tcW w:w="1953" w:type="dxa"/>
            <w:vAlign w:val="center"/>
          </w:tcPr>
          <w:p w14:paraId="42B2AB65">
            <w:pPr>
              <w:snapToGrid w:val="0"/>
              <w:spacing w:before="50" w:after="50"/>
              <w:jc w:val="center"/>
              <w:rPr>
                <w:rFonts w:hint="eastAsia" w:ascii="宋体" w:hAnsi="宋体" w:eastAsia="宋体" w:cs="宋体"/>
                <w:color w:val="auto"/>
                <w:sz w:val="24"/>
                <w:szCs w:val="24"/>
              </w:rPr>
            </w:pPr>
          </w:p>
        </w:tc>
      </w:tr>
      <w:tr w14:paraId="5FD2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5AFD7C7">
            <w:pPr>
              <w:snapToGrid w:val="0"/>
              <w:spacing w:before="50" w:after="50"/>
              <w:jc w:val="center"/>
              <w:rPr>
                <w:rFonts w:hint="eastAsia" w:ascii="宋体" w:hAnsi="宋体" w:eastAsia="宋体" w:cs="宋体"/>
                <w:color w:val="auto"/>
                <w:sz w:val="24"/>
                <w:szCs w:val="24"/>
              </w:rPr>
            </w:pPr>
          </w:p>
        </w:tc>
        <w:tc>
          <w:tcPr>
            <w:tcW w:w="1440" w:type="dxa"/>
            <w:vAlign w:val="center"/>
          </w:tcPr>
          <w:p w14:paraId="798D58B3">
            <w:pPr>
              <w:snapToGrid w:val="0"/>
              <w:spacing w:before="50" w:after="50"/>
              <w:jc w:val="center"/>
              <w:rPr>
                <w:rFonts w:hint="eastAsia" w:ascii="宋体" w:hAnsi="宋体" w:eastAsia="宋体" w:cs="宋体"/>
                <w:color w:val="auto"/>
                <w:sz w:val="24"/>
                <w:szCs w:val="24"/>
              </w:rPr>
            </w:pPr>
          </w:p>
        </w:tc>
        <w:tc>
          <w:tcPr>
            <w:tcW w:w="1980" w:type="dxa"/>
            <w:vAlign w:val="center"/>
          </w:tcPr>
          <w:p w14:paraId="72892181">
            <w:pPr>
              <w:snapToGrid w:val="0"/>
              <w:spacing w:before="50" w:after="50"/>
              <w:jc w:val="center"/>
              <w:rPr>
                <w:rFonts w:hint="eastAsia" w:ascii="宋体" w:hAnsi="宋体" w:eastAsia="宋体" w:cs="宋体"/>
                <w:color w:val="auto"/>
                <w:sz w:val="24"/>
                <w:szCs w:val="24"/>
              </w:rPr>
            </w:pPr>
          </w:p>
        </w:tc>
        <w:tc>
          <w:tcPr>
            <w:tcW w:w="2520" w:type="dxa"/>
            <w:vAlign w:val="center"/>
          </w:tcPr>
          <w:p w14:paraId="3EB1BBAB">
            <w:pPr>
              <w:snapToGrid w:val="0"/>
              <w:spacing w:before="50" w:after="50"/>
              <w:jc w:val="center"/>
              <w:rPr>
                <w:rFonts w:hint="eastAsia" w:ascii="宋体" w:hAnsi="宋体" w:eastAsia="宋体" w:cs="宋体"/>
                <w:color w:val="auto"/>
                <w:sz w:val="24"/>
                <w:szCs w:val="24"/>
              </w:rPr>
            </w:pPr>
          </w:p>
        </w:tc>
        <w:tc>
          <w:tcPr>
            <w:tcW w:w="1953" w:type="dxa"/>
            <w:vAlign w:val="center"/>
          </w:tcPr>
          <w:p w14:paraId="6C6FDCFD">
            <w:pPr>
              <w:snapToGrid w:val="0"/>
              <w:spacing w:before="50" w:after="50"/>
              <w:jc w:val="center"/>
              <w:rPr>
                <w:rFonts w:hint="eastAsia" w:ascii="宋体" w:hAnsi="宋体" w:eastAsia="宋体" w:cs="宋体"/>
                <w:color w:val="auto"/>
                <w:sz w:val="24"/>
                <w:szCs w:val="24"/>
              </w:rPr>
            </w:pPr>
          </w:p>
        </w:tc>
      </w:tr>
      <w:tr w14:paraId="3D1E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28B5094">
            <w:pPr>
              <w:snapToGrid w:val="0"/>
              <w:spacing w:before="50" w:after="50"/>
              <w:jc w:val="center"/>
              <w:rPr>
                <w:rFonts w:hint="eastAsia" w:ascii="宋体" w:hAnsi="宋体" w:eastAsia="宋体" w:cs="宋体"/>
                <w:color w:val="auto"/>
                <w:sz w:val="24"/>
                <w:szCs w:val="24"/>
              </w:rPr>
            </w:pPr>
          </w:p>
        </w:tc>
        <w:tc>
          <w:tcPr>
            <w:tcW w:w="1440" w:type="dxa"/>
            <w:vAlign w:val="center"/>
          </w:tcPr>
          <w:p w14:paraId="020B6352">
            <w:pPr>
              <w:snapToGrid w:val="0"/>
              <w:spacing w:before="50" w:after="50"/>
              <w:jc w:val="center"/>
              <w:rPr>
                <w:rFonts w:hint="eastAsia" w:ascii="宋体" w:hAnsi="宋体" w:eastAsia="宋体" w:cs="宋体"/>
                <w:color w:val="auto"/>
                <w:sz w:val="24"/>
                <w:szCs w:val="24"/>
              </w:rPr>
            </w:pPr>
          </w:p>
        </w:tc>
        <w:tc>
          <w:tcPr>
            <w:tcW w:w="1980" w:type="dxa"/>
            <w:vAlign w:val="center"/>
          </w:tcPr>
          <w:p w14:paraId="35448DFC">
            <w:pPr>
              <w:snapToGrid w:val="0"/>
              <w:spacing w:before="50" w:after="50"/>
              <w:jc w:val="center"/>
              <w:rPr>
                <w:rFonts w:hint="eastAsia" w:ascii="宋体" w:hAnsi="宋体" w:eastAsia="宋体" w:cs="宋体"/>
                <w:color w:val="auto"/>
                <w:sz w:val="24"/>
                <w:szCs w:val="24"/>
              </w:rPr>
            </w:pPr>
          </w:p>
        </w:tc>
        <w:tc>
          <w:tcPr>
            <w:tcW w:w="2520" w:type="dxa"/>
            <w:vAlign w:val="center"/>
          </w:tcPr>
          <w:p w14:paraId="49A083B3">
            <w:pPr>
              <w:snapToGrid w:val="0"/>
              <w:spacing w:before="50" w:after="50"/>
              <w:jc w:val="center"/>
              <w:rPr>
                <w:rFonts w:hint="eastAsia" w:ascii="宋体" w:hAnsi="宋体" w:eastAsia="宋体" w:cs="宋体"/>
                <w:color w:val="auto"/>
                <w:sz w:val="24"/>
                <w:szCs w:val="24"/>
              </w:rPr>
            </w:pPr>
          </w:p>
        </w:tc>
        <w:tc>
          <w:tcPr>
            <w:tcW w:w="1953" w:type="dxa"/>
            <w:vAlign w:val="center"/>
          </w:tcPr>
          <w:p w14:paraId="6E330FC3">
            <w:pPr>
              <w:snapToGrid w:val="0"/>
              <w:spacing w:before="50" w:after="50"/>
              <w:jc w:val="center"/>
              <w:rPr>
                <w:rFonts w:hint="eastAsia" w:ascii="宋体" w:hAnsi="宋体" w:eastAsia="宋体" w:cs="宋体"/>
                <w:color w:val="auto"/>
                <w:sz w:val="24"/>
                <w:szCs w:val="24"/>
              </w:rPr>
            </w:pPr>
          </w:p>
        </w:tc>
      </w:tr>
      <w:tr w14:paraId="5561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73D45CFF">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投标建议</w:t>
            </w:r>
          </w:p>
        </w:tc>
        <w:tc>
          <w:tcPr>
            <w:tcW w:w="6453" w:type="dxa"/>
            <w:gridSpan w:val="3"/>
            <w:vAlign w:val="center"/>
          </w:tcPr>
          <w:p w14:paraId="4AB35025">
            <w:pPr>
              <w:spacing w:line="360" w:lineRule="auto"/>
              <w:jc w:val="center"/>
              <w:rPr>
                <w:rFonts w:hint="eastAsia" w:ascii="宋体" w:hAnsi="宋体" w:eastAsia="宋体" w:cs="宋体"/>
                <w:color w:val="auto"/>
                <w:sz w:val="24"/>
                <w:szCs w:val="24"/>
              </w:rPr>
            </w:pPr>
          </w:p>
        </w:tc>
      </w:tr>
    </w:tbl>
    <w:p w14:paraId="1F64F825">
      <w:pPr>
        <w:snapToGrid w:val="0"/>
        <w:spacing w:line="360" w:lineRule="auto"/>
        <w:rPr>
          <w:rFonts w:hint="eastAsia" w:ascii="宋体" w:hAnsi="宋体" w:eastAsia="宋体" w:cs="宋体"/>
          <w:color w:val="auto"/>
          <w:sz w:val="24"/>
          <w:szCs w:val="24"/>
        </w:rPr>
      </w:pPr>
    </w:p>
    <w:p w14:paraId="03399812">
      <w:pPr>
        <w:pStyle w:val="15"/>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注：名称可基于项目清单根据供应商实际情况调整。</w:t>
      </w:r>
    </w:p>
    <w:p w14:paraId="6FE8A095">
      <w:pPr>
        <w:rPr>
          <w:rFonts w:hint="eastAsia" w:ascii="宋体" w:hAnsi="宋体" w:eastAsia="宋体" w:cs="宋体"/>
          <w:color w:val="auto"/>
          <w:sz w:val="24"/>
          <w:szCs w:val="24"/>
        </w:rPr>
      </w:pPr>
    </w:p>
    <w:p w14:paraId="31EFCBB5">
      <w:pPr>
        <w:pStyle w:val="13"/>
        <w:rPr>
          <w:rFonts w:hint="eastAsia" w:ascii="宋体" w:hAnsi="宋体" w:eastAsia="宋体" w:cs="宋体"/>
          <w:color w:val="auto"/>
        </w:rPr>
      </w:pPr>
    </w:p>
    <w:p w14:paraId="471F9476">
      <w:pPr>
        <w:snapToGrid w:val="0"/>
        <w:spacing w:line="360" w:lineRule="auto"/>
        <w:rPr>
          <w:rFonts w:hint="eastAsia" w:ascii="宋体" w:hAnsi="宋体" w:eastAsia="宋体" w:cs="宋体"/>
          <w:color w:val="auto"/>
          <w:sz w:val="24"/>
          <w:szCs w:val="24"/>
        </w:rPr>
      </w:pPr>
    </w:p>
    <w:p w14:paraId="597EC045">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法定代表人签名（或签名章）：                       </w:t>
      </w:r>
    </w:p>
    <w:p w14:paraId="1B09ACB9">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3CF7F929">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供应商全称（公章）：</w:t>
      </w:r>
    </w:p>
    <w:p w14:paraId="544D60ED">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1F2D5B52">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w:t>
      </w: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rPr>
        <w:t>：</w:t>
      </w:r>
    </w:p>
    <w:p w14:paraId="02CC08C9">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商务响应表</w:t>
      </w:r>
    </w:p>
    <w:p w14:paraId="731B8F21">
      <w:pPr>
        <w:snapToGrid w:val="0"/>
        <w:spacing w:before="50"/>
        <w:jc w:val="center"/>
        <w:rPr>
          <w:rFonts w:hint="eastAsia" w:ascii="宋体" w:hAnsi="宋体" w:eastAsia="宋体" w:cs="宋体"/>
          <w:b/>
          <w:bCs/>
          <w:color w:val="auto"/>
          <w:sz w:val="32"/>
          <w:szCs w:val="32"/>
        </w:rPr>
      </w:pPr>
    </w:p>
    <w:p w14:paraId="4589ADB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3A6BE1C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采购编号：</w:t>
      </w:r>
    </w:p>
    <w:tbl>
      <w:tblPr>
        <w:tblStyle w:val="28"/>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2F8CF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4EB665B">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4C481624">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A204A4C">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w:t>
            </w:r>
          </w:p>
          <w:p w14:paraId="5E3566AE">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w:t>
            </w:r>
          </w:p>
        </w:tc>
        <w:tc>
          <w:tcPr>
            <w:tcW w:w="3020" w:type="dxa"/>
            <w:tcBorders>
              <w:top w:val="single" w:color="auto" w:sz="4" w:space="0"/>
              <w:left w:val="single" w:color="auto" w:sz="4" w:space="0"/>
              <w:bottom w:val="single" w:color="auto" w:sz="4" w:space="0"/>
            </w:tcBorders>
            <w:vAlign w:val="center"/>
          </w:tcPr>
          <w:p w14:paraId="33B32A3F">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供应商的承诺或说明</w:t>
            </w:r>
          </w:p>
        </w:tc>
      </w:tr>
      <w:tr w14:paraId="7CFBE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DF98059">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3E82C94C">
            <w:pPr>
              <w:snapToGrid w:val="0"/>
              <w:spacing w:before="50" w:after="50"/>
              <w:jc w:val="center"/>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6AA8954">
            <w:pPr>
              <w:snapToGrid w:val="0"/>
              <w:spacing w:before="50" w:after="50"/>
              <w:jc w:val="center"/>
              <w:rPr>
                <w:rFonts w:hint="eastAsia" w:ascii="宋体" w:hAnsi="宋体" w:eastAsia="宋体" w:cs="宋体"/>
                <w:color w:val="auto"/>
                <w:sz w:val="24"/>
                <w:szCs w:val="24"/>
              </w:rPr>
            </w:pPr>
          </w:p>
        </w:tc>
        <w:tc>
          <w:tcPr>
            <w:tcW w:w="3020" w:type="dxa"/>
            <w:tcBorders>
              <w:top w:val="single" w:color="auto" w:sz="4" w:space="0"/>
              <w:left w:val="single" w:color="auto" w:sz="4" w:space="0"/>
              <w:bottom w:val="single" w:color="auto" w:sz="4" w:space="0"/>
            </w:tcBorders>
            <w:vAlign w:val="center"/>
          </w:tcPr>
          <w:p w14:paraId="296D2ABE">
            <w:pPr>
              <w:snapToGrid w:val="0"/>
              <w:spacing w:before="50" w:after="50"/>
              <w:jc w:val="center"/>
              <w:rPr>
                <w:rFonts w:hint="eastAsia" w:ascii="宋体" w:hAnsi="宋体" w:eastAsia="宋体" w:cs="宋体"/>
                <w:color w:val="auto"/>
                <w:sz w:val="24"/>
                <w:szCs w:val="24"/>
              </w:rPr>
            </w:pPr>
          </w:p>
        </w:tc>
      </w:tr>
      <w:tr w14:paraId="360A2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7F27011">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0ADB0CCF">
            <w:pPr>
              <w:snapToGrid w:val="0"/>
              <w:spacing w:before="50" w:after="50"/>
              <w:jc w:val="center"/>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A4E851">
            <w:pPr>
              <w:snapToGrid w:val="0"/>
              <w:spacing w:before="50" w:after="50"/>
              <w:jc w:val="center"/>
              <w:rPr>
                <w:rFonts w:hint="eastAsia" w:ascii="宋体" w:hAnsi="宋体" w:eastAsia="宋体" w:cs="宋体"/>
                <w:color w:val="auto"/>
                <w:sz w:val="24"/>
                <w:szCs w:val="24"/>
              </w:rPr>
            </w:pPr>
          </w:p>
        </w:tc>
        <w:tc>
          <w:tcPr>
            <w:tcW w:w="3020" w:type="dxa"/>
            <w:tcBorders>
              <w:top w:val="single" w:color="auto" w:sz="4" w:space="0"/>
              <w:left w:val="single" w:color="auto" w:sz="4" w:space="0"/>
              <w:bottom w:val="single" w:color="auto" w:sz="4" w:space="0"/>
            </w:tcBorders>
            <w:vAlign w:val="center"/>
          </w:tcPr>
          <w:p w14:paraId="68DFBB7A">
            <w:pPr>
              <w:snapToGrid w:val="0"/>
              <w:spacing w:before="50" w:after="50"/>
              <w:jc w:val="center"/>
              <w:rPr>
                <w:rFonts w:hint="eastAsia" w:ascii="宋体" w:hAnsi="宋体" w:eastAsia="宋体" w:cs="宋体"/>
                <w:color w:val="auto"/>
                <w:sz w:val="24"/>
                <w:szCs w:val="24"/>
              </w:rPr>
            </w:pPr>
          </w:p>
        </w:tc>
      </w:tr>
      <w:tr w14:paraId="03BFC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8866FFC">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4AC61D2E">
            <w:pPr>
              <w:snapToGrid w:val="0"/>
              <w:spacing w:before="50" w:after="50"/>
              <w:jc w:val="center"/>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69B19C6">
            <w:pPr>
              <w:snapToGrid w:val="0"/>
              <w:spacing w:before="50" w:after="50"/>
              <w:jc w:val="center"/>
              <w:rPr>
                <w:rFonts w:hint="eastAsia" w:ascii="宋体" w:hAnsi="宋体" w:eastAsia="宋体" w:cs="宋体"/>
                <w:color w:val="auto"/>
                <w:sz w:val="24"/>
                <w:szCs w:val="24"/>
              </w:rPr>
            </w:pPr>
          </w:p>
        </w:tc>
        <w:tc>
          <w:tcPr>
            <w:tcW w:w="3020" w:type="dxa"/>
            <w:tcBorders>
              <w:top w:val="single" w:color="auto" w:sz="4" w:space="0"/>
              <w:left w:val="single" w:color="auto" w:sz="4" w:space="0"/>
              <w:bottom w:val="single" w:color="auto" w:sz="4" w:space="0"/>
            </w:tcBorders>
            <w:vAlign w:val="center"/>
          </w:tcPr>
          <w:p w14:paraId="5FE73413">
            <w:pPr>
              <w:snapToGrid w:val="0"/>
              <w:spacing w:before="50" w:after="50"/>
              <w:jc w:val="center"/>
              <w:rPr>
                <w:rFonts w:hint="eastAsia" w:ascii="宋体" w:hAnsi="宋体" w:eastAsia="宋体" w:cs="宋体"/>
                <w:color w:val="auto"/>
                <w:sz w:val="24"/>
                <w:szCs w:val="24"/>
              </w:rPr>
            </w:pPr>
          </w:p>
        </w:tc>
      </w:tr>
      <w:tr w14:paraId="1F784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112E2C5">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14:paraId="4A0BEEA6">
            <w:pPr>
              <w:snapToGrid w:val="0"/>
              <w:spacing w:before="50" w:after="50"/>
              <w:jc w:val="center"/>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5354DEA">
            <w:pPr>
              <w:snapToGrid w:val="0"/>
              <w:spacing w:before="50" w:after="50"/>
              <w:jc w:val="center"/>
              <w:rPr>
                <w:rFonts w:hint="eastAsia" w:ascii="宋体" w:hAnsi="宋体" w:eastAsia="宋体" w:cs="宋体"/>
                <w:color w:val="auto"/>
                <w:sz w:val="24"/>
                <w:szCs w:val="24"/>
              </w:rPr>
            </w:pPr>
          </w:p>
        </w:tc>
        <w:tc>
          <w:tcPr>
            <w:tcW w:w="3020" w:type="dxa"/>
            <w:tcBorders>
              <w:top w:val="single" w:color="auto" w:sz="4" w:space="0"/>
              <w:left w:val="single" w:color="auto" w:sz="4" w:space="0"/>
              <w:bottom w:val="single" w:color="auto" w:sz="4" w:space="0"/>
            </w:tcBorders>
            <w:vAlign w:val="center"/>
          </w:tcPr>
          <w:p w14:paraId="1D49A0ED">
            <w:pPr>
              <w:snapToGrid w:val="0"/>
              <w:spacing w:before="50" w:after="50"/>
              <w:jc w:val="center"/>
              <w:rPr>
                <w:rFonts w:hint="eastAsia" w:ascii="宋体" w:hAnsi="宋体" w:eastAsia="宋体" w:cs="宋体"/>
                <w:color w:val="auto"/>
                <w:sz w:val="24"/>
                <w:szCs w:val="24"/>
              </w:rPr>
            </w:pPr>
          </w:p>
        </w:tc>
      </w:tr>
      <w:tr w14:paraId="389F4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7E7E6DC">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14:paraId="4D48D569">
            <w:pPr>
              <w:snapToGrid w:val="0"/>
              <w:spacing w:before="50" w:after="50"/>
              <w:jc w:val="center"/>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902E900">
            <w:pPr>
              <w:snapToGrid w:val="0"/>
              <w:spacing w:before="50" w:after="50"/>
              <w:jc w:val="center"/>
              <w:rPr>
                <w:rFonts w:hint="eastAsia" w:ascii="宋体" w:hAnsi="宋体" w:eastAsia="宋体" w:cs="宋体"/>
                <w:color w:val="auto"/>
                <w:sz w:val="24"/>
                <w:szCs w:val="24"/>
              </w:rPr>
            </w:pPr>
          </w:p>
        </w:tc>
        <w:tc>
          <w:tcPr>
            <w:tcW w:w="3020" w:type="dxa"/>
            <w:tcBorders>
              <w:top w:val="single" w:color="auto" w:sz="4" w:space="0"/>
              <w:left w:val="single" w:color="auto" w:sz="4" w:space="0"/>
              <w:bottom w:val="single" w:color="auto" w:sz="4" w:space="0"/>
            </w:tcBorders>
            <w:vAlign w:val="center"/>
          </w:tcPr>
          <w:p w14:paraId="2D9A275A">
            <w:pPr>
              <w:snapToGrid w:val="0"/>
              <w:spacing w:before="50" w:after="50"/>
              <w:jc w:val="center"/>
              <w:rPr>
                <w:rFonts w:hint="eastAsia" w:ascii="宋体" w:hAnsi="宋体" w:eastAsia="宋体" w:cs="宋体"/>
                <w:color w:val="auto"/>
                <w:sz w:val="24"/>
                <w:szCs w:val="24"/>
              </w:rPr>
            </w:pPr>
          </w:p>
        </w:tc>
      </w:tr>
      <w:tr w14:paraId="5121C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74976E62">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305FDEB6">
            <w:pPr>
              <w:snapToGrid w:val="0"/>
              <w:spacing w:before="50" w:after="50"/>
              <w:jc w:val="center"/>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5F07796">
            <w:pPr>
              <w:snapToGrid w:val="0"/>
              <w:spacing w:before="50" w:after="50"/>
              <w:jc w:val="center"/>
              <w:rPr>
                <w:rFonts w:hint="eastAsia" w:ascii="宋体" w:hAnsi="宋体" w:eastAsia="宋体" w:cs="宋体"/>
                <w:color w:val="auto"/>
                <w:sz w:val="24"/>
                <w:szCs w:val="24"/>
              </w:rPr>
            </w:pPr>
          </w:p>
        </w:tc>
        <w:tc>
          <w:tcPr>
            <w:tcW w:w="3020" w:type="dxa"/>
            <w:tcBorders>
              <w:top w:val="single" w:color="auto" w:sz="4" w:space="0"/>
              <w:left w:val="single" w:color="auto" w:sz="4" w:space="0"/>
              <w:bottom w:val="single" w:color="auto" w:sz="4" w:space="0"/>
            </w:tcBorders>
            <w:vAlign w:val="center"/>
          </w:tcPr>
          <w:p w14:paraId="75849F0C">
            <w:pPr>
              <w:snapToGrid w:val="0"/>
              <w:spacing w:before="50" w:after="50"/>
              <w:jc w:val="center"/>
              <w:rPr>
                <w:rFonts w:hint="eastAsia" w:ascii="宋体" w:hAnsi="宋体" w:eastAsia="宋体" w:cs="宋体"/>
                <w:color w:val="auto"/>
                <w:sz w:val="24"/>
                <w:szCs w:val="24"/>
              </w:rPr>
            </w:pPr>
          </w:p>
        </w:tc>
      </w:tr>
      <w:tr w14:paraId="38C1F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14:paraId="48D5123B">
            <w:pPr>
              <w:snapToGrid w:val="0"/>
              <w:spacing w:before="50" w:after="50"/>
              <w:jc w:val="center"/>
              <w:rPr>
                <w:rFonts w:hint="eastAsia" w:ascii="宋体" w:hAnsi="宋体" w:eastAsia="宋体" w:cs="宋体"/>
                <w:color w:val="auto"/>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7C99B661">
            <w:pPr>
              <w:snapToGrid w:val="0"/>
              <w:spacing w:before="50" w:after="50"/>
              <w:jc w:val="center"/>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1F478B">
            <w:pPr>
              <w:snapToGrid w:val="0"/>
              <w:spacing w:before="50" w:after="50"/>
              <w:jc w:val="center"/>
              <w:rPr>
                <w:rFonts w:hint="eastAsia" w:ascii="宋体" w:hAnsi="宋体" w:eastAsia="宋体" w:cs="宋体"/>
                <w:color w:val="auto"/>
                <w:sz w:val="24"/>
                <w:szCs w:val="24"/>
              </w:rPr>
            </w:pPr>
          </w:p>
        </w:tc>
        <w:tc>
          <w:tcPr>
            <w:tcW w:w="3020" w:type="dxa"/>
            <w:tcBorders>
              <w:top w:val="single" w:color="auto" w:sz="4" w:space="0"/>
              <w:left w:val="single" w:color="auto" w:sz="4" w:space="0"/>
              <w:bottom w:val="single" w:color="auto" w:sz="4" w:space="0"/>
            </w:tcBorders>
            <w:vAlign w:val="center"/>
          </w:tcPr>
          <w:p w14:paraId="7D4C336D">
            <w:pPr>
              <w:snapToGrid w:val="0"/>
              <w:spacing w:before="50" w:after="50"/>
              <w:jc w:val="center"/>
              <w:rPr>
                <w:rFonts w:hint="eastAsia" w:ascii="宋体" w:hAnsi="宋体" w:eastAsia="宋体" w:cs="宋体"/>
                <w:color w:val="auto"/>
                <w:sz w:val="24"/>
                <w:szCs w:val="24"/>
              </w:rPr>
            </w:pPr>
          </w:p>
        </w:tc>
      </w:tr>
      <w:tr w14:paraId="3ABBC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75718793">
            <w:pPr>
              <w:snapToGrid w:val="0"/>
              <w:spacing w:before="50" w:after="50"/>
              <w:jc w:val="center"/>
              <w:rPr>
                <w:rFonts w:hint="eastAsia" w:ascii="宋体" w:hAnsi="宋体" w:eastAsia="宋体" w:cs="宋体"/>
                <w:color w:val="auto"/>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42B67258">
            <w:pPr>
              <w:snapToGrid w:val="0"/>
              <w:spacing w:before="50" w:after="50"/>
              <w:jc w:val="center"/>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E62055A">
            <w:pPr>
              <w:snapToGrid w:val="0"/>
              <w:spacing w:before="50" w:after="50"/>
              <w:jc w:val="center"/>
              <w:rPr>
                <w:rFonts w:hint="eastAsia" w:ascii="宋体" w:hAnsi="宋体" w:eastAsia="宋体" w:cs="宋体"/>
                <w:color w:val="auto"/>
                <w:sz w:val="24"/>
                <w:szCs w:val="24"/>
              </w:rPr>
            </w:pPr>
          </w:p>
        </w:tc>
        <w:tc>
          <w:tcPr>
            <w:tcW w:w="3020" w:type="dxa"/>
            <w:tcBorders>
              <w:top w:val="single" w:color="auto" w:sz="4" w:space="0"/>
              <w:left w:val="single" w:color="auto" w:sz="4" w:space="0"/>
              <w:bottom w:val="single" w:color="auto" w:sz="4" w:space="0"/>
            </w:tcBorders>
            <w:vAlign w:val="center"/>
          </w:tcPr>
          <w:p w14:paraId="58B47FBA">
            <w:pPr>
              <w:snapToGrid w:val="0"/>
              <w:spacing w:before="50" w:after="50"/>
              <w:jc w:val="center"/>
              <w:rPr>
                <w:rFonts w:hint="eastAsia" w:ascii="宋体" w:hAnsi="宋体" w:eastAsia="宋体" w:cs="宋体"/>
                <w:color w:val="auto"/>
                <w:sz w:val="24"/>
                <w:szCs w:val="24"/>
              </w:rPr>
            </w:pPr>
          </w:p>
        </w:tc>
      </w:tr>
      <w:tr w14:paraId="506D1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3A62036">
            <w:pPr>
              <w:snapToGrid w:val="0"/>
              <w:spacing w:before="50" w:after="50"/>
              <w:jc w:val="center"/>
              <w:rPr>
                <w:rFonts w:hint="eastAsia" w:ascii="宋体" w:hAnsi="宋体" w:eastAsia="宋体" w:cs="宋体"/>
                <w:color w:val="auto"/>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27284FAA">
            <w:pPr>
              <w:snapToGrid w:val="0"/>
              <w:spacing w:before="50" w:after="50"/>
              <w:jc w:val="center"/>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D30FFEF">
            <w:pPr>
              <w:snapToGrid w:val="0"/>
              <w:spacing w:before="50" w:after="50"/>
              <w:jc w:val="center"/>
              <w:rPr>
                <w:rFonts w:hint="eastAsia" w:ascii="宋体" w:hAnsi="宋体" w:eastAsia="宋体" w:cs="宋体"/>
                <w:color w:val="auto"/>
                <w:sz w:val="24"/>
                <w:szCs w:val="24"/>
              </w:rPr>
            </w:pPr>
          </w:p>
        </w:tc>
        <w:tc>
          <w:tcPr>
            <w:tcW w:w="3020" w:type="dxa"/>
            <w:tcBorders>
              <w:top w:val="single" w:color="auto" w:sz="4" w:space="0"/>
              <w:left w:val="single" w:color="auto" w:sz="4" w:space="0"/>
              <w:bottom w:val="single" w:color="auto" w:sz="4" w:space="0"/>
            </w:tcBorders>
            <w:vAlign w:val="center"/>
          </w:tcPr>
          <w:p w14:paraId="14167E9B">
            <w:pPr>
              <w:snapToGrid w:val="0"/>
              <w:spacing w:before="50" w:after="50"/>
              <w:jc w:val="center"/>
              <w:rPr>
                <w:rFonts w:hint="eastAsia" w:ascii="宋体" w:hAnsi="宋体" w:eastAsia="宋体" w:cs="宋体"/>
                <w:color w:val="auto"/>
                <w:sz w:val="24"/>
                <w:szCs w:val="24"/>
              </w:rPr>
            </w:pPr>
          </w:p>
        </w:tc>
      </w:tr>
      <w:tr w14:paraId="0256E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27B24A1">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700" w:type="dxa"/>
            <w:tcBorders>
              <w:top w:val="single" w:color="auto" w:sz="4" w:space="0"/>
              <w:left w:val="single" w:color="auto" w:sz="4" w:space="0"/>
              <w:bottom w:val="single" w:color="auto" w:sz="4" w:space="0"/>
              <w:right w:val="single" w:color="auto" w:sz="4" w:space="0"/>
            </w:tcBorders>
            <w:vAlign w:val="center"/>
          </w:tcPr>
          <w:p w14:paraId="05E8C332">
            <w:pPr>
              <w:snapToGrid w:val="0"/>
              <w:spacing w:before="50" w:after="50"/>
              <w:jc w:val="center"/>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8C4829E">
            <w:pPr>
              <w:snapToGrid w:val="0"/>
              <w:spacing w:before="50" w:after="50"/>
              <w:jc w:val="center"/>
              <w:rPr>
                <w:rFonts w:hint="eastAsia" w:ascii="宋体" w:hAnsi="宋体" w:eastAsia="宋体" w:cs="宋体"/>
                <w:color w:val="auto"/>
                <w:sz w:val="24"/>
                <w:szCs w:val="24"/>
              </w:rPr>
            </w:pPr>
          </w:p>
        </w:tc>
        <w:tc>
          <w:tcPr>
            <w:tcW w:w="3020" w:type="dxa"/>
            <w:tcBorders>
              <w:top w:val="single" w:color="auto" w:sz="4" w:space="0"/>
              <w:left w:val="single" w:color="auto" w:sz="4" w:space="0"/>
              <w:bottom w:val="single" w:color="auto" w:sz="4" w:space="0"/>
            </w:tcBorders>
            <w:vAlign w:val="center"/>
          </w:tcPr>
          <w:p w14:paraId="2D29A830">
            <w:pPr>
              <w:snapToGrid w:val="0"/>
              <w:spacing w:before="50" w:after="50"/>
              <w:jc w:val="center"/>
              <w:rPr>
                <w:rFonts w:hint="eastAsia" w:ascii="宋体" w:hAnsi="宋体" w:eastAsia="宋体" w:cs="宋体"/>
                <w:color w:val="auto"/>
                <w:sz w:val="24"/>
                <w:szCs w:val="24"/>
              </w:rPr>
            </w:pPr>
          </w:p>
        </w:tc>
      </w:tr>
    </w:tbl>
    <w:p w14:paraId="0CBA2980">
      <w:pPr>
        <w:spacing w:line="360" w:lineRule="auto"/>
        <w:ind w:left="3600" w:leftChars="1800" w:firstLine="480" w:firstLineChars="200"/>
        <w:rPr>
          <w:rFonts w:hint="eastAsia" w:ascii="宋体" w:hAnsi="宋体" w:eastAsia="宋体" w:cs="宋体"/>
          <w:color w:val="auto"/>
          <w:sz w:val="24"/>
          <w:szCs w:val="24"/>
        </w:rPr>
      </w:pPr>
    </w:p>
    <w:p w14:paraId="435F759C">
      <w:pPr>
        <w:spacing w:line="360" w:lineRule="auto"/>
        <w:ind w:left="3600" w:leftChars="1800" w:firstLine="480" w:firstLineChars="200"/>
        <w:rPr>
          <w:rFonts w:hint="eastAsia" w:ascii="宋体" w:hAnsi="宋体" w:eastAsia="宋体" w:cs="宋体"/>
          <w:color w:val="auto"/>
          <w:sz w:val="24"/>
          <w:szCs w:val="24"/>
        </w:rPr>
      </w:pPr>
    </w:p>
    <w:p w14:paraId="0AFC3782">
      <w:pPr>
        <w:spacing w:line="360" w:lineRule="auto"/>
        <w:ind w:left="3600" w:leftChars="1800" w:firstLine="480" w:firstLineChars="200"/>
        <w:rPr>
          <w:rFonts w:hint="eastAsia" w:ascii="宋体" w:hAnsi="宋体" w:eastAsia="宋体" w:cs="宋体"/>
          <w:color w:val="auto"/>
          <w:sz w:val="24"/>
          <w:szCs w:val="24"/>
        </w:rPr>
      </w:pPr>
    </w:p>
    <w:p w14:paraId="3C888509">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法定代表人签名（或签名章）：                       </w:t>
      </w:r>
    </w:p>
    <w:p w14:paraId="58563CC6">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4ABB9E6B">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供应商全称（公章）：</w:t>
      </w:r>
    </w:p>
    <w:p w14:paraId="094C648D">
      <w:pPr>
        <w:snapToGrid w:val="0"/>
        <w:spacing w:before="50" w:after="50"/>
        <w:rPr>
          <w:rFonts w:hint="eastAsia" w:ascii="宋体" w:hAnsi="宋体" w:eastAsia="宋体" w:cs="宋体"/>
          <w:b/>
          <w:bCs/>
          <w:color w:val="auto"/>
          <w:sz w:val="24"/>
          <w:szCs w:val="24"/>
          <w:lang w:val="zh-CN"/>
        </w:rPr>
      </w:pPr>
      <w:r>
        <w:rPr>
          <w:rFonts w:hint="eastAsia" w:ascii="宋体" w:hAnsi="宋体" w:eastAsia="宋体" w:cs="宋体"/>
          <w:color w:val="auto"/>
          <w:sz w:val="24"/>
          <w:szCs w:val="24"/>
        </w:rPr>
        <w:br w:type="page"/>
      </w:r>
      <w:r>
        <w:rPr>
          <w:rFonts w:hint="eastAsia" w:ascii="宋体" w:hAnsi="宋体" w:eastAsia="宋体" w:cs="宋体"/>
          <w:b/>
          <w:bCs/>
          <w:color w:val="auto"/>
          <w:sz w:val="24"/>
          <w:szCs w:val="24"/>
          <w:lang w:val="zh-CN"/>
        </w:rPr>
        <w:t>附件</w:t>
      </w:r>
      <w:r>
        <w:rPr>
          <w:rFonts w:hint="eastAsia" w:ascii="宋体" w:hAnsi="宋体" w:cs="宋体"/>
          <w:b/>
          <w:bCs/>
          <w:color w:val="auto"/>
          <w:sz w:val="24"/>
          <w:szCs w:val="24"/>
          <w:lang w:val="en-US" w:eastAsia="zh-CN"/>
        </w:rPr>
        <w:t>八</w:t>
      </w:r>
      <w:r>
        <w:rPr>
          <w:rFonts w:hint="eastAsia" w:ascii="宋体" w:hAnsi="宋体" w:eastAsia="宋体" w:cs="宋体"/>
          <w:b/>
          <w:bCs/>
          <w:color w:val="auto"/>
          <w:sz w:val="24"/>
          <w:szCs w:val="24"/>
          <w:lang w:val="zh-CN"/>
        </w:rPr>
        <w:t>：</w:t>
      </w:r>
    </w:p>
    <w:p w14:paraId="3330314F">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项目组人员清单</w:t>
      </w:r>
    </w:p>
    <w:p w14:paraId="2FBA9D54">
      <w:pPr>
        <w:snapToGrid w:val="0"/>
        <w:spacing w:before="156" w:beforeLines="50" w:after="50"/>
        <w:jc w:val="center"/>
        <w:rPr>
          <w:rFonts w:hint="eastAsia" w:ascii="宋体" w:hAnsi="宋体" w:eastAsia="宋体" w:cs="宋体"/>
          <w:b/>
          <w:bCs/>
          <w:color w:val="auto"/>
          <w:sz w:val="30"/>
          <w:szCs w:val="30"/>
        </w:rPr>
      </w:pPr>
    </w:p>
    <w:p w14:paraId="16F4A72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4937EE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采购编号：</w:t>
      </w:r>
    </w:p>
    <w:tbl>
      <w:tblPr>
        <w:tblStyle w:val="28"/>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4856D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2227F9C1">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B63E5B2">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BF6D3D2">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3BC22E50">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78017CE5">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参加本单位工作时间</w:t>
            </w:r>
          </w:p>
        </w:tc>
        <w:tc>
          <w:tcPr>
            <w:tcW w:w="1800" w:type="dxa"/>
            <w:tcBorders>
              <w:top w:val="single" w:color="auto" w:sz="4" w:space="0"/>
              <w:left w:val="single" w:color="auto" w:sz="4" w:space="0"/>
              <w:bottom w:val="single" w:color="auto" w:sz="4" w:space="0"/>
            </w:tcBorders>
            <w:vAlign w:val="center"/>
          </w:tcPr>
          <w:p w14:paraId="60737930">
            <w:pPr>
              <w:snapToGrid w:val="0"/>
              <w:spacing w:before="50" w:after="50"/>
              <w:jc w:val="center"/>
              <w:rPr>
                <w:rFonts w:hint="eastAsia" w:ascii="宋体" w:hAnsi="宋体" w:eastAsia="宋体" w:cs="宋体"/>
                <w:color w:val="auto"/>
                <w:sz w:val="24"/>
                <w:szCs w:val="24"/>
              </w:rPr>
            </w:pPr>
            <w:r>
              <w:rPr>
                <w:rFonts w:hint="eastAsia" w:ascii="宋体" w:hAnsi="宋体" w:eastAsia="宋体" w:cs="宋体"/>
                <w:color w:val="auto"/>
                <w:sz w:val="24"/>
                <w:szCs w:val="24"/>
              </w:rPr>
              <w:t>劳动合同编号</w:t>
            </w:r>
          </w:p>
        </w:tc>
      </w:tr>
      <w:tr w14:paraId="75992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1384DF7">
            <w:pPr>
              <w:snapToGrid w:val="0"/>
              <w:spacing w:before="156" w:beforeLines="50" w:after="50" w:line="460" w:lineRule="exact"/>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74FF5B67">
            <w:pPr>
              <w:snapToGrid w:val="0"/>
              <w:spacing w:before="156" w:beforeLines="50" w:after="50" w:line="460" w:lineRule="exact"/>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38606DB9">
            <w:pPr>
              <w:snapToGrid w:val="0"/>
              <w:spacing w:before="156" w:beforeLines="50" w:after="50" w:line="460" w:lineRule="exact"/>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14:paraId="4572C149">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410BD1D3">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tcBorders>
          </w:tcPr>
          <w:p w14:paraId="098390D8">
            <w:pPr>
              <w:snapToGrid w:val="0"/>
              <w:spacing w:before="156" w:beforeLines="50" w:after="50" w:line="460" w:lineRule="exact"/>
              <w:rPr>
                <w:rFonts w:hint="eastAsia" w:ascii="宋体" w:hAnsi="宋体" w:eastAsia="宋体" w:cs="宋体"/>
                <w:color w:val="auto"/>
                <w:sz w:val="24"/>
                <w:szCs w:val="24"/>
              </w:rPr>
            </w:pPr>
          </w:p>
        </w:tc>
      </w:tr>
      <w:tr w14:paraId="1AAD5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92B469A">
            <w:pPr>
              <w:snapToGrid w:val="0"/>
              <w:spacing w:before="156" w:beforeLines="50" w:after="50" w:line="460" w:lineRule="exact"/>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34487583">
            <w:pPr>
              <w:snapToGrid w:val="0"/>
              <w:spacing w:before="156" w:beforeLines="50" w:after="50" w:line="460" w:lineRule="exact"/>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6FF21F9F">
            <w:pPr>
              <w:snapToGrid w:val="0"/>
              <w:spacing w:before="156" w:beforeLines="50" w:after="50" w:line="460" w:lineRule="exact"/>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14:paraId="524FA28C">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55901920">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tcBorders>
          </w:tcPr>
          <w:p w14:paraId="357A123C">
            <w:pPr>
              <w:snapToGrid w:val="0"/>
              <w:spacing w:before="156" w:beforeLines="50" w:after="50" w:line="460" w:lineRule="exact"/>
              <w:rPr>
                <w:rFonts w:hint="eastAsia" w:ascii="宋体" w:hAnsi="宋体" w:eastAsia="宋体" w:cs="宋体"/>
                <w:color w:val="auto"/>
                <w:sz w:val="24"/>
                <w:szCs w:val="24"/>
              </w:rPr>
            </w:pPr>
          </w:p>
        </w:tc>
      </w:tr>
      <w:tr w14:paraId="5DF6B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AAB30C7">
            <w:pPr>
              <w:snapToGrid w:val="0"/>
              <w:spacing w:before="156" w:beforeLines="50" w:after="50" w:line="460" w:lineRule="exact"/>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3A522131">
            <w:pPr>
              <w:snapToGrid w:val="0"/>
              <w:spacing w:before="156" w:beforeLines="50" w:after="50" w:line="460" w:lineRule="exact"/>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45ECC265">
            <w:pPr>
              <w:pStyle w:val="16"/>
              <w:snapToGrid w:val="0"/>
              <w:spacing w:before="156" w:beforeLines="50" w:after="50" w:line="460" w:lineRule="exact"/>
              <w:ind w:left="5000"/>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tcPr>
          <w:p w14:paraId="7D85FC1F">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35C6F876">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tcBorders>
          </w:tcPr>
          <w:p w14:paraId="4CB80F76">
            <w:pPr>
              <w:snapToGrid w:val="0"/>
              <w:spacing w:before="156" w:beforeLines="50" w:after="50" w:line="460" w:lineRule="exact"/>
              <w:rPr>
                <w:rFonts w:hint="eastAsia" w:ascii="宋体" w:hAnsi="宋体" w:eastAsia="宋体" w:cs="宋体"/>
                <w:color w:val="auto"/>
                <w:sz w:val="24"/>
                <w:szCs w:val="24"/>
              </w:rPr>
            </w:pPr>
          </w:p>
        </w:tc>
      </w:tr>
      <w:tr w14:paraId="06CBD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97E9D01">
            <w:pPr>
              <w:snapToGrid w:val="0"/>
              <w:spacing w:before="156" w:beforeLines="50" w:after="50" w:line="460" w:lineRule="exact"/>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6DDD3EEB">
            <w:pPr>
              <w:snapToGrid w:val="0"/>
              <w:spacing w:before="156" w:beforeLines="50" w:after="50" w:line="460" w:lineRule="exact"/>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1E4EE891">
            <w:pPr>
              <w:snapToGrid w:val="0"/>
              <w:spacing w:before="156" w:beforeLines="50" w:after="50" w:line="460" w:lineRule="exact"/>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14:paraId="5FDC6BDC">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3A06FF6C">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tcBorders>
          </w:tcPr>
          <w:p w14:paraId="5F336DF6">
            <w:pPr>
              <w:snapToGrid w:val="0"/>
              <w:spacing w:before="156" w:beforeLines="50" w:after="50" w:line="460" w:lineRule="exact"/>
              <w:rPr>
                <w:rFonts w:hint="eastAsia" w:ascii="宋体" w:hAnsi="宋体" w:eastAsia="宋体" w:cs="宋体"/>
                <w:color w:val="auto"/>
                <w:sz w:val="24"/>
                <w:szCs w:val="24"/>
              </w:rPr>
            </w:pPr>
          </w:p>
        </w:tc>
      </w:tr>
      <w:tr w14:paraId="458B3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B239597">
            <w:pPr>
              <w:snapToGrid w:val="0"/>
              <w:spacing w:before="156" w:beforeLines="50" w:after="50" w:line="460" w:lineRule="exact"/>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7FC195F1">
            <w:pPr>
              <w:snapToGrid w:val="0"/>
              <w:spacing w:before="156" w:beforeLines="50" w:after="50" w:line="460" w:lineRule="exact"/>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170179EC">
            <w:pPr>
              <w:snapToGrid w:val="0"/>
              <w:spacing w:before="156" w:beforeLines="50" w:after="50" w:line="460" w:lineRule="exact"/>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14:paraId="60E127B7">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7753BC42">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tcBorders>
          </w:tcPr>
          <w:p w14:paraId="09E5751D">
            <w:pPr>
              <w:snapToGrid w:val="0"/>
              <w:spacing w:before="156" w:beforeLines="50" w:after="50" w:line="460" w:lineRule="exact"/>
              <w:rPr>
                <w:rFonts w:hint="eastAsia" w:ascii="宋体" w:hAnsi="宋体" w:eastAsia="宋体" w:cs="宋体"/>
                <w:color w:val="auto"/>
                <w:sz w:val="24"/>
                <w:szCs w:val="24"/>
              </w:rPr>
            </w:pPr>
          </w:p>
        </w:tc>
      </w:tr>
      <w:tr w14:paraId="5D72A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D4B4FEE">
            <w:pPr>
              <w:snapToGrid w:val="0"/>
              <w:spacing w:before="156" w:beforeLines="50" w:after="50" w:line="460" w:lineRule="exact"/>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2F30D6CA">
            <w:pPr>
              <w:snapToGrid w:val="0"/>
              <w:spacing w:before="156" w:beforeLines="50" w:after="50" w:line="460" w:lineRule="exact"/>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0401E2B2">
            <w:pPr>
              <w:snapToGrid w:val="0"/>
              <w:spacing w:before="156" w:beforeLines="50" w:after="50" w:line="460" w:lineRule="exact"/>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14:paraId="65670F2A">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27979B19">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tcBorders>
          </w:tcPr>
          <w:p w14:paraId="1772585E">
            <w:pPr>
              <w:snapToGrid w:val="0"/>
              <w:spacing w:before="156" w:beforeLines="50" w:after="50" w:line="460" w:lineRule="exact"/>
              <w:rPr>
                <w:rFonts w:hint="eastAsia" w:ascii="宋体" w:hAnsi="宋体" w:eastAsia="宋体" w:cs="宋体"/>
                <w:color w:val="auto"/>
                <w:sz w:val="24"/>
                <w:szCs w:val="24"/>
              </w:rPr>
            </w:pPr>
          </w:p>
        </w:tc>
      </w:tr>
      <w:tr w14:paraId="6D4E4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5636ACD">
            <w:pPr>
              <w:snapToGrid w:val="0"/>
              <w:spacing w:before="156" w:beforeLines="50" w:after="50" w:line="460" w:lineRule="exact"/>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4DC60EF4">
            <w:pPr>
              <w:snapToGrid w:val="0"/>
              <w:spacing w:before="156" w:beforeLines="50" w:after="50" w:line="460" w:lineRule="exact"/>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43A38C42">
            <w:pPr>
              <w:snapToGrid w:val="0"/>
              <w:spacing w:before="156" w:beforeLines="50" w:after="50" w:line="460" w:lineRule="exact"/>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14:paraId="039AA0DC">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21D524E8">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tcBorders>
          </w:tcPr>
          <w:p w14:paraId="04D2CABC">
            <w:pPr>
              <w:snapToGrid w:val="0"/>
              <w:spacing w:before="156" w:beforeLines="50" w:after="50" w:line="460" w:lineRule="exact"/>
              <w:rPr>
                <w:rFonts w:hint="eastAsia" w:ascii="宋体" w:hAnsi="宋体" w:eastAsia="宋体" w:cs="宋体"/>
                <w:color w:val="auto"/>
                <w:sz w:val="24"/>
                <w:szCs w:val="24"/>
              </w:rPr>
            </w:pPr>
          </w:p>
        </w:tc>
      </w:tr>
      <w:tr w14:paraId="472FF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C9944F7">
            <w:pPr>
              <w:snapToGrid w:val="0"/>
              <w:spacing w:before="156" w:beforeLines="50" w:after="50" w:line="460" w:lineRule="exact"/>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4E8948B2">
            <w:pPr>
              <w:snapToGrid w:val="0"/>
              <w:spacing w:before="156" w:beforeLines="50" w:after="50" w:line="460" w:lineRule="exact"/>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55B208CD">
            <w:pPr>
              <w:snapToGrid w:val="0"/>
              <w:spacing w:before="156" w:beforeLines="50" w:after="50" w:line="460" w:lineRule="exact"/>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14:paraId="042C2F16">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2607FA94">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tcBorders>
          </w:tcPr>
          <w:p w14:paraId="07739C06">
            <w:pPr>
              <w:snapToGrid w:val="0"/>
              <w:spacing w:before="156" w:beforeLines="50" w:after="50" w:line="460" w:lineRule="exact"/>
              <w:rPr>
                <w:rFonts w:hint="eastAsia" w:ascii="宋体" w:hAnsi="宋体" w:eastAsia="宋体" w:cs="宋体"/>
                <w:color w:val="auto"/>
                <w:sz w:val="24"/>
                <w:szCs w:val="24"/>
              </w:rPr>
            </w:pPr>
          </w:p>
        </w:tc>
      </w:tr>
      <w:tr w14:paraId="73452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0EB006E">
            <w:pPr>
              <w:snapToGrid w:val="0"/>
              <w:spacing w:before="156" w:beforeLines="50" w:after="50" w:line="460" w:lineRule="exact"/>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1C640CA4">
            <w:pPr>
              <w:snapToGrid w:val="0"/>
              <w:spacing w:before="156" w:beforeLines="50" w:after="50" w:line="460" w:lineRule="exact"/>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6452E3A4">
            <w:pPr>
              <w:snapToGrid w:val="0"/>
              <w:spacing w:before="156" w:beforeLines="50" w:after="50" w:line="460" w:lineRule="exact"/>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14:paraId="13861E22">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10930BD1">
            <w:pPr>
              <w:snapToGrid w:val="0"/>
              <w:spacing w:before="156" w:beforeLines="50" w:after="50" w:line="460" w:lineRule="exact"/>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tcBorders>
          </w:tcPr>
          <w:p w14:paraId="1AE0AC6C">
            <w:pPr>
              <w:snapToGrid w:val="0"/>
              <w:spacing w:before="156" w:beforeLines="50" w:after="50" w:line="460" w:lineRule="exact"/>
              <w:rPr>
                <w:rFonts w:hint="eastAsia" w:ascii="宋体" w:hAnsi="宋体" w:eastAsia="宋体" w:cs="宋体"/>
                <w:color w:val="auto"/>
                <w:sz w:val="24"/>
                <w:szCs w:val="24"/>
              </w:rPr>
            </w:pPr>
          </w:p>
        </w:tc>
      </w:tr>
    </w:tbl>
    <w:p w14:paraId="5BCEB4E4">
      <w:pPr>
        <w:adjustRightInd w:val="0"/>
        <w:snapToGrid w:val="0"/>
        <w:spacing w:line="360" w:lineRule="auto"/>
        <w:jc w:val="left"/>
        <w:rPr>
          <w:rFonts w:hint="eastAsia" w:ascii="宋体" w:hAnsi="宋体" w:eastAsia="宋体" w:cs="宋体"/>
          <w:color w:val="auto"/>
          <w:sz w:val="24"/>
          <w:szCs w:val="24"/>
        </w:rPr>
      </w:pPr>
    </w:p>
    <w:p w14:paraId="1F3600FC">
      <w:pPr>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注：在填写时，如本表格不适合投标单位的实际情况，可根据本表格式自行划表填写。 </w:t>
      </w:r>
    </w:p>
    <w:p w14:paraId="3CFCD63C">
      <w:pPr>
        <w:snapToGrid w:val="0"/>
        <w:spacing w:before="50" w:after="156" w:afterLines="50" w:line="460" w:lineRule="exact"/>
        <w:jc w:val="left"/>
        <w:rPr>
          <w:rFonts w:hint="eastAsia" w:ascii="宋体" w:hAnsi="宋体" w:eastAsia="宋体" w:cs="宋体"/>
          <w:color w:val="auto"/>
          <w:sz w:val="24"/>
          <w:szCs w:val="24"/>
        </w:rPr>
      </w:pPr>
    </w:p>
    <w:p w14:paraId="4A4A1EA4">
      <w:pPr>
        <w:pStyle w:val="13"/>
        <w:rPr>
          <w:rFonts w:hint="eastAsia" w:ascii="宋体" w:hAnsi="宋体" w:eastAsia="宋体" w:cs="宋体"/>
          <w:color w:val="auto"/>
        </w:rPr>
      </w:pPr>
    </w:p>
    <w:p w14:paraId="2AAB7ECF">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法定代表人签名（或签名章）：                       </w:t>
      </w:r>
    </w:p>
    <w:p w14:paraId="0BE8F56D">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342F68E5">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供应商全称（公章）：</w:t>
      </w:r>
    </w:p>
    <w:p w14:paraId="1668585B">
      <w:pPr>
        <w:spacing w:line="360" w:lineRule="auto"/>
        <w:jc w:val="center"/>
        <w:rPr>
          <w:rFonts w:hint="eastAsia" w:ascii="宋体" w:hAnsi="宋体" w:eastAsia="宋体" w:cs="宋体"/>
          <w:b/>
          <w:bCs/>
          <w:color w:val="auto"/>
          <w:sz w:val="36"/>
          <w:szCs w:val="36"/>
        </w:rPr>
      </w:pPr>
      <w:r>
        <w:rPr>
          <w:rFonts w:hint="eastAsia" w:ascii="宋体" w:hAnsi="宋体" w:eastAsia="宋体" w:cs="宋体"/>
          <w:color w:val="auto"/>
          <w:spacing w:val="20"/>
          <w:sz w:val="30"/>
          <w:szCs w:val="30"/>
        </w:rPr>
        <w:br w:type="page"/>
      </w:r>
      <w:r>
        <w:rPr>
          <w:rFonts w:hint="eastAsia" w:ascii="宋体" w:hAnsi="宋体" w:eastAsia="宋体" w:cs="宋体"/>
          <w:b/>
          <w:bCs/>
          <w:color w:val="auto"/>
          <w:sz w:val="36"/>
          <w:szCs w:val="36"/>
        </w:rPr>
        <w:t>报价文件</w:t>
      </w:r>
    </w:p>
    <w:p w14:paraId="19B224B0">
      <w:pPr>
        <w:spacing w:line="360" w:lineRule="auto"/>
        <w:jc w:val="center"/>
        <w:rPr>
          <w:rFonts w:hint="eastAsia" w:ascii="宋体" w:hAnsi="宋体" w:eastAsia="宋体" w:cs="宋体"/>
          <w:b/>
          <w:bCs/>
          <w:color w:val="auto"/>
          <w:sz w:val="36"/>
          <w:szCs w:val="36"/>
        </w:rPr>
      </w:pPr>
    </w:p>
    <w:p w14:paraId="42B38288">
      <w:pPr>
        <w:spacing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目录</w:t>
      </w:r>
    </w:p>
    <w:p w14:paraId="0FE6CB94">
      <w:pPr>
        <w:pStyle w:val="13"/>
        <w:ind w:firstLine="723"/>
        <w:rPr>
          <w:rFonts w:hint="eastAsia" w:ascii="宋体" w:hAnsi="宋体" w:eastAsia="宋体" w:cs="宋体"/>
          <w:b/>
          <w:bCs/>
          <w:color w:val="auto"/>
          <w:sz w:val="36"/>
          <w:szCs w:val="36"/>
        </w:rPr>
      </w:pPr>
    </w:p>
    <w:p w14:paraId="2B23E40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（1）磋商函（格式见附件）；</w:t>
      </w:r>
    </w:p>
    <w:p w14:paraId="53AAE2C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（2）报价一览表（格式见附件）；</w:t>
      </w:r>
    </w:p>
    <w:p w14:paraId="752214A5">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（3）磋商报价明细表（格式见附件）</w:t>
      </w:r>
      <w:r>
        <w:rPr>
          <w:rFonts w:hint="eastAsia" w:ascii="宋体" w:hAnsi="宋体" w:eastAsia="宋体" w:cs="宋体"/>
          <w:color w:val="auto"/>
          <w:sz w:val="24"/>
          <w:szCs w:val="24"/>
          <w:lang w:eastAsia="zh-CN"/>
        </w:rPr>
        <w:t>；</w:t>
      </w:r>
    </w:p>
    <w:p w14:paraId="060BBCCF">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）中小企业声明函</w:t>
      </w:r>
      <w:r>
        <w:rPr>
          <w:rFonts w:hint="eastAsia" w:ascii="宋体" w:hAnsi="宋体" w:eastAsia="宋体" w:cs="宋体"/>
          <w:color w:val="auto"/>
          <w:sz w:val="24"/>
          <w:szCs w:val="24"/>
        </w:rPr>
        <w:t>(如有)</w:t>
      </w:r>
      <w:r>
        <w:rPr>
          <w:rFonts w:hint="eastAsia" w:ascii="宋体" w:hAnsi="宋体" w:eastAsia="宋体" w:cs="宋体"/>
          <w:color w:val="auto"/>
          <w:sz w:val="24"/>
          <w:szCs w:val="24"/>
          <w:lang w:eastAsia="zh-CN"/>
        </w:rPr>
        <w:t>（格式见附件）；</w:t>
      </w:r>
    </w:p>
    <w:p w14:paraId="561DC1C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残疾人福利性单位声明函(如有)（格式见附件）；</w:t>
      </w:r>
    </w:p>
    <w:p w14:paraId="62D973A2">
      <w:pPr>
        <w:pStyle w:val="13"/>
        <w:ind w:left="0" w:leftChars="0" w:firstLine="0" w:firstLineChars="0"/>
        <w:rPr>
          <w:rFonts w:hint="eastAsia" w:ascii="宋体" w:hAnsi="宋体" w:eastAsia="宋体" w:cs="宋体"/>
          <w:color w:val="auto"/>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监狱企业证明文件(如有)（格式见附件）。</w:t>
      </w:r>
    </w:p>
    <w:p w14:paraId="09162FA4">
      <w:pPr>
        <w:spacing w:line="360" w:lineRule="auto"/>
        <w:rPr>
          <w:rFonts w:hint="eastAsia" w:ascii="宋体" w:hAnsi="宋体" w:eastAsia="宋体" w:cs="宋体"/>
          <w:color w:val="auto"/>
        </w:rPr>
      </w:pPr>
      <w:r>
        <w:rPr>
          <w:rFonts w:hint="eastAsia" w:ascii="宋体" w:hAnsi="宋体" w:eastAsia="宋体" w:cs="宋体"/>
          <w:color w:val="auto"/>
        </w:rPr>
        <w:br w:type="page"/>
      </w:r>
    </w:p>
    <w:p w14:paraId="75DDAC3C">
      <w:pPr>
        <w:rPr>
          <w:rFonts w:hint="eastAsia" w:ascii="宋体" w:hAnsi="宋体" w:eastAsia="宋体" w:cs="宋体"/>
          <w:b/>
          <w:bCs/>
          <w:color w:val="auto"/>
          <w:lang w:val="zh-CN"/>
        </w:rPr>
      </w:pPr>
      <w:bookmarkStart w:id="95" w:name="_Toc3094"/>
      <w:r>
        <w:rPr>
          <w:rFonts w:hint="eastAsia" w:ascii="宋体" w:hAnsi="宋体" w:eastAsia="宋体" w:cs="宋体"/>
          <w:b/>
          <w:bCs/>
          <w:color w:val="auto"/>
          <w:sz w:val="24"/>
          <w:szCs w:val="24"/>
          <w:lang w:val="zh-CN"/>
        </w:rPr>
        <w:t>附件</w:t>
      </w:r>
      <w:bookmarkStart w:id="96" w:name="_Toc98731770"/>
      <w:bookmarkStart w:id="97" w:name="_Toc130094924"/>
      <w:r>
        <w:rPr>
          <w:rFonts w:hint="eastAsia" w:ascii="宋体" w:hAnsi="宋体" w:cs="宋体"/>
          <w:b/>
          <w:bCs/>
          <w:color w:val="auto"/>
          <w:sz w:val="24"/>
          <w:szCs w:val="24"/>
          <w:lang w:val="en-US" w:eastAsia="zh-CN"/>
        </w:rPr>
        <w:t>九</w:t>
      </w:r>
      <w:r>
        <w:rPr>
          <w:rFonts w:hint="eastAsia" w:ascii="宋体" w:hAnsi="宋体" w:eastAsia="宋体" w:cs="宋体"/>
          <w:b/>
          <w:bCs/>
          <w:color w:val="auto"/>
          <w:sz w:val="24"/>
          <w:szCs w:val="24"/>
        </w:rPr>
        <w:t>：</w:t>
      </w:r>
    </w:p>
    <w:p w14:paraId="5B81BE95">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磋 商 函</w:t>
      </w:r>
      <w:bookmarkEnd w:id="95"/>
      <w:bookmarkEnd w:id="96"/>
      <w:bookmarkEnd w:id="97"/>
    </w:p>
    <w:p w14:paraId="37BD9C26">
      <w:pPr>
        <w:spacing w:line="360" w:lineRule="auto"/>
        <w:ind w:firstLine="480" w:firstLineChars="200"/>
        <w:rPr>
          <w:rFonts w:hint="eastAsia" w:ascii="宋体" w:hAnsi="宋体" w:eastAsia="宋体" w:cs="宋体"/>
          <w:color w:val="auto"/>
          <w:sz w:val="24"/>
          <w:szCs w:val="24"/>
          <w:u w:val="single"/>
        </w:rPr>
      </w:pPr>
    </w:p>
    <w:p w14:paraId="210A3C5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绍兴市生态环境局上虞分局</w:t>
      </w:r>
      <w:r>
        <w:rPr>
          <w:rFonts w:hint="eastAsia" w:ascii="宋体" w:hAnsi="宋体" w:eastAsia="宋体" w:cs="宋体"/>
          <w:color w:val="auto"/>
          <w:sz w:val="24"/>
          <w:szCs w:val="24"/>
        </w:rPr>
        <w:t>：</w:t>
      </w:r>
    </w:p>
    <w:p w14:paraId="2FED9E6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绍兴成言工程咨询管理有限公司</w:t>
      </w:r>
      <w:r>
        <w:rPr>
          <w:rFonts w:hint="eastAsia" w:ascii="宋体" w:hAnsi="宋体" w:eastAsia="宋体" w:cs="宋体"/>
          <w:color w:val="auto"/>
          <w:sz w:val="24"/>
          <w:szCs w:val="24"/>
        </w:rPr>
        <w:t>：</w:t>
      </w:r>
    </w:p>
    <w:p w14:paraId="72AFBF74">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我单位认真研究了关于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47EB5CD0">
      <w:pPr>
        <w:spacing w:line="360" w:lineRule="auto"/>
        <w:ind w:firstLine="480" w:firstLineChars="240"/>
        <w:rPr>
          <w:rFonts w:hint="eastAsia" w:ascii="宋体" w:hAnsi="宋体" w:eastAsia="宋体" w:cs="宋体"/>
          <w:color w:val="auto"/>
          <w:sz w:val="24"/>
          <w:szCs w:val="24"/>
        </w:rPr>
      </w:pPr>
      <w:r>
        <w:rPr>
          <w:rFonts w:hint="eastAsia" w:ascii="宋体" w:hAnsi="宋体" w:eastAsia="宋体" w:cs="宋体"/>
          <w:color w:val="auto"/>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1、一旦我单位中标，我单位愿意承接报价一览表中所列的技术服务，服务期：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D1B88B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2、我单位同意提供按照采购人的可能要求与其投标有关的一切数据和资料，完全理解采购人不一定要接受最低价者作为成交供应商。</w:t>
      </w:r>
    </w:p>
    <w:p w14:paraId="19F7038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3、一旦我单位中标，我们保证按照磋商文件的要求，完成服务。</w:t>
      </w:r>
    </w:p>
    <w:p w14:paraId="63A106E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4、如果我单位中标，我方将按照要求严格履行合同义务。</w:t>
      </w:r>
    </w:p>
    <w:p w14:paraId="52281EC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5、除非另行达成协议并生效，你方的成交通知书和本磋商函将构成约束你我双方的合同。</w:t>
      </w:r>
    </w:p>
    <w:p w14:paraId="4884A0A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6、我单位承诺，一旦发生磋商文件第二部分第11条规定情形之一的，承担该条款约定的责任。</w:t>
      </w:r>
    </w:p>
    <w:p w14:paraId="51373338">
      <w:pPr>
        <w:pStyle w:val="15"/>
        <w:snapToGrid w:val="0"/>
        <w:spacing w:line="360" w:lineRule="auto"/>
        <w:ind w:left="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22D1371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single"/>
        </w:rPr>
        <w:t xml:space="preserve">                 </w:t>
      </w:r>
    </w:p>
    <w:p w14:paraId="13C2DEFF">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p>
    <w:p w14:paraId="2512F66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供应商代表姓名：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14:paraId="1DA5E12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w:t>
      </w:r>
    </w:p>
    <w:p w14:paraId="4E55C26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（公章）：                   </w:t>
      </w:r>
    </w:p>
    <w:p w14:paraId="29935C68">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法定代表人签名（或签名章）：                       </w:t>
      </w:r>
    </w:p>
    <w:p w14:paraId="6D3CDFBF">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5BCB3203">
      <w:pPr>
        <w:spacing w:line="360" w:lineRule="auto"/>
        <w:ind w:firstLine="5280" w:firstLineChars="2200"/>
        <w:rPr>
          <w:rFonts w:hint="eastAsia" w:ascii="宋体" w:hAnsi="宋体" w:eastAsia="宋体" w:cs="宋体"/>
          <w:color w:val="auto"/>
          <w:sz w:val="24"/>
          <w:szCs w:val="24"/>
        </w:rPr>
      </w:pPr>
    </w:p>
    <w:p w14:paraId="295A713E">
      <w:pPr>
        <w:rPr>
          <w:rFonts w:hint="eastAsia" w:ascii="宋体" w:hAnsi="宋体" w:eastAsia="宋体" w:cs="宋体"/>
          <w:color w:val="auto"/>
          <w:sz w:val="24"/>
          <w:szCs w:val="24"/>
          <w:lang w:val="zh-CN"/>
        </w:rPr>
      </w:pPr>
      <w:bookmarkStart w:id="98" w:name="_Toc12011"/>
      <w:r>
        <w:rPr>
          <w:rFonts w:hint="eastAsia" w:ascii="宋体" w:hAnsi="宋体" w:eastAsia="宋体" w:cs="宋体"/>
          <w:color w:val="auto"/>
          <w:sz w:val="24"/>
          <w:szCs w:val="24"/>
          <w:lang w:val="zh-CN"/>
        </w:rPr>
        <w:br w:type="page"/>
      </w:r>
    </w:p>
    <w:p w14:paraId="3F7D0C60">
      <w:pP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附件</w:t>
      </w:r>
      <w:bookmarkStart w:id="99" w:name="_Toc130094925"/>
      <w:bookmarkStart w:id="100" w:name="_Toc98731771"/>
      <w:r>
        <w:rPr>
          <w:rFonts w:hint="eastAsia" w:ascii="宋体" w:hAnsi="宋体" w:eastAsia="宋体" w:cs="宋体"/>
          <w:b/>
          <w:bCs/>
          <w:color w:val="auto"/>
          <w:sz w:val="24"/>
          <w:szCs w:val="24"/>
        </w:rPr>
        <w:t>十：</w:t>
      </w:r>
    </w:p>
    <w:p w14:paraId="666873F1">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报价一览表</w:t>
      </w:r>
      <w:bookmarkEnd w:id="98"/>
      <w:bookmarkEnd w:id="99"/>
      <w:bookmarkEnd w:id="100"/>
    </w:p>
    <w:p w14:paraId="2E88E772">
      <w:pPr>
        <w:pStyle w:val="15"/>
        <w:spacing w:line="360" w:lineRule="auto"/>
        <w:rPr>
          <w:rFonts w:hint="eastAsia" w:ascii="宋体" w:hAnsi="宋体" w:eastAsia="宋体" w:cs="宋体"/>
          <w:color w:val="auto"/>
          <w:sz w:val="24"/>
          <w:szCs w:val="24"/>
        </w:rPr>
      </w:pPr>
    </w:p>
    <w:p w14:paraId="4C78D5D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2E7338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采购编号：               </w:t>
      </w:r>
    </w:p>
    <w:tbl>
      <w:tblPr>
        <w:tblStyle w:val="28"/>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77D1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05CC0560">
            <w:pPr>
              <w:pStyle w:val="15"/>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投标总价</w:t>
            </w:r>
          </w:p>
        </w:tc>
        <w:tc>
          <w:tcPr>
            <w:tcW w:w="6707" w:type="dxa"/>
            <w:vAlign w:val="center"/>
          </w:tcPr>
          <w:p w14:paraId="4163DBEA">
            <w:pPr>
              <w:pStyle w:val="15"/>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大写：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元（小写：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w:t>
            </w:r>
          </w:p>
        </w:tc>
      </w:tr>
      <w:tr w14:paraId="572E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1A5203A6">
            <w:pPr>
              <w:widowControl/>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本次报价包括人工成本费、管理费、售后服务费、招标服务费、税金等一切费用。凡乙方在报价中未列明但又为本次采购所必备的项目或遗漏项目，甲方将一律视为已包括在合同价中，在合同执行中将不予考虑。</w:t>
            </w:r>
          </w:p>
        </w:tc>
      </w:tr>
    </w:tbl>
    <w:p w14:paraId="6CB04020">
      <w:pPr>
        <w:pStyle w:val="15"/>
        <w:spacing w:line="360" w:lineRule="auto"/>
        <w:rPr>
          <w:rFonts w:hint="eastAsia" w:ascii="宋体" w:hAnsi="宋体" w:eastAsia="宋体" w:cs="宋体"/>
          <w:color w:val="auto"/>
          <w:sz w:val="24"/>
          <w:szCs w:val="24"/>
        </w:rPr>
      </w:pPr>
    </w:p>
    <w:p w14:paraId="7C070D09">
      <w:pPr>
        <w:pStyle w:val="15"/>
        <w:spacing w:line="360" w:lineRule="auto"/>
        <w:rPr>
          <w:rFonts w:hint="eastAsia" w:ascii="宋体" w:hAnsi="宋体" w:eastAsia="宋体" w:cs="宋体"/>
          <w:color w:val="auto"/>
          <w:sz w:val="24"/>
          <w:szCs w:val="24"/>
        </w:rPr>
      </w:pPr>
    </w:p>
    <w:p w14:paraId="1A092F36">
      <w:pPr>
        <w:pStyle w:val="15"/>
        <w:spacing w:line="360" w:lineRule="auto"/>
        <w:rPr>
          <w:rFonts w:hint="eastAsia" w:ascii="宋体" w:hAnsi="宋体" w:eastAsia="宋体" w:cs="宋体"/>
          <w:color w:val="auto"/>
          <w:sz w:val="24"/>
          <w:szCs w:val="24"/>
        </w:rPr>
      </w:pPr>
    </w:p>
    <w:p w14:paraId="28C37B9D">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法定代表人签名（或签名章）：                       </w:t>
      </w:r>
    </w:p>
    <w:p w14:paraId="5BEC98DD">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058A868B">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供应商全称（公章）：</w:t>
      </w:r>
    </w:p>
    <w:p w14:paraId="451C2599">
      <w:pPr>
        <w:snapToGrid w:val="0"/>
        <w:spacing w:line="360" w:lineRule="auto"/>
        <w:ind w:firstLine="435"/>
        <w:rPr>
          <w:rFonts w:hint="eastAsia" w:ascii="宋体" w:hAnsi="宋体" w:eastAsia="宋体" w:cs="宋体"/>
          <w:color w:val="auto"/>
        </w:rPr>
      </w:pPr>
    </w:p>
    <w:p w14:paraId="3198A14A">
      <w:pPr>
        <w:snapToGrid w:val="0"/>
        <w:spacing w:line="360" w:lineRule="auto"/>
        <w:ind w:firstLine="435"/>
        <w:rPr>
          <w:rFonts w:hint="eastAsia" w:ascii="宋体" w:hAnsi="宋体" w:eastAsia="宋体" w:cs="宋体"/>
          <w:color w:val="auto"/>
        </w:rPr>
      </w:pPr>
    </w:p>
    <w:p w14:paraId="33ACD03C">
      <w:pPr>
        <w:snapToGrid w:val="0"/>
        <w:spacing w:line="360" w:lineRule="auto"/>
        <w:ind w:firstLine="435"/>
        <w:rPr>
          <w:rFonts w:hint="eastAsia" w:ascii="宋体" w:hAnsi="宋体" w:eastAsia="宋体" w:cs="宋体"/>
          <w:color w:val="auto"/>
        </w:rPr>
      </w:pPr>
    </w:p>
    <w:p w14:paraId="683004B6">
      <w:pPr>
        <w:snapToGrid w:val="0"/>
        <w:spacing w:line="360" w:lineRule="auto"/>
        <w:ind w:firstLine="435"/>
        <w:rPr>
          <w:rFonts w:hint="eastAsia" w:ascii="宋体" w:hAnsi="宋体" w:eastAsia="宋体" w:cs="宋体"/>
          <w:color w:val="auto"/>
        </w:rPr>
      </w:pPr>
    </w:p>
    <w:p w14:paraId="1784CCA8">
      <w:pPr>
        <w:snapToGrid w:val="0"/>
        <w:spacing w:line="360" w:lineRule="auto"/>
        <w:ind w:firstLine="435"/>
        <w:rPr>
          <w:rFonts w:hint="eastAsia" w:ascii="宋体" w:hAnsi="宋体" w:eastAsia="宋体" w:cs="宋体"/>
          <w:color w:val="auto"/>
        </w:rPr>
      </w:pPr>
    </w:p>
    <w:p w14:paraId="4870FAFC">
      <w:pPr>
        <w:spacing w:line="360" w:lineRule="auto"/>
        <w:jc w:val="left"/>
        <w:rPr>
          <w:rFonts w:hint="eastAsia" w:ascii="宋体" w:hAnsi="宋体" w:eastAsia="宋体" w:cs="宋体"/>
          <w:b/>
          <w:bCs/>
          <w:color w:val="auto"/>
          <w:sz w:val="24"/>
          <w:szCs w:val="24"/>
          <w:lang w:val="zh-CN"/>
        </w:rPr>
      </w:pPr>
      <w:r>
        <w:rPr>
          <w:rFonts w:hint="eastAsia" w:ascii="宋体" w:hAnsi="宋体" w:eastAsia="宋体" w:cs="宋体"/>
          <w:color w:val="auto"/>
        </w:rPr>
        <w:br w:type="page"/>
      </w:r>
      <w:bookmarkStart w:id="101" w:name="_Toc7196"/>
      <w:r>
        <w:rPr>
          <w:rFonts w:hint="eastAsia" w:ascii="宋体" w:hAnsi="宋体" w:eastAsia="宋体" w:cs="宋体"/>
          <w:b/>
          <w:bCs/>
          <w:color w:val="auto"/>
          <w:sz w:val="24"/>
          <w:szCs w:val="24"/>
          <w:lang w:val="zh-CN"/>
        </w:rPr>
        <w:t>附件十</w:t>
      </w: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lang w:val="zh-CN"/>
        </w:rPr>
        <w:t>：</w:t>
      </w:r>
    </w:p>
    <w:p w14:paraId="2CCB5C05">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磋商报价明细表</w:t>
      </w:r>
    </w:p>
    <w:p w14:paraId="1385652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060519C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采购编号：               </w:t>
      </w:r>
    </w:p>
    <w:tbl>
      <w:tblPr>
        <w:tblStyle w:val="28"/>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0"/>
        <w:gridCol w:w="915"/>
        <w:gridCol w:w="1875"/>
        <w:gridCol w:w="495"/>
        <w:gridCol w:w="498"/>
        <w:gridCol w:w="1147"/>
        <w:gridCol w:w="1123"/>
      </w:tblGrid>
      <w:tr w14:paraId="2067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Merge w:val="restart"/>
            <w:vAlign w:val="center"/>
          </w:tcPr>
          <w:p w14:paraId="3F699A9F">
            <w:pPr>
              <w:pStyle w:val="15"/>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序</w:t>
            </w:r>
          </w:p>
          <w:p w14:paraId="1FBF5C30">
            <w:pPr>
              <w:pStyle w:val="15"/>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号</w:t>
            </w:r>
          </w:p>
        </w:tc>
        <w:tc>
          <w:tcPr>
            <w:tcW w:w="2490" w:type="dxa"/>
            <w:vMerge w:val="restart"/>
            <w:vAlign w:val="center"/>
          </w:tcPr>
          <w:p w14:paraId="25C6CE9C">
            <w:pPr>
              <w:pStyle w:val="15"/>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名称</w:t>
            </w:r>
          </w:p>
        </w:tc>
        <w:tc>
          <w:tcPr>
            <w:tcW w:w="915" w:type="dxa"/>
            <w:vMerge w:val="restart"/>
            <w:vAlign w:val="center"/>
          </w:tcPr>
          <w:p w14:paraId="62BB9A77">
            <w:pPr>
              <w:pStyle w:val="15"/>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内容</w:t>
            </w:r>
          </w:p>
        </w:tc>
        <w:tc>
          <w:tcPr>
            <w:tcW w:w="1875" w:type="dxa"/>
            <w:vMerge w:val="restart"/>
            <w:vAlign w:val="center"/>
          </w:tcPr>
          <w:p w14:paraId="4354914C">
            <w:pPr>
              <w:pStyle w:val="15"/>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其他</w:t>
            </w:r>
          </w:p>
        </w:tc>
        <w:tc>
          <w:tcPr>
            <w:tcW w:w="495" w:type="dxa"/>
            <w:vMerge w:val="restart"/>
            <w:vAlign w:val="center"/>
          </w:tcPr>
          <w:p w14:paraId="4F98C951">
            <w:pPr>
              <w:pStyle w:val="15"/>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单</w:t>
            </w:r>
          </w:p>
          <w:p w14:paraId="0EAEBCE0">
            <w:pPr>
              <w:pStyle w:val="15"/>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位</w:t>
            </w:r>
          </w:p>
        </w:tc>
        <w:tc>
          <w:tcPr>
            <w:tcW w:w="498" w:type="dxa"/>
            <w:vMerge w:val="restart"/>
            <w:vAlign w:val="center"/>
          </w:tcPr>
          <w:p w14:paraId="66D42B9A">
            <w:pPr>
              <w:pStyle w:val="15"/>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数量</w:t>
            </w:r>
          </w:p>
        </w:tc>
        <w:tc>
          <w:tcPr>
            <w:tcW w:w="2270" w:type="dxa"/>
            <w:gridSpan w:val="2"/>
            <w:vAlign w:val="center"/>
          </w:tcPr>
          <w:p w14:paraId="5811CDF5">
            <w:pPr>
              <w:pStyle w:val="15"/>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投标报价（元）</w:t>
            </w:r>
          </w:p>
        </w:tc>
      </w:tr>
      <w:tr w14:paraId="4025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Merge w:val="continue"/>
            <w:vAlign w:val="center"/>
          </w:tcPr>
          <w:p w14:paraId="118520C3">
            <w:pPr>
              <w:pStyle w:val="15"/>
              <w:spacing w:line="360" w:lineRule="auto"/>
              <w:jc w:val="center"/>
              <w:rPr>
                <w:rFonts w:hint="eastAsia" w:ascii="宋体" w:hAnsi="宋体" w:eastAsia="宋体" w:cs="宋体"/>
                <w:color w:val="auto"/>
                <w:sz w:val="22"/>
                <w:szCs w:val="22"/>
              </w:rPr>
            </w:pPr>
          </w:p>
        </w:tc>
        <w:tc>
          <w:tcPr>
            <w:tcW w:w="2490" w:type="dxa"/>
            <w:vMerge w:val="continue"/>
            <w:vAlign w:val="center"/>
          </w:tcPr>
          <w:p w14:paraId="4675274F">
            <w:pPr>
              <w:pStyle w:val="15"/>
              <w:spacing w:line="360" w:lineRule="auto"/>
              <w:jc w:val="center"/>
              <w:rPr>
                <w:rFonts w:hint="eastAsia" w:ascii="宋体" w:hAnsi="宋体" w:eastAsia="宋体" w:cs="宋体"/>
                <w:color w:val="auto"/>
                <w:sz w:val="22"/>
                <w:szCs w:val="22"/>
              </w:rPr>
            </w:pPr>
          </w:p>
        </w:tc>
        <w:tc>
          <w:tcPr>
            <w:tcW w:w="915" w:type="dxa"/>
            <w:vMerge w:val="continue"/>
            <w:vAlign w:val="center"/>
          </w:tcPr>
          <w:p w14:paraId="175EDEEF">
            <w:pPr>
              <w:pStyle w:val="15"/>
              <w:spacing w:line="360" w:lineRule="auto"/>
              <w:jc w:val="center"/>
              <w:rPr>
                <w:rFonts w:hint="eastAsia" w:ascii="宋体" w:hAnsi="宋体" w:eastAsia="宋体" w:cs="宋体"/>
                <w:color w:val="auto"/>
                <w:sz w:val="22"/>
                <w:szCs w:val="22"/>
              </w:rPr>
            </w:pPr>
          </w:p>
        </w:tc>
        <w:tc>
          <w:tcPr>
            <w:tcW w:w="1875" w:type="dxa"/>
            <w:vMerge w:val="continue"/>
            <w:vAlign w:val="center"/>
          </w:tcPr>
          <w:p w14:paraId="3FB18E68">
            <w:pPr>
              <w:pStyle w:val="15"/>
              <w:spacing w:line="360" w:lineRule="auto"/>
              <w:jc w:val="center"/>
              <w:rPr>
                <w:rFonts w:hint="eastAsia" w:ascii="宋体" w:hAnsi="宋体" w:eastAsia="宋体" w:cs="宋体"/>
                <w:color w:val="auto"/>
                <w:sz w:val="22"/>
                <w:szCs w:val="22"/>
              </w:rPr>
            </w:pPr>
          </w:p>
        </w:tc>
        <w:tc>
          <w:tcPr>
            <w:tcW w:w="495" w:type="dxa"/>
            <w:vMerge w:val="continue"/>
            <w:vAlign w:val="center"/>
          </w:tcPr>
          <w:p w14:paraId="1A97DC37">
            <w:pPr>
              <w:pStyle w:val="15"/>
              <w:spacing w:line="360" w:lineRule="auto"/>
              <w:jc w:val="center"/>
              <w:rPr>
                <w:rFonts w:hint="eastAsia" w:ascii="宋体" w:hAnsi="宋体" w:eastAsia="宋体" w:cs="宋体"/>
                <w:color w:val="auto"/>
                <w:sz w:val="22"/>
                <w:szCs w:val="22"/>
              </w:rPr>
            </w:pPr>
          </w:p>
        </w:tc>
        <w:tc>
          <w:tcPr>
            <w:tcW w:w="498" w:type="dxa"/>
            <w:vMerge w:val="continue"/>
            <w:vAlign w:val="center"/>
          </w:tcPr>
          <w:p w14:paraId="42A9C4A7">
            <w:pPr>
              <w:pStyle w:val="15"/>
              <w:spacing w:line="360" w:lineRule="auto"/>
              <w:jc w:val="center"/>
              <w:rPr>
                <w:rFonts w:hint="eastAsia" w:ascii="宋体" w:hAnsi="宋体" w:eastAsia="宋体" w:cs="宋体"/>
                <w:color w:val="auto"/>
                <w:sz w:val="22"/>
                <w:szCs w:val="22"/>
              </w:rPr>
            </w:pPr>
          </w:p>
        </w:tc>
        <w:tc>
          <w:tcPr>
            <w:tcW w:w="1147" w:type="dxa"/>
            <w:vAlign w:val="center"/>
          </w:tcPr>
          <w:p w14:paraId="614AD518">
            <w:pPr>
              <w:pStyle w:val="15"/>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单价</w:t>
            </w:r>
          </w:p>
        </w:tc>
        <w:tc>
          <w:tcPr>
            <w:tcW w:w="1123" w:type="dxa"/>
            <w:vAlign w:val="center"/>
          </w:tcPr>
          <w:p w14:paraId="16AB2FC1">
            <w:pPr>
              <w:pStyle w:val="15"/>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小计</w:t>
            </w:r>
          </w:p>
        </w:tc>
      </w:tr>
      <w:tr w14:paraId="074B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Align w:val="center"/>
          </w:tcPr>
          <w:p w14:paraId="0AB2F282">
            <w:pPr>
              <w:pStyle w:val="15"/>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2490" w:type="dxa"/>
            <w:vAlign w:val="center"/>
          </w:tcPr>
          <w:p w14:paraId="09CF2900">
            <w:pPr>
              <w:pStyle w:val="15"/>
              <w:rPr>
                <w:rFonts w:hint="eastAsia" w:ascii="宋体" w:hAnsi="宋体" w:eastAsia="宋体" w:cs="宋体"/>
                <w:color w:val="auto"/>
                <w:sz w:val="22"/>
                <w:szCs w:val="22"/>
              </w:rPr>
            </w:pPr>
          </w:p>
        </w:tc>
        <w:tc>
          <w:tcPr>
            <w:tcW w:w="915" w:type="dxa"/>
            <w:vAlign w:val="center"/>
          </w:tcPr>
          <w:p w14:paraId="26565128">
            <w:pPr>
              <w:pStyle w:val="15"/>
              <w:spacing w:line="360" w:lineRule="auto"/>
              <w:rPr>
                <w:rFonts w:hint="eastAsia" w:ascii="宋体" w:hAnsi="宋体" w:eastAsia="宋体" w:cs="宋体"/>
                <w:b/>
                <w:bCs/>
                <w:color w:val="auto"/>
                <w:sz w:val="22"/>
                <w:szCs w:val="22"/>
              </w:rPr>
            </w:pPr>
          </w:p>
        </w:tc>
        <w:tc>
          <w:tcPr>
            <w:tcW w:w="1875" w:type="dxa"/>
            <w:vAlign w:val="center"/>
          </w:tcPr>
          <w:p w14:paraId="02122C47">
            <w:pPr>
              <w:pStyle w:val="15"/>
              <w:spacing w:line="360" w:lineRule="auto"/>
              <w:rPr>
                <w:rFonts w:hint="eastAsia" w:ascii="宋体" w:hAnsi="宋体" w:eastAsia="宋体" w:cs="宋体"/>
                <w:b/>
                <w:bCs/>
                <w:color w:val="auto"/>
                <w:sz w:val="22"/>
                <w:szCs w:val="22"/>
              </w:rPr>
            </w:pPr>
          </w:p>
        </w:tc>
        <w:tc>
          <w:tcPr>
            <w:tcW w:w="495" w:type="dxa"/>
            <w:vAlign w:val="center"/>
          </w:tcPr>
          <w:p w14:paraId="5C8C07BC">
            <w:pPr>
              <w:pStyle w:val="15"/>
              <w:spacing w:line="360" w:lineRule="auto"/>
              <w:rPr>
                <w:rFonts w:hint="eastAsia" w:ascii="宋体" w:hAnsi="宋体" w:eastAsia="宋体" w:cs="宋体"/>
                <w:b/>
                <w:bCs/>
                <w:color w:val="auto"/>
                <w:sz w:val="22"/>
                <w:szCs w:val="22"/>
              </w:rPr>
            </w:pPr>
          </w:p>
        </w:tc>
        <w:tc>
          <w:tcPr>
            <w:tcW w:w="498" w:type="dxa"/>
            <w:vAlign w:val="center"/>
          </w:tcPr>
          <w:p w14:paraId="3F4798A2">
            <w:pPr>
              <w:pStyle w:val="15"/>
              <w:spacing w:line="360" w:lineRule="auto"/>
              <w:rPr>
                <w:rFonts w:hint="eastAsia" w:ascii="宋体" w:hAnsi="宋体" w:eastAsia="宋体" w:cs="宋体"/>
                <w:b/>
                <w:bCs/>
                <w:color w:val="auto"/>
                <w:sz w:val="22"/>
                <w:szCs w:val="22"/>
              </w:rPr>
            </w:pPr>
          </w:p>
        </w:tc>
        <w:tc>
          <w:tcPr>
            <w:tcW w:w="1147" w:type="dxa"/>
          </w:tcPr>
          <w:p w14:paraId="4CAD8391">
            <w:pPr>
              <w:pStyle w:val="15"/>
              <w:spacing w:line="360" w:lineRule="auto"/>
              <w:rPr>
                <w:rFonts w:hint="eastAsia" w:ascii="宋体" w:hAnsi="宋体" w:eastAsia="宋体" w:cs="宋体"/>
                <w:color w:val="auto"/>
                <w:sz w:val="22"/>
                <w:szCs w:val="22"/>
              </w:rPr>
            </w:pPr>
          </w:p>
        </w:tc>
        <w:tc>
          <w:tcPr>
            <w:tcW w:w="1123" w:type="dxa"/>
          </w:tcPr>
          <w:p w14:paraId="2387F1DE">
            <w:pPr>
              <w:pStyle w:val="15"/>
              <w:spacing w:line="360" w:lineRule="auto"/>
              <w:rPr>
                <w:rFonts w:hint="eastAsia" w:ascii="宋体" w:hAnsi="宋体" w:eastAsia="宋体" w:cs="宋体"/>
                <w:color w:val="auto"/>
                <w:sz w:val="22"/>
                <w:szCs w:val="22"/>
              </w:rPr>
            </w:pPr>
          </w:p>
        </w:tc>
      </w:tr>
      <w:tr w14:paraId="3C75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Align w:val="center"/>
          </w:tcPr>
          <w:p w14:paraId="2CA53FF0">
            <w:pPr>
              <w:pStyle w:val="15"/>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2490" w:type="dxa"/>
            <w:vAlign w:val="center"/>
          </w:tcPr>
          <w:p w14:paraId="352E05CA">
            <w:pPr>
              <w:pStyle w:val="15"/>
              <w:rPr>
                <w:rFonts w:hint="eastAsia" w:ascii="宋体" w:hAnsi="宋体" w:eastAsia="宋体" w:cs="宋体"/>
                <w:color w:val="auto"/>
                <w:sz w:val="22"/>
                <w:szCs w:val="22"/>
              </w:rPr>
            </w:pPr>
          </w:p>
        </w:tc>
        <w:tc>
          <w:tcPr>
            <w:tcW w:w="915" w:type="dxa"/>
            <w:vAlign w:val="center"/>
          </w:tcPr>
          <w:p w14:paraId="4CC48579">
            <w:pPr>
              <w:pStyle w:val="15"/>
              <w:spacing w:line="360" w:lineRule="auto"/>
              <w:rPr>
                <w:rFonts w:hint="eastAsia" w:ascii="宋体" w:hAnsi="宋体" w:eastAsia="宋体" w:cs="宋体"/>
                <w:b/>
                <w:bCs/>
                <w:color w:val="auto"/>
                <w:sz w:val="22"/>
                <w:szCs w:val="22"/>
              </w:rPr>
            </w:pPr>
          </w:p>
        </w:tc>
        <w:tc>
          <w:tcPr>
            <w:tcW w:w="1875" w:type="dxa"/>
            <w:vAlign w:val="center"/>
          </w:tcPr>
          <w:p w14:paraId="13555AEB">
            <w:pPr>
              <w:pStyle w:val="15"/>
              <w:spacing w:line="360" w:lineRule="auto"/>
              <w:rPr>
                <w:rFonts w:hint="eastAsia" w:ascii="宋体" w:hAnsi="宋体" w:eastAsia="宋体" w:cs="宋体"/>
                <w:b/>
                <w:bCs/>
                <w:color w:val="auto"/>
                <w:sz w:val="22"/>
                <w:szCs w:val="22"/>
              </w:rPr>
            </w:pPr>
          </w:p>
        </w:tc>
        <w:tc>
          <w:tcPr>
            <w:tcW w:w="495" w:type="dxa"/>
            <w:vAlign w:val="center"/>
          </w:tcPr>
          <w:p w14:paraId="28C6AF8E">
            <w:pPr>
              <w:pStyle w:val="15"/>
              <w:spacing w:line="360" w:lineRule="auto"/>
              <w:rPr>
                <w:rFonts w:hint="eastAsia" w:ascii="宋体" w:hAnsi="宋体" w:eastAsia="宋体" w:cs="宋体"/>
                <w:b/>
                <w:bCs/>
                <w:color w:val="auto"/>
                <w:sz w:val="22"/>
                <w:szCs w:val="22"/>
              </w:rPr>
            </w:pPr>
          </w:p>
        </w:tc>
        <w:tc>
          <w:tcPr>
            <w:tcW w:w="498" w:type="dxa"/>
            <w:vAlign w:val="center"/>
          </w:tcPr>
          <w:p w14:paraId="58AAE653">
            <w:pPr>
              <w:pStyle w:val="15"/>
              <w:spacing w:line="360" w:lineRule="auto"/>
              <w:rPr>
                <w:rFonts w:hint="eastAsia" w:ascii="宋体" w:hAnsi="宋体" w:eastAsia="宋体" w:cs="宋体"/>
                <w:b/>
                <w:bCs/>
                <w:color w:val="auto"/>
                <w:sz w:val="22"/>
                <w:szCs w:val="22"/>
              </w:rPr>
            </w:pPr>
          </w:p>
        </w:tc>
        <w:tc>
          <w:tcPr>
            <w:tcW w:w="1147" w:type="dxa"/>
          </w:tcPr>
          <w:p w14:paraId="30436B8E">
            <w:pPr>
              <w:pStyle w:val="15"/>
              <w:spacing w:line="360" w:lineRule="auto"/>
              <w:rPr>
                <w:rFonts w:hint="eastAsia" w:ascii="宋体" w:hAnsi="宋体" w:eastAsia="宋体" w:cs="宋体"/>
                <w:color w:val="auto"/>
                <w:sz w:val="22"/>
                <w:szCs w:val="22"/>
              </w:rPr>
            </w:pPr>
          </w:p>
        </w:tc>
        <w:tc>
          <w:tcPr>
            <w:tcW w:w="1123" w:type="dxa"/>
          </w:tcPr>
          <w:p w14:paraId="1AD774CD">
            <w:pPr>
              <w:pStyle w:val="15"/>
              <w:spacing w:line="360" w:lineRule="auto"/>
              <w:rPr>
                <w:rFonts w:hint="eastAsia" w:ascii="宋体" w:hAnsi="宋体" w:eastAsia="宋体" w:cs="宋体"/>
                <w:color w:val="auto"/>
                <w:sz w:val="22"/>
                <w:szCs w:val="22"/>
              </w:rPr>
            </w:pPr>
          </w:p>
        </w:tc>
      </w:tr>
      <w:tr w14:paraId="41F3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Align w:val="center"/>
          </w:tcPr>
          <w:p w14:paraId="0C843589">
            <w:pPr>
              <w:pStyle w:val="15"/>
              <w:jc w:val="center"/>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2490" w:type="dxa"/>
            <w:vAlign w:val="center"/>
          </w:tcPr>
          <w:p w14:paraId="6317AD58">
            <w:pPr>
              <w:pStyle w:val="15"/>
              <w:rPr>
                <w:rFonts w:hint="eastAsia" w:ascii="宋体" w:hAnsi="宋体" w:eastAsia="宋体" w:cs="宋体"/>
                <w:color w:val="auto"/>
                <w:sz w:val="22"/>
                <w:szCs w:val="22"/>
              </w:rPr>
            </w:pPr>
          </w:p>
        </w:tc>
        <w:tc>
          <w:tcPr>
            <w:tcW w:w="915" w:type="dxa"/>
            <w:vAlign w:val="center"/>
          </w:tcPr>
          <w:p w14:paraId="5664E877">
            <w:pPr>
              <w:pStyle w:val="15"/>
              <w:spacing w:line="360" w:lineRule="auto"/>
              <w:rPr>
                <w:rFonts w:hint="eastAsia" w:ascii="宋体" w:hAnsi="宋体" w:eastAsia="宋体" w:cs="宋体"/>
                <w:b/>
                <w:bCs/>
                <w:color w:val="auto"/>
                <w:sz w:val="22"/>
                <w:szCs w:val="22"/>
              </w:rPr>
            </w:pPr>
          </w:p>
        </w:tc>
        <w:tc>
          <w:tcPr>
            <w:tcW w:w="1875" w:type="dxa"/>
            <w:vAlign w:val="center"/>
          </w:tcPr>
          <w:p w14:paraId="0F6C5A8E">
            <w:pPr>
              <w:pStyle w:val="15"/>
              <w:spacing w:line="360" w:lineRule="auto"/>
              <w:rPr>
                <w:rFonts w:hint="eastAsia" w:ascii="宋体" w:hAnsi="宋体" w:eastAsia="宋体" w:cs="宋体"/>
                <w:b/>
                <w:bCs/>
                <w:color w:val="auto"/>
                <w:sz w:val="22"/>
                <w:szCs w:val="22"/>
              </w:rPr>
            </w:pPr>
          </w:p>
        </w:tc>
        <w:tc>
          <w:tcPr>
            <w:tcW w:w="495" w:type="dxa"/>
            <w:vAlign w:val="center"/>
          </w:tcPr>
          <w:p w14:paraId="1865F463">
            <w:pPr>
              <w:pStyle w:val="15"/>
              <w:spacing w:line="360" w:lineRule="auto"/>
              <w:rPr>
                <w:rFonts w:hint="eastAsia" w:ascii="宋体" w:hAnsi="宋体" w:eastAsia="宋体" w:cs="宋体"/>
                <w:b/>
                <w:bCs/>
                <w:color w:val="auto"/>
                <w:sz w:val="22"/>
                <w:szCs w:val="22"/>
              </w:rPr>
            </w:pPr>
          </w:p>
        </w:tc>
        <w:tc>
          <w:tcPr>
            <w:tcW w:w="498" w:type="dxa"/>
            <w:vAlign w:val="center"/>
          </w:tcPr>
          <w:p w14:paraId="0177B7A8">
            <w:pPr>
              <w:pStyle w:val="15"/>
              <w:spacing w:line="360" w:lineRule="auto"/>
              <w:rPr>
                <w:rFonts w:hint="eastAsia" w:ascii="宋体" w:hAnsi="宋体" w:eastAsia="宋体" w:cs="宋体"/>
                <w:b/>
                <w:bCs/>
                <w:color w:val="auto"/>
                <w:sz w:val="22"/>
                <w:szCs w:val="22"/>
              </w:rPr>
            </w:pPr>
          </w:p>
        </w:tc>
        <w:tc>
          <w:tcPr>
            <w:tcW w:w="1147" w:type="dxa"/>
          </w:tcPr>
          <w:p w14:paraId="552D4900">
            <w:pPr>
              <w:pStyle w:val="15"/>
              <w:spacing w:line="360" w:lineRule="auto"/>
              <w:rPr>
                <w:rFonts w:hint="eastAsia" w:ascii="宋体" w:hAnsi="宋体" w:eastAsia="宋体" w:cs="宋体"/>
                <w:color w:val="auto"/>
                <w:sz w:val="22"/>
                <w:szCs w:val="22"/>
              </w:rPr>
            </w:pPr>
          </w:p>
        </w:tc>
        <w:tc>
          <w:tcPr>
            <w:tcW w:w="1123" w:type="dxa"/>
          </w:tcPr>
          <w:p w14:paraId="529C188B">
            <w:pPr>
              <w:pStyle w:val="15"/>
              <w:spacing w:line="360" w:lineRule="auto"/>
              <w:rPr>
                <w:rFonts w:hint="eastAsia" w:ascii="宋体" w:hAnsi="宋体" w:eastAsia="宋体" w:cs="宋体"/>
                <w:color w:val="auto"/>
                <w:sz w:val="22"/>
                <w:szCs w:val="22"/>
              </w:rPr>
            </w:pPr>
          </w:p>
        </w:tc>
      </w:tr>
      <w:tr w14:paraId="263E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Align w:val="center"/>
          </w:tcPr>
          <w:p w14:paraId="1789FEC1">
            <w:pPr>
              <w:pStyle w:val="15"/>
              <w:jc w:val="center"/>
              <w:rPr>
                <w:rFonts w:hint="eastAsia" w:ascii="宋体" w:hAnsi="宋体" w:eastAsia="宋体" w:cs="宋体"/>
                <w:color w:val="auto"/>
                <w:sz w:val="22"/>
                <w:szCs w:val="22"/>
              </w:rPr>
            </w:pPr>
            <w:r>
              <w:rPr>
                <w:rFonts w:hint="eastAsia" w:ascii="宋体" w:hAnsi="宋体" w:eastAsia="宋体" w:cs="宋体"/>
                <w:color w:val="auto"/>
                <w:sz w:val="22"/>
                <w:szCs w:val="22"/>
              </w:rPr>
              <w:t>4</w:t>
            </w:r>
          </w:p>
        </w:tc>
        <w:tc>
          <w:tcPr>
            <w:tcW w:w="2490" w:type="dxa"/>
            <w:vAlign w:val="center"/>
          </w:tcPr>
          <w:p w14:paraId="44EB6738">
            <w:pPr>
              <w:pStyle w:val="15"/>
              <w:rPr>
                <w:rFonts w:hint="eastAsia" w:ascii="宋体" w:hAnsi="宋体" w:eastAsia="宋体" w:cs="宋体"/>
                <w:color w:val="auto"/>
                <w:sz w:val="22"/>
                <w:szCs w:val="22"/>
              </w:rPr>
            </w:pPr>
          </w:p>
        </w:tc>
        <w:tc>
          <w:tcPr>
            <w:tcW w:w="915" w:type="dxa"/>
            <w:vAlign w:val="center"/>
          </w:tcPr>
          <w:p w14:paraId="1ACE91BD">
            <w:pPr>
              <w:pStyle w:val="15"/>
              <w:spacing w:line="360" w:lineRule="auto"/>
              <w:jc w:val="center"/>
              <w:rPr>
                <w:rFonts w:hint="eastAsia" w:ascii="宋体" w:hAnsi="宋体" w:eastAsia="宋体" w:cs="宋体"/>
                <w:color w:val="auto"/>
                <w:sz w:val="22"/>
                <w:szCs w:val="22"/>
              </w:rPr>
            </w:pPr>
          </w:p>
        </w:tc>
        <w:tc>
          <w:tcPr>
            <w:tcW w:w="1875" w:type="dxa"/>
            <w:vAlign w:val="center"/>
          </w:tcPr>
          <w:p w14:paraId="620A36E7">
            <w:pPr>
              <w:pStyle w:val="15"/>
              <w:spacing w:line="360" w:lineRule="auto"/>
              <w:jc w:val="center"/>
              <w:rPr>
                <w:rFonts w:hint="eastAsia" w:ascii="宋体" w:hAnsi="宋体" w:eastAsia="宋体" w:cs="宋体"/>
                <w:color w:val="auto"/>
                <w:sz w:val="22"/>
                <w:szCs w:val="22"/>
              </w:rPr>
            </w:pPr>
          </w:p>
        </w:tc>
        <w:tc>
          <w:tcPr>
            <w:tcW w:w="495" w:type="dxa"/>
            <w:vAlign w:val="center"/>
          </w:tcPr>
          <w:p w14:paraId="339596EB">
            <w:pPr>
              <w:pStyle w:val="15"/>
              <w:spacing w:line="360" w:lineRule="auto"/>
              <w:jc w:val="center"/>
              <w:rPr>
                <w:rFonts w:hint="eastAsia" w:ascii="宋体" w:hAnsi="宋体" w:eastAsia="宋体" w:cs="宋体"/>
                <w:color w:val="auto"/>
                <w:sz w:val="22"/>
                <w:szCs w:val="22"/>
              </w:rPr>
            </w:pPr>
          </w:p>
        </w:tc>
        <w:tc>
          <w:tcPr>
            <w:tcW w:w="498" w:type="dxa"/>
            <w:vAlign w:val="center"/>
          </w:tcPr>
          <w:p w14:paraId="68E90319">
            <w:pPr>
              <w:pStyle w:val="15"/>
              <w:spacing w:line="360" w:lineRule="auto"/>
              <w:jc w:val="center"/>
              <w:rPr>
                <w:rFonts w:hint="eastAsia" w:ascii="宋体" w:hAnsi="宋体" w:eastAsia="宋体" w:cs="宋体"/>
                <w:color w:val="auto"/>
                <w:sz w:val="22"/>
                <w:szCs w:val="22"/>
              </w:rPr>
            </w:pPr>
          </w:p>
        </w:tc>
        <w:tc>
          <w:tcPr>
            <w:tcW w:w="1147" w:type="dxa"/>
          </w:tcPr>
          <w:p w14:paraId="48BADC70">
            <w:pPr>
              <w:pStyle w:val="15"/>
              <w:spacing w:line="360" w:lineRule="auto"/>
              <w:rPr>
                <w:rFonts w:hint="eastAsia" w:ascii="宋体" w:hAnsi="宋体" w:eastAsia="宋体" w:cs="宋体"/>
                <w:color w:val="auto"/>
                <w:sz w:val="22"/>
                <w:szCs w:val="22"/>
              </w:rPr>
            </w:pPr>
          </w:p>
        </w:tc>
        <w:tc>
          <w:tcPr>
            <w:tcW w:w="1123" w:type="dxa"/>
          </w:tcPr>
          <w:p w14:paraId="36748177">
            <w:pPr>
              <w:pStyle w:val="15"/>
              <w:spacing w:line="360" w:lineRule="auto"/>
              <w:rPr>
                <w:rFonts w:hint="eastAsia" w:ascii="宋体" w:hAnsi="宋体" w:eastAsia="宋体" w:cs="宋体"/>
                <w:color w:val="auto"/>
                <w:sz w:val="22"/>
                <w:szCs w:val="22"/>
              </w:rPr>
            </w:pPr>
          </w:p>
        </w:tc>
      </w:tr>
      <w:tr w14:paraId="4071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Align w:val="center"/>
          </w:tcPr>
          <w:p w14:paraId="25D90DAC">
            <w:pPr>
              <w:pStyle w:val="15"/>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5</w:t>
            </w:r>
          </w:p>
        </w:tc>
        <w:tc>
          <w:tcPr>
            <w:tcW w:w="2490" w:type="dxa"/>
            <w:vAlign w:val="center"/>
          </w:tcPr>
          <w:p w14:paraId="6A6731F0">
            <w:pPr>
              <w:pStyle w:val="15"/>
              <w:spacing w:line="360" w:lineRule="auto"/>
              <w:rPr>
                <w:rFonts w:hint="eastAsia" w:ascii="宋体" w:hAnsi="宋体" w:eastAsia="宋体" w:cs="宋体"/>
                <w:color w:val="auto"/>
                <w:sz w:val="22"/>
                <w:szCs w:val="22"/>
              </w:rPr>
            </w:pPr>
          </w:p>
        </w:tc>
        <w:tc>
          <w:tcPr>
            <w:tcW w:w="915" w:type="dxa"/>
            <w:vAlign w:val="center"/>
          </w:tcPr>
          <w:p w14:paraId="502556AD">
            <w:pPr>
              <w:jc w:val="center"/>
              <w:rPr>
                <w:rFonts w:hint="eastAsia" w:ascii="宋体" w:hAnsi="宋体" w:eastAsia="宋体" w:cs="宋体"/>
                <w:color w:val="auto"/>
                <w:sz w:val="22"/>
                <w:szCs w:val="22"/>
              </w:rPr>
            </w:pPr>
          </w:p>
        </w:tc>
        <w:tc>
          <w:tcPr>
            <w:tcW w:w="1875" w:type="dxa"/>
            <w:vAlign w:val="center"/>
          </w:tcPr>
          <w:p w14:paraId="083692D7">
            <w:pPr>
              <w:jc w:val="center"/>
              <w:rPr>
                <w:rFonts w:hint="eastAsia" w:ascii="宋体" w:hAnsi="宋体" w:eastAsia="宋体" w:cs="宋体"/>
                <w:color w:val="auto"/>
                <w:sz w:val="22"/>
                <w:szCs w:val="22"/>
              </w:rPr>
            </w:pPr>
          </w:p>
        </w:tc>
        <w:tc>
          <w:tcPr>
            <w:tcW w:w="495" w:type="dxa"/>
            <w:vAlign w:val="center"/>
          </w:tcPr>
          <w:p w14:paraId="13B57252">
            <w:pPr>
              <w:pStyle w:val="15"/>
              <w:spacing w:line="360" w:lineRule="auto"/>
              <w:jc w:val="center"/>
              <w:rPr>
                <w:rFonts w:hint="eastAsia" w:ascii="宋体" w:hAnsi="宋体" w:eastAsia="宋体" w:cs="宋体"/>
                <w:color w:val="auto"/>
                <w:sz w:val="22"/>
                <w:szCs w:val="22"/>
              </w:rPr>
            </w:pPr>
          </w:p>
        </w:tc>
        <w:tc>
          <w:tcPr>
            <w:tcW w:w="498" w:type="dxa"/>
            <w:vAlign w:val="center"/>
          </w:tcPr>
          <w:p w14:paraId="6AA84E13">
            <w:pPr>
              <w:pStyle w:val="15"/>
              <w:spacing w:line="360" w:lineRule="auto"/>
              <w:jc w:val="center"/>
              <w:rPr>
                <w:rFonts w:hint="eastAsia" w:ascii="宋体" w:hAnsi="宋体" w:eastAsia="宋体" w:cs="宋体"/>
                <w:color w:val="auto"/>
                <w:sz w:val="22"/>
                <w:szCs w:val="22"/>
              </w:rPr>
            </w:pPr>
          </w:p>
        </w:tc>
        <w:tc>
          <w:tcPr>
            <w:tcW w:w="1147" w:type="dxa"/>
          </w:tcPr>
          <w:p w14:paraId="0E50336F">
            <w:pPr>
              <w:pStyle w:val="15"/>
              <w:spacing w:line="360" w:lineRule="auto"/>
              <w:rPr>
                <w:rFonts w:hint="eastAsia" w:ascii="宋体" w:hAnsi="宋体" w:eastAsia="宋体" w:cs="宋体"/>
                <w:color w:val="auto"/>
                <w:sz w:val="22"/>
                <w:szCs w:val="22"/>
              </w:rPr>
            </w:pPr>
          </w:p>
        </w:tc>
        <w:tc>
          <w:tcPr>
            <w:tcW w:w="1123" w:type="dxa"/>
          </w:tcPr>
          <w:p w14:paraId="5A3DC6E7">
            <w:pPr>
              <w:pStyle w:val="15"/>
              <w:spacing w:line="360" w:lineRule="auto"/>
              <w:rPr>
                <w:rFonts w:hint="eastAsia" w:ascii="宋体" w:hAnsi="宋体" w:eastAsia="宋体" w:cs="宋体"/>
                <w:color w:val="auto"/>
                <w:sz w:val="22"/>
                <w:szCs w:val="22"/>
              </w:rPr>
            </w:pPr>
          </w:p>
        </w:tc>
      </w:tr>
      <w:tr w14:paraId="5AC0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tcPr>
          <w:p w14:paraId="086CC18E">
            <w:pPr>
              <w:pStyle w:val="15"/>
              <w:spacing w:line="360" w:lineRule="auto"/>
              <w:rPr>
                <w:rFonts w:hint="eastAsia" w:ascii="宋体" w:hAnsi="宋体" w:eastAsia="宋体" w:cs="宋体"/>
                <w:color w:val="auto"/>
                <w:sz w:val="22"/>
                <w:szCs w:val="22"/>
              </w:rPr>
            </w:pPr>
          </w:p>
        </w:tc>
        <w:tc>
          <w:tcPr>
            <w:tcW w:w="2490" w:type="dxa"/>
            <w:vAlign w:val="center"/>
          </w:tcPr>
          <w:p w14:paraId="742B72B0">
            <w:pPr>
              <w:pStyle w:val="15"/>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w:t>
            </w:r>
          </w:p>
        </w:tc>
        <w:tc>
          <w:tcPr>
            <w:tcW w:w="915" w:type="dxa"/>
            <w:vAlign w:val="center"/>
          </w:tcPr>
          <w:p w14:paraId="520AFA25">
            <w:pPr>
              <w:jc w:val="center"/>
              <w:rPr>
                <w:rFonts w:hint="eastAsia" w:ascii="宋体" w:hAnsi="宋体" w:eastAsia="宋体" w:cs="宋体"/>
                <w:color w:val="auto"/>
                <w:sz w:val="22"/>
                <w:szCs w:val="22"/>
              </w:rPr>
            </w:pPr>
          </w:p>
        </w:tc>
        <w:tc>
          <w:tcPr>
            <w:tcW w:w="1875" w:type="dxa"/>
            <w:vAlign w:val="center"/>
          </w:tcPr>
          <w:p w14:paraId="3A394BEF">
            <w:pPr>
              <w:jc w:val="center"/>
              <w:rPr>
                <w:rFonts w:hint="eastAsia" w:ascii="宋体" w:hAnsi="宋体" w:eastAsia="宋体" w:cs="宋体"/>
                <w:color w:val="auto"/>
                <w:sz w:val="22"/>
                <w:szCs w:val="22"/>
              </w:rPr>
            </w:pPr>
          </w:p>
        </w:tc>
        <w:tc>
          <w:tcPr>
            <w:tcW w:w="495" w:type="dxa"/>
            <w:vAlign w:val="center"/>
          </w:tcPr>
          <w:p w14:paraId="7646E4F6">
            <w:pPr>
              <w:pStyle w:val="15"/>
              <w:spacing w:line="360" w:lineRule="auto"/>
              <w:jc w:val="center"/>
              <w:rPr>
                <w:rFonts w:hint="eastAsia" w:ascii="宋体" w:hAnsi="宋体" w:eastAsia="宋体" w:cs="宋体"/>
                <w:color w:val="auto"/>
                <w:sz w:val="22"/>
                <w:szCs w:val="22"/>
              </w:rPr>
            </w:pPr>
          </w:p>
        </w:tc>
        <w:tc>
          <w:tcPr>
            <w:tcW w:w="498" w:type="dxa"/>
            <w:vAlign w:val="center"/>
          </w:tcPr>
          <w:p w14:paraId="5A076C4C">
            <w:pPr>
              <w:pStyle w:val="15"/>
              <w:spacing w:line="360" w:lineRule="auto"/>
              <w:jc w:val="center"/>
              <w:rPr>
                <w:rFonts w:hint="eastAsia" w:ascii="宋体" w:hAnsi="宋体" w:eastAsia="宋体" w:cs="宋体"/>
                <w:color w:val="auto"/>
                <w:sz w:val="22"/>
                <w:szCs w:val="22"/>
              </w:rPr>
            </w:pPr>
          </w:p>
        </w:tc>
        <w:tc>
          <w:tcPr>
            <w:tcW w:w="1147" w:type="dxa"/>
          </w:tcPr>
          <w:p w14:paraId="59EC38C6">
            <w:pPr>
              <w:pStyle w:val="15"/>
              <w:spacing w:line="360" w:lineRule="auto"/>
              <w:rPr>
                <w:rFonts w:hint="eastAsia" w:ascii="宋体" w:hAnsi="宋体" w:eastAsia="宋体" w:cs="宋体"/>
                <w:color w:val="auto"/>
                <w:sz w:val="22"/>
                <w:szCs w:val="22"/>
              </w:rPr>
            </w:pPr>
          </w:p>
        </w:tc>
        <w:tc>
          <w:tcPr>
            <w:tcW w:w="1123" w:type="dxa"/>
          </w:tcPr>
          <w:p w14:paraId="0449AF00">
            <w:pPr>
              <w:pStyle w:val="15"/>
              <w:spacing w:line="360" w:lineRule="auto"/>
              <w:rPr>
                <w:rFonts w:hint="eastAsia" w:ascii="宋体" w:hAnsi="宋体" w:eastAsia="宋体" w:cs="宋体"/>
                <w:color w:val="auto"/>
                <w:sz w:val="22"/>
                <w:szCs w:val="22"/>
              </w:rPr>
            </w:pPr>
          </w:p>
        </w:tc>
      </w:tr>
      <w:tr w14:paraId="5871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979" w:type="dxa"/>
            <w:gridSpan w:val="2"/>
            <w:vAlign w:val="center"/>
          </w:tcPr>
          <w:p w14:paraId="36AFC11A">
            <w:pPr>
              <w:pStyle w:val="15"/>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投标总价</w:t>
            </w:r>
          </w:p>
        </w:tc>
        <w:tc>
          <w:tcPr>
            <w:tcW w:w="6053" w:type="dxa"/>
            <w:gridSpan w:val="6"/>
            <w:vAlign w:val="center"/>
          </w:tcPr>
          <w:p w14:paraId="486E96B8">
            <w:pPr>
              <w:pStyle w:val="15"/>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大写：　　　　                元（小写：　　　　　）</w:t>
            </w:r>
          </w:p>
        </w:tc>
      </w:tr>
      <w:tr w14:paraId="3325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32" w:type="dxa"/>
            <w:gridSpan w:val="8"/>
          </w:tcPr>
          <w:p w14:paraId="32719E3E">
            <w:pPr>
              <w:pStyle w:val="15"/>
              <w:ind w:firstLine="482" w:firstLineChars="200"/>
              <w:rPr>
                <w:rFonts w:hint="eastAsia" w:ascii="宋体" w:hAnsi="宋体" w:eastAsia="宋体" w:cs="宋体"/>
                <w:color w:val="auto"/>
                <w:sz w:val="22"/>
                <w:szCs w:val="22"/>
              </w:rPr>
            </w:pPr>
            <w:r>
              <w:rPr>
                <w:rFonts w:hint="eastAsia" w:ascii="宋体" w:hAnsi="宋体" w:eastAsia="宋体" w:cs="宋体"/>
                <w:b/>
                <w:bCs/>
                <w:color w:val="auto"/>
                <w:sz w:val="24"/>
                <w:szCs w:val="24"/>
              </w:rPr>
              <w:t>本次报价包括人工成本费、管理费、售后服务费、招标服务费、税金等一切费用。凡乙方在报价中未列明但又为本次采购所必备的项目或遗漏项目，甲方将一律视为已包括在合同价中，在合同执行中将不予考虑。</w:t>
            </w:r>
          </w:p>
        </w:tc>
      </w:tr>
    </w:tbl>
    <w:p w14:paraId="4359EDA9">
      <w:pPr>
        <w:pStyle w:val="1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注：内容可根据供应商实际情况自行调整。</w:t>
      </w:r>
    </w:p>
    <w:p w14:paraId="03F9A49B">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法定代表人签名（或签名章）：                       </w:t>
      </w:r>
    </w:p>
    <w:p w14:paraId="699B91AE">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1E8AD0FF">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供应商全称（公章）：</w:t>
      </w:r>
    </w:p>
    <w:p w14:paraId="5F0413CC">
      <w:pPr>
        <w:rPr>
          <w:rFonts w:hint="eastAsia" w:ascii="宋体" w:hAnsi="宋体" w:eastAsia="宋体" w:cs="宋体"/>
        </w:rPr>
      </w:pPr>
      <w:r>
        <w:rPr>
          <w:rFonts w:hint="eastAsia" w:ascii="宋体" w:hAnsi="宋体" w:eastAsia="宋体" w:cs="宋体"/>
          <w:color w:val="auto"/>
          <w:sz w:val="24"/>
          <w:szCs w:val="24"/>
        </w:rPr>
        <w:br w:type="page"/>
      </w:r>
    </w:p>
    <w:bookmarkEnd w:id="101"/>
    <w:p w14:paraId="718BD612">
      <w:pPr>
        <w:spacing w:line="360" w:lineRule="auto"/>
        <w:jc w:val="left"/>
        <w:rPr>
          <w:rFonts w:hint="eastAsia" w:ascii="宋体" w:hAnsi="宋体" w:eastAsia="宋体" w:cs="宋体"/>
          <w:b/>
          <w:bCs/>
          <w:color w:val="auto"/>
          <w:sz w:val="32"/>
          <w:szCs w:val="32"/>
        </w:rPr>
      </w:pPr>
      <w:r>
        <w:rPr>
          <w:rFonts w:hint="eastAsia" w:ascii="宋体" w:hAnsi="宋体" w:eastAsia="宋体" w:cs="宋体"/>
          <w:b/>
          <w:bCs/>
          <w:color w:val="auto"/>
          <w:sz w:val="24"/>
          <w:szCs w:val="24"/>
          <w:lang w:val="zh-CN"/>
        </w:rPr>
        <w:t>附件十</w:t>
      </w: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zh-CN"/>
        </w:rPr>
        <w:t>：</w:t>
      </w:r>
    </w:p>
    <w:p w14:paraId="3E9B1CAF">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中小企业声明函</w:t>
      </w:r>
    </w:p>
    <w:p w14:paraId="1E011ECB">
      <w:pPr>
        <w:widowControl/>
        <w:snapToGrid w:val="0"/>
        <w:spacing w:line="324" w:lineRule="auto"/>
        <w:ind w:firstLine="480" w:firstLineChars="200"/>
        <w:jc w:val="center"/>
        <w:rPr>
          <w:rFonts w:hint="eastAsia" w:ascii="宋体" w:hAnsi="宋体" w:eastAsia="宋体" w:cs="宋体"/>
          <w:color w:val="auto"/>
          <w:kern w:val="0"/>
          <w:sz w:val="24"/>
        </w:rPr>
      </w:pPr>
      <w:r>
        <w:rPr>
          <w:rFonts w:hint="eastAsia" w:ascii="宋体" w:hAnsi="宋体" w:eastAsia="宋体" w:cs="宋体"/>
          <w:color w:val="auto"/>
          <w:kern w:val="0"/>
          <w:sz w:val="24"/>
        </w:rPr>
        <w:t>【不属于中小企业的无需填写、递交】</w:t>
      </w:r>
    </w:p>
    <w:p w14:paraId="4A5C486C">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 （财库﹝2020﹞46 号）的规定，本公司（联合体）参加</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w:t>
      </w:r>
      <w:r>
        <w:rPr>
          <w:rFonts w:hint="eastAsia" w:ascii="宋体" w:hAnsi="宋体" w:eastAsia="宋体" w:cs="宋体"/>
          <w:color w:val="auto"/>
          <w:sz w:val="24"/>
        </w:rPr>
        <w:t>采购活动，</w:t>
      </w:r>
      <w:r>
        <w:rPr>
          <w:rFonts w:hint="eastAsia" w:ascii="宋体" w:hAnsi="宋体" w:eastAsia="宋体" w:cs="宋体"/>
          <w:b/>
          <w:bCs/>
          <w:color w:val="auto"/>
          <w:sz w:val="24"/>
        </w:rPr>
        <w:t>服务全部由符合政策要求的中小企业承接。</w:t>
      </w:r>
      <w:r>
        <w:rPr>
          <w:rFonts w:hint="eastAsia" w:ascii="宋体" w:hAnsi="宋体" w:eastAsia="宋体" w:cs="宋体"/>
          <w:color w:val="auto"/>
          <w:sz w:val="24"/>
        </w:rPr>
        <w:t>相关企业（含联合体中的中小企业、签订分包意向协议的中小企业）的具体情况如下：</w:t>
      </w:r>
    </w:p>
    <w:p w14:paraId="35226F2A">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 xml:space="preserve">  （项目名称）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其他未列明行业 </w:t>
      </w:r>
      <w:r>
        <w:rPr>
          <w:rFonts w:hint="eastAsia" w:ascii="宋体" w:hAnsi="宋体" w:eastAsia="宋体" w:cs="宋体"/>
          <w:color w:val="auto"/>
          <w:sz w:val="24"/>
        </w:rPr>
        <w:t>；承接企业为</w:t>
      </w:r>
      <w:r>
        <w:rPr>
          <w:rFonts w:hint="eastAsia" w:ascii="宋体" w:hAnsi="宋体" w:eastAsia="宋体" w:cs="宋体"/>
          <w:color w:val="auto"/>
          <w:sz w:val="24"/>
          <w:u w:val="single"/>
        </w:rPr>
        <w:t xml:space="preserve"> （企业名称） </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 ，属于</w:t>
      </w:r>
      <w:r>
        <w:rPr>
          <w:rFonts w:hint="eastAsia" w:ascii="宋体" w:hAnsi="宋体" w:eastAsia="宋体" w:cs="宋体"/>
          <w:color w:val="auto"/>
          <w:sz w:val="24"/>
          <w:u w:val="single"/>
        </w:rPr>
        <w:t xml:space="preserve"> （中型企业、小型企业、微型企业）</w:t>
      </w:r>
      <w:r>
        <w:rPr>
          <w:rFonts w:hint="eastAsia" w:ascii="宋体" w:hAnsi="宋体" w:eastAsia="宋体" w:cs="宋体"/>
          <w:color w:val="auto"/>
          <w:sz w:val="24"/>
        </w:rPr>
        <w:t xml:space="preserve"> ；</w:t>
      </w:r>
    </w:p>
    <w:p w14:paraId="766A9D09">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（项目名称）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其他未列明行业 </w:t>
      </w:r>
      <w:r>
        <w:rPr>
          <w:rFonts w:hint="eastAsia" w:ascii="宋体" w:hAnsi="宋体" w:eastAsia="宋体" w:cs="宋体"/>
          <w:color w:val="auto"/>
          <w:sz w:val="24"/>
        </w:rPr>
        <w:t>；承接企业为</w:t>
      </w:r>
      <w:r>
        <w:rPr>
          <w:rFonts w:hint="eastAsia" w:ascii="宋体" w:hAnsi="宋体" w:eastAsia="宋体" w:cs="宋体"/>
          <w:color w:val="auto"/>
          <w:sz w:val="24"/>
          <w:u w:val="single"/>
        </w:rPr>
        <w:t xml:space="preserve">  （企业名称） </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 ，属于</w:t>
      </w:r>
      <w:r>
        <w:rPr>
          <w:rFonts w:hint="eastAsia" w:ascii="宋体" w:hAnsi="宋体" w:eastAsia="宋体" w:cs="宋体"/>
          <w:color w:val="auto"/>
          <w:sz w:val="24"/>
          <w:u w:val="single"/>
        </w:rPr>
        <w:t xml:space="preserve"> （中型企业、小型企业、微型企业）</w:t>
      </w:r>
      <w:r>
        <w:rPr>
          <w:rFonts w:hint="eastAsia" w:ascii="宋体" w:hAnsi="宋体" w:eastAsia="宋体" w:cs="宋体"/>
          <w:color w:val="auto"/>
          <w:sz w:val="24"/>
        </w:rPr>
        <w:t xml:space="preserve"> ；</w:t>
      </w:r>
    </w:p>
    <w:p w14:paraId="6F42E60F">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14:paraId="3ADE81C9">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07DE659B">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19495090">
      <w:pPr>
        <w:spacing w:line="288" w:lineRule="auto"/>
        <w:ind w:right="420" w:firstLine="4320" w:firstLineChars="1800"/>
        <w:rPr>
          <w:rFonts w:hint="eastAsia" w:ascii="宋体" w:hAnsi="宋体" w:eastAsia="宋体" w:cs="宋体"/>
          <w:color w:val="auto"/>
          <w:sz w:val="24"/>
        </w:rPr>
      </w:pPr>
    </w:p>
    <w:p w14:paraId="07A4710E">
      <w:pPr>
        <w:spacing w:line="288" w:lineRule="auto"/>
        <w:ind w:right="420" w:firstLine="4320" w:firstLineChars="1800"/>
        <w:rPr>
          <w:rFonts w:hint="eastAsia" w:ascii="宋体" w:hAnsi="宋体" w:eastAsia="宋体" w:cs="宋体"/>
          <w:color w:val="auto"/>
          <w:sz w:val="24"/>
        </w:rPr>
      </w:pPr>
    </w:p>
    <w:p w14:paraId="4BFCBC45">
      <w:pPr>
        <w:spacing w:line="288" w:lineRule="auto"/>
        <w:ind w:right="420" w:firstLine="4800" w:firstLineChars="2000"/>
        <w:rPr>
          <w:rFonts w:hint="eastAsia" w:ascii="宋体" w:hAnsi="宋体" w:eastAsia="宋体" w:cs="宋体"/>
          <w:color w:val="auto"/>
          <w:sz w:val="24"/>
        </w:rPr>
      </w:pPr>
      <w:r>
        <w:rPr>
          <w:rFonts w:hint="eastAsia" w:ascii="宋体" w:hAnsi="宋体" w:eastAsia="宋体" w:cs="宋体"/>
          <w:color w:val="auto"/>
          <w:sz w:val="24"/>
        </w:rPr>
        <w:t xml:space="preserve">企业名称（盖章）： </w:t>
      </w:r>
    </w:p>
    <w:p w14:paraId="6426958B">
      <w:pPr>
        <w:spacing w:line="288" w:lineRule="auto"/>
        <w:ind w:left="3600" w:leftChars="1800" w:firstLine="960" w:firstLineChars="400"/>
        <w:rPr>
          <w:rFonts w:hint="eastAsia" w:ascii="宋体" w:hAnsi="宋体" w:eastAsia="宋体" w:cs="宋体"/>
          <w:color w:val="auto"/>
          <w:sz w:val="24"/>
        </w:rPr>
      </w:pPr>
      <w:r>
        <w:rPr>
          <w:rFonts w:hint="eastAsia" w:ascii="宋体" w:hAnsi="宋体" w:eastAsia="宋体" w:cs="宋体"/>
          <w:color w:val="auto"/>
          <w:sz w:val="24"/>
        </w:rPr>
        <w:t>日期：   年     月     日</w:t>
      </w:r>
    </w:p>
    <w:p w14:paraId="106CBCFE">
      <w:pPr>
        <w:pStyle w:val="6"/>
        <w:spacing w:line="288" w:lineRule="auto"/>
        <w:rPr>
          <w:rFonts w:hint="eastAsia" w:ascii="宋体" w:hAnsi="宋体" w:eastAsia="宋体" w:cs="宋体"/>
          <w:color w:val="auto"/>
          <w:sz w:val="24"/>
          <w:szCs w:val="24"/>
        </w:rPr>
      </w:pPr>
    </w:p>
    <w:p w14:paraId="74A359B5">
      <w:pPr>
        <w:spacing w:line="288" w:lineRule="auto"/>
        <w:ind w:firstLine="480" w:firstLineChars="200"/>
        <w:jc w:val="left"/>
        <w:rPr>
          <w:rFonts w:hint="eastAsia" w:ascii="宋体" w:hAnsi="宋体" w:eastAsia="宋体" w:cs="宋体"/>
          <w:color w:val="auto"/>
          <w:sz w:val="24"/>
        </w:rPr>
      </w:pPr>
    </w:p>
    <w:p w14:paraId="647FA4C0">
      <w:pPr>
        <w:spacing w:line="288" w:lineRule="auto"/>
        <w:ind w:firstLine="480" w:firstLineChars="200"/>
        <w:jc w:val="left"/>
        <w:rPr>
          <w:rFonts w:hint="eastAsia" w:ascii="宋体" w:hAnsi="宋体" w:eastAsia="宋体" w:cs="宋体"/>
          <w:color w:val="auto"/>
          <w:sz w:val="24"/>
        </w:rPr>
      </w:pPr>
    </w:p>
    <w:p w14:paraId="021B1FF9">
      <w:pPr>
        <w:spacing w:line="288" w:lineRule="auto"/>
        <w:ind w:firstLine="480" w:firstLineChars="200"/>
        <w:jc w:val="left"/>
        <w:rPr>
          <w:rFonts w:hint="eastAsia" w:ascii="宋体" w:hAnsi="宋体" w:eastAsia="宋体" w:cs="宋体"/>
          <w:color w:val="auto"/>
          <w:sz w:val="24"/>
        </w:rPr>
      </w:pPr>
    </w:p>
    <w:p w14:paraId="456331D1">
      <w:pPr>
        <w:pStyle w:val="5"/>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注：从业人员、营业收入、资产总额填报上一年度数据，无上一年度数据的新成立企业可不填报。</w:t>
      </w:r>
      <w:bookmarkStart w:id="102" w:name="_Toc25017"/>
      <w:bookmarkStart w:id="103" w:name="_Toc31472"/>
      <w:bookmarkStart w:id="104" w:name="_Toc9715"/>
      <w:bookmarkStart w:id="105" w:name="_Toc16150"/>
    </w:p>
    <w:p w14:paraId="217A234B">
      <w:pPr>
        <w:rPr>
          <w:rFonts w:hint="eastAsia" w:ascii="宋体" w:hAnsi="宋体" w:eastAsia="宋体" w:cs="宋体"/>
          <w:color w:val="auto"/>
          <w:sz w:val="24"/>
        </w:rPr>
      </w:pPr>
      <w:r>
        <w:rPr>
          <w:rFonts w:hint="eastAsia" w:ascii="宋体" w:hAnsi="宋体" w:eastAsia="宋体" w:cs="宋体"/>
          <w:color w:val="auto"/>
          <w:sz w:val="24"/>
        </w:rPr>
        <w:br w:type="page"/>
      </w:r>
    </w:p>
    <w:p w14:paraId="2A8626C9">
      <w:pPr>
        <w:pStyle w:val="5"/>
        <w:spacing w:line="240" w:lineRule="auto"/>
        <w:jc w:val="both"/>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附件</w:t>
      </w:r>
      <w:r>
        <w:rPr>
          <w:rFonts w:hint="eastAsia" w:ascii="宋体" w:hAnsi="宋体" w:eastAsia="宋体" w:cs="宋体"/>
          <w:b/>
          <w:bCs/>
          <w:color w:val="auto"/>
          <w:sz w:val="24"/>
          <w:szCs w:val="24"/>
          <w:lang w:val="en-US" w:eastAsia="zh-CN"/>
        </w:rPr>
        <w:t>十</w:t>
      </w:r>
      <w:r>
        <w:rPr>
          <w:rFonts w:hint="eastAsia" w:hAnsi="宋体" w:cs="宋体"/>
          <w:b/>
          <w:bCs/>
          <w:color w:val="auto"/>
          <w:sz w:val="24"/>
          <w:szCs w:val="24"/>
          <w:lang w:val="en-US" w:eastAsia="zh-CN"/>
        </w:rPr>
        <w:t>三</w:t>
      </w:r>
      <w:r>
        <w:rPr>
          <w:rFonts w:hint="eastAsia" w:ascii="宋体" w:hAnsi="宋体" w:eastAsia="宋体" w:cs="宋体"/>
          <w:b/>
          <w:bCs/>
          <w:color w:val="auto"/>
          <w:sz w:val="24"/>
          <w:szCs w:val="24"/>
          <w:lang w:val="zh-CN"/>
        </w:rPr>
        <w:t>：</w:t>
      </w:r>
      <w:bookmarkEnd w:id="102"/>
      <w:bookmarkEnd w:id="103"/>
      <w:bookmarkEnd w:id="104"/>
      <w:bookmarkEnd w:id="105"/>
    </w:p>
    <w:p w14:paraId="51D9BC6A">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残疾人福利性单位声明函</w:t>
      </w:r>
    </w:p>
    <w:p w14:paraId="7D48BB94">
      <w:pPr>
        <w:widowControl/>
        <w:snapToGrid w:val="0"/>
        <w:spacing w:line="324" w:lineRule="auto"/>
        <w:ind w:firstLine="480" w:firstLineChars="200"/>
        <w:jc w:val="center"/>
        <w:rPr>
          <w:rFonts w:hint="eastAsia" w:ascii="宋体" w:hAnsi="宋体" w:eastAsia="宋体" w:cs="宋体"/>
          <w:color w:val="auto"/>
          <w:kern w:val="0"/>
          <w:sz w:val="24"/>
        </w:rPr>
      </w:pPr>
      <w:r>
        <w:rPr>
          <w:rFonts w:hint="eastAsia" w:ascii="宋体" w:hAnsi="宋体" w:eastAsia="宋体" w:cs="宋体"/>
          <w:color w:val="auto"/>
          <w:kern w:val="0"/>
          <w:sz w:val="24"/>
        </w:rPr>
        <w:t>【不属于残疾人福利性单位的无需填写、递交】</w:t>
      </w:r>
    </w:p>
    <w:p w14:paraId="0FC07615">
      <w:pPr>
        <w:spacing w:line="588" w:lineRule="exact"/>
        <w:rPr>
          <w:rFonts w:hint="eastAsia" w:ascii="宋体" w:hAnsi="宋体" w:eastAsia="宋体" w:cs="宋体"/>
          <w:b/>
          <w:color w:val="auto"/>
          <w:spacing w:val="6"/>
          <w:sz w:val="30"/>
          <w:szCs w:val="30"/>
        </w:rPr>
      </w:pPr>
    </w:p>
    <w:p w14:paraId="1DFF3D62">
      <w:pPr>
        <w:spacing w:line="588"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____单位的_____项目采购活动提供本单位服务，或者提供其他残疾人福利性单位提供的服务。本单位对上述声明的真实性负责。如有虚假，将依法承担相应责任。</w:t>
      </w:r>
    </w:p>
    <w:p w14:paraId="208CEA47">
      <w:pPr>
        <w:pStyle w:val="5"/>
        <w:rPr>
          <w:rFonts w:hint="eastAsia" w:ascii="宋体" w:hAnsi="宋体" w:eastAsia="宋体" w:cs="宋体"/>
          <w:color w:val="auto"/>
        </w:rPr>
      </w:pPr>
    </w:p>
    <w:p w14:paraId="6458004F">
      <w:pPr>
        <w:pStyle w:val="6"/>
        <w:rPr>
          <w:rFonts w:hint="eastAsia" w:ascii="宋体" w:hAnsi="宋体" w:eastAsia="宋体" w:cs="宋体"/>
          <w:color w:val="auto"/>
        </w:rPr>
      </w:pPr>
    </w:p>
    <w:p w14:paraId="36C64D2B">
      <w:pPr>
        <w:spacing w:line="588" w:lineRule="exact"/>
        <w:rPr>
          <w:rFonts w:hint="eastAsia" w:ascii="宋体" w:hAnsi="宋体" w:eastAsia="宋体" w:cs="宋体"/>
          <w:color w:val="auto"/>
          <w:sz w:val="24"/>
        </w:rPr>
      </w:pPr>
    </w:p>
    <w:p w14:paraId="54912250">
      <w:pPr>
        <w:spacing w:line="360" w:lineRule="auto"/>
        <w:ind w:left="3590" w:leftChars="1795" w:firstLine="0" w:firstLineChars="0"/>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lang w:val="en-US" w:eastAsia="zh-CN"/>
        </w:rPr>
        <w:t>或被授权委托人</w:t>
      </w:r>
      <w:r>
        <w:rPr>
          <w:rFonts w:hint="eastAsia" w:ascii="宋体" w:hAnsi="宋体" w:eastAsia="宋体" w:cs="宋体"/>
          <w:color w:val="auto"/>
          <w:sz w:val="24"/>
        </w:rPr>
        <w:t>签名（或签名章）：                      日 期：</w:t>
      </w:r>
    </w:p>
    <w:p w14:paraId="6F713EFE">
      <w:pPr>
        <w:spacing w:line="360" w:lineRule="auto"/>
        <w:ind w:firstLine="3600" w:firstLineChars="1500"/>
        <w:rPr>
          <w:rFonts w:hint="eastAsia" w:ascii="宋体" w:hAnsi="宋体" w:eastAsia="宋体" w:cs="宋体"/>
          <w:color w:val="auto"/>
          <w:sz w:val="24"/>
          <w:szCs w:val="24"/>
        </w:rPr>
      </w:pPr>
      <w:r>
        <w:rPr>
          <w:rFonts w:hint="eastAsia" w:ascii="宋体" w:hAnsi="宋体" w:eastAsia="宋体" w:cs="宋体"/>
          <w:color w:val="auto"/>
          <w:sz w:val="24"/>
        </w:rPr>
        <w:t>供应商全称（公章）：</w:t>
      </w:r>
    </w:p>
    <w:p w14:paraId="656CEF38">
      <w:pPr>
        <w:rPr>
          <w:rFonts w:hint="eastAsia" w:ascii="宋体" w:hAnsi="宋体" w:eastAsia="宋体" w:cs="宋体"/>
          <w:b/>
          <w:bCs/>
          <w:color w:val="auto"/>
          <w:sz w:val="24"/>
          <w:szCs w:val="24"/>
          <w:lang w:val="zh-CN"/>
        </w:rPr>
      </w:pPr>
      <w:bookmarkStart w:id="106" w:name="_Toc15966"/>
      <w:bookmarkStart w:id="107" w:name="_Toc2386"/>
      <w:bookmarkStart w:id="108" w:name="_Toc5441"/>
      <w:bookmarkStart w:id="109" w:name="_Toc24"/>
      <w:r>
        <w:rPr>
          <w:rFonts w:hint="eastAsia" w:ascii="宋体" w:hAnsi="宋体" w:eastAsia="宋体" w:cs="宋体"/>
          <w:color w:val="auto"/>
          <w:sz w:val="24"/>
          <w:szCs w:val="24"/>
          <w:lang w:val="zh-CN"/>
        </w:rPr>
        <w:br w:type="page"/>
      </w:r>
      <w:r>
        <w:rPr>
          <w:rFonts w:hint="eastAsia" w:ascii="宋体" w:hAnsi="宋体" w:eastAsia="宋体" w:cs="宋体"/>
          <w:b/>
          <w:bCs/>
          <w:color w:val="auto"/>
          <w:sz w:val="24"/>
          <w:szCs w:val="24"/>
          <w:lang w:val="zh-CN"/>
        </w:rPr>
        <w:t>附件</w:t>
      </w:r>
      <w:r>
        <w:rPr>
          <w:rFonts w:hint="eastAsia" w:ascii="宋体" w:hAnsi="宋体" w:eastAsia="宋体" w:cs="宋体"/>
          <w:b/>
          <w:bCs/>
          <w:color w:val="auto"/>
          <w:sz w:val="24"/>
          <w:szCs w:val="24"/>
          <w:lang w:val="en-US" w:eastAsia="zh-CN"/>
        </w:rPr>
        <w:t>十</w:t>
      </w: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rPr>
        <w:t>：</w:t>
      </w:r>
    </w:p>
    <w:p w14:paraId="058C330E">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监狱企业证明文件</w:t>
      </w:r>
      <w:bookmarkEnd w:id="106"/>
      <w:bookmarkEnd w:id="107"/>
      <w:bookmarkEnd w:id="108"/>
      <w:bookmarkEnd w:id="109"/>
    </w:p>
    <w:p w14:paraId="2BFE2033">
      <w:pPr>
        <w:widowControl/>
        <w:snapToGri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【不属于监狱企业的无需填写、递交】</w:t>
      </w:r>
    </w:p>
    <w:p w14:paraId="56BBFC38">
      <w:pPr>
        <w:widowControl/>
        <w:snapToGrid w:val="0"/>
        <w:spacing w:line="324" w:lineRule="auto"/>
        <w:jc w:val="center"/>
        <w:rPr>
          <w:rFonts w:hint="eastAsia" w:ascii="宋体" w:hAnsi="宋体" w:eastAsia="宋体" w:cs="宋体"/>
          <w:color w:val="auto"/>
          <w:sz w:val="24"/>
          <w:szCs w:val="24"/>
        </w:rPr>
      </w:pPr>
    </w:p>
    <w:p w14:paraId="79F8DEE4">
      <w:pPr>
        <w:spacing w:line="588" w:lineRule="exact"/>
        <w:ind w:firstLine="480" w:firstLineChars="200"/>
        <w:rPr>
          <w:rFonts w:hint="eastAsia" w:ascii="宋体" w:hAnsi="宋体" w:eastAsia="宋体" w:cs="宋体"/>
          <w:color w:val="auto"/>
          <w:sz w:val="24"/>
          <w:szCs w:val="24"/>
        </w:rPr>
      </w:pPr>
    </w:p>
    <w:p w14:paraId="6608245D">
      <w:pPr>
        <w:adjustRightInd w:val="0"/>
        <w:snapToGrid w:val="0"/>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监狱企业需提供省级以上的监狱管理局、戒毒管理局（含新疆生产建设兵团）出具的属于监狱企业的证明文件。  </w:t>
      </w:r>
    </w:p>
    <w:p w14:paraId="4FFF8216">
      <w:pPr>
        <w:pStyle w:val="5"/>
        <w:rPr>
          <w:rFonts w:hint="eastAsia" w:ascii="宋体" w:hAnsi="宋体" w:eastAsia="宋体" w:cs="宋体"/>
          <w:color w:val="auto"/>
        </w:rPr>
      </w:pPr>
    </w:p>
    <w:p w14:paraId="58D31301">
      <w:pPr>
        <w:pStyle w:val="6"/>
        <w:rPr>
          <w:rFonts w:hint="eastAsia" w:ascii="宋体" w:hAnsi="宋体" w:eastAsia="宋体" w:cs="宋体"/>
          <w:color w:val="auto"/>
        </w:rPr>
      </w:pPr>
    </w:p>
    <w:p w14:paraId="7141FB50">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法定代表人签名（或签名章）：                       </w:t>
      </w:r>
    </w:p>
    <w:p w14:paraId="26F67A42">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3D4A85F4">
      <w:pPr>
        <w:spacing w:line="360" w:lineRule="auto"/>
        <w:ind w:left="3600" w:leftChars="18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供应商全称（公章）：</w:t>
      </w:r>
    </w:p>
    <w:p w14:paraId="6F8435F5">
      <w:pPr>
        <w:spacing w:line="360" w:lineRule="auto"/>
        <w:jc w:val="center"/>
        <w:rPr>
          <w:rFonts w:hint="eastAsia" w:ascii="宋体" w:hAnsi="宋体" w:eastAsia="宋体" w:cs="宋体"/>
          <w:b/>
          <w:bCs/>
          <w:color w:val="auto"/>
          <w:sz w:val="24"/>
          <w:szCs w:val="24"/>
        </w:rPr>
      </w:pPr>
    </w:p>
    <w:p w14:paraId="597E4B7F">
      <w:pPr>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31211">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566042"/>
      <w:docPartObj>
        <w:docPartGallery w:val="autotext"/>
      </w:docPartObj>
    </w:sdtPr>
    <w:sdtContent>
      <w:p w14:paraId="522E5A3C">
        <w:pPr>
          <w:pStyle w:val="19"/>
          <w:jc w:val="center"/>
        </w:pPr>
        <w:r>
          <w:fldChar w:fldCharType="begin"/>
        </w:r>
        <w:r>
          <w:instrText xml:space="preserve">PAGE   \* MERGEFORMAT</w:instrText>
        </w:r>
        <w:r>
          <w:fldChar w:fldCharType="separate"/>
        </w:r>
        <w:r>
          <w:rPr>
            <w:lang w:val="zh-CN"/>
          </w:rPr>
          <w:t>22</w:t>
        </w:r>
        <w:r>
          <w:rPr>
            <w:lang w:val="zh-CN"/>
          </w:rPr>
          <w:fldChar w:fldCharType="end"/>
        </w:r>
      </w:p>
    </w:sdtContent>
  </w:sdt>
  <w:p w14:paraId="2252477C">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1">
    <w:nsid w:val="9E7D436F"/>
    <w:multiLevelType w:val="singleLevel"/>
    <w:tmpl w:val="9E7D436F"/>
    <w:lvl w:ilvl="0" w:tentative="0">
      <w:start w:val="1"/>
      <w:numFmt w:val="chineseCounting"/>
      <w:suff w:val="nothing"/>
      <w:lvlText w:val="%1、"/>
      <w:lvlJc w:val="left"/>
      <w:rPr>
        <w:rFonts w:hint="eastAsia"/>
      </w:rPr>
    </w:lvl>
  </w:abstractNum>
  <w:abstractNum w:abstractNumId="2">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3">
    <w:nsid w:val="D6B5E56E"/>
    <w:multiLevelType w:val="singleLevel"/>
    <w:tmpl w:val="D6B5E56E"/>
    <w:lvl w:ilvl="0" w:tentative="0">
      <w:start w:val="1"/>
      <w:numFmt w:val="chineseCounting"/>
      <w:suff w:val="nothing"/>
      <w:lvlText w:val="（%1）"/>
      <w:lvlJc w:val="left"/>
      <w:pPr>
        <w:ind w:left="5" w:firstLine="420"/>
      </w:pPr>
      <w:rPr>
        <w:rFonts w:hint="eastAsia"/>
      </w:rPr>
    </w:lvl>
  </w:abstractNum>
  <w:abstractNum w:abstractNumId="4">
    <w:nsid w:val="F7E2E189"/>
    <w:multiLevelType w:val="singleLevel"/>
    <w:tmpl w:val="F7E2E189"/>
    <w:lvl w:ilvl="0" w:tentative="0">
      <w:start w:val="1"/>
      <w:numFmt w:val="decimal"/>
      <w:lvlText w:val="%1."/>
      <w:lvlJc w:val="left"/>
      <w:pPr>
        <w:tabs>
          <w:tab w:val="left" w:pos="312"/>
        </w:tabs>
      </w:pPr>
    </w:lvl>
  </w:abstractNum>
  <w:abstractNum w:abstractNumId="5">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6">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06AC1DD4"/>
    <w:multiLevelType w:val="singleLevel"/>
    <w:tmpl w:val="06AC1DD4"/>
    <w:lvl w:ilvl="0" w:tentative="0">
      <w:start w:val="1"/>
      <w:numFmt w:val="decimalEnclosedCircleChinese"/>
      <w:suff w:val="nothing"/>
      <w:lvlText w:val="%1　"/>
      <w:lvlJc w:val="left"/>
      <w:pPr>
        <w:ind w:firstLine="1134"/>
      </w:pPr>
      <w:rPr>
        <w:rFonts w:hint="eastAsia"/>
      </w:rPr>
    </w:lvl>
  </w:abstractNum>
  <w:abstractNum w:abstractNumId="8">
    <w:nsid w:val="12F353C5"/>
    <w:multiLevelType w:val="singleLevel"/>
    <w:tmpl w:val="12F353C5"/>
    <w:lvl w:ilvl="0" w:tentative="0">
      <w:start w:val="1"/>
      <w:numFmt w:val="chineseCounting"/>
      <w:suff w:val="nothing"/>
      <w:lvlText w:val="%1、"/>
      <w:lvlJc w:val="left"/>
      <w:rPr>
        <w:rFonts w:hint="eastAsia"/>
      </w:rPr>
    </w:lvl>
  </w:abstractNum>
  <w:abstractNum w:abstractNumId="9">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0">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1">
    <w:nsid w:val="1EC1A361"/>
    <w:multiLevelType w:val="singleLevel"/>
    <w:tmpl w:val="1EC1A361"/>
    <w:lvl w:ilvl="0" w:tentative="0">
      <w:start w:val="1"/>
      <w:numFmt w:val="decimalEnclosedCircleChinese"/>
      <w:suff w:val="nothing"/>
      <w:lvlText w:val="%1　"/>
      <w:lvlJc w:val="left"/>
      <w:pPr>
        <w:ind w:firstLine="397"/>
      </w:pPr>
      <w:rPr>
        <w:rFonts w:hint="eastAsia"/>
      </w:rPr>
    </w:lvl>
  </w:abstractNum>
  <w:abstractNum w:abstractNumId="12">
    <w:nsid w:val="25F33ADD"/>
    <w:multiLevelType w:val="singleLevel"/>
    <w:tmpl w:val="25F33ADD"/>
    <w:lvl w:ilvl="0" w:tentative="0">
      <w:start w:val="1"/>
      <w:numFmt w:val="decimalEnclosedCircleChinese"/>
      <w:suff w:val="nothing"/>
      <w:lvlText w:val="%1　"/>
      <w:lvlJc w:val="left"/>
      <w:pPr>
        <w:ind w:left="120" w:firstLine="1134"/>
      </w:pPr>
      <w:rPr>
        <w:rFonts w:hint="eastAsia"/>
      </w:rPr>
    </w:lvl>
  </w:abstractNum>
  <w:abstractNum w:abstractNumId="13">
    <w:nsid w:val="31213A5A"/>
    <w:multiLevelType w:val="singleLevel"/>
    <w:tmpl w:val="31213A5A"/>
    <w:lvl w:ilvl="0" w:tentative="0">
      <w:start w:val="4"/>
      <w:numFmt w:val="chineseCounting"/>
      <w:suff w:val="nothing"/>
      <w:lvlText w:val="%1、"/>
      <w:lvlJc w:val="left"/>
      <w:rPr>
        <w:rFonts w:hint="eastAsia"/>
      </w:rPr>
    </w:lvl>
  </w:abstractNum>
  <w:abstractNum w:abstractNumId="14">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5">
    <w:nsid w:val="466C6E1F"/>
    <w:multiLevelType w:val="multilevel"/>
    <w:tmpl w:val="466C6E1F"/>
    <w:lvl w:ilvl="0" w:tentative="0">
      <w:start w:val="1"/>
      <w:numFmt w:val="upperLetter"/>
      <w:pStyle w:val="8"/>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6">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7">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8">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19">
    <w:nsid w:val="64528BEF"/>
    <w:multiLevelType w:val="singleLevel"/>
    <w:tmpl w:val="64528BEF"/>
    <w:lvl w:ilvl="0" w:tentative="0">
      <w:start w:val="1"/>
      <w:numFmt w:val="decimal"/>
      <w:suff w:val="nothing"/>
      <w:lvlText w:val="%1．"/>
      <w:lvlJc w:val="left"/>
      <w:pPr>
        <w:ind w:left="0" w:firstLine="400"/>
      </w:pPr>
      <w:rPr>
        <w:rFonts w:hint="default"/>
      </w:rPr>
    </w:lvl>
  </w:abstractNum>
  <w:abstractNum w:abstractNumId="20">
    <w:nsid w:val="7B2826C6"/>
    <w:multiLevelType w:val="singleLevel"/>
    <w:tmpl w:val="7B2826C6"/>
    <w:lvl w:ilvl="0" w:tentative="0">
      <w:start w:val="1"/>
      <w:numFmt w:val="decimal"/>
      <w:suff w:val="nothing"/>
      <w:lvlText w:val="%1．"/>
      <w:lvlJc w:val="left"/>
      <w:pPr>
        <w:ind w:firstLine="397"/>
      </w:pPr>
      <w:rPr>
        <w:rFonts w:hint="default"/>
      </w:rPr>
    </w:lvl>
  </w:abstractNum>
  <w:num w:numId="1">
    <w:abstractNumId w:val="15"/>
  </w:num>
  <w:num w:numId="2">
    <w:abstractNumId w:val="6"/>
  </w:num>
  <w:num w:numId="3">
    <w:abstractNumId w:val="5"/>
  </w:num>
  <w:num w:numId="4">
    <w:abstractNumId w:val="17"/>
  </w:num>
  <w:num w:numId="5">
    <w:abstractNumId w:val="10"/>
  </w:num>
  <w:num w:numId="6">
    <w:abstractNumId w:val="20"/>
  </w:num>
  <w:num w:numId="7">
    <w:abstractNumId w:val="11"/>
  </w:num>
  <w:num w:numId="8">
    <w:abstractNumId w:val="18"/>
  </w:num>
  <w:num w:numId="9">
    <w:abstractNumId w:val="8"/>
  </w:num>
  <w:num w:numId="10">
    <w:abstractNumId w:val="9"/>
  </w:num>
  <w:num w:numId="11">
    <w:abstractNumId w:val="16"/>
  </w:num>
  <w:num w:numId="12">
    <w:abstractNumId w:val="14"/>
  </w:num>
  <w:num w:numId="13">
    <w:abstractNumId w:val="2"/>
  </w:num>
  <w:num w:numId="14">
    <w:abstractNumId w:val="0"/>
  </w:num>
  <w:num w:numId="15">
    <w:abstractNumId w:val="12"/>
  </w:num>
  <w:num w:numId="16">
    <w:abstractNumId w:val="1"/>
  </w:num>
  <w:num w:numId="17">
    <w:abstractNumId w:val="13"/>
  </w:num>
  <w:num w:numId="18">
    <w:abstractNumId w:val="3"/>
  </w:num>
  <w:num w:numId="19">
    <w:abstractNumId w:val="19"/>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MDVmMzExYmQ1MWZjZjJlMmQwZDcwY2MyOTg4M2UifQ=="/>
  </w:docVars>
  <w:rsids>
    <w:rsidRoot w:val="5AA412FE"/>
    <w:rsid w:val="00001D22"/>
    <w:rsid w:val="0002407B"/>
    <w:rsid w:val="00037E77"/>
    <w:rsid w:val="00054261"/>
    <w:rsid w:val="0006706B"/>
    <w:rsid w:val="00067DF5"/>
    <w:rsid w:val="00084DB8"/>
    <w:rsid w:val="00085ECB"/>
    <w:rsid w:val="000A6093"/>
    <w:rsid w:val="000C0FDF"/>
    <w:rsid w:val="000C1626"/>
    <w:rsid w:val="000C4314"/>
    <w:rsid w:val="000F34AF"/>
    <w:rsid w:val="0010390D"/>
    <w:rsid w:val="001039CA"/>
    <w:rsid w:val="00105576"/>
    <w:rsid w:val="00110A33"/>
    <w:rsid w:val="00116BCE"/>
    <w:rsid w:val="00120C78"/>
    <w:rsid w:val="00163764"/>
    <w:rsid w:val="0018216C"/>
    <w:rsid w:val="00183780"/>
    <w:rsid w:val="001A1822"/>
    <w:rsid w:val="001B4CF1"/>
    <w:rsid w:val="001C6880"/>
    <w:rsid w:val="001D0BF7"/>
    <w:rsid w:val="001D21F3"/>
    <w:rsid w:val="001F490F"/>
    <w:rsid w:val="002078E3"/>
    <w:rsid w:val="0021296F"/>
    <w:rsid w:val="0021363A"/>
    <w:rsid w:val="00221D1D"/>
    <w:rsid w:val="00223E24"/>
    <w:rsid w:val="0026106F"/>
    <w:rsid w:val="00273B76"/>
    <w:rsid w:val="00273F1A"/>
    <w:rsid w:val="002839D8"/>
    <w:rsid w:val="00313B8D"/>
    <w:rsid w:val="003211E5"/>
    <w:rsid w:val="0032125A"/>
    <w:rsid w:val="00323682"/>
    <w:rsid w:val="003470DA"/>
    <w:rsid w:val="0035424B"/>
    <w:rsid w:val="00357184"/>
    <w:rsid w:val="00363AFD"/>
    <w:rsid w:val="00374E3E"/>
    <w:rsid w:val="003914B1"/>
    <w:rsid w:val="00392B4C"/>
    <w:rsid w:val="00393C1C"/>
    <w:rsid w:val="00397C54"/>
    <w:rsid w:val="003A0D36"/>
    <w:rsid w:val="003A514B"/>
    <w:rsid w:val="003B0654"/>
    <w:rsid w:val="003B6DDD"/>
    <w:rsid w:val="003C7061"/>
    <w:rsid w:val="003D07BA"/>
    <w:rsid w:val="003D5064"/>
    <w:rsid w:val="00400657"/>
    <w:rsid w:val="00402FF9"/>
    <w:rsid w:val="00421C81"/>
    <w:rsid w:val="004277E5"/>
    <w:rsid w:val="004347C7"/>
    <w:rsid w:val="00442B78"/>
    <w:rsid w:val="00447FEE"/>
    <w:rsid w:val="004536A0"/>
    <w:rsid w:val="00463C96"/>
    <w:rsid w:val="00467AC4"/>
    <w:rsid w:val="004823D2"/>
    <w:rsid w:val="004E63AF"/>
    <w:rsid w:val="004E7DB7"/>
    <w:rsid w:val="00502B33"/>
    <w:rsid w:val="0050528B"/>
    <w:rsid w:val="00506AF8"/>
    <w:rsid w:val="00536BAE"/>
    <w:rsid w:val="00542925"/>
    <w:rsid w:val="00551B73"/>
    <w:rsid w:val="005529D2"/>
    <w:rsid w:val="00557361"/>
    <w:rsid w:val="005617C4"/>
    <w:rsid w:val="00580E5D"/>
    <w:rsid w:val="005971F4"/>
    <w:rsid w:val="005A54F0"/>
    <w:rsid w:val="005B3EDB"/>
    <w:rsid w:val="005B7D1F"/>
    <w:rsid w:val="005C3597"/>
    <w:rsid w:val="00616FF9"/>
    <w:rsid w:val="00646067"/>
    <w:rsid w:val="006904D3"/>
    <w:rsid w:val="00691A05"/>
    <w:rsid w:val="006973E5"/>
    <w:rsid w:val="006E4D94"/>
    <w:rsid w:val="00710F26"/>
    <w:rsid w:val="00721DB0"/>
    <w:rsid w:val="007271B4"/>
    <w:rsid w:val="007536BB"/>
    <w:rsid w:val="00754260"/>
    <w:rsid w:val="007617EB"/>
    <w:rsid w:val="00774172"/>
    <w:rsid w:val="00780526"/>
    <w:rsid w:val="00791958"/>
    <w:rsid w:val="00796AA3"/>
    <w:rsid w:val="007A4C8A"/>
    <w:rsid w:val="007C1988"/>
    <w:rsid w:val="007C1F40"/>
    <w:rsid w:val="007C36F2"/>
    <w:rsid w:val="007D1674"/>
    <w:rsid w:val="007F61D2"/>
    <w:rsid w:val="00804A32"/>
    <w:rsid w:val="00815016"/>
    <w:rsid w:val="00816086"/>
    <w:rsid w:val="00830F9A"/>
    <w:rsid w:val="00831737"/>
    <w:rsid w:val="00841FBD"/>
    <w:rsid w:val="00860F2A"/>
    <w:rsid w:val="008651FF"/>
    <w:rsid w:val="00873263"/>
    <w:rsid w:val="00875467"/>
    <w:rsid w:val="00880A2D"/>
    <w:rsid w:val="00883369"/>
    <w:rsid w:val="00893230"/>
    <w:rsid w:val="008C2439"/>
    <w:rsid w:val="008C3E0D"/>
    <w:rsid w:val="008E0A0C"/>
    <w:rsid w:val="008E35FD"/>
    <w:rsid w:val="008F0EE3"/>
    <w:rsid w:val="008F27BD"/>
    <w:rsid w:val="00913BA9"/>
    <w:rsid w:val="00913DF5"/>
    <w:rsid w:val="00920D39"/>
    <w:rsid w:val="009241BF"/>
    <w:rsid w:val="009261EE"/>
    <w:rsid w:val="00927DB4"/>
    <w:rsid w:val="009459C8"/>
    <w:rsid w:val="00961B43"/>
    <w:rsid w:val="0097128A"/>
    <w:rsid w:val="009B0354"/>
    <w:rsid w:val="009D0708"/>
    <w:rsid w:val="009D1851"/>
    <w:rsid w:val="009D73E9"/>
    <w:rsid w:val="00A01782"/>
    <w:rsid w:val="00A03E00"/>
    <w:rsid w:val="00A06FE3"/>
    <w:rsid w:val="00A114D9"/>
    <w:rsid w:val="00A2724A"/>
    <w:rsid w:val="00A27BF9"/>
    <w:rsid w:val="00A3590C"/>
    <w:rsid w:val="00A41B49"/>
    <w:rsid w:val="00A433DA"/>
    <w:rsid w:val="00A43AF3"/>
    <w:rsid w:val="00A52CBC"/>
    <w:rsid w:val="00A564DB"/>
    <w:rsid w:val="00A74A0A"/>
    <w:rsid w:val="00A82FD6"/>
    <w:rsid w:val="00A92CDF"/>
    <w:rsid w:val="00A96359"/>
    <w:rsid w:val="00AB3663"/>
    <w:rsid w:val="00AD549D"/>
    <w:rsid w:val="00AE721D"/>
    <w:rsid w:val="00AE7FDF"/>
    <w:rsid w:val="00AF40FC"/>
    <w:rsid w:val="00AF7730"/>
    <w:rsid w:val="00B06D5A"/>
    <w:rsid w:val="00B074CC"/>
    <w:rsid w:val="00B122C2"/>
    <w:rsid w:val="00B1386B"/>
    <w:rsid w:val="00B34795"/>
    <w:rsid w:val="00B47103"/>
    <w:rsid w:val="00B5379E"/>
    <w:rsid w:val="00B633BD"/>
    <w:rsid w:val="00B63F10"/>
    <w:rsid w:val="00B66CAD"/>
    <w:rsid w:val="00B67512"/>
    <w:rsid w:val="00B821A5"/>
    <w:rsid w:val="00B94244"/>
    <w:rsid w:val="00BA2B11"/>
    <w:rsid w:val="00BA4648"/>
    <w:rsid w:val="00BA48B6"/>
    <w:rsid w:val="00BD0B2B"/>
    <w:rsid w:val="00BD4629"/>
    <w:rsid w:val="00BD4B99"/>
    <w:rsid w:val="00BF557D"/>
    <w:rsid w:val="00C07237"/>
    <w:rsid w:val="00C07473"/>
    <w:rsid w:val="00C25F67"/>
    <w:rsid w:val="00C63423"/>
    <w:rsid w:val="00C70180"/>
    <w:rsid w:val="00C860D6"/>
    <w:rsid w:val="00C93598"/>
    <w:rsid w:val="00C97493"/>
    <w:rsid w:val="00CA0E59"/>
    <w:rsid w:val="00CA29A3"/>
    <w:rsid w:val="00CA379F"/>
    <w:rsid w:val="00CD21E4"/>
    <w:rsid w:val="00CE25D2"/>
    <w:rsid w:val="00CE2677"/>
    <w:rsid w:val="00CF1A85"/>
    <w:rsid w:val="00D03574"/>
    <w:rsid w:val="00D131CF"/>
    <w:rsid w:val="00D208F6"/>
    <w:rsid w:val="00D40761"/>
    <w:rsid w:val="00D4632B"/>
    <w:rsid w:val="00D510CF"/>
    <w:rsid w:val="00D6422E"/>
    <w:rsid w:val="00D822DF"/>
    <w:rsid w:val="00DD0487"/>
    <w:rsid w:val="00DD533A"/>
    <w:rsid w:val="00DE7CF8"/>
    <w:rsid w:val="00DF40D8"/>
    <w:rsid w:val="00E027CF"/>
    <w:rsid w:val="00E109DA"/>
    <w:rsid w:val="00E257C8"/>
    <w:rsid w:val="00E436BC"/>
    <w:rsid w:val="00E53562"/>
    <w:rsid w:val="00E55984"/>
    <w:rsid w:val="00E937EB"/>
    <w:rsid w:val="00EA0033"/>
    <w:rsid w:val="00EA0DD7"/>
    <w:rsid w:val="00EA28CD"/>
    <w:rsid w:val="00EC1EE6"/>
    <w:rsid w:val="00ED0982"/>
    <w:rsid w:val="00EF45AA"/>
    <w:rsid w:val="00F043A7"/>
    <w:rsid w:val="00F12831"/>
    <w:rsid w:val="00F44CF9"/>
    <w:rsid w:val="00F4616F"/>
    <w:rsid w:val="00F50C5D"/>
    <w:rsid w:val="00F673E5"/>
    <w:rsid w:val="00F91F4A"/>
    <w:rsid w:val="00FA5190"/>
    <w:rsid w:val="00FA6DC6"/>
    <w:rsid w:val="00FB1A08"/>
    <w:rsid w:val="00FD1A5F"/>
    <w:rsid w:val="0149271B"/>
    <w:rsid w:val="02693733"/>
    <w:rsid w:val="02710CE9"/>
    <w:rsid w:val="02E53CDE"/>
    <w:rsid w:val="02FB0AA9"/>
    <w:rsid w:val="02FB1EF4"/>
    <w:rsid w:val="04505684"/>
    <w:rsid w:val="04620E48"/>
    <w:rsid w:val="059508A4"/>
    <w:rsid w:val="05C157E8"/>
    <w:rsid w:val="08276080"/>
    <w:rsid w:val="0A215DA4"/>
    <w:rsid w:val="0A34069F"/>
    <w:rsid w:val="0C0632EE"/>
    <w:rsid w:val="0D322B64"/>
    <w:rsid w:val="0F9E5390"/>
    <w:rsid w:val="101A7BCC"/>
    <w:rsid w:val="104145F9"/>
    <w:rsid w:val="11C37460"/>
    <w:rsid w:val="11CC1B61"/>
    <w:rsid w:val="11CF6577"/>
    <w:rsid w:val="13495BED"/>
    <w:rsid w:val="13975F78"/>
    <w:rsid w:val="155D552F"/>
    <w:rsid w:val="157D7686"/>
    <w:rsid w:val="15830AE2"/>
    <w:rsid w:val="15A07E8D"/>
    <w:rsid w:val="161D68B6"/>
    <w:rsid w:val="1648774C"/>
    <w:rsid w:val="1679465B"/>
    <w:rsid w:val="16EB43B2"/>
    <w:rsid w:val="17C6521D"/>
    <w:rsid w:val="17D315C6"/>
    <w:rsid w:val="18C37BAF"/>
    <w:rsid w:val="19061AA7"/>
    <w:rsid w:val="1B155261"/>
    <w:rsid w:val="1BBC7011"/>
    <w:rsid w:val="1BDB27A5"/>
    <w:rsid w:val="1C137D70"/>
    <w:rsid w:val="1C507300"/>
    <w:rsid w:val="1C8C3813"/>
    <w:rsid w:val="1CFF0A9F"/>
    <w:rsid w:val="1E445CEA"/>
    <w:rsid w:val="1EDA1EFB"/>
    <w:rsid w:val="1F16413F"/>
    <w:rsid w:val="1F2B0346"/>
    <w:rsid w:val="1F395A55"/>
    <w:rsid w:val="1F431821"/>
    <w:rsid w:val="1F890C4B"/>
    <w:rsid w:val="205B73C3"/>
    <w:rsid w:val="207D5FBE"/>
    <w:rsid w:val="20D34487"/>
    <w:rsid w:val="21537272"/>
    <w:rsid w:val="215A3622"/>
    <w:rsid w:val="217C1A22"/>
    <w:rsid w:val="21FF3D3B"/>
    <w:rsid w:val="22514430"/>
    <w:rsid w:val="232B05BB"/>
    <w:rsid w:val="24F33059"/>
    <w:rsid w:val="26030172"/>
    <w:rsid w:val="26451EEA"/>
    <w:rsid w:val="26704F2E"/>
    <w:rsid w:val="26FD3900"/>
    <w:rsid w:val="28C62F56"/>
    <w:rsid w:val="28DA203A"/>
    <w:rsid w:val="28EB2D3C"/>
    <w:rsid w:val="28F0407A"/>
    <w:rsid w:val="291A7D32"/>
    <w:rsid w:val="29655706"/>
    <w:rsid w:val="2C1E1BE9"/>
    <w:rsid w:val="2D2E128C"/>
    <w:rsid w:val="2D346E5C"/>
    <w:rsid w:val="2E21325F"/>
    <w:rsid w:val="2E664953"/>
    <w:rsid w:val="30166DEE"/>
    <w:rsid w:val="304E02C8"/>
    <w:rsid w:val="30EF616C"/>
    <w:rsid w:val="30FB7A19"/>
    <w:rsid w:val="310261A7"/>
    <w:rsid w:val="329F0EF4"/>
    <w:rsid w:val="32A75185"/>
    <w:rsid w:val="33220830"/>
    <w:rsid w:val="33340B4D"/>
    <w:rsid w:val="34074CBF"/>
    <w:rsid w:val="34321327"/>
    <w:rsid w:val="349413EA"/>
    <w:rsid w:val="365C502A"/>
    <w:rsid w:val="36CE34E8"/>
    <w:rsid w:val="37020770"/>
    <w:rsid w:val="379001CD"/>
    <w:rsid w:val="38225FAE"/>
    <w:rsid w:val="390B4B14"/>
    <w:rsid w:val="3B00671A"/>
    <w:rsid w:val="3D5D52D9"/>
    <w:rsid w:val="3D943C3B"/>
    <w:rsid w:val="3DCE50EF"/>
    <w:rsid w:val="3E1918E3"/>
    <w:rsid w:val="3E3759DF"/>
    <w:rsid w:val="3E87430F"/>
    <w:rsid w:val="3FE32261"/>
    <w:rsid w:val="40DC6425"/>
    <w:rsid w:val="40E80A95"/>
    <w:rsid w:val="41C50CBF"/>
    <w:rsid w:val="42234900"/>
    <w:rsid w:val="42535259"/>
    <w:rsid w:val="42914373"/>
    <w:rsid w:val="4297507F"/>
    <w:rsid w:val="42A44E8B"/>
    <w:rsid w:val="436C497E"/>
    <w:rsid w:val="46562959"/>
    <w:rsid w:val="467F690A"/>
    <w:rsid w:val="46B85F59"/>
    <w:rsid w:val="471C5028"/>
    <w:rsid w:val="481E5144"/>
    <w:rsid w:val="48621071"/>
    <w:rsid w:val="48A405ED"/>
    <w:rsid w:val="48BA3872"/>
    <w:rsid w:val="48C9702D"/>
    <w:rsid w:val="492D7C31"/>
    <w:rsid w:val="4939021E"/>
    <w:rsid w:val="49C134CC"/>
    <w:rsid w:val="4A1C3393"/>
    <w:rsid w:val="4AD245F0"/>
    <w:rsid w:val="4B5C045F"/>
    <w:rsid w:val="4BC2040C"/>
    <w:rsid w:val="4BE44EED"/>
    <w:rsid w:val="4C2E23D4"/>
    <w:rsid w:val="4D782815"/>
    <w:rsid w:val="4E236FF8"/>
    <w:rsid w:val="4E8C5BF0"/>
    <w:rsid w:val="4FB62656"/>
    <w:rsid w:val="503E1456"/>
    <w:rsid w:val="508F05EA"/>
    <w:rsid w:val="54A90D98"/>
    <w:rsid w:val="54F65EBA"/>
    <w:rsid w:val="55F80847"/>
    <w:rsid w:val="567A0B52"/>
    <w:rsid w:val="56F203B4"/>
    <w:rsid w:val="57435475"/>
    <w:rsid w:val="57BC1FA6"/>
    <w:rsid w:val="57CF48BA"/>
    <w:rsid w:val="57FC55AA"/>
    <w:rsid w:val="580928E7"/>
    <w:rsid w:val="58551F7D"/>
    <w:rsid w:val="587F144D"/>
    <w:rsid w:val="59045A92"/>
    <w:rsid w:val="59AA7C5B"/>
    <w:rsid w:val="59CC54E7"/>
    <w:rsid w:val="5AA412FE"/>
    <w:rsid w:val="5AC72F10"/>
    <w:rsid w:val="5BBB710D"/>
    <w:rsid w:val="5BF07D9A"/>
    <w:rsid w:val="5D217374"/>
    <w:rsid w:val="5D8A0EA8"/>
    <w:rsid w:val="5DE81AA6"/>
    <w:rsid w:val="5E14437D"/>
    <w:rsid w:val="5E2B51A2"/>
    <w:rsid w:val="5E3653EC"/>
    <w:rsid w:val="5F2432AD"/>
    <w:rsid w:val="5F5B667A"/>
    <w:rsid w:val="5FD125EC"/>
    <w:rsid w:val="60CD09A3"/>
    <w:rsid w:val="616F6AC2"/>
    <w:rsid w:val="62B83CEC"/>
    <w:rsid w:val="638717D9"/>
    <w:rsid w:val="64A14715"/>
    <w:rsid w:val="671B6AB8"/>
    <w:rsid w:val="67821C5D"/>
    <w:rsid w:val="67996221"/>
    <w:rsid w:val="67CA78E3"/>
    <w:rsid w:val="67E724CB"/>
    <w:rsid w:val="68036132"/>
    <w:rsid w:val="681E7F53"/>
    <w:rsid w:val="69A14E77"/>
    <w:rsid w:val="69D35BA4"/>
    <w:rsid w:val="6A232133"/>
    <w:rsid w:val="6B5070BC"/>
    <w:rsid w:val="6BD67F2A"/>
    <w:rsid w:val="6CBE2D6D"/>
    <w:rsid w:val="6D560D68"/>
    <w:rsid w:val="6D88336F"/>
    <w:rsid w:val="6D9C2692"/>
    <w:rsid w:val="6DAD5655"/>
    <w:rsid w:val="6DEA4D1F"/>
    <w:rsid w:val="6E957640"/>
    <w:rsid w:val="6EB77F96"/>
    <w:rsid w:val="6F5E2C15"/>
    <w:rsid w:val="6F780C5E"/>
    <w:rsid w:val="6FF51CAF"/>
    <w:rsid w:val="700A08B4"/>
    <w:rsid w:val="70905ACE"/>
    <w:rsid w:val="70F27806"/>
    <w:rsid w:val="72EA0AEA"/>
    <w:rsid w:val="73EB3D22"/>
    <w:rsid w:val="74B40079"/>
    <w:rsid w:val="75126D7A"/>
    <w:rsid w:val="75BA5477"/>
    <w:rsid w:val="7637602D"/>
    <w:rsid w:val="76E01F41"/>
    <w:rsid w:val="774E25FB"/>
    <w:rsid w:val="77506BFF"/>
    <w:rsid w:val="77537603"/>
    <w:rsid w:val="778D06BF"/>
    <w:rsid w:val="77E63ABE"/>
    <w:rsid w:val="78937CF7"/>
    <w:rsid w:val="78E746E7"/>
    <w:rsid w:val="793A4828"/>
    <w:rsid w:val="79ED6971"/>
    <w:rsid w:val="7AA33536"/>
    <w:rsid w:val="7BB773C4"/>
    <w:rsid w:val="7BFE1E83"/>
    <w:rsid w:val="7C433200"/>
    <w:rsid w:val="7C517BBC"/>
    <w:rsid w:val="7C706C96"/>
    <w:rsid w:val="7D474DB6"/>
    <w:rsid w:val="7D997FC8"/>
    <w:rsid w:val="7DBF21A5"/>
    <w:rsid w:val="7DE93C59"/>
    <w:rsid w:val="7EFB51B8"/>
    <w:rsid w:val="7F3F6140"/>
    <w:rsid w:val="7F5E76AD"/>
    <w:rsid w:val="7F7B31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link w:val="40"/>
    <w:autoRedefine/>
    <w:qFormat/>
    <w:uiPriority w:val="99"/>
    <w:pPr>
      <w:keepNext/>
      <w:keepLines/>
      <w:spacing w:line="576" w:lineRule="auto"/>
      <w:outlineLvl w:val="0"/>
    </w:pPr>
    <w:rPr>
      <w:rFonts w:ascii="Calibri" w:hAnsi="Calibri" w:eastAsia="宋体" w:cs="Calibri"/>
      <w:b/>
      <w:bCs/>
      <w:kern w:val="44"/>
      <w:sz w:val="44"/>
      <w:szCs w:val="44"/>
      <w:lang w:val="en-US" w:eastAsia="zh-CN" w:bidi="ar-SA"/>
    </w:rPr>
  </w:style>
  <w:style w:type="paragraph" w:styleId="5">
    <w:name w:val="heading 2"/>
    <w:basedOn w:val="1"/>
    <w:next w:val="6"/>
    <w:link w:val="41"/>
    <w:autoRedefine/>
    <w:qFormat/>
    <w:uiPriority w:val="99"/>
    <w:pPr>
      <w:keepNext/>
      <w:spacing w:line="216" w:lineRule="auto"/>
      <w:outlineLvl w:val="1"/>
    </w:pPr>
    <w:rPr>
      <w:rFonts w:ascii="宋体" w:hAnsi="Calibri" w:eastAsia="宋体" w:cs="宋体"/>
      <w:b/>
      <w:bCs/>
      <w:sz w:val="28"/>
      <w:szCs w:val="28"/>
      <w:lang w:val="en-US" w:eastAsia="zh-CN" w:bidi="ar-SA"/>
    </w:rPr>
  </w:style>
  <w:style w:type="paragraph" w:styleId="8">
    <w:name w:val="heading 3"/>
    <w:next w:val="9"/>
    <w:link w:val="42"/>
    <w:autoRedefine/>
    <w:qFormat/>
    <w:uiPriority w:val="99"/>
    <w:pPr>
      <w:keepNext/>
      <w:numPr>
        <w:ilvl w:val="0"/>
        <w:numId w:val="1"/>
      </w:numPr>
      <w:spacing w:line="216" w:lineRule="auto"/>
      <w:outlineLvl w:val="2"/>
    </w:pPr>
    <w:rPr>
      <w:rFonts w:ascii="宋体" w:hAnsi="Calibri" w:eastAsia="宋体" w:cs="宋体"/>
      <w:b/>
      <w:bCs/>
      <w:sz w:val="28"/>
      <w:szCs w:val="28"/>
      <w:lang w:val="en-US" w:eastAsia="zh-CN" w:bidi="ar-SA"/>
    </w:rPr>
  </w:style>
  <w:style w:type="paragraph" w:styleId="10">
    <w:name w:val="heading 4"/>
    <w:basedOn w:val="1"/>
    <w:next w:val="1"/>
    <w:autoRedefine/>
    <w:qFormat/>
    <w:locked/>
    <w:uiPriority w:val="0"/>
    <w:pPr>
      <w:keepLines/>
      <w:autoSpaceDE w:val="0"/>
      <w:autoSpaceDN w:val="0"/>
      <w:adjustRightInd w:val="0"/>
      <w:textAlignment w:val="baseline"/>
      <w:outlineLvl w:val="3"/>
    </w:pPr>
    <w:rPr>
      <w:rFonts w:ascii="Times New Roman" w:hAnsi="Times New Roman" w:eastAsia="楷体_GB2312" w:cs="Times New Roman"/>
      <w:b/>
      <w:snapToGrid w:val="0"/>
      <w:sz w:val="24"/>
      <w:lang w:val="en-US" w:eastAsia="zh-CN" w:bidi="ar-SA"/>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3"/>
    <w:autoRedefine/>
    <w:qFormat/>
    <w:uiPriority w:val="99"/>
    <w:rPr>
      <w:rFonts w:ascii="Times New Roman" w:hAnsi="Times New Roman" w:eastAsia="宋体" w:cs="Times New Roman"/>
      <w:lang w:val="en-US" w:eastAsia="zh-CN" w:bidi="ar-SA"/>
    </w:rPr>
  </w:style>
  <w:style w:type="paragraph" w:customStyle="1" w:styleId="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6">
    <w:name w:val="Normal Indent"/>
    <w:basedOn w:val="1"/>
    <w:next w:val="7"/>
    <w:autoRedefine/>
    <w:qFormat/>
    <w:uiPriority w:val="0"/>
    <w:pPr>
      <w:ind w:firstLine="420"/>
    </w:pPr>
    <w:rPr>
      <w:rFonts w:ascii="Times New Roman" w:hAnsi="Times New Roman" w:eastAsia="宋体" w:cs="Times New Roman"/>
      <w:lang w:val="en-US" w:eastAsia="zh-CN" w:bidi="ar-SA"/>
    </w:rPr>
  </w:style>
  <w:style w:type="paragraph" w:styleId="7">
    <w:name w:val="toc 4"/>
    <w:basedOn w:val="1"/>
    <w:next w:val="1"/>
    <w:autoRedefine/>
    <w:semiHidden/>
    <w:qFormat/>
    <w:uiPriority w:val="0"/>
    <w:pPr>
      <w:ind w:left="1260" w:leftChars="600"/>
    </w:pPr>
  </w:style>
  <w:style w:type="paragraph" w:customStyle="1" w:styleId="9">
    <w:name w:val="正文缩进1"/>
    <w:autoRedefine/>
    <w:qFormat/>
    <w:uiPriority w:val="0"/>
    <w:pPr>
      <w:ind w:firstLine="420" w:firstLineChars="200"/>
    </w:pPr>
    <w:rPr>
      <w:rFonts w:ascii="Times New Roman" w:hAnsi="Times New Roman" w:eastAsia="宋体" w:cs="Times New Roman"/>
      <w:lang w:val="en-US" w:eastAsia="zh-CN" w:bidi="ar-SA"/>
    </w:rPr>
  </w:style>
  <w:style w:type="paragraph" w:styleId="11">
    <w:name w:val="annotation text"/>
    <w:basedOn w:val="1"/>
    <w:autoRedefine/>
    <w:semiHidden/>
    <w:unhideWhenUsed/>
    <w:qFormat/>
    <w:uiPriority w:val="99"/>
    <w:pPr>
      <w:jc w:val="left"/>
    </w:pPr>
  </w:style>
  <w:style w:type="paragraph" w:styleId="12">
    <w:name w:val="Body Text 3"/>
    <w:basedOn w:val="1"/>
    <w:autoRedefine/>
    <w:qFormat/>
    <w:uiPriority w:val="0"/>
    <w:pPr>
      <w:widowControl w:val="0"/>
      <w:spacing w:before="0" w:after="120"/>
      <w:ind w:left="0" w:right="0"/>
      <w:jc w:val="both"/>
    </w:pPr>
    <w:rPr>
      <w:sz w:val="16"/>
      <w:szCs w:val="16"/>
    </w:rPr>
  </w:style>
  <w:style w:type="paragraph" w:styleId="13">
    <w:name w:val="Body Text Indent"/>
    <w:basedOn w:val="1"/>
    <w:link w:val="49"/>
    <w:autoRedefine/>
    <w:qFormat/>
    <w:uiPriority w:val="99"/>
    <w:pPr>
      <w:adjustRightInd w:val="0"/>
      <w:spacing w:line="360" w:lineRule="auto"/>
      <w:ind w:firstLine="490"/>
    </w:pPr>
    <w:rPr>
      <w:rFonts w:ascii="宋体" w:hAnsi="宋体" w:eastAsia="宋体" w:cs="宋体"/>
      <w:sz w:val="24"/>
      <w:szCs w:val="24"/>
      <w:lang w:val="en-US" w:eastAsia="zh-CN" w:bidi="ar-SA"/>
    </w:rPr>
  </w:style>
  <w:style w:type="paragraph" w:styleId="14">
    <w:name w:val="toc 3"/>
    <w:next w:val="1"/>
    <w:autoRedefine/>
    <w:semiHidden/>
    <w:qFormat/>
    <w:uiPriority w:val="99"/>
    <w:pPr>
      <w:ind w:left="840" w:leftChars="400"/>
    </w:pPr>
    <w:rPr>
      <w:rFonts w:ascii="Times New Roman" w:hAnsi="Times New Roman" w:eastAsia="宋体" w:cs="Times New Roman"/>
      <w:lang w:val="en-US" w:eastAsia="zh-CN" w:bidi="ar-SA"/>
    </w:rPr>
  </w:style>
  <w:style w:type="paragraph" w:styleId="15">
    <w:name w:val="Plain Text"/>
    <w:basedOn w:val="1"/>
    <w:link w:val="50"/>
    <w:autoRedefine/>
    <w:qFormat/>
    <w:uiPriority w:val="0"/>
    <w:rPr>
      <w:rFonts w:ascii="宋体" w:hAnsi="Courier New" w:eastAsia="宋体" w:cs="宋体"/>
      <w:lang w:val="en-US" w:eastAsia="zh-CN" w:bidi="ar-SA"/>
    </w:rPr>
  </w:style>
  <w:style w:type="paragraph" w:styleId="16">
    <w:name w:val="Date"/>
    <w:next w:val="1"/>
    <w:link w:val="51"/>
    <w:autoRedefine/>
    <w:qFormat/>
    <w:uiPriority w:val="99"/>
    <w:pPr>
      <w:ind w:left="100" w:leftChars="2500"/>
    </w:pPr>
    <w:rPr>
      <w:rFonts w:ascii="宋体" w:hAnsi="宋体" w:eastAsia="宋体" w:cs="宋体"/>
      <w:color w:val="000000"/>
      <w:sz w:val="24"/>
      <w:szCs w:val="24"/>
      <w:lang w:val="en-US" w:eastAsia="zh-CN" w:bidi="ar-SA"/>
    </w:rPr>
  </w:style>
  <w:style w:type="paragraph" w:styleId="17">
    <w:name w:val="Body Text Indent 2"/>
    <w:basedOn w:val="1"/>
    <w:autoRedefine/>
    <w:unhideWhenUsed/>
    <w:qFormat/>
    <w:uiPriority w:val="99"/>
    <w:pPr>
      <w:spacing w:after="120" w:line="480" w:lineRule="auto"/>
      <w:ind w:left="420" w:leftChars="200"/>
    </w:pPr>
  </w:style>
  <w:style w:type="paragraph" w:styleId="18">
    <w:name w:val="Balloon Text"/>
    <w:link w:val="52"/>
    <w:autoRedefine/>
    <w:semiHidden/>
    <w:qFormat/>
    <w:uiPriority w:val="99"/>
    <w:rPr>
      <w:rFonts w:ascii="Times New Roman" w:hAnsi="Times New Roman" w:eastAsia="宋体" w:cs="Times New Roman"/>
      <w:sz w:val="18"/>
      <w:szCs w:val="18"/>
      <w:lang w:val="en-US" w:eastAsia="zh-CN" w:bidi="ar-SA"/>
    </w:rPr>
  </w:style>
  <w:style w:type="paragraph" w:styleId="19">
    <w:name w:val="footer"/>
    <w:link w:val="53"/>
    <w:autoRedefine/>
    <w:qFormat/>
    <w:uiPriority w:val="99"/>
    <w:pPr>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20">
    <w:name w:val="header"/>
    <w:link w:val="54"/>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hAnsi="Times New Roman" w:eastAsia="宋体" w:cs="宋体"/>
      <w:sz w:val="18"/>
      <w:szCs w:val="18"/>
      <w:lang w:val="en-US" w:eastAsia="zh-CN" w:bidi="ar-SA"/>
    </w:rPr>
  </w:style>
  <w:style w:type="paragraph" w:styleId="21">
    <w:name w:val="toc 1"/>
    <w:next w:val="1"/>
    <w:autoRedefine/>
    <w:semiHidden/>
    <w:qFormat/>
    <w:uiPriority w:val="99"/>
    <w:rPr>
      <w:rFonts w:ascii="Times New Roman" w:hAnsi="Times New Roman" w:eastAsia="宋体" w:cs="Times New Roman"/>
      <w:lang w:val="en-US" w:eastAsia="zh-CN" w:bidi="ar-SA"/>
    </w:rPr>
  </w:style>
  <w:style w:type="paragraph" w:styleId="22">
    <w:name w:val="footnote text"/>
    <w:basedOn w:val="1"/>
    <w:autoRedefine/>
    <w:qFormat/>
    <w:uiPriority w:val="0"/>
    <w:pPr>
      <w:adjustRightInd w:val="0"/>
      <w:snapToGrid w:val="0"/>
      <w:jc w:val="left"/>
    </w:pPr>
    <w:rPr>
      <w:sz w:val="18"/>
      <w:szCs w:val="24"/>
    </w:rPr>
  </w:style>
  <w:style w:type="paragraph" w:styleId="23">
    <w:name w:val="toc 2"/>
    <w:next w:val="1"/>
    <w:autoRedefine/>
    <w:semiHidden/>
    <w:qFormat/>
    <w:uiPriority w:val="99"/>
    <w:pPr>
      <w:ind w:left="420" w:leftChars="200"/>
    </w:pPr>
    <w:rPr>
      <w:rFonts w:ascii="Times New Roman" w:hAnsi="Times New Roman" w:eastAsia="宋体" w:cs="Times New Roman"/>
      <w:lang w:val="en-US" w:eastAsia="zh-CN" w:bidi="ar-SA"/>
    </w:rPr>
  </w:style>
  <w:style w:type="paragraph" w:styleId="24">
    <w:name w:val="Body Text 2"/>
    <w:basedOn w:val="1"/>
    <w:qFormat/>
    <w:uiPriority w:val="0"/>
    <w:pPr>
      <w:spacing w:after="120" w:line="480" w:lineRule="auto"/>
    </w:pPr>
    <w:rPr>
      <w:rFonts w:ascii="Times New Roman" w:hAnsi="Times New Roman"/>
      <w:szCs w:val="20"/>
    </w:rPr>
  </w:style>
  <w:style w:type="paragraph" w:styleId="25">
    <w:name w:val="Normal (Web)"/>
    <w:basedOn w:val="1"/>
    <w:autoRedefine/>
    <w:qFormat/>
    <w:uiPriority w:val="99"/>
    <w:pPr>
      <w:spacing w:before="100" w:beforeAutospacing="1" w:after="100" w:afterAutospacing="1"/>
    </w:pPr>
    <w:rPr>
      <w:rFonts w:ascii="宋体" w:hAnsi="宋体" w:eastAsia="宋体" w:cs="宋体"/>
      <w:sz w:val="24"/>
      <w:szCs w:val="24"/>
      <w:lang w:val="en-US" w:eastAsia="zh-CN" w:bidi="ar-SA"/>
    </w:rPr>
  </w:style>
  <w:style w:type="paragraph" w:styleId="26">
    <w:name w:val="Body Text First Indent"/>
    <w:basedOn w:val="2"/>
    <w:link w:val="55"/>
    <w:autoRedefine/>
    <w:qFormat/>
    <w:uiPriority w:val="99"/>
    <w:pPr>
      <w:ind w:firstLine="420" w:firstLineChars="100"/>
    </w:pPr>
  </w:style>
  <w:style w:type="paragraph" w:styleId="27">
    <w:name w:val="Body Text First Indent 2"/>
    <w:basedOn w:val="13"/>
    <w:next w:val="1"/>
    <w:autoRedefine/>
    <w:qFormat/>
    <w:uiPriority w:val="0"/>
    <w:pPr>
      <w:ind w:firstLine="420"/>
    </w:pPr>
  </w:style>
  <w:style w:type="table" w:styleId="29">
    <w:name w:val="Table Grid"/>
    <w:basedOn w:val="28"/>
    <w:autoRedefine/>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99"/>
    <w:rPr>
      <w:b/>
      <w:bCs/>
    </w:rPr>
  </w:style>
  <w:style w:type="character" w:styleId="32">
    <w:name w:val="page number"/>
    <w:basedOn w:val="30"/>
    <w:autoRedefine/>
    <w:qFormat/>
    <w:uiPriority w:val="99"/>
  </w:style>
  <w:style w:type="character" w:styleId="33">
    <w:name w:val="Hyperlink"/>
    <w:basedOn w:val="30"/>
    <w:autoRedefine/>
    <w:qFormat/>
    <w:uiPriority w:val="99"/>
    <w:rPr>
      <w:color w:val="0000FF"/>
      <w:u w:val="single"/>
    </w:rPr>
  </w:style>
  <w:style w:type="paragraph" w:customStyle="1" w:styleId="34">
    <w:name w:val="样式 正文文本缩进 + 左  0 字符"/>
    <w:basedOn w:val="1"/>
    <w:next w:val="35"/>
    <w:autoRedefine/>
    <w:qFormat/>
    <w:uiPriority w:val="0"/>
    <w:pPr>
      <w:ind w:firstLine="645"/>
    </w:pPr>
    <w:rPr>
      <w:rFonts w:ascii="楷体_GB2312" w:eastAsia="楷体_GB2312"/>
      <w:sz w:val="24"/>
      <w:szCs w:val="20"/>
    </w:rPr>
  </w:style>
  <w:style w:type="paragraph" w:customStyle="1" w:styleId="35">
    <w:name w:val="MM Topic 4"/>
    <w:basedOn w:val="10"/>
    <w:autoRedefine/>
    <w:qFormat/>
    <w:uiPriority w:val="0"/>
    <w:pPr>
      <w:numPr>
        <w:ilvl w:val="0"/>
        <w:numId w:val="2"/>
      </w:numPr>
      <w:tabs>
        <w:tab w:val="left" w:pos="2100"/>
      </w:tabs>
      <w:adjustRightInd/>
    </w:pPr>
    <w:rPr>
      <w:lang w:val="en-US"/>
    </w:rPr>
  </w:style>
  <w:style w:type="paragraph" w:customStyle="1" w:styleId="36">
    <w:name w:val="Body Text First Indent1"/>
    <w:basedOn w:val="2"/>
    <w:autoRedefine/>
    <w:qFormat/>
    <w:uiPriority w:val="0"/>
    <w:pPr>
      <w:tabs>
        <w:tab w:val="left" w:pos="1275"/>
      </w:tabs>
      <w:ind w:firstLine="420" w:firstLineChars="100"/>
    </w:pPr>
  </w:style>
  <w:style w:type="paragraph" w:customStyle="1" w:styleId="37">
    <w:name w:val="正文空2字"/>
    <w:basedOn w:val="38"/>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8">
    <w:name w:val="左对齐正文"/>
    <w:autoRedefine/>
    <w:qFormat/>
    <w:uiPriority w:val="99"/>
    <w:rPr>
      <w:rFonts w:ascii="Calibri" w:hAnsi="Calibri" w:eastAsia="仿宋_GB2312" w:cs="Calibri"/>
      <w:kern w:val="2"/>
      <w:sz w:val="32"/>
      <w:szCs w:val="32"/>
      <w:lang w:val="en-US" w:eastAsia="zh-CN" w:bidi="ar-SA"/>
    </w:rPr>
  </w:style>
  <w:style w:type="paragraph" w:customStyle="1" w:styleId="39">
    <w:name w:val="表格文字"/>
    <w:next w:val="2"/>
    <w:autoRedefine/>
    <w:qFormat/>
    <w:uiPriority w:val="0"/>
    <w:pPr>
      <w:adjustRightInd w:val="0"/>
      <w:spacing w:line="420" w:lineRule="atLeast"/>
      <w:textAlignment w:val="baseline"/>
    </w:pPr>
    <w:rPr>
      <w:rFonts w:ascii="Times New Roman" w:hAnsi="Times New Roman" w:eastAsia="宋体" w:cs="Times New Roman"/>
      <w:lang w:val="en-US" w:eastAsia="zh-CN" w:bidi="ar-SA"/>
    </w:rPr>
  </w:style>
  <w:style w:type="character" w:customStyle="1" w:styleId="40">
    <w:name w:val="标题 1 字符"/>
    <w:basedOn w:val="30"/>
    <w:link w:val="4"/>
    <w:autoRedefine/>
    <w:qFormat/>
    <w:locked/>
    <w:uiPriority w:val="99"/>
    <w:rPr>
      <w:b/>
      <w:bCs/>
      <w:kern w:val="44"/>
      <w:sz w:val="44"/>
      <w:szCs w:val="44"/>
    </w:rPr>
  </w:style>
  <w:style w:type="character" w:customStyle="1" w:styleId="41">
    <w:name w:val="标题 2 字符"/>
    <w:basedOn w:val="30"/>
    <w:link w:val="5"/>
    <w:autoRedefine/>
    <w:qFormat/>
    <w:locked/>
    <w:uiPriority w:val="99"/>
    <w:rPr>
      <w:rFonts w:ascii="宋体" w:cs="宋体"/>
      <w:b/>
      <w:bCs/>
      <w:kern w:val="2"/>
      <w:sz w:val="28"/>
      <w:szCs w:val="28"/>
    </w:rPr>
  </w:style>
  <w:style w:type="character" w:customStyle="1" w:styleId="42">
    <w:name w:val="标题 3 字符"/>
    <w:basedOn w:val="30"/>
    <w:link w:val="8"/>
    <w:autoRedefine/>
    <w:qFormat/>
    <w:locked/>
    <w:uiPriority w:val="99"/>
    <w:rPr>
      <w:rFonts w:ascii="宋体" w:cs="宋体"/>
      <w:b/>
      <w:bCs/>
      <w:kern w:val="2"/>
      <w:sz w:val="28"/>
      <w:szCs w:val="28"/>
    </w:rPr>
  </w:style>
  <w:style w:type="character" w:customStyle="1" w:styleId="43">
    <w:name w:val="正文文本 字符"/>
    <w:basedOn w:val="30"/>
    <w:link w:val="2"/>
    <w:autoRedefine/>
    <w:semiHidden/>
    <w:qFormat/>
    <w:uiPriority w:val="99"/>
    <w:rPr>
      <w:rFonts w:ascii="Times New Roman" w:hAnsi="Times New Roman"/>
      <w:szCs w:val="21"/>
    </w:rPr>
  </w:style>
  <w:style w:type="paragraph" w:customStyle="1" w:styleId="44">
    <w:name w:val="样式 表格正文 + 两端对齐"/>
    <w:next w:val="45"/>
    <w:autoRedefine/>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45">
    <w:name w:val="正文1"/>
    <w:next w:val="46"/>
    <w:autoRedefine/>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46">
    <w:name w:val="自动更正"/>
    <w:next w:val="4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7">
    <w:name w:val="xl39"/>
    <w:next w:val="48"/>
    <w:autoRedefine/>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48">
    <w:name w:val="分手多日，近况如何？"/>
    <w:autoRedefine/>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49">
    <w:name w:val="正文文本缩进 字符"/>
    <w:basedOn w:val="30"/>
    <w:link w:val="13"/>
    <w:autoRedefine/>
    <w:semiHidden/>
    <w:qFormat/>
    <w:uiPriority w:val="99"/>
    <w:rPr>
      <w:rFonts w:ascii="Times New Roman" w:hAnsi="Times New Roman"/>
      <w:szCs w:val="21"/>
    </w:rPr>
  </w:style>
  <w:style w:type="character" w:customStyle="1" w:styleId="50">
    <w:name w:val="纯文本 字符"/>
    <w:basedOn w:val="30"/>
    <w:link w:val="15"/>
    <w:autoRedefine/>
    <w:semiHidden/>
    <w:qFormat/>
    <w:uiPriority w:val="99"/>
    <w:rPr>
      <w:rFonts w:ascii="宋体" w:hAnsi="Courier New" w:cs="Courier New"/>
      <w:szCs w:val="21"/>
    </w:rPr>
  </w:style>
  <w:style w:type="character" w:customStyle="1" w:styleId="51">
    <w:name w:val="日期 字符"/>
    <w:basedOn w:val="30"/>
    <w:link w:val="16"/>
    <w:autoRedefine/>
    <w:semiHidden/>
    <w:qFormat/>
    <w:uiPriority w:val="99"/>
    <w:rPr>
      <w:rFonts w:ascii="Times New Roman" w:hAnsi="Times New Roman"/>
      <w:szCs w:val="21"/>
    </w:rPr>
  </w:style>
  <w:style w:type="character" w:customStyle="1" w:styleId="52">
    <w:name w:val="批注框文本 字符"/>
    <w:basedOn w:val="30"/>
    <w:link w:val="18"/>
    <w:autoRedefine/>
    <w:qFormat/>
    <w:locked/>
    <w:uiPriority w:val="99"/>
    <w:rPr>
      <w:kern w:val="2"/>
      <w:sz w:val="18"/>
      <w:szCs w:val="18"/>
    </w:rPr>
  </w:style>
  <w:style w:type="character" w:customStyle="1" w:styleId="53">
    <w:name w:val="页脚 字符"/>
    <w:basedOn w:val="30"/>
    <w:link w:val="19"/>
    <w:autoRedefine/>
    <w:qFormat/>
    <w:uiPriority w:val="99"/>
    <w:rPr>
      <w:rFonts w:ascii="Times New Roman" w:hAnsi="Times New Roman"/>
      <w:sz w:val="18"/>
      <w:szCs w:val="18"/>
    </w:rPr>
  </w:style>
  <w:style w:type="character" w:customStyle="1" w:styleId="54">
    <w:name w:val="页眉 字符"/>
    <w:basedOn w:val="30"/>
    <w:link w:val="20"/>
    <w:autoRedefine/>
    <w:qFormat/>
    <w:uiPriority w:val="99"/>
    <w:rPr>
      <w:rFonts w:ascii="Times New Roman" w:hAnsi="Times New Roman"/>
      <w:sz w:val="18"/>
      <w:szCs w:val="18"/>
    </w:rPr>
  </w:style>
  <w:style w:type="character" w:customStyle="1" w:styleId="55">
    <w:name w:val="正文文本首行缩进 字符"/>
    <w:basedOn w:val="43"/>
    <w:link w:val="26"/>
    <w:autoRedefine/>
    <w:semiHidden/>
    <w:qFormat/>
    <w:uiPriority w:val="99"/>
    <w:rPr>
      <w:rFonts w:ascii="Times New Roman" w:hAnsi="Times New Roman"/>
      <w:szCs w:val="21"/>
    </w:rPr>
  </w:style>
  <w:style w:type="paragraph" w:customStyle="1" w:styleId="56">
    <w:name w:val="正文2"/>
    <w:basedOn w:val="24"/>
    <w:autoRedefine/>
    <w:qFormat/>
    <w:uiPriority w:val="99"/>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7">
    <w:name w:val="List Paragraph1"/>
    <w:autoRedefine/>
    <w:qFormat/>
    <w:uiPriority w:val="99"/>
    <w:pPr>
      <w:ind w:firstLine="420" w:firstLineChars="200"/>
    </w:pPr>
    <w:rPr>
      <w:rFonts w:ascii="Calibri" w:hAnsi="Calibri" w:eastAsia="宋体" w:cs="Calibri"/>
      <w:lang w:val="en-US" w:eastAsia="zh-CN" w:bidi="ar-SA"/>
    </w:rPr>
  </w:style>
  <w:style w:type="character" w:customStyle="1" w:styleId="58">
    <w:name w:val="style81"/>
    <w:autoRedefine/>
    <w:qFormat/>
    <w:uiPriority w:val="99"/>
    <w:rPr>
      <w:sz w:val="20"/>
      <w:szCs w:val="20"/>
    </w:rPr>
  </w:style>
  <w:style w:type="paragraph" w:customStyle="1" w:styleId="59">
    <w:name w:val="列出段落1"/>
    <w:autoRedefine/>
    <w:qFormat/>
    <w:uiPriority w:val="99"/>
    <w:pPr>
      <w:ind w:firstLine="420"/>
    </w:pPr>
    <w:rPr>
      <w:rFonts w:ascii="Times New Roman" w:hAnsi="Times New Roman" w:eastAsia="宋体" w:cs="Times New Roman"/>
      <w:lang w:val="en-US" w:eastAsia="zh-CN" w:bidi="ar-SA"/>
    </w:rPr>
  </w:style>
  <w:style w:type="paragraph" w:customStyle="1" w:styleId="60">
    <w:name w:val="表格"/>
    <w:autoRedefine/>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61">
    <w:name w:val="02 Char"/>
    <w:link w:val="62"/>
    <w:autoRedefine/>
    <w:qFormat/>
    <w:locked/>
    <w:uiPriority w:val="99"/>
    <w:rPr>
      <w:rFonts w:ascii="宋体" w:cs="宋体"/>
      <w:b/>
      <w:bCs/>
      <w:color w:val="FF0000"/>
      <w:kern w:val="2"/>
      <w:sz w:val="28"/>
      <w:szCs w:val="28"/>
    </w:rPr>
  </w:style>
  <w:style w:type="paragraph" w:customStyle="1" w:styleId="62">
    <w:name w:val="02"/>
    <w:basedOn w:val="5"/>
    <w:link w:val="61"/>
    <w:autoRedefine/>
    <w:qFormat/>
    <w:uiPriority w:val="99"/>
    <w:pPr>
      <w:jc w:val="center"/>
    </w:pPr>
    <w:rPr>
      <w:color w:val="FF0000"/>
    </w:rPr>
  </w:style>
  <w:style w:type="character" w:customStyle="1" w:styleId="63">
    <w:name w:val="03 Char"/>
    <w:link w:val="64"/>
    <w:autoRedefine/>
    <w:qFormat/>
    <w:locked/>
    <w:uiPriority w:val="99"/>
    <w:rPr>
      <w:rFonts w:ascii="宋体" w:cs="宋体"/>
      <w:b/>
      <w:bCs/>
      <w:kern w:val="2"/>
      <w:sz w:val="28"/>
      <w:szCs w:val="28"/>
    </w:rPr>
  </w:style>
  <w:style w:type="paragraph" w:customStyle="1" w:styleId="64">
    <w:name w:val="03"/>
    <w:basedOn w:val="8"/>
    <w:link w:val="63"/>
    <w:autoRedefine/>
    <w:qFormat/>
    <w:uiPriority w:val="99"/>
    <w:pPr>
      <w:numPr>
        <w:ilvl w:val="0"/>
        <w:numId w:val="0"/>
      </w:numPr>
    </w:pPr>
  </w:style>
  <w:style w:type="character" w:customStyle="1" w:styleId="65">
    <w:name w:val="宋体小四 Char"/>
    <w:link w:val="66"/>
    <w:autoRedefine/>
    <w:qFormat/>
    <w:locked/>
    <w:uiPriority w:val="99"/>
    <w:rPr>
      <w:rFonts w:ascii="宋体" w:eastAsia="宋体" w:cs="宋体"/>
      <w:kern w:val="2"/>
      <w:sz w:val="24"/>
      <w:szCs w:val="24"/>
    </w:rPr>
  </w:style>
  <w:style w:type="paragraph" w:customStyle="1" w:styleId="66">
    <w:name w:val="宋体小四"/>
    <w:link w:val="65"/>
    <w:autoRedefine/>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7">
    <w:name w:val="fontstyle01"/>
    <w:basedOn w:val="30"/>
    <w:autoRedefine/>
    <w:qFormat/>
    <w:uiPriority w:val="99"/>
    <w:rPr>
      <w:rFonts w:ascii="宋体" w:eastAsia="宋体" w:cs="宋体"/>
      <w:color w:val="000000"/>
      <w:sz w:val="22"/>
      <w:szCs w:val="22"/>
    </w:rPr>
  </w:style>
  <w:style w:type="paragraph" w:customStyle="1" w:styleId="68">
    <w:name w:val="正文首行缩进2字符"/>
    <w:autoRedefine/>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69">
    <w:name w:val="居中表格内容标题"/>
    <w:basedOn w:val="70"/>
    <w:autoRedefine/>
    <w:qFormat/>
    <w:uiPriority w:val="0"/>
    <w:pPr>
      <w:jc w:val="center"/>
    </w:pPr>
    <w:rPr>
      <w:b/>
    </w:rPr>
  </w:style>
  <w:style w:type="paragraph" w:customStyle="1" w:styleId="70">
    <w:name w:val="居中表格内容"/>
    <w:autoRedefine/>
    <w:qFormat/>
    <w:uiPriority w:val="0"/>
    <w:rPr>
      <w:rFonts w:ascii="Times New Roman" w:hAnsi="Times New Roman" w:eastAsia="宋体" w:cs="Times New Roman"/>
      <w:szCs w:val="28"/>
      <w:lang w:val="en-US" w:eastAsia="zh-CN" w:bidi="ar-SA"/>
    </w:rPr>
  </w:style>
  <w:style w:type="paragraph" w:styleId="71">
    <w:name w:val="List Paragraph"/>
    <w:basedOn w:val="1"/>
    <w:link w:val="72"/>
    <w:autoRedefine/>
    <w:qFormat/>
    <w:uiPriority w:val="34"/>
    <w:pPr>
      <w:ind w:firstLine="420" w:firstLineChars="200"/>
    </w:pPr>
    <w:rPr>
      <w:rFonts w:ascii="Times New Roman" w:hAnsi="Times New Roman" w:eastAsia="宋体" w:cs="Times New Roman"/>
      <w:lang w:val="en-US" w:eastAsia="zh-CN" w:bidi="ar-SA"/>
    </w:rPr>
  </w:style>
  <w:style w:type="character" w:customStyle="1" w:styleId="72">
    <w:name w:val="列表段落 字符"/>
    <w:basedOn w:val="30"/>
    <w:link w:val="71"/>
    <w:autoRedefine/>
    <w:qFormat/>
    <w:uiPriority w:val="34"/>
  </w:style>
  <w:style w:type="table" w:customStyle="1" w:styleId="73">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74">
    <w:name w:val="正文（首行缩进2字符）"/>
    <w:basedOn w:val="1"/>
    <w:autoRedefine/>
    <w:qFormat/>
    <w:uiPriority w:val="0"/>
    <w:pPr>
      <w:spacing w:line="360" w:lineRule="auto"/>
      <w:ind w:firstLine="480" w:firstLineChars="200"/>
    </w:pPr>
    <w:rPr>
      <w:kern w:val="2"/>
      <w:sz w:val="24"/>
    </w:rPr>
  </w:style>
  <w:style w:type="character" w:customStyle="1" w:styleId="75">
    <w:name w:val="case31"/>
    <w:autoRedefine/>
    <w:qFormat/>
    <w:uiPriority w:val="0"/>
    <w:rPr>
      <w:rFonts w:hint="default" w:eastAsia="仿宋_GB2312"/>
      <w:sz w:val="21"/>
      <w:szCs w:val="21"/>
    </w:rPr>
  </w:style>
  <w:style w:type="paragraph" w:customStyle="1" w:styleId="76">
    <w:name w:val="正文段"/>
    <w:basedOn w:val="1"/>
    <w:autoRedefine/>
    <w:qFormat/>
    <w:uiPriority w:val="99"/>
    <w:pPr>
      <w:widowControl/>
      <w:snapToGrid w:val="0"/>
      <w:spacing w:afterLines="50"/>
      <w:ind w:firstLine="200" w:firstLineChars="200"/>
    </w:pPr>
    <w:rPr>
      <w:kern w:val="0"/>
      <w:sz w:val="24"/>
      <w:szCs w:val="20"/>
    </w:rPr>
  </w:style>
  <w:style w:type="paragraph" w:customStyle="1" w:styleId="77">
    <w:name w:val="首行缩进"/>
    <w:basedOn w:val="1"/>
    <w:autoRedefine/>
    <w:qFormat/>
    <w:uiPriority w:val="0"/>
    <w:pPr>
      <w:spacing w:line="360" w:lineRule="auto"/>
      <w:ind w:firstLine="480" w:firstLineChars="200"/>
    </w:pPr>
    <w:rPr>
      <w:rFonts w:ascii="宋体"/>
      <w:sz w:val="24"/>
      <w:szCs w:val="20"/>
    </w:rPr>
  </w:style>
  <w:style w:type="paragraph" w:customStyle="1" w:styleId="78">
    <w:name w:val="表格内容"/>
    <w:basedOn w:val="1"/>
    <w:autoRedefine/>
    <w:qFormat/>
    <w:uiPriority w:val="0"/>
    <w:pPr>
      <w:widowControl/>
      <w:autoSpaceDE w:val="0"/>
      <w:autoSpaceDN w:val="0"/>
      <w:adjustRightInd w:val="0"/>
      <w:spacing w:before="60" w:line="300" w:lineRule="auto"/>
      <w:jc w:val="center"/>
    </w:pPr>
    <w:rPr>
      <w:rFonts w:ascii="Times New Roman" w:hAnsi="Times New Roman"/>
      <w:kern w:val="0"/>
      <w:sz w:val="21"/>
      <w:szCs w:val="20"/>
      <w:u w:val="none"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54</Pages>
  <Words>2270</Words>
  <Characters>2795</Characters>
  <Lines>207</Lines>
  <Paragraphs>58</Paragraphs>
  <TotalTime>13</TotalTime>
  <ScaleCrop>false</ScaleCrop>
  <LinksUpToDate>false</LinksUpToDate>
  <CharactersWithSpaces>2908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2021-11-22T08:07:00Z</dcterms:created>
  <dc:creator>项建海</dc:creator>
  <cp:lastModifiedBy>Administrator</cp:lastModifiedBy>
  <cp:lastPrinted>2022-02-15T06:48:00Z</cp:lastPrinted>
  <dcterms:modified xsi:type="dcterms:W3CDTF">2024-11-26T09:05:56Z</dcterms:modified>
  <dc:title>退役军人</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16194880F284427FA92BC665D068E129_13</vt:lpwstr>
  </property>
</Properties>
</file>