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39524">
      <w:pPr>
        <w:pStyle w:val="10"/>
        <w:ind w:firstLine="0"/>
        <w:rPr>
          <w:rFonts w:ascii="宋体" w:hAnsi="宋体" w:cs="宋体"/>
          <w:b/>
          <w:bCs/>
          <w:color w:val="auto"/>
          <w:sz w:val="44"/>
          <w:szCs w:val="44"/>
          <w:highlight w:val="none"/>
        </w:rPr>
      </w:pPr>
    </w:p>
    <w:p w14:paraId="5F9E54FE">
      <w:pPr>
        <w:bidi w:val="0"/>
        <w:jc w:val="center"/>
        <w:rPr>
          <w:rFonts w:hint="eastAsia" w:ascii="宋体" w:hAnsi="宋体" w:eastAsia="宋体" w:cs="宋体"/>
          <w:b/>
          <w:bCs/>
          <w:color w:val="auto"/>
          <w:sz w:val="40"/>
          <w:szCs w:val="40"/>
          <w:highlight w:val="none"/>
        </w:rPr>
      </w:pPr>
      <w:r>
        <w:rPr>
          <w:rFonts w:hint="eastAsia" w:ascii="宋体" w:hAnsi="宋体" w:cs="宋体"/>
          <w:b/>
          <w:bCs/>
          <w:color w:val="auto"/>
          <w:sz w:val="40"/>
          <w:szCs w:val="40"/>
          <w:highlight w:val="none"/>
          <w:lang w:eastAsia="zh-CN"/>
        </w:rPr>
        <w:t>百官街道文化站、志愿社会工作服务站、乐龄中心、助联体、老年大学等场所运行服务</w:t>
      </w:r>
    </w:p>
    <w:p w14:paraId="076318B0">
      <w:pPr>
        <w:pStyle w:val="10"/>
        <w:rPr>
          <w:rFonts w:ascii="宋体"/>
          <w:b/>
          <w:bCs/>
          <w:color w:val="auto"/>
          <w:sz w:val="44"/>
          <w:szCs w:val="44"/>
          <w:highlight w:val="none"/>
        </w:rPr>
      </w:pPr>
    </w:p>
    <w:p w14:paraId="374C5ADA">
      <w:pPr>
        <w:pStyle w:val="10"/>
        <w:rPr>
          <w:rFonts w:ascii="宋体"/>
          <w:b/>
          <w:bCs/>
          <w:color w:val="auto"/>
          <w:sz w:val="44"/>
          <w:szCs w:val="44"/>
          <w:highlight w:val="none"/>
        </w:rPr>
      </w:pPr>
    </w:p>
    <w:p w14:paraId="4DFB70DC">
      <w:pPr>
        <w:pStyle w:val="10"/>
        <w:rPr>
          <w:rFonts w:ascii="宋体"/>
          <w:b/>
          <w:bCs/>
          <w:color w:val="auto"/>
          <w:sz w:val="44"/>
          <w:szCs w:val="44"/>
          <w:highlight w:val="none"/>
        </w:rPr>
      </w:pPr>
    </w:p>
    <w:p w14:paraId="53236631">
      <w:pPr>
        <w:pStyle w:val="10"/>
        <w:rPr>
          <w:rFonts w:ascii="宋体"/>
          <w:b/>
          <w:bCs/>
          <w:color w:val="auto"/>
          <w:sz w:val="44"/>
          <w:szCs w:val="44"/>
          <w:highlight w:val="none"/>
        </w:rPr>
      </w:pPr>
    </w:p>
    <w:p w14:paraId="68D2863C">
      <w:pPr>
        <w:pStyle w:val="10"/>
        <w:rPr>
          <w:color w:val="auto"/>
          <w:highlight w:val="none"/>
        </w:rPr>
      </w:pPr>
    </w:p>
    <w:p w14:paraId="75C45053">
      <w:pPr>
        <w:bidi w:val="0"/>
        <w:jc w:val="center"/>
        <w:rPr>
          <w:rFonts w:hint="eastAsia" w:ascii="Times New Roman" w:hAnsi="Times New Roman" w:eastAsia="宋体" w:cs="Times New Roman"/>
          <w:b/>
          <w:bCs/>
          <w:color w:val="auto"/>
          <w:sz w:val="48"/>
          <w:szCs w:val="48"/>
          <w:highlight w:val="none"/>
        </w:rPr>
      </w:pPr>
      <w:bookmarkStart w:id="0" w:name="_Toc20516"/>
      <w:r>
        <w:rPr>
          <w:rFonts w:hint="eastAsia" w:ascii="Times New Roman" w:hAnsi="Times New Roman" w:eastAsia="宋体" w:cs="Times New Roman"/>
          <w:b/>
          <w:bCs/>
          <w:color w:val="auto"/>
          <w:sz w:val="48"/>
          <w:szCs w:val="48"/>
          <w:highlight w:val="none"/>
        </w:rPr>
        <w:t>竞争性磋商文件</w:t>
      </w:r>
      <w:bookmarkEnd w:id="0"/>
    </w:p>
    <w:p w14:paraId="66170CD1">
      <w:pPr>
        <w:spacing w:line="360" w:lineRule="auto"/>
        <w:jc w:val="center"/>
        <w:rPr>
          <w:rFonts w:ascii="宋体"/>
          <w:b/>
          <w:bCs/>
          <w:color w:val="auto"/>
          <w:sz w:val="24"/>
          <w:szCs w:val="24"/>
          <w:highlight w:val="none"/>
        </w:rPr>
      </w:pPr>
    </w:p>
    <w:p w14:paraId="2AB93D19">
      <w:pPr>
        <w:snapToGrid w:val="0"/>
        <w:spacing w:line="360" w:lineRule="auto"/>
        <w:ind w:firstLine="2601" w:firstLineChars="867"/>
        <w:jc w:val="left"/>
        <w:rPr>
          <w:rFonts w:hint="eastAsia" w:ascii="宋体" w:eastAsia="宋体"/>
          <w:color w:val="auto"/>
          <w:sz w:val="30"/>
          <w:szCs w:val="30"/>
          <w:highlight w:val="none"/>
          <w:u w:val="singl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TPZC2024-016</w:t>
      </w:r>
    </w:p>
    <w:p w14:paraId="4FACA70B">
      <w:pPr>
        <w:snapToGrid w:val="0"/>
        <w:spacing w:line="360" w:lineRule="auto"/>
        <w:ind w:firstLine="2301" w:firstLineChars="767"/>
        <w:jc w:val="left"/>
        <w:rPr>
          <w:rFonts w:ascii="宋体"/>
          <w:color w:val="auto"/>
          <w:sz w:val="30"/>
          <w:szCs w:val="30"/>
          <w:highlight w:val="none"/>
        </w:rPr>
      </w:pPr>
    </w:p>
    <w:p w14:paraId="7D387494">
      <w:pPr>
        <w:spacing w:line="360" w:lineRule="auto"/>
        <w:rPr>
          <w:rFonts w:ascii="宋体"/>
          <w:color w:val="auto"/>
          <w:sz w:val="28"/>
          <w:szCs w:val="28"/>
          <w:highlight w:val="none"/>
        </w:rPr>
      </w:pPr>
    </w:p>
    <w:p w14:paraId="665F5A5A">
      <w:pPr>
        <w:spacing w:line="360" w:lineRule="auto"/>
        <w:jc w:val="center"/>
        <w:rPr>
          <w:rFonts w:ascii="宋体"/>
          <w:color w:val="auto"/>
          <w:sz w:val="24"/>
          <w:szCs w:val="24"/>
          <w:highlight w:val="none"/>
        </w:rPr>
      </w:pPr>
    </w:p>
    <w:p w14:paraId="6DED0A36">
      <w:pPr>
        <w:spacing w:line="360" w:lineRule="auto"/>
        <w:jc w:val="center"/>
        <w:rPr>
          <w:rFonts w:ascii="宋体"/>
          <w:color w:val="auto"/>
          <w:sz w:val="24"/>
          <w:szCs w:val="24"/>
          <w:highlight w:val="none"/>
        </w:rPr>
      </w:pPr>
    </w:p>
    <w:p w14:paraId="5E7B7476">
      <w:pPr>
        <w:spacing w:line="360" w:lineRule="auto"/>
        <w:jc w:val="center"/>
        <w:rPr>
          <w:rFonts w:ascii="宋体"/>
          <w:color w:val="auto"/>
          <w:sz w:val="24"/>
          <w:szCs w:val="24"/>
          <w:highlight w:val="none"/>
        </w:rPr>
      </w:pPr>
    </w:p>
    <w:p w14:paraId="4F517238">
      <w:pPr>
        <w:spacing w:line="360" w:lineRule="auto"/>
        <w:jc w:val="center"/>
        <w:rPr>
          <w:rFonts w:ascii="宋体"/>
          <w:color w:val="auto"/>
          <w:sz w:val="24"/>
          <w:szCs w:val="24"/>
          <w:highlight w:val="none"/>
        </w:rPr>
      </w:pPr>
    </w:p>
    <w:p w14:paraId="2B35FA32">
      <w:pPr>
        <w:spacing w:line="360" w:lineRule="auto"/>
        <w:jc w:val="center"/>
        <w:rPr>
          <w:rFonts w:ascii="宋体"/>
          <w:color w:val="auto"/>
          <w:sz w:val="24"/>
          <w:szCs w:val="24"/>
          <w:highlight w:val="none"/>
        </w:rPr>
      </w:pPr>
    </w:p>
    <w:p w14:paraId="218CD224">
      <w:pPr>
        <w:spacing w:line="360" w:lineRule="auto"/>
        <w:rPr>
          <w:rFonts w:ascii="宋体"/>
          <w:color w:val="auto"/>
          <w:sz w:val="24"/>
          <w:szCs w:val="24"/>
          <w:highlight w:val="none"/>
        </w:rPr>
      </w:pPr>
    </w:p>
    <w:p w14:paraId="0FF2309B">
      <w:pPr>
        <w:snapToGrid w:val="0"/>
        <w:spacing w:line="360" w:lineRule="auto"/>
        <w:ind w:firstLine="600" w:firstLineChars="200"/>
        <w:jc w:val="center"/>
        <w:rPr>
          <w:rFonts w:hint="eastAsia" w:ascii="宋体" w:eastAsia="宋体"/>
          <w:color w:val="auto"/>
          <w:highlight w:val="none"/>
          <w:u w:val="single"/>
          <w:lang w:eastAsia="zh-CN"/>
        </w:rPr>
      </w:pPr>
      <w:r>
        <w:rPr>
          <w:rFonts w:hint="eastAsia" w:ascii="宋体" w:hAnsi="宋体" w:cs="宋体"/>
          <w:color w:val="auto"/>
          <w:sz w:val="30"/>
          <w:szCs w:val="30"/>
          <w:highlight w:val="none"/>
        </w:rPr>
        <w:t>采购人：</w:t>
      </w:r>
      <w:r>
        <w:rPr>
          <w:rFonts w:hint="eastAsia" w:ascii="宋体" w:hAnsi="宋体" w:cs="宋体"/>
          <w:color w:val="auto"/>
          <w:sz w:val="30"/>
          <w:highlight w:val="none"/>
          <w:lang w:eastAsia="zh-CN"/>
        </w:rPr>
        <w:t>绍兴市上虞区百官街道办事处</w:t>
      </w:r>
    </w:p>
    <w:p w14:paraId="727D1892">
      <w:pPr>
        <w:snapToGrid w:val="0"/>
        <w:spacing w:line="360" w:lineRule="auto"/>
        <w:ind w:firstLine="600" w:firstLineChars="200"/>
        <w:jc w:val="center"/>
        <w:rPr>
          <w:rFonts w:hint="eastAsia" w:ascii="宋体" w:eastAsia="宋体"/>
          <w:color w:val="auto"/>
          <w:sz w:val="30"/>
          <w:szCs w:val="30"/>
          <w:highlight w:val="none"/>
          <w:lang w:eastAsia="zh-CN"/>
        </w:rPr>
      </w:pPr>
      <w:r>
        <w:rPr>
          <w:rFonts w:hint="eastAsia" w:ascii="宋体" w:hAnsi="宋体" w:cs="宋体"/>
          <w:color w:val="auto"/>
          <w:sz w:val="30"/>
          <w:szCs w:val="30"/>
          <w:highlight w:val="none"/>
        </w:rPr>
        <w:t>采购代理机构：</w:t>
      </w:r>
      <w:r>
        <w:rPr>
          <w:rFonts w:hint="eastAsia" w:ascii="宋体" w:hAnsi="宋体" w:cs="宋体"/>
          <w:color w:val="auto"/>
          <w:sz w:val="30"/>
          <w:szCs w:val="30"/>
          <w:highlight w:val="none"/>
          <w:lang w:eastAsia="zh-CN"/>
        </w:rPr>
        <w:t>浙江天平项目咨询有限公司</w:t>
      </w:r>
    </w:p>
    <w:p w14:paraId="6EA9B328">
      <w:pPr>
        <w:tabs>
          <w:tab w:val="left" w:pos="6360"/>
        </w:tabs>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二〇二</w:t>
      </w:r>
      <w:r>
        <w:rPr>
          <w:rFonts w:hint="eastAsia" w:ascii="宋体" w:hAnsi="宋体" w:cs="宋体"/>
          <w:color w:val="auto"/>
          <w:sz w:val="30"/>
          <w:szCs w:val="30"/>
          <w:highlight w:val="none"/>
          <w:lang w:val="en-US" w:eastAsia="zh-CN"/>
        </w:rPr>
        <w:t>五</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一</w:t>
      </w:r>
      <w:r>
        <w:rPr>
          <w:rFonts w:hint="eastAsia" w:ascii="宋体" w:hAnsi="宋体" w:cs="宋体"/>
          <w:color w:val="auto"/>
          <w:sz w:val="30"/>
          <w:szCs w:val="30"/>
          <w:highlight w:val="none"/>
        </w:rPr>
        <w:t>月</w:t>
      </w:r>
    </w:p>
    <w:p w14:paraId="1FDA284C">
      <w:pPr>
        <w:bidi w:val="0"/>
        <w:rPr>
          <w:rFonts w:hint="eastAsia" w:ascii="Times New Roman" w:hAnsi="Times New Roman" w:eastAsia="宋体" w:cs="Times New Roman"/>
          <w:lang w:val="en-US" w:eastAsia="zh-CN" w:bidi="ar-SA"/>
        </w:rPr>
      </w:pPr>
    </w:p>
    <w:p w14:paraId="522C0FD2">
      <w:pPr>
        <w:bidi w:val="0"/>
        <w:rPr>
          <w:rFonts w:hint="eastAsia"/>
          <w:lang w:val="en-US" w:eastAsia="zh-CN"/>
        </w:rPr>
      </w:pPr>
    </w:p>
    <w:p w14:paraId="2186E534">
      <w:pPr>
        <w:tabs>
          <w:tab w:val="right" w:pos="8406"/>
        </w:tabs>
        <w:bidi w:val="0"/>
        <w:jc w:val="left"/>
        <w:rPr>
          <w:rFonts w:hint="eastAsia"/>
          <w:lang w:val="en-US" w:eastAsia="zh-CN"/>
        </w:rPr>
        <w:sectPr>
          <w:footerReference r:id="rId3" w:type="default"/>
          <w:pgSz w:w="11906" w:h="16838"/>
          <w:pgMar w:top="1440" w:right="17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ab/>
      </w:r>
    </w:p>
    <w:p w14:paraId="3A195869">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sdt>
      <w:sdtPr>
        <w:rPr>
          <w:rFonts w:ascii="宋体" w:hAnsi="宋体" w:eastAsia="宋体" w:cs="Times New Roman"/>
          <w:color w:val="auto"/>
          <w:sz w:val="24"/>
          <w:szCs w:val="24"/>
          <w:highlight w:val="none"/>
          <w:lang w:val="en-US" w:eastAsia="zh-CN" w:bidi="ar-SA"/>
        </w:rPr>
        <w:id w:val="147468467"/>
        <w15:color w:val="DBDBDB"/>
        <w:docPartObj>
          <w:docPartGallery w:val="Table of Contents"/>
          <w:docPartUnique/>
        </w:docPartObj>
      </w:sdtPr>
      <w:sdtEndPr>
        <w:rPr>
          <w:rFonts w:ascii="宋体" w:hAnsi="宋体" w:eastAsia="宋体" w:cs="Times New Roman"/>
          <w:b/>
          <w:bCs/>
          <w:color w:val="auto"/>
          <w:sz w:val="24"/>
          <w:szCs w:val="28"/>
          <w:highlight w:val="none"/>
          <w:lang w:val="en-US" w:eastAsia="zh-CN" w:bidi="ar-SA"/>
        </w:rPr>
      </w:sdtEndPr>
      <w:sdtContent>
        <w:p w14:paraId="25C9CB4B">
          <w:pPr>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both"/>
            <w:textAlignment w:val="auto"/>
            <w:outlineLvl w:val="9"/>
            <w:rPr>
              <w:rFonts w:ascii="Times New Roman" w:hAnsi="Times New Roman" w:eastAsia="宋体" w:cs="Times New Roman"/>
              <w:b/>
              <w:color w:val="auto"/>
              <w:sz w:val="24"/>
              <w:szCs w:val="24"/>
              <w:highlight w:val="none"/>
              <w:lang w:val="en-US" w:eastAsia="zh-CN" w:bidi="ar-SA"/>
            </w:rPr>
          </w:pPr>
          <w:r>
            <w:rPr>
              <w:rFonts w:cs="Times New Roman"/>
              <w:color w:val="auto"/>
              <w:sz w:val="24"/>
              <w:szCs w:val="24"/>
              <w:highlight w:val="none"/>
            </w:rPr>
            <w:fldChar w:fldCharType="begin"/>
          </w:r>
          <w:r>
            <w:rPr>
              <w:rFonts w:cs="Times New Roman"/>
              <w:color w:val="auto"/>
              <w:sz w:val="24"/>
              <w:szCs w:val="24"/>
              <w:highlight w:val="none"/>
            </w:rPr>
            <w:instrText xml:space="preserve">TOC \o "1-2" \h \u </w:instrText>
          </w:r>
          <w:r>
            <w:rPr>
              <w:rFonts w:cs="Times New Roman"/>
              <w:color w:val="auto"/>
              <w:sz w:val="24"/>
              <w:szCs w:val="24"/>
              <w:highlight w:val="none"/>
            </w:rPr>
            <w:fldChar w:fldCharType="separate"/>
          </w:r>
        </w:p>
        <w:p w14:paraId="439195E0">
          <w:pPr>
            <w:pStyle w:val="24"/>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36"/>
              <w:highlight w:val="none"/>
            </w:rPr>
            <w:fldChar w:fldCharType="begin"/>
          </w:r>
          <w:r>
            <w:rPr>
              <w:rFonts w:hint="eastAsia" w:ascii="宋体" w:hAnsi="宋体" w:eastAsia="宋体" w:cs="宋体"/>
              <w:sz w:val="24"/>
              <w:szCs w:val="36"/>
              <w:highlight w:val="none"/>
            </w:rPr>
            <w:instrText xml:space="preserve"> HYPERLINK \l _Toc31299 </w:instrText>
          </w:r>
          <w:r>
            <w:rPr>
              <w:rFonts w:hint="eastAsia" w:ascii="宋体" w:hAnsi="宋体" w:eastAsia="宋体" w:cs="宋体"/>
              <w:sz w:val="24"/>
              <w:szCs w:val="36"/>
              <w:highlight w:val="none"/>
            </w:rPr>
            <w:fldChar w:fldCharType="separate"/>
          </w:r>
          <w:r>
            <w:rPr>
              <w:rFonts w:hint="eastAsia" w:ascii="宋体" w:hAnsi="宋体" w:eastAsia="宋体" w:cs="宋体"/>
              <w:sz w:val="24"/>
              <w:szCs w:val="48"/>
              <w:highlight w:val="none"/>
            </w:rPr>
            <w:t>第一部分 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_Toc31299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36"/>
              <w:highlight w:val="none"/>
            </w:rPr>
            <w:fldChar w:fldCharType="end"/>
          </w:r>
        </w:p>
        <w:p w14:paraId="37E85990">
          <w:pPr>
            <w:pStyle w:val="24"/>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36"/>
              <w:highlight w:val="none"/>
            </w:rPr>
            <w:fldChar w:fldCharType="begin"/>
          </w:r>
          <w:r>
            <w:rPr>
              <w:rFonts w:hint="eastAsia" w:ascii="宋体" w:hAnsi="宋体" w:eastAsia="宋体" w:cs="宋体"/>
              <w:sz w:val="24"/>
              <w:szCs w:val="36"/>
              <w:highlight w:val="none"/>
            </w:rPr>
            <w:instrText xml:space="preserve"> HYPERLINK \l _Toc30299 </w:instrText>
          </w:r>
          <w:r>
            <w:rPr>
              <w:rFonts w:hint="eastAsia" w:ascii="宋体" w:hAnsi="宋体" w:eastAsia="宋体" w:cs="宋体"/>
              <w:sz w:val="24"/>
              <w:szCs w:val="36"/>
              <w:highlight w:val="none"/>
            </w:rPr>
            <w:fldChar w:fldCharType="separate"/>
          </w:r>
          <w:r>
            <w:rPr>
              <w:rFonts w:hint="eastAsia" w:ascii="宋体" w:hAnsi="宋体" w:eastAsia="宋体" w:cs="宋体"/>
              <w:sz w:val="24"/>
              <w:szCs w:val="48"/>
              <w:highlight w:val="none"/>
            </w:rPr>
            <w:t>第二部分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_Toc30299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36"/>
              <w:highlight w:val="none"/>
            </w:rPr>
            <w:fldChar w:fldCharType="end"/>
          </w:r>
        </w:p>
        <w:p w14:paraId="77929E02">
          <w:pPr>
            <w:pStyle w:val="17"/>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36"/>
              <w:highlight w:val="none"/>
            </w:rPr>
            <w:fldChar w:fldCharType="begin"/>
          </w:r>
          <w:r>
            <w:rPr>
              <w:rFonts w:hint="eastAsia" w:ascii="宋体" w:hAnsi="宋体" w:eastAsia="宋体" w:cs="宋体"/>
              <w:sz w:val="24"/>
              <w:szCs w:val="36"/>
              <w:highlight w:val="none"/>
            </w:rPr>
            <w:instrText xml:space="preserve"> HYPERLINK \l _Toc26061 </w:instrText>
          </w:r>
          <w:r>
            <w:rPr>
              <w:rFonts w:hint="eastAsia" w:ascii="宋体" w:hAnsi="宋体" w:eastAsia="宋体" w:cs="宋体"/>
              <w:sz w:val="24"/>
              <w:szCs w:val="36"/>
              <w:highlight w:val="none"/>
            </w:rPr>
            <w:fldChar w:fldCharType="separate"/>
          </w:r>
          <w:r>
            <w:rPr>
              <w:rFonts w:hint="eastAsia" w:ascii="宋体" w:hAnsi="宋体" w:eastAsia="宋体" w:cs="宋体"/>
              <w:sz w:val="24"/>
              <w:szCs w:val="24"/>
              <w:highlight w:val="none"/>
            </w:rPr>
            <w:t>一、 总则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_Toc26061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36"/>
              <w:highlight w:val="none"/>
            </w:rPr>
            <w:fldChar w:fldCharType="end"/>
          </w:r>
        </w:p>
        <w:p w14:paraId="401B1ED3">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36"/>
              <w:highlight w:val="none"/>
            </w:rPr>
            <w:fldChar w:fldCharType="begin"/>
          </w:r>
          <w:r>
            <w:rPr>
              <w:rFonts w:hint="eastAsia" w:ascii="宋体" w:hAnsi="宋体" w:eastAsia="宋体" w:cs="宋体"/>
              <w:sz w:val="24"/>
              <w:szCs w:val="36"/>
              <w:highlight w:val="none"/>
            </w:rPr>
            <w:instrText xml:space="preserve"> HYPERLINK \l _Toc26121 </w:instrText>
          </w:r>
          <w:r>
            <w:rPr>
              <w:rFonts w:hint="eastAsia" w:ascii="宋体" w:hAnsi="宋体" w:eastAsia="宋体" w:cs="宋体"/>
              <w:sz w:val="24"/>
              <w:szCs w:val="36"/>
              <w:highlight w:val="none"/>
            </w:rPr>
            <w:fldChar w:fldCharType="separate"/>
          </w:r>
          <w:r>
            <w:rPr>
              <w:rFonts w:hint="eastAsia" w:ascii="宋体" w:hAnsi="宋体" w:eastAsia="宋体" w:cs="宋体"/>
              <w:sz w:val="24"/>
              <w:szCs w:val="24"/>
              <w:highlight w:val="none"/>
            </w:rPr>
            <w:t>二、 竞争性磋商文件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_Toc26121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36"/>
              <w:highlight w:val="none"/>
            </w:rPr>
            <w:fldChar w:fldCharType="end"/>
          </w:r>
        </w:p>
        <w:p w14:paraId="7234ADB1">
          <w:pPr>
            <w:pStyle w:val="17"/>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36"/>
              <w:highlight w:val="none"/>
            </w:rPr>
            <w:fldChar w:fldCharType="begin"/>
          </w:r>
          <w:r>
            <w:rPr>
              <w:rFonts w:hint="eastAsia" w:ascii="宋体" w:hAnsi="宋体" w:eastAsia="宋体" w:cs="宋体"/>
              <w:sz w:val="24"/>
              <w:szCs w:val="36"/>
              <w:highlight w:val="none"/>
            </w:rPr>
            <w:instrText xml:space="preserve"> HYPERLINK \l _Toc6096 </w:instrText>
          </w:r>
          <w:r>
            <w:rPr>
              <w:rFonts w:hint="eastAsia" w:ascii="宋体" w:hAnsi="宋体" w:eastAsia="宋体" w:cs="宋体"/>
              <w:sz w:val="24"/>
              <w:szCs w:val="36"/>
              <w:highlight w:val="none"/>
            </w:rPr>
            <w:fldChar w:fldCharType="separate"/>
          </w:r>
          <w:r>
            <w:rPr>
              <w:rFonts w:hint="eastAsia" w:ascii="宋体" w:hAnsi="宋体" w:eastAsia="宋体" w:cs="宋体"/>
              <w:sz w:val="24"/>
              <w:szCs w:val="24"/>
              <w:highlight w:val="none"/>
            </w:rPr>
            <w:t>三、 竞争性磋商响应文件的编写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_Toc6096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36"/>
              <w:highlight w:val="none"/>
            </w:rPr>
            <w:fldChar w:fldCharType="end"/>
          </w:r>
        </w:p>
        <w:p w14:paraId="391C9531">
          <w:pPr>
            <w:pStyle w:val="17"/>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36"/>
              <w:highlight w:val="none"/>
            </w:rPr>
            <w:fldChar w:fldCharType="begin"/>
          </w:r>
          <w:r>
            <w:rPr>
              <w:rFonts w:hint="eastAsia" w:ascii="宋体" w:hAnsi="宋体" w:eastAsia="宋体" w:cs="宋体"/>
              <w:sz w:val="24"/>
              <w:szCs w:val="36"/>
              <w:highlight w:val="none"/>
            </w:rPr>
            <w:instrText xml:space="preserve"> HYPERLINK \l _Toc20602 </w:instrText>
          </w:r>
          <w:r>
            <w:rPr>
              <w:rFonts w:hint="eastAsia" w:ascii="宋体" w:hAnsi="宋体" w:eastAsia="宋体" w:cs="宋体"/>
              <w:sz w:val="24"/>
              <w:szCs w:val="36"/>
              <w:highlight w:val="none"/>
            </w:rPr>
            <w:fldChar w:fldCharType="separate"/>
          </w:r>
          <w:r>
            <w:rPr>
              <w:rFonts w:hint="eastAsia" w:ascii="宋体" w:hAnsi="宋体" w:eastAsia="宋体" w:cs="宋体"/>
              <w:sz w:val="24"/>
              <w:szCs w:val="24"/>
              <w:highlight w:val="none"/>
            </w:rPr>
            <w:t>四、 响应文件的递交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_Toc20602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36"/>
              <w:highlight w:val="none"/>
            </w:rPr>
            <w:fldChar w:fldCharType="end"/>
          </w:r>
        </w:p>
        <w:p w14:paraId="6FA705C3">
          <w:pPr>
            <w:pStyle w:val="17"/>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36"/>
              <w:highlight w:val="none"/>
            </w:rPr>
            <w:fldChar w:fldCharType="begin"/>
          </w:r>
          <w:r>
            <w:rPr>
              <w:rFonts w:hint="eastAsia" w:ascii="宋体" w:hAnsi="宋体" w:eastAsia="宋体" w:cs="宋体"/>
              <w:sz w:val="24"/>
              <w:szCs w:val="36"/>
              <w:highlight w:val="none"/>
            </w:rPr>
            <w:instrText xml:space="preserve"> HYPERLINK \l _Toc19499 </w:instrText>
          </w:r>
          <w:r>
            <w:rPr>
              <w:rFonts w:hint="eastAsia" w:ascii="宋体" w:hAnsi="宋体" w:eastAsia="宋体" w:cs="宋体"/>
              <w:sz w:val="24"/>
              <w:szCs w:val="36"/>
              <w:highlight w:val="none"/>
            </w:rPr>
            <w:fldChar w:fldCharType="separate"/>
          </w:r>
          <w:r>
            <w:rPr>
              <w:rFonts w:hint="eastAsia" w:ascii="宋体" w:hAnsi="宋体" w:eastAsia="宋体" w:cs="宋体"/>
              <w:sz w:val="24"/>
              <w:szCs w:val="24"/>
              <w:highlight w:val="none"/>
            </w:rPr>
            <w:t>五、 磋商无效的情形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_Toc19499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36"/>
              <w:highlight w:val="none"/>
            </w:rPr>
            <w:fldChar w:fldCharType="end"/>
          </w:r>
        </w:p>
        <w:p w14:paraId="4BE5FA03">
          <w:pPr>
            <w:pStyle w:val="17"/>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36"/>
              <w:highlight w:val="none"/>
            </w:rPr>
            <w:fldChar w:fldCharType="begin"/>
          </w:r>
          <w:r>
            <w:rPr>
              <w:rFonts w:hint="eastAsia" w:ascii="宋体" w:hAnsi="宋体" w:eastAsia="宋体" w:cs="宋体"/>
              <w:sz w:val="24"/>
              <w:szCs w:val="36"/>
              <w:highlight w:val="none"/>
            </w:rPr>
            <w:instrText xml:space="preserve"> HYPERLINK \l _Toc30971 </w:instrText>
          </w:r>
          <w:r>
            <w:rPr>
              <w:rFonts w:hint="eastAsia" w:ascii="宋体" w:hAnsi="宋体" w:eastAsia="宋体" w:cs="宋体"/>
              <w:sz w:val="24"/>
              <w:szCs w:val="36"/>
              <w:highlight w:val="none"/>
            </w:rPr>
            <w:fldChar w:fldCharType="separate"/>
          </w:r>
          <w:r>
            <w:rPr>
              <w:rFonts w:hint="eastAsia" w:ascii="宋体" w:hAnsi="宋体" w:eastAsia="宋体" w:cs="宋体"/>
              <w:sz w:val="24"/>
              <w:szCs w:val="24"/>
              <w:highlight w:val="none"/>
            </w:rPr>
            <w:t>六、 采购中止的情形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_Toc30971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36"/>
              <w:highlight w:val="none"/>
            </w:rPr>
            <w:fldChar w:fldCharType="end"/>
          </w:r>
        </w:p>
        <w:p w14:paraId="01F41DB4">
          <w:pPr>
            <w:pStyle w:val="17"/>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36"/>
              <w:highlight w:val="none"/>
            </w:rPr>
            <w:fldChar w:fldCharType="begin"/>
          </w:r>
          <w:r>
            <w:rPr>
              <w:rFonts w:hint="eastAsia" w:ascii="宋体" w:hAnsi="宋体" w:eastAsia="宋体" w:cs="宋体"/>
              <w:sz w:val="24"/>
              <w:szCs w:val="36"/>
              <w:highlight w:val="none"/>
            </w:rPr>
            <w:instrText xml:space="preserve"> HYPERLINK \l _Toc8214 </w:instrText>
          </w:r>
          <w:r>
            <w:rPr>
              <w:rFonts w:hint="eastAsia" w:ascii="宋体" w:hAnsi="宋体" w:eastAsia="宋体" w:cs="宋体"/>
              <w:sz w:val="24"/>
              <w:szCs w:val="36"/>
              <w:highlight w:val="none"/>
            </w:rPr>
            <w:fldChar w:fldCharType="separate"/>
          </w:r>
          <w:r>
            <w:rPr>
              <w:rFonts w:hint="eastAsia" w:ascii="宋体" w:hAnsi="宋体" w:eastAsia="宋体" w:cs="宋体"/>
              <w:sz w:val="24"/>
              <w:szCs w:val="24"/>
              <w:highlight w:val="none"/>
            </w:rPr>
            <w:t>七、 确定成交供应商与签订合同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_Toc8214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36"/>
              <w:highlight w:val="none"/>
            </w:rPr>
            <w:fldChar w:fldCharType="end"/>
          </w:r>
        </w:p>
        <w:p w14:paraId="4D725325">
          <w:pPr>
            <w:pStyle w:val="24"/>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36"/>
              <w:highlight w:val="none"/>
            </w:rPr>
            <w:fldChar w:fldCharType="begin"/>
          </w:r>
          <w:r>
            <w:rPr>
              <w:rFonts w:hint="eastAsia" w:ascii="宋体" w:hAnsi="宋体" w:eastAsia="宋体" w:cs="宋体"/>
              <w:sz w:val="24"/>
              <w:szCs w:val="36"/>
              <w:highlight w:val="none"/>
            </w:rPr>
            <w:instrText xml:space="preserve"> HYPERLINK \l _Toc14993 </w:instrText>
          </w:r>
          <w:r>
            <w:rPr>
              <w:rFonts w:hint="eastAsia" w:ascii="宋体" w:hAnsi="宋体" w:eastAsia="宋体" w:cs="宋体"/>
              <w:sz w:val="24"/>
              <w:szCs w:val="36"/>
              <w:highlight w:val="none"/>
            </w:rPr>
            <w:fldChar w:fldCharType="separate"/>
          </w:r>
          <w:r>
            <w:rPr>
              <w:rFonts w:hint="eastAsia" w:ascii="宋体" w:hAnsi="宋体" w:eastAsia="宋体" w:cs="宋体"/>
              <w:sz w:val="24"/>
              <w:szCs w:val="48"/>
              <w:highlight w:val="none"/>
            </w:rPr>
            <w:t xml:space="preserve">第三部分 </w:t>
          </w:r>
          <w:r>
            <w:rPr>
              <w:rFonts w:hint="eastAsia" w:ascii="宋体" w:hAnsi="宋体" w:eastAsia="宋体" w:cs="宋体"/>
              <w:sz w:val="24"/>
              <w:szCs w:val="48"/>
              <w:highlight w:val="none"/>
              <w:lang w:val="en-US" w:eastAsia="zh-CN"/>
            </w:rPr>
            <w:t>采购内容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_Toc14993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36"/>
              <w:highlight w:val="none"/>
            </w:rPr>
            <w:fldChar w:fldCharType="end"/>
          </w:r>
        </w:p>
        <w:p w14:paraId="51203C5A">
          <w:pPr>
            <w:pStyle w:val="24"/>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36"/>
              <w:highlight w:val="none"/>
            </w:rPr>
            <w:fldChar w:fldCharType="begin"/>
          </w:r>
          <w:r>
            <w:rPr>
              <w:rFonts w:hint="eastAsia" w:ascii="宋体" w:hAnsi="宋体" w:eastAsia="宋体" w:cs="宋体"/>
              <w:sz w:val="24"/>
              <w:szCs w:val="36"/>
              <w:highlight w:val="none"/>
            </w:rPr>
            <w:instrText xml:space="preserve"> HYPERLINK \l _Toc17089 </w:instrText>
          </w:r>
          <w:r>
            <w:rPr>
              <w:rFonts w:hint="eastAsia" w:ascii="宋体" w:hAnsi="宋体" w:eastAsia="宋体" w:cs="宋体"/>
              <w:sz w:val="24"/>
              <w:szCs w:val="36"/>
              <w:highlight w:val="none"/>
            </w:rPr>
            <w:fldChar w:fldCharType="separate"/>
          </w:r>
          <w:r>
            <w:rPr>
              <w:rFonts w:hint="eastAsia" w:ascii="宋体" w:hAnsi="宋体" w:eastAsia="宋体" w:cs="宋体"/>
              <w:sz w:val="24"/>
              <w:szCs w:val="48"/>
              <w:highlight w:val="none"/>
            </w:rPr>
            <w:t>第四部分 磋商原则及磋商方法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_Toc17089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36"/>
              <w:highlight w:val="none"/>
            </w:rPr>
            <w:fldChar w:fldCharType="end"/>
          </w:r>
        </w:p>
        <w:p w14:paraId="64E5BFB4">
          <w:pPr>
            <w:pStyle w:val="17"/>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36"/>
              <w:highlight w:val="none"/>
            </w:rPr>
            <w:fldChar w:fldCharType="begin"/>
          </w:r>
          <w:r>
            <w:rPr>
              <w:rFonts w:hint="eastAsia" w:ascii="宋体" w:hAnsi="宋体" w:eastAsia="宋体" w:cs="宋体"/>
              <w:sz w:val="24"/>
              <w:szCs w:val="36"/>
              <w:highlight w:val="none"/>
            </w:rPr>
            <w:instrText xml:space="preserve"> HYPERLINK \l _Toc27567 </w:instrText>
          </w:r>
          <w:r>
            <w:rPr>
              <w:rFonts w:hint="eastAsia" w:ascii="宋体" w:hAnsi="宋体" w:eastAsia="宋体" w:cs="宋体"/>
              <w:sz w:val="24"/>
              <w:szCs w:val="36"/>
              <w:highlight w:val="none"/>
            </w:rPr>
            <w:fldChar w:fldCharType="separate"/>
          </w:r>
          <w:r>
            <w:rPr>
              <w:rFonts w:hint="eastAsia" w:ascii="宋体" w:hAnsi="宋体" w:eastAsia="宋体" w:cs="宋体"/>
              <w:sz w:val="24"/>
              <w:szCs w:val="24"/>
              <w:highlight w:val="none"/>
            </w:rPr>
            <w:t>一、 磋商原则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_Toc27567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36"/>
              <w:highlight w:val="none"/>
            </w:rPr>
            <w:fldChar w:fldCharType="end"/>
          </w:r>
        </w:p>
        <w:p w14:paraId="33C9F1F9">
          <w:pPr>
            <w:pStyle w:val="17"/>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36"/>
              <w:highlight w:val="none"/>
            </w:rPr>
            <w:fldChar w:fldCharType="begin"/>
          </w:r>
          <w:r>
            <w:rPr>
              <w:rFonts w:hint="eastAsia" w:ascii="宋体" w:hAnsi="宋体" w:eastAsia="宋体" w:cs="宋体"/>
              <w:sz w:val="24"/>
              <w:szCs w:val="36"/>
              <w:highlight w:val="none"/>
            </w:rPr>
            <w:instrText xml:space="preserve"> HYPERLINK \l _Toc15338 </w:instrText>
          </w:r>
          <w:r>
            <w:rPr>
              <w:rFonts w:hint="eastAsia" w:ascii="宋体" w:hAnsi="宋体" w:eastAsia="宋体" w:cs="宋体"/>
              <w:sz w:val="24"/>
              <w:szCs w:val="36"/>
              <w:highlight w:val="none"/>
            </w:rPr>
            <w:fldChar w:fldCharType="separate"/>
          </w:r>
          <w:r>
            <w:rPr>
              <w:rFonts w:hint="eastAsia" w:ascii="宋体" w:hAnsi="宋体" w:eastAsia="宋体" w:cs="宋体"/>
              <w:sz w:val="24"/>
              <w:szCs w:val="24"/>
              <w:highlight w:val="none"/>
            </w:rPr>
            <w:t>二、 磋商程序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_Toc15338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36"/>
              <w:highlight w:val="none"/>
            </w:rPr>
            <w:fldChar w:fldCharType="end"/>
          </w:r>
        </w:p>
        <w:p w14:paraId="0C578D0F">
          <w:pPr>
            <w:pStyle w:val="17"/>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36"/>
              <w:highlight w:val="none"/>
            </w:rPr>
            <w:fldChar w:fldCharType="begin"/>
          </w:r>
          <w:r>
            <w:rPr>
              <w:rFonts w:hint="eastAsia" w:ascii="宋体" w:hAnsi="宋体" w:eastAsia="宋体" w:cs="宋体"/>
              <w:sz w:val="24"/>
              <w:szCs w:val="36"/>
              <w:highlight w:val="none"/>
            </w:rPr>
            <w:instrText xml:space="preserve"> HYPERLINK \l _Toc25946 </w:instrText>
          </w:r>
          <w:r>
            <w:rPr>
              <w:rFonts w:hint="eastAsia" w:ascii="宋体" w:hAnsi="宋体" w:eastAsia="宋体" w:cs="宋体"/>
              <w:sz w:val="24"/>
              <w:szCs w:val="36"/>
              <w:highlight w:val="none"/>
            </w:rPr>
            <w:fldChar w:fldCharType="separate"/>
          </w:r>
          <w:r>
            <w:rPr>
              <w:rFonts w:hint="eastAsia" w:ascii="宋体" w:hAnsi="宋体" w:eastAsia="宋体" w:cs="宋体"/>
              <w:sz w:val="24"/>
              <w:szCs w:val="24"/>
              <w:highlight w:val="none"/>
            </w:rPr>
            <w:t>三、 注意事项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_Toc25946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36"/>
              <w:highlight w:val="none"/>
            </w:rPr>
            <w:fldChar w:fldCharType="end"/>
          </w:r>
        </w:p>
        <w:p w14:paraId="22892C8C">
          <w:pPr>
            <w:pStyle w:val="17"/>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36"/>
              <w:highlight w:val="none"/>
            </w:rPr>
            <w:fldChar w:fldCharType="begin"/>
          </w:r>
          <w:r>
            <w:rPr>
              <w:rFonts w:hint="eastAsia" w:ascii="宋体" w:hAnsi="宋体" w:eastAsia="宋体" w:cs="宋体"/>
              <w:sz w:val="24"/>
              <w:szCs w:val="36"/>
              <w:highlight w:val="none"/>
            </w:rPr>
            <w:instrText xml:space="preserve"> HYPERLINK \l _Toc26903 </w:instrText>
          </w:r>
          <w:r>
            <w:rPr>
              <w:rFonts w:hint="eastAsia" w:ascii="宋体" w:hAnsi="宋体" w:eastAsia="宋体" w:cs="宋体"/>
              <w:sz w:val="24"/>
              <w:szCs w:val="36"/>
              <w:highlight w:val="none"/>
            </w:rPr>
            <w:fldChar w:fldCharType="separate"/>
          </w:r>
          <w:r>
            <w:rPr>
              <w:rFonts w:hint="eastAsia" w:ascii="宋体" w:hAnsi="宋体" w:eastAsia="宋体" w:cs="宋体"/>
              <w:sz w:val="24"/>
              <w:szCs w:val="24"/>
              <w:highlight w:val="none"/>
            </w:rPr>
            <w:t>四、 评分细则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_Toc26903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36"/>
              <w:highlight w:val="none"/>
            </w:rPr>
            <w:fldChar w:fldCharType="end"/>
          </w:r>
        </w:p>
        <w:p w14:paraId="24B7B7B2">
          <w:pPr>
            <w:pStyle w:val="24"/>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36"/>
              <w:highlight w:val="none"/>
            </w:rPr>
            <w:fldChar w:fldCharType="begin"/>
          </w:r>
          <w:r>
            <w:rPr>
              <w:rFonts w:hint="eastAsia" w:ascii="宋体" w:hAnsi="宋体" w:eastAsia="宋体" w:cs="宋体"/>
              <w:sz w:val="24"/>
              <w:szCs w:val="36"/>
              <w:highlight w:val="none"/>
            </w:rPr>
            <w:instrText xml:space="preserve"> HYPERLINK \l _Toc6866 </w:instrText>
          </w:r>
          <w:r>
            <w:rPr>
              <w:rFonts w:hint="eastAsia" w:ascii="宋体" w:hAnsi="宋体" w:eastAsia="宋体" w:cs="宋体"/>
              <w:sz w:val="24"/>
              <w:szCs w:val="36"/>
              <w:highlight w:val="none"/>
            </w:rPr>
            <w:fldChar w:fldCharType="separate"/>
          </w:r>
          <w:r>
            <w:rPr>
              <w:rFonts w:hint="eastAsia" w:ascii="宋体" w:hAnsi="宋体" w:eastAsia="宋体" w:cs="宋体"/>
              <w:sz w:val="24"/>
              <w:szCs w:val="48"/>
              <w:highlight w:val="none"/>
            </w:rPr>
            <w:t>第五部分 采购合同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_Toc6866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36"/>
              <w:highlight w:val="none"/>
            </w:rPr>
            <w:fldChar w:fldCharType="end"/>
          </w:r>
        </w:p>
        <w:p w14:paraId="054A5998">
          <w:pPr>
            <w:pStyle w:val="24"/>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36"/>
              <w:highlight w:val="none"/>
            </w:rPr>
            <w:fldChar w:fldCharType="begin"/>
          </w:r>
          <w:r>
            <w:rPr>
              <w:rFonts w:hint="eastAsia" w:ascii="宋体" w:hAnsi="宋体" w:eastAsia="宋体" w:cs="宋体"/>
              <w:sz w:val="24"/>
              <w:szCs w:val="36"/>
              <w:highlight w:val="none"/>
            </w:rPr>
            <w:instrText xml:space="preserve"> HYPERLINK \l _Toc32017 </w:instrText>
          </w:r>
          <w:r>
            <w:rPr>
              <w:rFonts w:hint="eastAsia" w:ascii="宋体" w:hAnsi="宋体" w:eastAsia="宋体" w:cs="宋体"/>
              <w:sz w:val="24"/>
              <w:szCs w:val="36"/>
              <w:highlight w:val="none"/>
            </w:rPr>
            <w:fldChar w:fldCharType="separate"/>
          </w:r>
          <w:r>
            <w:rPr>
              <w:rFonts w:hint="eastAsia" w:ascii="宋体" w:hAnsi="宋体" w:eastAsia="宋体" w:cs="宋体"/>
              <w:sz w:val="24"/>
              <w:szCs w:val="48"/>
              <w:highlight w:val="none"/>
            </w:rPr>
            <w:t>第六部分 应提交的有关格式范例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_Toc32017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38</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36"/>
              <w:highlight w:val="none"/>
            </w:rPr>
            <w:fldChar w:fldCharType="end"/>
          </w:r>
        </w:p>
        <w:p w14:paraId="4246F1C9">
          <w:pPr>
            <w:pStyle w:val="9"/>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outlineLvl w:val="9"/>
            <w:rPr>
              <w:rFonts w:cs="Times New Roman"/>
              <w:color w:val="auto"/>
              <w:highlight w:val="none"/>
            </w:rPr>
          </w:pPr>
          <w:r>
            <w:rPr>
              <w:rFonts w:cs="Times New Roman"/>
              <w:b/>
              <w:color w:val="auto"/>
              <w:sz w:val="24"/>
              <w:szCs w:val="24"/>
              <w:highlight w:val="none"/>
            </w:rPr>
            <w:fldChar w:fldCharType="end"/>
          </w:r>
        </w:p>
      </w:sdtContent>
    </w:sdt>
    <w:p w14:paraId="30D069E6">
      <w:pPr>
        <w:keepLines w:val="0"/>
        <w:pageBreakBefore w:val="0"/>
        <w:kinsoku/>
        <w:wordWrap/>
        <w:overflowPunct/>
        <w:topLinePunct w:val="0"/>
        <w:autoSpaceDE/>
        <w:autoSpaceDN/>
        <w:bidi w:val="0"/>
        <w:adjustRightInd/>
        <w:snapToGrid/>
        <w:spacing w:line="360" w:lineRule="auto"/>
        <w:textAlignment w:val="auto"/>
        <w:rPr>
          <w:color w:val="auto"/>
          <w:highlight w:val="none"/>
        </w:rPr>
      </w:pPr>
    </w:p>
    <w:p w14:paraId="474561F6">
      <w:pPr>
        <w:keepLines w:val="0"/>
        <w:pageBreakBefore w:val="0"/>
        <w:kinsoku/>
        <w:wordWrap/>
        <w:overflowPunct/>
        <w:topLinePunct w:val="0"/>
        <w:autoSpaceDE/>
        <w:autoSpaceDN/>
        <w:bidi w:val="0"/>
        <w:adjustRightInd/>
        <w:snapToGrid/>
        <w:spacing w:line="360" w:lineRule="auto"/>
        <w:textAlignment w:val="auto"/>
        <w:rPr>
          <w:color w:val="auto"/>
          <w:highlight w:val="none"/>
        </w:rPr>
      </w:pPr>
    </w:p>
    <w:p w14:paraId="46670414">
      <w:pPr>
        <w:keepLines w:val="0"/>
        <w:pageBreakBefore w:val="0"/>
        <w:kinsoku/>
        <w:wordWrap/>
        <w:overflowPunct/>
        <w:topLinePunct w:val="0"/>
        <w:autoSpaceDE/>
        <w:autoSpaceDN/>
        <w:bidi w:val="0"/>
        <w:adjustRightInd/>
        <w:snapToGrid/>
        <w:spacing w:line="360" w:lineRule="auto"/>
        <w:textAlignment w:val="auto"/>
        <w:rPr>
          <w:color w:val="auto"/>
          <w:highlight w:val="none"/>
        </w:rPr>
      </w:pPr>
    </w:p>
    <w:p w14:paraId="4AF822E1">
      <w:pPr>
        <w:tabs>
          <w:tab w:val="left" w:pos="3148"/>
        </w:tabs>
        <w:jc w:val="both"/>
        <w:rPr>
          <w:color w:val="auto"/>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08B5E147">
      <w:pPr>
        <w:pStyle w:val="8"/>
        <w:jc w:val="center"/>
        <w:rPr>
          <w:rFonts w:ascii="宋体" w:cs="Times New Roman"/>
          <w:color w:val="auto"/>
          <w:highlight w:val="none"/>
        </w:rPr>
      </w:pPr>
      <w:bookmarkStart w:id="1" w:name="_Toc31034"/>
      <w:bookmarkStart w:id="2" w:name="_Toc31299"/>
      <w:bookmarkStart w:id="3" w:name="_Toc32199"/>
      <w:bookmarkStart w:id="4" w:name="_Toc13178"/>
      <w:bookmarkStart w:id="5" w:name="第二部分"/>
      <w:bookmarkStart w:id="6" w:name="_Toc91899870"/>
      <w:r>
        <w:rPr>
          <w:rFonts w:hint="eastAsia" w:cs="宋体"/>
          <w:color w:val="auto"/>
          <w:sz w:val="36"/>
          <w:szCs w:val="36"/>
          <w:highlight w:val="none"/>
        </w:rPr>
        <w:t>第一部分</w:t>
      </w:r>
      <w:r>
        <w:rPr>
          <w:color w:val="auto"/>
          <w:sz w:val="36"/>
          <w:szCs w:val="36"/>
          <w:highlight w:val="none"/>
        </w:rPr>
        <w:t xml:space="preserve"> </w:t>
      </w:r>
      <w:r>
        <w:rPr>
          <w:rFonts w:hint="eastAsia" w:cs="宋体"/>
          <w:color w:val="auto"/>
          <w:sz w:val="36"/>
          <w:szCs w:val="36"/>
          <w:highlight w:val="none"/>
        </w:rPr>
        <w:t>磋商公告</w:t>
      </w:r>
      <w:bookmarkEnd w:id="1"/>
      <w:bookmarkEnd w:id="2"/>
      <w:bookmarkEnd w:id="3"/>
      <w:bookmarkEnd w:id="4"/>
    </w:p>
    <w:p w14:paraId="4F6748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浙江天平项目咨询有限公司关于</w:t>
      </w:r>
      <w:r>
        <w:rPr>
          <w:rFonts w:hint="eastAsia" w:ascii="宋体" w:hAnsi="宋体" w:cs="宋体"/>
          <w:b/>
          <w:bCs/>
          <w:sz w:val="24"/>
          <w:szCs w:val="24"/>
          <w:highlight w:val="none"/>
          <w:lang w:eastAsia="zh-CN"/>
        </w:rPr>
        <w:t>绍兴市上虞区百官街道办事处百官街道文化站、志愿社会工作服务站、乐龄中心、助联体、老年大学等场所运行服务</w:t>
      </w:r>
      <w:r>
        <w:rPr>
          <w:rFonts w:hint="eastAsia" w:ascii="宋体" w:hAnsi="宋体" w:eastAsia="宋体" w:cs="宋体"/>
          <w:b/>
          <w:bCs/>
          <w:sz w:val="24"/>
          <w:szCs w:val="24"/>
          <w:highlight w:val="none"/>
          <w:lang w:eastAsia="zh-CN"/>
        </w:rPr>
        <w:t>的竞争</w:t>
      </w:r>
      <w:r>
        <w:rPr>
          <w:rFonts w:hint="eastAsia" w:ascii="宋体" w:hAnsi="宋体" w:eastAsia="宋体" w:cs="宋体"/>
          <w:b/>
          <w:bCs/>
          <w:sz w:val="24"/>
          <w:szCs w:val="24"/>
          <w:highlight w:val="none"/>
        </w:rPr>
        <w:t>性磋商公告</w:t>
      </w:r>
    </w:p>
    <w:p w14:paraId="6BE72434">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公告日期：</w:t>
      </w:r>
      <w:r>
        <w:rPr>
          <w:rFonts w:ascii="宋体" w:hAnsi="宋体" w:cs="宋体"/>
          <w:color w:val="auto"/>
          <w:sz w:val="28"/>
          <w:szCs w:val="28"/>
          <w:highlight w:val="none"/>
        </w:rPr>
        <w:t>20</w:t>
      </w: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01</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24</w:t>
      </w:r>
      <w:r>
        <w:rPr>
          <w:rFonts w:hint="eastAsia" w:ascii="宋体" w:hAnsi="宋体" w:cs="宋体"/>
          <w:color w:val="auto"/>
          <w:sz w:val="28"/>
          <w:szCs w:val="28"/>
          <w:highlight w:val="none"/>
        </w:rPr>
        <w:t>日</w:t>
      </w:r>
    </w:p>
    <w:p w14:paraId="1EDD8459">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lang w:eastAsia="zh-CN"/>
        </w:rPr>
        <w:t>浙江天平项目咨询有限公司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lang w:eastAsia="zh-CN"/>
        </w:rPr>
        <w:t>绍兴市上虞区百官街道办事处</w:t>
      </w:r>
      <w:r>
        <w:rPr>
          <w:rFonts w:hint="eastAsia" w:ascii="宋体" w:hAnsi="宋体" w:cs="宋体"/>
          <w:color w:val="auto"/>
          <w:sz w:val="24"/>
          <w:szCs w:val="24"/>
          <w:highlight w:val="none"/>
        </w:rPr>
        <w:t>委托，现就</w:t>
      </w:r>
      <w:r>
        <w:rPr>
          <w:rFonts w:hint="eastAsia" w:ascii="宋体" w:hAnsi="宋体" w:cs="宋体"/>
          <w:color w:val="auto"/>
          <w:sz w:val="24"/>
          <w:szCs w:val="24"/>
          <w:highlight w:val="none"/>
          <w:u w:val="single"/>
          <w:lang w:eastAsia="zh-CN"/>
        </w:rPr>
        <w:t>百官街道文化站、志愿社会工作服务站、乐龄中心、助联体、老年大学等场所运行服务</w:t>
      </w:r>
      <w:r>
        <w:rPr>
          <w:rFonts w:hint="eastAsia" w:ascii="宋体" w:hAnsi="宋体" w:cs="宋体"/>
          <w:color w:val="auto"/>
          <w:sz w:val="24"/>
          <w:szCs w:val="24"/>
          <w:highlight w:val="none"/>
        </w:rPr>
        <w:t>进行竞争性磋商采购，欢迎国内合格的供应商参加本次采购活动。</w:t>
      </w:r>
    </w:p>
    <w:p w14:paraId="7A366153">
      <w:pPr>
        <w:numPr>
          <w:ilvl w:val="0"/>
          <w:numId w:val="4"/>
        </w:numPr>
        <w:adjustRightInd w:val="0"/>
        <w:spacing w:line="360" w:lineRule="auto"/>
        <w:ind w:firstLine="480" w:firstLineChars="200"/>
        <w:outlineLvl w:val="1"/>
        <w:rPr>
          <w:rFonts w:hint="eastAsia" w:ascii="宋体"/>
          <w:color w:val="auto"/>
          <w:sz w:val="24"/>
          <w:szCs w:val="24"/>
          <w:highlight w:val="none"/>
          <w:u w:val="single"/>
        </w:rPr>
      </w:pPr>
      <w:bookmarkStart w:id="7" w:name="_Toc13882"/>
      <w:bookmarkStart w:id="8" w:name="_Toc1976"/>
      <w:bookmarkStart w:id="9" w:name="_Toc1362"/>
      <w:r>
        <w:rPr>
          <w:rFonts w:hint="eastAsia" w:ascii="宋体" w:hAnsi="宋体" w:cs="宋体"/>
          <w:color w:val="auto"/>
          <w:sz w:val="24"/>
          <w:szCs w:val="24"/>
          <w:highlight w:val="none"/>
        </w:rPr>
        <w:t>磋商项目编号：</w:t>
      </w:r>
      <w:bookmarkEnd w:id="7"/>
      <w:bookmarkEnd w:id="8"/>
      <w:bookmarkEnd w:id="9"/>
      <w:r>
        <w:rPr>
          <w:rFonts w:hint="eastAsia" w:ascii="宋体" w:hAnsi="宋体" w:cs="宋体"/>
          <w:color w:val="auto"/>
          <w:sz w:val="24"/>
          <w:szCs w:val="24"/>
          <w:highlight w:val="none"/>
          <w:u w:val="single"/>
          <w:lang w:eastAsia="zh-CN"/>
        </w:rPr>
        <w:t>TPZC2024-016</w:t>
      </w:r>
      <w:r>
        <w:rPr>
          <w:rFonts w:hint="eastAsia" w:ascii="宋体" w:hAnsi="宋体" w:cs="宋体"/>
          <w:color w:val="auto"/>
          <w:sz w:val="24"/>
          <w:szCs w:val="24"/>
          <w:highlight w:val="none"/>
          <w:u w:val="single"/>
          <w:lang w:val="en-US" w:eastAsia="zh-CN"/>
        </w:rPr>
        <w:t xml:space="preserve"> </w:t>
      </w:r>
    </w:p>
    <w:p w14:paraId="282BE639">
      <w:pPr>
        <w:numPr>
          <w:ilvl w:val="0"/>
          <w:numId w:val="4"/>
        </w:numPr>
        <w:adjustRightInd w:val="0"/>
        <w:spacing w:line="360" w:lineRule="auto"/>
        <w:ind w:firstLine="480" w:firstLineChars="200"/>
        <w:outlineLvl w:val="1"/>
        <w:rPr>
          <w:rFonts w:ascii="宋体"/>
          <w:color w:val="auto"/>
          <w:sz w:val="24"/>
          <w:szCs w:val="24"/>
          <w:highlight w:val="none"/>
        </w:rPr>
      </w:pPr>
      <w:bookmarkStart w:id="10" w:name="_Toc7215"/>
      <w:r>
        <w:rPr>
          <w:rFonts w:hint="eastAsia" w:ascii="宋体" w:hAnsi="宋体" w:cs="宋体"/>
          <w:color w:val="auto"/>
          <w:sz w:val="24"/>
          <w:szCs w:val="24"/>
          <w:highlight w:val="none"/>
        </w:rPr>
        <w:t>采购组织类型：</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分散采购（中介代理）</w:t>
      </w:r>
      <w:bookmarkEnd w:id="10"/>
    </w:p>
    <w:p w14:paraId="3BA8381E">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磋商项目概况</w:t>
      </w:r>
      <w:r>
        <w:rPr>
          <w:rFonts w:ascii="宋体" w:hAnsi="宋体" w:cs="宋体"/>
          <w:color w:val="auto"/>
          <w:sz w:val="24"/>
          <w:szCs w:val="24"/>
          <w:highlight w:val="none"/>
        </w:rPr>
        <w:t>:</w:t>
      </w:r>
    </w:p>
    <w:tbl>
      <w:tblPr>
        <w:tblStyle w:val="29"/>
        <w:tblW w:w="10332"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558"/>
        <w:gridCol w:w="1899"/>
        <w:gridCol w:w="735"/>
        <w:gridCol w:w="795"/>
        <w:gridCol w:w="1266"/>
        <w:gridCol w:w="2229"/>
        <w:gridCol w:w="1230"/>
        <w:gridCol w:w="1620"/>
      </w:tblGrid>
      <w:tr w14:paraId="1027DB64">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558" w:type="dxa"/>
            <w:tcBorders>
              <w:top w:val="single" w:color="000000" w:sz="4" w:space="0"/>
            </w:tcBorders>
            <w:vAlign w:val="center"/>
          </w:tcPr>
          <w:p w14:paraId="752117F7">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899" w:type="dxa"/>
            <w:tcBorders>
              <w:top w:val="single" w:color="000000" w:sz="4" w:space="0"/>
            </w:tcBorders>
            <w:vAlign w:val="center"/>
          </w:tcPr>
          <w:p w14:paraId="195AC020">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项目名称</w:t>
            </w:r>
          </w:p>
        </w:tc>
        <w:tc>
          <w:tcPr>
            <w:tcW w:w="735" w:type="dxa"/>
            <w:tcBorders>
              <w:top w:val="single" w:color="000000" w:sz="4" w:space="0"/>
            </w:tcBorders>
            <w:vAlign w:val="center"/>
          </w:tcPr>
          <w:p w14:paraId="7F9C9E7F">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数量</w:t>
            </w:r>
          </w:p>
        </w:tc>
        <w:tc>
          <w:tcPr>
            <w:tcW w:w="795" w:type="dxa"/>
            <w:tcBorders>
              <w:top w:val="single" w:color="000000" w:sz="4" w:space="0"/>
            </w:tcBorders>
            <w:vAlign w:val="center"/>
          </w:tcPr>
          <w:p w14:paraId="6F3170F1">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单位</w:t>
            </w:r>
          </w:p>
        </w:tc>
        <w:tc>
          <w:tcPr>
            <w:tcW w:w="1266" w:type="dxa"/>
            <w:tcBorders>
              <w:top w:val="single" w:color="000000" w:sz="4" w:space="0"/>
            </w:tcBorders>
            <w:vAlign w:val="center"/>
          </w:tcPr>
          <w:p w14:paraId="556B1AA0">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预算金额</w:t>
            </w:r>
            <w:r>
              <w:rPr>
                <w:rFonts w:ascii="宋体" w:hAnsi="宋体" w:cs="宋体"/>
                <w:color w:val="auto"/>
                <w:sz w:val="24"/>
                <w:szCs w:val="24"/>
                <w:highlight w:val="none"/>
              </w:rPr>
              <w:t>(</w:t>
            </w:r>
            <w:r>
              <w:rPr>
                <w:rFonts w:hint="eastAsia" w:ascii="宋体" w:hAnsi="宋体" w:cs="宋体"/>
                <w:color w:val="auto"/>
                <w:sz w:val="24"/>
                <w:szCs w:val="24"/>
                <w:highlight w:val="none"/>
              </w:rPr>
              <w:t>元</w:t>
            </w:r>
            <w:r>
              <w:rPr>
                <w:rFonts w:ascii="宋体" w:hAnsi="宋体" w:cs="宋体"/>
                <w:color w:val="auto"/>
                <w:sz w:val="24"/>
                <w:szCs w:val="24"/>
                <w:highlight w:val="none"/>
              </w:rPr>
              <w:t>)</w:t>
            </w:r>
          </w:p>
        </w:tc>
        <w:tc>
          <w:tcPr>
            <w:tcW w:w="2229" w:type="dxa"/>
            <w:tcBorders>
              <w:top w:val="single" w:color="000000" w:sz="4" w:space="0"/>
            </w:tcBorders>
            <w:vAlign w:val="center"/>
          </w:tcPr>
          <w:p w14:paraId="75947E89">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简要规格描述或标项基本概况介绍</w:t>
            </w:r>
          </w:p>
        </w:tc>
        <w:tc>
          <w:tcPr>
            <w:tcW w:w="1230" w:type="dxa"/>
            <w:tcBorders>
              <w:top w:val="single" w:color="000000" w:sz="4" w:space="0"/>
            </w:tcBorders>
            <w:vAlign w:val="center"/>
          </w:tcPr>
          <w:p w14:paraId="66B4B0FE">
            <w:pPr>
              <w:adjustRightInd w:val="0"/>
              <w:spacing w:line="360" w:lineRule="auto"/>
              <w:jc w:val="center"/>
              <w:rPr>
                <w:rFonts w:ascii="宋体"/>
                <w:color w:val="auto"/>
                <w:sz w:val="24"/>
                <w:szCs w:val="24"/>
                <w:highlight w:val="none"/>
              </w:rPr>
            </w:pPr>
            <w:r>
              <w:rPr>
                <w:rFonts w:hint="eastAsia" w:ascii="宋体" w:hAnsi="宋体" w:eastAsia="宋体" w:cs="宋体"/>
                <w:color w:val="auto"/>
                <w:sz w:val="24"/>
                <w:szCs w:val="24"/>
                <w:highlight w:val="none"/>
              </w:rPr>
              <w:t>最高限价(元)</w:t>
            </w:r>
          </w:p>
        </w:tc>
        <w:tc>
          <w:tcPr>
            <w:tcW w:w="1620" w:type="dxa"/>
            <w:tcBorders>
              <w:top w:val="single" w:color="000000" w:sz="4" w:space="0"/>
            </w:tcBorders>
            <w:vAlign w:val="center"/>
          </w:tcPr>
          <w:p w14:paraId="67432711">
            <w:pPr>
              <w:adjustRightInd w:val="0"/>
              <w:spacing w:line="360" w:lineRule="auto"/>
              <w:jc w:val="center"/>
              <w:rPr>
                <w:rFonts w:ascii="宋体"/>
                <w:color w:val="auto"/>
                <w:sz w:val="24"/>
                <w:szCs w:val="24"/>
                <w:highlight w:val="none"/>
              </w:rPr>
            </w:pPr>
            <w:r>
              <w:rPr>
                <w:rFonts w:hint="eastAsia" w:ascii="宋体"/>
                <w:color w:val="auto"/>
                <w:sz w:val="24"/>
                <w:szCs w:val="24"/>
                <w:highlight w:val="none"/>
              </w:rPr>
              <w:t>备注</w:t>
            </w:r>
          </w:p>
        </w:tc>
      </w:tr>
      <w:tr w14:paraId="30A115F6">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558" w:type="dxa"/>
            <w:tcBorders>
              <w:bottom w:val="single" w:color="000000" w:sz="4" w:space="0"/>
            </w:tcBorders>
            <w:vAlign w:val="center"/>
          </w:tcPr>
          <w:p w14:paraId="6740E3C5">
            <w:pPr>
              <w:adjustRightInd w:val="0"/>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899" w:type="dxa"/>
            <w:tcBorders>
              <w:bottom w:val="single" w:color="000000" w:sz="4" w:space="0"/>
            </w:tcBorders>
            <w:vAlign w:val="center"/>
          </w:tcPr>
          <w:p w14:paraId="3E1D9559">
            <w:pPr>
              <w:adjustRightInd w:val="0"/>
              <w:spacing w:line="360" w:lineRule="auto"/>
              <w:jc w:val="center"/>
              <w:rPr>
                <w:rFonts w:hint="eastAsia" w:ascii="宋体" w:eastAsia="宋体"/>
                <w:color w:val="auto"/>
                <w:sz w:val="24"/>
                <w:szCs w:val="24"/>
                <w:highlight w:val="none"/>
                <w:lang w:eastAsia="zh-CN"/>
              </w:rPr>
            </w:pPr>
            <w:r>
              <w:rPr>
                <w:rFonts w:hint="eastAsia" w:ascii="宋体" w:hAnsi="宋体" w:eastAsia="宋体" w:cs="宋体"/>
                <w:color w:val="auto"/>
                <w:sz w:val="24"/>
                <w:szCs w:val="24"/>
                <w:highlight w:val="none"/>
                <w:lang w:val="en-US" w:eastAsia="zh-CN"/>
              </w:rPr>
              <w:t>百官街道文化站、志愿社会工作服务站、乐龄中心、助联体、老年大学等场所运行服务</w:t>
            </w:r>
          </w:p>
        </w:tc>
        <w:tc>
          <w:tcPr>
            <w:tcW w:w="735" w:type="dxa"/>
            <w:tcBorders>
              <w:bottom w:val="single" w:color="000000" w:sz="4" w:space="0"/>
            </w:tcBorders>
            <w:vAlign w:val="center"/>
          </w:tcPr>
          <w:p w14:paraId="42D3212B">
            <w:pPr>
              <w:adjustRightInd w:val="0"/>
              <w:spacing w:line="360" w:lineRule="auto"/>
              <w:jc w:val="center"/>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795" w:type="dxa"/>
            <w:tcBorders>
              <w:bottom w:val="single" w:color="000000" w:sz="4" w:space="0"/>
            </w:tcBorders>
            <w:vAlign w:val="center"/>
          </w:tcPr>
          <w:p w14:paraId="48A92188">
            <w:pPr>
              <w:adjustRightInd w:val="0"/>
              <w:spacing w:line="360" w:lineRule="auto"/>
              <w:jc w:val="center"/>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eastAsia="zh-CN"/>
              </w:rPr>
              <w:t>项</w:t>
            </w:r>
          </w:p>
        </w:tc>
        <w:tc>
          <w:tcPr>
            <w:tcW w:w="1266" w:type="dxa"/>
            <w:tcBorders>
              <w:bottom w:val="single" w:color="000000" w:sz="4" w:space="0"/>
            </w:tcBorders>
            <w:vAlign w:val="center"/>
          </w:tcPr>
          <w:p w14:paraId="3FC3AEC3">
            <w:pP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700000</w:t>
            </w:r>
          </w:p>
        </w:tc>
        <w:tc>
          <w:tcPr>
            <w:tcW w:w="2229" w:type="dxa"/>
            <w:tcBorders>
              <w:bottom w:val="single" w:color="000000" w:sz="4" w:space="0"/>
            </w:tcBorders>
            <w:vAlign w:val="center"/>
          </w:tcPr>
          <w:p w14:paraId="3BF846FF">
            <w:pP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详见采购需求</w:t>
            </w:r>
          </w:p>
        </w:tc>
        <w:tc>
          <w:tcPr>
            <w:tcW w:w="1230" w:type="dxa"/>
            <w:tcBorders>
              <w:bottom w:val="single" w:color="000000" w:sz="4" w:space="0"/>
            </w:tcBorders>
            <w:vAlign w:val="center"/>
          </w:tcPr>
          <w:p w14:paraId="24DB241B">
            <w:pP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700000</w:t>
            </w:r>
          </w:p>
        </w:tc>
        <w:tc>
          <w:tcPr>
            <w:tcW w:w="1620" w:type="dxa"/>
            <w:tcBorders>
              <w:bottom w:val="single" w:color="000000" w:sz="4" w:space="0"/>
            </w:tcBorders>
            <w:vAlign w:val="center"/>
          </w:tcPr>
          <w:p w14:paraId="3A61497D">
            <w:pPr>
              <w:adjustRightInd w:val="0"/>
              <w:spacing w:line="360" w:lineRule="auto"/>
              <w:jc w:val="center"/>
              <w:rPr>
                <w:rFonts w:hint="eastAsia" w:ascii="宋体" w:eastAsia="宋体"/>
                <w:color w:val="auto"/>
                <w:sz w:val="24"/>
                <w:szCs w:val="24"/>
                <w:highlight w:val="none"/>
                <w:lang w:eastAsia="zh-CN"/>
              </w:rPr>
            </w:pPr>
            <w:r>
              <w:rPr>
                <w:rFonts w:hint="eastAsia" w:ascii="宋体"/>
                <w:color w:val="auto"/>
                <w:sz w:val="24"/>
                <w:szCs w:val="24"/>
                <w:highlight w:val="none"/>
                <w:lang w:eastAsia="zh-CN"/>
              </w:rPr>
              <w:t>本项目所属行业：</w:t>
            </w:r>
            <w:r>
              <w:rPr>
                <w:rFonts w:hint="eastAsia" w:ascii="宋体" w:hAnsi="宋体" w:cs="宋体"/>
                <w:b w:val="0"/>
                <w:bCs w:val="0"/>
                <w:color w:val="auto"/>
                <w:sz w:val="24"/>
                <w:szCs w:val="24"/>
                <w:highlight w:val="none"/>
                <w:u w:val="single"/>
                <w:lang w:val="en-US" w:eastAsia="zh-CN"/>
              </w:rPr>
              <w:t>其他未列明行业</w:t>
            </w:r>
          </w:p>
        </w:tc>
      </w:tr>
    </w:tbl>
    <w:p w14:paraId="6FC02C57">
      <w:pPr>
        <w:rPr>
          <w:color w:val="auto"/>
          <w:highlight w:val="none"/>
        </w:rPr>
      </w:pPr>
    </w:p>
    <w:p w14:paraId="4B886DC2">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合格供应商资格要求</w:t>
      </w:r>
      <w:r>
        <w:rPr>
          <w:rFonts w:ascii="宋体" w:hAnsi="宋体" w:cs="宋体"/>
          <w:color w:val="auto"/>
          <w:sz w:val="24"/>
          <w:szCs w:val="24"/>
          <w:highlight w:val="none"/>
        </w:rPr>
        <w:t>:</w:t>
      </w:r>
    </w:p>
    <w:p w14:paraId="51644F2E">
      <w:pPr>
        <w:numPr>
          <w:ilvl w:val="0"/>
          <w:numId w:val="5"/>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符合政府采购法第二十二条，且未被“信用中国”（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p>
    <w:p w14:paraId="0B1EBDAD">
      <w:pPr>
        <w:numPr>
          <w:ilvl w:val="0"/>
          <w:numId w:val="5"/>
        </w:numPr>
        <w:wordWrap w:val="0"/>
        <w:adjustRightInd w:val="0"/>
        <w:spacing w:line="360" w:lineRule="auto"/>
        <w:ind w:firstLine="480" w:firstLineChars="200"/>
        <w:rPr>
          <w:color w:val="auto"/>
          <w:highlight w:val="none"/>
        </w:rPr>
      </w:pPr>
      <w:r>
        <w:rPr>
          <w:rFonts w:hint="eastAsia" w:ascii="宋体" w:hAnsi="宋体" w:eastAsia="宋体" w:cs="宋体"/>
          <w:color w:val="auto"/>
          <w:sz w:val="24"/>
          <w:szCs w:val="24"/>
          <w:highlight w:val="none"/>
        </w:rPr>
        <w:t>落实政府采购政策</w:t>
      </w:r>
      <w:r>
        <w:rPr>
          <w:rFonts w:hint="eastAsia" w:ascii="宋体" w:hAnsi="宋体" w:cs="宋体"/>
          <w:color w:val="auto"/>
          <w:sz w:val="24"/>
          <w:szCs w:val="24"/>
          <w:highlight w:val="none"/>
        </w:rPr>
        <w:t>需满足的资格要求：</w:t>
      </w:r>
      <w:r>
        <w:rPr>
          <w:rFonts w:hint="eastAsia" w:ascii="宋体" w:hAnsi="宋体" w:cs="宋体"/>
          <w:color w:val="auto"/>
          <w:sz w:val="24"/>
          <w:highlight w:val="none"/>
        </w:rPr>
        <w:t>供应商为中小企业/小微企业</w:t>
      </w:r>
      <w:r>
        <w:rPr>
          <w:rFonts w:hint="eastAsia" w:ascii="宋体" w:hAnsi="宋体" w:cs="宋体"/>
          <w:color w:val="auto"/>
          <w:sz w:val="24"/>
          <w:szCs w:val="24"/>
          <w:highlight w:val="none"/>
        </w:rPr>
        <w:t>。</w:t>
      </w:r>
    </w:p>
    <w:p w14:paraId="6D65B672">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本项目不接受联合体参加磋商。</w:t>
      </w:r>
    </w:p>
    <w:p w14:paraId="5D66A793">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本项目采用资格后审的审查方式，由磋商小组负责审查。</w:t>
      </w:r>
    </w:p>
    <w:p w14:paraId="511BAAC5">
      <w:pPr>
        <w:adjustRightInd w:val="0"/>
        <w:spacing w:line="360" w:lineRule="auto"/>
        <w:ind w:firstLine="480" w:firstLineChars="200"/>
        <w:outlineLvl w:val="1"/>
        <w:rPr>
          <w:rFonts w:ascii="宋体"/>
          <w:color w:val="auto"/>
          <w:sz w:val="24"/>
          <w:szCs w:val="24"/>
          <w:highlight w:val="none"/>
        </w:rPr>
      </w:pPr>
      <w:bookmarkStart w:id="11" w:name="_Toc16269"/>
      <w:bookmarkStart w:id="12" w:name="_Toc29495"/>
      <w:bookmarkStart w:id="13" w:name="_Toc20115"/>
      <w:r>
        <w:rPr>
          <w:rFonts w:hint="eastAsia" w:ascii="宋体" w:hAnsi="宋体" w:cs="宋体"/>
          <w:color w:val="auto"/>
          <w:sz w:val="24"/>
          <w:szCs w:val="24"/>
          <w:highlight w:val="none"/>
        </w:rPr>
        <w:t>五．获取磋商文件</w:t>
      </w:r>
      <w:bookmarkEnd w:id="11"/>
      <w:bookmarkEnd w:id="12"/>
      <w:bookmarkEnd w:id="13"/>
    </w:p>
    <w:p w14:paraId="29B59688">
      <w:pPr>
        <w:numPr>
          <w:ilvl w:val="0"/>
          <w:numId w:val="6"/>
        </w:numPr>
        <w:adjustRightInd w:val="0"/>
        <w:spacing w:line="360" w:lineRule="auto"/>
        <w:ind w:firstLine="480" w:firstLineChars="200"/>
        <w:rPr>
          <w:rFonts w:ascii="宋体"/>
          <w:color w:val="auto"/>
          <w:sz w:val="24"/>
          <w:szCs w:val="24"/>
          <w:highlight w:val="none"/>
        </w:rPr>
      </w:pPr>
      <w:bookmarkStart w:id="14" w:name="报名开始时间1"/>
      <w:r>
        <w:rPr>
          <w:rFonts w:hint="eastAsia" w:ascii="宋体" w:hAnsi="宋体" w:cs="宋体"/>
          <w:color w:val="auto"/>
          <w:sz w:val="24"/>
          <w:szCs w:val="24"/>
          <w:highlight w:val="none"/>
        </w:rPr>
        <w:t>获取磋商文件时间</w:t>
      </w:r>
      <w:r>
        <w:rPr>
          <w:rFonts w:ascii="宋体" w:hAnsi="宋体" w:cs="宋体"/>
          <w:color w:val="auto"/>
          <w:sz w:val="24"/>
          <w:szCs w:val="24"/>
          <w:highlight w:val="none"/>
        </w:rPr>
        <w:t>:</w:t>
      </w:r>
      <w:bookmarkEnd w:id="14"/>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02</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 xml:space="preserve"> 09</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w:t>
      </w:r>
      <w:r>
        <w:rPr>
          <w:rFonts w:ascii="宋体" w:hAnsi="宋体" w:cs="宋体"/>
          <w:color w:val="auto"/>
          <w:sz w:val="24"/>
          <w:szCs w:val="24"/>
          <w:highlight w:val="none"/>
          <w:u w:val="single"/>
        </w:rPr>
        <w:t>0</w:t>
      </w:r>
      <w:r>
        <w:rPr>
          <w:rFonts w:hint="eastAsia" w:ascii="宋体" w:hAnsi="宋体" w:cs="宋体"/>
          <w:color w:val="auto"/>
          <w:sz w:val="24"/>
          <w:szCs w:val="24"/>
          <w:highlight w:val="none"/>
        </w:rPr>
        <w:t>之前获取。</w:t>
      </w:r>
    </w:p>
    <w:p w14:paraId="44E41DC0">
      <w:pPr>
        <w:numPr>
          <w:ilvl w:val="0"/>
          <w:numId w:val="6"/>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获取磋商文件方式：供应商</w:t>
      </w:r>
      <w:r>
        <w:rPr>
          <w:rFonts w:hint="eastAsia" w:ascii="宋体" w:hAnsi="宋体" w:cs="宋体"/>
          <w:color w:val="auto"/>
          <w:sz w:val="24"/>
          <w:szCs w:val="24"/>
          <w:highlight w:val="none"/>
          <w:lang w:eastAsia="zh-CN"/>
        </w:rPr>
        <w:t>登录</w:t>
      </w:r>
      <w:r>
        <w:rPr>
          <w:rFonts w:hint="eastAsia" w:ascii="宋体" w:hAnsi="宋体" w:cs="宋体"/>
          <w:color w:val="auto"/>
          <w:sz w:val="24"/>
          <w:szCs w:val="24"/>
          <w:highlight w:val="none"/>
        </w:rPr>
        <w:t>政采云平台</w:t>
      </w:r>
      <w:r>
        <w:rPr>
          <w:rFonts w:ascii="宋体" w:hAnsi="宋体" w:cs="宋体"/>
          <w:color w:val="auto"/>
          <w:sz w:val="24"/>
          <w:szCs w:val="24"/>
          <w:highlight w:val="none"/>
        </w:rPr>
        <w:t>http://www.zcygov.cn/</w:t>
      </w:r>
      <w:r>
        <w:rPr>
          <w:rFonts w:hint="eastAsia" w:ascii="宋体" w:hAnsi="宋体" w:cs="宋体"/>
          <w:color w:val="auto"/>
          <w:sz w:val="24"/>
          <w:szCs w:val="24"/>
          <w:highlight w:val="none"/>
        </w:rPr>
        <w:t>，在线申请获取磋商文件（进入“项目采购”应用，在获取采购文件菜单中选择项目，申请获取采购文件）。</w:t>
      </w:r>
    </w:p>
    <w:p w14:paraId="1E126381">
      <w:pPr>
        <w:numPr>
          <w:ilvl w:val="0"/>
          <w:numId w:val="6"/>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提示：</w:t>
      </w:r>
    </w:p>
    <w:p w14:paraId="300329DE">
      <w:pPr>
        <w:numPr>
          <w:ilvl w:val="0"/>
          <w:numId w:val="7"/>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14:paraId="0F98C744">
      <w:pPr>
        <w:numPr>
          <w:ilvl w:val="0"/>
          <w:numId w:val="7"/>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14:paraId="1E63E964">
      <w:pPr>
        <w:adjustRightInd w:val="0"/>
        <w:spacing w:line="360" w:lineRule="auto"/>
        <w:ind w:firstLine="480" w:firstLineChars="200"/>
        <w:outlineLvl w:val="1"/>
        <w:rPr>
          <w:rFonts w:ascii="宋体" w:hAnsi="宋体" w:cs="宋体"/>
          <w:color w:val="auto"/>
          <w:sz w:val="24"/>
          <w:szCs w:val="24"/>
          <w:highlight w:val="none"/>
        </w:rPr>
      </w:pPr>
      <w:bookmarkStart w:id="15" w:name="_Toc22437"/>
      <w:bookmarkStart w:id="16" w:name="_Toc28422"/>
      <w:bookmarkStart w:id="17" w:name="_Toc4101"/>
      <w:r>
        <w:rPr>
          <w:rFonts w:hint="eastAsia" w:ascii="宋体" w:hAnsi="宋体" w:cs="宋体"/>
          <w:color w:val="auto"/>
          <w:sz w:val="24"/>
          <w:szCs w:val="24"/>
          <w:highlight w:val="none"/>
        </w:rPr>
        <w:t>六、投标与开标注意事项：</w:t>
      </w:r>
      <w:bookmarkEnd w:id="15"/>
      <w:bookmarkEnd w:id="16"/>
      <w:bookmarkEnd w:id="17"/>
    </w:p>
    <w:p w14:paraId="4C365C03">
      <w:pPr>
        <w:numPr>
          <w:ilvl w:val="0"/>
          <w:numId w:val="8"/>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网上投标</w:t>
      </w:r>
      <w:r>
        <w:rPr>
          <w:rFonts w:hint="eastAsia" w:ascii="宋体" w:hAnsi="宋体" w:cs="宋体"/>
          <w:color w:val="auto"/>
          <w:sz w:val="24"/>
          <w:szCs w:val="24"/>
          <w:highlight w:val="none"/>
        </w:rPr>
        <w:t>，采用电子投标文件，若供应商参与投标，自行承担投标一切费用。</w:t>
      </w:r>
    </w:p>
    <w:p w14:paraId="20F2BEB7">
      <w:pPr>
        <w:numPr>
          <w:ilvl w:val="0"/>
          <w:numId w:val="8"/>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标前准备：各供应商应在开标前确保成为浙江省政府采购网正式注册入库供应商，并完成CA数字证书办理。因未注册入库、未办理CA数字证书等原因造成无法投标或投标失败等后果由供应商自行承担。</w:t>
      </w:r>
    </w:p>
    <w:p w14:paraId="69A206AF">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4A57CFBD">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37615243">
      <w:pPr>
        <w:adjustRightInd w:val="0"/>
        <w:spacing w:line="360" w:lineRule="auto"/>
        <w:ind w:left="400" w:leftChars="200"/>
        <w:rPr>
          <w:rFonts w:ascii="宋体" w:hAnsi="宋体" w:cs="宋体"/>
          <w:color w:val="auto"/>
          <w:sz w:val="24"/>
          <w:highlight w:val="none"/>
        </w:rPr>
      </w:pPr>
      <w:r>
        <w:rPr>
          <w:rFonts w:hint="eastAsia" w:ascii="宋体" w:hAnsi="宋体" w:cs="宋体"/>
          <w:color w:val="auto"/>
          <w:sz w:val="24"/>
          <w:highlight w:val="none"/>
        </w:rPr>
        <w:t>《CA管理学习专题》：</w:t>
      </w:r>
    </w:p>
    <w:p w14:paraId="3D9A2691">
      <w:pPr>
        <w:adjustRightInd w:val="0"/>
        <w:spacing w:line="360" w:lineRule="auto"/>
        <w:ind w:left="400" w:leftChars="200"/>
        <w:rPr>
          <w:rFonts w:ascii="宋体" w:hAnsi="宋体" w:cs="宋体"/>
          <w:color w:val="auto"/>
          <w:sz w:val="24"/>
          <w:highlight w:val="none"/>
        </w:rPr>
      </w:pPr>
      <w:r>
        <w:rPr>
          <w:rFonts w:hint="eastAsia" w:ascii="宋体" w:hAnsi="宋体" w:cs="宋体"/>
          <w:color w:val="auto"/>
          <w:sz w:val="24"/>
          <w:highlight w:val="none"/>
        </w:rPr>
        <w:t>https://edu.zcygov.cn/luban/ca?utm=web-government-front.380aac0a.0.0.fc2b6aa0b6e211ebbdb0dd007730dd44</w:t>
      </w:r>
    </w:p>
    <w:p w14:paraId="6BF9576F">
      <w:pPr>
        <w:adjustRightInd w:val="0"/>
        <w:spacing w:line="360" w:lineRule="auto"/>
        <w:ind w:left="400" w:leftChars="200"/>
        <w:rPr>
          <w:rFonts w:ascii="宋体" w:hAnsi="宋体" w:cs="宋体"/>
          <w:color w:val="auto"/>
          <w:sz w:val="24"/>
          <w:highlight w:val="none"/>
        </w:rPr>
      </w:pPr>
      <w:r>
        <w:rPr>
          <w:rFonts w:hint="eastAsia" w:ascii="宋体" w:hAnsi="宋体" w:cs="宋体"/>
          <w:color w:val="auto"/>
          <w:sz w:val="24"/>
          <w:highlight w:val="none"/>
        </w:rPr>
        <w:t>《CA驱动和申领流程》:</w:t>
      </w:r>
    </w:p>
    <w:p w14:paraId="6E220A3B">
      <w:pPr>
        <w:adjustRightInd w:val="0"/>
        <w:spacing w:line="360" w:lineRule="auto"/>
        <w:ind w:left="40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highlight w:val="none"/>
        </w:rPr>
        <w:t>http://zfcg.czt.zj.gov.cn/bidClientTemplate/2019-05-27/12945.html</w:t>
      </w:r>
      <w:r>
        <w:rPr>
          <w:rFonts w:hint="eastAsia" w:ascii="宋体" w:hAnsi="宋体" w:cs="宋体"/>
          <w:color w:val="auto"/>
          <w:sz w:val="24"/>
          <w:highlight w:val="none"/>
        </w:rPr>
        <w:fldChar w:fldCharType="end"/>
      </w:r>
    </w:p>
    <w:p w14:paraId="187D690E">
      <w:pPr>
        <w:numPr>
          <w:ilvl w:val="0"/>
          <w:numId w:val="8"/>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投标文件制作：</w:t>
      </w:r>
    </w:p>
    <w:p w14:paraId="60991129">
      <w:pPr>
        <w:numPr>
          <w:ilvl w:val="0"/>
          <w:numId w:val="9"/>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ascii="仿宋" w:hAnsi="仿宋" w:eastAsia="仿宋" w:cs="仿宋"/>
          <w:i w:val="0"/>
          <w:iCs w:val="0"/>
          <w:caps w:val="0"/>
          <w:color w:val="auto"/>
          <w:spacing w:val="0"/>
          <w:sz w:val="27"/>
          <w:szCs w:val="27"/>
          <w:highlight w:val="none"/>
          <w:shd w:val="clear" w:fill="FFFFFF"/>
        </w:rPr>
        <w:t>95763</w:t>
      </w:r>
      <w:r>
        <w:rPr>
          <w:rFonts w:hint="eastAsia" w:ascii="宋体" w:hAnsi="宋体" w:cs="宋体"/>
          <w:color w:val="auto"/>
          <w:sz w:val="24"/>
          <w:szCs w:val="24"/>
          <w:highlight w:val="none"/>
        </w:rPr>
        <w:t>。</w:t>
      </w:r>
    </w:p>
    <w:p w14:paraId="3029B9F6">
      <w:pPr>
        <w:numPr>
          <w:ilvl w:val="0"/>
          <w:numId w:val="9"/>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投标人通过“政采云”平台电子投标工具制作投标文件。</w:t>
      </w:r>
    </w:p>
    <w:p w14:paraId="3743B551">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《电子投标工具》：</w:t>
      </w:r>
    </w:p>
    <w:p w14:paraId="57A8F2EE">
      <w:pPr>
        <w:adjustRightInd w:val="0"/>
        <w:spacing w:line="360" w:lineRule="auto"/>
        <w:ind w:firstLine="40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szCs w:val="24"/>
          <w:highlight w:val="none"/>
        </w:rPr>
        <w:t>http://zfcg.czt.zj.gov.cn/bidClientTemplate/2019-09-24/12975.html</w:t>
      </w:r>
      <w:r>
        <w:rPr>
          <w:rFonts w:hint="eastAsia" w:ascii="宋体" w:hAnsi="宋体" w:cs="宋体"/>
          <w:color w:val="auto"/>
          <w:sz w:val="24"/>
          <w:szCs w:val="24"/>
          <w:highlight w:val="none"/>
        </w:rPr>
        <w:fldChar w:fldCharType="end"/>
      </w:r>
    </w:p>
    <w:p w14:paraId="3775D45E">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《供应商-政府采购项目电子交易操作指南》：(需登录账号后查看)</w:t>
      </w:r>
    </w:p>
    <w:p w14:paraId="03CD1050">
      <w:pPr>
        <w:adjustRightInd w:val="0"/>
        <w:spacing w:line="360" w:lineRule="auto"/>
        <w:ind w:firstLine="40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szCs w:val="24"/>
          <w:highlight w:val="none"/>
        </w:rPr>
        <w:t>https://service.zcygov.cn/#/knowledges/tree?tag=AG1DtGwBFdiHxlNdhY0r</w:t>
      </w:r>
      <w:r>
        <w:rPr>
          <w:rFonts w:hint="eastAsia" w:ascii="宋体" w:hAnsi="宋体" w:cs="宋体"/>
          <w:color w:val="auto"/>
          <w:sz w:val="24"/>
          <w:szCs w:val="24"/>
          <w:highlight w:val="none"/>
        </w:rPr>
        <w:fldChar w:fldCharType="end"/>
      </w:r>
    </w:p>
    <w:p w14:paraId="4E68F56B">
      <w:pPr>
        <w:numPr>
          <w:ilvl w:val="0"/>
          <w:numId w:val="8"/>
        </w:numPr>
        <w:adjustRightInd w:val="0"/>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供应商在法定质疑期内应一次性提出针对同一采购程序环节的质疑。</w:t>
      </w:r>
    </w:p>
    <w:p w14:paraId="5F1FCE3D">
      <w:pPr>
        <w:numPr>
          <w:ilvl w:val="0"/>
          <w:numId w:val="8"/>
        </w:numPr>
        <w:adjustRightInd w:val="0"/>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投标人可指派授权代表递交备份文件，授权代表递交备份文件需携带法定代表人授权书原件，于投标截止时间前到达开标地点递交。</w:t>
      </w:r>
    </w:p>
    <w:p w14:paraId="145FD77A">
      <w:pPr>
        <w:adjustRightInd w:val="0"/>
        <w:spacing w:line="360" w:lineRule="auto"/>
        <w:ind w:left="400" w:leftChars="200"/>
        <w:rPr>
          <w:rFonts w:ascii="宋体" w:hAnsi="宋体" w:cs="宋体"/>
          <w:color w:val="auto"/>
          <w:sz w:val="24"/>
          <w:szCs w:val="24"/>
          <w:highlight w:val="none"/>
        </w:rPr>
      </w:pPr>
      <w:r>
        <w:rPr>
          <w:rFonts w:hint="eastAsia" w:ascii="宋体" w:hAnsi="宋体" w:cs="宋体"/>
          <w:color w:val="auto"/>
          <w:sz w:val="24"/>
          <w:szCs w:val="24"/>
          <w:highlight w:val="none"/>
        </w:rPr>
        <w:t>6.特别提醒</w:t>
      </w:r>
    </w:p>
    <w:p w14:paraId="0EE3D9E4">
      <w:pPr>
        <w:wordWrap w:val="0"/>
        <w:adjustRightIn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单位负责人为同一人或者存在直接控股、管理关系的不同供应商，不得参加同一合同项下的政府采购活动。</w:t>
      </w:r>
    </w:p>
    <w:p w14:paraId="06C7C16B">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除单一来源采购项目外，为采购项目提供整体设计、规范编制或者项目管理、监理、检测等服务的供应商，不得再参加该采购项目的其他采购活动。</w:t>
      </w:r>
    </w:p>
    <w:p w14:paraId="18184E3B">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七．磋商响应截止时间及要求：</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02</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rPr>
        <w:t>日</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分整之前将电子磋商响应文件上传到“政采云”平台。</w:t>
      </w:r>
    </w:p>
    <w:p w14:paraId="2BFA9BBA">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八．递交首次响应文件时间及地点：</w:t>
      </w:r>
      <w:bookmarkStart w:id="18" w:name="B30_开标地点"/>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02</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rPr>
        <w:t>日</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w:t>
      </w:r>
      <w:bookmarkStart w:id="155" w:name="_GoBack"/>
      <w:bookmarkEnd w:id="155"/>
      <w:r>
        <w:rPr>
          <w:rFonts w:hint="eastAsia" w:ascii="宋体" w:hAnsi="宋体" w:cs="宋体"/>
          <w:color w:val="auto"/>
          <w:sz w:val="24"/>
          <w:szCs w:val="24"/>
          <w:highlight w:val="none"/>
        </w:rPr>
        <w:t>整在</w:t>
      </w:r>
      <w:r>
        <w:rPr>
          <w:rFonts w:hint="eastAsia" w:ascii="宋体" w:hAnsi="宋体" w:cs="宋体"/>
          <w:color w:val="auto"/>
          <w:sz w:val="24"/>
          <w:szCs w:val="24"/>
          <w:highlight w:val="none"/>
          <w:lang w:val="en-US" w:eastAsia="zh-CN"/>
        </w:rPr>
        <w:t>浙江天平项目咨询有限公司（上虞区百官街道江东北路588号百官广场11楼）开标室开标</w:t>
      </w:r>
      <w:r>
        <w:rPr>
          <w:rFonts w:hint="eastAsia" w:ascii="宋体" w:hAnsi="宋体" w:eastAsia="宋体" w:cs="宋体"/>
          <w:color w:val="auto"/>
          <w:sz w:val="24"/>
          <w:szCs w:val="24"/>
          <w:highlight w:val="none"/>
        </w:rPr>
        <w:t>。</w:t>
      </w:r>
      <w:bookmarkEnd w:id="18"/>
    </w:p>
    <w:p w14:paraId="43BC9FA2">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开标时间后</w:t>
      </w:r>
      <w:r>
        <w:rPr>
          <w:rFonts w:ascii="宋体" w:hAnsi="宋体" w:cs="宋体"/>
          <w:color w:val="auto"/>
          <w:sz w:val="24"/>
          <w:szCs w:val="24"/>
          <w:highlight w:val="none"/>
        </w:rPr>
        <w:t>30</w:t>
      </w:r>
      <w:r>
        <w:rPr>
          <w:rFonts w:hint="eastAsia" w:ascii="宋体" w:hAnsi="宋体" w:cs="宋体"/>
          <w:color w:val="auto"/>
          <w:sz w:val="24"/>
          <w:szCs w:val="24"/>
          <w:highlight w:val="none"/>
        </w:rPr>
        <w:t>分钟内（当日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 xml:space="preserve"> : </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前）供应商可以登录“政采云”平台，用“项目采购</w:t>
      </w:r>
      <w:r>
        <w:rPr>
          <w:rFonts w:ascii="宋体" w:cs="宋体"/>
          <w:color w:val="auto"/>
          <w:sz w:val="24"/>
          <w:szCs w:val="24"/>
          <w:highlight w:val="none"/>
        </w:rPr>
        <w:t>-</w:t>
      </w:r>
      <w:r>
        <w:rPr>
          <w:rFonts w:hint="eastAsia" w:ascii="宋体" w:hAnsi="宋体" w:cs="宋体"/>
          <w:color w:val="auto"/>
          <w:sz w:val="24"/>
          <w:szCs w:val="24"/>
          <w:highlight w:val="none"/>
        </w:rPr>
        <w:t>开标评标”功能进行解密响应文件。若供应商在规定时间内（当日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前）解密失败，则由采购代理机构工作人员上传供应商提供的备份文件。备份文件（后缀名为</w:t>
      </w:r>
      <w:r>
        <w:rPr>
          <w:rFonts w:ascii="宋体" w:hAnsi="宋体" w:cs="宋体"/>
          <w:color w:val="auto"/>
          <w:sz w:val="24"/>
          <w:szCs w:val="24"/>
          <w:highlight w:val="none"/>
        </w:rPr>
        <w:t>.bfbs</w:t>
      </w:r>
      <w:r>
        <w:rPr>
          <w:rFonts w:hint="eastAsia" w:ascii="宋体" w:hAnsi="宋体" w:cs="宋体"/>
          <w:color w:val="auto"/>
          <w:sz w:val="24"/>
          <w:szCs w:val="24"/>
          <w:highlight w:val="none"/>
        </w:rPr>
        <w:t>）须存储在</w:t>
      </w:r>
      <w:r>
        <w:rPr>
          <w:rFonts w:ascii="宋体" w:hAnsi="宋体" w:cs="宋体"/>
          <w:color w:val="auto"/>
          <w:sz w:val="24"/>
          <w:szCs w:val="24"/>
          <w:highlight w:val="none"/>
        </w:rPr>
        <w:t>U</w:t>
      </w:r>
      <w:r>
        <w:rPr>
          <w:rFonts w:hint="eastAsia" w:ascii="宋体" w:hAnsi="宋体" w:cs="宋体"/>
          <w:color w:val="auto"/>
          <w:sz w:val="24"/>
          <w:szCs w:val="24"/>
          <w:highlight w:val="none"/>
        </w:rPr>
        <w:t>盘中，与上传的电子磋商响应文件一致，用信封进行密封并盖章</w:t>
      </w:r>
      <w:r>
        <w:rPr>
          <w:rFonts w:hint="eastAsia" w:ascii="宋体" w:hAnsi="宋体" w:cs="宋体"/>
          <w:b/>
          <w:bCs/>
          <w:color w:val="auto"/>
          <w:sz w:val="24"/>
          <w:szCs w:val="24"/>
          <w:highlight w:val="none"/>
        </w:rPr>
        <w:t>（信封内仅需放入存储备份文件的</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w:t>
      </w:r>
      <w:r>
        <w:rPr>
          <w:rFonts w:hint="eastAsia" w:ascii="宋体" w:hAnsi="宋体" w:cs="宋体"/>
          <w:color w:val="auto"/>
          <w:sz w:val="24"/>
          <w:szCs w:val="24"/>
          <w:highlight w:val="none"/>
        </w:rPr>
        <w:t>，由授权代表在磋商响应截止时间前递交至开标地点。若电子磋商响应文件正常解锁，则</w:t>
      </w:r>
      <w:r>
        <w:rPr>
          <w:rFonts w:ascii="宋体" w:hAnsi="宋体" w:cs="宋体"/>
          <w:color w:val="auto"/>
          <w:sz w:val="24"/>
          <w:szCs w:val="24"/>
          <w:highlight w:val="none"/>
        </w:rPr>
        <w:t>U</w:t>
      </w:r>
      <w:r>
        <w:rPr>
          <w:rFonts w:hint="eastAsia" w:ascii="宋体" w:hAnsi="宋体" w:cs="宋体"/>
          <w:color w:val="auto"/>
          <w:sz w:val="24"/>
          <w:szCs w:val="24"/>
          <w:highlight w:val="none"/>
        </w:rPr>
        <w:t>盘退还给供应商；若解锁失败，则由采购代理机构将</w:t>
      </w:r>
      <w:r>
        <w:rPr>
          <w:rFonts w:ascii="宋体" w:hAnsi="宋体" w:cs="宋体"/>
          <w:color w:val="auto"/>
          <w:sz w:val="24"/>
          <w:szCs w:val="24"/>
          <w:highlight w:val="none"/>
        </w:rPr>
        <w:t>U</w:t>
      </w:r>
      <w:r>
        <w:rPr>
          <w:rFonts w:hint="eastAsia" w:ascii="宋体" w:hAnsi="宋体" w:cs="宋体"/>
          <w:color w:val="auto"/>
          <w:sz w:val="24"/>
          <w:szCs w:val="24"/>
          <w:highlight w:val="none"/>
        </w:rPr>
        <w:t>盘中的备份文件上传，该</w:t>
      </w:r>
      <w:r>
        <w:rPr>
          <w:rFonts w:ascii="宋体" w:hAnsi="宋体" w:cs="宋体"/>
          <w:color w:val="auto"/>
          <w:sz w:val="24"/>
          <w:szCs w:val="24"/>
          <w:highlight w:val="none"/>
        </w:rPr>
        <w:t>U</w:t>
      </w:r>
      <w:r>
        <w:rPr>
          <w:rFonts w:hint="eastAsia" w:ascii="宋体" w:hAnsi="宋体" w:cs="宋体"/>
          <w:color w:val="auto"/>
          <w:sz w:val="24"/>
          <w:szCs w:val="24"/>
          <w:highlight w:val="none"/>
        </w:rPr>
        <w:t>盘将由采购代理机构保存。</w:t>
      </w:r>
    </w:p>
    <w:p w14:paraId="5D3123D0">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本次开标不提供现场</w:t>
      </w:r>
      <w:r>
        <w:rPr>
          <w:rFonts w:hint="eastAsia" w:ascii="宋体" w:hAnsi="宋体" w:cs="宋体"/>
          <w:color w:val="auto"/>
          <w:sz w:val="24"/>
          <w:highlight w:val="none"/>
        </w:rPr>
        <w:t>演示</w:t>
      </w:r>
      <w:r>
        <w:rPr>
          <w:rFonts w:hint="eastAsia" w:ascii="宋体" w:hAnsi="宋体" w:cs="宋体"/>
          <w:color w:val="auto"/>
          <w:sz w:val="24"/>
          <w:szCs w:val="24"/>
          <w:highlight w:val="none"/>
        </w:rPr>
        <w:t>。</w:t>
      </w:r>
    </w:p>
    <w:p w14:paraId="73C89AB9">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九．磋商保证金：无</w:t>
      </w:r>
    </w:p>
    <w:p w14:paraId="371380C2">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十．公告期限：3个工作日</w:t>
      </w:r>
    </w:p>
    <w:p w14:paraId="2BFD6497">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十一．联系方式：</w:t>
      </w:r>
    </w:p>
    <w:p w14:paraId="6D865C2E">
      <w:pPr>
        <w:adjustRightInd w:val="0"/>
        <w:spacing w:line="360" w:lineRule="auto"/>
        <w:ind w:firstLine="480" w:firstLineChars="200"/>
        <w:rPr>
          <w:rFonts w:hint="eastAsia" w:ascii="宋体" w:eastAsia="宋体"/>
          <w:color w:val="auto"/>
          <w:sz w:val="24"/>
          <w:szCs w:val="24"/>
          <w:highlight w:val="none"/>
          <w:lang w:eastAsia="zh-CN"/>
        </w:rPr>
      </w:pPr>
      <w:r>
        <w:rPr>
          <w:rFonts w:ascii="宋体" w:hAnsi="宋体" w:cs="宋体"/>
          <w:color w:val="auto"/>
          <w:sz w:val="24"/>
          <w:szCs w:val="24"/>
          <w:highlight w:val="none"/>
        </w:rPr>
        <w:t>1</w:t>
      </w:r>
      <w:r>
        <w:rPr>
          <w:rFonts w:hint="eastAsia" w:ascii="宋体" w:hAnsi="宋体" w:cs="宋体"/>
          <w:color w:val="auto"/>
          <w:sz w:val="24"/>
          <w:szCs w:val="24"/>
          <w:highlight w:val="none"/>
        </w:rPr>
        <w:t>．采购代理机构名称：</w:t>
      </w:r>
      <w:r>
        <w:rPr>
          <w:rFonts w:hint="eastAsia" w:ascii="宋体" w:hAnsi="宋体" w:cs="宋体"/>
          <w:color w:val="auto"/>
          <w:sz w:val="24"/>
          <w:szCs w:val="24"/>
          <w:highlight w:val="none"/>
          <w:lang w:eastAsia="zh-CN"/>
        </w:rPr>
        <w:t>浙江天平项目咨询有限公司</w:t>
      </w:r>
    </w:p>
    <w:p w14:paraId="4DFA4D4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张于飞</w:t>
      </w:r>
    </w:p>
    <w:p w14:paraId="430C4E5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15067435785</w:t>
      </w:r>
    </w:p>
    <w:p w14:paraId="5A256B3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质疑联系人：</w:t>
      </w:r>
      <w:r>
        <w:rPr>
          <w:rFonts w:hint="eastAsia" w:ascii="宋体" w:hAnsi="宋体" w:cs="宋体"/>
          <w:color w:val="auto"/>
          <w:sz w:val="24"/>
          <w:highlight w:val="none"/>
          <w:lang w:val="en-US" w:eastAsia="zh-CN"/>
        </w:rPr>
        <w:t>陈锦钟</w:t>
      </w:r>
    </w:p>
    <w:p w14:paraId="0981FFD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宋体"/>
          <w:color w:val="auto"/>
          <w:sz w:val="24"/>
          <w:szCs w:val="24"/>
          <w:highlight w:val="none"/>
        </w:rPr>
      </w:pPr>
      <w:r>
        <w:rPr>
          <w:rFonts w:hint="eastAsia" w:ascii="宋体" w:hAnsi="宋体" w:eastAsia="宋体" w:cs="宋体"/>
          <w:color w:val="auto"/>
          <w:sz w:val="24"/>
          <w:szCs w:val="24"/>
          <w:highlight w:val="none"/>
          <w:lang w:val="en-US" w:eastAsia="zh-CN"/>
        </w:rPr>
        <w:t>联系电话：</w:t>
      </w:r>
      <w:r>
        <w:rPr>
          <w:rFonts w:hint="eastAsia" w:ascii="宋体" w:hAnsi="宋体" w:cs="宋体"/>
          <w:color w:val="auto"/>
          <w:sz w:val="24"/>
          <w:highlight w:val="none"/>
          <w:lang w:val="en-US" w:eastAsia="zh-CN"/>
        </w:rPr>
        <w:t>13587399711</w:t>
      </w:r>
      <w:r>
        <w:rPr>
          <w:rFonts w:hint="eastAsia" w:ascii="宋体" w:hAnsi="宋体" w:cs="宋体"/>
          <w:color w:val="auto"/>
          <w:sz w:val="24"/>
          <w:szCs w:val="24"/>
          <w:highlight w:val="none"/>
        </w:rPr>
        <w:t xml:space="preserve">   </w:t>
      </w:r>
    </w:p>
    <w:p w14:paraId="2A84E220">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绍兴市上虞区百官街道江东北路588号百官广场11楼</w:t>
      </w:r>
    </w:p>
    <w:p w14:paraId="254E0981">
      <w:pPr>
        <w:adjustRightInd w:val="0"/>
        <w:spacing w:line="360" w:lineRule="auto"/>
        <w:ind w:firstLine="480" w:firstLineChars="200"/>
        <w:rPr>
          <w:rFonts w:hint="eastAsia" w:ascii="宋体" w:eastAsia="宋体"/>
          <w:color w:val="auto"/>
          <w:sz w:val="24"/>
          <w:szCs w:val="24"/>
          <w:highlight w:val="none"/>
          <w:lang w:eastAsia="zh-CN"/>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．采购人名称：</w:t>
      </w:r>
      <w:r>
        <w:rPr>
          <w:rFonts w:hint="eastAsia" w:ascii="宋体" w:hAnsi="宋体" w:cs="宋体"/>
          <w:color w:val="auto"/>
          <w:sz w:val="24"/>
          <w:highlight w:val="none"/>
          <w:lang w:eastAsia="zh-CN"/>
        </w:rPr>
        <w:t>绍兴市上虞区百官街道办事处</w:t>
      </w:r>
    </w:p>
    <w:p w14:paraId="21624C31">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eastAsia="zh-CN"/>
        </w:rPr>
        <w:t>王女士</w:t>
      </w:r>
    </w:p>
    <w:p w14:paraId="7DCEA28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项目联系方式（询问）：</w:t>
      </w:r>
      <w:r>
        <w:rPr>
          <w:rFonts w:hint="eastAsia" w:ascii="宋体" w:hAnsi="宋体" w:cs="宋体"/>
          <w:color w:val="auto"/>
          <w:sz w:val="24"/>
          <w:szCs w:val="24"/>
          <w:highlight w:val="none"/>
          <w:lang w:val="en-US" w:eastAsia="zh-CN"/>
        </w:rPr>
        <w:t>0575-82136306</w:t>
      </w:r>
    </w:p>
    <w:p w14:paraId="555618BE">
      <w:pPr>
        <w:adjustRightInd w:val="0"/>
        <w:spacing w:line="360" w:lineRule="auto"/>
        <w:ind w:firstLine="480" w:firstLineChars="200"/>
        <w:rPr>
          <w:rFonts w:hint="eastAsia" w:ascii="宋体" w:eastAsia="宋体" w:cs="宋体"/>
          <w:color w:val="auto"/>
          <w:sz w:val="24"/>
          <w:szCs w:val="24"/>
          <w:highlight w:val="none"/>
          <w:lang w:val="en-US" w:eastAsia="zh-CN"/>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val="en-US" w:eastAsia="zh-CN"/>
        </w:rPr>
        <w:t>宋</w:t>
      </w:r>
      <w:r>
        <w:rPr>
          <w:rFonts w:hint="eastAsia" w:ascii="宋体" w:hAnsi="宋体" w:cs="宋体"/>
          <w:color w:val="auto"/>
          <w:sz w:val="24"/>
          <w:szCs w:val="24"/>
          <w:highlight w:val="none"/>
          <w:lang w:eastAsia="zh-CN"/>
        </w:rPr>
        <w:t>女士</w:t>
      </w:r>
    </w:p>
    <w:p w14:paraId="5690AACD">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质疑联系方式：</w:t>
      </w:r>
      <w:r>
        <w:rPr>
          <w:rFonts w:hint="eastAsia" w:ascii="宋体" w:hAnsi="宋体" w:cs="宋体"/>
          <w:color w:val="auto"/>
          <w:sz w:val="24"/>
          <w:szCs w:val="24"/>
          <w:highlight w:val="none"/>
          <w:lang w:val="en-US" w:eastAsia="zh-CN"/>
        </w:rPr>
        <w:t>0575-</w:t>
      </w:r>
      <w:r>
        <w:rPr>
          <w:rFonts w:hint="eastAsia" w:ascii="宋体" w:hAnsi="宋体" w:cs="宋体"/>
          <w:color w:val="auto"/>
          <w:sz w:val="24"/>
          <w:szCs w:val="24"/>
          <w:highlight w:val="none"/>
        </w:rPr>
        <w:t>82216442</w:t>
      </w:r>
    </w:p>
    <w:p w14:paraId="6371CA65">
      <w:pPr>
        <w:adjustRightInd w:val="0"/>
        <w:spacing w:line="360" w:lineRule="auto"/>
        <w:ind w:firstLine="480" w:firstLineChars="200"/>
        <w:rPr>
          <w:rFonts w:hint="default" w:ascii="宋体" w:eastAsia="宋体"/>
          <w:color w:val="auto"/>
          <w:sz w:val="24"/>
          <w:szCs w:val="24"/>
          <w:highlight w:val="none"/>
          <w:lang w:val="en-US" w:eastAsia="zh-CN"/>
        </w:rPr>
      </w:pPr>
      <w:r>
        <w:rPr>
          <w:rFonts w:hint="eastAsia" w:ascii="宋体" w:hAnsi="宋体" w:cs="宋体"/>
          <w:color w:val="auto"/>
          <w:sz w:val="24"/>
          <w:szCs w:val="24"/>
          <w:highlight w:val="none"/>
        </w:rPr>
        <w:t>地</w:t>
      </w:r>
      <w:r>
        <w:rPr>
          <w:rFonts w:hint="eastAsia" w:ascii="宋体" w:hAnsi="宋体" w:eastAsia="宋体" w:cs="宋体"/>
          <w:color w:val="auto"/>
          <w:sz w:val="24"/>
          <w:szCs w:val="24"/>
          <w:highlight w:val="none"/>
        </w:rPr>
        <w:t>址：</w:t>
      </w:r>
      <w:r>
        <w:rPr>
          <w:rFonts w:hint="eastAsia" w:ascii="宋体" w:hAnsi="宋体" w:cs="宋体"/>
          <w:color w:val="auto"/>
          <w:kern w:val="0"/>
          <w:sz w:val="24"/>
          <w:highlight w:val="none"/>
        </w:rPr>
        <w:t>绍兴市上虞区</w:t>
      </w:r>
      <w:r>
        <w:rPr>
          <w:rFonts w:hint="eastAsia" w:hAnsi="宋体"/>
          <w:color w:val="auto"/>
          <w:kern w:val="0"/>
          <w:sz w:val="24"/>
          <w:highlight w:val="none"/>
        </w:rPr>
        <w:t>百官街道还珠路2号</w:t>
      </w:r>
    </w:p>
    <w:p w14:paraId="5E8C8EA1">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．同级政府采购监督管理部门名称：上虞区财政局政府采购监管科</w:t>
      </w:r>
    </w:p>
    <w:p w14:paraId="1499F01E">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联系人：谷先生</w:t>
      </w:r>
    </w:p>
    <w:p w14:paraId="4132B8D5">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0575-82130212</w:t>
      </w:r>
    </w:p>
    <w:p w14:paraId="709275DC">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highlight w:val="none"/>
        </w:rPr>
        <w:t>0575-82130212</w:t>
      </w:r>
    </w:p>
    <w:p w14:paraId="1B353D65">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地址：绍兴市上虞区体育场路</w:t>
      </w:r>
      <w:r>
        <w:rPr>
          <w:rFonts w:ascii="宋体" w:hAnsi="宋体" w:cs="宋体"/>
          <w:color w:val="auto"/>
          <w:sz w:val="24"/>
          <w:szCs w:val="24"/>
          <w:highlight w:val="none"/>
        </w:rPr>
        <w:t>18</w:t>
      </w:r>
      <w:r>
        <w:rPr>
          <w:rFonts w:hint="eastAsia" w:ascii="宋体" w:hAnsi="宋体" w:cs="宋体"/>
          <w:color w:val="auto"/>
          <w:sz w:val="24"/>
          <w:szCs w:val="24"/>
          <w:highlight w:val="none"/>
        </w:rPr>
        <w:t>号</w:t>
      </w:r>
    </w:p>
    <w:p w14:paraId="053C45DB">
      <w:pPr>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bookmarkStart w:id="19" w:name="_Toc24505"/>
      <w:bookmarkStart w:id="20" w:name="_Toc29834"/>
      <w:bookmarkStart w:id="21" w:name="_Toc30299"/>
      <w:bookmarkStart w:id="22" w:name="_Toc546"/>
      <w:r>
        <w:rPr>
          <w:rStyle w:val="51"/>
          <w:rFonts w:hint="eastAsia" w:cs="宋体"/>
          <w:color w:val="auto"/>
          <w:sz w:val="36"/>
          <w:szCs w:val="36"/>
          <w:highlight w:val="none"/>
        </w:rPr>
        <w:t>第二部分</w:t>
      </w:r>
      <w:bookmarkEnd w:id="5"/>
      <w:r>
        <w:rPr>
          <w:rStyle w:val="51"/>
          <w:color w:val="auto"/>
          <w:sz w:val="36"/>
          <w:szCs w:val="36"/>
          <w:highlight w:val="none"/>
        </w:rPr>
        <w:t xml:space="preserve"> </w:t>
      </w:r>
      <w:bookmarkEnd w:id="6"/>
      <w:r>
        <w:rPr>
          <w:rStyle w:val="51"/>
          <w:rFonts w:hint="eastAsia" w:cs="宋体"/>
          <w:color w:val="auto"/>
          <w:sz w:val="36"/>
          <w:szCs w:val="36"/>
          <w:highlight w:val="none"/>
        </w:rPr>
        <w:t>供应商须知</w:t>
      </w:r>
      <w:bookmarkEnd w:id="19"/>
      <w:bookmarkEnd w:id="20"/>
      <w:bookmarkEnd w:id="21"/>
      <w:bookmarkEnd w:id="22"/>
    </w:p>
    <w:p w14:paraId="10A2E460">
      <w:pPr>
        <w:widowControl/>
        <w:adjustRightInd w:val="0"/>
        <w:snapToGrid w:val="0"/>
        <w:spacing w:line="360" w:lineRule="auto"/>
        <w:jc w:val="center"/>
        <w:rPr>
          <w:rFonts w:ascii="宋体"/>
          <w:b/>
          <w:bCs/>
          <w:snapToGrid w:val="0"/>
          <w:color w:val="auto"/>
          <w:sz w:val="32"/>
          <w:szCs w:val="32"/>
          <w:highlight w:val="none"/>
        </w:rPr>
      </w:pPr>
      <w:r>
        <w:rPr>
          <w:rFonts w:hint="eastAsia" w:ascii="宋体" w:hAnsi="宋体" w:cs="宋体"/>
          <w:b/>
          <w:bCs/>
          <w:snapToGrid w:val="0"/>
          <w:color w:val="auto"/>
          <w:sz w:val="30"/>
          <w:szCs w:val="30"/>
          <w:highlight w:val="none"/>
        </w:rPr>
        <w:t>供应商须知前附表</w:t>
      </w:r>
    </w:p>
    <w:tbl>
      <w:tblPr>
        <w:tblStyle w:val="29"/>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69BCAD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2" w:hRule="atLeast"/>
          <w:tblHeader/>
          <w:jc w:val="center"/>
        </w:trPr>
        <w:tc>
          <w:tcPr>
            <w:tcW w:w="648" w:type="dxa"/>
            <w:tcBorders>
              <w:top w:val="double" w:color="auto" w:sz="4" w:space="0"/>
            </w:tcBorders>
            <w:vAlign w:val="center"/>
          </w:tcPr>
          <w:p w14:paraId="50C8882C">
            <w:pPr>
              <w:snapToGrid w:val="0"/>
              <w:jc w:val="center"/>
              <w:rPr>
                <w:rFonts w:ascii="宋体"/>
                <w:b/>
                <w:bCs/>
                <w:snapToGrid w:val="0"/>
                <w:color w:val="auto"/>
                <w:sz w:val="21"/>
                <w:szCs w:val="21"/>
                <w:highlight w:val="none"/>
              </w:rPr>
            </w:pPr>
            <w:r>
              <w:rPr>
                <w:rFonts w:hint="eastAsia" w:ascii="宋体" w:hAnsi="宋体" w:cs="宋体"/>
                <w:b/>
                <w:bCs/>
                <w:snapToGrid w:val="0"/>
                <w:color w:val="auto"/>
                <w:sz w:val="21"/>
                <w:szCs w:val="21"/>
                <w:highlight w:val="none"/>
              </w:rPr>
              <w:t>序号</w:t>
            </w:r>
          </w:p>
        </w:tc>
        <w:tc>
          <w:tcPr>
            <w:tcW w:w="1800" w:type="dxa"/>
            <w:tcBorders>
              <w:top w:val="double" w:color="auto" w:sz="4" w:space="0"/>
            </w:tcBorders>
            <w:vAlign w:val="center"/>
          </w:tcPr>
          <w:p w14:paraId="7C90E1BA">
            <w:pPr>
              <w:snapToGrid w:val="0"/>
              <w:jc w:val="center"/>
              <w:rPr>
                <w:rFonts w:ascii="宋体"/>
                <w:b/>
                <w:bCs/>
                <w:snapToGrid w:val="0"/>
                <w:color w:val="auto"/>
                <w:sz w:val="21"/>
                <w:szCs w:val="21"/>
                <w:highlight w:val="none"/>
              </w:rPr>
            </w:pPr>
            <w:r>
              <w:rPr>
                <w:rFonts w:hint="eastAsia" w:ascii="宋体" w:hAnsi="宋体" w:cs="宋体"/>
                <w:b/>
                <w:bCs/>
                <w:snapToGrid w:val="0"/>
                <w:color w:val="auto"/>
                <w:sz w:val="21"/>
                <w:szCs w:val="21"/>
                <w:highlight w:val="none"/>
              </w:rPr>
              <w:t>项目</w:t>
            </w:r>
          </w:p>
        </w:tc>
        <w:tc>
          <w:tcPr>
            <w:tcW w:w="6682" w:type="dxa"/>
            <w:tcBorders>
              <w:top w:val="double" w:color="auto" w:sz="4" w:space="0"/>
            </w:tcBorders>
            <w:vAlign w:val="center"/>
          </w:tcPr>
          <w:p w14:paraId="394A1426">
            <w:pPr>
              <w:snapToGrid w:val="0"/>
              <w:jc w:val="center"/>
              <w:rPr>
                <w:rFonts w:ascii="宋体"/>
                <w:b/>
                <w:bCs/>
                <w:snapToGrid w:val="0"/>
                <w:color w:val="auto"/>
                <w:sz w:val="21"/>
                <w:szCs w:val="21"/>
                <w:highlight w:val="none"/>
              </w:rPr>
            </w:pPr>
            <w:r>
              <w:rPr>
                <w:rFonts w:hint="eastAsia" w:ascii="宋体" w:hAnsi="宋体" w:cs="宋体"/>
                <w:b/>
                <w:bCs/>
                <w:snapToGrid w:val="0"/>
                <w:color w:val="auto"/>
                <w:sz w:val="21"/>
                <w:szCs w:val="21"/>
                <w:highlight w:val="none"/>
              </w:rPr>
              <w:t>内容</w:t>
            </w:r>
          </w:p>
        </w:tc>
      </w:tr>
      <w:tr w14:paraId="01E193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62FC2311">
            <w:pPr>
              <w:snapToGrid w:val="0"/>
              <w:jc w:val="center"/>
              <w:rPr>
                <w:rFonts w:ascii="宋体"/>
                <w:snapToGrid w:val="0"/>
                <w:color w:val="auto"/>
                <w:sz w:val="21"/>
                <w:szCs w:val="21"/>
                <w:highlight w:val="none"/>
              </w:rPr>
            </w:pPr>
            <w:r>
              <w:rPr>
                <w:rFonts w:ascii="宋体" w:hAnsi="宋体" w:cs="宋体"/>
                <w:snapToGrid w:val="0"/>
                <w:color w:val="auto"/>
                <w:sz w:val="21"/>
                <w:szCs w:val="21"/>
                <w:highlight w:val="none"/>
              </w:rPr>
              <w:t>1</w:t>
            </w:r>
          </w:p>
        </w:tc>
        <w:tc>
          <w:tcPr>
            <w:tcW w:w="1800" w:type="dxa"/>
            <w:vAlign w:val="center"/>
          </w:tcPr>
          <w:p w14:paraId="5EFABE68">
            <w:pPr>
              <w:snapToGrid w:val="0"/>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项目名称</w:t>
            </w:r>
          </w:p>
        </w:tc>
        <w:tc>
          <w:tcPr>
            <w:tcW w:w="6682" w:type="dxa"/>
            <w:vAlign w:val="center"/>
          </w:tcPr>
          <w:p w14:paraId="3087D62F">
            <w:pPr>
              <w:bidi w:val="0"/>
              <w:ind w:firstLine="420" w:firstLineChars="200"/>
              <w:jc w:val="left"/>
              <w:rPr>
                <w:rFonts w:ascii="宋体"/>
                <w:snapToGrid w:val="0"/>
                <w:color w:val="auto"/>
                <w:sz w:val="21"/>
                <w:szCs w:val="21"/>
                <w:highlight w:val="none"/>
              </w:rPr>
            </w:pPr>
            <w:r>
              <w:rPr>
                <w:rFonts w:hint="eastAsia" w:ascii="宋体" w:hAnsi="宋体" w:cs="宋体"/>
                <w:snapToGrid w:val="0"/>
                <w:color w:val="auto"/>
                <w:sz w:val="21"/>
                <w:szCs w:val="21"/>
                <w:highlight w:val="none"/>
                <w:lang w:val="en-US" w:eastAsia="zh-CN" w:bidi="ar-SA"/>
              </w:rPr>
              <w:t>百官街道文化站、志愿社会工作服务站、乐龄中心、助联体、老年大学等场所运行服务</w:t>
            </w:r>
          </w:p>
        </w:tc>
      </w:tr>
      <w:tr w14:paraId="06E392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0BF1EF5C">
            <w:pPr>
              <w:snapToGrid w:val="0"/>
              <w:jc w:val="center"/>
              <w:rPr>
                <w:rFonts w:ascii="宋体"/>
                <w:snapToGrid w:val="0"/>
                <w:color w:val="auto"/>
                <w:sz w:val="21"/>
                <w:szCs w:val="21"/>
                <w:highlight w:val="none"/>
              </w:rPr>
            </w:pPr>
            <w:r>
              <w:rPr>
                <w:rFonts w:ascii="宋体" w:hAnsi="宋体" w:cs="宋体"/>
                <w:snapToGrid w:val="0"/>
                <w:color w:val="auto"/>
                <w:sz w:val="21"/>
                <w:szCs w:val="21"/>
                <w:highlight w:val="none"/>
              </w:rPr>
              <w:t>2</w:t>
            </w:r>
          </w:p>
        </w:tc>
        <w:tc>
          <w:tcPr>
            <w:tcW w:w="1800" w:type="dxa"/>
            <w:vAlign w:val="center"/>
          </w:tcPr>
          <w:p w14:paraId="2515ED3E">
            <w:pPr>
              <w:snapToGrid w:val="0"/>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项目实施时间</w:t>
            </w:r>
          </w:p>
        </w:tc>
        <w:tc>
          <w:tcPr>
            <w:tcW w:w="6682" w:type="dxa"/>
            <w:vAlign w:val="center"/>
          </w:tcPr>
          <w:p w14:paraId="72413E6E">
            <w:pPr>
              <w:ind w:firstLine="422" w:firstLineChars="200"/>
              <w:rPr>
                <w:rFonts w:hint="default" w:ascii="宋体" w:eastAsia="宋体"/>
                <w:b/>
                <w:bCs/>
                <w:color w:val="auto"/>
                <w:sz w:val="21"/>
                <w:szCs w:val="21"/>
                <w:highlight w:val="none"/>
                <w:lang w:val="en-US" w:eastAsia="zh-CN"/>
              </w:rPr>
            </w:pPr>
            <w:r>
              <w:rPr>
                <w:rFonts w:hint="default" w:ascii="宋体" w:eastAsia="宋体"/>
                <w:b/>
                <w:bCs/>
                <w:color w:val="auto"/>
                <w:sz w:val="21"/>
                <w:szCs w:val="21"/>
                <w:highlight w:val="none"/>
                <w:lang w:val="en-US" w:eastAsia="zh-CN"/>
              </w:rPr>
              <w:t>自合同签订之日起</w:t>
            </w:r>
            <w:r>
              <w:rPr>
                <w:rFonts w:hint="eastAsia" w:ascii="宋体"/>
                <w:b/>
                <w:bCs/>
                <w:color w:val="auto"/>
                <w:sz w:val="21"/>
                <w:szCs w:val="21"/>
                <w:highlight w:val="none"/>
                <w:lang w:val="en-US" w:eastAsia="zh-CN"/>
              </w:rPr>
              <w:t>一年</w:t>
            </w:r>
            <w:r>
              <w:rPr>
                <w:rFonts w:hint="default" w:ascii="宋体" w:eastAsia="宋体"/>
                <w:b/>
                <w:bCs/>
                <w:color w:val="auto"/>
                <w:sz w:val="21"/>
                <w:szCs w:val="21"/>
                <w:highlight w:val="none"/>
                <w:lang w:val="en-US" w:eastAsia="zh-CN"/>
              </w:rPr>
              <w:t>（具体以合同签订时间为准）</w:t>
            </w:r>
          </w:p>
        </w:tc>
      </w:tr>
      <w:tr w14:paraId="496911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29CF88AA">
            <w:pPr>
              <w:snapToGrid w:val="0"/>
              <w:jc w:val="center"/>
              <w:rPr>
                <w:rFonts w:ascii="宋体"/>
                <w:snapToGrid w:val="0"/>
                <w:color w:val="auto"/>
                <w:sz w:val="21"/>
                <w:szCs w:val="21"/>
                <w:highlight w:val="none"/>
              </w:rPr>
            </w:pPr>
            <w:r>
              <w:rPr>
                <w:rFonts w:ascii="宋体" w:hAnsi="宋体" w:cs="宋体"/>
                <w:snapToGrid w:val="0"/>
                <w:color w:val="auto"/>
                <w:sz w:val="21"/>
                <w:szCs w:val="21"/>
                <w:highlight w:val="none"/>
              </w:rPr>
              <w:t>3</w:t>
            </w:r>
          </w:p>
        </w:tc>
        <w:tc>
          <w:tcPr>
            <w:tcW w:w="1800" w:type="dxa"/>
            <w:vAlign w:val="center"/>
          </w:tcPr>
          <w:p w14:paraId="2CC2B330">
            <w:pPr>
              <w:snapToGrid w:val="0"/>
              <w:jc w:val="center"/>
              <w:rPr>
                <w:rFonts w:ascii="宋体"/>
                <w:b/>
                <w:bCs/>
                <w:snapToGrid w:val="0"/>
                <w:color w:val="auto"/>
                <w:sz w:val="21"/>
                <w:szCs w:val="21"/>
                <w:highlight w:val="none"/>
              </w:rPr>
            </w:pPr>
            <w:r>
              <w:rPr>
                <w:rFonts w:hint="eastAsia" w:ascii="宋体" w:hAnsi="宋体" w:cs="宋体"/>
                <w:b/>
                <w:bCs/>
                <w:snapToGrid w:val="0"/>
                <w:color w:val="auto"/>
                <w:sz w:val="21"/>
                <w:szCs w:val="21"/>
                <w:highlight w:val="none"/>
              </w:rPr>
              <w:t>最高限价</w:t>
            </w:r>
          </w:p>
        </w:tc>
        <w:tc>
          <w:tcPr>
            <w:tcW w:w="6682" w:type="dxa"/>
            <w:vAlign w:val="center"/>
          </w:tcPr>
          <w:p w14:paraId="06BC03F8">
            <w:pPr>
              <w:snapToGrid w:val="0"/>
              <w:ind w:firstLine="420" w:firstLineChars="200"/>
              <w:rPr>
                <w:rFonts w:ascii="宋体"/>
                <w:b/>
                <w:bCs/>
                <w:snapToGrid w:val="0"/>
                <w:color w:val="auto"/>
                <w:sz w:val="21"/>
                <w:szCs w:val="21"/>
                <w:highlight w:val="none"/>
              </w:rPr>
            </w:pPr>
            <w:r>
              <w:rPr>
                <w:rFonts w:hint="eastAsia" w:ascii="宋体" w:hAnsi="宋体" w:cs="宋体"/>
                <w:color w:val="auto"/>
                <w:sz w:val="21"/>
                <w:szCs w:val="21"/>
                <w:highlight w:val="none"/>
              </w:rPr>
              <w:t>本项目最高限价人民币</w:t>
            </w:r>
            <w:r>
              <w:rPr>
                <w:rFonts w:hint="eastAsia" w:ascii="宋体" w:hAnsi="宋体" w:cs="宋体"/>
                <w:color w:val="auto"/>
                <w:sz w:val="21"/>
                <w:szCs w:val="21"/>
                <w:highlight w:val="none"/>
                <w:u w:val="single"/>
                <w:lang w:val="en-US" w:eastAsia="zh-CN"/>
              </w:rPr>
              <w:t xml:space="preserve"> 700000 </w:t>
            </w:r>
            <w:r>
              <w:rPr>
                <w:rFonts w:hint="eastAsia" w:ascii="宋体" w:hAnsi="宋体" w:cs="宋体"/>
                <w:color w:val="auto"/>
                <w:sz w:val="21"/>
                <w:szCs w:val="21"/>
                <w:highlight w:val="none"/>
                <w:lang w:val="en-US" w:eastAsia="zh-CN"/>
              </w:rPr>
              <w:t>元</w:t>
            </w:r>
            <w:r>
              <w:rPr>
                <w:rFonts w:hint="eastAsia" w:ascii="宋体" w:hAnsi="宋体" w:cs="宋体"/>
                <w:color w:val="auto"/>
                <w:sz w:val="21"/>
                <w:szCs w:val="21"/>
                <w:highlight w:val="none"/>
              </w:rPr>
              <w:t xml:space="preserve">。 </w:t>
            </w:r>
          </w:p>
        </w:tc>
      </w:tr>
      <w:tr w14:paraId="6A80C6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0CDF2C9">
            <w:pPr>
              <w:snapToGrid w:val="0"/>
              <w:jc w:val="center"/>
              <w:rPr>
                <w:rFonts w:ascii="宋体"/>
                <w:snapToGrid w:val="0"/>
                <w:color w:val="auto"/>
                <w:sz w:val="21"/>
                <w:szCs w:val="21"/>
                <w:highlight w:val="none"/>
              </w:rPr>
            </w:pPr>
            <w:r>
              <w:rPr>
                <w:rFonts w:ascii="宋体" w:hAnsi="宋体" w:cs="宋体"/>
                <w:snapToGrid w:val="0"/>
                <w:color w:val="auto"/>
                <w:sz w:val="21"/>
                <w:szCs w:val="21"/>
                <w:highlight w:val="none"/>
              </w:rPr>
              <w:t xml:space="preserve">                                                                                                   4</w:t>
            </w:r>
          </w:p>
        </w:tc>
        <w:tc>
          <w:tcPr>
            <w:tcW w:w="1800" w:type="dxa"/>
            <w:vAlign w:val="center"/>
          </w:tcPr>
          <w:p w14:paraId="34A08841">
            <w:pPr>
              <w:snapToGrid w:val="0"/>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资格审查方式</w:t>
            </w:r>
          </w:p>
        </w:tc>
        <w:tc>
          <w:tcPr>
            <w:tcW w:w="6682" w:type="dxa"/>
            <w:vAlign w:val="center"/>
          </w:tcPr>
          <w:p w14:paraId="589A9D4D">
            <w:pPr>
              <w:snapToGrid w:val="0"/>
              <w:ind w:firstLine="420" w:firstLineChars="200"/>
              <w:rPr>
                <w:rFonts w:ascii="宋体"/>
                <w:snapToGrid w:val="0"/>
                <w:color w:val="auto"/>
                <w:sz w:val="21"/>
                <w:szCs w:val="21"/>
                <w:highlight w:val="none"/>
              </w:rPr>
            </w:pPr>
            <w:r>
              <w:rPr>
                <w:rFonts w:hint="eastAsia" w:ascii="宋体" w:hAnsi="宋体" w:cs="宋体"/>
                <w:snapToGrid w:val="0"/>
                <w:color w:val="auto"/>
                <w:sz w:val="21"/>
                <w:szCs w:val="21"/>
                <w:highlight w:val="none"/>
              </w:rPr>
              <w:t>资格审查是指开标后，磋商小组将依据法律法规和磋商文件的规定对供应商的资格进行审查。</w:t>
            </w:r>
          </w:p>
        </w:tc>
      </w:tr>
      <w:tr w14:paraId="0D447A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155B8280">
            <w:pPr>
              <w:snapToGrid w:val="0"/>
              <w:jc w:val="center"/>
              <w:rPr>
                <w:rFonts w:ascii="宋体"/>
                <w:snapToGrid w:val="0"/>
                <w:color w:val="auto"/>
                <w:sz w:val="21"/>
                <w:szCs w:val="21"/>
                <w:highlight w:val="none"/>
              </w:rPr>
            </w:pPr>
            <w:r>
              <w:rPr>
                <w:rFonts w:ascii="宋体" w:hAnsi="宋体" w:cs="宋体"/>
                <w:snapToGrid w:val="0"/>
                <w:color w:val="auto"/>
                <w:sz w:val="21"/>
                <w:szCs w:val="21"/>
                <w:highlight w:val="none"/>
              </w:rPr>
              <w:t>5</w:t>
            </w:r>
          </w:p>
        </w:tc>
        <w:tc>
          <w:tcPr>
            <w:tcW w:w="1800" w:type="dxa"/>
            <w:vAlign w:val="center"/>
          </w:tcPr>
          <w:p w14:paraId="16D83036">
            <w:pPr>
              <w:snapToGrid w:val="0"/>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踏勘现场</w:t>
            </w:r>
          </w:p>
        </w:tc>
        <w:tc>
          <w:tcPr>
            <w:tcW w:w="6682" w:type="dxa"/>
            <w:vAlign w:val="center"/>
          </w:tcPr>
          <w:p w14:paraId="4F36A4CF">
            <w:pPr>
              <w:snapToGrid w:val="0"/>
              <w:ind w:firstLine="422" w:firstLineChars="200"/>
              <w:rPr>
                <w:rFonts w:ascii="宋体"/>
                <w:snapToGrid w:val="0"/>
                <w:color w:val="auto"/>
                <w:sz w:val="21"/>
                <w:szCs w:val="21"/>
                <w:highlight w:val="none"/>
              </w:rPr>
            </w:pPr>
            <w:r>
              <w:rPr>
                <w:rFonts w:hint="eastAsia" w:ascii="宋体" w:hAnsi="宋体" w:cs="宋体"/>
                <w:b/>
                <w:bCs/>
                <w:snapToGrid w:val="0"/>
                <w:color w:val="auto"/>
                <w:sz w:val="21"/>
                <w:szCs w:val="21"/>
                <w:highlight w:val="none"/>
              </w:rPr>
              <w:t>本项目不组织现场踏勘</w:t>
            </w:r>
          </w:p>
        </w:tc>
      </w:tr>
      <w:tr w14:paraId="52B8EE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76E3006">
            <w:pPr>
              <w:snapToGrid w:val="0"/>
              <w:jc w:val="center"/>
              <w:rPr>
                <w:rFonts w:ascii="宋体"/>
                <w:snapToGrid w:val="0"/>
                <w:color w:val="auto"/>
                <w:sz w:val="21"/>
                <w:szCs w:val="21"/>
                <w:highlight w:val="none"/>
              </w:rPr>
            </w:pPr>
            <w:r>
              <w:rPr>
                <w:rFonts w:ascii="宋体" w:hAnsi="宋体" w:cs="宋体"/>
                <w:snapToGrid w:val="0"/>
                <w:color w:val="auto"/>
                <w:sz w:val="21"/>
                <w:szCs w:val="21"/>
                <w:highlight w:val="none"/>
              </w:rPr>
              <w:t>6</w:t>
            </w:r>
          </w:p>
        </w:tc>
        <w:tc>
          <w:tcPr>
            <w:tcW w:w="1800" w:type="dxa"/>
            <w:vAlign w:val="center"/>
          </w:tcPr>
          <w:p w14:paraId="20C92868">
            <w:pPr>
              <w:snapToGrid w:val="0"/>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询问</w:t>
            </w:r>
          </w:p>
        </w:tc>
        <w:tc>
          <w:tcPr>
            <w:tcW w:w="6682" w:type="dxa"/>
            <w:vAlign w:val="center"/>
          </w:tcPr>
          <w:p w14:paraId="223D11EE">
            <w:pPr>
              <w:snapToGrid w:val="0"/>
              <w:ind w:firstLine="420" w:firstLineChars="200"/>
              <w:rPr>
                <w:rFonts w:ascii="宋体"/>
                <w:snapToGrid w:val="0"/>
                <w:color w:val="auto"/>
                <w:sz w:val="21"/>
                <w:szCs w:val="21"/>
                <w:highlight w:val="none"/>
              </w:rPr>
            </w:pPr>
            <w:r>
              <w:rPr>
                <w:rFonts w:hint="eastAsia" w:ascii="宋体" w:hAnsi="宋体" w:cs="宋体"/>
                <w:snapToGrid w:val="0"/>
                <w:color w:val="auto"/>
                <w:sz w:val="21"/>
                <w:szCs w:val="21"/>
                <w:highlight w:val="none"/>
              </w:rPr>
              <w:t>供应商对政府采购活动事项有疑问的，可以向采购机构提出询问，采购人或者招标代理机构应当在</w:t>
            </w:r>
            <w:r>
              <w:rPr>
                <w:rFonts w:ascii="宋体" w:hAnsi="宋体" w:cs="宋体"/>
                <w:snapToGrid w:val="0"/>
                <w:color w:val="auto"/>
                <w:sz w:val="21"/>
                <w:szCs w:val="21"/>
                <w:highlight w:val="none"/>
              </w:rPr>
              <w:t>3</w:t>
            </w:r>
            <w:r>
              <w:rPr>
                <w:rFonts w:hint="eastAsia" w:ascii="宋体" w:hAnsi="宋体" w:cs="宋体"/>
                <w:snapToGrid w:val="0"/>
                <w:color w:val="auto"/>
                <w:sz w:val="21"/>
                <w:szCs w:val="21"/>
                <w:highlight w:val="none"/>
              </w:rPr>
              <w:t>个工作日内对供应商依法提出的询问作出答复，但答复的内容不得涉及商业秘密。</w:t>
            </w:r>
          </w:p>
        </w:tc>
      </w:tr>
      <w:tr w14:paraId="19E685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A4542B2">
            <w:pPr>
              <w:snapToGrid w:val="0"/>
              <w:jc w:val="center"/>
              <w:rPr>
                <w:rFonts w:ascii="宋体"/>
                <w:snapToGrid w:val="0"/>
                <w:color w:val="auto"/>
                <w:sz w:val="21"/>
                <w:szCs w:val="21"/>
                <w:highlight w:val="none"/>
              </w:rPr>
            </w:pPr>
            <w:r>
              <w:rPr>
                <w:rFonts w:ascii="宋体" w:hAnsi="宋体" w:cs="宋体"/>
                <w:snapToGrid w:val="0"/>
                <w:color w:val="auto"/>
                <w:sz w:val="21"/>
                <w:szCs w:val="21"/>
                <w:highlight w:val="none"/>
              </w:rPr>
              <w:t>7</w:t>
            </w:r>
          </w:p>
        </w:tc>
        <w:tc>
          <w:tcPr>
            <w:tcW w:w="1800" w:type="dxa"/>
            <w:vAlign w:val="center"/>
          </w:tcPr>
          <w:p w14:paraId="4C0E135E">
            <w:pPr>
              <w:snapToGrid w:val="0"/>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磋商文件的澄清与修改</w:t>
            </w:r>
          </w:p>
        </w:tc>
        <w:tc>
          <w:tcPr>
            <w:tcW w:w="6682" w:type="dxa"/>
            <w:vAlign w:val="center"/>
          </w:tcPr>
          <w:p w14:paraId="08DE81C9">
            <w:pPr>
              <w:snapToGrid w:val="0"/>
              <w:ind w:firstLine="420" w:firstLineChars="200"/>
              <w:rPr>
                <w:rFonts w:ascii="宋体"/>
                <w:snapToGrid w:val="0"/>
                <w:color w:val="auto"/>
                <w:sz w:val="21"/>
                <w:szCs w:val="21"/>
                <w:highlight w:val="none"/>
              </w:rPr>
            </w:pPr>
            <w:r>
              <w:rPr>
                <w:rFonts w:hint="eastAsia" w:ascii="宋体" w:hAnsi="宋体" w:cs="宋体"/>
                <w:snapToGrid w:val="0"/>
                <w:color w:val="auto"/>
                <w:sz w:val="21"/>
                <w:szCs w:val="21"/>
                <w:highlight w:val="none"/>
              </w:rPr>
              <w:t>采购单位可以对已发出的磋商文件进行必要澄清或者修改，澄清或者修改的内容可能影响响应文件编制的，应当在提交首次响应文件</w:t>
            </w:r>
            <w:r>
              <w:rPr>
                <w:rFonts w:hint="eastAsia" w:ascii="宋体" w:hAnsi="宋体" w:cs="宋体"/>
                <w:snapToGrid w:val="0"/>
                <w:color w:val="auto"/>
                <w:sz w:val="21"/>
                <w:szCs w:val="21"/>
                <w:highlight w:val="none"/>
                <w:lang w:val="en-US" w:eastAsia="zh-CN"/>
              </w:rPr>
              <w:t>截止</w:t>
            </w:r>
            <w:r>
              <w:rPr>
                <w:rFonts w:hint="eastAsia" w:ascii="宋体" w:hAnsi="宋体" w:cs="宋体"/>
                <w:snapToGrid w:val="0"/>
                <w:color w:val="auto"/>
                <w:sz w:val="21"/>
                <w:szCs w:val="21"/>
                <w:highlight w:val="none"/>
              </w:rPr>
              <w:t>时间至少</w:t>
            </w:r>
            <w:r>
              <w:rPr>
                <w:rFonts w:ascii="宋体" w:hAnsi="宋体" w:cs="宋体"/>
                <w:snapToGrid w:val="0"/>
                <w:color w:val="auto"/>
                <w:sz w:val="21"/>
                <w:szCs w:val="21"/>
                <w:highlight w:val="none"/>
              </w:rPr>
              <w:t>5</w:t>
            </w:r>
            <w:r>
              <w:rPr>
                <w:rFonts w:hint="eastAsia" w:ascii="宋体" w:hAnsi="宋体" w:cs="宋体"/>
                <w:snapToGrid w:val="0"/>
                <w:color w:val="auto"/>
                <w:sz w:val="21"/>
                <w:szCs w:val="21"/>
                <w:highlight w:val="none"/>
              </w:rPr>
              <w:t>日前，在磋商公告发布的媒体上发布更正公告。本项目磋商文件和补充（答疑、澄清）、修改文件等请自行登录浙江政府采购网或绍兴市上虞区公共资源交易中心网站查看。</w:t>
            </w:r>
          </w:p>
        </w:tc>
      </w:tr>
      <w:tr w14:paraId="2686F1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09B5A6B1">
            <w:pPr>
              <w:snapToGrid w:val="0"/>
              <w:jc w:val="center"/>
              <w:rPr>
                <w:rFonts w:ascii="宋体"/>
                <w:snapToGrid w:val="0"/>
                <w:color w:val="auto"/>
                <w:sz w:val="21"/>
                <w:szCs w:val="21"/>
                <w:highlight w:val="none"/>
              </w:rPr>
            </w:pPr>
            <w:r>
              <w:rPr>
                <w:rFonts w:ascii="宋体" w:hAnsi="宋体" w:cs="宋体"/>
                <w:snapToGrid w:val="0"/>
                <w:color w:val="auto"/>
                <w:sz w:val="21"/>
                <w:szCs w:val="21"/>
                <w:highlight w:val="none"/>
              </w:rPr>
              <w:t>8</w:t>
            </w:r>
          </w:p>
        </w:tc>
        <w:tc>
          <w:tcPr>
            <w:tcW w:w="1800" w:type="dxa"/>
            <w:vAlign w:val="center"/>
          </w:tcPr>
          <w:p w14:paraId="7FFC1087">
            <w:pPr>
              <w:snapToGrid w:val="0"/>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磋商响应文件组成</w:t>
            </w:r>
          </w:p>
        </w:tc>
        <w:tc>
          <w:tcPr>
            <w:tcW w:w="6682" w:type="dxa"/>
            <w:vAlign w:val="center"/>
          </w:tcPr>
          <w:p w14:paraId="6FA5053E">
            <w:pPr>
              <w:snapToGrid w:val="0"/>
              <w:ind w:firstLine="420" w:firstLineChars="200"/>
              <w:rPr>
                <w:rFonts w:ascii="宋体"/>
                <w:snapToGrid w:val="0"/>
                <w:color w:val="auto"/>
                <w:sz w:val="21"/>
                <w:szCs w:val="21"/>
                <w:highlight w:val="none"/>
              </w:rPr>
            </w:pPr>
            <w:r>
              <w:rPr>
                <w:rFonts w:hint="eastAsia" w:ascii="宋体" w:hAnsi="宋体" w:cs="宋体"/>
                <w:snapToGrid w:val="0"/>
                <w:color w:val="auto"/>
                <w:sz w:val="21"/>
                <w:szCs w:val="21"/>
                <w:highlight w:val="none"/>
              </w:rPr>
              <w:t>供应商向采购人递交的响应文件由资格文件、商务技术文件、报价文件三部分组成。</w:t>
            </w:r>
          </w:p>
        </w:tc>
      </w:tr>
      <w:tr w14:paraId="274F0E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14:paraId="67CDA088">
            <w:pPr>
              <w:snapToGrid w:val="0"/>
              <w:jc w:val="center"/>
              <w:rPr>
                <w:rFonts w:ascii="宋体"/>
                <w:snapToGrid w:val="0"/>
                <w:color w:val="auto"/>
                <w:sz w:val="21"/>
                <w:szCs w:val="21"/>
                <w:highlight w:val="none"/>
              </w:rPr>
            </w:pPr>
            <w:r>
              <w:rPr>
                <w:rFonts w:ascii="宋体" w:hAnsi="宋体" w:cs="宋体"/>
                <w:snapToGrid w:val="0"/>
                <w:color w:val="auto"/>
                <w:sz w:val="21"/>
                <w:szCs w:val="21"/>
                <w:highlight w:val="none"/>
              </w:rPr>
              <w:t>9</w:t>
            </w:r>
          </w:p>
        </w:tc>
        <w:tc>
          <w:tcPr>
            <w:tcW w:w="1800" w:type="dxa"/>
            <w:vAlign w:val="center"/>
          </w:tcPr>
          <w:p w14:paraId="6C2097AC">
            <w:pPr>
              <w:snapToGrid w:val="0"/>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评标办法</w:t>
            </w:r>
          </w:p>
        </w:tc>
        <w:tc>
          <w:tcPr>
            <w:tcW w:w="6682" w:type="dxa"/>
            <w:vAlign w:val="center"/>
          </w:tcPr>
          <w:p w14:paraId="10BFA64F">
            <w:pPr>
              <w:snapToGrid w:val="0"/>
              <w:ind w:firstLine="420" w:firstLineChars="200"/>
              <w:rPr>
                <w:rFonts w:ascii="宋体"/>
                <w:snapToGrid w:val="0"/>
                <w:color w:val="auto"/>
                <w:sz w:val="21"/>
                <w:szCs w:val="21"/>
                <w:highlight w:val="none"/>
              </w:rPr>
            </w:pPr>
            <w:r>
              <w:rPr>
                <w:rFonts w:hint="eastAsia" w:ascii="宋体" w:hAnsi="宋体" w:cs="宋体"/>
                <w:snapToGrid w:val="0"/>
                <w:color w:val="auto"/>
                <w:sz w:val="21"/>
                <w:szCs w:val="21"/>
                <w:highlight w:val="none"/>
              </w:rPr>
              <w:t>综合评分法</w:t>
            </w:r>
          </w:p>
        </w:tc>
      </w:tr>
      <w:tr w14:paraId="5F41FB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388F23B">
            <w:pPr>
              <w:snapToGrid w:val="0"/>
              <w:jc w:val="center"/>
              <w:rPr>
                <w:rFonts w:ascii="宋体"/>
                <w:snapToGrid w:val="0"/>
                <w:color w:val="auto"/>
                <w:sz w:val="21"/>
                <w:szCs w:val="21"/>
                <w:highlight w:val="none"/>
              </w:rPr>
            </w:pPr>
            <w:r>
              <w:rPr>
                <w:rFonts w:ascii="宋体" w:hAnsi="宋体" w:cs="宋体"/>
                <w:snapToGrid w:val="0"/>
                <w:color w:val="auto"/>
                <w:sz w:val="21"/>
                <w:szCs w:val="21"/>
                <w:highlight w:val="none"/>
              </w:rPr>
              <w:t>10</w:t>
            </w:r>
          </w:p>
        </w:tc>
        <w:tc>
          <w:tcPr>
            <w:tcW w:w="1800" w:type="dxa"/>
            <w:vAlign w:val="center"/>
          </w:tcPr>
          <w:p w14:paraId="2D9B0580">
            <w:pPr>
              <w:snapToGrid w:val="0"/>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磋商响应文件递交地址及截止时间</w:t>
            </w:r>
          </w:p>
        </w:tc>
        <w:tc>
          <w:tcPr>
            <w:tcW w:w="6682" w:type="dxa"/>
            <w:vAlign w:val="center"/>
          </w:tcPr>
          <w:p w14:paraId="7CC1BACF">
            <w:pPr>
              <w:snapToGrid w:val="0"/>
              <w:ind w:firstLine="420" w:firstLineChars="200"/>
              <w:rPr>
                <w:rFonts w:ascii="宋体"/>
                <w:color w:val="auto"/>
                <w:sz w:val="21"/>
                <w:szCs w:val="21"/>
                <w:highlight w:val="none"/>
              </w:rPr>
            </w:pPr>
            <w:r>
              <w:rPr>
                <w:rFonts w:hint="eastAsia" w:ascii="宋体" w:hAnsi="宋体" w:cs="宋体"/>
                <w:snapToGrid w:val="0"/>
                <w:color w:val="auto"/>
                <w:sz w:val="21"/>
                <w:szCs w:val="21"/>
                <w:highlight w:val="none"/>
              </w:rPr>
              <w:t>详见磋商公告</w:t>
            </w:r>
          </w:p>
        </w:tc>
      </w:tr>
      <w:tr w14:paraId="4CA7A8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9879A91">
            <w:pPr>
              <w:snapToGrid w:val="0"/>
              <w:jc w:val="center"/>
              <w:rPr>
                <w:rFonts w:ascii="宋体"/>
                <w:snapToGrid w:val="0"/>
                <w:color w:val="auto"/>
                <w:sz w:val="21"/>
                <w:szCs w:val="21"/>
                <w:highlight w:val="none"/>
              </w:rPr>
            </w:pPr>
            <w:r>
              <w:rPr>
                <w:rFonts w:ascii="宋体" w:hAnsi="宋体" w:cs="宋体"/>
                <w:snapToGrid w:val="0"/>
                <w:color w:val="auto"/>
                <w:sz w:val="21"/>
                <w:szCs w:val="21"/>
                <w:highlight w:val="none"/>
              </w:rPr>
              <w:t>11</w:t>
            </w:r>
          </w:p>
        </w:tc>
        <w:tc>
          <w:tcPr>
            <w:tcW w:w="1800" w:type="dxa"/>
            <w:vAlign w:val="center"/>
          </w:tcPr>
          <w:p w14:paraId="6CC4F5B2">
            <w:pPr>
              <w:snapToGrid w:val="0"/>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开标时间、地点</w:t>
            </w:r>
          </w:p>
        </w:tc>
        <w:tc>
          <w:tcPr>
            <w:tcW w:w="6682" w:type="dxa"/>
            <w:vAlign w:val="center"/>
          </w:tcPr>
          <w:p w14:paraId="3B6C21DD">
            <w:pPr>
              <w:snapToGrid w:val="0"/>
              <w:ind w:firstLine="420" w:firstLineChars="200"/>
              <w:rPr>
                <w:rFonts w:ascii="宋体"/>
                <w:snapToGrid w:val="0"/>
                <w:color w:val="auto"/>
                <w:sz w:val="21"/>
                <w:szCs w:val="21"/>
                <w:highlight w:val="none"/>
              </w:rPr>
            </w:pPr>
            <w:r>
              <w:rPr>
                <w:rFonts w:hint="eastAsia" w:ascii="宋体" w:hAnsi="宋体" w:cs="宋体"/>
                <w:snapToGrid w:val="0"/>
                <w:color w:val="auto"/>
                <w:sz w:val="21"/>
                <w:szCs w:val="21"/>
                <w:highlight w:val="none"/>
              </w:rPr>
              <w:t>开标时间：</w:t>
            </w:r>
            <w:r>
              <w:rPr>
                <w:rFonts w:hint="eastAsia" w:ascii="宋体" w:hAnsi="宋体" w:cs="宋体"/>
                <w:color w:val="auto"/>
                <w:sz w:val="21"/>
                <w:szCs w:val="21"/>
                <w:highlight w:val="none"/>
              </w:rPr>
              <w:t>详见磋商公告</w:t>
            </w:r>
          </w:p>
          <w:p w14:paraId="0D6D2A4D">
            <w:pPr>
              <w:snapToGrid w:val="0"/>
              <w:ind w:firstLine="420" w:firstLineChars="200"/>
              <w:rPr>
                <w:rFonts w:ascii="宋体"/>
                <w:color w:val="auto"/>
                <w:sz w:val="21"/>
                <w:szCs w:val="21"/>
                <w:highlight w:val="none"/>
              </w:rPr>
            </w:pPr>
            <w:r>
              <w:rPr>
                <w:rFonts w:hint="eastAsia" w:ascii="宋体" w:hAnsi="宋体" w:cs="宋体"/>
                <w:snapToGrid w:val="0"/>
                <w:color w:val="auto"/>
                <w:sz w:val="21"/>
                <w:szCs w:val="21"/>
                <w:highlight w:val="none"/>
              </w:rPr>
              <w:t>开标地点：</w:t>
            </w:r>
            <w:r>
              <w:rPr>
                <w:rFonts w:hint="eastAsia" w:ascii="宋体" w:hAnsi="宋体" w:cs="宋体"/>
                <w:color w:val="auto"/>
                <w:sz w:val="21"/>
                <w:szCs w:val="21"/>
                <w:highlight w:val="none"/>
              </w:rPr>
              <w:t>详见磋商公告</w:t>
            </w:r>
          </w:p>
        </w:tc>
      </w:tr>
      <w:tr w14:paraId="0D0B6B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70AA7900">
            <w:pPr>
              <w:snapToGrid w:val="0"/>
              <w:jc w:val="center"/>
              <w:rPr>
                <w:rFonts w:ascii="宋体"/>
                <w:snapToGrid w:val="0"/>
                <w:color w:val="auto"/>
                <w:sz w:val="21"/>
                <w:szCs w:val="21"/>
                <w:highlight w:val="none"/>
              </w:rPr>
            </w:pPr>
            <w:r>
              <w:rPr>
                <w:rFonts w:ascii="宋体" w:hAnsi="宋体" w:cs="宋体"/>
                <w:snapToGrid w:val="0"/>
                <w:color w:val="auto"/>
                <w:sz w:val="21"/>
                <w:szCs w:val="21"/>
                <w:highlight w:val="none"/>
              </w:rPr>
              <w:t>12</w:t>
            </w:r>
          </w:p>
        </w:tc>
        <w:tc>
          <w:tcPr>
            <w:tcW w:w="1800" w:type="dxa"/>
            <w:vAlign w:val="center"/>
          </w:tcPr>
          <w:p w14:paraId="72FF5E9C">
            <w:pPr>
              <w:snapToGrid w:val="0"/>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磋商响应文件有效期</w:t>
            </w:r>
          </w:p>
        </w:tc>
        <w:tc>
          <w:tcPr>
            <w:tcW w:w="6682" w:type="dxa"/>
            <w:vAlign w:val="center"/>
          </w:tcPr>
          <w:p w14:paraId="5CD7EF9D">
            <w:pPr>
              <w:snapToGrid w:val="0"/>
              <w:ind w:firstLine="420" w:firstLineChars="200"/>
              <w:rPr>
                <w:rFonts w:ascii="宋体"/>
                <w:snapToGrid w:val="0"/>
                <w:color w:val="auto"/>
                <w:sz w:val="21"/>
                <w:szCs w:val="21"/>
                <w:highlight w:val="none"/>
              </w:rPr>
            </w:pPr>
            <w:r>
              <w:rPr>
                <w:rFonts w:hint="eastAsia" w:ascii="宋体" w:hAnsi="宋体" w:cs="宋体"/>
                <w:snapToGrid w:val="0"/>
                <w:color w:val="auto"/>
                <w:sz w:val="21"/>
                <w:szCs w:val="21"/>
                <w:highlight w:val="none"/>
              </w:rPr>
              <w:t>响应文件有效期为从提交响应文件的截止之日起</w:t>
            </w:r>
            <w:r>
              <w:rPr>
                <w:rFonts w:ascii="宋体" w:hAnsi="宋体" w:cs="宋体"/>
                <w:snapToGrid w:val="0"/>
                <w:color w:val="auto"/>
                <w:sz w:val="21"/>
                <w:szCs w:val="21"/>
                <w:highlight w:val="none"/>
              </w:rPr>
              <w:t>90</w:t>
            </w:r>
            <w:r>
              <w:rPr>
                <w:rFonts w:hint="eastAsia" w:ascii="宋体" w:hAnsi="宋体" w:cs="宋体"/>
                <w:snapToGrid w:val="0"/>
                <w:color w:val="auto"/>
                <w:sz w:val="21"/>
                <w:szCs w:val="21"/>
                <w:highlight w:val="none"/>
              </w:rPr>
              <w:t>天。供应商的响应文件中承诺的响应文件有效期少于磋商文件中载明的响应文件有效期的，磋商无效。</w:t>
            </w:r>
          </w:p>
        </w:tc>
      </w:tr>
      <w:tr w14:paraId="125399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3C8F7BD">
            <w:pPr>
              <w:snapToGrid w:val="0"/>
              <w:jc w:val="center"/>
              <w:rPr>
                <w:rFonts w:ascii="宋体"/>
                <w:snapToGrid w:val="0"/>
                <w:color w:val="auto"/>
                <w:sz w:val="21"/>
                <w:szCs w:val="21"/>
                <w:highlight w:val="none"/>
              </w:rPr>
            </w:pPr>
            <w:r>
              <w:rPr>
                <w:rFonts w:ascii="宋体" w:hAnsi="宋体" w:cs="宋体"/>
                <w:snapToGrid w:val="0"/>
                <w:color w:val="auto"/>
                <w:sz w:val="21"/>
                <w:szCs w:val="21"/>
                <w:highlight w:val="none"/>
              </w:rPr>
              <w:t>13</w:t>
            </w:r>
          </w:p>
        </w:tc>
        <w:tc>
          <w:tcPr>
            <w:tcW w:w="1800" w:type="dxa"/>
            <w:vAlign w:val="center"/>
          </w:tcPr>
          <w:p w14:paraId="26B6F550">
            <w:pPr>
              <w:snapToGrid w:val="0"/>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履约保证金</w:t>
            </w:r>
          </w:p>
        </w:tc>
        <w:tc>
          <w:tcPr>
            <w:tcW w:w="6682" w:type="dxa"/>
            <w:vAlign w:val="center"/>
          </w:tcPr>
          <w:p w14:paraId="4B44EB64">
            <w:pPr>
              <w:ind w:firstLine="420" w:firstLineChars="200"/>
              <w:jc w:val="left"/>
              <w:rPr>
                <w:rFonts w:hint="eastAsia" w:hAnsi="宋体" w:cs="Times New Roman"/>
                <w:color w:val="auto"/>
                <w:sz w:val="21"/>
                <w:szCs w:val="21"/>
                <w:highlight w:val="none"/>
              </w:rPr>
            </w:pPr>
            <w:r>
              <w:rPr>
                <w:rFonts w:hint="eastAsia" w:hAnsi="宋体" w:cs="Times New Roman"/>
                <w:color w:val="auto"/>
                <w:sz w:val="21"/>
                <w:szCs w:val="21"/>
                <w:highlight w:val="none"/>
              </w:rPr>
              <w:t>中标单位在收到中标通知书后，需向采购人提供合同价的1%作为履约保证金，</w:t>
            </w:r>
            <w:r>
              <w:rPr>
                <w:rFonts w:hint="eastAsia" w:hAnsi="宋体" w:cs="Times New Roman"/>
                <w:color w:val="auto"/>
                <w:sz w:val="21"/>
                <w:szCs w:val="21"/>
                <w:highlight w:val="none"/>
                <w:lang w:val="en-US" w:eastAsia="zh-CN"/>
              </w:rPr>
              <w:t>履约验收合格后</w:t>
            </w:r>
            <w:r>
              <w:rPr>
                <w:rFonts w:hint="eastAsia" w:hAnsi="宋体" w:cs="Times New Roman"/>
                <w:color w:val="auto"/>
                <w:sz w:val="21"/>
                <w:szCs w:val="21"/>
                <w:highlight w:val="none"/>
              </w:rPr>
              <w:t>无息退还。（供应商应当以支票、汇票、本票或者金融机构、保险公司、担保机构出具的保函等非现金形式提交）。</w:t>
            </w:r>
          </w:p>
          <w:p w14:paraId="6AC1D00A">
            <w:pPr>
              <w:ind w:firstLine="420" w:firstLineChars="200"/>
              <w:jc w:val="left"/>
              <w:rPr>
                <w:rFonts w:hAnsi="宋体" w:cs="Times New Roman"/>
                <w:color w:val="auto"/>
                <w:sz w:val="21"/>
                <w:szCs w:val="21"/>
                <w:highlight w:val="none"/>
              </w:rPr>
            </w:pPr>
            <w:r>
              <w:rPr>
                <w:rFonts w:hint="eastAsia" w:hAnsi="宋体" w:cs="Times New Roman"/>
                <w:color w:val="auto"/>
                <w:sz w:val="21"/>
                <w:szCs w:val="21"/>
                <w:highlight w:val="none"/>
                <w:lang w:val="en-US" w:eastAsia="zh-CN"/>
              </w:rPr>
              <w:t>履行合同完毕后，中标人将全部资料以妥当的方式交接给采购人指定的接受人员和机构，经采购人验收合格后，由双方按合同约定结算履约保证金并退还剩余履约保证金（无息）。</w:t>
            </w:r>
          </w:p>
        </w:tc>
      </w:tr>
      <w:tr w14:paraId="7CBD51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2F7BA6E">
            <w:pPr>
              <w:snapToGrid w:val="0"/>
              <w:jc w:val="center"/>
              <w:rPr>
                <w:rFonts w:ascii="宋体"/>
                <w:snapToGrid w:val="0"/>
                <w:color w:val="auto"/>
                <w:sz w:val="21"/>
                <w:szCs w:val="21"/>
                <w:highlight w:val="none"/>
              </w:rPr>
            </w:pPr>
            <w:r>
              <w:rPr>
                <w:rFonts w:ascii="宋体" w:hAnsi="宋体" w:cs="宋体"/>
                <w:snapToGrid w:val="0"/>
                <w:color w:val="auto"/>
                <w:sz w:val="21"/>
                <w:szCs w:val="21"/>
                <w:highlight w:val="none"/>
              </w:rPr>
              <w:t>14</w:t>
            </w:r>
          </w:p>
        </w:tc>
        <w:tc>
          <w:tcPr>
            <w:tcW w:w="1800" w:type="dxa"/>
            <w:vAlign w:val="center"/>
          </w:tcPr>
          <w:p w14:paraId="1C3BC3A5">
            <w:pPr>
              <w:snapToGrid w:val="0"/>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磋商公告及成交结果公告发布媒体</w:t>
            </w:r>
          </w:p>
        </w:tc>
        <w:tc>
          <w:tcPr>
            <w:tcW w:w="6682" w:type="dxa"/>
            <w:vAlign w:val="center"/>
          </w:tcPr>
          <w:p w14:paraId="636AE8E9">
            <w:pPr>
              <w:pStyle w:val="16"/>
              <w:snapToGrid w:val="0"/>
              <w:ind w:firstLine="420" w:firstLineChars="200"/>
              <w:rPr>
                <w:rFonts w:hAnsi="宋体" w:cs="Times New Roman"/>
                <w:color w:val="auto"/>
                <w:sz w:val="21"/>
                <w:szCs w:val="21"/>
                <w:highlight w:val="none"/>
              </w:rPr>
            </w:pPr>
            <w:r>
              <w:rPr>
                <w:rFonts w:hint="eastAsia" w:hAnsi="宋体"/>
                <w:color w:val="auto"/>
                <w:sz w:val="21"/>
                <w:szCs w:val="21"/>
                <w:highlight w:val="none"/>
              </w:rPr>
              <w:t>浙江省政府采购网、</w:t>
            </w:r>
            <w:r>
              <w:rPr>
                <w:rFonts w:hAnsi="宋体"/>
                <w:color w:val="auto"/>
                <w:sz w:val="21"/>
                <w:szCs w:val="21"/>
                <w:highlight w:val="none"/>
              </w:rPr>
              <w:t xml:space="preserve"> </w:t>
            </w:r>
            <w:r>
              <w:rPr>
                <w:rFonts w:hint="eastAsia" w:hAnsi="宋体"/>
                <w:color w:val="auto"/>
                <w:sz w:val="21"/>
                <w:szCs w:val="21"/>
                <w:highlight w:val="none"/>
              </w:rPr>
              <w:t>绍兴市上虞区公共资源交易中心网站</w:t>
            </w:r>
          </w:p>
        </w:tc>
      </w:tr>
      <w:tr w14:paraId="24050B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F367306">
            <w:pPr>
              <w:snapToGrid w:val="0"/>
              <w:jc w:val="center"/>
              <w:rPr>
                <w:rFonts w:ascii="宋体"/>
                <w:color w:val="auto"/>
                <w:sz w:val="21"/>
                <w:szCs w:val="21"/>
                <w:highlight w:val="none"/>
              </w:rPr>
            </w:pPr>
            <w:r>
              <w:rPr>
                <w:rFonts w:ascii="宋体" w:hAnsi="宋体" w:cs="宋体"/>
                <w:color w:val="auto"/>
                <w:sz w:val="21"/>
                <w:szCs w:val="21"/>
                <w:highlight w:val="none"/>
              </w:rPr>
              <w:t>15</w:t>
            </w:r>
          </w:p>
        </w:tc>
        <w:tc>
          <w:tcPr>
            <w:tcW w:w="1800" w:type="dxa"/>
            <w:vAlign w:val="center"/>
          </w:tcPr>
          <w:p w14:paraId="5D85B2C1">
            <w:pPr>
              <w:snapToGrid w:val="0"/>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质疑</w:t>
            </w:r>
          </w:p>
        </w:tc>
        <w:tc>
          <w:tcPr>
            <w:tcW w:w="6682" w:type="dxa"/>
            <w:vAlign w:val="center"/>
          </w:tcPr>
          <w:p w14:paraId="125ACB22">
            <w:pPr>
              <w:ind w:firstLine="420" w:firstLineChars="200"/>
              <w:jc w:val="left"/>
              <w:rPr>
                <w:rFonts w:ascii="宋体"/>
                <w:color w:val="auto"/>
                <w:sz w:val="21"/>
                <w:szCs w:val="21"/>
                <w:highlight w:val="none"/>
              </w:rPr>
            </w:pPr>
            <w:r>
              <w:rPr>
                <w:rFonts w:hint="eastAsia" w:ascii="宋体" w:hAnsi="宋体" w:cs="宋体"/>
                <w:color w:val="auto"/>
                <w:sz w:val="21"/>
                <w:szCs w:val="21"/>
                <w:highlight w:val="none"/>
              </w:rPr>
              <w:t>根据《中华人民共和国政府采购法》第五十二条、《中华人民共和国政府采购法实施条例》第五十三条、《浙江省政府采购供应商质疑处理办法》的规定：</w:t>
            </w:r>
          </w:p>
          <w:p w14:paraId="102BF5FB">
            <w:pPr>
              <w:ind w:firstLine="420" w:firstLineChars="200"/>
              <w:jc w:val="left"/>
              <w:rPr>
                <w:rFonts w:ascii="宋体"/>
                <w:color w:val="auto"/>
                <w:sz w:val="21"/>
                <w:szCs w:val="21"/>
                <w:highlight w:val="none"/>
              </w:rPr>
            </w:pPr>
            <w:r>
              <w:rPr>
                <w:rFonts w:hint="eastAsia" w:ascii="宋体" w:hAnsi="宋体" w:cs="宋体"/>
                <w:color w:val="auto"/>
                <w:sz w:val="21"/>
                <w:szCs w:val="21"/>
                <w:highlight w:val="none"/>
              </w:rPr>
              <w:t>供应商认为磋商文件使自己的权益受到损害的，可以在磋商文件公告期限届满之日起</w:t>
            </w:r>
            <w:r>
              <w:rPr>
                <w:rFonts w:ascii="宋体" w:hAnsi="宋体" w:cs="宋体"/>
                <w:color w:val="auto"/>
                <w:sz w:val="21"/>
                <w:szCs w:val="21"/>
                <w:highlight w:val="none"/>
              </w:rPr>
              <w:t>7</w:t>
            </w:r>
            <w:r>
              <w:rPr>
                <w:rFonts w:hint="eastAsia" w:ascii="宋体" w:hAnsi="宋体" w:cs="宋体"/>
                <w:color w:val="auto"/>
                <w:sz w:val="21"/>
                <w:szCs w:val="21"/>
                <w:highlight w:val="none"/>
              </w:rPr>
              <w:t>个工作日内，以书面形式向采购人和采购代理机构提出质疑。供应商在法定质疑期内应一次性提出针对同一采购程序环节的质疑。供应商如认为采购过程使自身的合法权益受到损害的，应于各采购程序环节结束之日起七个工作日内以书面形式向采购机构提出质疑；</w:t>
            </w:r>
          </w:p>
          <w:p w14:paraId="4FAD8C97">
            <w:pPr>
              <w:snapToGrid w:val="0"/>
              <w:ind w:firstLine="420" w:firstLineChars="200"/>
              <w:jc w:val="left"/>
              <w:rPr>
                <w:rFonts w:ascii="宋体"/>
                <w:snapToGrid w:val="0"/>
                <w:color w:val="auto"/>
                <w:sz w:val="21"/>
                <w:szCs w:val="21"/>
                <w:highlight w:val="none"/>
              </w:rPr>
            </w:pPr>
            <w:r>
              <w:rPr>
                <w:rFonts w:hint="eastAsia" w:ascii="宋体" w:hAnsi="宋体" w:cs="宋体"/>
                <w:color w:val="auto"/>
                <w:sz w:val="21"/>
                <w:szCs w:val="21"/>
                <w:highlight w:val="none"/>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sz w:val="21"/>
                <w:szCs w:val="21"/>
                <w:highlight w:val="none"/>
              </w:rPr>
              <w:t>。</w:t>
            </w:r>
          </w:p>
        </w:tc>
      </w:tr>
      <w:tr w14:paraId="580AA4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5184F19">
            <w:pPr>
              <w:snapToGrid w:val="0"/>
              <w:jc w:val="center"/>
              <w:rPr>
                <w:rFonts w:ascii="宋体"/>
                <w:snapToGrid w:val="0"/>
                <w:color w:val="auto"/>
                <w:sz w:val="21"/>
                <w:szCs w:val="21"/>
                <w:highlight w:val="none"/>
              </w:rPr>
            </w:pPr>
            <w:r>
              <w:rPr>
                <w:rFonts w:ascii="宋体" w:hAnsi="宋体" w:cs="宋体"/>
                <w:snapToGrid w:val="0"/>
                <w:color w:val="auto"/>
                <w:sz w:val="21"/>
                <w:szCs w:val="21"/>
                <w:highlight w:val="none"/>
              </w:rPr>
              <w:t>16</w:t>
            </w:r>
          </w:p>
        </w:tc>
        <w:tc>
          <w:tcPr>
            <w:tcW w:w="1800" w:type="dxa"/>
            <w:vAlign w:val="center"/>
          </w:tcPr>
          <w:p w14:paraId="36935249">
            <w:pPr>
              <w:snapToGrid w:val="0"/>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投诉</w:t>
            </w:r>
          </w:p>
        </w:tc>
        <w:tc>
          <w:tcPr>
            <w:tcW w:w="6682" w:type="dxa"/>
            <w:vAlign w:val="center"/>
          </w:tcPr>
          <w:p w14:paraId="71DBCF07">
            <w:pPr>
              <w:snapToGrid w:val="0"/>
              <w:ind w:firstLine="420" w:firstLineChars="200"/>
              <w:jc w:val="left"/>
              <w:rPr>
                <w:rFonts w:ascii="宋体"/>
                <w:snapToGrid w:val="0"/>
                <w:color w:val="auto"/>
                <w:sz w:val="21"/>
                <w:szCs w:val="21"/>
                <w:highlight w:val="none"/>
              </w:rPr>
            </w:pPr>
            <w:r>
              <w:rPr>
                <w:rFonts w:hint="eastAsia" w:ascii="宋体" w:hAnsi="宋体" w:cs="宋体"/>
                <w:snapToGrid w:val="0"/>
                <w:color w:val="auto"/>
                <w:sz w:val="21"/>
                <w:szCs w:val="21"/>
                <w:highlight w:val="none"/>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475AC1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6084198">
            <w:pPr>
              <w:snapToGrid w:val="0"/>
              <w:jc w:val="center"/>
              <w:rPr>
                <w:rFonts w:ascii="宋体"/>
                <w:snapToGrid w:val="0"/>
                <w:color w:val="auto"/>
                <w:sz w:val="21"/>
                <w:szCs w:val="21"/>
                <w:highlight w:val="none"/>
              </w:rPr>
            </w:pPr>
            <w:r>
              <w:rPr>
                <w:rFonts w:ascii="宋体" w:hAnsi="宋体" w:cs="宋体"/>
                <w:snapToGrid w:val="0"/>
                <w:color w:val="auto"/>
                <w:sz w:val="21"/>
                <w:szCs w:val="21"/>
                <w:highlight w:val="none"/>
              </w:rPr>
              <w:t>17</w:t>
            </w:r>
          </w:p>
        </w:tc>
        <w:tc>
          <w:tcPr>
            <w:tcW w:w="1800" w:type="dxa"/>
            <w:vAlign w:val="center"/>
          </w:tcPr>
          <w:p w14:paraId="4BF6A879">
            <w:pPr>
              <w:snapToGrid w:val="0"/>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特别说明</w:t>
            </w:r>
          </w:p>
        </w:tc>
        <w:tc>
          <w:tcPr>
            <w:tcW w:w="6682" w:type="dxa"/>
            <w:vAlign w:val="center"/>
          </w:tcPr>
          <w:p w14:paraId="23C7617B">
            <w:pPr>
              <w:pStyle w:val="16"/>
              <w:snapToGrid w:val="0"/>
              <w:ind w:firstLine="420" w:firstLineChars="200"/>
              <w:rPr>
                <w:rFonts w:hAnsi="宋体" w:cs="Times New Roman"/>
                <w:color w:val="auto"/>
                <w:sz w:val="21"/>
                <w:szCs w:val="21"/>
                <w:highlight w:val="none"/>
              </w:rPr>
            </w:pPr>
            <w:r>
              <w:rPr>
                <w:rFonts w:hint="eastAsia" w:hAnsi="宋体"/>
                <w:color w:val="auto"/>
                <w:sz w:val="21"/>
                <w:szCs w:val="21"/>
                <w:highlight w:val="none"/>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74BCB66B">
            <w:pPr>
              <w:pStyle w:val="16"/>
              <w:snapToGrid w:val="0"/>
              <w:ind w:firstLine="420" w:firstLineChars="200"/>
              <w:rPr>
                <w:rFonts w:hAnsi="宋体" w:cs="Times New Roman"/>
                <w:color w:val="auto"/>
                <w:sz w:val="21"/>
                <w:szCs w:val="21"/>
                <w:highlight w:val="none"/>
              </w:rPr>
            </w:pPr>
            <w:r>
              <w:rPr>
                <w:rFonts w:hint="eastAsia" w:hAnsi="宋体"/>
                <w:color w:val="auto"/>
                <w:sz w:val="21"/>
                <w:szCs w:val="21"/>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25018E16">
            <w:pPr>
              <w:pStyle w:val="16"/>
              <w:snapToGrid w:val="0"/>
              <w:ind w:firstLine="420" w:firstLineChars="200"/>
              <w:rPr>
                <w:rFonts w:hAnsi="宋体" w:cs="Times New Roman"/>
                <w:color w:val="auto"/>
                <w:sz w:val="21"/>
                <w:szCs w:val="21"/>
                <w:highlight w:val="none"/>
              </w:rPr>
            </w:pPr>
            <w:r>
              <w:rPr>
                <w:rFonts w:hint="eastAsia" w:hAnsi="宋体"/>
                <w:color w:val="auto"/>
                <w:sz w:val="21"/>
                <w:szCs w:val="21"/>
                <w:highlight w:val="none"/>
              </w:rPr>
              <w:t>质疑、投诉人未按前列进行质疑、投诉（申诉），均属于扰乱政府采购市场不良行为。</w:t>
            </w:r>
          </w:p>
          <w:p w14:paraId="3D3DA337">
            <w:pPr>
              <w:pStyle w:val="16"/>
              <w:snapToGrid w:val="0"/>
              <w:ind w:firstLine="420" w:firstLineChars="200"/>
              <w:rPr>
                <w:rFonts w:hAnsi="宋体" w:cs="Times New Roman"/>
                <w:b/>
                <w:bCs/>
                <w:color w:val="auto"/>
                <w:sz w:val="21"/>
                <w:szCs w:val="21"/>
                <w:highlight w:val="none"/>
              </w:rPr>
            </w:pPr>
            <w:r>
              <w:rPr>
                <w:rFonts w:hint="eastAsia" w:hAnsi="宋体"/>
                <w:color w:val="auto"/>
                <w:sz w:val="21"/>
                <w:szCs w:val="21"/>
                <w:highlight w:val="none"/>
              </w:rPr>
              <w:t>磋商文件中凡标注“★”的条款均为实质性要求，不响应的响应文件将作无效标处理。</w:t>
            </w:r>
          </w:p>
        </w:tc>
      </w:tr>
      <w:tr w14:paraId="5E9E68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37E995EA">
            <w:pPr>
              <w:snapToGrid w:val="0"/>
              <w:jc w:val="center"/>
              <w:rPr>
                <w:rFonts w:ascii="宋体"/>
                <w:snapToGrid w:val="0"/>
                <w:color w:val="auto"/>
                <w:sz w:val="21"/>
                <w:szCs w:val="21"/>
                <w:highlight w:val="none"/>
              </w:rPr>
            </w:pPr>
            <w:r>
              <w:rPr>
                <w:rFonts w:ascii="宋体" w:hAnsi="宋体" w:cs="宋体"/>
                <w:snapToGrid w:val="0"/>
                <w:color w:val="auto"/>
                <w:sz w:val="21"/>
                <w:szCs w:val="21"/>
                <w:highlight w:val="none"/>
              </w:rPr>
              <w:t>1</w:t>
            </w:r>
            <w:r>
              <w:rPr>
                <w:rFonts w:hint="eastAsia" w:ascii="宋体" w:hAnsi="宋体" w:cs="宋体"/>
                <w:snapToGrid w:val="0"/>
                <w:color w:val="auto"/>
                <w:sz w:val="21"/>
                <w:szCs w:val="21"/>
                <w:highlight w:val="none"/>
              </w:rPr>
              <w:t>8</w:t>
            </w:r>
          </w:p>
        </w:tc>
        <w:tc>
          <w:tcPr>
            <w:tcW w:w="1800" w:type="dxa"/>
            <w:vAlign w:val="center"/>
          </w:tcPr>
          <w:p w14:paraId="352E4BE6">
            <w:pPr>
              <w:snapToGrid w:val="0"/>
              <w:jc w:val="center"/>
              <w:rPr>
                <w:rFonts w:ascii="宋体"/>
                <w:color w:val="auto"/>
                <w:sz w:val="21"/>
                <w:szCs w:val="21"/>
                <w:highlight w:val="none"/>
              </w:rPr>
            </w:pPr>
            <w:r>
              <w:rPr>
                <w:rFonts w:hint="eastAsia" w:ascii="宋体" w:hAnsi="宋体" w:cs="宋体"/>
                <w:color w:val="auto"/>
                <w:sz w:val="21"/>
                <w:szCs w:val="21"/>
                <w:highlight w:val="none"/>
              </w:rPr>
              <w:t>支</w:t>
            </w:r>
          </w:p>
          <w:p w14:paraId="486E53C6">
            <w:pPr>
              <w:snapToGrid w:val="0"/>
              <w:jc w:val="center"/>
              <w:rPr>
                <w:rFonts w:ascii="宋体"/>
                <w:color w:val="auto"/>
                <w:sz w:val="21"/>
                <w:szCs w:val="21"/>
                <w:highlight w:val="none"/>
              </w:rPr>
            </w:pPr>
            <w:r>
              <w:rPr>
                <w:rFonts w:hint="eastAsia" w:ascii="宋体" w:hAnsi="宋体" w:cs="宋体"/>
                <w:color w:val="auto"/>
                <w:sz w:val="21"/>
                <w:szCs w:val="21"/>
                <w:highlight w:val="none"/>
              </w:rPr>
              <w:t>持</w:t>
            </w:r>
          </w:p>
          <w:p w14:paraId="0979628F">
            <w:pPr>
              <w:snapToGrid w:val="0"/>
              <w:jc w:val="center"/>
              <w:rPr>
                <w:rFonts w:ascii="宋体"/>
                <w:color w:val="auto"/>
                <w:sz w:val="21"/>
                <w:szCs w:val="21"/>
                <w:highlight w:val="none"/>
              </w:rPr>
            </w:pPr>
            <w:r>
              <w:rPr>
                <w:rFonts w:hint="eastAsia" w:ascii="宋体" w:hAnsi="宋体" w:cs="宋体"/>
                <w:color w:val="auto"/>
                <w:sz w:val="21"/>
                <w:szCs w:val="21"/>
                <w:highlight w:val="none"/>
              </w:rPr>
              <w:t>中</w:t>
            </w:r>
          </w:p>
          <w:p w14:paraId="0E5B5AA9">
            <w:pPr>
              <w:snapToGrid w:val="0"/>
              <w:jc w:val="center"/>
              <w:rPr>
                <w:rFonts w:ascii="宋体"/>
                <w:color w:val="auto"/>
                <w:sz w:val="21"/>
                <w:szCs w:val="21"/>
                <w:highlight w:val="none"/>
              </w:rPr>
            </w:pPr>
            <w:r>
              <w:rPr>
                <w:rFonts w:hint="eastAsia" w:ascii="宋体" w:hAnsi="宋体" w:cs="宋体"/>
                <w:color w:val="auto"/>
                <w:sz w:val="21"/>
                <w:szCs w:val="21"/>
                <w:highlight w:val="none"/>
              </w:rPr>
              <w:t>小</w:t>
            </w:r>
          </w:p>
          <w:p w14:paraId="7D273A4E">
            <w:pPr>
              <w:snapToGrid w:val="0"/>
              <w:jc w:val="center"/>
              <w:rPr>
                <w:rFonts w:ascii="宋体"/>
                <w:color w:val="auto"/>
                <w:sz w:val="21"/>
                <w:szCs w:val="21"/>
                <w:highlight w:val="none"/>
              </w:rPr>
            </w:pPr>
            <w:r>
              <w:rPr>
                <w:rFonts w:hint="eastAsia" w:ascii="宋体" w:hAnsi="宋体" w:cs="宋体"/>
                <w:color w:val="auto"/>
                <w:sz w:val="21"/>
                <w:szCs w:val="21"/>
                <w:highlight w:val="none"/>
              </w:rPr>
              <w:t>企</w:t>
            </w:r>
          </w:p>
          <w:p w14:paraId="2000A988">
            <w:pPr>
              <w:snapToGrid w:val="0"/>
              <w:jc w:val="center"/>
              <w:rPr>
                <w:rFonts w:ascii="宋体"/>
                <w:color w:val="auto"/>
                <w:sz w:val="21"/>
                <w:szCs w:val="21"/>
                <w:highlight w:val="none"/>
              </w:rPr>
            </w:pPr>
            <w:r>
              <w:rPr>
                <w:rFonts w:hint="eastAsia" w:ascii="宋体" w:hAnsi="宋体" w:cs="宋体"/>
                <w:color w:val="auto"/>
                <w:sz w:val="21"/>
                <w:szCs w:val="21"/>
                <w:highlight w:val="none"/>
              </w:rPr>
              <w:t>业</w:t>
            </w:r>
          </w:p>
        </w:tc>
        <w:tc>
          <w:tcPr>
            <w:tcW w:w="6682" w:type="dxa"/>
            <w:vAlign w:val="center"/>
          </w:tcPr>
          <w:p w14:paraId="0A80C00C">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33D6A32B">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61D6469C">
            <w:pPr>
              <w:bidi w:val="0"/>
              <w:spacing w:line="240" w:lineRule="auto"/>
              <w:ind w:firstLine="420" w:firstLineChars="200"/>
              <w:rPr>
                <w:color w:val="auto"/>
                <w:sz w:val="21"/>
                <w:szCs w:val="21"/>
                <w:highlight w:val="none"/>
              </w:rPr>
            </w:pPr>
            <w:r>
              <w:rPr>
                <w:rFonts w:hint="eastAsia"/>
                <w:color w:val="auto"/>
                <w:sz w:val="21"/>
                <w:szCs w:val="21"/>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1C1E8C32">
            <w:pPr>
              <w:bidi w:val="0"/>
              <w:spacing w:line="240" w:lineRule="auto"/>
              <w:ind w:firstLine="420" w:firstLineChars="200"/>
              <w:rPr>
                <w:color w:val="auto"/>
                <w:sz w:val="21"/>
                <w:szCs w:val="21"/>
                <w:highlight w:val="none"/>
              </w:rPr>
            </w:pPr>
            <w:r>
              <w:rPr>
                <w:color w:val="auto"/>
                <w:sz w:val="21"/>
                <w:szCs w:val="21"/>
                <w:highlight w:val="none"/>
              </w:rPr>
              <w:t>在服务采购项目中，服务由小微企业承接，即提供服务的人员为小微企业依照《中华人民共和国劳动合同法》订立劳动合同的从业人员。</w:t>
            </w:r>
          </w:p>
          <w:p w14:paraId="415EC21E">
            <w:pPr>
              <w:bidi w:val="0"/>
              <w:ind w:firstLine="420" w:firstLineChars="200"/>
              <w:rPr>
                <w:color w:val="auto"/>
                <w:sz w:val="21"/>
                <w:szCs w:val="21"/>
                <w:highlight w:val="none"/>
              </w:rPr>
            </w:pPr>
            <w:bookmarkStart w:id="23" w:name="_Toc16526"/>
            <w:r>
              <w:rPr>
                <w:rFonts w:hint="eastAsia"/>
                <w:color w:val="auto"/>
                <w:sz w:val="21"/>
                <w:szCs w:val="21"/>
                <w:highlight w:val="none"/>
              </w:rPr>
              <w:t>联合体各方均为小型、微型企业的，联合体视同为小型、微型企业。</w:t>
            </w:r>
            <w:bookmarkEnd w:id="23"/>
          </w:p>
          <w:p w14:paraId="37C546E4">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符合上述条件的中小微型企业应按照招标文件附件的格式要求提供《中小企业声明函》。符合《关于促进残疾人就业政府采购政策的通知》（财库〔2017〕141号）规定的条件并提供《残疾人福利性单位声明函》</w:t>
            </w:r>
            <w:r>
              <w:rPr>
                <w:rFonts w:hint="eastAsia" w:ascii="宋体" w:hAnsi="宋体" w:cs="宋体"/>
                <w:color w:val="auto"/>
                <w:sz w:val="21"/>
                <w:szCs w:val="21"/>
                <w:highlight w:val="none"/>
                <w:lang w:eastAsia="zh-CN"/>
              </w:rPr>
              <w:t>（格式见附件）</w:t>
            </w:r>
            <w:r>
              <w:rPr>
                <w:rFonts w:hint="eastAsia" w:ascii="宋体" w:hAnsi="宋体" w:cs="宋体"/>
                <w:color w:val="auto"/>
                <w:sz w:val="21"/>
                <w:szCs w:val="21"/>
                <w:highlight w:val="none"/>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E053535">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财政部</w:t>
            </w:r>
            <w:r>
              <w:rPr>
                <w:rFonts w:hint="eastAsia" w:ascii="宋体" w:hAnsi="宋体" w:eastAsia="宋体" w:cs="宋体"/>
                <w:color w:val="auto"/>
                <w:sz w:val="21"/>
                <w:szCs w:val="21"/>
                <w:highlight w:val="none"/>
              </w:rPr>
              <w:t>的《关于进一步加大政府采购支持中小企业力度的通知》（</w:t>
            </w:r>
            <w:r>
              <w:rPr>
                <w:rFonts w:hint="eastAsia" w:ascii="宋体" w:hAnsi="宋体" w:eastAsia="宋体" w:cs="宋体"/>
                <w:color w:val="auto"/>
                <w:sz w:val="21"/>
                <w:szCs w:val="21"/>
                <w:highlight w:val="none"/>
                <w:lang w:val="en-US" w:eastAsia="zh-CN"/>
              </w:rPr>
              <w:t>财库</w:t>
            </w:r>
            <w:r>
              <w:rPr>
                <w:rFonts w:hint="eastAsia" w:ascii="宋体" w:hAnsi="宋体" w:eastAsia="宋体" w:cs="宋体"/>
                <w:color w:val="auto"/>
                <w:sz w:val="21"/>
                <w:szCs w:val="21"/>
                <w:highlight w:val="none"/>
              </w:rPr>
              <w:t>〔2022〕</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给予扣除，用扣除后的价格参加评审。</w:t>
            </w:r>
          </w:p>
          <w:p w14:paraId="4773614D">
            <w:pPr>
              <w:ind w:firstLine="420" w:firstLineChars="200"/>
              <w:rPr>
                <w:rFonts w:ascii="宋体"/>
                <w:color w:val="auto"/>
                <w:sz w:val="21"/>
                <w:szCs w:val="21"/>
                <w:highlight w:val="none"/>
              </w:rPr>
            </w:pP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w:t>
            </w:r>
          </w:p>
        </w:tc>
      </w:tr>
      <w:tr w14:paraId="2BB353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78A8145C">
            <w:pPr>
              <w:snapToGrid w:val="0"/>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19</w:t>
            </w:r>
          </w:p>
        </w:tc>
        <w:tc>
          <w:tcPr>
            <w:tcW w:w="1800" w:type="dxa"/>
            <w:vAlign w:val="center"/>
          </w:tcPr>
          <w:p w14:paraId="2E4FA9FB">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招标代理服务费</w:t>
            </w:r>
          </w:p>
        </w:tc>
        <w:tc>
          <w:tcPr>
            <w:tcW w:w="6682" w:type="dxa"/>
            <w:vAlign w:val="center"/>
          </w:tcPr>
          <w:p w14:paraId="73D51F43">
            <w:pPr>
              <w:keepNext w:val="0"/>
              <w:keepLines w:val="0"/>
              <w:suppressLineNumbers w:val="0"/>
              <w:autoSpaceDN w:val="0"/>
              <w:spacing w:before="0" w:beforeAutospacing="0" w:after="0" w:afterAutospacing="0" w:line="340" w:lineRule="exact"/>
              <w:ind w:left="0" w:right="0" w:firstLine="420" w:firstLineChars="200"/>
              <w:rPr>
                <w:rFonts w:hint="eastAsia"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snapToGrid w:val="0"/>
                <w:color w:val="auto"/>
                <w:kern w:val="0"/>
                <w:sz w:val="21"/>
                <w:szCs w:val="21"/>
                <w:highlight w:val="none"/>
              </w:rPr>
              <w:t>招标代理服务费由</w:t>
            </w:r>
            <w:r>
              <w:rPr>
                <w:rFonts w:hint="eastAsia" w:asciiTheme="majorEastAsia" w:hAnsiTheme="majorEastAsia" w:eastAsiaTheme="majorEastAsia" w:cstheme="majorEastAsia"/>
                <w:snapToGrid w:val="0"/>
                <w:color w:val="auto"/>
                <w:kern w:val="0"/>
                <w:sz w:val="21"/>
                <w:szCs w:val="21"/>
                <w:highlight w:val="none"/>
                <w:lang w:eastAsia="zh-CN"/>
              </w:rPr>
              <w:t>成交供应商</w:t>
            </w:r>
            <w:r>
              <w:rPr>
                <w:rFonts w:hint="eastAsia" w:asciiTheme="majorEastAsia" w:hAnsiTheme="majorEastAsia" w:eastAsiaTheme="majorEastAsia" w:cstheme="majorEastAsia"/>
                <w:snapToGrid w:val="0"/>
                <w:color w:val="auto"/>
                <w:kern w:val="0"/>
                <w:sz w:val="21"/>
                <w:szCs w:val="21"/>
                <w:highlight w:val="none"/>
              </w:rPr>
              <w:t>支付，按下列服务招标差额定率累进法计算方式计取。</w:t>
            </w:r>
          </w:p>
          <w:tbl>
            <w:tblPr>
              <w:tblStyle w:val="29"/>
              <w:tblW w:w="611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8"/>
              <w:gridCol w:w="1010"/>
              <w:gridCol w:w="1010"/>
              <w:gridCol w:w="979"/>
            </w:tblGrid>
            <w:tr w14:paraId="5E8789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3"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79770229">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服务类型 中标金额（万元）</w:t>
                  </w:r>
                </w:p>
              </w:tc>
              <w:tc>
                <w:tcPr>
                  <w:tcW w:w="1010" w:type="dxa"/>
                  <w:tcBorders>
                    <w:top w:val="outset" w:color="auto" w:sz="6" w:space="0"/>
                    <w:left w:val="outset" w:color="auto" w:sz="6" w:space="0"/>
                    <w:bottom w:val="outset" w:color="auto" w:sz="6" w:space="0"/>
                    <w:right w:val="outset" w:color="auto" w:sz="6" w:space="0"/>
                  </w:tcBorders>
                  <w:vAlign w:val="center"/>
                </w:tcPr>
                <w:p w14:paraId="102BBBBB">
                  <w:pPr>
                    <w:pStyle w:val="27"/>
                    <w:keepNext w:val="0"/>
                    <w:keepLines w:val="0"/>
                    <w:suppressLineNumbers w:val="0"/>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货物招标</w:t>
                  </w:r>
                </w:p>
              </w:tc>
              <w:tc>
                <w:tcPr>
                  <w:tcW w:w="1010" w:type="dxa"/>
                  <w:tcBorders>
                    <w:top w:val="outset" w:color="auto" w:sz="6" w:space="0"/>
                    <w:left w:val="outset" w:color="auto" w:sz="6" w:space="0"/>
                    <w:bottom w:val="outset" w:color="auto" w:sz="6" w:space="0"/>
                    <w:right w:val="outset" w:color="auto" w:sz="6" w:space="0"/>
                  </w:tcBorders>
                  <w:vAlign w:val="center"/>
                </w:tcPr>
                <w:p w14:paraId="407E20FE">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服务招标</w:t>
                  </w:r>
                </w:p>
              </w:tc>
              <w:tc>
                <w:tcPr>
                  <w:tcW w:w="979" w:type="dxa"/>
                  <w:tcBorders>
                    <w:top w:val="outset" w:color="auto" w:sz="6" w:space="0"/>
                    <w:left w:val="outset" w:color="auto" w:sz="6" w:space="0"/>
                    <w:bottom w:val="outset" w:color="auto" w:sz="6" w:space="0"/>
                    <w:right w:val="outset" w:color="auto" w:sz="6" w:space="0"/>
                  </w:tcBorders>
                  <w:vAlign w:val="center"/>
                </w:tcPr>
                <w:p w14:paraId="3063361A">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工程招标</w:t>
                  </w:r>
                </w:p>
              </w:tc>
            </w:tr>
            <w:tr w14:paraId="5EA7E2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50168476">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100以下</w:t>
                  </w:r>
                </w:p>
              </w:tc>
              <w:tc>
                <w:tcPr>
                  <w:tcW w:w="1010" w:type="dxa"/>
                  <w:tcBorders>
                    <w:top w:val="outset" w:color="auto" w:sz="6" w:space="0"/>
                    <w:left w:val="outset" w:color="auto" w:sz="6" w:space="0"/>
                    <w:bottom w:val="outset" w:color="auto" w:sz="6" w:space="0"/>
                    <w:right w:val="outset" w:color="auto" w:sz="6" w:space="0"/>
                  </w:tcBorders>
                  <w:vAlign w:val="center"/>
                </w:tcPr>
                <w:p w14:paraId="74A58DF2">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1.5％</w:t>
                  </w:r>
                </w:p>
              </w:tc>
              <w:tc>
                <w:tcPr>
                  <w:tcW w:w="1010" w:type="dxa"/>
                  <w:tcBorders>
                    <w:top w:val="outset" w:color="auto" w:sz="6" w:space="0"/>
                    <w:left w:val="outset" w:color="auto" w:sz="6" w:space="0"/>
                    <w:bottom w:val="outset" w:color="auto" w:sz="6" w:space="0"/>
                    <w:right w:val="outset" w:color="auto" w:sz="6" w:space="0"/>
                  </w:tcBorders>
                  <w:vAlign w:val="center"/>
                </w:tcPr>
                <w:p w14:paraId="497A5E55">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1.5％</w:t>
                  </w:r>
                </w:p>
              </w:tc>
              <w:tc>
                <w:tcPr>
                  <w:tcW w:w="979" w:type="dxa"/>
                  <w:tcBorders>
                    <w:top w:val="outset" w:color="auto" w:sz="6" w:space="0"/>
                    <w:left w:val="outset" w:color="auto" w:sz="6" w:space="0"/>
                    <w:bottom w:val="outset" w:color="auto" w:sz="6" w:space="0"/>
                    <w:right w:val="outset" w:color="auto" w:sz="6" w:space="0"/>
                  </w:tcBorders>
                  <w:vAlign w:val="center"/>
                </w:tcPr>
                <w:p w14:paraId="538C03A7">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1.0％</w:t>
                  </w:r>
                </w:p>
              </w:tc>
            </w:tr>
          </w:tbl>
          <w:p w14:paraId="66F7D400">
            <w:pPr>
              <w:autoSpaceDN w:val="0"/>
              <w:spacing w:line="340" w:lineRule="exact"/>
              <w:ind w:firstLine="420" w:firstLineChars="200"/>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结算方式及时间为：在领取中标通知书前由成交供应商一次性向采购代理机构付清。</w:t>
            </w:r>
          </w:p>
        </w:tc>
      </w:tr>
      <w:tr w14:paraId="170255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7103D54C">
            <w:pPr>
              <w:snapToGrid w:val="0"/>
              <w:jc w:val="center"/>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20</w:t>
            </w:r>
          </w:p>
        </w:tc>
        <w:tc>
          <w:tcPr>
            <w:tcW w:w="1800" w:type="dxa"/>
            <w:vAlign w:val="center"/>
          </w:tcPr>
          <w:p w14:paraId="136DC115">
            <w:pPr>
              <w:snapToGrid w:val="0"/>
              <w:jc w:val="center"/>
              <w:rPr>
                <w:rFonts w:ascii="宋体"/>
                <w:color w:val="auto"/>
                <w:sz w:val="21"/>
                <w:szCs w:val="21"/>
                <w:highlight w:val="none"/>
              </w:rPr>
            </w:pPr>
            <w:r>
              <w:rPr>
                <w:rFonts w:hint="eastAsia" w:ascii="宋体" w:hAnsi="宋体" w:cs="宋体"/>
                <w:color w:val="auto"/>
                <w:sz w:val="21"/>
                <w:szCs w:val="21"/>
                <w:highlight w:val="none"/>
              </w:rPr>
              <w:t>是否允许分包</w:t>
            </w:r>
          </w:p>
        </w:tc>
        <w:tc>
          <w:tcPr>
            <w:tcW w:w="6682" w:type="dxa"/>
            <w:vAlign w:val="center"/>
          </w:tcPr>
          <w:p w14:paraId="4809CD37">
            <w:pPr>
              <w:ind w:firstLine="420" w:firstLineChars="200"/>
              <w:rPr>
                <w:rFonts w:ascii="宋体"/>
                <w:color w:val="auto"/>
                <w:sz w:val="21"/>
                <w:szCs w:val="21"/>
                <w:highlight w:val="none"/>
              </w:rPr>
            </w:pPr>
            <w:r>
              <w:rPr>
                <w:rFonts w:hint="eastAsia" w:ascii="宋体" w:hAnsi="宋体" w:cs="宋体"/>
                <w:color w:val="auto"/>
                <w:sz w:val="21"/>
                <w:szCs w:val="21"/>
                <w:highlight w:val="none"/>
              </w:rPr>
              <w:t>本项目</w:t>
            </w:r>
            <w:r>
              <w:rPr>
                <w:rFonts w:hint="eastAsia" w:ascii="宋体" w:hAnsi="宋体" w:cs="宋体"/>
                <w:color w:val="auto"/>
                <w:sz w:val="21"/>
                <w:szCs w:val="21"/>
                <w:highlight w:val="none"/>
                <w:u w:val="single"/>
                <w:lang w:val="en-US" w:eastAsia="zh-CN"/>
              </w:rPr>
              <w:t xml:space="preserve"> 不</w:t>
            </w:r>
            <w:r>
              <w:rPr>
                <w:rFonts w:hint="eastAsia" w:ascii="宋体" w:hAnsi="宋体" w:cs="宋体"/>
                <w:color w:val="auto"/>
                <w:sz w:val="21"/>
                <w:szCs w:val="21"/>
                <w:highlight w:val="none"/>
                <w:u w:val="single"/>
              </w:rPr>
              <w:t>允许</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分包</w:t>
            </w:r>
          </w:p>
        </w:tc>
      </w:tr>
      <w:tr w14:paraId="31A2E2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0122DF09">
            <w:pPr>
              <w:snapToGrid w:val="0"/>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21</w:t>
            </w:r>
          </w:p>
        </w:tc>
        <w:tc>
          <w:tcPr>
            <w:tcW w:w="1800" w:type="dxa"/>
            <w:tcBorders>
              <w:top w:val="single" w:color="auto" w:sz="4" w:space="0"/>
            </w:tcBorders>
            <w:vAlign w:val="center"/>
          </w:tcPr>
          <w:p w14:paraId="710B3C65">
            <w:pPr>
              <w:snapToGrid w:val="0"/>
              <w:jc w:val="center"/>
              <w:rPr>
                <w:rFonts w:ascii="宋体"/>
                <w:color w:val="auto"/>
                <w:sz w:val="21"/>
                <w:szCs w:val="21"/>
                <w:highlight w:val="none"/>
              </w:rPr>
            </w:pPr>
            <w:r>
              <w:rPr>
                <w:rFonts w:hint="eastAsia" w:ascii="宋体" w:hAnsi="宋体" w:cs="宋体"/>
                <w:color w:val="auto"/>
                <w:sz w:val="21"/>
                <w:szCs w:val="21"/>
                <w:highlight w:val="none"/>
              </w:rPr>
              <w:t>是否提供演示</w:t>
            </w:r>
          </w:p>
        </w:tc>
        <w:tc>
          <w:tcPr>
            <w:tcW w:w="6682" w:type="dxa"/>
            <w:tcBorders>
              <w:top w:val="single" w:color="auto" w:sz="4" w:space="0"/>
            </w:tcBorders>
            <w:vAlign w:val="center"/>
          </w:tcPr>
          <w:p w14:paraId="3C2FA0C7">
            <w:pPr>
              <w:ind w:firstLine="420" w:firstLineChars="200"/>
              <w:rPr>
                <w:sz w:val="21"/>
                <w:szCs w:val="21"/>
                <w:highlight w:val="none"/>
              </w:rPr>
            </w:pPr>
            <w:r>
              <w:rPr>
                <w:rFonts w:hint="eastAsia" w:ascii="宋体" w:hAnsi="宋体" w:cs="宋体"/>
                <w:color w:val="auto"/>
                <w:sz w:val="21"/>
                <w:szCs w:val="21"/>
                <w:highlight w:val="none"/>
              </w:rPr>
              <w:t>本项</w:t>
            </w:r>
            <w:r>
              <w:rPr>
                <w:rFonts w:hint="eastAsia" w:ascii="宋体" w:hAnsi="宋体" w:cs="宋体"/>
                <w:b w:val="0"/>
                <w:bCs w:val="0"/>
                <w:color w:val="auto"/>
                <w:sz w:val="21"/>
                <w:szCs w:val="21"/>
                <w:highlight w:val="none"/>
              </w:rPr>
              <w:t>目</w:t>
            </w: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u w:val="single"/>
                <w:lang w:val="en-US" w:eastAsia="zh-CN"/>
              </w:rPr>
              <w:t>不</w:t>
            </w:r>
            <w:r>
              <w:rPr>
                <w:rFonts w:hint="eastAsia" w:ascii="宋体" w:hAnsi="宋体" w:cs="宋体"/>
                <w:b w:val="0"/>
                <w:bCs w:val="0"/>
                <w:color w:val="auto"/>
                <w:sz w:val="21"/>
                <w:szCs w:val="21"/>
                <w:highlight w:val="none"/>
                <w:u w:val="single"/>
              </w:rPr>
              <w:t>需要</w:t>
            </w:r>
            <w:r>
              <w:rPr>
                <w:rFonts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提供演示。</w:t>
            </w:r>
          </w:p>
        </w:tc>
      </w:tr>
      <w:tr w14:paraId="28CB03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AE22B92">
            <w:pPr>
              <w:snapToGrid w:val="0"/>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22</w:t>
            </w:r>
          </w:p>
        </w:tc>
        <w:tc>
          <w:tcPr>
            <w:tcW w:w="1800" w:type="dxa"/>
            <w:vAlign w:val="center"/>
          </w:tcPr>
          <w:p w14:paraId="2F0BC7DF">
            <w:pPr>
              <w:snapToGrid w:val="0"/>
              <w:jc w:val="center"/>
              <w:rPr>
                <w:rFonts w:ascii="宋体"/>
                <w:color w:val="auto"/>
                <w:sz w:val="21"/>
                <w:szCs w:val="21"/>
                <w:highlight w:val="none"/>
              </w:rPr>
            </w:pPr>
            <w:r>
              <w:rPr>
                <w:rFonts w:hint="eastAsia" w:ascii="宋体" w:hAnsi="宋体" w:cs="宋体"/>
                <w:color w:val="auto"/>
                <w:sz w:val="21"/>
                <w:szCs w:val="21"/>
                <w:highlight w:val="none"/>
              </w:rPr>
              <w:t>供应商信用信息查询渠道及截止时点、信用信息查询记录和证据留存的具体方式、信用信息的使用规则</w:t>
            </w:r>
          </w:p>
        </w:tc>
        <w:tc>
          <w:tcPr>
            <w:tcW w:w="6682" w:type="dxa"/>
            <w:vAlign w:val="center"/>
          </w:tcPr>
          <w:p w14:paraId="17C94659">
            <w:pPr>
              <w:ind w:firstLine="420" w:firstLineChars="200"/>
              <w:rPr>
                <w:rFonts w:ascii="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、查询渠道：信用中国（网址：</w:t>
            </w:r>
            <w:r>
              <w:rPr>
                <w:rFonts w:ascii="宋体" w:hAnsi="宋体" w:cs="宋体"/>
                <w:color w:val="auto"/>
                <w:sz w:val="21"/>
                <w:szCs w:val="21"/>
                <w:highlight w:val="none"/>
              </w:rPr>
              <w:t>http://www.creditchina.gov.cn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t>
            </w:r>
            <w:r>
              <w:rPr>
                <w:rFonts w:hint="eastAsia" w:ascii="宋体" w:hAnsi="宋体" w:cs="宋体"/>
                <w:color w:val="auto"/>
                <w:sz w:val="21"/>
                <w:szCs w:val="21"/>
                <w:highlight w:val="none"/>
              </w:rPr>
              <w:t>网址：</w:t>
            </w:r>
            <w:r>
              <w:rPr>
                <w:rFonts w:ascii="宋体" w:hAnsi="宋体" w:cs="宋体"/>
                <w:color w:val="auto"/>
                <w:sz w:val="21"/>
                <w:szCs w:val="21"/>
                <w:highlight w:val="none"/>
              </w:rPr>
              <w:t>http://www.ccgp.gov.cn</w:t>
            </w:r>
            <w:r>
              <w:rPr>
                <w:rFonts w:hint="eastAsia" w:ascii="宋体" w:hAnsi="宋体" w:cs="宋体"/>
                <w:color w:val="auto"/>
                <w:sz w:val="21"/>
                <w:szCs w:val="21"/>
                <w:highlight w:val="none"/>
              </w:rPr>
              <w:t>）。</w:t>
            </w:r>
          </w:p>
          <w:p w14:paraId="5C2D7A0C">
            <w:pPr>
              <w:ind w:firstLine="420" w:firstLineChars="200"/>
              <w:rPr>
                <w:rFonts w:ascii="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、截止时点：开标后评标前。</w:t>
            </w:r>
          </w:p>
          <w:p w14:paraId="210DD8BD">
            <w:pPr>
              <w:ind w:firstLine="420" w:firstLineChars="200"/>
              <w:rPr>
                <w:rFonts w:ascii="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、信用信息查询记录和证据留存的具体方式：由采购组织机构在规定查询时间内打印信用信息查询记录并归入项目档案。</w:t>
            </w:r>
          </w:p>
          <w:p w14:paraId="2FA28B4A">
            <w:pPr>
              <w:ind w:firstLine="420" w:firstLineChars="200"/>
              <w:rPr>
                <w:rFonts w:ascii="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3D50D7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C118DDD">
            <w:pPr>
              <w:snapToGrid w:val="0"/>
              <w:jc w:val="center"/>
              <w:rPr>
                <w:rFonts w:ascii="宋体"/>
                <w:snapToGrid w:val="0"/>
                <w:color w:val="auto"/>
                <w:sz w:val="21"/>
                <w:szCs w:val="21"/>
                <w:highlight w:val="none"/>
              </w:rPr>
            </w:pPr>
            <w:r>
              <w:rPr>
                <w:rFonts w:hint="eastAsia" w:ascii="宋体" w:hAnsi="宋体" w:cs="宋体"/>
                <w:snapToGrid w:val="0"/>
                <w:color w:val="auto"/>
                <w:sz w:val="21"/>
                <w:szCs w:val="21"/>
                <w:highlight w:val="none"/>
              </w:rPr>
              <w:t>23</w:t>
            </w:r>
          </w:p>
        </w:tc>
        <w:tc>
          <w:tcPr>
            <w:tcW w:w="1800" w:type="dxa"/>
            <w:vAlign w:val="center"/>
          </w:tcPr>
          <w:p w14:paraId="5ED0F15F">
            <w:pPr>
              <w:snapToGrid w:val="0"/>
              <w:jc w:val="center"/>
              <w:rPr>
                <w:rFonts w:ascii="宋体"/>
                <w:color w:val="auto"/>
                <w:sz w:val="21"/>
                <w:szCs w:val="21"/>
                <w:highlight w:val="none"/>
              </w:rPr>
            </w:pPr>
            <w:r>
              <w:rPr>
                <w:rFonts w:hint="eastAsia" w:ascii="宋体" w:hAnsi="宋体" w:cs="宋体"/>
                <w:color w:val="auto"/>
                <w:sz w:val="21"/>
                <w:szCs w:val="21"/>
                <w:highlight w:val="none"/>
              </w:rPr>
              <w:t>金融支持</w:t>
            </w:r>
          </w:p>
        </w:tc>
        <w:tc>
          <w:tcPr>
            <w:tcW w:w="6682" w:type="dxa"/>
            <w:vAlign w:val="center"/>
          </w:tcPr>
          <w:p w14:paraId="1D454824">
            <w:pPr>
              <w:ind w:firstLine="420" w:firstLineChars="200"/>
              <w:rPr>
                <w:rFonts w:ascii="宋体"/>
                <w:color w:val="auto"/>
                <w:sz w:val="21"/>
                <w:szCs w:val="21"/>
                <w:highlight w:val="none"/>
              </w:rPr>
            </w:pPr>
            <w:r>
              <w:rPr>
                <w:rFonts w:hint="eastAsia" w:ascii="宋体" w:hAnsi="宋体" w:cs="宋体"/>
                <w:color w:val="auto"/>
                <w:sz w:val="21"/>
                <w:szCs w:val="21"/>
                <w:highlight w:val="none"/>
              </w:rPr>
              <w:t>为支持和促进中小企业发展，进一步发挥政府采购政策功能，企业若有融资意向，可</w:t>
            </w:r>
            <w:r>
              <w:rPr>
                <w:rFonts w:hint="eastAsia" w:ascii="宋体" w:hAnsi="宋体" w:cs="宋体"/>
                <w:color w:val="auto"/>
                <w:sz w:val="21"/>
                <w:szCs w:val="21"/>
                <w:highlight w:val="none"/>
                <w:lang w:eastAsia="zh-CN"/>
              </w:rPr>
              <w:t>登录</w:t>
            </w:r>
            <w:r>
              <w:rPr>
                <w:rFonts w:hint="eastAsia" w:ascii="宋体" w:hAnsi="宋体" w:cs="宋体"/>
                <w:color w:val="auto"/>
                <w:sz w:val="21"/>
                <w:szCs w:val="21"/>
                <w:highlight w:val="none"/>
              </w:rPr>
              <w:t>政采云平台融资服务（</w:t>
            </w:r>
            <w:r>
              <w:rPr>
                <w:rFonts w:ascii="宋体" w:hAnsi="宋体" w:cs="宋体"/>
                <w:color w:val="auto"/>
                <w:sz w:val="21"/>
                <w:szCs w:val="21"/>
                <w:highlight w:val="none"/>
              </w:rPr>
              <w:t>https://jinrong.zcygov.cn/</w:t>
            </w:r>
            <w:r>
              <w:rPr>
                <w:rFonts w:hint="eastAsia" w:ascii="宋体" w:hAnsi="宋体" w:cs="宋体"/>
                <w:color w:val="auto"/>
                <w:sz w:val="21"/>
                <w:szCs w:val="21"/>
                <w:highlight w:val="none"/>
              </w:rPr>
              <w:t>），查看相应融资政策文件及各相关银行服务方案。</w:t>
            </w:r>
          </w:p>
        </w:tc>
      </w:tr>
      <w:tr w14:paraId="15E850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48" w:type="dxa"/>
            <w:vMerge w:val="restart"/>
            <w:vAlign w:val="center"/>
          </w:tcPr>
          <w:p w14:paraId="144CA676">
            <w:pPr>
              <w:snapToGrid w:val="0"/>
              <w:jc w:val="center"/>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2</w:t>
            </w:r>
            <w:r>
              <w:rPr>
                <w:rFonts w:ascii="宋体" w:hAnsi="宋体" w:cs="宋体"/>
                <w:snapToGrid w:val="0"/>
                <w:color w:val="auto"/>
                <w:sz w:val="21"/>
                <w:szCs w:val="21"/>
                <w:highlight w:val="none"/>
              </w:rPr>
              <w:t>4</w:t>
            </w:r>
          </w:p>
        </w:tc>
        <w:tc>
          <w:tcPr>
            <w:tcW w:w="1800" w:type="dxa"/>
            <w:vMerge w:val="restart"/>
            <w:vAlign w:val="center"/>
          </w:tcPr>
          <w:p w14:paraId="0A9F25A8">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预付款</w:t>
            </w:r>
          </w:p>
        </w:tc>
        <w:tc>
          <w:tcPr>
            <w:tcW w:w="6682" w:type="dxa"/>
            <w:vAlign w:val="center"/>
          </w:tcPr>
          <w:p w14:paraId="22C19955">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本项目涉及预付款，预付款比例为</w:t>
            </w:r>
            <w:r>
              <w:rPr>
                <w:rFonts w:hint="eastAsia" w:ascii="宋体" w:hAnsi="宋体" w:cs="宋体"/>
                <w:color w:val="auto"/>
                <w:sz w:val="21"/>
                <w:szCs w:val="21"/>
                <w:highlight w:val="none"/>
                <w:u w:val="single"/>
                <w:lang w:val="en-US" w:eastAsia="zh-CN"/>
              </w:rPr>
              <w:t xml:space="preserve"> 20%</w:t>
            </w:r>
          </w:p>
        </w:tc>
      </w:tr>
      <w:tr w14:paraId="46F3A2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continue"/>
            <w:vAlign w:val="center"/>
          </w:tcPr>
          <w:p w14:paraId="445AE902">
            <w:pPr>
              <w:snapToGrid w:val="0"/>
              <w:jc w:val="center"/>
              <w:rPr>
                <w:rFonts w:hint="eastAsia" w:ascii="宋体" w:hAnsi="宋体" w:cs="宋体"/>
                <w:snapToGrid w:val="0"/>
                <w:color w:val="auto"/>
                <w:sz w:val="21"/>
                <w:szCs w:val="21"/>
                <w:highlight w:val="none"/>
              </w:rPr>
            </w:pPr>
          </w:p>
        </w:tc>
        <w:tc>
          <w:tcPr>
            <w:tcW w:w="1800" w:type="dxa"/>
            <w:vMerge w:val="continue"/>
            <w:vAlign w:val="center"/>
          </w:tcPr>
          <w:p w14:paraId="0EDA6A6B">
            <w:pPr>
              <w:snapToGrid w:val="0"/>
              <w:jc w:val="center"/>
              <w:rPr>
                <w:rFonts w:hint="eastAsia" w:ascii="宋体" w:hAnsi="宋体" w:cs="宋体"/>
                <w:color w:val="auto"/>
                <w:sz w:val="21"/>
                <w:szCs w:val="21"/>
                <w:highlight w:val="none"/>
              </w:rPr>
            </w:pPr>
          </w:p>
        </w:tc>
        <w:tc>
          <w:tcPr>
            <w:tcW w:w="6682" w:type="dxa"/>
            <w:vAlign w:val="center"/>
          </w:tcPr>
          <w:p w14:paraId="284DBE02">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根据《浙江省财政厅关于进一步发挥政府采购政策功能全力推动经济稳进提质的通知》[浙财采监〔2022）3号]文件第二条第五点关于“进一步提高政府采购预付款比例”的规定：</w:t>
            </w:r>
          </w:p>
          <w:p w14:paraId="413BF5E9">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1、采购单位应当在政府采购合同中约定预付款；</w:t>
            </w:r>
          </w:p>
          <w:p w14:paraId="2D4B0E54">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5F5902AD">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3、本项目涉及投标人为大型企业，或者以人工投入为主且实行按月定期结算支付款项的，预付款可低于上述比例或者不约定预付款（相应字样应在合同中体现）。</w:t>
            </w:r>
          </w:p>
          <w:p w14:paraId="5CA5A4E9">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4、在签订合同时，中标人明确表示无需预付款或者主动要求降低预付款比例的，应提交相应申请函经采购人确认后，可不适用前述规定。</w:t>
            </w:r>
          </w:p>
        </w:tc>
      </w:tr>
      <w:tr w14:paraId="2DB59F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0F0B94AB">
            <w:pPr>
              <w:snapToGrid w:val="0"/>
              <w:jc w:val="center"/>
              <w:rPr>
                <w:rFonts w:ascii="宋体"/>
                <w:snapToGrid w:val="0"/>
                <w:color w:val="auto"/>
                <w:sz w:val="21"/>
                <w:szCs w:val="21"/>
                <w:highlight w:val="none"/>
              </w:rPr>
            </w:pPr>
            <w:r>
              <w:rPr>
                <w:rFonts w:ascii="宋体" w:hAnsi="宋体" w:cs="宋体"/>
                <w:snapToGrid w:val="0"/>
                <w:color w:val="auto"/>
                <w:sz w:val="21"/>
                <w:szCs w:val="21"/>
                <w:highlight w:val="none"/>
              </w:rPr>
              <w:t>25</w:t>
            </w:r>
          </w:p>
        </w:tc>
        <w:tc>
          <w:tcPr>
            <w:tcW w:w="1800" w:type="dxa"/>
            <w:tcBorders>
              <w:bottom w:val="double" w:color="auto" w:sz="4" w:space="0"/>
            </w:tcBorders>
            <w:vAlign w:val="center"/>
          </w:tcPr>
          <w:p w14:paraId="602546CC">
            <w:pPr>
              <w:snapToGrid w:val="0"/>
              <w:jc w:val="center"/>
              <w:rPr>
                <w:rFonts w:ascii="宋体"/>
                <w:color w:val="auto"/>
                <w:sz w:val="21"/>
                <w:szCs w:val="21"/>
                <w:highlight w:val="none"/>
              </w:rPr>
            </w:pPr>
            <w:r>
              <w:rPr>
                <w:rFonts w:hint="eastAsia" w:ascii="宋体" w:hAnsi="宋体" w:cs="宋体"/>
                <w:color w:val="auto"/>
                <w:sz w:val="21"/>
                <w:szCs w:val="21"/>
                <w:highlight w:val="none"/>
              </w:rPr>
              <w:t>其他</w:t>
            </w:r>
          </w:p>
        </w:tc>
        <w:tc>
          <w:tcPr>
            <w:tcW w:w="6682" w:type="dxa"/>
            <w:tcBorders>
              <w:bottom w:val="double" w:color="auto" w:sz="4" w:space="0"/>
            </w:tcBorders>
            <w:vAlign w:val="center"/>
          </w:tcPr>
          <w:p w14:paraId="72CDBE84">
            <w:pPr>
              <w:ind w:firstLine="420" w:firstLineChars="200"/>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本磋商文件要求提供的身份证</w:t>
            </w:r>
            <w:r>
              <w:rPr>
                <w:rFonts w:hint="eastAsia"/>
                <w:color w:val="auto"/>
                <w:sz w:val="21"/>
                <w:szCs w:val="21"/>
                <w:highlight w:val="none"/>
                <w:lang w:eastAsia="zh-CN"/>
              </w:rPr>
              <w:t>扫描件</w:t>
            </w:r>
            <w:r>
              <w:rPr>
                <w:rFonts w:hint="eastAsia"/>
                <w:color w:val="auto"/>
                <w:sz w:val="21"/>
                <w:szCs w:val="21"/>
                <w:highlight w:val="none"/>
              </w:rPr>
              <w:t>皆需提供正反面，否则按不提供处理。</w:t>
            </w:r>
          </w:p>
          <w:p w14:paraId="46E61A46">
            <w:pPr>
              <w:ind w:firstLine="402"/>
              <w:rPr>
                <w:rFonts w:hint="eastAsia"/>
                <w:b/>
                <w:bCs/>
                <w:color w:val="auto"/>
                <w:sz w:val="21"/>
                <w:szCs w:val="21"/>
                <w:highlight w:val="none"/>
              </w:rPr>
            </w:pPr>
            <w:r>
              <w:rPr>
                <w:rFonts w:hint="eastAsia"/>
                <w:color w:val="auto"/>
                <w:sz w:val="21"/>
                <w:szCs w:val="21"/>
                <w:highlight w:val="none"/>
                <w:lang w:val="en-US" w:eastAsia="zh-CN"/>
              </w:rPr>
              <w:t>2、本项目货物如涉及柴油动力移动源，柴油动力移动源应当符合低排放要求。</w:t>
            </w:r>
          </w:p>
        </w:tc>
      </w:tr>
    </w:tbl>
    <w:p w14:paraId="5A06CA87">
      <w:pPr>
        <w:pStyle w:val="10"/>
        <w:spacing w:line="360" w:lineRule="auto"/>
        <w:rPr>
          <w:rFonts w:ascii="宋体"/>
          <w:color w:val="auto"/>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cs="宋体"/>
          <w:color w:val="auto"/>
          <w:sz w:val="24"/>
          <w:szCs w:val="24"/>
          <w:highlight w:val="none"/>
        </w:rPr>
        <w:t>注：以上内容如有变化将另行通知。如通知其中某一内容发生变化，其余未提及的将不作变动。</w:t>
      </w:r>
    </w:p>
    <w:p w14:paraId="2361E930">
      <w:pPr>
        <w:pStyle w:val="9"/>
        <w:numPr>
          <w:ilvl w:val="0"/>
          <w:numId w:val="10"/>
        </w:numPr>
        <w:jc w:val="center"/>
        <w:rPr>
          <w:rFonts w:hAnsi="宋体" w:cs="Times New Roman"/>
          <w:color w:val="auto"/>
          <w:highlight w:val="none"/>
        </w:rPr>
      </w:pPr>
      <w:bookmarkStart w:id="24" w:name="_Toc23135"/>
      <w:bookmarkStart w:id="25" w:name="_Toc1729"/>
      <w:bookmarkStart w:id="26" w:name="_Toc11669"/>
      <w:bookmarkStart w:id="27" w:name="_Toc26603"/>
      <w:bookmarkStart w:id="28" w:name="_Toc26027"/>
      <w:bookmarkStart w:id="29" w:name="_Toc1828"/>
      <w:bookmarkStart w:id="30" w:name="_Toc6273"/>
      <w:bookmarkStart w:id="31" w:name="_Toc24622"/>
      <w:bookmarkStart w:id="32" w:name="_Toc14650"/>
      <w:bookmarkStart w:id="33" w:name="_Toc1202"/>
      <w:bookmarkStart w:id="34" w:name="_Toc10669"/>
      <w:bookmarkStart w:id="35" w:name="_Toc23975"/>
      <w:bookmarkStart w:id="36" w:name="_Toc10810"/>
      <w:bookmarkStart w:id="37" w:name="_Toc7126"/>
      <w:bookmarkStart w:id="38" w:name="_Toc11093"/>
      <w:bookmarkStart w:id="39" w:name="_Toc391298957"/>
      <w:bookmarkStart w:id="40" w:name="_Toc6457"/>
      <w:bookmarkStart w:id="41" w:name="_Toc6079"/>
      <w:bookmarkStart w:id="42" w:name="_Toc31748"/>
      <w:bookmarkStart w:id="43" w:name="_Toc18702"/>
      <w:bookmarkStart w:id="44" w:name="_Toc8860"/>
      <w:bookmarkStart w:id="45" w:name="_Toc11692"/>
      <w:r>
        <w:rPr>
          <w:rFonts w:hAnsi="宋体"/>
          <w:color w:val="auto"/>
          <w:highlight w:val="none"/>
        </w:rPr>
        <w:t xml:space="preserve"> </w:t>
      </w:r>
      <w:bookmarkStart w:id="46" w:name="_Toc26061"/>
      <w:bookmarkStart w:id="47" w:name="_Toc24554"/>
      <w:bookmarkStart w:id="48" w:name="_Toc25187"/>
      <w:r>
        <w:rPr>
          <w:rFonts w:hint="eastAsia" w:hAnsi="宋体"/>
          <w:color w:val="auto"/>
          <w:highlight w:val="none"/>
        </w:rPr>
        <w:t>总则</w:t>
      </w:r>
      <w:bookmarkEnd w:id="46"/>
      <w:bookmarkEnd w:id="47"/>
      <w:bookmarkEnd w:id="48"/>
    </w:p>
    <w:p w14:paraId="0BEC3190">
      <w:pPr>
        <w:spacing w:line="336" w:lineRule="auto"/>
        <w:ind w:firstLine="480" w:firstLineChars="200"/>
        <w:rPr>
          <w:color w:val="auto"/>
          <w:sz w:val="24"/>
          <w:szCs w:val="24"/>
          <w:highlight w:val="none"/>
        </w:rPr>
      </w:pPr>
      <w:r>
        <w:rPr>
          <w:rFonts w:hint="eastAsia"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02BF8E7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、适用范围</w:t>
      </w:r>
    </w:p>
    <w:p w14:paraId="2FD83EA7">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本次磋商工作仅适用于</w:t>
      </w:r>
      <w:r>
        <w:rPr>
          <w:rFonts w:hint="eastAsia" w:ascii="宋体" w:hAnsi="宋体" w:cs="宋体"/>
          <w:color w:val="auto"/>
          <w:sz w:val="24"/>
          <w:szCs w:val="24"/>
          <w:highlight w:val="none"/>
          <w:u w:val="single"/>
          <w:lang w:val="en-US" w:eastAsia="zh-CN"/>
        </w:rPr>
        <w:t>百官街道文化站、志愿社会工作服务站、乐龄中心、助联体、老年大学等场所运行服务</w:t>
      </w:r>
      <w:r>
        <w:rPr>
          <w:rFonts w:hint="eastAsia" w:ascii="宋体" w:hAnsi="宋体" w:cs="宋体"/>
          <w:color w:val="auto"/>
          <w:sz w:val="24"/>
          <w:szCs w:val="24"/>
          <w:highlight w:val="none"/>
          <w:u w:val="single"/>
        </w:rPr>
        <w:t>。</w:t>
      </w:r>
    </w:p>
    <w:p w14:paraId="33D1C95F">
      <w:pPr>
        <w:pStyle w:val="4"/>
        <w:spacing w:line="336" w:lineRule="auto"/>
        <w:ind w:firstLine="480" w:firstLineChars="200"/>
        <w:rPr>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本项目采购方式采用竞争性磋商方式。</w:t>
      </w:r>
    </w:p>
    <w:p w14:paraId="1C354C4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、定义</w:t>
      </w:r>
    </w:p>
    <w:p w14:paraId="7D81F260">
      <w:pPr>
        <w:spacing w:line="336"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采购人”系指</w:t>
      </w:r>
      <w:r>
        <w:rPr>
          <w:rFonts w:ascii="宋体" w:hAnsi="宋体" w:cs="宋体"/>
          <w:color w:val="auto"/>
          <w:sz w:val="24"/>
          <w:szCs w:val="24"/>
          <w:highlight w:val="none"/>
          <w:u w:val="single"/>
        </w:rPr>
        <w:t xml:space="preserve"> </w:t>
      </w:r>
      <w:r>
        <w:rPr>
          <w:rFonts w:hint="eastAsia" w:ascii="宋体" w:hAnsi="宋体" w:cs="宋体"/>
          <w:color w:val="auto"/>
          <w:sz w:val="24"/>
          <w:szCs w:val="32"/>
          <w:highlight w:val="none"/>
          <w:u w:val="single"/>
          <w:lang w:eastAsia="zh-CN"/>
        </w:rPr>
        <w:t>绍兴市上虞区百官街道办事处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。采购人委托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浙江天平项目咨询有限公司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为本项目采购代理机构。</w:t>
      </w:r>
    </w:p>
    <w:p w14:paraId="780E53FC">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“磋商供应商”系指响应本次采购，参加本次竞争性磋商的供应商。</w:t>
      </w:r>
    </w:p>
    <w:p w14:paraId="6F2B2320">
      <w:pPr>
        <w:spacing w:line="336"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14:paraId="0A1B493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、采购项目概况</w:t>
      </w:r>
      <w:r>
        <w:rPr>
          <w:rFonts w:ascii="宋体"/>
          <w:b/>
          <w:bCs/>
          <w:color w:val="auto"/>
          <w:sz w:val="24"/>
          <w:szCs w:val="24"/>
          <w:highlight w:val="none"/>
        </w:rPr>
        <w:tab/>
      </w:r>
      <w:r>
        <w:rPr>
          <w:rFonts w:ascii="宋体"/>
          <w:b/>
          <w:bCs/>
          <w:color w:val="auto"/>
          <w:sz w:val="24"/>
          <w:szCs w:val="24"/>
          <w:highlight w:val="none"/>
        </w:rPr>
        <w:tab/>
      </w:r>
    </w:p>
    <w:p w14:paraId="12B48878">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三</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部分。</w:t>
      </w:r>
    </w:p>
    <w:p w14:paraId="0A21B908">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、合格的磋商供应商</w:t>
      </w:r>
    </w:p>
    <w:p w14:paraId="74CF363A">
      <w:pPr>
        <w:spacing w:line="336" w:lineRule="auto"/>
        <w:ind w:firstLine="480" w:firstLineChars="200"/>
        <w:rPr>
          <w:rFonts w:ascii="宋体"/>
          <w:color w:val="auto"/>
          <w:sz w:val="24"/>
          <w:szCs w:val="24"/>
          <w:highlight w:val="none"/>
        </w:rPr>
      </w:pPr>
      <w:bookmarkStart w:id="49" w:name="_Toc209435242"/>
      <w:bookmarkStart w:id="50" w:name="_Toc209504018"/>
      <w:bookmarkStart w:id="51" w:name="_Toc208913145"/>
      <w:bookmarkStart w:id="52" w:name="_Toc197053926"/>
      <w:bookmarkStart w:id="53" w:name="_Toc207946571"/>
      <w:bookmarkStart w:id="54" w:name="_Toc208287611"/>
      <w:bookmarkStart w:id="55" w:name="_Toc209520993"/>
      <w:bookmarkStart w:id="56" w:name="_Toc193523219"/>
      <w:bookmarkStart w:id="57" w:name="_Toc197657950"/>
      <w:bookmarkStart w:id="58" w:name="_Toc193538208"/>
      <w:bookmarkStart w:id="59" w:name="_Toc197156227"/>
      <w:bookmarkStart w:id="60" w:name="_Toc204683265"/>
      <w:bookmarkStart w:id="61" w:name="_Toc197163261"/>
      <w:bookmarkStart w:id="62" w:name="_Toc211412066"/>
      <w:r>
        <w:rPr>
          <w:rFonts w:hint="eastAsia" w:ascii="宋体" w:hAnsi="宋体" w:cs="宋体"/>
          <w:color w:val="auto"/>
          <w:sz w:val="24"/>
          <w:szCs w:val="24"/>
          <w:highlight w:val="none"/>
        </w:rPr>
        <w:t>详见竞争性磋商采购公告磋商供应商的资格要求规定。</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3ABB60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、磋商费用</w:t>
      </w:r>
    </w:p>
    <w:p w14:paraId="747926EB">
      <w:pPr>
        <w:spacing w:line="336"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14:paraId="57B453D3">
      <w:pPr>
        <w:pStyle w:val="9"/>
        <w:rPr>
          <w:color w:val="auto"/>
          <w:highlight w:val="none"/>
        </w:rPr>
      </w:pPr>
    </w:p>
    <w:p w14:paraId="3CDDA25C">
      <w:pPr>
        <w:pStyle w:val="9"/>
        <w:numPr>
          <w:ilvl w:val="0"/>
          <w:numId w:val="10"/>
        </w:numPr>
        <w:jc w:val="center"/>
        <w:rPr>
          <w:rFonts w:cs="Times New Roman"/>
          <w:color w:val="auto"/>
          <w:highlight w:val="none"/>
        </w:rPr>
      </w:pPr>
      <w:bookmarkStart w:id="63" w:name="_Toc416992151"/>
      <w:bookmarkStart w:id="64" w:name="_Toc25923"/>
      <w:bookmarkStart w:id="65" w:name="_Toc32689"/>
      <w:r>
        <w:rPr>
          <w:color w:val="auto"/>
          <w:highlight w:val="none"/>
        </w:rPr>
        <w:t xml:space="preserve"> </w:t>
      </w:r>
      <w:bookmarkStart w:id="66" w:name="_Toc26121"/>
      <w:bookmarkStart w:id="67" w:name="_Toc11814"/>
      <w:bookmarkStart w:id="68" w:name="_Toc187"/>
      <w:r>
        <w:rPr>
          <w:rFonts w:hint="eastAsia"/>
          <w:color w:val="auto"/>
          <w:highlight w:val="none"/>
        </w:rPr>
        <w:t>竞争性磋商文件</w:t>
      </w:r>
      <w:bookmarkEnd w:id="63"/>
      <w:bookmarkEnd w:id="64"/>
      <w:bookmarkEnd w:id="65"/>
      <w:bookmarkEnd w:id="66"/>
      <w:bookmarkEnd w:id="67"/>
      <w:bookmarkEnd w:id="68"/>
    </w:p>
    <w:p w14:paraId="272760A4">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、磋商文件的组成</w:t>
      </w:r>
    </w:p>
    <w:p w14:paraId="5943BC6D">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本磋商文件包括目录所示内容及所有按本须知发出的补充资料（如果有）。</w:t>
      </w:r>
    </w:p>
    <w:p w14:paraId="19228A05">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除上述所列内容外，采购人及采购代理机构的任何工作人员对磋商供应商所作的任何口头解释、介绍、答复，只能供磋商供应商参考，对采购人和磋商供应商无任何约束力。</w:t>
      </w:r>
    </w:p>
    <w:p w14:paraId="511CABE1">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磋商供应商应仔细阅读磋商文件的所有内容，按照文件要求提交响应文件，并保证所提交的全部资料的真实性。不按磋商文件的要求提供的响应文件和资料，可能导致磋商被拒绝。</w:t>
      </w:r>
    </w:p>
    <w:p w14:paraId="3B2618B6">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6.4</w:t>
      </w:r>
      <w:r>
        <w:rPr>
          <w:rFonts w:hint="eastAsia" w:ascii="宋体" w:hAnsi="宋体" w:cs="宋体"/>
          <w:color w:val="auto"/>
          <w:sz w:val="24"/>
          <w:szCs w:val="24"/>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5FFAB5F9">
      <w:pPr>
        <w:adjustRightInd w:val="0"/>
        <w:spacing w:line="336"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、磋商文件的澄清与修改</w:t>
      </w:r>
    </w:p>
    <w:p w14:paraId="63B1B8C2">
      <w:pPr>
        <w:pStyle w:val="3"/>
        <w:spacing w:line="336" w:lineRule="auto"/>
        <w:ind w:firstLine="480" w:firstLineChars="200"/>
        <w:rPr>
          <w:rFonts w:cs="Times New Roman"/>
          <w:color w:val="auto"/>
          <w:highlight w:val="none"/>
        </w:rPr>
      </w:pPr>
      <w:r>
        <w:rPr>
          <w:color w:val="auto"/>
          <w:highlight w:val="none"/>
        </w:rPr>
        <w:t>7.1</w:t>
      </w:r>
      <w:r>
        <w:rPr>
          <w:rFonts w:hint="eastAsia"/>
          <w:color w:val="auto"/>
          <w:highlight w:val="none"/>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4D9F9446">
      <w:pPr>
        <w:pStyle w:val="3"/>
        <w:spacing w:line="336" w:lineRule="auto"/>
        <w:ind w:right="-240" w:rightChars="-120" w:firstLine="480" w:firstLineChars="200"/>
        <w:rPr>
          <w:rFonts w:cs="Times New Roman"/>
          <w:color w:val="auto"/>
          <w:highlight w:val="none"/>
        </w:rPr>
      </w:pPr>
      <w:r>
        <w:rPr>
          <w:color w:val="auto"/>
          <w:highlight w:val="none"/>
        </w:rPr>
        <w:t>7.2</w:t>
      </w:r>
      <w:r>
        <w:rPr>
          <w:rFonts w:hint="eastAsia"/>
          <w:color w:val="auto"/>
          <w:highlight w:val="none"/>
        </w:rPr>
        <w:t>磋商供应商要求解释或澄清的问题应以书面形式，并加盖公章、写明日期。</w:t>
      </w:r>
    </w:p>
    <w:p w14:paraId="0314B4A4">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7.3</w:t>
      </w:r>
      <w:r>
        <w:rPr>
          <w:rFonts w:hint="eastAsia" w:ascii="宋体" w:hAnsi="宋体" w:cs="宋体"/>
          <w:color w:val="auto"/>
          <w:sz w:val="24"/>
          <w:szCs w:val="24"/>
          <w:highlight w:val="none"/>
        </w:rPr>
        <w:t>提交响应文件截止之日前，采购人、采购代理机构或者磋商小组可以对已发出的磋商文件进行必要的澄清或者修改，澄清或者修改的内容作为磋商文件的组成部分。</w:t>
      </w:r>
    </w:p>
    <w:p w14:paraId="0215F26D">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rPr>
        <w:t>竞争性磋商文件的澄清修改文件及更正补充公告，请自行登录浙江政府采购网或绍兴市上虞区公共资源交易中心网站，在采购公告页面中下载。</w:t>
      </w:r>
    </w:p>
    <w:p w14:paraId="0C97A8EC">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rPr>
        <w:t>澄清或者修改的内容可能影响响应文件编制的，采购人、采购代理机构将在提交响应文件截止时间至少</w:t>
      </w:r>
      <w:r>
        <w:rPr>
          <w:rFonts w:ascii="宋体" w:hAnsi="宋体" w:cs="宋体"/>
          <w:color w:val="auto"/>
          <w:sz w:val="24"/>
          <w:szCs w:val="24"/>
          <w:highlight w:val="none"/>
        </w:rPr>
        <w:t>5</w:t>
      </w:r>
      <w:r>
        <w:rPr>
          <w:rFonts w:hint="eastAsia" w:ascii="宋体" w:hAnsi="宋体" w:cs="宋体"/>
          <w:color w:val="auto"/>
          <w:sz w:val="24"/>
          <w:szCs w:val="24"/>
          <w:highlight w:val="none"/>
        </w:rPr>
        <w:t>日前，以公告形式通知所有获取磋商文件的供应商；不足</w:t>
      </w:r>
      <w:r>
        <w:rPr>
          <w:rFonts w:ascii="宋体" w:hAnsi="宋体" w:cs="宋体"/>
          <w:color w:val="auto"/>
          <w:sz w:val="24"/>
          <w:szCs w:val="24"/>
          <w:highlight w:val="none"/>
        </w:rPr>
        <w:t>5</w:t>
      </w:r>
      <w:r>
        <w:rPr>
          <w:rFonts w:hint="eastAsia" w:ascii="宋体" w:hAnsi="宋体" w:cs="宋体"/>
          <w:color w:val="auto"/>
          <w:sz w:val="24"/>
          <w:szCs w:val="24"/>
          <w:highlight w:val="none"/>
        </w:rPr>
        <w:t>日的，采购人、采购代理机构可能会顺延提交首次响应文件截止时间。澄清或者修改的内容未对原磋商文件作出重大修改或不会影响响应文件编制的，递交首次响应文件截止时间不变。</w:t>
      </w:r>
    </w:p>
    <w:p w14:paraId="563B1E2A">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rPr>
        <w:t>竞争性磋商文件澄清、答复、修改、补充的内容为竞争性磋商文件的组成部分。</w:t>
      </w:r>
    </w:p>
    <w:p w14:paraId="3966C594">
      <w:pPr>
        <w:pStyle w:val="10"/>
        <w:spacing w:line="336" w:lineRule="auto"/>
        <w:rPr>
          <w:rFonts w:hint="eastAsia" w:ascii="宋体" w:hAnsi="宋体" w:cs="宋体"/>
          <w:color w:val="auto"/>
          <w:sz w:val="24"/>
          <w:szCs w:val="24"/>
          <w:highlight w:val="none"/>
        </w:rPr>
      </w:pPr>
      <w:r>
        <w:rPr>
          <w:rFonts w:ascii="宋体" w:hAnsi="宋体" w:cs="宋体"/>
          <w:color w:val="auto"/>
          <w:sz w:val="24"/>
          <w:szCs w:val="24"/>
          <w:highlight w:val="none"/>
        </w:rPr>
        <w:t>7.7</w:t>
      </w:r>
      <w:r>
        <w:rPr>
          <w:rFonts w:hint="eastAsia" w:ascii="宋体" w:hAnsi="宋体" w:cs="宋体"/>
          <w:color w:val="auto"/>
          <w:sz w:val="24"/>
          <w:szCs w:val="24"/>
          <w:highlight w:val="none"/>
        </w:rPr>
        <w:t>磋商文件发售截止日后，经采购人同意后购买磋商文件的磋商供应商不得对磋商文件和补充文件提出答疑或质疑。</w:t>
      </w:r>
    </w:p>
    <w:p w14:paraId="5FE97F98">
      <w:pPr>
        <w:pStyle w:val="10"/>
        <w:spacing w:line="336" w:lineRule="auto"/>
        <w:rPr>
          <w:rFonts w:hint="eastAsia" w:ascii="宋体" w:hAnsi="宋体" w:cs="宋体"/>
          <w:color w:val="auto"/>
          <w:sz w:val="24"/>
          <w:szCs w:val="24"/>
          <w:highlight w:val="none"/>
        </w:rPr>
      </w:pPr>
    </w:p>
    <w:p w14:paraId="0F53B561">
      <w:pPr>
        <w:pStyle w:val="9"/>
        <w:numPr>
          <w:ilvl w:val="0"/>
          <w:numId w:val="10"/>
        </w:numPr>
        <w:jc w:val="center"/>
        <w:rPr>
          <w:rFonts w:cs="Times New Roman"/>
          <w:color w:val="auto"/>
          <w:highlight w:val="none"/>
        </w:rPr>
      </w:pPr>
      <w:r>
        <w:rPr>
          <w:color w:val="auto"/>
          <w:highlight w:val="none"/>
        </w:rPr>
        <w:t xml:space="preserve"> </w:t>
      </w:r>
      <w:bookmarkStart w:id="69" w:name="_Toc6096"/>
      <w:bookmarkStart w:id="70" w:name="_Toc11515"/>
      <w:bookmarkStart w:id="71" w:name="_Toc27018"/>
      <w:r>
        <w:rPr>
          <w:rFonts w:hint="eastAsia"/>
          <w:color w:val="auto"/>
          <w:highlight w:val="none"/>
        </w:rPr>
        <w:t>竞争性磋商响应文件的编写</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69"/>
      <w:bookmarkEnd w:id="70"/>
      <w:bookmarkEnd w:id="71"/>
    </w:p>
    <w:p w14:paraId="019F081E">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、要求</w:t>
      </w:r>
    </w:p>
    <w:p w14:paraId="597918B5">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45EF10D9">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报价</w:t>
      </w:r>
    </w:p>
    <w:p w14:paraId="13A3DC77">
      <w:pPr>
        <w:spacing w:line="336" w:lineRule="auto"/>
        <w:ind w:firstLine="480" w:firstLineChars="200"/>
        <w:rPr>
          <w:rFonts w:ascii="宋体"/>
          <w:b/>
          <w:bCs/>
          <w:color w:val="auto"/>
          <w:sz w:val="24"/>
          <w:szCs w:val="24"/>
          <w:highlight w:val="none"/>
          <w:shd w:val="clear" w:color="FFFFFF" w:fill="D9D9D9"/>
        </w:rPr>
      </w:pPr>
      <w:r>
        <w:rPr>
          <w:rFonts w:ascii="宋体" w:hAnsi="宋体" w:cs="宋体"/>
          <w:color w:val="auto"/>
          <w:sz w:val="24"/>
          <w:szCs w:val="24"/>
          <w:highlight w:val="none"/>
        </w:rPr>
        <w:t>8.2.1</w:t>
      </w:r>
      <w:r>
        <w:rPr>
          <w:rFonts w:hint="eastAsia" w:ascii="宋体" w:hAnsi="宋体" w:cs="宋体"/>
          <w:color w:val="auto"/>
          <w:sz w:val="24"/>
          <w:szCs w:val="24"/>
          <w:highlight w:val="none"/>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49579723">
      <w:pPr>
        <w:pStyle w:val="62"/>
        <w:tabs>
          <w:tab w:val="left" w:pos="0"/>
        </w:tabs>
        <w:spacing w:before="0" w:line="336" w:lineRule="auto"/>
        <w:ind w:firstLine="480"/>
        <w:rPr>
          <w:rFonts w:ascii="宋体"/>
          <w:color w:val="auto"/>
          <w:highlight w:val="none"/>
          <w:u w:val="single"/>
        </w:rPr>
      </w:pPr>
      <w:r>
        <w:rPr>
          <w:rFonts w:ascii="宋体" w:hAnsi="宋体" w:cs="宋体"/>
          <w:color w:val="auto"/>
          <w:highlight w:val="none"/>
          <w:u w:val="none"/>
        </w:rPr>
        <w:t>8.2.2</w:t>
      </w:r>
      <w:r>
        <w:rPr>
          <w:rFonts w:hint="eastAsia" w:hAnsi="宋体" w:cs="Times New Roman"/>
          <w:b/>
          <w:bCs/>
          <w:color w:val="auto"/>
          <w:sz w:val="24"/>
          <w:szCs w:val="24"/>
          <w:highlight w:val="none"/>
        </w:rPr>
        <w:t>本次报价应包含项目所需全部服务，不得缺漏，是履行合同的最终价格（包括但不限于本次采购项目所需的人员工资、福利、利润、税金、保险</w:t>
      </w:r>
      <w:r>
        <w:rPr>
          <w:rFonts w:hint="eastAsia" w:hAnsi="宋体" w:cs="Times New Roman"/>
          <w:b/>
          <w:bCs/>
          <w:color w:val="auto"/>
          <w:sz w:val="24"/>
          <w:szCs w:val="24"/>
          <w:highlight w:val="none"/>
          <w:lang w:eastAsia="zh-CN"/>
        </w:rPr>
        <w:t>、</w:t>
      </w:r>
      <w:r>
        <w:rPr>
          <w:rFonts w:hint="eastAsia" w:hAnsi="宋体" w:cs="Times New Roman"/>
          <w:b/>
          <w:bCs/>
          <w:color w:val="auto"/>
          <w:sz w:val="24"/>
          <w:szCs w:val="24"/>
          <w:highlight w:val="none"/>
          <w:lang w:val="en-US" w:eastAsia="zh-CN"/>
        </w:rPr>
        <w:t>应急性保障费用、招标代理费及其他不可预见费用等一切费用</w:t>
      </w:r>
      <w:r>
        <w:rPr>
          <w:rFonts w:hint="eastAsia" w:hAnsi="宋体" w:cs="Times New Roman"/>
          <w:b/>
          <w:bCs/>
          <w:color w:val="auto"/>
          <w:sz w:val="24"/>
          <w:szCs w:val="24"/>
          <w:highlight w:val="none"/>
        </w:rPr>
        <w:t>。</w:t>
      </w:r>
      <w:r>
        <w:rPr>
          <w:rFonts w:hint="eastAsia" w:cs="宋体"/>
          <w:b/>
          <w:bCs/>
          <w:color w:val="auto"/>
          <w:highlight w:val="none"/>
        </w:rPr>
        <w:t>投标报价为供应商所能承受的最低、最终报价，供应商不得再要求追加任何费用。</w:t>
      </w:r>
    </w:p>
    <w:p w14:paraId="3D34D6DF">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26465B0B">
      <w:pPr>
        <w:spacing w:line="336" w:lineRule="auto"/>
        <w:ind w:firstLine="480" w:firstLineChars="200"/>
        <w:rPr>
          <w:rFonts w:ascii="宋体"/>
          <w:color w:val="auto"/>
          <w:highlight w:val="none"/>
        </w:rPr>
      </w:pPr>
      <w:r>
        <w:rPr>
          <w:rFonts w:ascii="宋体" w:hAnsi="宋体" w:cs="宋体"/>
          <w:color w:val="auto"/>
          <w:sz w:val="24"/>
          <w:szCs w:val="24"/>
          <w:highlight w:val="none"/>
        </w:rPr>
        <w:t>8.2.3</w:t>
      </w:r>
      <w:r>
        <w:rPr>
          <w:rFonts w:hint="eastAsia" w:ascii="宋体" w:hAnsi="宋体" w:cs="宋体"/>
          <w:color w:val="auto"/>
          <w:sz w:val="24"/>
          <w:szCs w:val="24"/>
          <w:highlight w:val="none"/>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1591635B">
      <w:pPr>
        <w:pStyle w:val="16"/>
        <w:spacing w:line="336" w:lineRule="auto"/>
        <w:ind w:firstLine="482" w:firstLineChars="200"/>
        <w:rPr>
          <w:rFonts w:hAnsi="宋体" w:cs="Times New Roman"/>
          <w:b/>
          <w:bCs/>
          <w:color w:val="auto"/>
          <w:sz w:val="24"/>
          <w:szCs w:val="24"/>
          <w:highlight w:val="none"/>
          <w:u w:val="single"/>
        </w:rPr>
      </w:pPr>
      <w:r>
        <w:rPr>
          <w:rFonts w:hAnsi="宋体"/>
          <w:b/>
          <w:bCs/>
          <w:color w:val="auto"/>
          <w:sz w:val="24"/>
          <w:szCs w:val="24"/>
          <w:highlight w:val="none"/>
        </w:rPr>
        <w:t>9</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w:t>
      </w:r>
      <w:r>
        <w:rPr>
          <w:rFonts w:hAnsi="宋体"/>
          <w:b/>
          <w:bCs/>
          <w:color w:val="auto"/>
          <w:sz w:val="24"/>
          <w:szCs w:val="24"/>
          <w:highlight w:val="none"/>
          <w:u w:val="single"/>
        </w:rPr>
        <w:t>-</w:t>
      </w:r>
      <w:r>
        <w:rPr>
          <w:rFonts w:hint="eastAsia" w:hAnsi="宋体"/>
          <w:b/>
          <w:bCs/>
          <w:color w:val="auto"/>
          <w:sz w:val="24"/>
          <w:szCs w:val="24"/>
          <w:highlight w:val="none"/>
          <w:u w:val="single"/>
        </w:rPr>
        <w:t>政府采购项目电子交易操作指南》进行操作：</w:t>
      </w:r>
      <w:r>
        <w:rPr>
          <w:rFonts w:hAnsi="宋体"/>
          <w:b/>
          <w:bCs/>
          <w:color w:val="auto"/>
          <w:sz w:val="24"/>
          <w:szCs w:val="24"/>
          <w:highlight w:val="none"/>
          <w:u w:val="single"/>
        </w:rPr>
        <w:t>https://help.zcygov.cn/web/site_2/2018/12-28/2573.html</w:t>
      </w:r>
      <w:r>
        <w:rPr>
          <w:rFonts w:hint="eastAsia" w:hAnsi="宋体"/>
          <w:b/>
          <w:bCs/>
          <w:color w:val="auto"/>
          <w:sz w:val="24"/>
          <w:szCs w:val="24"/>
          <w:highlight w:val="none"/>
          <w:u w:val="single"/>
        </w:rPr>
        <w:t>）</w:t>
      </w:r>
    </w:p>
    <w:p w14:paraId="2A8F351D">
      <w:pPr>
        <w:pStyle w:val="62"/>
        <w:tabs>
          <w:tab w:val="left" w:pos="0"/>
        </w:tabs>
        <w:spacing w:before="0" w:line="336" w:lineRule="auto"/>
        <w:ind w:firstLine="480"/>
        <w:rPr>
          <w:rFonts w:ascii="宋体"/>
          <w:color w:val="auto"/>
          <w:highlight w:val="none"/>
        </w:rPr>
      </w:pPr>
      <w:r>
        <w:rPr>
          <w:rFonts w:hint="eastAsia" w:ascii="宋体" w:hAnsi="宋体" w:cs="宋体"/>
          <w:color w:val="auto"/>
          <w:highlight w:val="none"/>
        </w:rPr>
        <w:t>响应文件应当包括以下主要内容：资格文件、商务技术文件、报价文件。</w:t>
      </w:r>
    </w:p>
    <w:p w14:paraId="55E01908">
      <w:pPr>
        <w:pStyle w:val="62"/>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资格文件包括以下内容：</w:t>
      </w:r>
    </w:p>
    <w:p w14:paraId="68AB2638">
      <w:pPr>
        <w:pStyle w:val="62"/>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法定代表人授权书（格式见附件）；如法定代表人直接参加投标并对相应文件签字的（签字是指线下签字扫描后上传或者线上进行电子签章），只需提供其身份证</w:t>
      </w:r>
      <w:r>
        <w:rPr>
          <w:rFonts w:hint="eastAsia" w:ascii="宋体" w:hAnsi="宋体" w:cs="宋体"/>
          <w:color w:val="auto"/>
          <w:highlight w:val="none"/>
          <w:lang w:eastAsia="zh-CN"/>
        </w:rPr>
        <w:t>扫描件</w:t>
      </w:r>
      <w:r>
        <w:rPr>
          <w:rFonts w:hint="eastAsia" w:ascii="宋体" w:hAnsi="宋体" w:cs="宋体"/>
          <w:color w:val="auto"/>
          <w:highlight w:val="none"/>
        </w:rPr>
        <w:t>，否则则应提供授权代表身份证</w:t>
      </w:r>
      <w:r>
        <w:rPr>
          <w:rFonts w:hint="eastAsia" w:ascii="宋体" w:hAnsi="宋体" w:cs="宋体"/>
          <w:color w:val="auto"/>
          <w:highlight w:val="none"/>
          <w:lang w:eastAsia="zh-CN"/>
        </w:rPr>
        <w:t>扫描件</w:t>
      </w:r>
      <w:r>
        <w:rPr>
          <w:rFonts w:hint="eastAsia" w:ascii="宋体" w:hAnsi="宋体" w:cs="宋体"/>
          <w:color w:val="auto"/>
          <w:highlight w:val="none"/>
        </w:rPr>
        <w:t>；</w:t>
      </w:r>
    </w:p>
    <w:p w14:paraId="2002046C">
      <w:pPr>
        <w:pStyle w:val="62"/>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营业执照</w:t>
      </w:r>
      <w:r>
        <w:rPr>
          <w:rFonts w:ascii="宋体" w:hAnsi="宋体" w:cs="宋体"/>
          <w:color w:val="auto"/>
          <w:highlight w:val="none"/>
        </w:rPr>
        <w:t>(</w:t>
      </w:r>
      <w:r>
        <w:rPr>
          <w:rFonts w:hint="eastAsia" w:ascii="宋体" w:hAnsi="宋体" w:cs="宋体"/>
          <w:color w:val="auto"/>
          <w:highlight w:val="none"/>
        </w:rPr>
        <w:t>或事业法人登记证或其他工商等登记证明材料</w:t>
      </w:r>
      <w:r>
        <w:rPr>
          <w:rFonts w:ascii="宋体" w:hAnsi="宋体" w:cs="宋体"/>
          <w:color w:val="auto"/>
          <w:highlight w:val="none"/>
        </w:rPr>
        <w:t>)</w:t>
      </w:r>
      <w:r>
        <w:rPr>
          <w:rFonts w:hint="eastAsia" w:ascii="宋体" w:hAnsi="宋体" w:cs="宋体"/>
          <w:color w:val="auto"/>
          <w:highlight w:val="none"/>
          <w:lang w:eastAsia="zh-CN"/>
        </w:rPr>
        <w:t>扫描件</w:t>
      </w:r>
      <w:r>
        <w:rPr>
          <w:rFonts w:hint="eastAsia" w:ascii="宋体" w:hAnsi="宋体" w:cs="宋体"/>
          <w:color w:val="auto"/>
          <w:highlight w:val="none"/>
        </w:rPr>
        <w:t>、税务登记证</w:t>
      </w:r>
      <w:r>
        <w:rPr>
          <w:rFonts w:ascii="宋体" w:hAnsi="宋体" w:cs="宋体"/>
          <w:color w:val="auto"/>
          <w:highlight w:val="none"/>
        </w:rPr>
        <w:t>(</w:t>
      </w:r>
      <w:r>
        <w:rPr>
          <w:rFonts w:hint="eastAsia" w:ascii="宋体" w:hAnsi="宋体" w:cs="宋体"/>
          <w:color w:val="auto"/>
          <w:highlight w:val="none"/>
        </w:rPr>
        <w:t>或其它缴纳证明材料</w:t>
      </w:r>
      <w:r>
        <w:rPr>
          <w:rFonts w:ascii="宋体" w:hAnsi="宋体" w:cs="宋体"/>
          <w:color w:val="auto"/>
          <w:highlight w:val="none"/>
        </w:rPr>
        <w:t>)</w:t>
      </w:r>
      <w:r>
        <w:rPr>
          <w:rFonts w:hint="eastAsia" w:ascii="宋体" w:hAnsi="宋体" w:cs="宋体"/>
          <w:color w:val="auto"/>
          <w:highlight w:val="none"/>
          <w:lang w:eastAsia="zh-CN"/>
        </w:rPr>
        <w:t>扫描件</w:t>
      </w:r>
      <w:r>
        <w:rPr>
          <w:rFonts w:hint="eastAsia" w:ascii="宋体" w:hAnsi="宋体" w:cs="宋体"/>
          <w:color w:val="auto"/>
          <w:highlight w:val="none"/>
        </w:rPr>
        <w:t>、社保登记证（或其它缴纳证明材料）</w:t>
      </w:r>
      <w:r>
        <w:rPr>
          <w:rFonts w:hint="eastAsia" w:ascii="宋体" w:hAnsi="宋体" w:cs="宋体"/>
          <w:color w:val="auto"/>
          <w:highlight w:val="none"/>
          <w:lang w:eastAsia="zh-CN"/>
        </w:rPr>
        <w:t>扫描件</w:t>
      </w:r>
      <w:r>
        <w:rPr>
          <w:rFonts w:hint="eastAsia" w:ascii="宋体" w:hAnsi="宋体" w:cs="宋体"/>
          <w:color w:val="auto"/>
          <w:highlight w:val="none"/>
        </w:rPr>
        <w:t>；实施“五证合一、一照一码”登记制度改革的，只需提供改革后取得的营业执照</w:t>
      </w:r>
      <w:r>
        <w:rPr>
          <w:rFonts w:hint="eastAsia" w:ascii="宋体" w:hAnsi="宋体" w:cs="宋体"/>
          <w:color w:val="auto"/>
          <w:highlight w:val="none"/>
          <w:lang w:eastAsia="zh-CN"/>
        </w:rPr>
        <w:t>扫描件</w:t>
      </w:r>
      <w:r>
        <w:rPr>
          <w:rFonts w:hint="eastAsia" w:ascii="宋体" w:hAnsi="宋体" w:cs="宋体"/>
          <w:color w:val="auto"/>
          <w:highlight w:val="none"/>
        </w:rPr>
        <w:t>；事业单位的，则提供有效的《事业单位法人证书》副本</w:t>
      </w:r>
      <w:r>
        <w:rPr>
          <w:rFonts w:hint="eastAsia" w:ascii="宋体" w:hAnsi="宋体" w:cs="宋体"/>
          <w:color w:val="auto"/>
          <w:highlight w:val="none"/>
          <w:lang w:eastAsia="zh-CN"/>
        </w:rPr>
        <w:t>扫描件</w:t>
      </w:r>
      <w:r>
        <w:rPr>
          <w:rFonts w:hint="eastAsia" w:ascii="宋体" w:hAnsi="宋体" w:cs="宋体"/>
          <w:color w:val="auto"/>
          <w:highlight w:val="none"/>
        </w:rPr>
        <w:t>并加盖单位公章；</w:t>
      </w:r>
    </w:p>
    <w:p w14:paraId="5F0D96B3">
      <w:pPr>
        <w:pStyle w:val="62"/>
        <w:spacing w:before="0" w:line="336" w:lineRule="auto"/>
        <w:ind w:firstLine="480"/>
        <w:rPr>
          <w:rFonts w:ascii="宋体"/>
          <w:color w:val="auto"/>
          <w:highlight w:val="none"/>
        </w:rPr>
      </w:pP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337BDAE4">
      <w:pPr>
        <w:pStyle w:val="62"/>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具有履行合同所必需的产品和专业技术能力的承诺函</w:t>
      </w:r>
      <w:r>
        <w:rPr>
          <w:rFonts w:hint="eastAsia" w:ascii="宋体" w:hAnsi="宋体" w:cs="宋体"/>
          <w:color w:val="auto"/>
          <w:highlight w:val="none"/>
          <w:lang w:eastAsia="zh-CN"/>
        </w:rPr>
        <w:t>（格式自拟）</w:t>
      </w:r>
      <w:r>
        <w:rPr>
          <w:rFonts w:hint="eastAsia" w:ascii="宋体" w:hAnsi="宋体" w:cs="宋体"/>
          <w:color w:val="auto"/>
          <w:highlight w:val="none"/>
        </w:rPr>
        <w:t>；</w:t>
      </w:r>
    </w:p>
    <w:p w14:paraId="583A7E58">
      <w:pPr>
        <w:pStyle w:val="62"/>
        <w:numPr>
          <w:ilvl w:val="0"/>
          <w:numId w:val="12"/>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投标人承诺函（格式见附件）；</w:t>
      </w:r>
    </w:p>
    <w:p w14:paraId="20D5C0C2">
      <w:pPr>
        <w:pStyle w:val="62"/>
        <w:numPr>
          <w:ilvl w:val="0"/>
          <w:numId w:val="12"/>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 xml:space="preserve">中小企业声明函（格式见附件）； </w:t>
      </w:r>
    </w:p>
    <w:p w14:paraId="76B972DB">
      <w:pPr>
        <w:pStyle w:val="62"/>
        <w:numPr>
          <w:ilvl w:val="0"/>
          <w:numId w:val="12"/>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残疾人福利性单位声明函(如有)（格式见附件）；</w:t>
      </w:r>
    </w:p>
    <w:p w14:paraId="1648C99E">
      <w:pPr>
        <w:pStyle w:val="62"/>
        <w:numPr>
          <w:ilvl w:val="0"/>
          <w:numId w:val="12"/>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监狱企业证明文件(如有)（格式见附件）</w:t>
      </w:r>
      <w:r>
        <w:rPr>
          <w:rFonts w:hint="eastAsia" w:ascii="宋体" w:hAnsi="宋体" w:cs="宋体"/>
          <w:color w:val="auto"/>
          <w:highlight w:val="none"/>
          <w:lang w:eastAsia="zh-CN"/>
        </w:rPr>
        <w:t>。</w:t>
      </w:r>
    </w:p>
    <w:p w14:paraId="12B81145">
      <w:pPr>
        <w:pStyle w:val="62"/>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商务技术文件，本次磋商需要供应商提供以下项所列的技术文件：</w:t>
      </w:r>
    </w:p>
    <w:p w14:paraId="3E94AB07">
      <w:pPr>
        <w:pStyle w:val="62"/>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评分对应表（格式见附件，主要用于评委对应评分内容）</w:t>
      </w:r>
    </w:p>
    <w:p w14:paraId="067A15A0">
      <w:pPr>
        <w:pStyle w:val="62"/>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供应商商务技术文件中资信分自评表（格式见附件）；</w:t>
      </w:r>
    </w:p>
    <w:p w14:paraId="27ECF739">
      <w:pPr>
        <w:pStyle w:val="62"/>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磋商项目明细清单（格式见附件）；</w:t>
      </w:r>
    </w:p>
    <w:p w14:paraId="1B24E86B">
      <w:pPr>
        <w:pStyle w:val="62"/>
        <w:numPr>
          <w:ilvl w:val="0"/>
          <w:numId w:val="13"/>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技术响应及建议表（格式见附件）；</w:t>
      </w:r>
    </w:p>
    <w:p w14:paraId="3387CA11">
      <w:pPr>
        <w:pStyle w:val="62"/>
        <w:numPr>
          <w:ilvl w:val="0"/>
          <w:numId w:val="13"/>
        </w:numPr>
        <w:spacing w:before="0" w:line="336" w:lineRule="auto"/>
        <w:ind w:firstLine="480"/>
        <w:rPr>
          <w:rFonts w:hint="eastAsia" w:ascii="宋体" w:hAnsi="宋体" w:cs="宋体"/>
          <w:color w:val="auto"/>
          <w:sz w:val="24"/>
          <w:highlight w:val="none"/>
        </w:rPr>
      </w:pPr>
      <w:r>
        <w:rPr>
          <w:rFonts w:hint="eastAsia" w:ascii="宋体" w:hAnsi="宋体" w:cs="宋体"/>
          <w:color w:val="auto"/>
          <w:highlight w:val="none"/>
        </w:rPr>
        <w:t>商务响应表（格式见附件）；</w:t>
      </w:r>
    </w:p>
    <w:p w14:paraId="30C5CA64">
      <w:pPr>
        <w:pStyle w:val="62"/>
        <w:numPr>
          <w:ilvl w:val="0"/>
          <w:numId w:val="13"/>
        </w:numPr>
        <w:spacing w:before="0" w:line="336" w:lineRule="auto"/>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项目理解</w:t>
      </w:r>
      <w:r>
        <w:rPr>
          <w:rFonts w:hint="eastAsia" w:ascii="宋体" w:hAnsi="宋体" w:cs="宋体"/>
          <w:color w:val="auto"/>
          <w:sz w:val="24"/>
          <w:highlight w:val="none"/>
          <w:lang w:eastAsia="zh-CN"/>
        </w:rPr>
        <w:t>；</w:t>
      </w:r>
    </w:p>
    <w:p w14:paraId="6387493A">
      <w:pPr>
        <w:pStyle w:val="62"/>
        <w:numPr>
          <w:ilvl w:val="0"/>
          <w:numId w:val="13"/>
        </w:numPr>
        <w:spacing w:before="0"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项目方案；</w:t>
      </w:r>
    </w:p>
    <w:p w14:paraId="473F442D">
      <w:pPr>
        <w:pStyle w:val="62"/>
        <w:numPr>
          <w:ilvl w:val="0"/>
          <w:numId w:val="13"/>
        </w:numPr>
        <w:spacing w:before="0" w:line="336" w:lineRule="auto"/>
        <w:ind w:firstLine="480"/>
        <w:rPr>
          <w:rFonts w:hint="eastAsia" w:ascii="宋体" w:hAnsi="宋体" w:cs="宋体"/>
          <w:color w:val="auto"/>
          <w:sz w:val="24"/>
          <w:highlight w:val="none"/>
        </w:rPr>
      </w:pPr>
      <w:r>
        <w:rPr>
          <w:rFonts w:hint="eastAsia" w:ascii="宋体" w:hAnsi="宋体" w:eastAsia="宋体" w:cs="宋体"/>
          <w:sz w:val="24"/>
          <w:szCs w:val="24"/>
          <w:highlight w:val="none"/>
          <w:lang w:val="en-US" w:eastAsia="zh-CN"/>
        </w:rPr>
        <w:t>质量控制方案</w:t>
      </w:r>
      <w:r>
        <w:rPr>
          <w:rFonts w:hint="eastAsia" w:ascii="宋体" w:hAnsi="宋体" w:cs="宋体"/>
          <w:color w:val="auto"/>
          <w:sz w:val="24"/>
          <w:highlight w:val="none"/>
        </w:rPr>
        <w:t>；</w:t>
      </w:r>
    </w:p>
    <w:p w14:paraId="399F6AD3">
      <w:pPr>
        <w:pStyle w:val="62"/>
        <w:numPr>
          <w:ilvl w:val="0"/>
          <w:numId w:val="13"/>
        </w:numPr>
        <w:spacing w:before="0" w:line="336" w:lineRule="auto"/>
        <w:ind w:firstLine="480"/>
        <w:rPr>
          <w:rFonts w:hint="eastAsia" w:ascii="宋体" w:hAnsi="宋体" w:cs="宋体"/>
          <w:color w:val="auto"/>
          <w:sz w:val="24"/>
          <w:highlight w:val="none"/>
        </w:rPr>
      </w:pPr>
      <w:r>
        <w:rPr>
          <w:rFonts w:hint="eastAsia" w:ascii="宋体" w:hAnsi="宋体" w:eastAsia="宋体" w:cs="宋体"/>
          <w:sz w:val="24"/>
          <w:szCs w:val="24"/>
          <w:highlight w:val="none"/>
        </w:rPr>
        <w:t>人员配置</w:t>
      </w:r>
      <w:r>
        <w:rPr>
          <w:rFonts w:hint="eastAsia" w:ascii="宋体" w:hAnsi="宋体" w:cs="宋体"/>
          <w:color w:val="auto"/>
          <w:sz w:val="24"/>
          <w:highlight w:val="none"/>
          <w:lang w:eastAsia="zh-CN"/>
        </w:rPr>
        <w:t>；</w:t>
      </w:r>
    </w:p>
    <w:p w14:paraId="03C7DF40">
      <w:pPr>
        <w:pStyle w:val="62"/>
        <w:numPr>
          <w:ilvl w:val="0"/>
          <w:numId w:val="13"/>
        </w:numPr>
        <w:spacing w:before="0" w:line="336" w:lineRule="auto"/>
        <w:ind w:firstLine="480"/>
        <w:rPr>
          <w:rFonts w:hint="eastAsia" w:ascii="宋体" w:hAnsi="宋体" w:cs="宋体"/>
          <w:color w:val="auto"/>
          <w:sz w:val="24"/>
          <w:highlight w:val="none"/>
        </w:rPr>
      </w:pPr>
      <w:r>
        <w:rPr>
          <w:rFonts w:hint="eastAsia" w:ascii="宋体" w:hAnsi="宋体" w:eastAsia="宋体" w:cs="宋体"/>
          <w:sz w:val="24"/>
          <w:szCs w:val="24"/>
          <w:highlight w:val="none"/>
        </w:rPr>
        <w:t>售后服务</w:t>
      </w:r>
      <w:r>
        <w:rPr>
          <w:rFonts w:hint="eastAsia" w:ascii="宋体" w:hAnsi="宋体" w:cs="宋体"/>
          <w:color w:val="auto"/>
          <w:sz w:val="24"/>
          <w:highlight w:val="none"/>
        </w:rPr>
        <w:t>；</w:t>
      </w:r>
    </w:p>
    <w:p w14:paraId="7CE49183">
      <w:pPr>
        <w:pStyle w:val="62"/>
        <w:numPr>
          <w:ilvl w:val="0"/>
          <w:numId w:val="13"/>
        </w:numPr>
        <w:spacing w:before="0" w:line="336" w:lineRule="auto"/>
        <w:ind w:firstLine="480"/>
        <w:rPr>
          <w:rFonts w:hint="eastAsia" w:ascii="宋体" w:hAnsi="宋体" w:cs="宋体"/>
          <w:color w:val="auto"/>
          <w:sz w:val="24"/>
          <w:highlight w:val="none"/>
        </w:rPr>
      </w:pPr>
      <w:r>
        <w:rPr>
          <w:rFonts w:hint="eastAsia" w:ascii="宋体" w:hAnsi="宋体" w:eastAsia="宋体" w:cs="宋体"/>
          <w:sz w:val="24"/>
          <w:szCs w:val="24"/>
          <w:highlight w:val="none"/>
          <w:lang w:eastAsia="zh-CN"/>
        </w:rPr>
        <w:t>合理化建议</w:t>
      </w:r>
      <w:r>
        <w:rPr>
          <w:rFonts w:hint="eastAsia" w:ascii="宋体" w:hAnsi="宋体" w:cs="宋体"/>
          <w:color w:val="auto"/>
          <w:sz w:val="24"/>
          <w:highlight w:val="none"/>
        </w:rPr>
        <w:t>；</w:t>
      </w:r>
    </w:p>
    <w:p w14:paraId="5E70C814">
      <w:pPr>
        <w:pStyle w:val="62"/>
        <w:numPr>
          <w:ilvl w:val="0"/>
          <w:numId w:val="13"/>
        </w:numPr>
        <w:spacing w:before="0" w:line="336" w:lineRule="auto"/>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业绩</w:t>
      </w:r>
      <w:r>
        <w:rPr>
          <w:rFonts w:hint="eastAsia" w:ascii="宋体" w:hAnsi="宋体" w:cs="宋体"/>
          <w:color w:val="auto"/>
          <w:sz w:val="24"/>
          <w:highlight w:val="none"/>
          <w:lang w:eastAsia="zh-CN"/>
        </w:rPr>
        <w:t>；</w:t>
      </w:r>
    </w:p>
    <w:p w14:paraId="1C8C63AD">
      <w:pPr>
        <w:pStyle w:val="62"/>
        <w:numPr>
          <w:ilvl w:val="0"/>
          <w:numId w:val="13"/>
        </w:numPr>
        <w:spacing w:before="0" w:line="336" w:lineRule="auto"/>
        <w:ind w:firstLine="480"/>
        <w:rPr>
          <w:rFonts w:hint="eastAsia" w:ascii="宋体" w:hAnsi="宋体" w:cs="宋体"/>
          <w:color w:val="auto"/>
          <w:sz w:val="24"/>
          <w:highlight w:val="none"/>
        </w:rPr>
      </w:pPr>
      <w:r>
        <w:rPr>
          <w:rFonts w:hint="eastAsia" w:asciiTheme="minorEastAsia" w:hAnsiTheme="minorEastAsia" w:eastAsiaTheme="minorEastAsia"/>
          <w:highlight w:val="none"/>
        </w:rPr>
        <w:t>企业实力</w:t>
      </w:r>
      <w:r>
        <w:rPr>
          <w:rFonts w:hint="eastAsia" w:asciiTheme="minorEastAsia" w:hAnsiTheme="minorEastAsia" w:eastAsiaTheme="minorEastAsia"/>
          <w:highlight w:val="none"/>
          <w:lang w:eastAsia="zh-CN"/>
        </w:rPr>
        <w:t>；</w:t>
      </w:r>
    </w:p>
    <w:p w14:paraId="0874A028">
      <w:pPr>
        <w:pStyle w:val="62"/>
        <w:numPr>
          <w:ilvl w:val="0"/>
          <w:numId w:val="13"/>
        </w:numPr>
        <w:spacing w:before="0" w:line="336" w:lineRule="auto"/>
        <w:ind w:firstLine="480"/>
        <w:rPr>
          <w:rFonts w:hint="eastAsia" w:ascii="宋体" w:hAnsi="宋体" w:cs="宋体"/>
          <w:color w:val="auto"/>
          <w:sz w:val="24"/>
          <w:highlight w:val="none"/>
        </w:rPr>
      </w:pPr>
      <w:r>
        <w:rPr>
          <w:rFonts w:hint="eastAsia" w:ascii="宋体" w:hAnsi="宋体" w:cs="宋体"/>
          <w:sz w:val="24"/>
          <w:szCs w:val="24"/>
          <w:highlight w:val="none"/>
          <w:lang w:val="en-US" w:eastAsia="zh-CN"/>
        </w:rPr>
        <w:t>证书</w:t>
      </w:r>
      <w:r>
        <w:rPr>
          <w:rFonts w:hint="eastAsia" w:ascii="宋体" w:hAnsi="宋体" w:eastAsia="宋体" w:cs="宋体"/>
          <w:bCs/>
          <w:color w:val="auto"/>
          <w:sz w:val="24"/>
          <w:szCs w:val="24"/>
          <w:highlight w:val="none"/>
          <w:lang w:eastAsia="zh-CN"/>
        </w:rPr>
        <w:t>；</w:t>
      </w:r>
    </w:p>
    <w:p w14:paraId="6CC4C794">
      <w:pPr>
        <w:pStyle w:val="62"/>
        <w:numPr>
          <w:ilvl w:val="0"/>
          <w:numId w:val="13"/>
        </w:numPr>
        <w:spacing w:before="0"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供应商认为需要的其他文件资料</w:t>
      </w:r>
      <w:r>
        <w:rPr>
          <w:rFonts w:hint="eastAsia" w:ascii="宋体" w:hAnsi="宋体" w:cs="宋体"/>
          <w:color w:val="auto"/>
          <w:sz w:val="24"/>
          <w:highlight w:val="none"/>
          <w:lang w:eastAsia="zh-CN"/>
        </w:rPr>
        <w:t>。</w:t>
      </w:r>
    </w:p>
    <w:p w14:paraId="5550C93B">
      <w:pPr>
        <w:pStyle w:val="62"/>
        <w:numPr>
          <w:ilvl w:val="0"/>
          <w:numId w:val="0"/>
        </w:numPr>
        <w:spacing w:before="0" w:line="336" w:lineRule="auto"/>
        <w:ind w:leftChars="200"/>
        <w:rPr>
          <w:rFonts w:ascii="宋体"/>
          <w:color w:val="auto"/>
          <w:highlight w:val="none"/>
        </w:rPr>
      </w:pPr>
      <w:r>
        <w:rPr>
          <w:rFonts w:hint="eastAsia" w:ascii="宋体" w:hAnsi="宋体" w:cs="宋体"/>
          <w:color w:val="auto"/>
          <w:highlight w:val="none"/>
        </w:rPr>
        <w:t>注：以上内容应与评标办法中内容具有一致性。</w:t>
      </w:r>
    </w:p>
    <w:p w14:paraId="24C41E3F">
      <w:pPr>
        <w:pStyle w:val="62"/>
        <w:tabs>
          <w:tab w:val="left" w:pos="0"/>
        </w:tabs>
        <w:spacing w:before="0" w:line="336" w:lineRule="auto"/>
        <w:ind w:firstLine="480"/>
        <w:rPr>
          <w:rFonts w:ascii="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3410038C">
      <w:pPr>
        <w:pStyle w:val="62"/>
        <w:tabs>
          <w:tab w:val="left" w:pos="0"/>
        </w:tabs>
        <w:spacing w:before="0" w:line="336" w:lineRule="auto"/>
        <w:ind w:firstLine="480"/>
        <w:rPr>
          <w:rFonts w:ascii="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7E49771B">
      <w:pPr>
        <w:pStyle w:val="62"/>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报价文件包括以下内容：</w:t>
      </w:r>
    </w:p>
    <w:p w14:paraId="432454C2">
      <w:pPr>
        <w:pStyle w:val="62"/>
        <w:numPr>
          <w:ilvl w:val="0"/>
          <w:numId w:val="14"/>
        </w:numPr>
        <w:spacing w:before="0" w:line="336" w:lineRule="auto"/>
        <w:ind w:firstLine="480"/>
        <w:rPr>
          <w:rFonts w:ascii="宋体"/>
          <w:color w:val="auto"/>
          <w:highlight w:val="none"/>
        </w:rPr>
      </w:pPr>
      <w:r>
        <w:rPr>
          <w:rFonts w:hint="eastAsia" w:ascii="宋体" w:hAnsi="宋体" w:cs="宋体"/>
          <w:color w:val="auto"/>
          <w:highlight w:val="none"/>
        </w:rPr>
        <w:t>磋商函（格式见附件）；</w:t>
      </w:r>
    </w:p>
    <w:p w14:paraId="44446B50">
      <w:pPr>
        <w:pStyle w:val="62"/>
        <w:numPr>
          <w:ilvl w:val="0"/>
          <w:numId w:val="14"/>
        </w:numPr>
        <w:spacing w:before="0" w:line="336" w:lineRule="auto"/>
        <w:ind w:firstLine="480"/>
        <w:rPr>
          <w:rFonts w:ascii="宋体"/>
          <w:color w:val="auto"/>
          <w:highlight w:val="none"/>
        </w:rPr>
      </w:pPr>
      <w:r>
        <w:rPr>
          <w:rFonts w:hint="eastAsia" w:ascii="宋体" w:hAnsi="宋体" w:cs="宋体"/>
          <w:color w:val="auto"/>
          <w:highlight w:val="none"/>
        </w:rPr>
        <w:t>报价一览表（格式见附件）；</w:t>
      </w:r>
    </w:p>
    <w:p w14:paraId="06B68956">
      <w:pPr>
        <w:pStyle w:val="62"/>
        <w:numPr>
          <w:ilvl w:val="0"/>
          <w:numId w:val="14"/>
        </w:numPr>
        <w:spacing w:before="0" w:line="336" w:lineRule="auto"/>
        <w:ind w:firstLine="480"/>
        <w:rPr>
          <w:rFonts w:ascii="宋体"/>
          <w:color w:val="auto"/>
          <w:highlight w:val="none"/>
        </w:rPr>
      </w:pPr>
      <w:r>
        <w:rPr>
          <w:rFonts w:hint="eastAsia" w:ascii="宋体" w:hAnsi="宋体" w:cs="宋体"/>
          <w:color w:val="auto"/>
          <w:highlight w:val="none"/>
        </w:rPr>
        <w:t>磋商报价明细表（格式见附件）。</w:t>
      </w:r>
    </w:p>
    <w:p w14:paraId="4D617417">
      <w:pPr>
        <w:pStyle w:val="62"/>
        <w:spacing w:before="0" w:line="336" w:lineRule="auto"/>
        <w:ind w:left="0" w:leftChars="0" w:firstLine="241" w:firstLineChars="100"/>
        <w:rPr>
          <w:rFonts w:ascii="宋体"/>
          <w:b/>
          <w:bCs/>
          <w:color w:val="auto"/>
          <w:highlight w:val="none"/>
          <w:u w:val="single"/>
        </w:rPr>
      </w:pPr>
      <w:r>
        <w:rPr>
          <w:rFonts w:hint="eastAsia" w:ascii="宋体" w:hAnsi="宋体" w:cs="宋体"/>
          <w:b/>
          <w:bCs/>
          <w:color w:val="auto"/>
          <w:highlight w:val="none"/>
          <w:u w:val="single"/>
        </w:rPr>
        <w:t>注：“资格文件”、“商务技术文件”、“报价文件”须分</w:t>
      </w:r>
      <w:r>
        <w:rPr>
          <w:rFonts w:ascii="宋体" w:hAnsi="宋体" w:cs="宋体"/>
          <w:b/>
          <w:bCs/>
          <w:color w:val="auto"/>
          <w:highlight w:val="none"/>
          <w:u w:val="single"/>
        </w:rPr>
        <w:t>3</w:t>
      </w:r>
      <w:r>
        <w:rPr>
          <w:rFonts w:hint="eastAsia" w:ascii="宋体" w:hAnsi="宋体" w:cs="宋体"/>
          <w:b/>
          <w:bCs/>
          <w:color w:val="auto"/>
          <w:highlight w:val="none"/>
          <w:u w:val="single"/>
        </w:rPr>
        <w:t>个</w:t>
      </w:r>
      <w:r>
        <w:rPr>
          <w:rFonts w:ascii="宋体" w:hAnsi="宋体" w:cs="宋体"/>
          <w:b/>
          <w:bCs/>
          <w:color w:val="auto"/>
          <w:highlight w:val="none"/>
          <w:u w:val="single"/>
        </w:rPr>
        <w:t>PDF</w:t>
      </w:r>
      <w:r>
        <w:rPr>
          <w:rFonts w:hint="eastAsia" w:ascii="宋体" w:hAnsi="宋体" w:cs="宋体"/>
          <w:b/>
          <w:bCs/>
          <w:color w:val="auto"/>
          <w:highlight w:val="none"/>
          <w:u w:val="single"/>
        </w:rPr>
        <w:t>格式分别导入。</w:t>
      </w:r>
    </w:p>
    <w:p w14:paraId="1DBF579B">
      <w:pPr>
        <w:pStyle w:val="62"/>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．响应文件有效期</w:t>
      </w:r>
    </w:p>
    <w:p w14:paraId="250BBE7C">
      <w:pPr>
        <w:pStyle w:val="62"/>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10.1 </w:t>
      </w:r>
      <w:r>
        <w:rPr>
          <w:rFonts w:hint="eastAsia" w:ascii="宋体" w:hAnsi="宋体" w:cs="宋体"/>
          <w:color w:val="auto"/>
          <w:highlight w:val="none"/>
        </w:rPr>
        <w:t>响应文件未在磋商响应截止时间前完成传输的或者未按时解密的，视为放弃磋商；响应文件解密失败后未提供备份文件或者备份文件也出现异常情况无法进行评审的，亦视为放弃磋商。</w:t>
      </w:r>
    </w:p>
    <w:p w14:paraId="71E94956">
      <w:pPr>
        <w:pStyle w:val="62"/>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10.2 </w:t>
      </w:r>
      <w:r>
        <w:rPr>
          <w:rFonts w:hint="eastAsia" w:ascii="宋体" w:hAnsi="宋体" w:cs="宋体"/>
          <w:color w:val="auto"/>
          <w:highlight w:val="none"/>
        </w:rPr>
        <w:t>响应文件上传后，自磋商响应截止日期起，在前附表所列的磋商响应文件有效期内有效。</w:t>
      </w:r>
    </w:p>
    <w:p w14:paraId="600C06B9">
      <w:pPr>
        <w:pStyle w:val="62"/>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10.3 </w:t>
      </w:r>
      <w:r>
        <w:rPr>
          <w:rFonts w:hint="eastAsia" w:ascii="宋体" w:hAnsi="宋体" w:cs="宋体"/>
          <w:color w:val="auto"/>
          <w:highlight w:val="none"/>
        </w:rPr>
        <w:t>在原定有效期满之前，如果出现特殊情况，采购代理机构可以以书面形式向磋商供应商提出延长磋商有效期的要求，磋商供应商对此须以书面形式予以答复。</w:t>
      </w:r>
    </w:p>
    <w:p w14:paraId="3A741B69">
      <w:pPr>
        <w:pStyle w:val="62"/>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．供应商如有下列情况之一者列入不良行为记录：</w:t>
      </w:r>
    </w:p>
    <w:p w14:paraId="43BF721A">
      <w:pPr>
        <w:pStyle w:val="62"/>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rPr>
        <w:t>供应商在磋商响应文件有效期内撤回投标的；</w:t>
      </w:r>
    </w:p>
    <w:p w14:paraId="14C054FA">
      <w:pPr>
        <w:pStyle w:val="62"/>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供应商或中标候选人放弃中标或中标候选人资格的；</w:t>
      </w:r>
    </w:p>
    <w:p w14:paraId="7DE185C0">
      <w:pPr>
        <w:pStyle w:val="62"/>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擅自修改或拒绝接受已经确认的条款；</w:t>
      </w:r>
    </w:p>
    <w:p w14:paraId="476041A9">
      <w:pPr>
        <w:pStyle w:val="62"/>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成交供应商未按规定与采购人签订合同；</w:t>
      </w:r>
    </w:p>
    <w:p w14:paraId="16B2B224">
      <w:pPr>
        <w:pStyle w:val="62"/>
        <w:spacing w:before="0" w:line="336" w:lineRule="auto"/>
        <w:ind w:left="40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5</w:t>
      </w:r>
      <w:r>
        <w:rPr>
          <w:rFonts w:ascii="宋体" w:hAnsi="宋体" w:cs="宋体"/>
          <w:color w:val="auto"/>
          <w:highlight w:val="none"/>
        </w:rPr>
        <w:t xml:space="preserve"> </w:t>
      </w:r>
      <w:r>
        <w:rPr>
          <w:rFonts w:hint="eastAsia" w:ascii="宋体" w:hAnsi="宋体" w:cs="宋体"/>
          <w:color w:val="auto"/>
          <w:highlight w:val="none"/>
        </w:rPr>
        <w:t>供应商采取提供虚假资料等不正当手段的；</w:t>
      </w:r>
    </w:p>
    <w:p w14:paraId="0890E392">
      <w:pPr>
        <w:pStyle w:val="62"/>
        <w:spacing w:before="0" w:line="336" w:lineRule="auto"/>
        <w:ind w:left="40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6</w:t>
      </w:r>
      <w:r>
        <w:rPr>
          <w:rFonts w:ascii="宋体" w:hAnsi="宋体" w:cs="宋体"/>
          <w:color w:val="auto"/>
          <w:highlight w:val="none"/>
        </w:rPr>
        <w:t xml:space="preserve"> </w:t>
      </w:r>
      <w:r>
        <w:rPr>
          <w:rFonts w:hint="eastAsia" w:ascii="宋体" w:hAnsi="宋体" w:cs="宋体"/>
          <w:color w:val="auto"/>
          <w:highlight w:val="none"/>
        </w:rPr>
        <w:t>供应商在投标过程中串通投标的。</w:t>
      </w:r>
    </w:p>
    <w:p w14:paraId="2CC04B00">
      <w:pPr>
        <w:pStyle w:val="62"/>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12</w:t>
      </w:r>
      <w:r>
        <w:rPr>
          <w:rFonts w:hint="eastAsia" w:ascii="宋体" w:hAnsi="宋体" w:cs="宋体"/>
          <w:b/>
          <w:bCs/>
          <w:color w:val="auto"/>
          <w:highlight w:val="none"/>
        </w:rPr>
        <w:t>．响应文件的编制和签署</w:t>
      </w:r>
    </w:p>
    <w:p w14:paraId="39862E5C">
      <w:pPr>
        <w:pStyle w:val="62"/>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按磋商文件</w:t>
      </w:r>
      <w:r>
        <w:rPr>
          <w:rFonts w:ascii="宋体" w:hAnsi="宋体" w:cs="宋体"/>
          <w:color w:val="auto"/>
          <w:highlight w:val="none"/>
        </w:rPr>
        <w:t>9.1</w:t>
      </w:r>
      <w:r>
        <w:rPr>
          <w:rFonts w:hint="eastAsia" w:ascii="宋体" w:hAnsi="宋体" w:cs="宋体"/>
          <w:color w:val="auto"/>
          <w:highlight w:val="none"/>
        </w:rPr>
        <w:t>条、</w:t>
      </w:r>
      <w:r>
        <w:rPr>
          <w:rFonts w:ascii="宋体" w:hAnsi="宋体" w:cs="宋体"/>
          <w:color w:val="auto"/>
          <w:highlight w:val="none"/>
        </w:rPr>
        <w:t>9.2</w:t>
      </w:r>
      <w:r>
        <w:rPr>
          <w:rFonts w:hint="eastAsia" w:ascii="宋体" w:hAnsi="宋体" w:cs="宋体"/>
          <w:color w:val="auto"/>
          <w:highlight w:val="none"/>
        </w:rPr>
        <w:t>条、</w:t>
      </w:r>
      <w:r>
        <w:rPr>
          <w:rFonts w:ascii="宋体" w:hAnsi="宋体" w:cs="宋体"/>
          <w:color w:val="auto"/>
          <w:highlight w:val="none"/>
        </w:rPr>
        <w:t>9.3</w:t>
      </w:r>
      <w:r>
        <w:rPr>
          <w:rFonts w:hint="eastAsia" w:ascii="宋体" w:hAnsi="宋体" w:cs="宋体"/>
          <w:color w:val="auto"/>
          <w:highlight w:val="none"/>
        </w:rPr>
        <w:t>条要求提供的各种文件，响应文件分为资格文件、商务技术文件和报价文件三部分。</w:t>
      </w:r>
    </w:p>
    <w:p w14:paraId="08350F18">
      <w:pPr>
        <w:pStyle w:val="62"/>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响应文件须按附件格式要求进行电子签章，供应商应写全称。（电子磋商响应文件中所须加盖公章部分均应采用电子签章）</w:t>
      </w:r>
    </w:p>
    <w:p w14:paraId="50D8B4EE">
      <w:pPr>
        <w:pStyle w:val="62"/>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12.3 </w:t>
      </w:r>
      <w:r>
        <w:rPr>
          <w:rFonts w:hint="eastAsia" w:ascii="宋体" w:hAnsi="宋体" w:cs="宋体"/>
          <w:color w:val="auto"/>
          <w:highlight w:val="none"/>
        </w:rPr>
        <w:t>全套响应文件应无涂改和行间插字，除非这些删改是根据采购代理机构要求进行，或者是供应商造成的必须修改的错误。所修改处应由法定代表人或其授权代表签字盖章予以确认。</w:t>
      </w:r>
    </w:p>
    <w:p w14:paraId="41B496C4">
      <w:pPr>
        <w:pStyle w:val="62"/>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12.4 </w:t>
      </w:r>
      <w:r>
        <w:rPr>
          <w:rFonts w:hint="eastAsia" w:ascii="宋体" w:hAnsi="宋体" w:cs="宋体"/>
          <w:color w:val="auto"/>
          <w:highlight w:val="none"/>
        </w:rPr>
        <w:t>由于字迹模糊或表达不清引起的后果由供应商负责。</w:t>
      </w:r>
    </w:p>
    <w:p w14:paraId="5C246EDA">
      <w:pPr>
        <w:pStyle w:val="62"/>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w:t>
      </w:r>
      <w:r>
        <w:rPr>
          <w:rFonts w:ascii="宋体" w:hAnsi="宋体" w:cs="宋体"/>
          <w:b/>
          <w:bCs/>
          <w:color w:val="auto"/>
          <w:highlight w:val="none"/>
        </w:rPr>
        <w:t xml:space="preserve"> </w:t>
      </w:r>
      <w:r>
        <w:rPr>
          <w:rFonts w:hint="eastAsia" w:ascii="宋体" w:hAnsi="宋体" w:cs="宋体"/>
          <w:b/>
          <w:bCs/>
          <w:color w:val="auto"/>
          <w:highlight w:val="none"/>
        </w:rPr>
        <w:t>响应文件的形式</w:t>
      </w:r>
    </w:p>
    <w:p w14:paraId="270EFDC3">
      <w:pPr>
        <w:pStyle w:val="62"/>
        <w:spacing w:before="0" w:line="336" w:lineRule="auto"/>
        <w:ind w:left="400" w:leftChars="200" w:firstLine="0" w:firstLineChars="0"/>
        <w:rPr>
          <w:rFonts w:hint="eastAsia" w:ascii="宋体" w:hAnsi="宋体" w:cs="宋体"/>
          <w:color w:val="auto"/>
          <w:highlight w:val="none"/>
        </w:rPr>
      </w:pPr>
      <w:r>
        <w:rPr>
          <w:rFonts w:hint="eastAsia" w:ascii="宋体" w:hAnsi="宋体" w:cs="宋体"/>
          <w:color w:val="auto"/>
          <w:highlight w:val="none"/>
        </w:rPr>
        <w:t>响应文件为电子磋商响应文件，电子磋商响应文件按“政采云供应商项目采购</w:t>
      </w:r>
      <w:r>
        <w:rPr>
          <w:rFonts w:ascii="宋体" w:cs="宋体"/>
          <w:color w:val="auto"/>
          <w:highlight w:val="none"/>
        </w:rPr>
        <w:t>-</w:t>
      </w:r>
      <w:r>
        <w:rPr>
          <w:rFonts w:hint="eastAsia" w:ascii="宋体" w:hAnsi="宋体" w:cs="宋体"/>
          <w:color w:val="auto"/>
          <w:highlight w:val="none"/>
        </w:rPr>
        <w:t>电子招投标操作指南”及本磋商文件要求制作、加密传输。</w:t>
      </w:r>
    </w:p>
    <w:p w14:paraId="2C3BB77C">
      <w:pPr>
        <w:pStyle w:val="3"/>
        <w:ind w:left="0" w:leftChars="0" w:firstLine="0" w:firstLineChars="0"/>
        <w:rPr>
          <w:color w:val="auto"/>
          <w:highlight w:val="none"/>
        </w:rPr>
      </w:pPr>
    </w:p>
    <w:p w14:paraId="1D46903A">
      <w:pPr>
        <w:pStyle w:val="9"/>
        <w:numPr>
          <w:ilvl w:val="0"/>
          <w:numId w:val="10"/>
        </w:numPr>
        <w:jc w:val="center"/>
        <w:rPr>
          <w:rFonts w:cs="Times New Roman"/>
          <w:color w:val="auto"/>
          <w:highlight w:val="none"/>
        </w:rPr>
      </w:pPr>
      <w:bookmarkStart w:id="72" w:name="_Toc1420"/>
      <w:r>
        <w:rPr>
          <w:color w:val="auto"/>
          <w:highlight w:val="none"/>
        </w:rPr>
        <w:t xml:space="preserve"> </w:t>
      </w:r>
      <w:bookmarkStart w:id="73" w:name="_Toc20602"/>
      <w:bookmarkStart w:id="74" w:name="_Toc21266"/>
      <w:bookmarkStart w:id="75" w:name="_Toc32523"/>
      <w:r>
        <w:rPr>
          <w:rFonts w:hint="eastAsia"/>
          <w:color w:val="auto"/>
          <w:highlight w:val="none"/>
        </w:rPr>
        <w:t>响应文件的递交</w:t>
      </w:r>
      <w:bookmarkEnd w:id="72"/>
      <w:bookmarkEnd w:id="73"/>
      <w:bookmarkEnd w:id="74"/>
      <w:bookmarkEnd w:id="75"/>
    </w:p>
    <w:p w14:paraId="651BE159">
      <w:pPr>
        <w:pStyle w:val="16"/>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14</w:t>
      </w:r>
      <w:r>
        <w:rPr>
          <w:rFonts w:hint="eastAsia" w:hAnsi="宋体"/>
          <w:b/>
          <w:bCs/>
          <w:color w:val="auto"/>
          <w:sz w:val="24"/>
          <w:szCs w:val="24"/>
          <w:highlight w:val="none"/>
        </w:rPr>
        <w:t>、磋商响应截止期</w:t>
      </w:r>
    </w:p>
    <w:p w14:paraId="67032C95">
      <w:pPr>
        <w:pStyle w:val="62"/>
        <w:numPr>
          <w:ilvl w:val="0"/>
          <w:numId w:val="15"/>
        </w:numPr>
        <w:spacing w:before="0" w:line="336" w:lineRule="auto"/>
        <w:ind w:firstLine="480"/>
        <w:rPr>
          <w:rFonts w:ascii="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0DC3CA0E">
      <w:pPr>
        <w:pStyle w:val="62"/>
        <w:numPr>
          <w:ilvl w:val="0"/>
          <w:numId w:val="15"/>
        </w:numPr>
        <w:spacing w:before="0" w:line="336" w:lineRule="auto"/>
        <w:ind w:firstLine="480"/>
        <w:rPr>
          <w:rFonts w:ascii="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14:paraId="66E7A665">
      <w:pPr>
        <w:pStyle w:val="16"/>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、响应文件的修改、撤销</w:t>
      </w:r>
    </w:p>
    <w:p w14:paraId="404BB0F9">
      <w:pPr>
        <w:pStyle w:val="16"/>
        <w:spacing w:line="336" w:lineRule="auto"/>
        <w:ind w:firstLine="480" w:firstLineChars="200"/>
        <w:rPr>
          <w:rFonts w:hint="eastAsia" w:hAnsi="宋体"/>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59CF266B">
      <w:pPr>
        <w:rPr>
          <w:color w:val="auto"/>
          <w:highlight w:val="none"/>
        </w:rPr>
      </w:pPr>
    </w:p>
    <w:p w14:paraId="7D904E30">
      <w:pPr>
        <w:pStyle w:val="9"/>
        <w:numPr>
          <w:ilvl w:val="0"/>
          <w:numId w:val="10"/>
        </w:numPr>
        <w:jc w:val="center"/>
        <w:rPr>
          <w:rFonts w:hAnsi="宋体" w:cs="Times New Roman"/>
          <w:color w:val="auto"/>
          <w:highlight w:val="none"/>
        </w:rPr>
      </w:pPr>
      <w:r>
        <w:rPr>
          <w:color w:val="auto"/>
          <w:highlight w:val="none"/>
        </w:rPr>
        <w:t xml:space="preserve"> </w:t>
      </w:r>
      <w:bookmarkStart w:id="76" w:name="_Toc31149"/>
      <w:bookmarkStart w:id="77" w:name="_Toc19499"/>
      <w:bookmarkStart w:id="78" w:name="_Toc24120"/>
      <w:r>
        <w:rPr>
          <w:rFonts w:hint="eastAsia"/>
          <w:color w:val="auto"/>
          <w:highlight w:val="none"/>
        </w:rPr>
        <w:t>磋商无效的情形</w:t>
      </w:r>
      <w:bookmarkEnd w:id="76"/>
      <w:bookmarkEnd w:id="77"/>
      <w:bookmarkEnd w:id="78"/>
    </w:p>
    <w:p w14:paraId="37745838">
      <w:pPr>
        <w:pStyle w:val="16"/>
        <w:snapToGrid w:val="0"/>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16.</w:t>
      </w:r>
      <w:r>
        <w:rPr>
          <w:rFonts w:hint="eastAsia" w:hAnsi="宋体"/>
          <w:b/>
          <w:bCs/>
          <w:color w:val="auto"/>
          <w:sz w:val="24"/>
          <w:szCs w:val="24"/>
          <w:highlight w:val="none"/>
        </w:rPr>
        <w:t>无效响应</w:t>
      </w:r>
    </w:p>
    <w:p w14:paraId="4BA75FEF">
      <w:pPr>
        <w:pStyle w:val="16"/>
        <w:snapToGrid w:val="0"/>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0D65503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w:t>
      </w:r>
      <w:r>
        <w:rPr>
          <w:rFonts w:hint="eastAsia" w:ascii="宋体" w:hAnsi="宋体" w:cs="宋体"/>
          <w:b/>
          <w:bCs/>
          <w:color w:val="auto"/>
          <w:sz w:val="24"/>
          <w:szCs w:val="24"/>
          <w:highlight w:val="none"/>
        </w:rPr>
        <w:t>未按照磋商文件规定要求签署、盖章的；</w:t>
      </w:r>
    </w:p>
    <w:p w14:paraId="1E01FCF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16.2</w:t>
      </w:r>
      <w:r>
        <w:rPr>
          <w:rFonts w:hint="eastAsia" w:ascii="宋体" w:hAnsi="宋体" w:cs="宋体"/>
          <w:b/>
          <w:bCs/>
          <w:color w:val="auto"/>
          <w:sz w:val="24"/>
          <w:szCs w:val="24"/>
          <w:highlight w:val="none"/>
        </w:rPr>
        <w:t>《法定代表人授权书》填写不全、错误、未加盖供应商公章（公章和签字或盖章缺一不可）；</w:t>
      </w:r>
      <w:r>
        <w:rPr>
          <w:rFonts w:ascii="宋体" w:hAnsi="宋体" w:cs="宋体"/>
          <w:b/>
          <w:bCs/>
          <w:color w:val="auto"/>
          <w:sz w:val="24"/>
          <w:szCs w:val="24"/>
          <w:highlight w:val="none"/>
        </w:rPr>
        <w:t xml:space="preserve"> </w:t>
      </w:r>
    </w:p>
    <w:p w14:paraId="1CA9AC7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16.3</w:t>
      </w:r>
      <w:r>
        <w:rPr>
          <w:rFonts w:hint="eastAsia" w:ascii="宋体" w:hAnsi="宋体" w:cs="宋体"/>
          <w:b/>
          <w:bCs/>
          <w:color w:val="auto"/>
          <w:sz w:val="24"/>
          <w:szCs w:val="24"/>
          <w:highlight w:val="none"/>
        </w:rPr>
        <w:t>个体工商户的身份证明与营业执照不一致的；</w:t>
      </w:r>
    </w:p>
    <w:p w14:paraId="6FE27BE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16.4</w:t>
      </w:r>
      <w:r>
        <w:rPr>
          <w:rFonts w:hint="eastAsia" w:ascii="宋体" w:hAnsi="宋体" w:cs="宋体"/>
          <w:b/>
          <w:bCs/>
          <w:color w:val="auto"/>
          <w:sz w:val="24"/>
          <w:szCs w:val="24"/>
          <w:highlight w:val="none"/>
        </w:rPr>
        <w:t>响应文件中的磋商函未加盖供应商的企业公章或填写不全的；</w:t>
      </w:r>
    </w:p>
    <w:p w14:paraId="7CEC01E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16.5</w:t>
      </w:r>
      <w:r>
        <w:rPr>
          <w:rFonts w:hint="eastAsia" w:ascii="宋体" w:hAnsi="宋体" w:cs="宋体"/>
          <w:b/>
          <w:bCs/>
          <w:color w:val="auto"/>
          <w:sz w:val="24"/>
          <w:szCs w:val="24"/>
          <w:highlight w:val="none"/>
        </w:rPr>
        <w:t>报价一经涂改，未在涂改处加盖投标单位公章或者未经法定代表人或其授权代表签字或盖章的；</w:t>
      </w:r>
    </w:p>
    <w:p w14:paraId="265AB75C">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16.6</w:t>
      </w:r>
      <w:r>
        <w:rPr>
          <w:rFonts w:hint="eastAsia" w:ascii="宋体" w:hAnsi="宋体" w:cs="宋体"/>
          <w:b/>
          <w:bCs/>
          <w:color w:val="auto"/>
          <w:sz w:val="24"/>
          <w:szCs w:val="24"/>
          <w:highlight w:val="none"/>
        </w:rPr>
        <w:t>因未按规定的格式填写，内容不全或主要实质性内容字迹模糊辨认不清</w:t>
      </w:r>
      <w:r>
        <w:rPr>
          <w:rFonts w:ascii="宋体" w:cs="宋体"/>
          <w:b/>
          <w:bCs/>
          <w:color w:val="auto"/>
          <w:sz w:val="24"/>
          <w:szCs w:val="24"/>
          <w:highlight w:val="none"/>
        </w:rPr>
        <w:t>,</w:t>
      </w:r>
      <w:r>
        <w:rPr>
          <w:rFonts w:hint="eastAsia" w:ascii="宋体" w:hAnsi="宋体" w:cs="宋体"/>
          <w:b/>
          <w:bCs/>
          <w:color w:val="auto"/>
          <w:sz w:val="24"/>
          <w:szCs w:val="24"/>
          <w:highlight w:val="none"/>
        </w:rPr>
        <w:t>经评标委员会认定为无法评审的；</w:t>
      </w:r>
    </w:p>
    <w:p w14:paraId="646DF026">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16.7</w:t>
      </w:r>
      <w:r>
        <w:rPr>
          <w:rFonts w:hint="eastAsia" w:ascii="宋体" w:hAnsi="宋体" w:cs="宋体"/>
          <w:b/>
          <w:bCs/>
          <w:color w:val="auto"/>
          <w:sz w:val="24"/>
          <w:szCs w:val="24"/>
          <w:highlight w:val="none"/>
        </w:rPr>
        <w:t>出现同一标的物或本次采购产品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服务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内的主要产品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重要组成部分</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出现技术、商务描述不一致或前后描述不一致，经评标委员会认定后为无法评审的；</w:t>
      </w:r>
    </w:p>
    <w:p w14:paraId="63E5651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16.8</w:t>
      </w:r>
      <w:r>
        <w:rPr>
          <w:rFonts w:hint="eastAsia" w:ascii="宋体" w:hAnsi="宋体" w:cs="宋体"/>
          <w:b/>
          <w:bCs/>
          <w:color w:val="auto"/>
          <w:sz w:val="24"/>
          <w:szCs w:val="24"/>
          <w:highlight w:val="none"/>
        </w:rPr>
        <w:t>响应详细配置清单响应表不真实填写或弄虚作假的；改变磋商文件提供的清单中的计量单位、工程数量</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不竞争费用</w:t>
      </w:r>
      <w:r>
        <w:rPr>
          <w:rFonts w:hint="eastAsia" w:ascii="宋体" w:hAnsi="宋体" w:cs="宋体"/>
          <w:b/>
          <w:bCs/>
          <w:color w:val="auto"/>
          <w:sz w:val="24"/>
          <w:szCs w:val="24"/>
          <w:highlight w:val="none"/>
        </w:rPr>
        <w:t>；</w:t>
      </w:r>
    </w:p>
    <w:p w14:paraId="099835A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16.9</w:t>
      </w:r>
      <w:r>
        <w:rPr>
          <w:rFonts w:hint="eastAsia" w:ascii="宋体" w:hAnsi="宋体" w:cs="宋体"/>
          <w:b/>
          <w:bCs/>
          <w:color w:val="auto"/>
          <w:sz w:val="24"/>
          <w:szCs w:val="24"/>
          <w:highlight w:val="none"/>
        </w:rPr>
        <w:t>对采购产品技术规格未详细应答，致使其技术文件无法评审的；</w:t>
      </w:r>
    </w:p>
    <w:p w14:paraId="50DD611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16.10</w:t>
      </w:r>
      <w:r>
        <w:rPr>
          <w:rFonts w:hint="eastAsia" w:ascii="宋体" w:hAnsi="宋体" w:cs="宋体"/>
          <w:b/>
          <w:bCs/>
          <w:color w:val="auto"/>
          <w:sz w:val="24"/>
          <w:szCs w:val="24"/>
          <w:highlight w:val="none"/>
        </w:rPr>
        <w:t>响应文件有采购方不能接受的条件；</w:t>
      </w:r>
    </w:p>
    <w:p w14:paraId="7BCA289C">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16.11</w:t>
      </w:r>
      <w:r>
        <w:rPr>
          <w:rFonts w:hint="eastAsia" w:ascii="宋体" w:hAnsi="宋体" w:cs="宋体"/>
          <w:b/>
          <w:bCs/>
          <w:color w:val="auto"/>
          <w:sz w:val="24"/>
          <w:szCs w:val="24"/>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1A0258F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16.12</w:t>
      </w:r>
      <w:r>
        <w:rPr>
          <w:rFonts w:hint="eastAsia" w:ascii="宋体" w:hAnsi="宋体" w:cs="宋体"/>
          <w:b/>
          <w:bCs/>
          <w:color w:val="auto"/>
          <w:sz w:val="24"/>
          <w:szCs w:val="24"/>
          <w:highlight w:val="none"/>
        </w:rPr>
        <w:t>磋商报价超过预算金额或最高限价的；</w:t>
      </w:r>
    </w:p>
    <w:p w14:paraId="747ECE37">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16.13</w:t>
      </w:r>
      <w:r>
        <w:rPr>
          <w:rFonts w:hint="eastAsia" w:ascii="宋体" w:hAnsi="宋体" w:cs="宋体"/>
          <w:b/>
          <w:bCs/>
          <w:color w:val="auto"/>
          <w:sz w:val="24"/>
          <w:szCs w:val="24"/>
          <w:highlight w:val="none"/>
        </w:rPr>
        <w:t>响应文件“商务技术文件资料”部分中出现《报价一览表》或《磋商报价明细表》相关内容的；</w:t>
      </w:r>
    </w:p>
    <w:p w14:paraId="62492836">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16.14</w:t>
      </w:r>
      <w:r>
        <w:rPr>
          <w:rFonts w:hint="eastAsia" w:ascii="宋体" w:hAnsi="宋体" w:cs="宋体"/>
          <w:b/>
          <w:bCs/>
          <w:color w:val="auto"/>
          <w:sz w:val="24"/>
          <w:szCs w:val="24"/>
          <w:highlight w:val="none"/>
        </w:rPr>
        <w:t>评标委员会认定有重大偏差或实质性不响应磋商文件要求的，即“★”的关键性指标及技术参数要求负偏离或缺漏；</w:t>
      </w:r>
    </w:p>
    <w:p w14:paraId="756B181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16.15</w:t>
      </w:r>
      <w:r>
        <w:rPr>
          <w:rFonts w:hint="eastAsia" w:ascii="宋体" w:hAnsi="宋体" w:cs="宋体"/>
          <w:b/>
          <w:bCs/>
          <w:color w:val="auto"/>
          <w:sz w:val="24"/>
          <w:szCs w:val="24"/>
          <w:highlight w:val="none"/>
        </w:rPr>
        <w:t>供应商拒绝按磋商文件规定的修正原则对响应文件进行修改的；</w:t>
      </w:r>
    </w:p>
    <w:p w14:paraId="0E6B5CF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w:t>
      </w:r>
      <w:r>
        <w:rPr>
          <w:rFonts w:hint="eastAsia" w:ascii="宋体" w:hAnsi="宋体" w:cs="宋体"/>
          <w:b/>
          <w:bCs/>
          <w:color w:val="auto"/>
          <w:sz w:val="24"/>
          <w:szCs w:val="24"/>
          <w:highlight w:val="none"/>
        </w:rPr>
        <w:t>有下列情形之一的，视为供应商串通投标，其投标无效：</w:t>
      </w:r>
    </w:p>
    <w:p w14:paraId="25B103C1">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16.16.1</w:t>
      </w:r>
      <w:r>
        <w:rPr>
          <w:rFonts w:hint="eastAsia" w:ascii="宋体" w:hAnsi="宋体" w:cs="宋体"/>
          <w:b/>
          <w:bCs/>
          <w:color w:val="auto"/>
          <w:sz w:val="24"/>
          <w:szCs w:val="24"/>
          <w:highlight w:val="none"/>
        </w:rPr>
        <w:t>不同供应商的响应文件由同一单位或者个人编制；</w:t>
      </w:r>
    </w:p>
    <w:p w14:paraId="1C4FF19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16.16.2</w:t>
      </w:r>
      <w:r>
        <w:rPr>
          <w:rFonts w:hint="eastAsia" w:ascii="宋体" w:hAnsi="宋体" w:cs="宋体"/>
          <w:b/>
          <w:bCs/>
          <w:color w:val="auto"/>
          <w:sz w:val="24"/>
          <w:szCs w:val="24"/>
          <w:highlight w:val="none"/>
        </w:rPr>
        <w:t>不同供应商委托同一单位或者个人办理投标事宜；</w:t>
      </w:r>
    </w:p>
    <w:p w14:paraId="336FBF8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16.16.3</w:t>
      </w:r>
      <w:r>
        <w:rPr>
          <w:rFonts w:hint="eastAsia" w:ascii="宋体" w:hAnsi="宋体" w:cs="宋体"/>
          <w:b/>
          <w:bCs/>
          <w:color w:val="auto"/>
          <w:sz w:val="24"/>
          <w:szCs w:val="24"/>
          <w:highlight w:val="none"/>
        </w:rPr>
        <w:t>不同供应商的响应文件载明的项目管理成员或者联系人员为同一人；</w:t>
      </w:r>
    </w:p>
    <w:p w14:paraId="05517B0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16.16.4</w:t>
      </w:r>
      <w:r>
        <w:rPr>
          <w:rFonts w:hint="eastAsia" w:ascii="宋体" w:hAnsi="宋体" w:cs="宋体"/>
          <w:b/>
          <w:bCs/>
          <w:color w:val="auto"/>
          <w:sz w:val="24"/>
          <w:szCs w:val="24"/>
          <w:highlight w:val="none"/>
        </w:rPr>
        <w:t>不同供应商的响应文件异常一致或者投标报价呈规律性差异；</w:t>
      </w:r>
    </w:p>
    <w:p w14:paraId="0589562A">
      <w:pPr>
        <w:spacing w:line="336" w:lineRule="auto"/>
        <w:ind w:firstLine="482" w:firstLineChars="200"/>
        <w:rPr>
          <w:rFonts w:hint="eastAsia" w:ascii="宋体" w:hAnsi="宋体" w:cs="宋体"/>
          <w:b/>
          <w:bCs/>
          <w:color w:val="auto"/>
          <w:sz w:val="24"/>
          <w:szCs w:val="24"/>
          <w:highlight w:val="none"/>
        </w:rPr>
      </w:pPr>
      <w:r>
        <w:rPr>
          <w:rFonts w:ascii="宋体" w:hAnsi="宋体" w:cs="宋体"/>
          <w:b/>
          <w:bCs/>
          <w:color w:val="auto"/>
          <w:sz w:val="24"/>
          <w:szCs w:val="24"/>
          <w:highlight w:val="none"/>
        </w:rPr>
        <w:t>16.16.5</w:t>
      </w:r>
      <w:r>
        <w:rPr>
          <w:rFonts w:hint="eastAsia" w:ascii="宋体" w:hAnsi="宋体" w:cs="宋体"/>
          <w:b/>
          <w:bCs/>
          <w:color w:val="auto"/>
          <w:sz w:val="24"/>
          <w:szCs w:val="24"/>
          <w:highlight w:val="none"/>
        </w:rPr>
        <w:t>不同供应商提供的响应文件出自同一终端设备的，或在相同</w:t>
      </w:r>
      <w:r>
        <w:rPr>
          <w:rFonts w:ascii="宋体" w:hAnsi="宋体" w:cs="宋体"/>
          <w:b/>
          <w:bCs/>
          <w:color w:val="auto"/>
          <w:sz w:val="24"/>
          <w:szCs w:val="24"/>
          <w:highlight w:val="none"/>
        </w:rPr>
        <w:t>Internet</w:t>
      </w:r>
      <w:r>
        <w:rPr>
          <w:rFonts w:hint="eastAsia" w:ascii="宋体" w:hAnsi="宋体" w:cs="宋体"/>
          <w:b/>
          <w:bCs/>
          <w:color w:val="auto"/>
          <w:sz w:val="24"/>
          <w:szCs w:val="24"/>
          <w:highlight w:val="none"/>
        </w:rPr>
        <w:t>主机分配地址（相同</w:t>
      </w:r>
      <w:r>
        <w:rPr>
          <w:rFonts w:ascii="宋体" w:hAnsi="宋体" w:cs="宋体"/>
          <w:b/>
          <w:bCs/>
          <w:color w:val="auto"/>
          <w:sz w:val="24"/>
          <w:szCs w:val="24"/>
          <w:highlight w:val="none"/>
        </w:rPr>
        <w:t>IP</w:t>
      </w:r>
      <w:r>
        <w:rPr>
          <w:rFonts w:hint="eastAsia" w:ascii="宋体" w:hAnsi="宋体" w:cs="宋体"/>
          <w:b/>
          <w:bCs/>
          <w:color w:val="auto"/>
          <w:sz w:val="24"/>
          <w:szCs w:val="24"/>
          <w:highlight w:val="none"/>
        </w:rPr>
        <w:t>地址）报名或网上投标的，且经询标澄清供应商无令人信服的理由和可靠证据证明其合理性的，经评标委员会半数以上成员确认有串通投标嫌疑的。</w:t>
      </w:r>
    </w:p>
    <w:p w14:paraId="4144713C">
      <w:pP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其他违反法律、法规的情形。</w:t>
      </w:r>
    </w:p>
    <w:p w14:paraId="5F06C536">
      <w:pPr>
        <w:pStyle w:val="9"/>
        <w:rPr>
          <w:rFonts w:hint="eastAsia"/>
          <w:color w:val="auto"/>
          <w:highlight w:val="none"/>
        </w:rPr>
      </w:pPr>
    </w:p>
    <w:p w14:paraId="6F7A8978">
      <w:pPr>
        <w:pStyle w:val="9"/>
        <w:numPr>
          <w:ilvl w:val="0"/>
          <w:numId w:val="10"/>
        </w:numPr>
        <w:jc w:val="center"/>
        <w:rPr>
          <w:rFonts w:cs="Times New Roman"/>
          <w:color w:val="auto"/>
          <w:highlight w:val="none"/>
        </w:rPr>
      </w:pPr>
      <w:r>
        <w:rPr>
          <w:color w:val="auto"/>
          <w:highlight w:val="none"/>
        </w:rPr>
        <w:t xml:space="preserve"> </w:t>
      </w:r>
      <w:bookmarkStart w:id="79" w:name="_Toc6023"/>
      <w:bookmarkStart w:id="80" w:name="_Toc30971"/>
      <w:bookmarkStart w:id="81" w:name="_Toc21752"/>
      <w:r>
        <w:rPr>
          <w:rFonts w:hint="eastAsia"/>
          <w:color w:val="auto"/>
          <w:highlight w:val="none"/>
        </w:rPr>
        <w:t>采购中止的情形</w:t>
      </w:r>
      <w:bookmarkEnd w:id="79"/>
      <w:bookmarkEnd w:id="80"/>
      <w:bookmarkEnd w:id="81"/>
    </w:p>
    <w:p w14:paraId="706619A8">
      <w:pPr>
        <w:pStyle w:val="16"/>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17</w:t>
      </w:r>
      <w:r>
        <w:rPr>
          <w:rFonts w:hint="eastAsia" w:hAnsi="宋体"/>
          <w:b/>
          <w:bCs/>
          <w:color w:val="auto"/>
          <w:sz w:val="24"/>
          <w:szCs w:val="24"/>
          <w:highlight w:val="none"/>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14:paraId="6DFF84BA">
      <w:pPr>
        <w:pStyle w:val="62"/>
        <w:tabs>
          <w:tab w:val="left" w:pos="0"/>
        </w:tabs>
        <w:spacing w:before="0" w:line="336" w:lineRule="auto"/>
        <w:ind w:left="400" w:leftChars="200" w:firstLine="0" w:firstLineChars="0"/>
        <w:rPr>
          <w:rFonts w:ascii="宋体"/>
          <w:color w:val="auto"/>
          <w:highlight w:val="none"/>
          <w:lang w:val="zh-CN"/>
        </w:rPr>
      </w:pPr>
      <w:r>
        <w:rPr>
          <w:rFonts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14:paraId="12291AE5">
      <w:pPr>
        <w:numPr>
          <w:ilvl w:val="0"/>
          <w:numId w:val="16"/>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795E7B44">
      <w:pPr>
        <w:numPr>
          <w:ilvl w:val="0"/>
          <w:numId w:val="16"/>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14:paraId="154F3D3E">
      <w:pPr>
        <w:numPr>
          <w:ilvl w:val="0"/>
          <w:numId w:val="16"/>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14:paraId="7CED1790">
      <w:pPr>
        <w:numPr>
          <w:ilvl w:val="0"/>
          <w:numId w:val="16"/>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病毒发作导致不能进行正常操作的；</w:t>
      </w:r>
      <w:r>
        <w:rPr>
          <w:rFonts w:ascii="宋体" w:hAnsi="宋体" w:cs="宋体"/>
          <w:color w:val="auto"/>
          <w:sz w:val="24"/>
          <w:szCs w:val="24"/>
          <w:highlight w:val="none"/>
        </w:rPr>
        <w:t xml:space="preserve"> </w:t>
      </w:r>
    </w:p>
    <w:p w14:paraId="0F64A369">
      <w:pPr>
        <w:numPr>
          <w:ilvl w:val="0"/>
          <w:numId w:val="16"/>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14:paraId="18B187C4">
      <w:pPr>
        <w:pStyle w:val="62"/>
        <w:tabs>
          <w:tab w:val="left" w:pos="0"/>
        </w:tabs>
        <w:spacing w:before="0" w:line="336" w:lineRule="auto"/>
        <w:ind w:firstLine="480"/>
        <w:rPr>
          <w:rFonts w:hint="eastAsia" w:ascii="宋体" w:hAnsi="宋体" w:cs="宋体"/>
          <w:color w:val="auto"/>
          <w:highlight w:val="none"/>
        </w:rPr>
      </w:pPr>
      <w:r>
        <w:rPr>
          <w:rFonts w:ascii="宋体" w:hAnsi="宋体" w:cs="宋体"/>
          <w:color w:val="auto"/>
          <w:highlight w:val="none"/>
        </w:rPr>
        <w:t>17.2</w:t>
      </w:r>
      <w:r>
        <w:rPr>
          <w:rFonts w:hint="eastAsia" w:ascii="宋体" w:hAnsi="宋体" w:cs="宋体"/>
          <w:color w:val="auto"/>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1128A7BA">
      <w:pPr>
        <w:pStyle w:val="62"/>
        <w:tabs>
          <w:tab w:val="left" w:pos="0"/>
        </w:tabs>
        <w:spacing w:before="0" w:line="336" w:lineRule="auto"/>
        <w:ind w:firstLine="480"/>
        <w:rPr>
          <w:rFonts w:hint="eastAsia" w:ascii="宋体" w:hAnsi="宋体" w:cs="宋体"/>
          <w:color w:val="auto"/>
          <w:highlight w:val="none"/>
        </w:rPr>
      </w:pPr>
    </w:p>
    <w:p w14:paraId="625D0F9A">
      <w:pPr>
        <w:pStyle w:val="9"/>
        <w:numPr>
          <w:ilvl w:val="0"/>
          <w:numId w:val="10"/>
        </w:numPr>
        <w:jc w:val="center"/>
        <w:rPr>
          <w:rFonts w:ascii="宋体" w:hAnsi="宋体" w:eastAsia="宋体" w:cs="宋体"/>
          <w:color w:val="auto"/>
          <w:highlight w:val="none"/>
        </w:rPr>
      </w:pPr>
      <w:r>
        <w:rPr>
          <w:rFonts w:ascii="宋体" w:hAnsi="宋体" w:eastAsia="宋体" w:cs="宋体"/>
          <w:color w:val="auto"/>
          <w:highlight w:val="none"/>
        </w:rPr>
        <w:t xml:space="preserve"> </w:t>
      </w:r>
      <w:bookmarkStart w:id="82" w:name="_Toc14029"/>
      <w:bookmarkStart w:id="83" w:name="_Toc8214"/>
      <w:bookmarkStart w:id="84" w:name="_Toc5935"/>
      <w:r>
        <w:rPr>
          <w:rFonts w:hint="eastAsia" w:ascii="宋体" w:hAnsi="宋体" w:eastAsia="宋体" w:cs="宋体"/>
          <w:color w:val="auto"/>
          <w:highlight w:val="none"/>
        </w:rPr>
        <w:t>确定成交供应商与签订合同</w:t>
      </w:r>
      <w:bookmarkEnd w:id="82"/>
      <w:bookmarkEnd w:id="83"/>
      <w:bookmarkEnd w:id="84"/>
    </w:p>
    <w:p w14:paraId="0D6F3150">
      <w:pPr>
        <w:adjustRightInd w:val="0"/>
        <w:spacing w:line="336" w:lineRule="auto"/>
        <w:ind w:firstLine="482" w:firstLineChars="200"/>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18</w:t>
      </w:r>
      <w:r>
        <w:rPr>
          <w:rFonts w:hint="eastAsia" w:ascii="宋体" w:hAnsi="宋体" w:eastAsia="宋体" w:cs="宋体"/>
          <w:b/>
          <w:bCs/>
          <w:color w:val="auto"/>
          <w:sz w:val="24"/>
          <w:szCs w:val="24"/>
          <w:highlight w:val="none"/>
        </w:rPr>
        <w:t>、推荐成交候选供应商</w:t>
      </w:r>
    </w:p>
    <w:p w14:paraId="09A056DB">
      <w:pPr>
        <w:pStyle w:val="62"/>
        <w:tabs>
          <w:tab w:val="left" w:pos="0"/>
        </w:tabs>
        <w:spacing w:before="0" w:line="336" w:lineRule="auto"/>
        <w:ind w:firstLine="480"/>
        <w:rPr>
          <w:rFonts w:ascii="宋体" w:hAnsi="宋体" w:eastAsia="宋体" w:cs="宋体"/>
          <w:color w:val="auto"/>
          <w:highlight w:val="none"/>
        </w:rPr>
      </w:pPr>
      <w:r>
        <w:rPr>
          <w:rFonts w:ascii="宋体" w:hAnsi="宋体" w:eastAsia="宋体" w:cs="宋体"/>
          <w:color w:val="auto"/>
          <w:highlight w:val="none"/>
        </w:rPr>
        <w:t xml:space="preserve">18.1 </w:t>
      </w:r>
      <w:r>
        <w:rPr>
          <w:rFonts w:hint="eastAsia" w:ascii="宋体" w:hAnsi="宋体" w:eastAsia="宋体" w:cs="宋体"/>
          <w:color w:val="auto"/>
          <w:highlight w:val="none"/>
        </w:rPr>
        <w:t>磋商小组应当根据综合评分情况，按照评审得分由高到低顺序推荐</w:t>
      </w:r>
      <w:r>
        <w:rPr>
          <w:rFonts w:ascii="宋体" w:hAnsi="宋体" w:eastAsia="宋体" w:cs="宋体"/>
          <w:color w:val="auto"/>
          <w:highlight w:val="none"/>
        </w:rPr>
        <w:t>1</w:t>
      </w:r>
      <w:r>
        <w:rPr>
          <w:rFonts w:hint="eastAsia" w:ascii="宋体" w:hAnsi="宋体" w:eastAsia="宋体" w:cs="宋体"/>
          <w:color w:val="auto"/>
          <w:highlight w:val="none"/>
        </w:rPr>
        <w:t>名或以上成交候选供应商，并编写评审报告。评审得分相同的，按照最后报价由低到高的顺序推荐。评审得分且最后报价相同的，按照技术指标优劣顺序推荐。</w:t>
      </w:r>
    </w:p>
    <w:p w14:paraId="0EF9AC89">
      <w:pPr>
        <w:pStyle w:val="62"/>
        <w:tabs>
          <w:tab w:val="left" w:pos="0"/>
        </w:tabs>
        <w:spacing w:before="0" w:line="336" w:lineRule="auto"/>
        <w:ind w:firstLine="480"/>
        <w:rPr>
          <w:rFonts w:ascii="宋体" w:hAnsi="宋体" w:eastAsia="宋体" w:cs="宋体"/>
          <w:color w:val="auto"/>
          <w:highlight w:val="none"/>
        </w:rPr>
      </w:pPr>
      <w:r>
        <w:rPr>
          <w:rFonts w:ascii="宋体" w:hAnsi="宋体" w:eastAsia="宋体" w:cs="宋体"/>
          <w:color w:val="auto"/>
          <w:highlight w:val="none"/>
        </w:rPr>
        <w:t xml:space="preserve">18.2 </w:t>
      </w:r>
      <w:r>
        <w:rPr>
          <w:rFonts w:hint="eastAsia" w:ascii="宋体" w:hAnsi="宋体" w:eastAsia="宋体" w:cs="宋体"/>
          <w:color w:val="auto"/>
          <w:highlight w:val="none"/>
        </w:rPr>
        <w:t>采购代理机构应当在评审结束后</w:t>
      </w:r>
      <w:r>
        <w:rPr>
          <w:rFonts w:ascii="宋体" w:hAnsi="宋体" w:eastAsia="宋体" w:cs="宋体"/>
          <w:color w:val="auto"/>
          <w:highlight w:val="none"/>
        </w:rPr>
        <w:t>2</w:t>
      </w:r>
      <w:r>
        <w:rPr>
          <w:rFonts w:hint="eastAsia" w:ascii="宋体" w:hAnsi="宋体" w:eastAsia="宋体" w:cs="宋体"/>
          <w:color w:val="auto"/>
          <w:highlight w:val="none"/>
        </w:rPr>
        <w:t>个工作日内将评审报告送采购人确认。</w:t>
      </w:r>
    </w:p>
    <w:p w14:paraId="3455FFA2">
      <w:pPr>
        <w:adjustRightInd w:val="0"/>
        <w:spacing w:line="336" w:lineRule="auto"/>
        <w:ind w:firstLine="482" w:firstLineChars="200"/>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19</w:t>
      </w:r>
      <w:r>
        <w:rPr>
          <w:rFonts w:hint="eastAsia" w:ascii="宋体" w:hAnsi="宋体" w:eastAsia="宋体" w:cs="宋体"/>
          <w:b/>
          <w:bCs/>
          <w:color w:val="auto"/>
          <w:sz w:val="24"/>
          <w:szCs w:val="24"/>
          <w:highlight w:val="none"/>
        </w:rPr>
        <w:t>、确定成交供应商</w:t>
      </w:r>
    </w:p>
    <w:p w14:paraId="49E7F713">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采购人应当在收到评审报告后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C1B0B77">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采购人或者采购代理机构应当在成交供应商确定后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p>
    <w:p w14:paraId="29AD844C">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20</w:t>
      </w:r>
      <w:r>
        <w:rPr>
          <w:rFonts w:hint="eastAsia" w:ascii="宋体" w:hAnsi="宋体" w:cs="宋体"/>
          <w:b/>
          <w:bCs/>
          <w:color w:val="auto"/>
          <w:sz w:val="24"/>
          <w:szCs w:val="24"/>
          <w:highlight w:val="none"/>
        </w:rPr>
        <w:t>、签订合同</w:t>
      </w:r>
    </w:p>
    <w:p w14:paraId="10F49F1C">
      <w:pPr>
        <w:pStyle w:val="62"/>
        <w:snapToGrid w:val="0"/>
        <w:spacing w:before="0" w:line="336" w:lineRule="auto"/>
        <w:ind w:firstLine="480"/>
        <w:rPr>
          <w:rFonts w:ascii="宋体"/>
          <w:color w:val="auto"/>
          <w:highlight w:val="none"/>
        </w:rPr>
      </w:pPr>
      <w:r>
        <w:rPr>
          <w:rFonts w:ascii="宋体" w:hAnsi="宋体" w:cs="宋体"/>
          <w:color w:val="auto"/>
          <w:highlight w:val="none"/>
        </w:rPr>
        <w:t xml:space="preserve">20.1. </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日内，按照磋商文件确定的合同文本以及采购标的、规格型号、采购金额、采购数量、技术和服务要求等事项签订政府采购合同。</w:t>
      </w:r>
    </w:p>
    <w:p w14:paraId="664760D7">
      <w:pPr>
        <w:pStyle w:val="62"/>
        <w:snapToGrid w:val="0"/>
        <w:spacing w:before="0" w:line="336" w:lineRule="auto"/>
        <w:ind w:firstLine="480"/>
        <w:rPr>
          <w:rFonts w:ascii="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成交供应商拒绝签订政府采购合同的，采购人可以按照《政府采购竞争性磋商采购方式管理暂行办法》（财库〔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214</w:t>
      </w:r>
      <w:r>
        <w:rPr>
          <w:rFonts w:hint="eastAsia" w:ascii="宋体" w:hAnsi="宋体" w:cs="宋体"/>
          <w:color w:val="auto"/>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14:paraId="22DDB0E9">
      <w:pPr>
        <w:adjustRightInd w:val="0"/>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21</w:t>
      </w:r>
      <w:r>
        <w:rPr>
          <w:rFonts w:hint="eastAsia" w:ascii="宋体" w:hAnsi="宋体" w:cs="宋体"/>
          <w:b/>
          <w:bCs/>
          <w:color w:val="auto"/>
          <w:sz w:val="24"/>
          <w:szCs w:val="24"/>
          <w:highlight w:val="none"/>
        </w:rPr>
        <w:t>、解释权</w:t>
      </w:r>
    </w:p>
    <w:p w14:paraId="102670FC">
      <w:pPr>
        <w:adjustRightInd w:val="0"/>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highlight w:val="none"/>
          <w:u w:val="single"/>
          <w:lang w:eastAsia="zh-CN"/>
        </w:rPr>
        <w:t>绍兴市上虞区百官街道办事处</w:t>
      </w:r>
      <w:r>
        <w:rPr>
          <w:rFonts w:hint="eastAsia" w:ascii="宋体" w:hAnsi="宋体" w:cs="宋体"/>
          <w:color w:val="auto"/>
          <w:sz w:val="24"/>
          <w:szCs w:val="24"/>
          <w:highlight w:val="none"/>
        </w:rPr>
        <w:t>和</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浙江天平项目咨询有限公司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11BF032">
      <w:pPr>
        <w:pStyle w:val="8"/>
        <w:jc w:val="center"/>
        <w:rPr>
          <w:rFonts w:hint="default" w:ascii="宋体" w:hAnsi="宋体" w:eastAsia="宋体" w:cs="宋体"/>
          <w:b/>
          <w:color w:val="auto"/>
          <w:sz w:val="24"/>
          <w:highlight w:val="none"/>
          <w:lang w:val="en-US" w:eastAsia="zh-CN"/>
        </w:rPr>
      </w:pPr>
      <w:r>
        <w:rPr>
          <w:color w:val="auto"/>
          <w:sz w:val="36"/>
          <w:szCs w:val="36"/>
          <w:highlight w:val="none"/>
        </w:rPr>
        <w:br w:type="page"/>
      </w:r>
      <w:bookmarkStart w:id="85" w:name="_Toc17731"/>
      <w:bookmarkStart w:id="86" w:name="_Toc21248"/>
      <w:bookmarkStart w:id="87" w:name="_Toc14993"/>
      <w:r>
        <w:rPr>
          <w:rFonts w:hint="eastAsia"/>
          <w:color w:val="auto"/>
          <w:sz w:val="36"/>
          <w:szCs w:val="36"/>
          <w:highlight w:val="none"/>
        </w:rPr>
        <w:t xml:space="preserve">第三部分 </w:t>
      </w:r>
      <w:bookmarkEnd w:id="85"/>
      <w:bookmarkEnd w:id="86"/>
      <w:bookmarkStart w:id="88" w:name="_Toc11501"/>
      <w:bookmarkStart w:id="89" w:name="_Toc2068"/>
      <w:bookmarkStart w:id="90" w:name="_Toc26349"/>
      <w:bookmarkStart w:id="91" w:name="_Toc18895"/>
      <w:bookmarkStart w:id="92" w:name="_Toc15284"/>
      <w:r>
        <w:rPr>
          <w:rFonts w:hint="eastAsia" w:cs="宋体"/>
          <w:color w:val="auto"/>
          <w:sz w:val="36"/>
          <w:szCs w:val="36"/>
          <w:highlight w:val="none"/>
          <w:lang w:val="en-US" w:eastAsia="zh-CN"/>
        </w:rPr>
        <w:t>采购内容</w:t>
      </w:r>
      <w:bookmarkEnd w:id="87"/>
    </w:p>
    <w:bookmarkEnd w:id="88"/>
    <w:bookmarkEnd w:id="89"/>
    <w:bookmarkEnd w:id="90"/>
    <w:p w14:paraId="23612C32">
      <w:pPr>
        <w:pStyle w:val="9"/>
        <w:keepLines w:val="0"/>
        <w:pageBreakBefore w:val="0"/>
        <w:widowControl w:val="0"/>
        <w:kinsoku/>
        <w:wordWrap/>
        <w:overflowPunct/>
        <w:topLinePunct w:val="0"/>
        <w:bidi w:val="0"/>
        <w:snapToGrid/>
        <w:spacing w:line="360" w:lineRule="auto"/>
        <w:ind w:left="240" w:right="240"/>
        <w:jc w:val="center"/>
        <w:textAlignment w:val="auto"/>
        <w:rPr>
          <w:rFonts w:hint="eastAsia" w:ascii="宋体" w:hAnsi="宋体" w:eastAsia="宋体" w:cs="宋体"/>
          <w:sz w:val="22"/>
          <w:szCs w:val="22"/>
          <w:highlight w:val="none"/>
        </w:rPr>
      </w:pPr>
      <w:bookmarkStart w:id="93" w:name="_Toc12904"/>
      <w:bookmarkStart w:id="94" w:name="_Hlk103930317"/>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 xml:space="preserve">章 </w:t>
      </w:r>
      <w:r>
        <w:rPr>
          <w:rFonts w:hint="eastAsia" w:ascii="宋体" w:hAnsi="宋体" w:eastAsia="宋体" w:cs="宋体"/>
          <w:sz w:val="24"/>
          <w:szCs w:val="24"/>
          <w:highlight w:val="none"/>
          <w:lang w:eastAsia="zh-CN"/>
        </w:rPr>
        <w:t>采购内容及要求</w:t>
      </w:r>
      <w:bookmarkEnd w:id="93"/>
    </w:p>
    <w:bookmarkEnd w:id="94"/>
    <w:p w14:paraId="512ECA68">
      <w:pPr>
        <w:keepNext w:val="0"/>
        <w:keepLines w:val="0"/>
        <w:pageBreakBefore w:val="0"/>
        <w:widowControl w:val="0"/>
        <w:kinsoku/>
        <w:wordWrap/>
        <w:overflowPunct/>
        <w:topLinePunct w:val="0"/>
        <w:bidi w:val="0"/>
        <w:snapToGrid/>
        <w:spacing w:line="312" w:lineRule="auto"/>
        <w:ind w:left="0" w:leftChars="0" w:right="240" w:firstLine="482" w:firstLineChars="200"/>
        <w:textAlignment w:val="auto"/>
        <w:rPr>
          <w:rFonts w:hint="eastAsia" w:ascii="宋体" w:hAnsi="宋体" w:eastAsia="宋体" w:cs="宋体"/>
          <w:b/>
          <w:bCs/>
          <w:sz w:val="24"/>
          <w:szCs w:val="24"/>
          <w:highlight w:val="none"/>
        </w:rPr>
      </w:pPr>
      <w:bookmarkStart w:id="95" w:name="_Toc9749"/>
      <w:bookmarkStart w:id="96" w:name="_Toc17070"/>
      <w:r>
        <w:rPr>
          <w:rFonts w:hint="eastAsia" w:ascii="宋体" w:hAnsi="宋体" w:eastAsia="宋体" w:cs="宋体"/>
          <w:b/>
          <w:bCs/>
          <w:sz w:val="24"/>
          <w:szCs w:val="24"/>
          <w:highlight w:val="none"/>
        </w:rPr>
        <w:t>一、项目概况</w:t>
      </w:r>
    </w:p>
    <w:p w14:paraId="39C49F95">
      <w:pPr>
        <w:keepNext w:val="0"/>
        <w:keepLines w:val="0"/>
        <w:pageBreakBefore w:val="0"/>
        <w:widowControl w:val="0"/>
        <w:kinsoku/>
        <w:wordWrap/>
        <w:overflowPunct/>
        <w:topLinePunct w:val="0"/>
        <w:bidi w:val="0"/>
        <w:snapToGrid/>
        <w:spacing w:line="312" w:lineRule="auto"/>
        <w:ind w:left="0" w:leftChars="0" w:right="24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民生服务综合体项目集乐龄中心、志愿社会工作服务站、助联体、社会组织、老年食堂、文化站及未成年人保护等功能，共享联建，实现综合运营、提质增效。</w:t>
      </w:r>
      <w:r>
        <w:rPr>
          <w:rFonts w:hint="eastAsia" w:ascii="宋体" w:hAnsi="宋体" w:eastAsia="宋体" w:cs="宋体"/>
          <w:b w:val="0"/>
          <w:bCs w:val="0"/>
          <w:sz w:val="24"/>
          <w:szCs w:val="24"/>
          <w:highlight w:val="none"/>
        </w:rPr>
        <w:t>该项目涵盖了社区健康咨询、便民生活服务、文化娱乐活动、</w:t>
      </w:r>
      <w:r>
        <w:rPr>
          <w:rFonts w:hint="eastAsia" w:ascii="宋体" w:hAnsi="宋体" w:eastAsia="宋体" w:cs="宋体"/>
          <w:b w:val="0"/>
          <w:bCs w:val="0"/>
          <w:sz w:val="24"/>
          <w:szCs w:val="24"/>
          <w:highlight w:val="none"/>
          <w:lang w:val="en-US" w:eastAsia="zh-CN"/>
        </w:rPr>
        <w:t>未成年人保护</w:t>
      </w:r>
      <w:r>
        <w:rPr>
          <w:rFonts w:hint="eastAsia" w:ascii="宋体" w:hAnsi="宋体" w:eastAsia="宋体" w:cs="宋体"/>
          <w:b w:val="0"/>
          <w:bCs w:val="0"/>
          <w:sz w:val="24"/>
          <w:szCs w:val="24"/>
          <w:highlight w:val="none"/>
        </w:rPr>
        <w:t>、老年人</w:t>
      </w:r>
      <w:r>
        <w:rPr>
          <w:rFonts w:hint="eastAsia" w:ascii="宋体" w:hAnsi="宋体" w:eastAsia="宋体" w:cs="宋体"/>
          <w:b w:val="0"/>
          <w:bCs w:val="0"/>
          <w:sz w:val="24"/>
          <w:szCs w:val="24"/>
          <w:highlight w:val="none"/>
          <w:lang w:val="en-US" w:eastAsia="zh-CN"/>
        </w:rPr>
        <w:t>居家养老</w:t>
      </w:r>
      <w:r>
        <w:rPr>
          <w:rFonts w:hint="eastAsia" w:ascii="宋体" w:hAnsi="宋体" w:eastAsia="宋体" w:cs="宋体"/>
          <w:b w:val="0"/>
          <w:bCs w:val="0"/>
          <w:sz w:val="24"/>
          <w:szCs w:val="24"/>
          <w:highlight w:val="none"/>
        </w:rPr>
        <w:t>关怀服务、</w:t>
      </w:r>
      <w:r>
        <w:rPr>
          <w:rFonts w:hint="eastAsia" w:ascii="宋体" w:hAnsi="宋体" w:eastAsia="宋体" w:cs="宋体"/>
          <w:b w:val="0"/>
          <w:bCs w:val="0"/>
          <w:sz w:val="24"/>
          <w:szCs w:val="24"/>
          <w:highlight w:val="none"/>
          <w:lang w:val="en-US" w:eastAsia="zh-CN"/>
        </w:rPr>
        <w:t>老年人教育服务、志愿</w:t>
      </w:r>
      <w:r>
        <w:rPr>
          <w:rFonts w:hint="eastAsia" w:ascii="宋体" w:hAnsi="宋体" w:eastAsia="宋体" w:cs="宋体"/>
          <w:b w:val="0"/>
          <w:bCs w:val="0"/>
          <w:sz w:val="24"/>
          <w:szCs w:val="24"/>
          <w:highlight w:val="none"/>
        </w:rPr>
        <w:t>公益活动、</w:t>
      </w:r>
      <w:r>
        <w:rPr>
          <w:rFonts w:hint="eastAsia" w:ascii="宋体" w:hAnsi="宋体" w:eastAsia="宋体" w:cs="宋体"/>
          <w:b w:val="0"/>
          <w:bCs w:val="0"/>
          <w:sz w:val="24"/>
          <w:szCs w:val="24"/>
          <w:highlight w:val="none"/>
          <w:lang w:val="en-US" w:eastAsia="zh-CN"/>
        </w:rPr>
        <w:t>慈善服务</w:t>
      </w:r>
      <w:r>
        <w:rPr>
          <w:rFonts w:hint="eastAsia" w:ascii="宋体" w:hAnsi="宋体" w:eastAsia="宋体" w:cs="宋体"/>
          <w:b w:val="0"/>
          <w:bCs w:val="0"/>
          <w:sz w:val="24"/>
          <w:szCs w:val="24"/>
          <w:highlight w:val="none"/>
        </w:rPr>
        <w:t>以及社会事务</w:t>
      </w:r>
      <w:r>
        <w:rPr>
          <w:rFonts w:hint="eastAsia" w:ascii="宋体" w:hAnsi="宋体" w:eastAsia="宋体" w:cs="宋体"/>
          <w:b w:val="0"/>
          <w:bCs w:val="0"/>
          <w:sz w:val="24"/>
          <w:szCs w:val="24"/>
          <w:highlight w:val="none"/>
          <w:lang w:val="en-US" w:eastAsia="zh-CN"/>
        </w:rPr>
        <w:t>辅助</w:t>
      </w:r>
      <w:r>
        <w:rPr>
          <w:rFonts w:hint="eastAsia" w:ascii="宋体" w:hAnsi="宋体" w:eastAsia="宋体" w:cs="宋体"/>
          <w:b w:val="0"/>
          <w:bCs w:val="0"/>
          <w:sz w:val="24"/>
          <w:szCs w:val="24"/>
          <w:highlight w:val="none"/>
        </w:rPr>
        <w:t>等方面</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通过提供全方位的民生服务，项目旨在</w:t>
      </w:r>
      <w:r>
        <w:rPr>
          <w:rFonts w:hint="eastAsia" w:ascii="宋体" w:hAnsi="宋体" w:eastAsia="宋体" w:cs="宋体"/>
          <w:b w:val="0"/>
          <w:bCs w:val="0"/>
          <w:sz w:val="24"/>
          <w:szCs w:val="24"/>
          <w:highlight w:val="none"/>
          <w:lang w:val="en-US" w:eastAsia="zh-CN"/>
        </w:rPr>
        <w:t>改善人民生活品质，提升群众幸福感和获得感</w:t>
      </w:r>
      <w:r>
        <w:rPr>
          <w:rFonts w:hint="eastAsia" w:ascii="宋体" w:hAnsi="宋体" w:eastAsia="宋体" w:cs="宋体"/>
          <w:b w:val="0"/>
          <w:bCs w:val="0"/>
          <w:sz w:val="24"/>
          <w:szCs w:val="24"/>
          <w:highlight w:val="none"/>
        </w:rPr>
        <w:t>。</w:t>
      </w:r>
    </w:p>
    <w:p w14:paraId="44BBEC29">
      <w:pPr>
        <w:keepNext w:val="0"/>
        <w:keepLines w:val="0"/>
        <w:pageBreakBefore w:val="0"/>
        <w:widowControl w:val="0"/>
        <w:kinsoku/>
        <w:wordWrap/>
        <w:overflowPunct/>
        <w:topLinePunct w:val="0"/>
        <w:bidi w:val="0"/>
        <w:snapToGrid/>
        <w:spacing w:line="312" w:lineRule="auto"/>
        <w:ind w:left="0" w:leftChars="0" w:right="24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二、项目服务内容</w:t>
      </w:r>
    </w:p>
    <w:p w14:paraId="6B011645">
      <w:pPr>
        <w:keepNext w:val="0"/>
        <w:keepLines w:val="0"/>
        <w:pageBreakBefore w:val="0"/>
        <w:widowControl w:val="0"/>
        <w:kinsoku/>
        <w:wordWrap/>
        <w:overflowPunct/>
        <w:topLinePunct w:val="0"/>
        <w:bidi w:val="0"/>
        <w:snapToGrid/>
        <w:spacing w:line="312" w:lineRule="auto"/>
        <w:ind w:left="0" w:leftChars="0" w:right="24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以坚持扎根社区、立足社区、服务社区为基本思路，在街道领导以及社区的支持下开展专业性服务，在服务的定位上，主要包括以下四个方面：</w:t>
      </w:r>
    </w:p>
    <w:p w14:paraId="75063524">
      <w:pPr>
        <w:keepNext w:val="0"/>
        <w:keepLines w:val="0"/>
        <w:pageBreakBefore w:val="0"/>
        <w:widowControl w:val="0"/>
        <w:kinsoku/>
        <w:wordWrap/>
        <w:overflowPunct/>
        <w:topLinePunct w:val="0"/>
        <w:bidi w:val="0"/>
        <w:snapToGrid/>
        <w:spacing w:line="312" w:lineRule="auto"/>
        <w:ind w:left="0" w:leftChars="0" w:right="240"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弱势群体的暖心人。依托志愿社会工作服务站、助联体，面向民政在册的低保家庭、低保边缘家庭、散居特困供养对象、70周岁以上孤寡、独居、留守、失独，以及60周岁以上重病重残等特殊困难老年人、残障人士等弱势群体，定期走访、了解需求，以个案、小组等形式为这部分群体提供关怀和支持增能服务，从而激发其自身动力、扩展社会网络。</w:t>
      </w:r>
    </w:p>
    <w:p w14:paraId="0984EFD5">
      <w:pPr>
        <w:keepNext w:val="0"/>
        <w:keepLines w:val="0"/>
        <w:pageBreakBefore w:val="0"/>
        <w:widowControl w:val="0"/>
        <w:kinsoku/>
        <w:wordWrap/>
        <w:overflowPunct/>
        <w:topLinePunct w:val="0"/>
        <w:bidi w:val="0"/>
        <w:snapToGrid/>
        <w:spacing w:line="312" w:lineRule="auto"/>
        <w:ind w:left="0" w:leftChars="0" w:right="24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2.服务老人的贴心人。依托乐龄中心、老年大学，通过无偿或低偿的方式为辖区内老年人提供便捷的生活服务，包括助餐服务、家政服务、健康服务、老年教育服务</w:t>
      </w:r>
      <w:r>
        <w:rPr>
          <w:rFonts w:hint="eastAsia" w:ascii="宋体" w:hAnsi="宋体" w:cs="宋体"/>
          <w:b w:val="0"/>
          <w:bCs w:val="0"/>
          <w:sz w:val="24"/>
          <w:szCs w:val="24"/>
          <w:highlight w:val="none"/>
          <w:lang w:val="en-US" w:eastAsia="zh-CN"/>
        </w:rPr>
        <w:t>、重阳节等传统节日慰问</w:t>
      </w:r>
      <w:r>
        <w:rPr>
          <w:rFonts w:hint="eastAsia" w:ascii="宋体" w:hAnsi="宋体" w:eastAsia="宋体" w:cs="宋体"/>
          <w:b w:val="0"/>
          <w:bCs w:val="0"/>
          <w:sz w:val="24"/>
          <w:szCs w:val="24"/>
          <w:highlight w:val="none"/>
          <w:lang w:val="en-US" w:eastAsia="zh-CN"/>
        </w:rPr>
        <w:t>等。合理规划、链接资源、引进优秀服务商等方式确保老人在日常生活中享受到优质、高效的服务。</w:t>
      </w:r>
    </w:p>
    <w:p w14:paraId="683BF854">
      <w:pPr>
        <w:keepNext w:val="0"/>
        <w:keepLines w:val="0"/>
        <w:pageBreakBefore w:val="0"/>
        <w:widowControl w:val="0"/>
        <w:kinsoku/>
        <w:wordWrap/>
        <w:overflowPunct/>
        <w:topLinePunct w:val="0"/>
        <w:bidi w:val="0"/>
        <w:snapToGrid/>
        <w:spacing w:line="312" w:lineRule="auto"/>
        <w:ind w:left="0" w:leftChars="0" w:right="240"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社会组织的合伙人。积极发掘社区的居民骨干，针对社区居民的不同需求培育孵化社会组织，包括儿童服务、为老助老、文体娱乐及非遗传承等。结合社会组织的发展现状和需求积极开展社会组织的培训增能服务，为社会组织的成长和发展争取资源、提供支持。</w:t>
      </w:r>
    </w:p>
    <w:p w14:paraId="08C7ADEE">
      <w:pPr>
        <w:keepNext w:val="0"/>
        <w:keepLines w:val="0"/>
        <w:pageBreakBefore w:val="0"/>
        <w:widowControl w:val="0"/>
        <w:kinsoku/>
        <w:wordWrap/>
        <w:overflowPunct/>
        <w:topLinePunct w:val="0"/>
        <w:bidi w:val="0"/>
        <w:snapToGrid/>
        <w:spacing w:line="312" w:lineRule="auto"/>
        <w:ind w:left="0" w:leftChars="0" w:right="240" w:firstLine="480" w:firstLineChars="200"/>
        <w:textAlignment w:val="auto"/>
        <w:rPr>
          <w:rFonts w:hint="eastAsia" w:ascii="宋体" w:hAnsi="宋体" w:eastAsia="宋体" w:cs="宋体"/>
          <w:b w:val="0"/>
          <w:bCs w:val="0"/>
          <w:sz w:val="24"/>
          <w:szCs w:val="24"/>
          <w:highlight w:val="none"/>
          <w:lang w:val="en" w:eastAsia="zh-CN"/>
        </w:rPr>
      </w:pPr>
      <w:r>
        <w:rPr>
          <w:rFonts w:hint="eastAsia" w:ascii="宋体" w:hAnsi="宋体" w:eastAsia="宋体" w:cs="宋体"/>
          <w:b w:val="0"/>
          <w:bCs w:val="0"/>
          <w:sz w:val="24"/>
          <w:szCs w:val="24"/>
          <w:highlight w:val="none"/>
          <w:lang w:val="en-US" w:eastAsia="zh-CN"/>
        </w:rPr>
        <w:t>4.未成年人的好朋友。定期走访困境儿童及散居孤儿，通过</w:t>
      </w:r>
      <w:r>
        <w:rPr>
          <w:rFonts w:hint="eastAsia" w:ascii="宋体" w:hAnsi="宋体" w:eastAsia="宋体" w:cs="宋体"/>
          <w:b w:val="0"/>
          <w:bCs w:val="0"/>
          <w:sz w:val="24"/>
          <w:szCs w:val="24"/>
          <w:highlight w:val="none"/>
          <w:lang w:val="en" w:eastAsia="zh-CN"/>
        </w:rPr>
        <w:t>链接教育、</w:t>
      </w:r>
      <w:r>
        <w:rPr>
          <w:rFonts w:hint="eastAsia" w:ascii="宋体" w:hAnsi="宋体" w:eastAsia="宋体" w:cs="宋体"/>
          <w:b w:val="0"/>
          <w:bCs w:val="0"/>
          <w:sz w:val="24"/>
          <w:szCs w:val="24"/>
          <w:highlight w:val="none"/>
          <w:lang w:val="en-US" w:eastAsia="zh-CN"/>
        </w:rPr>
        <w:t>团委、妇联、企事业单位、社会组织等资源</w:t>
      </w:r>
      <w:r>
        <w:rPr>
          <w:rFonts w:hint="eastAsia" w:ascii="宋体" w:hAnsi="宋体" w:eastAsia="宋体" w:cs="宋体"/>
          <w:b w:val="0"/>
          <w:bCs w:val="0"/>
          <w:sz w:val="24"/>
          <w:szCs w:val="24"/>
          <w:highlight w:val="none"/>
          <w:lang w:val="en" w:eastAsia="zh-CN"/>
        </w:rPr>
        <w:t>帮助解决未成年人及其家庭面临的问题。</w:t>
      </w:r>
    </w:p>
    <w:p w14:paraId="7D71DC85">
      <w:pPr>
        <w:keepNext w:val="0"/>
        <w:keepLines w:val="0"/>
        <w:pageBreakBefore w:val="0"/>
        <w:widowControl w:val="0"/>
        <w:kinsoku/>
        <w:wordWrap/>
        <w:overflowPunct/>
        <w:topLinePunct w:val="0"/>
        <w:bidi w:val="0"/>
        <w:snapToGrid/>
        <w:spacing w:line="312" w:lineRule="auto"/>
        <w:ind w:left="0" w:leftChars="0" w:right="24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5.争先创优的先行者。充分利用各大场景做好用心服务和创新工作，根据相关文件，对照相关标准要求</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运营的各个领域阵地，在各级部门年度考核、评先评优中取得优异成绩。（如年度内相应的星级评定、示范创建、年度考核等未达标，从应付服务款中酌情扣除相应的上级年度补助款部分）</w:t>
      </w:r>
    </w:p>
    <w:p w14:paraId="1CE22EFF">
      <w:pPr>
        <w:pStyle w:val="2"/>
        <w:rPr>
          <w:rFonts w:hint="default"/>
          <w:highlight w:val="none"/>
          <w:lang w:val="en-US" w:eastAsia="zh-CN"/>
        </w:rPr>
      </w:pPr>
      <w:r>
        <w:rPr>
          <w:rFonts w:hint="eastAsia" w:cs="宋体"/>
          <w:b w:val="0"/>
          <w:bCs w:val="0"/>
          <w:sz w:val="24"/>
          <w:szCs w:val="24"/>
          <w:highlight w:val="none"/>
          <w:lang w:val="en-US" w:eastAsia="zh-CN"/>
        </w:rPr>
        <w:t>6.活动场所的营运者。运营场所日常设施设备的购买、维修、清洗等提升服务质量的内容。水电费包含在投标报价中，不再额外支付。</w:t>
      </w:r>
    </w:p>
    <w:p w14:paraId="52215B00">
      <w:pPr>
        <w:keepNext w:val="0"/>
        <w:keepLines w:val="0"/>
        <w:pageBreakBefore w:val="0"/>
        <w:widowControl w:val="0"/>
        <w:kinsoku/>
        <w:wordWrap/>
        <w:overflowPunct/>
        <w:topLinePunct w:val="0"/>
        <w:bidi w:val="0"/>
        <w:snapToGrid/>
        <w:spacing w:line="312" w:lineRule="auto"/>
        <w:ind w:right="24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三、项目服务人员配置</w:t>
      </w:r>
    </w:p>
    <w:p w14:paraId="09285087">
      <w:pPr>
        <w:keepNext w:val="0"/>
        <w:keepLines w:val="0"/>
        <w:pageBreakBefore w:val="0"/>
        <w:widowControl w:val="0"/>
        <w:kinsoku/>
        <w:wordWrap/>
        <w:overflowPunct/>
        <w:topLinePunct w:val="0"/>
        <w:bidi w:val="0"/>
        <w:snapToGrid/>
        <w:spacing w:line="312" w:lineRule="auto"/>
        <w:ind w:left="0" w:leftChars="0" w:right="24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根椐上级部门对助联体、志愿社会工作服务站、乐龄中心、未保站的岗位配置要求，需相关负责人、工作人员的岗位等不少于9个（含老年食堂），计划如下：至少配备主管岗位1个，持证社工岗位3个，心理咨询师岗位1个，残疾人公益岗位1个，助餐服务岗位1个，帮工岗位1个，保洁岗位1个。</w:t>
      </w:r>
    </w:p>
    <w:p w14:paraId="1FB0CF76">
      <w:pPr>
        <w:keepNext w:val="0"/>
        <w:keepLines w:val="0"/>
        <w:pageBreakBefore w:val="0"/>
        <w:widowControl w:val="0"/>
        <w:kinsoku/>
        <w:wordWrap/>
        <w:overflowPunct/>
        <w:topLinePunct w:val="0"/>
        <w:bidi w:val="0"/>
        <w:snapToGrid/>
        <w:spacing w:line="312" w:lineRule="auto"/>
        <w:ind w:left="0" w:leftChars="0" w:right="24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四、项目服务期限</w:t>
      </w:r>
    </w:p>
    <w:p w14:paraId="25DB470D">
      <w:pPr>
        <w:keepNext w:val="0"/>
        <w:keepLines w:val="0"/>
        <w:pageBreakBefore w:val="0"/>
        <w:widowControl w:val="0"/>
        <w:kinsoku/>
        <w:wordWrap/>
        <w:overflowPunct/>
        <w:topLinePunct w:val="0"/>
        <w:bidi w:val="0"/>
        <w:snapToGrid/>
        <w:spacing w:line="312" w:lineRule="auto"/>
        <w:ind w:left="0" w:leftChars="0" w:right="240" w:firstLine="480" w:firstLineChars="200"/>
        <w:textAlignment w:val="auto"/>
        <w:rPr>
          <w:rFonts w:hint="eastAsia"/>
          <w:lang w:val="en-US" w:eastAsia="zh-CN"/>
        </w:rPr>
      </w:pPr>
      <w:r>
        <w:rPr>
          <w:rFonts w:hint="eastAsia" w:ascii="宋体" w:hAnsi="宋体" w:eastAsia="宋体" w:cs="宋体"/>
          <w:b w:val="0"/>
          <w:bCs w:val="0"/>
          <w:sz w:val="24"/>
          <w:szCs w:val="24"/>
          <w:highlight w:val="none"/>
          <w:lang w:val="en-US" w:eastAsia="zh-CN"/>
        </w:rPr>
        <w:t>自合同签订之日起一年（具体以签订合同时间为准）。</w:t>
      </w:r>
    </w:p>
    <w:p w14:paraId="38CD570F">
      <w:pPr>
        <w:pStyle w:val="9"/>
        <w:keepLines w:val="0"/>
        <w:pageBreakBefore w:val="0"/>
        <w:widowControl w:val="0"/>
        <w:kinsoku/>
        <w:wordWrap/>
        <w:overflowPunct/>
        <w:topLinePunct w:val="0"/>
        <w:bidi w:val="0"/>
        <w:snapToGrid/>
        <w:spacing w:line="360" w:lineRule="auto"/>
        <w:ind w:left="240" w:right="240"/>
        <w:jc w:val="center"/>
        <w:textAlignment w:val="auto"/>
        <w:rPr>
          <w:rFonts w:hint="eastAsia" w:ascii="宋体" w:hAnsi="宋体" w:eastAsia="宋体" w:cs="宋体"/>
          <w:sz w:val="24"/>
          <w:szCs w:val="24"/>
          <w:highlight w:val="none"/>
        </w:rPr>
      </w:pPr>
      <w:bookmarkStart w:id="97" w:name="_Toc3858"/>
      <w:r>
        <w:rPr>
          <w:rFonts w:hint="eastAsia" w:ascii="宋体" w:hAnsi="宋体" w:eastAsia="宋体" w:cs="宋体"/>
          <w:sz w:val="24"/>
          <w:szCs w:val="24"/>
          <w:highlight w:val="none"/>
        </w:rPr>
        <w:t>第二章 付款方式及要求</w:t>
      </w:r>
      <w:bookmarkEnd w:id="95"/>
      <w:bookmarkEnd w:id="96"/>
      <w:bookmarkEnd w:id="97"/>
    </w:p>
    <w:p w14:paraId="525CCCD9">
      <w:pPr>
        <w:pStyle w:val="2"/>
        <w:keepLines w:val="0"/>
        <w:pageBreakBefore w:val="0"/>
        <w:widowControl w:val="0"/>
        <w:kinsoku/>
        <w:wordWrap/>
        <w:overflowPunct/>
        <w:topLinePunct w:val="0"/>
        <w:bidi w:val="0"/>
        <w:snapToGrid/>
        <w:spacing w:line="360" w:lineRule="auto"/>
        <w:ind w:left="0" w:leftChars="0" w:right="24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1.中标人在收到中标通知书后，需向采购人提供合同价的1%作为履约保证金，</w:t>
      </w:r>
      <w:r>
        <w:rPr>
          <w:rFonts w:hint="eastAsia" w:cs="宋体"/>
          <w:sz w:val="24"/>
          <w:szCs w:val="24"/>
          <w:highlight w:val="none"/>
          <w:lang w:val="en-US" w:eastAsia="zh-CN"/>
        </w:rPr>
        <w:t>履约</w:t>
      </w:r>
      <w:r>
        <w:rPr>
          <w:rFonts w:hint="eastAsia" w:ascii="宋体" w:hAnsi="宋体" w:eastAsia="宋体" w:cs="宋体"/>
          <w:sz w:val="24"/>
          <w:szCs w:val="24"/>
          <w:highlight w:val="none"/>
          <w:lang w:val="en-US" w:eastAsia="zh-CN"/>
        </w:rPr>
        <w:t>验收合格后无息退还。（供应商应当以支票、汇票、本票或者金融机构、保险公司、担保机构出具的保函等非现金形式提交）。</w:t>
      </w:r>
    </w:p>
    <w:p w14:paraId="4C828B20">
      <w:pPr>
        <w:pStyle w:val="2"/>
        <w:keepLines w:val="0"/>
        <w:pageBreakBefore w:val="0"/>
        <w:widowControl w:val="0"/>
        <w:kinsoku/>
        <w:wordWrap/>
        <w:overflowPunct/>
        <w:topLinePunct w:val="0"/>
        <w:bidi w:val="0"/>
        <w:snapToGrid/>
        <w:spacing w:line="360" w:lineRule="auto"/>
        <w:ind w:left="0" w:leftChars="0" w:right="24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2.合同签订</w:t>
      </w:r>
      <w:r>
        <w:rPr>
          <w:rFonts w:hint="eastAsia" w:ascii="宋体" w:hAnsi="宋体" w:eastAsia="宋体" w:cs="宋体"/>
          <w:b w:val="0"/>
          <w:bCs w:val="0"/>
          <w:color w:val="auto"/>
          <w:sz w:val="24"/>
          <w:szCs w:val="24"/>
          <w:highlight w:val="none"/>
          <w:lang w:val="en-US" w:eastAsia="zh-CN"/>
        </w:rPr>
        <w:t>后</w:t>
      </w:r>
      <w:r>
        <w:rPr>
          <w:rFonts w:hint="eastAsia" w:cs="宋体"/>
          <w:b w:val="0"/>
          <w:bCs w:val="0"/>
          <w:color w:val="auto"/>
          <w:sz w:val="24"/>
          <w:szCs w:val="24"/>
          <w:highlight w:val="none"/>
          <w:lang w:val="en-US" w:eastAsia="zh-CN"/>
        </w:rPr>
        <w:t>5个工作日内</w:t>
      </w:r>
      <w:r>
        <w:rPr>
          <w:rFonts w:hint="eastAsia" w:ascii="宋体" w:hAnsi="宋体" w:eastAsia="宋体" w:cs="宋体"/>
          <w:b w:val="0"/>
          <w:bCs w:val="0"/>
          <w:color w:val="auto"/>
          <w:sz w:val="24"/>
          <w:szCs w:val="24"/>
          <w:highlight w:val="none"/>
          <w:lang w:val="en-US" w:eastAsia="zh-CN"/>
        </w:rPr>
        <w:t>支付合同价的20%作为预付款，根据项目年中中期考核情况支付合同价的40%作为年中进度服务款，剩余</w:t>
      </w:r>
      <w:r>
        <w:rPr>
          <w:rFonts w:hint="eastAsia" w:cs="宋体"/>
          <w:b w:val="0"/>
          <w:bCs w:val="0"/>
          <w:color w:val="auto"/>
          <w:sz w:val="24"/>
          <w:szCs w:val="24"/>
          <w:highlight w:val="none"/>
          <w:lang w:val="en-US" w:eastAsia="zh-CN"/>
        </w:rPr>
        <w:t>款项</w:t>
      </w:r>
      <w:r>
        <w:rPr>
          <w:rFonts w:hint="eastAsia" w:ascii="宋体" w:hAnsi="宋体" w:eastAsia="宋体" w:cs="宋体"/>
          <w:b w:val="0"/>
          <w:bCs w:val="0"/>
          <w:color w:val="auto"/>
          <w:sz w:val="24"/>
          <w:szCs w:val="24"/>
          <w:highlight w:val="none"/>
          <w:lang w:val="en-US" w:eastAsia="zh-CN"/>
        </w:rPr>
        <w:t>根据年度考核情况拨付。</w:t>
      </w:r>
    </w:p>
    <w:p w14:paraId="4DE80888">
      <w:pPr>
        <w:pStyle w:val="2"/>
        <w:keepLines w:val="0"/>
        <w:pageBreakBefore w:val="0"/>
        <w:widowControl w:val="0"/>
        <w:kinsoku/>
        <w:wordWrap/>
        <w:overflowPunct/>
        <w:topLinePunct w:val="0"/>
        <w:bidi w:val="0"/>
        <w:snapToGrid/>
        <w:spacing w:line="360" w:lineRule="auto"/>
        <w:ind w:left="0" w:leftChars="0" w:right="24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中标人在收款之前，应向采购人提供发票，采购人凭发票付款。如中标人未按约定提供发票的，采购人有权拒绝付款，直至收到中标人提交的相应发票为止，在此情况下，采购人不承担逾期付款违约责任。</w:t>
      </w:r>
    </w:p>
    <w:p w14:paraId="71C83147">
      <w:pPr>
        <w:pStyle w:val="9"/>
        <w:keepLines w:val="0"/>
        <w:pageBreakBefore w:val="0"/>
        <w:widowControl w:val="0"/>
        <w:kinsoku/>
        <w:wordWrap/>
        <w:overflowPunct/>
        <w:topLinePunct w:val="0"/>
        <w:bidi w:val="0"/>
        <w:snapToGrid/>
        <w:spacing w:line="360" w:lineRule="auto"/>
        <w:ind w:left="240" w:right="24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考核办法</w:t>
      </w:r>
    </w:p>
    <w:p w14:paraId="004667F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bidi="ar-SA"/>
        </w:rPr>
        <w:t>1.</w:t>
      </w:r>
      <w:r>
        <w:rPr>
          <w:rFonts w:hint="eastAsia" w:ascii="宋体" w:hAnsi="宋体" w:eastAsia="宋体" w:cs="宋体"/>
          <w:color w:val="auto"/>
          <w:sz w:val="24"/>
          <w:szCs w:val="24"/>
          <w:highlight w:val="none"/>
          <w:lang w:val="en-US" w:eastAsia="zh-CN"/>
        </w:rPr>
        <w:t>属地社区负责一线考核，每月组织不少于一次以上的巡查，对工作台账进行抽查，对实际工作开展情况进行督察。每</w:t>
      </w:r>
      <w:r>
        <w:rPr>
          <w:rFonts w:hint="eastAsia" w:ascii="宋体" w:hAnsi="宋体" w:cs="宋体"/>
          <w:color w:val="auto"/>
          <w:sz w:val="24"/>
          <w:szCs w:val="24"/>
          <w:highlight w:val="none"/>
          <w:lang w:val="en-US" w:eastAsia="zh-CN"/>
        </w:rPr>
        <w:t>月</w:t>
      </w:r>
      <w:r>
        <w:rPr>
          <w:rFonts w:hint="eastAsia" w:ascii="宋体" w:hAnsi="宋体" w:eastAsia="宋体" w:cs="宋体"/>
          <w:color w:val="auto"/>
          <w:sz w:val="24"/>
          <w:szCs w:val="24"/>
          <w:highlight w:val="none"/>
          <w:lang w:val="en-US" w:eastAsia="zh-CN"/>
        </w:rPr>
        <w:t>由属地社区根据考核细则按百分制考核打分，并将考核结果反馈给街道社事办。</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2.街道业务办线不定期进行飞行检查，每</w:t>
      </w:r>
      <w:r>
        <w:rPr>
          <w:rFonts w:hint="eastAsia" w:ascii="宋体" w:hAnsi="宋体" w:cs="宋体"/>
          <w:color w:val="auto"/>
          <w:sz w:val="24"/>
          <w:szCs w:val="24"/>
          <w:highlight w:val="none"/>
          <w:lang w:val="en-US" w:eastAsia="zh-CN"/>
        </w:rPr>
        <w:t>半年</w:t>
      </w:r>
      <w:r>
        <w:rPr>
          <w:rFonts w:hint="eastAsia" w:ascii="宋体" w:hAnsi="宋体" w:eastAsia="宋体" w:cs="宋体"/>
          <w:color w:val="auto"/>
          <w:sz w:val="24"/>
          <w:szCs w:val="24"/>
          <w:highlight w:val="none"/>
          <w:lang w:val="en-US" w:eastAsia="zh-CN"/>
        </w:rPr>
        <w:t>根据考核细则组织不少于一次抽查，也可以主动联系有关部门共同督查考核。同时结合各级部门明查暗访、考核评估以及居民信访投诉等考核评分。</w:t>
      </w:r>
    </w:p>
    <w:p w14:paraId="45946A26">
      <w:pPr>
        <w:pStyle w:val="2"/>
        <w:keepNext w:val="0"/>
        <w:keepLines w:val="0"/>
        <w:pageBreakBefore w:val="0"/>
        <w:widowControl w:val="0"/>
        <w:numPr>
          <w:ilvl w:val="0"/>
          <w:numId w:val="0"/>
        </w:numPr>
        <w:kinsoku/>
        <w:wordWrap/>
        <w:overflowPunct/>
        <w:topLinePunct w:val="0"/>
        <w:autoSpaceDE/>
        <w:autoSpaceDN/>
        <w:bidi w:val="0"/>
        <w:snapToGrid/>
        <w:spacing w:line="460" w:lineRule="exact"/>
        <w:ind w:left="0" w:leftChars="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3.考核结果运用。街道与属地社区考核各取一半综合得分，作为拨付进度款依据。其中：</w:t>
      </w:r>
      <w:r>
        <w:rPr>
          <w:rFonts w:hint="eastAsia" w:cs="宋体"/>
          <w:color w:val="auto"/>
          <w:kern w:val="2"/>
          <w:sz w:val="24"/>
          <w:szCs w:val="24"/>
          <w:highlight w:val="none"/>
          <w:lang w:val="en-US" w:eastAsia="zh-CN" w:bidi="ar-SA"/>
        </w:rPr>
        <w:t>①</w:t>
      </w:r>
      <w:r>
        <w:rPr>
          <w:rFonts w:hint="eastAsia" w:ascii="宋体" w:hAnsi="宋体" w:eastAsia="宋体" w:cs="宋体"/>
          <w:color w:val="auto"/>
          <w:kern w:val="2"/>
          <w:sz w:val="24"/>
          <w:szCs w:val="24"/>
          <w:highlight w:val="none"/>
          <w:lang w:val="en-US" w:eastAsia="zh-CN" w:bidi="ar-SA"/>
        </w:rPr>
        <w:t>考核得分≥90分不扣</w:t>
      </w:r>
      <w:r>
        <w:rPr>
          <w:rFonts w:hint="eastAsia" w:cs="宋体"/>
          <w:color w:val="auto"/>
          <w:kern w:val="2"/>
          <w:sz w:val="24"/>
          <w:szCs w:val="24"/>
          <w:highlight w:val="none"/>
          <w:lang w:val="en-US" w:eastAsia="zh-CN" w:bidi="ar-SA"/>
        </w:rPr>
        <w:t>相应</w:t>
      </w:r>
      <w:r>
        <w:rPr>
          <w:rFonts w:hint="eastAsia" w:ascii="宋体" w:hAnsi="宋体" w:eastAsia="宋体" w:cs="宋体"/>
          <w:color w:val="auto"/>
          <w:kern w:val="2"/>
          <w:sz w:val="24"/>
          <w:szCs w:val="24"/>
          <w:highlight w:val="none"/>
          <w:lang w:val="en-US" w:eastAsia="zh-CN" w:bidi="ar-SA"/>
        </w:rPr>
        <w:t>进度</w:t>
      </w:r>
      <w:r>
        <w:rPr>
          <w:rFonts w:hint="eastAsia"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款；</w:t>
      </w:r>
      <w:r>
        <w:rPr>
          <w:rFonts w:hint="eastAsia" w:cs="宋体"/>
          <w:color w:val="auto"/>
          <w:kern w:val="2"/>
          <w:sz w:val="24"/>
          <w:szCs w:val="24"/>
          <w:highlight w:val="none"/>
          <w:lang w:val="en-US" w:eastAsia="zh-CN" w:bidi="ar-SA"/>
        </w:rPr>
        <w:t>②</w:t>
      </w:r>
      <w:r>
        <w:rPr>
          <w:rFonts w:hint="eastAsia" w:ascii="宋体" w:hAnsi="宋体" w:eastAsia="宋体" w:cs="宋体"/>
          <w:color w:val="auto"/>
          <w:kern w:val="2"/>
          <w:sz w:val="24"/>
          <w:szCs w:val="24"/>
          <w:highlight w:val="none"/>
          <w:lang w:val="en-US" w:eastAsia="zh-CN" w:bidi="ar-SA"/>
        </w:rPr>
        <w:t>考核得分</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90分</w:t>
      </w:r>
      <w:r>
        <w:rPr>
          <w:rFonts w:hint="eastAsia" w:cs="宋体"/>
          <w:color w:val="auto"/>
          <w:kern w:val="2"/>
          <w:sz w:val="24"/>
          <w:szCs w:val="24"/>
          <w:highlight w:val="none"/>
          <w:lang w:val="en-US" w:eastAsia="zh-CN" w:bidi="ar-SA"/>
        </w:rPr>
        <w:t>且</w:t>
      </w:r>
      <w:r>
        <w:rPr>
          <w:rFonts w:hint="eastAsia" w:ascii="宋体" w:hAnsi="宋体" w:eastAsia="宋体" w:cs="宋体"/>
          <w:color w:val="auto"/>
          <w:kern w:val="2"/>
          <w:sz w:val="24"/>
          <w:szCs w:val="24"/>
          <w:highlight w:val="none"/>
          <w:lang w:val="en-US" w:eastAsia="zh-CN" w:bidi="ar-SA"/>
        </w:rPr>
        <w:t>≥85</w:t>
      </w:r>
      <w:r>
        <w:rPr>
          <w:rFonts w:hint="eastAsia" w:cs="宋体"/>
          <w:color w:val="auto"/>
          <w:kern w:val="2"/>
          <w:sz w:val="24"/>
          <w:szCs w:val="24"/>
          <w:highlight w:val="none"/>
          <w:lang w:val="en-US" w:eastAsia="zh-CN" w:bidi="ar-SA"/>
        </w:rPr>
        <w:t>分</w:t>
      </w:r>
      <w:r>
        <w:rPr>
          <w:rFonts w:hint="eastAsia" w:ascii="宋体" w:hAnsi="宋体" w:eastAsia="宋体" w:cs="宋体"/>
          <w:color w:val="auto"/>
          <w:kern w:val="2"/>
          <w:sz w:val="24"/>
          <w:szCs w:val="24"/>
          <w:highlight w:val="none"/>
          <w:lang w:val="en-US" w:eastAsia="zh-CN" w:bidi="ar-SA"/>
        </w:rPr>
        <w:t>扣</w:t>
      </w:r>
      <w:r>
        <w:rPr>
          <w:rFonts w:hint="eastAsia" w:cs="宋体"/>
          <w:color w:val="auto"/>
          <w:kern w:val="2"/>
          <w:sz w:val="24"/>
          <w:szCs w:val="24"/>
          <w:highlight w:val="none"/>
          <w:lang w:val="en-US" w:eastAsia="zh-CN" w:bidi="ar-SA"/>
        </w:rPr>
        <w:t>相应</w:t>
      </w:r>
      <w:r>
        <w:rPr>
          <w:rFonts w:hint="eastAsia" w:ascii="宋体" w:hAnsi="宋体" w:eastAsia="宋体" w:cs="宋体"/>
          <w:color w:val="auto"/>
          <w:kern w:val="2"/>
          <w:sz w:val="24"/>
          <w:szCs w:val="24"/>
          <w:highlight w:val="none"/>
          <w:lang w:val="en-US" w:eastAsia="zh-CN" w:bidi="ar-SA"/>
        </w:rPr>
        <w:t>进度</w:t>
      </w:r>
      <w:r>
        <w:rPr>
          <w:rFonts w:hint="eastAsia"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款的5%；</w:t>
      </w:r>
      <w:r>
        <w:rPr>
          <w:rFonts w:hint="eastAsia" w:cs="宋体"/>
          <w:color w:val="auto"/>
          <w:kern w:val="2"/>
          <w:sz w:val="24"/>
          <w:szCs w:val="24"/>
          <w:highlight w:val="none"/>
          <w:lang w:val="en-US" w:eastAsia="zh-CN" w:bidi="ar-SA"/>
        </w:rPr>
        <w:t>③</w:t>
      </w:r>
      <w:r>
        <w:rPr>
          <w:rFonts w:hint="eastAsia" w:ascii="宋体" w:hAnsi="宋体" w:eastAsia="宋体" w:cs="宋体"/>
          <w:color w:val="auto"/>
          <w:kern w:val="2"/>
          <w:sz w:val="24"/>
          <w:szCs w:val="24"/>
          <w:highlight w:val="none"/>
          <w:lang w:val="en-US" w:eastAsia="zh-CN" w:bidi="ar-SA"/>
        </w:rPr>
        <w:t>考核得分</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85分</w:t>
      </w:r>
      <w:r>
        <w:rPr>
          <w:rFonts w:hint="eastAsia" w:cs="宋体"/>
          <w:color w:val="auto"/>
          <w:kern w:val="2"/>
          <w:sz w:val="24"/>
          <w:szCs w:val="24"/>
          <w:highlight w:val="none"/>
          <w:lang w:val="en-US" w:eastAsia="zh-CN" w:bidi="ar-SA"/>
        </w:rPr>
        <w:t>且</w:t>
      </w:r>
      <w:r>
        <w:rPr>
          <w:rFonts w:hint="eastAsia" w:ascii="宋体" w:hAnsi="宋体" w:eastAsia="宋体" w:cs="宋体"/>
          <w:color w:val="auto"/>
          <w:kern w:val="2"/>
          <w:sz w:val="24"/>
          <w:szCs w:val="24"/>
          <w:highlight w:val="none"/>
          <w:lang w:val="en-US" w:eastAsia="zh-CN" w:bidi="ar-SA"/>
        </w:rPr>
        <w:t>≥8</w:t>
      </w:r>
      <w:r>
        <w:rPr>
          <w:rFonts w:hint="eastAsia" w:cs="宋体"/>
          <w:color w:val="auto"/>
          <w:kern w:val="2"/>
          <w:sz w:val="24"/>
          <w:szCs w:val="24"/>
          <w:highlight w:val="none"/>
          <w:lang w:val="en-US" w:eastAsia="zh-CN" w:bidi="ar-SA"/>
        </w:rPr>
        <w:t>0分</w:t>
      </w:r>
      <w:r>
        <w:rPr>
          <w:rFonts w:hint="eastAsia" w:ascii="宋体" w:hAnsi="宋体" w:eastAsia="宋体" w:cs="宋体"/>
          <w:color w:val="auto"/>
          <w:kern w:val="2"/>
          <w:sz w:val="24"/>
          <w:szCs w:val="24"/>
          <w:highlight w:val="none"/>
          <w:lang w:val="en-US" w:eastAsia="zh-CN" w:bidi="ar-SA"/>
        </w:rPr>
        <w:t>扣</w:t>
      </w:r>
      <w:r>
        <w:rPr>
          <w:rFonts w:hint="eastAsia" w:cs="宋体"/>
          <w:color w:val="auto"/>
          <w:kern w:val="2"/>
          <w:sz w:val="24"/>
          <w:szCs w:val="24"/>
          <w:highlight w:val="none"/>
          <w:lang w:val="en-US" w:eastAsia="zh-CN" w:bidi="ar-SA"/>
        </w:rPr>
        <w:t>相应</w:t>
      </w:r>
      <w:r>
        <w:rPr>
          <w:rFonts w:hint="eastAsia" w:ascii="宋体" w:hAnsi="宋体" w:eastAsia="宋体" w:cs="宋体"/>
          <w:color w:val="auto"/>
          <w:kern w:val="2"/>
          <w:sz w:val="24"/>
          <w:szCs w:val="24"/>
          <w:highlight w:val="none"/>
          <w:lang w:val="en-US" w:eastAsia="zh-CN" w:bidi="ar-SA"/>
        </w:rPr>
        <w:t>进度</w:t>
      </w:r>
      <w:r>
        <w:rPr>
          <w:rFonts w:hint="eastAsia"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款10%；</w:t>
      </w:r>
      <w:r>
        <w:rPr>
          <w:rFonts w:hint="eastAsia" w:cs="宋体"/>
          <w:color w:val="auto"/>
          <w:kern w:val="2"/>
          <w:sz w:val="24"/>
          <w:szCs w:val="24"/>
          <w:highlight w:val="none"/>
          <w:lang w:val="en-US" w:eastAsia="zh-CN" w:bidi="ar-SA"/>
        </w:rPr>
        <w:t>④</w:t>
      </w:r>
      <w:r>
        <w:rPr>
          <w:rFonts w:hint="eastAsia" w:ascii="宋体" w:hAnsi="宋体" w:eastAsia="宋体" w:cs="宋体"/>
          <w:color w:val="auto"/>
          <w:kern w:val="2"/>
          <w:sz w:val="24"/>
          <w:szCs w:val="24"/>
          <w:highlight w:val="none"/>
          <w:lang w:val="en-US" w:eastAsia="zh-CN" w:bidi="ar-SA"/>
        </w:rPr>
        <w:t>考核得分＜80分不</w:t>
      </w:r>
      <w:r>
        <w:rPr>
          <w:rFonts w:hint="eastAsia" w:cs="宋体"/>
          <w:color w:val="auto"/>
          <w:kern w:val="2"/>
          <w:sz w:val="24"/>
          <w:szCs w:val="24"/>
          <w:highlight w:val="none"/>
          <w:lang w:val="en-US" w:eastAsia="zh-CN" w:bidi="ar-SA"/>
        </w:rPr>
        <w:t>予</w:t>
      </w:r>
      <w:r>
        <w:rPr>
          <w:rFonts w:hint="eastAsia" w:ascii="宋体" w:hAnsi="宋体" w:eastAsia="宋体" w:cs="宋体"/>
          <w:color w:val="auto"/>
          <w:kern w:val="2"/>
          <w:sz w:val="24"/>
          <w:szCs w:val="24"/>
          <w:highlight w:val="none"/>
          <w:lang w:val="en-US" w:eastAsia="zh-CN" w:bidi="ar-SA"/>
        </w:rPr>
        <w:t>拨付</w:t>
      </w:r>
      <w:r>
        <w:rPr>
          <w:rFonts w:hint="eastAsia" w:cs="宋体"/>
          <w:color w:val="auto"/>
          <w:kern w:val="2"/>
          <w:sz w:val="24"/>
          <w:szCs w:val="24"/>
          <w:highlight w:val="none"/>
          <w:lang w:val="en-US" w:eastAsia="zh-CN" w:bidi="ar-SA"/>
        </w:rPr>
        <w:t>相应</w:t>
      </w:r>
      <w:r>
        <w:rPr>
          <w:rFonts w:hint="eastAsia" w:ascii="宋体" w:hAnsi="宋体" w:eastAsia="宋体" w:cs="宋体"/>
          <w:color w:val="auto"/>
          <w:kern w:val="2"/>
          <w:sz w:val="24"/>
          <w:szCs w:val="24"/>
          <w:highlight w:val="none"/>
          <w:lang w:val="en-US" w:eastAsia="zh-CN" w:bidi="ar-SA"/>
        </w:rPr>
        <w:t>进度</w:t>
      </w:r>
      <w:r>
        <w:rPr>
          <w:rFonts w:hint="eastAsia"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款。</w:t>
      </w:r>
      <w:r>
        <w:rPr>
          <w:rFonts w:hint="eastAsia" w:cs="宋体"/>
          <w:color w:val="auto"/>
          <w:kern w:val="2"/>
          <w:sz w:val="24"/>
          <w:szCs w:val="24"/>
          <w:highlight w:val="none"/>
          <w:lang w:val="en-US" w:eastAsia="zh-CN" w:bidi="ar-SA"/>
        </w:rPr>
        <w:t>⑤连续两个月考核得分</w:t>
      </w:r>
      <w:r>
        <w:rPr>
          <w:rFonts w:hint="eastAsia" w:ascii="宋体" w:hAnsi="宋体" w:eastAsia="宋体" w:cs="宋体"/>
          <w:color w:val="auto"/>
          <w:kern w:val="2"/>
          <w:sz w:val="24"/>
          <w:szCs w:val="24"/>
          <w:highlight w:val="none"/>
          <w:lang w:val="en-US" w:eastAsia="zh-CN" w:bidi="ar-SA"/>
        </w:rPr>
        <w:t>＜80分</w:t>
      </w:r>
      <w:r>
        <w:rPr>
          <w:rFonts w:hint="eastAsia" w:cs="宋体"/>
          <w:color w:val="auto"/>
          <w:kern w:val="2"/>
          <w:sz w:val="24"/>
          <w:szCs w:val="24"/>
          <w:highlight w:val="none"/>
          <w:lang w:val="en-US" w:eastAsia="zh-CN" w:bidi="ar-SA"/>
        </w:rPr>
        <w:t>，采购人有权解除合同。</w:t>
      </w:r>
    </w:p>
    <w:p w14:paraId="10A25CB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lang w:val="en-US" w:eastAsia="zh-CN" w:bidi="ar-SA"/>
        </w:rPr>
        <w:t>4.</w:t>
      </w:r>
      <w:r>
        <w:rPr>
          <w:rFonts w:hint="eastAsia" w:ascii="宋体" w:hAnsi="宋体" w:eastAsia="宋体" w:cs="宋体"/>
          <w:b w:val="0"/>
          <w:color w:val="auto"/>
          <w:kern w:val="2"/>
          <w:sz w:val="24"/>
          <w:szCs w:val="24"/>
          <w:highlight w:val="none"/>
          <w:lang w:val="en-US" w:eastAsia="zh-CN" w:bidi="ar-SA"/>
        </w:rPr>
        <w:t>考核细则</w:t>
      </w:r>
    </w:p>
    <w:p w14:paraId="24C749D3">
      <w:pPr>
        <w:ind w:right="320" w:firstLine="361" w:firstLineChars="150"/>
        <w:jc w:val="center"/>
        <w:rPr>
          <w:rFonts w:hint="eastAsia"/>
          <w:color w:val="auto"/>
          <w:highlight w:val="none"/>
          <w:lang w:val="en-US" w:eastAsia="zh-CN"/>
        </w:rPr>
      </w:pPr>
      <w:r>
        <w:rPr>
          <w:rFonts w:hint="eastAsia" w:ascii="宋体" w:hAnsi="宋体" w:eastAsia="宋体" w:cs="宋体"/>
          <w:b/>
          <w:bCs/>
          <w:color w:val="auto"/>
          <w:sz w:val="24"/>
          <w:szCs w:val="24"/>
          <w:highlight w:val="none"/>
          <w:lang w:eastAsia="zh-CN"/>
        </w:rPr>
        <w:t>百官街道民政综合体、文化站、老年大学等场所运行服务</w:t>
      </w:r>
      <w:r>
        <w:rPr>
          <w:rFonts w:hint="eastAsia" w:ascii="宋体" w:hAnsi="宋体" w:eastAsia="宋体" w:cs="宋体"/>
          <w:b/>
          <w:bCs/>
          <w:color w:val="auto"/>
          <w:sz w:val="24"/>
          <w:szCs w:val="24"/>
          <w:highlight w:val="none"/>
          <w:lang w:val="en-US" w:eastAsia="zh-CN"/>
        </w:rPr>
        <w:t>考核细则</w:t>
      </w:r>
    </w:p>
    <w:tbl>
      <w:tblPr>
        <w:tblStyle w:val="30"/>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21"/>
        <w:gridCol w:w="1219"/>
        <w:gridCol w:w="6645"/>
        <w:gridCol w:w="725"/>
      </w:tblGrid>
      <w:tr w14:paraId="1B72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21" w:type="dxa"/>
            <w:shd w:val="clear" w:color="auto" w:fill="auto"/>
            <w:noWrap w:val="0"/>
            <w:vAlign w:val="center"/>
          </w:tcPr>
          <w:p w14:paraId="330CF58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b/>
                <w:bCs/>
                <w:color w:val="auto"/>
                <w:sz w:val="21"/>
                <w:szCs w:val="21"/>
                <w:highlight w:val="none"/>
                <w:lang w:val="en-US" w:eastAsia="zh-CN"/>
              </w:rPr>
            </w:pPr>
            <w:r>
              <w:rPr>
                <w:rFonts w:hint="eastAsia"/>
                <w:b/>
                <w:bCs/>
                <w:color w:val="auto"/>
                <w:sz w:val="21"/>
                <w:szCs w:val="21"/>
                <w:highlight w:val="none"/>
              </w:rPr>
              <w:t>类别</w:t>
            </w:r>
          </w:p>
        </w:tc>
        <w:tc>
          <w:tcPr>
            <w:tcW w:w="1219" w:type="dxa"/>
            <w:shd w:val="clear" w:color="auto" w:fill="auto"/>
            <w:noWrap w:val="0"/>
            <w:vAlign w:val="center"/>
          </w:tcPr>
          <w:p w14:paraId="1A6DC97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b/>
                <w:bCs/>
                <w:color w:val="auto"/>
                <w:sz w:val="21"/>
                <w:szCs w:val="21"/>
                <w:highlight w:val="none"/>
                <w:lang w:val="en-US" w:eastAsia="zh-CN"/>
              </w:rPr>
            </w:pPr>
            <w:r>
              <w:rPr>
                <w:rFonts w:hint="eastAsia"/>
                <w:b/>
                <w:bCs/>
                <w:color w:val="auto"/>
                <w:sz w:val="21"/>
                <w:szCs w:val="21"/>
                <w:highlight w:val="none"/>
              </w:rPr>
              <w:t>服务内容</w:t>
            </w:r>
          </w:p>
        </w:tc>
        <w:tc>
          <w:tcPr>
            <w:tcW w:w="6645" w:type="dxa"/>
            <w:shd w:val="clear" w:color="auto" w:fill="auto"/>
            <w:noWrap w:val="0"/>
            <w:vAlign w:val="center"/>
          </w:tcPr>
          <w:p w14:paraId="22D77D9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b/>
                <w:bCs/>
                <w:color w:val="auto"/>
                <w:sz w:val="21"/>
                <w:szCs w:val="21"/>
                <w:highlight w:val="none"/>
                <w:lang w:val="en-US" w:eastAsia="zh-CN"/>
              </w:rPr>
            </w:pPr>
            <w:r>
              <w:rPr>
                <w:rFonts w:hint="eastAsia"/>
                <w:b/>
                <w:bCs/>
                <w:color w:val="auto"/>
                <w:sz w:val="21"/>
                <w:szCs w:val="21"/>
                <w:highlight w:val="none"/>
              </w:rPr>
              <w:t>具体量化指标</w:t>
            </w:r>
          </w:p>
        </w:tc>
        <w:tc>
          <w:tcPr>
            <w:tcW w:w="725" w:type="dxa"/>
            <w:shd w:val="clear" w:color="auto" w:fill="auto"/>
            <w:noWrap w:val="0"/>
            <w:vAlign w:val="center"/>
          </w:tcPr>
          <w:p w14:paraId="5DE5805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考核分值</w:t>
            </w:r>
          </w:p>
        </w:tc>
      </w:tr>
      <w:tr w14:paraId="48E8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21" w:type="dxa"/>
            <w:vMerge w:val="restart"/>
            <w:shd w:val="clear" w:color="auto" w:fill="auto"/>
            <w:noWrap w:val="0"/>
            <w:vAlign w:val="center"/>
          </w:tcPr>
          <w:p w14:paraId="3B7C743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基础管理</w:t>
            </w:r>
          </w:p>
        </w:tc>
        <w:tc>
          <w:tcPr>
            <w:tcW w:w="1219" w:type="dxa"/>
            <w:shd w:val="clear" w:color="auto" w:fill="auto"/>
            <w:noWrap w:val="0"/>
            <w:vAlign w:val="center"/>
          </w:tcPr>
          <w:p w14:paraId="589453D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运营管理</w:t>
            </w:r>
          </w:p>
        </w:tc>
        <w:tc>
          <w:tcPr>
            <w:tcW w:w="6645" w:type="dxa"/>
            <w:shd w:val="clear" w:color="auto" w:fill="auto"/>
            <w:noWrap w:val="0"/>
            <w:vAlign w:val="center"/>
          </w:tcPr>
          <w:p w14:paraId="101C683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1.运营方必须与工作人员签订劳动或劳务合同，并且要求给工作人员投保人身意外伤害险；出现设施设备破损不及时维修或保养，影响正常使用的；每一处扣2分。3.未按时缴纳各类应缴费用的，每出现一起扣1分。</w:t>
            </w:r>
          </w:p>
        </w:tc>
        <w:tc>
          <w:tcPr>
            <w:tcW w:w="725" w:type="dxa"/>
            <w:shd w:val="clear" w:color="auto" w:fill="auto"/>
            <w:noWrap w:val="0"/>
            <w:vAlign w:val="center"/>
          </w:tcPr>
          <w:p w14:paraId="41A8384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294B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221" w:type="dxa"/>
            <w:vMerge w:val="continue"/>
            <w:shd w:val="clear" w:color="auto" w:fill="auto"/>
            <w:noWrap w:val="0"/>
            <w:vAlign w:val="center"/>
          </w:tcPr>
          <w:p w14:paraId="1DC857B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62D96D1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人员管理</w:t>
            </w:r>
          </w:p>
        </w:tc>
        <w:tc>
          <w:tcPr>
            <w:tcW w:w="6645" w:type="dxa"/>
            <w:shd w:val="clear" w:color="auto" w:fill="auto"/>
            <w:noWrap w:val="0"/>
            <w:vAlign w:val="center"/>
          </w:tcPr>
          <w:p w14:paraId="2C9EEBE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运营服务专职工作岗位不少于9个，至少配备主管岗位1个，持证社工岗位3个，心理咨询师岗位1个，残疾人公益岗位1个，助餐服务岗位1个，帮工岗位1个，保洁岗位1个。按实际需求配备工作人员，并具有相应的资质，掌握相应的业务知识和岗位技能。人员未按要求配置到位的，每项少1人扣2.5分。</w:t>
            </w:r>
          </w:p>
        </w:tc>
        <w:tc>
          <w:tcPr>
            <w:tcW w:w="725" w:type="dxa"/>
            <w:shd w:val="clear" w:color="auto" w:fill="auto"/>
            <w:noWrap w:val="0"/>
            <w:vAlign w:val="center"/>
          </w:tcPr>
          <w:p w14:paraId="5F652F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7798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3" w:hRule="atLeast"/>
          <w:jc w:val="center"/>
        </w:trPr>
        <w:tc>
          <w:tcPr>
            <w:tcW w:w="1221" w:type="dxa"/>
            <w:vMerge w:val="continue"/>
            <w:shd w:val="clear" w:color="auto" w:fill="auto"/>
            <w:noWrap w:val="0"/>
            <w:vAlign w:val="center"/>
          </w:tcPr>
          <w:p w14:paraId="0FAA4CF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3EACA97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运营监管</w:t>
            </w:r>
          </w:p>
        </w:tc>
        <w:tc>
          <w:tcPr>
            <w:tcW w:w="6645" w:type="dxa"/>
            <w:shd w:val="clear" w:color="auto" w:fill="auto"/>
            <w:noWrap w:val="0"/>
            <w:vAlign w:val="center"/>
          </w:tcPr>
          <w:p w14:paraId="2441D0E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每月底向街道提交月底工作总结或公众号推送信息，每月提交工作（活动）计划。</w:t>
            </w:r>
          </w:p>
        </w:tc>
        <w:tc>
          <w:tcPr>
            <w:tcW w:w="725" w:type="dxa"/>
            <w:shd w:val="clear" w:color="auto" w:fill="auto"/>
            <w:noWrap w:val="0"/>
            <w:vAlign w:val="center"/>
          </w:tcPr>
          <w:p w14:paraId="75821DF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0114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7" w:hRule="atLeast"/>
          <w:jc w:val="center"/>
        </w:trPr>
        <w:tc>
          <w:tcPr>
            <w:tcW w:w="1221" w:type="dxa"/>
            <w:vMerge w:val="continue"/>
            <w:shd w:val="clear" w:color="auto" w:fill="auto"/>
            <w:noWrap w:val="0"/>
            <w:vAlign w:val="center"/>
          </w:tcPr>
          <w:p w14:paraId="036609F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3DA1917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安全责任</w:t>
            </w:r>
          </w:p>
        </w:tc>
        <w:tc>
          <w:tcPr>
            <w:tcW w:w="6645" w:type="dxa"/>
            <w:shd w:val="clear" w:color="auto" w:fill="auto"/>
            <w:noWrap w:val="0"/>
            <w:vAlign w:val="center"/>
          </w:tcPr>
          <w:p w14:paraId="4E062EA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制定消防安全、食品卫生、公共卫生、环境卫生等各项突发事件的应急预案，建立各类台账，每季度开展应急演练一次。发生安全事故的此项不得分。</w:t>
            </w:r>
          </w:p>
        </w:tc>
        <w:tc>
          <w:tcPr>
            <w:tcW w:w="725" w:type="dxa"/>
            <w:shd w:val="clear" w:color="auto" w:fill="auto"/>
            <w:noWrap w:val="0"/>
            <w:vAlign w:val="center"/>
          </w:tcPr>
          <w:p w14:paraId="58E1223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31E1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1221" w:type="dxa"/>
            <w:vMerge w:val="restart"/>
            <w:shd w:val="clear" w:color="auto" w:fill="auto"/>
            <w:noWrap w:val="0"/>
            <w:vAlign w:val="center"/>
          </w:tcPr>
          <w:p w14:paraId="237CFCA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基础运营</w:t>
            </w:r>
          </w:p>
        </w:tc>
        <w:tc>
          <w:tcPr>
            <w:tcW w:w="1219" w:type="dxa"/>
            <w:shd w:val="clear" w:color="auto" w:fill="auto"/>
            <w:noWrap w:val="0"/>
            <w:vAlign w:val="center"/>
          </w:tcPr>
          <w:p w14:paraId="3B993D1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系统平台维护</w:t>
            </w:r>
          </w:p>
        </w:tc>
        <w:tc>
          <w:tcPr>
            <w:tcW w:w="6645" w:type="dxa"/>
            <w:shd w:val="clear" w:color="auto" w:fill="auto"/>
            <w:noWrap w:val="0"/>
            <w:vAlign w:val="center"/>
          </w:tcPr>
          <w:p w14:paraId="176A50C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协助街道文化站智慧云、浙里文化圈小程序、文化文物平台、助联体邻里救、乡贤通等五个系统平台的日常维护和跟进。</w:t>
            </w:r>
          </w:p>
        </w:tc>
        <w:tc>
          <w:tcPr>
            <w:tcW w:w="725" w:type="dxa"/>
            <w:shd w:val="clear" w:color="auto" w:fill="auto"/>
            <w:noWrap w:val="0"/>
            <w:vAlign w:val="center"/>
          </w:tcPr>
          <w:p w14:paraId="5807699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3</w:t>
            </w:r>
          </w:p>
        </w:tc>
      </w:tr>
      <w:tr w14:paraId="62B6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21" w:type="dxa"/>
            <w:vMerge w:val="continue"/>
            <w:shd w:val="clear" w:color="auto" w:fill="auto"/>
            <w:noWrap w:val="0"/>
            <w:vAlign w:val="top"/>
          </w:tcPr>
          <w:p w14:paraId="2C67D7A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1946B6C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场馆运营管理</w:t>
            </w:r>
          </w:p>
        </w:tc>
        <w:tc>
          <w:tcPr>
            <w:tcW w:w="6645" w:type="dxa"/>
            <w:shd w:val="clear" w:color="auto" w:fill="auto"/>
            <w:noWrap w:val="0"/>
            <w:vAlign w:val="center"/>
          </w:tcPr>
          <w:p w14:paraId="6872A07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做好日常来访接待、登记、服务等常态化工作；管理维护好场地设施，做好场地租用登记管理工作，做好场地卫生工作，确保各场地区域干净、整洁、顺畅。</w:t>
            </w:r>
          </w:p>
        </w:tc>
        <w:tc>
          <w:tcPr>
            <w:tcW w:w="725" w:type="dxa"/>
            <w:shd w:val="clear" w:color="auto" w:fill="auto"/>
            <w:noWrap w:val="0"/>
            <w:vAlign w:val="center"/>
          </w:tcPr>
          <w:p w14:paraId="2DC04AB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3</w:t>
            </w:r>
          </w:p>
        </w:tc>
      </w:tr>
      <w:tr w14:paraId="442E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21" w:type="dxa"/>
            <w:vMerge w:val="continue"/>
            <w:shd w:val="clear" w:color="auto" w:fill="auto"/>
            <w:noWrap w:val="0"/>
            <w:vAlign w:val="top"/>
          </w:tcPr>
          <w:p w14:paraId="0474E9B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7EF4176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制度规范建设</w:t>
            </w:r>
          </w:p>
        </w:tc>
        <w:tc>
          <w:tcPr>
            <w:tcW w:w="6645" w:type="dxa"/>
            <w:shd w:val="clear" w:color="auto" w:fill="auto"/>
            <w:noWrap w:val="0"/>
            <w:vAlign w:val="center"/>
          </w:tcPr>
          <w:p w14:paraId="21F6669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有合理的组织架构和职责分工，有规范的运行流程和服务标准，有岗位管理、财务管理、培训管理、志愿者管理、档案管理等各项制度，形成一整套百官街道现代社区服务操作化规范手册。</w:t>
            </w:r>
          </w:p>
        </w:tc>
        <w:tc>
          <w:tcPr>
            <w:tcW w:w="725" w:type="dxa"/>
            <w:shd w:val="clear" w:color="auto" w:fill="auto"/>
            <w:noWrap w:val="0"/>
            <w:vAlign w:val="center"/>
          </w:tcPr>
          <w:p w14:paraId="5FD2909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3</w:t>
            </w:r>
          </w:p>
        </w:tc>
      </w:tr>
      <w:tr w14:paraId="2CB3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221" w:type="dxa"/>
            <w:shd w:val="clear" w:color="auto" w:fill="auto"/>
            <w:noWrap w:val="0"/>
            <w:vAlign w:val="center"/>
          </w:tcPr>
          <w:p w14:paraId="4B61ECD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核心服务</w:t>
            </w:r>
          </w:p>
        </w:tc>
        <w:tc>
          <w:tcPr>
            <w:tcW w:w="1219" w:type="dxa"/>
            <w:shd w:val="clear" w:color="auto" w:fill="auto"/>
            <w:noWrap w:val="0"/>
            <w:vAlign w:val="center"/>
          </w:tcPr>
          <w:p w14:paraId="0FDD1C4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同心向党社工服务项目</w:t>
            </w:r>
          </w:p>
        </w:tc>
        <w:tc>
          <w:tcPr>
            <w:tcW w:w="6645" w:type="dxa"/>
            <w:shd w:val="clear" w:color="auto" w:fill="auto"/>
            <w:noWrap w:val="0"/>
            <w:vAlign w:val="center"/>
          </w:tcPr>
          <w:p w14:paraId="4A02443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以党建引领为核心，以社区为重心，以党建工作引领社会工作，发挥党员先锋模范作用及深入群众的优势，陆续开展邻里互助、公益宣传等多方面的公益服务，全面打造雷锋岗-党建服务品牌。每季度开展1场公益活动，一年不少于4次。</w:t>
            </w:r>
          </w:p>
        </w:tc>
        <w:tc>
          <w:tcPr>
            <w:tcW w:w="725" w:type="dxa"/>
            <w:shd w:val="clear" w:color="auto" w:fill="auto"/>
            <w:noWrap w:val="0"/>
            <w:vAlign w:val="center"/>
          </w:tcPr>
          <w:p w14:paraId="2D55E5E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4613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21" w:type="dxa"/>
            <w:vMerge w:val="restart"/>
            <w:shd w:val="clear" w:color="auto" w:fill="auto"/>
            <w:noWrap w:val="0"/>
            <w:vAlign w:val="center"/>
          </w:tcPr>
          <w:p w14:paraId="4921021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助联体服务</w:t>
            </w:r>
          </w:p>
        </w:tc>
        <w:tc>
          <w:tcPr>
            <w:tcW w:w="1219" w:type="dxa"/>
            <w:shd w:val="clear" w:color="auto" w:fill="auto"/>
            <w:noWrap w:val="0"/>
            <w:vAlign w:val="center"/>
          </w:tcPr>
          <w:p w14:paraId="57B8701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协助工作</w:t>
            </w:r>
          </w:p>
        </w:tc>
        <w:tc>
          <w:tcPr>
            <w:tcW w:w="6645" w:type="dxa"/>
            <w:shd w:val="clear" w:color="auto" w:fill="auto"/>
            <w:noWrap w:val="0"/>
            <w:vAlign w:val="center"/>
          </w:tcPr>
          <w:p w14:paraId="1CED37B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协助社事办加强探访关爱队伍管理，做好探访关爱行动反馈、监督等工作，做好业务培训工作，其中每月汇总1次各社区探访关爱工作开展情况，适时组织开展个性化活动，每季度组织1次探访关爱队伍业务培训。</w:t>
            </w:r>
          </w:p>
        </w:tc>
        <w:tc>
          <w:tcPr>
            <w:tcW w:w="725" w:type="dxa"/>
            <w:shd w:val="clear" w:color="auto" w:fill="auto"/>
            <w:noWrap w:val="0"/>
            <w:vAlign w:val="center"/>
          </w:tcPr>
          <w:p w14:paraId="37D4310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5</w:t>
            </w:r>
          </w:p>
        </w:tc>
      </w:tr>
      <w:tr w14:paraId="33A5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1" w:type="dxa"/>
            <w:vMerge w:val="continue"/>
            <w:shd w:val="clear" w:color="auto" w:fill="auto"/>
            <w:noWrap w:val="0"/>
            <w:vAlign w:val="top"/>
          </w:tcPr>
          <w:p w14:paraId="39005E3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6FEB33A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关爱服务</w:t>
            </w:r>
          </w:p>
        </w:tc>
        <w:tc>
          <w:tcPr>
            <w:tcW w:w="6645" w:type="dxa"/>
            <w:shd w:val="clear" w:color="auto" w:fill="auto"/>
            <w:noWrap w:val="0"/>
            <w:vAlign w:val="center"/>
          </w:tcPr>
          <w:p w14:paraId="1733E6E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每年探访不少于300人次，每季度探访有需求的困难家庭，开展社会工作和心理健康服务，年度内开展2个个案，每年为有需求的困难群众开展关爱服务不少于20次。</w:t>
            </w:r>
          </w:p>
        </w:tc>
        <w:tc>
          <w:tcPr>
            <w:tcW w:w="725" w:type="dxa"/>
            <w:shd w:val="clear" w:color="auto" w:fill="auto"/>
            <w:noWrap w:val="0"/>
            <w:vAlign w:val="center"/>
          </w:tcPr>
          <w:p w14:paraId="27088D0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5</w:t>
            </w:r>
          </w:p>
        </w:tc>
      </w:tr>
      <w:tr w14:paraId="2F2A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 w:hRule="atLeast"/>
          <w:jc w:val="center"/>
        </w:trPr>
        <w:tc>
          <w:tcPr>
            <w:tcW w:w="1221" w:type="dxa"/>
            <w:shd w:val="clear" w:color="auto" w:fill="auto"/>
            <w:noWrap w:val="0"/>
            <w:vAlign w:val="center"/>
          </w:tcPr>
          <w:p w14:paraId="5D2C782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未成年人保护站服务</w:t>
            </w:r>
          </w:p>
        </w:tc>
        <w:tc>
          <w:tcPr>
            <w:tcW w:w="1219" w:type="dxa"/>
            <w:shd w:val="clear" w:color="auto" w:fill="auto"/>
            <w:noWrap w:val="0"/>
            <w:vAlign w:val="center"/>
          </w:tcPr>
          <w:p w14:paraId="6E8A614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leftChars="0" w:right="0" w:rightChars="0"/>
              <w:jc w:val="center"/>
              <w:textAlignment w:val="auto"/>
              <w:rPr>
                <w:rFonts w:hint="eastAsia" w:ascii="Times New Roman" w:hAnsi="Times New Roman" w:eastAsia="宋体" w:cs="Times New Roman"/>
                <w:color w:val="auto"/>
                <w:kern w:val="2"/>
                <w:sz w:val="20"/>
                <w:szCs w:val="20"/>
                <w:highlight w:val="none"/>
                <w:lang w:val="en-US" w:eastAsia="zh-CN" w:bidi="ar-SA"/>
              </w:rPr>
            </w:pPr>
            <w:r>
              <w:rPr>
                <w:rFonts w:hint="eastAsia"/>
                <w:color w:val="auto"/>
                <w:sz w:val="20"/>
                <w:szCs w:val="20"/>
                <w:highlight w:val="none"/>
                <w:lang w:val="en-US" w:eastAsia="zh-CN"/>
              </w:rPr>
              <w:t>服务开展</w:t>
            </w:r>
          </w:p>
        </w:tc>
        <w:tc>
          <w:tcPr>
            <w:tcW w:w="6645" w:type="dxa"/>
            <w:shd w:val="clear" w:color="auto" w:fill="auto"/>
            <w:noWrap w:val="0"/>
            <w:vAlign w:val="center"/>
          </w:tcPr>
          <w:p w14:paraId="103EB5E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leftChars="0" w:right="0" w:rightChars="0"/>
              <w:jc w:val="left"/>
              <w:textAlignment w:val="auto"/>
              <w:rPr>
                <w:rFonts w:hint="eastAsia" w:ascii="Times New Roman" w:hAnsi="Times New Roman" w:eastAsia="宋体" w:cs="Times New Roman"/>
                <w:color w:val="auto"/>
                <w:kern w:val="2"/>
                <w:sz w:val="20"/>
                <w:szCs w:val="20"/>
                <w:highlight w:val="none"/>
                <w:lang w:val="en-US" w:eastAsia="zh-CN" w:bidi="ar-SA"/>
              </w:rPr>
            </w:pPr>
            <w:r>
              <w:rPr>
                <w:rFonts w:hint="eastAsia"/>
                <w:color w:val="auto"/>
                <w:sz w:val="20"/>
                <w:szCs w:val="20"/>
                <w:highlight w:val="none"/>
                <w:lang w:val="en-US" w:eastAsia="zh-CN"/>
              </w:rPr>
              <w:t>困境儿童走访，提供心理辅导、开展危机干预、宣传教育等服务，年度开展2个个案，年度2次活动进校园，年度1次暑期托管服务。</w:t>
            </w:r>
          </w:p>
        </w:tc>
        <w:tc>
          <w:tcPr>
            <w:tcW w:w="725" w:type="dxa"/>
            <w:shd w:val="clear" w:color="auto" w:fill="auto"/>
            <w:noWrap w:val="0"/>
            <w:vAlign w:val="center"/>
          </w:tcPr>
          <w:p w14:paraId="688506C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4</w:t>
            </w:r>
          </w:p>
        </w:tc>
      </w:tr>
      <w:tr w14:paraId="4021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221" w:type="dxa"/>
            <w:vMerge w:val="restart"/>
            <w:shd w:val="clear" w:color="auto" w:fill="auto"/>
            <w:noWrap w:val="0"/>
            <w:vAlign w:val="center"/>
          </w:tcPr>
          <w:p w14:paraId="38BFF1F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乐龄中心</w:t>
            </w:r>
          </w:p>
          <w:p w14:paraId="68AD64A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服务</w:t>
            </w:r>
          </w:p>
        </w:tc>
        <w:tc>
          <w:tcPr>
            <w:tcW w:w="1219" w:type="dxa"/>
            <w:shd w:val="clear" w:color="auto" w:fill="auto"/>
            <w:noWrap w:val="0"/>
            <w:vAlign w:val="center"/>
          </w:tcPr>
          <w:p w14:paraId="54AC19D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服务开展</w:t>
            </w:r>
          </w:p>
        </w:tc>
        <w:tc>
          <w:tcPr>
            <w:tcW w:w="6645" w:type="dxa"/>
            <w:shd w:val="clear" w:color="auto" w:fill="auto"/>
            <w:noWrap w:val="0"/>
            <w:vAlign w:val="center"/>
          </w:tcPr>
          <w:p w14:paraId="0FA581E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根据乐龄中心服务项目开展生活服务、康复护理服务、日托服务、家庭支持服务、社会工作、心理疏导服务等。</w:t>
            </w:r>
          </w:p>
        </w:tc>
        <w:tc>
          <w:tcPr>
            <w:tcW w:w="725" w:type="dxa"/>
            <w:shd w:val="clear" w:color="auto" w:fill="auto"/>
            <w:noWrap w:val="0"/>
            <w:vAlign w:val="center"/>
          </w:tcPr>
          <w:p w14:paraId="3BF5E36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19FE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3" w:hRule="atLeast"/>
          <w:jc w:val="center"/>
        </w:trPr>
        <w:tc>
          <w:tcPr>
            <w:tcW w:w="1221" w:type="dxa"/>
            <w:vMerge w:val="continue"/>
            <w:shd w:val="clear" w:color="auto" w:fill="auto"/>
            <w:noWrap w:val="0"/>
            <w:vAlign w:val="top"/>
          </w:tcPr>
          <w:p w14:paraId="0FA4A2D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1228A27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助餐服务</w:t>
            </w:r>
          </w:p>
        </w:tc>
        <w:tc>
          <w:tcPr>
            <w:tcW w:w="6645" w:type="dxa"/>
            <w:shd w:val="clear" w:color="auto" w:fill="auto"/>
            <w:noWrap w:val="0"/>
            <w:vAlign w:val="center"/>
          </w:tcPr>
          <w:p w14:paraId="49DB418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为老年人提供助餐服务，根据实际需求和情况视情况开展相应送餐服务。</w:t>
            </w:r>
          </w:p>
        </w:tc>
        <w:tc>
          <w:tcPr>
            <w:tcW w:w="725" w:type="dxa"/>
            <w:shd w:val="clear" w:color="auto" w:fill="auto"/>
            <w:noWrap w:val="0"/>
            <w:vAlign w:val="center"/>
          </w:tcPr>
          <w:p w14:paraId="024999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3670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1221" w:type="dxa"/>
            <w:vMerge w:val="continue"/>
            <w:shd w:val="clear" w:color="auto" w:fill="auto"/>
            <w:noWrap w:val="0"/>
            <w:vAlign w:val="top"/>
          </w:tcPr>
          <w:p w14:paraId="6C8C84A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76CEDE0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理发服务</w:t>
            </w:r>
          </w:p>
        </w:tc>
        <w:tc>
          <w:tcPr>
            <w:tcW w:w="6645" w:type="dxa"/>
            <w:shd w:val="clear" w:color="auto" w:fill="auto"/>
            <w:noWrap w:val="0"/>
            <w:vAlign w:val="center"/>
          </w:tcPr>
          <w:p w14:paraId="5984FE6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每月提供不少于2次服务。</w:t>
            </w:r>
          </w:p>
        </w:tc>
        <w:tc>
          <w:tcPr>
            <w:tcW w:w="725" w:type="dxa"/>
            <w:shd w:val="clear" w:color="auto" w:fill="auto"/>
            <w:noWrap w:val="0"/>
            <w:vAlign w:val="center"/>
          </w:tcPr>
          <w:p w14:paraId="3E44E1D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7C82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jc w:val="center"/>
        </w:trPr>
        <w:tc>
          <w:tcPr>
            <w:tcW w:w="1221" w:type="dxa"/>
            <w:vMerge w:val="continue"/>
            <w:shd w:val="clear" w:color="auto" w:fill="auto"/>
            <w:noWrap w:val="0"/>
            <w:vAlign w:val="top"/>
          </w:tcPr>
          <w:p w14:paraId="019E25C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0F00862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健康管理</w:t>
            </w:r>
          </w:p>
        </w:tc>
        <w:tc>
          <w:tcPr>
            <w:tcW w:w="6645" w:type="dxa"/>
            <w:shd w:val="clear" w:color="auto" w:fill="auto"/>
            <w:noWrap w:val="0"/>
            <w:vAlign w:val="center"/>
          </w:tcPr>
          <w:p w14:paraId="1800EE1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为老年人提供生活方式和健康状况评估、中医体质辨识、体格检查、辅助检查和健康指导等服务。按</w:t>
            </w:r>
            <w:r>
              <w:rPr>
                <w:rFonts w:hint="eastAsia"/>
                <w:color w:val="auto"/>
                <w:sz w:val="20"/>
                <w:szCs w:val="20"/>
                <w:highlight w:val="none"/>
              </w:rPr>
              <w:t>80周岁以上老年人每年、80周岁以下老年人每两年1次</w:t>
            </w:r>
            <w:r>
              <w:rPr>
                <w:rFonts w:hint="eastAsia"/>
                <w:color w:val="auto"/>
                <w:sz w:val="20"/>
                <w:szCs w:val="20"/>
                <w:highlight w:val="none"/>
                <w:lang w:eastAsia="zh-CN"/>
              </w:rPr>
              <w:t>的标准，协助</w:t>
            </w:r>
            <w:r>
              <w:rPr>
                <w:rFonts w:hint="eastAsia"/>
                <w:color w:val="auto"/>
                <w:sz w:val="20"/>
                <w:szCs w:val="20"/>
                <w:highlight w:val="none"/>
                <w:lang w:val="en-US" w:eastAsia="zh-CN"/>
              </w:rPr>
              <w:t>做好老年人自理能力筛查。</w:t>
            </w:r>
          </w:p>
        </w:tc>
        <w:tc>
          <w:tcPr>
            <w:tcW w:w="725" w:type="dxa"/>
            <w:shd w:val="clear" w:color="auto" w:fill="auto"/>
            <w:noWrap w:val="0"/>
            <w:vAlign w:val="center"/>
          </w:tcPr>
          <w:p w14:paraId="1FA4876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21C0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21" w:type="dxa"/>
            <w:vMerge w:val="continue"/>
            <w:shd w:val="clear" w:color="auto" w:fill="auto"/>
            <w:noWrap w:val="0"/>
            <w:vAlign w:val="top"/>
          </w:tcPr>
          <w:p w14:paraId="473AB4B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508E332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辅具适配、指导与租赁</w:t>
            </w:r>
          </w:p>
        </w:tc>
        <w:tc>
          <w:tcPr>
            <w:tcW w:w="6645" w:type="dxa"/>
            <w:shd w:val="clear" w:color="auto" w:fill="auto"/>
            <w:noWrap w:val="0"/>
            <w:vAlign w:val="center"/>
          </w:tcPr>
          <w:p w14:paraId="6AC03F0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提供助行类、助洁类、护理类、护具类、视听类、智能类、医疗类、益智类等康复辅具展示、体验、宣教、适配、租赁、出售，可根据老年人需求灵活采用日租、月租、年租等方式。</w:t>
            </w:r>
          </w:p>
        </w:tc>
        <w:tc>
          <w:tcPr>
            <w:tcW w:w="725" w:type="dxa"/>
            <w:shd w:val="clear" w:color="auto" w:fill="auto"/>
            <w:noWrap w:val="0"/>
            <w:vAlign w:val="center"/>
          </w:tcPr>
          <w:p w14:paraId="11BAE35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32B4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21" w:type="dxa"/>
            <w:vMerge w:val="continue"/>
            <w:shd w:val="clear" w:color="auto" w:fill="auto"/>
            <w:noWrap w:val="0"/>
            <w:vAlign w:val="top"/>
          </w:tcPr>
          <w:p w14:paraId="2EC8899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069A7C5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日间照料服务</w:t>
            </w:r>
          </w:p>
        </w:tc>
        <w:tc>
          <w:tcPr>
            <w:tcW w:w="6645" w:type="dxa"/>
            <w:shd w:val="clear" w:color="auto" w:fill="auto"/>
            <w:noWrap w:val="0"/>
            <w:vAlign w:val="center"/>
          </w:tcPr>
          <w:p w14:paraId="0AD77C2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为社区内有需求的老年人提供日间托养，有条件可开展接送等附加服务。</w:t>
            </w:r>
          </w:p>
        </w:tc>
        <w:tc>
          <w:tcPr>
            <w:tcW w:w="725" w:type="dxa"/>
            <w:shd w:val="clear" w:color="auto" w:fill="auto"/>
            <w:noWrap w:val="0"/>
            <w:vAlign w:val="center"/>
          </w:tcPr>
          <w:p w14:paraId="32E70A4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4184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21" w:type="dxa"/>
            <w:vMerge w:val="continue"/>
            <w:shd w:val="clear" w:color="auto" w:fill="auto"/>
            <w:noWrap w:val="0"/>
            <w:vAlign w:val="top"/>
          </w:tcPr>
          <w:p w14:paraId="1B57542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10A6F95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家庭照护者培训</w:t>
            </w:r>
          </w:p>
        </w:tc>
        <w:tc>
          <w:tcPr>
            <w:tcW w:w="6645" w:type="dxa"/>
            <w:shd w:val="clear" w:color="auto" w:fill="auto"/>
            <w:noWrap w:val="0"/>
            <w:vAlign w:val="center"/>
          </w:tcPr>
          <w:p w14:paraId="6064A12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每年为高龄、失能老年人家庭提供不少于1次护理、康复、照顾服务技术等培训，每次培训90分钟以上。</w:t>
            </w:r>
          </w:p>
        </w:tc>
        <w:tc>
          <w:tcPr>
            <w:tcW w:w="725" w:type="dxa"/>
            <w:shd w:val="clear" w:color="auto" w:fill="auto"/>
            <w:noWrap w:val="0"/>
            <w:vAlign w:val="center"/>
          </w:tcPr>
          <w:p w14:paraId="29ECBD9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4F34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21" w:type="dxa"/>
            <w:vMerge w:val="continue"/>
            <w:shd w:val="clear" w:color="auto" w:fill="auto"/>
            <w:noWrap w:val="0"/>
            <w:vAlign w:val="top"/>
          </w:tcPr>
          <w:p w14:paraId="78AAAB3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6BB87C3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养老顾问</w:t>
            </w:r>
          </w:p>
        </w:tc>
        <w:tc>
          <w:tcPr>
            <w:tcW w:w="6645" w:type="dxa"/>
            <w:shd w:val="clear" w:color="auto" w:fill="auto"/>
            <w:noWrap w:val="0"/>
            <w:vAlign w:val="center"/>
          </w:tcPr>
          <w:p w14:paraId="736A8C1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全面链接政府部门、医疗机构、养老机构、社会组织、村（社区）等各方资源，为居家老年人提供养老服务资源介绍、老年人福利政策指导等现场政策咨询和资源供需对接服务。由1名专职社会工作者提供服务。</w:t>
            </w:r>
          </w:p>
        </w:tc>
        <w:tc>
          <w:tcPr>
            <w:tcW w:w="725" w:type="dxa"/>
            <w:shd w:val="clear" w:color="auto" w:fill="auto"/>
            <w:noWrap w:val="0"/>
            <w:vAlign w:val="center"/>
          </w:tcPr>
          <w:p w14:paraId="7CCE9D2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715F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jc w:val="center"/>
        </w:trPr>
        <w:tc>
          <w:tcPr>
            <w:tcW w:w="1221" w:type="dxa"/>
            <w:vMerge w:val="continue"/>
            <w:shd w:val="clear" w:color="auto" w:fill="auto"/>
            <w:noWrap w:val="0"/>
            <w:vAlign w:val="top"/>
          </w:tcPr>
          <w:p w14:paraId="62833E6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0D9EF91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综合服务</w:t>
            </w:r>
          </w:p>
        </w:tc>
        <w:tc>
          <w:tcPr>
            <w:tcW w:w="6645" w:type="dxa"/>
            <w:shd w:val="clear" w:color="auto" w:fill="auto"/>
            <w:noWrap w:val="0"/>
            <w:vAlign w:val="center"/>
          </w:tcPr>
          <w:p w14:paraId="50A7192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1.文娱服务。根据老年人喜好及生理、心理特点，开展书画、棋牌、摄影等各类休闲活动。每季度至少开展2次50人以上的老年人集体活动。</w:t>
            </w:r>
          </w:p>
          <w:p w14:paraId="7538FF9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2.上门服务。为有特殊服务需求的老年人提供生活照料、康复护理和社会工作、心理疏导等居家上门服务，并在明显位置公示上门服务种类和收费标准。</w:t>
            </w:r>
          </w:p>
          <w:p w14:paraId="7C2D8D5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rPr>
            </w:pPr>
            <w:r>
              <w:rPr>
                <w:rFonts w:hint="eastAsia"/>
                <w:color w:val="auto"/>
                <w:sz w:val="20"/>
                <w:szCs w:val="20"/>
                <w:highlight w:val="none"/>
                <w:lang w:val="en-US" w:eastAsia="zh-CN"/>
              </w:rPr>
              <w:t>3.</w:t>
            </w:r>
            <w:r>
              <w:rPr>
                <w:rFonts w:hint="eastAsia"/>
                <w:color w:val="auto"/>
                <w:sz w:val="20"/>
                <w:szCs w:val="20"/>
                <w:highlight w:val="none"/>
              </w:rPr>
              <w:t>志愿服务。</w:t>
            </w:r>
            <w:r>
              <w:rPr>
                <w:rFonts w:hint="eastAsia"/>
                <w:color w:val="auto"/>
                <w:sz w:val="20"/>
                <w:szCs w:val="20"/>
                <w:highlight w:val="none"/>
                <w:lang w:eastAsia="zh-CN"/>
              </w:rPr>
              <w:t>组建</w:t>
            </w:r>
            <w:r>
              <w:rPr>
                <w:rFonts w:hint="eastAsia"/>
                <w:color w:val="auto"/>
                <w:sz w:val="20"/>
                <w:szCs w:val="20"/>
                <w:highlight w:val="none"/>
                <w:lang w:val="en-US" w:eastAsia="zh-CN"/>
              </w:rPr>
              <w:t>1支志愿服务队伍，</w:t>
            </w:r>
            <w:r>
              <w:rPr>
                <w:rFonts w:hint="eastAsia"/>
                <w:color w:val="auto"/>
                <w:sz w:val="20"/>
                <w:szCs w:val="20"/>
                <w:highlight w:val="none"/>
              </w:rPr>
              <w:t>通过“时间银行”等方式，动员社区开展邻里关怀、志愿服务，组织低龄健康老年志愿者为高龄、独居等老年人提供家庭援助服务。</w:t>
            </w:r>
          </w:p>
          <w:p w14:paraId="5D3FFD0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4.养老服务“爱心卡”。为60周岁以上失能失智及80周岁以上老年人提供助餐、助浴、助洁、助行、助医、助急等养老服务。</w:t>
            </w:r>
          </w:p>
        </w:tc>
        <w:tc>
          <w:tcPr>
            <w:tcW w:w="725" w:type="dxa"/>
            <w:shd w:val="clear" w:color="auto" w:fill="auto"/>
            <w:noWrap w:val="0"/>
            <w:vAlign w:val="center"/>
          </w:tcPr>
          <w:p w14:paraId="57CC184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4</w:t>
            </w:r>
          </w:p>
        </w:tc>
      </w:tr>
      <w:tr w14:paraId="135C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8" w:hRule="atLeast"/>
          <w:jc w:val="center"/>
        </w:trPr>
        <w:tc>
          <w:tcPr>
            <w:tcW w:w="1221" w:type="dxa"/>
            <w:vMerge w:val="restart"/>
            <w:shd w:val="clear" w:color="auto" w:fill="auto"/>
            <w:noWrap w:val="0"/>
            <w:vAlign w:val="center"/>
          </w:tcPr>
          <w:p w14:paraId="11CC79F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社工站服务</w:t>
            </w:r>
          </w:p>
        </w:tc>
        <w:tc>
          <w:tcPr>
            <w:tcW w:w="1219" w:type="dxa"/>
            <w:shd w:val="clear" w:color="auto" w:fill="auto"/>
            <w:noWrap w:val="0"/>
            <w:vAlign w:val="center"/>
          </w:tcPr>
          <w:p w14:paraId="688057D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服务开展</w:t>
            </w:r>
          </w:p>
        </w:tc>
        <w:tc>
          <w:tcPr>
            <w:tcW w:w="6645" w:type="dxa"/>
            <w:shd w:val="clear" w:color="auto" w:fill="auto"/>
            <w:noWrap w:val="0"/>
            <w:vAlign w:val="top"/>
          </w:tcPr>
          <w:p w14:paraId="0AA4E7D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按照“一站一特色”的原则,策划实施符合实际、体现特色、展示亮点的志愿社会工作服务项目,具体可围绕“1+2+N”的模式开展。其中“1”是指以党建引领为核心，全力打造“孝善虞礼”志愿社会工作服务品牌；“2”是指常态化开展志愿服务项目、社会工作项目；“N”是指结合乡镇（街道）实际，开展信访、医疗、教育、一老一小、扶贫帮困等各领域志愿社会工作个性化服务项目。完成志愿服务项目品牌和社会工作项目品牌各一个。开展专业个案工作，个案不少于15个，其中专业个案不少于7个。运用小组专业方法，开展小组活动不少于4个。运用社区工作方法，开展社区活动不少于5场。</w:t>
            </w:r>
          </w:p>
        </w:tc>
        <w:tc>
          <w:tcPr>
            <w:tcW w:w="725" w:type="dxa"/>
            <w:shd w:val="clear" w:color="auto" w:fill="auto"/>
            <w:noWrap w:val="0"/>
            <w:vAlign w:val="center"/>
          </w:tcPr>
          <w:p w14:paraId="2442472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15</w:t>
            </w:r>
          </w:p>
        </w:tc>
      </w:tr>
      <w:tr w14:paraId="7996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6" w:hRule="atLeast"/>
          <w:jc w:val="center"/>
        </w:trPr>
        <w:tc>
          <w:tcPr>
            <w:tcW w:w="1221" w:type="dxa"/>
            <w:vMerge w:val="continue"/>
            <w:shd w:val="clear" w:color="auto" w:fill="auto"/>
            <w:noWrap w:val="0"/>
            <w:vAlign w:val="top"/>
          </w:tcPr>
          <w:p w14:paraId="5C15A1C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2B6C397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组织培育</w:t>
            </w:r>
          </w:p>
        </w:tc>
        <w:tc>
          <w:tcPr>
            <w:tcW w:w="6645" w:type="dxa"/>
            <w:shd w:val="clear" w:color="auto" w:fill="auto"/>
            <w:noWrap w:val="0"/>
            <w:vAlign w:val="center"/>
          </w:tcPr>
          <w:p w14:paraId="3EA198C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培育1家社会组织、建立1支不少于30人的志愿者队伍，为有需求的志愿者提供指导服务，年度内4次志愿者能力提升培训。</w:t>
            </w:r>
          </w:p>
        </w:tc>
        <w:tc>
          <w:tcPr>
            <w:tcW w:w="725" w:type="dxa"/>
            <w:shd w:val="clear" w:color="auto" w:fill="auto"/>
            <w:noWrap w:val="0"/>
            <w:vAlign w:val="center"/>
          </w:tcPr>
          <w:p w14:paraId="4E66E07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5</w:t>
            </w:r>
          </w:p>
        </w:tc>
      </w:tr>
      <w:tr w14:paraId="6EDF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221" w:type="dxa"/>
            <w:vMerge w:val="restart"/>
            <w:shd w:val="clear" w:color="auto" w:fill="auto"/>
            <w:noWrap w:val="0"/>
            <w:vAlign w:val="center"/>
          </w:tcPr>
          <w:p w14:paraId="44D848A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文化站及老年大学服务</w:t>
            </w:r>
          </w:p>
        </w:tc>
        <w:tc>
          <w:tcPr>
            <w:tcW w:w="1219" w:type="dxa"/>
            <w:shd w:val="clear" w:color="auto" w:fill="auto"/>
            <w:noWrap w:val="0"/>
            <w:vAlign w:val="center"/>
          </w:tcPr>
          <w:p w14:paraId="41E16FF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老年大学课程服务</w:t>
            </w:r>
          </w:p>
        </w:tc>
        <w:tc>
          <w:tcPr>
            <w:tcW w:w="6645" w:type="dxa"/>
            <w:shd w:val="clear" w:color="auto" w:fill="auto"/>
            <w:noWrap w:val="0"/>
            <w:vAlign w:val="center"/>
          </w:tcPr>
          <w:p w14:paraId="4CC4C743">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00" w:lineRule="atLeast"/>
              <w:ind w:left="0" w:leftChars="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协助开展街道老年大学招生、完成学员注册报名，负责日常教学管理及相关资料收集、报送等，浙学通、云上老年大学系统信息填报。协助老年大学创建工作有关资料的收集整理等。协助做好场地管理（老年大学12门课程教室的管理，每周二、五下午书法社团课，不定期有老干部组织娱乐活动）</w:t>
            </w:r>
          </w:p>
        </w:tc>
        <w:tc>
          <w:tcPr>
            <w:tcW w:w="725" w:type="dxa"/>
            <w:shd w:val="clear" w:color="auto" w:fill="auto"/>
            <w:noWrap w:val="0"/>
            <w:vAlign w:val="center"/>
          </w:tcPr>
          <w:p w14:paraId="6293867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0388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21" w:type="dxa"/>
            <w:vMerge w:val="continue"/>
            <w:shd w:val="clear" w:color="auto" w:fill="auto"/>
            <w:noWrap w:val="0"/>
            <w:vAlign w:val="top"/>
          </w:tcPr>
          <w:p w14:paraId="5C33DF2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6E8FF7E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文化站活动服务</w:t>
            </w:r>
          </w:p>
        </w:tc>
        <w:tc>
          <w:tcPr>
            <w:tcW w:w="6645" w:type="dxa"/>
            <w:shd w:val="clear" w:color="auto" w:fill="auto"/>
            <w:noWrap w:val="0"/>
            <w:vAlign w:val="center"/>
          </w:tcPr>
          <w:p w14:paraId="3D1D914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default"/>
                <w:color w:val="auto"/>
                <w:sz w:val="20"/>
                <w:szCs w:val="20"/>
                <w:highlight w:val="none"/>
                <w:lang w:val="en-US" w:eastAsia="zh-CN"/>
              </w:rPr>
            </w:pPr>
            <w:r>
              <w:rPr>
                <w:rFonts w:hint="default"/>
                <w:color w:val="auto"/>
                <w:sz w:val="20"/>
                <w:szCs w:val="20"/>
                <w:highlight w:val="none"/>
                <w:lang w:val="en-US" w:eastAsia="zh-CN"/>
              </w:rPr>
              <w:t>协助文化站和图书分馆日常运营管理、做好场地开放和活动开展记录，志愿汇成员的加入与审核，及15分钟文化生活圈每次活动的发布与签到。协助各类活动的申报、通知及后续的开展工作，全年举办大型文化活动5场以上，举办阅读推广文体活动4次以上，举办公益类培训讲座6次以上，各类活动38场以上，形成5支及以上文化志愿团队。协助整理文化站相关资料。</w:t>
            </w:r>
          </w:p>
        </w:tc>
        <w:tc>
          <w:tcPr>
            <w:tcW w:w="725" w:type="dxa"/>
            <w:shd w:val="clear" w:color="auto" w:fill="auto"/>
            <w:noWrap w:val="0"/>
            <w:vAlign w:val="center"/>
          </w:tcPr>
          <w:p w14:paraId="3C21F2B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20AB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221" w:type="dxa"/>
            <w:vMerge w:val="continue"/>
            <w:shd w:val="clear" w:color="auto" w:fill="auto"/>
            <w:noWrap w:val="0"/>
            <w:vAlign w:val="top"/>
          </w:tcPr>
          <w:p w14:paraId="720A37F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2CEB48D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新时代文明实践所</w:t>
            </w:r>
          </w:p>
        </w:tc>
        <w:tc>
          <w:tcPr>
            <w:tcW w:w="6645" w:type="dxa"/>
            <w:shd w:val="clear" w:color="auto" w:fill="auto"/>
            <w:noWrap w:val="0"/>
            <w:vAlign w:val="center"/>
          </w:tcPr>
          <w:p w14:paraId="4895F12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协助做好各级文明城市检查，实践所志愿服务站有工作人员1名，做好实践所公益广告滚动播放、活动照片、每月计划的定期更新，协助开展“扫黄打非”送祝福活动、全民阅读活动、学雷锋活动、文明实践志愿服务活动等，按照新时代文明实践测评要求，每月25日前上报下月文明实践活动计划及当月活动记录表，协助整理实践所相关台账，协助维护志愿浙江系统平台。</w:t>
            </w:r>
          </w:p>
        </w:tc>
        <w:tc>
          <w:tcPr>
            <w:tcW w:w="725" w:type="dxa"/>
            <w:shd w:val="clear" w:color="auto" w:fill="auto"/>
            <w:noWrap w:val="0"/>
            <w:vAlign w:val="center"/>
          </w:tcPr>
          <w:p w14:paraId="5AD525D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3</w:t>
            </w:r>
          </w:p>
        </w:tc>
      </w:tr>
      <w:tr w14:paraId="1AFD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8" w:hRule="atLeast"/>
          <w:jc w:val="center"/>
        </w:trPr>
        <w:tc>
          <w:tcPr>
            <w:tcW w:w="1221" w:type="dxa"/>
            <w:vMerge w:val="restart"/>
            <w:shd w:val="clear" w:color="auto" w:fill="auto"/>
            <w:noWrap w:val="0"/>
            <w:vAlign w:val="top"/>
          </w:tcPr>
          <w:p w14:paraId="437D427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p w14:paraId="571EAD8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p w14:paraId="29BFB23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p w14:paraId="1B546F8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推广宣传</w:t>
            </w:r>
          </w:p>
        </w:tc>
        <w:tc>
          <w:tcPr>
            <w:tcW w:w="1219" w:type="dxa"/>
            <w:shd w:val="clear" w:color="auto" w:fill="auto"/>
            <w:noWrap w:val="0"/>
            <w:vAlign w:val="center"/>
          </w:tcPr>
          <w:p w14:paraId="0F8110B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微信公众号运营</w:t>
            </w:r>
          </w:p>
        </w:tc>
        <w:tc>
          <w:tcPr>
            <w:tcW w:w="6645" w:type="dxa"/>
            <w:shd w:val="clear" w:color="auto" w:fill="auto"/>
            <w:noWrap w:val="0"/>
            <w:vAlign w:val="center"/>
          </w:tcPr>
          <w:p w14:paraId="3CB9417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保证每月至少发布4篇微信公众号信息，依托社工站微信公众号，进行每月的工作总结与活动宣传。每月报送街道公众号2篇以上。</w:t>
            </w:r>
          </w:p>
        </w:tc>
        <w:tc>
          <w:tcPr>
            <w:tcW w:w="725" w:type="dxa"/>
            <w:shd w:val="clear" w:color="auto" w:fill="auto"/>
            <w:noWrap w:val="0"/>
            <w:vAlign w:val="center"/>
          </w:tcPr>
          <w:p w14:paraId="590C077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0878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7" w:hRule="atLeast"/>
          <w:jc w:val="center"/>
        </w:trPr>
        <w:tc>
          <w:tcPr>
            <w:tcW w:w="1221" w:type="dxa"/>
            <w:vMerge w:val="continue"/>
            <w:shd w:val="clear" w:color="auto" w:fill="auto"/>
            <w:noWrap w:val="0"/>
            <w:vAlign w:val="top"/>
          </w:tcPr>
          <w:p w14:paraId="3A25C7B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173279F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媒体宣传</w:t>
            </w:r>
          </w:p>
        </w:tc>
        <w:tc>
          <w:tcPr>
            <w:tcW w:w="6645" w:type="dxa"/>
            <w:shd w:val="clear" w:color="auto" w:fill="auto"/>
            <w:noWrap w:val="0"/>
            <w:vAlign w:val="center"/>
          </w:tcPr>
          <w:p w14:paraId="7328215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年度内进行正面宣传报道，区级以上媒体的宣传报道至少4次。</w:t>
            </w:r>
          </w:p>
        </w:tc>
        <w:tc>
          <w:tcPr>
            <w:tcW w:w="725" w:type="dxa"/>
            <w:shd w:val="clear" w:color="auto" w:fill="auto"/>
            <w:noWrap w:val="0"/>
            <w:vAlign w:val="center"/>
          </w:tcPr>
          <w:p w14:paraId="3209A7E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2</w:t>
            </w:r>
          </w:p>
        </w:tc>
      </w:tr>
      <w:tr w14:paraId="1F44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1" w:type="dxa"/>
            <w:vMerge w:val="continue"/>
            <w:shd w:val="clear" w:color="auto" w:fill="auto"/>
            <w:noWrap w:val="0"/>
            <w:vAlign w:val="top"/>
          </w:tcPr>
          <w:p w14:paraId="45B3181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51E0EA2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政府报送</w:t>
            </w:r>
          </w:p>
        </w:tc>
        <w:tc>
          <w:tcPr>
            <w:tcW w:w="6645" w:type="dxa"/>
            <w:shd w:val="clear" w:color="auto" w:fill="auto"/>
            <w:noWrap w:val="0"/>
            <w:vAlign w:val="center"/>
          </w:tcPr>
          <w:p w14:paraId="11D055B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年度内报送相关上级部门信息稿至少3篇。</w:t>
            </w:r>
          </w:p>
        </w:tc>
        <w:tc>
          <w:tcPr>
            <w:tcW w:w="725" w:type="dxa"/>
            <w:shd w:val="clear" w:color="auto" w:fill="auto"/>
            <w:noWrap w:val="0"/>
            <w:vAlign w:val="center"/>
          </w:tcPr>
          <w:p w14:paraId="07131EC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2</w:t>
            </w:r>
          </w:p>
        </w:tc>
      </w:tr>
      <w:tr w14:paraId="4740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21" w:type="dxa"/>
            <w:vMerge w:val="continue"/>
            <w:shd w:val="clear" w:color="auto" w:fill="auto"/>
            <w:noWrap w:val="0"/>
            <w:vAlign w:val="top"/>
          </w:tcPr>
          <w:p w14:paraId="6E988FD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474F215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宣传手册</w:t>
            </w:r>
          </w:p>
        </w:tc>
        <w:tc>
          <w:tcPr>
            <w:tcW w:w="6645" w:type="dxa"/>
            <w:shd w:val="clear" w:color="auto" w:fill="auto"/>
            <w:noWrap w:val="0"/>
            <w:vAlign w:val="center"/>
          </w:tcPr>
          <w:p w14:paraId="1873CF1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年度内形成1份民政服务综合体宣传手册，进行推广。</w:t>
            </w:r>
          </w:p>
        </w:tc>
        <w:tc>
          <w:tcPr>
            <w:tcW w:w="725" w:type="dxa"/>
            <w:shd w:val="clear" w:color="auto" w:fill="auto"/>
            <w:noWrap w:val="0"/>
            <w:vAlign w:val="center"/>
          </w:tcPr>
          <w:p w14:paraId="47E5671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2</w:t>
            </w:r>
          </w:p>
        </w:tc>
      </w:tr>
      <w:tr w14:paraId="4A7C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jc w:val="center"/>
        </w:trPr>
        <w:tc>
          <w:tcPr>
            <w:tcW w:w="1221" w:type="dxa"/>
            <w:vMerge w:val="continue"/>
            <w:shd w:val="clear" w:color="auto" w:fill="auto"/>
            <w:noWrap w:val="0"/>
            <w:vAlign w:val="top"/>
          </w:tcPr>
          <w:p w14:paraId="7C6A04B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0E3088B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专业案例</w:t>
            </w:r>
          </w:p>
        </w:tc>
        <w:tc>
          <w:tcPr>
            <w:tcW w:w="6645" w:type="dxa"/>
            <w:shd w:val="clear" w:color="auto" w:fill="auto"/>
            <w:noWrap w:val="0"/>
            <w:vAlign w:val="center"/>
          </w:tcPr>
          <w:p w14:paraId="20B2A20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年度内形成1个社会工作服务案例。</w:t>
            </w:r>
          </w:p>
        </w:tc>
        <w:tc>
          <w:tcPr>
            <w:tcW w:w="725" w:type="dxa"/>
            <w:shd w:val="clear" w:color="auto" w:fill="auto"/>
            <w:noWrap w:val="0"/>
            <w:vAlign w:val="center"/>
          </w:tcPr>
          <w:p w14:paraId="3C1F067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2</w:t>
            </w:r>
          </w:p>
        </w:tc>
      </w:tr>
      <w:tr w14:paraId="5775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21" w:type="dxa"/>
            <w:shd w:val="clear" w:color="auto" w:fill="auto"/>
            <w:noWrap w:val="0"/>
            <w:vAlign w:val="center"/>
          </w:tcPr>
          <w:p w14:paraId="077B371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满意度调查</w:t>
            </w:r>
          </w:p>
        </w:tc>
        <w:tc>
          <w:tcPr>
            <w:tcW w:w="1219" w:type="dxa"/>
            <w:shd w:val="clear" w:color="auto" w:fill="auto"/>
            <w:noWrap w:val="0"/>
            <w:vAlign w:val="center"/>
          </w:tcPr>
          <w:p w14:paraId="13A513D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满意率</w:t>
            </w:r>
          </w:p>
          <w:p w14:paraId="1544F72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调查</w:t>
            </w:r>
          </w:p>
        </w:tc>
        <w:tc>
          <w:tcPr>
            <w:tcW w:w="6645" w:type="dxa"/>
            <w:shd w:val="clear" w:color="auto" w:fill="auto"/>
            <w:noWrap w:val="0"/>
            <w:vAlign w:val="center"/>
          </w:tcPr>
          <w:p w14:paraId="2851CCB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群众满意率达75%（含）以上的不扣分，75%以下每低一个百分点扣1分，扣完为止。除不可抗力外受到投诉的，投诉查实1次扣2分。</w:t>
            </w:r>
          </w:p>
        </w:tc>
        <w:tc>
          <w:tcPr>
            <w:tcW w:w="725" w:type="dxa"/>
            <w:shd w:val="clear" w:color="auto" w:fill="auto"/>
            <w:noWrap w:val="0"/>
            <w:vAlign w:val="center"/>
          </w:tcPr>
          <w:p w14:paraId="4E3D1DD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10</w:t>
            </w:r>
          </w:p>
        </w:tc>
      </w:tr>
      <w:tr w14:paraId="5D8C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1221" w:type="dxa"/>
            <w:shd w:val="clear" w:color="auto" w:fill="auto"/>
            <w:noWrap w:val="0"/>
            <w:vAlign w:val="center"/>
          </w:tcPr>
          <w:p w14:paraId="5ACB4E2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得分</w:t>
            </w:r>
          </w:p>
        </w:tc>
        <w:tc>
          <w:tcPr>
            <w:tcW w:w="1219" w:type="dxa"/>
            <w:shd w:val="clear" w:color="auto" w:fill="auto"/>
            <w:noWrap w:val="0"/>
            <w:vAlign w:val="center"/>
          </w:tcPr>
          <w:p w14:paraId="287822A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6645" w:type="dxa"/>
            <w:shd w:val="clear" w:color="auto" w:fill="auto"/>
            <w:noWrap w:val="0"/>
            <w:vAlign w:val="center"/>
          </w:tcPr>
          <w:p w14:paraId="4F2D236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default"/>
                <w:color w:val="auto"/>
                <w:sz w:val="20"/>
                <w:szCs w:val="20"/>
                <w:highlight w:val="none"/>
                <w:lang w:val="en-US" w:eastAsia="zh-CN"/>
              </w:rPr>
            </w:pPr>
          </w:p>
        </w:tc>
        <w:tc>
          <w:tcPr>
            <w:tcW w:w="725" w:type="dxa"/>
            <w:shd w:val="clear" w:color="auto" w:fill="auto"/>
            <w:noWrap w:val="0"/>
            <w:vAlign w:val="center"/>
          </w:tcPr>
          <w:p w14:paraId="51297E6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r>
    </w:tbl>
    <w:p w14:paraId="66256FE1">
      <w:pPr>
        <w:ind w:right="320" w:firstLine="480" w:firstLineChars="200"/>
        <w:jc w:val="left"/>
        <w:rPr>
          <w:rFonts w:hint="eastAsia"/>
          <w:highlight w:val="none"/>
        </w:rPr>
      </w:pPr>
      <w:r>
        <w:rPr>
          <w:rFonts w:hint="eastAsia" w:ascii="方正小标宋简体" w:hAnsi="华文中宋" w:eastAsia="方正小标宋简体" w:cs="Times New Roman"/>
          <w:color w:val="auto"/>
          <w:sz w:val="24"/>
          <w:szCs w:val="24"/>
          <w:highlight w:val="none"/>
        </w:rPr>
        <w:t>考核人员：                                     考核日期：</w:t>
      </w:r>
    </w:p>
    <w:p w14:paraId="18FACF3A">
      <w:pPr>
        <w:pStyle w:val="8"/>
        <w:jc w:val="center"/>
        <w:rPr>
          <w:rFonts w:hint="eastAsia" w:cs="宋体"/>
          <w:color w:val="auto"/>
          <w:sz w:val="36"/>
          <w:szCs w:val="36"/>
          <w:highlight w:val="none"/>
        </w:rPr>
      </w:pPr>
      <w:bookmarkStart w:id="98" w:name="_Toc17089"/>
    </w:p>
    <w:p w14:paraId="1211AAE6">
      <w:pPr>
        <w:pStyle w:val="8"/>
        <w:jc w:val="center"/>
        <w:rPr>
          <w:rFonts w:hint="eastAsia" w:cs="宋体"/>
          <w:color w:val="auto"/>
          <w:sz w:val="36"/>
          <w:szCs w:val="36"/>
          <w:highlight w:val="none"/>
        </w:rPr>
      </w:pPr>
    </w:p>
    <w:p w14:paraId="17862A8D">
      <w:pPr>
        <w:pStyle w:val="8"/>
        <w:jc w:val="center"/>
        <w:rPr>
          <w:rFonts w:hint="eastAsia" w:cs="宋体"/>
          <w:color w:val="auto"/>
          <w:sz w:val="36"/>
          <w:szCs w:val="36"/>
          <w:highlight w:val="none"/>
        </w:rPr>
      </w:pPr>
    </w:p>
    <w:p w14:paraId="6092D243">
      <w:pPr>
        <w:pStyle w:val="8"/>
        <w:jc w:val="center"/>
        <w:rPr>
          <w:rFonts w:hint="eastAsia" w:cs="宋体"/>
          <w:color w:val="auto"/>
          <w:sz w:val="36"/>
          <w:szCs w:val="36"/>
          <w:highlight w:val="none"/>
        </w:rPr>
      </w:pPr>
    </w:p>
    <w:p w14:paraId="2A5D2DBC">
      <w:pPr>
        <w:pStyle w:val="8"/>
        <w:jc w:val="center"/>
        <w:rPr>
          <w:rFonts w:hint="eastAsia" w:cs="宋体"/>
          <w:color w:val="auto"/>
          <w:sz w:val="36"/>
          <w:szCs w:val="36"/>
          <w:highlight w:val="none"/>
        </w:rPr>
      </w:pPr>
    </w:p>
    <w:p w14:paraId="4C33D508">
      <w:pPr>
        <w:pStyle w:val="8"/>
        <w:jc w:val="center"/>
        <w:rPr>
          <w:rFonts w:hint="eastAsia" w:cs="宋体"/>
          <w:color w:val="auto"/>
          <w:sz w:val="36"/>
          <w:szCs w:val="36"/>
          <w:highlight w:val="none"/>
        </w:rPr>
      </w:pPr>
    </w:p>
    <w:p w14:paraId="257779E0">
      <w:pPr>
        <w:pStyle w:val="8"/>
        <w:jc w:val="center"/>
        <w:rPr>
          <w:rFonts w:hint="eastAsia" w:cs="宋体"/>
          <w:color w:val="auto"/>
          <w:sz w:val="36"/>
          <w:szCs w:val="36"/>
          <w:highlight w:val="none"/>
        </w:rPr>
      </w:pPr>
    </w:p>
    <w:p w14:paraId="4ADC2FE9">
      <w:pPr>
        <w:pStyle w:val="8"/>
        <w:jc w:val="center"/>
        <w:rPr>
          <w:rFonts w:hint="eastAsia" w:cs="宋体"/>
          <w:color w:val="auto"/>
          <w:sz w:val="36"/>
          <w:szCs w:val="36"/>
          <w:highlight w:val="none"/>
        </w:rPr>
      </w:pPr>
    </w:p>
    <w:p w14:paraId="5A485928">
      <w:pPr>
        <w:pStyle w:val="8"/>
        <w:jc w:val="center"/>
        <w:rPr>
          <w:rFonts w:hint="eastAsia" w:cs="宋体"/>
          <w:color w:val="auto"/>
          <w:sz w:val="36"/>
          <w:szCs w:val="36"/>
          <w:highlight w:val="none"/>
        </w:rPr>
      </w:pPr>
    </w:p>
    <w:p w14:paraId="44E5FCB1">
      <w:pPr>
        <w:pStyle w:val="8"/>
        <w:jc w:val="center"/>
        <w:rPr>
          <w:rFonts w:hint="eastAsia" w:cs="宋体"/>
          <w:color w:val="auto"/>
          <w:sz w:val="36"/>
          <w:szCs w:val="36"/>
          <w:highlight w:val="none"/>
        </w:rPr>
      </w:pPr>
    </w:p>
    <w:p w14:paraId="147CF21E">
      <w:pPr>
        <w:rPr>
          <w:rFonts w:hint="eastAsia" w:cs="宋体"/>
          <w:color w:val="auto"/>
          <w:sz w:val="36"/>
          <w:szCs w:val="36"/>
          <w:highlight w:val="none"/>
        </w:rPr>
      </w:pPr>
    </w:p>
    <w:p w14:paraId="586774D7">
      <w:pPr>
        <w:pStyle w:val="8"/>
        <w:jc w:val="center"/>
        <w:rPr>
          <w:rFonts w:cs="Times New Roman"/>
          <w:color w:val="auto"/>
          <w:sz w:val="36"/>
          <w:szCs w:val="36"/>
          <w:highlight w:val="none"/>
        </w:rPr>
      </w:pPr>
      <w:r>
        <w:rPr>
          <w:rFonts w:hint="eastAsia" w:cs="宋体"/>
          <w:color w:val="auto"/>
          <w:sz w:val="36"/>
          <w:szCs w:val="36"/>
          <w:highlight w:val="none"/>
        </w:rPr>
        <w:t>第四部分 磋商原则及磋商方法</w:t>
      </w:r>
      <w:bookmarkEnd w:id="91"/>
      <w:bookmarkEnd w:id="92"/>
      <w:bookmarkEnd w:id="98"/>
    </w:p>
    <w:p w14:paraId="1B87893B">
      <w:pPr>
        <w:pStyle w:val="9"/>
        <w:numPr>
          <w:ilvl w:val="0"/>
          <w:numId w:val="17"/>
        </w:numPr>
        <w:jc w:val="center"/>
        <w:rPr>
          <w:rFonts w:cs="Times New Roman"/>
          <w:color w:val="auto"/>
          <w:highlight w:val="none"/>
        </w:rPr>
      </w:pPr>
      <w:bookmarkStart w:id="99" w:name="_Toc1265"/>
      <w:r>
        <w:rPr>
          <w:rFonts w:hint="eastAsia"/>
          <w:color w:val="auto"/>
          <w:highlight w:val="none"/>
        </w:rPr>
        <w:t xml:space="preserve"> </w:t>
      </w:r>
      <w:bookmarkStart w:id="100" w:name="_Toc3582"/>
      <w:bookmarkStart w:id="101" w:name="_Toc27567"/>
      <w:r>
        <w:rPr>
          <w:rFonts w:hint="eastAsia"/>
          <w:color w:val="auto"/>
          <w:highlight w:val="none"/>
        </w:rPr>
        <w:t>磋商原则</w:t>
      </w:r>
      <w:bookmarkEnd w:id="99"/>
      <w:bookmarkEnd w:id="100"/>
      <w:bookmarkEnd w:id="101"/>
    </w:p>
    <w:p w14:paraId="1B0F734F">
      <w:pPr>
        <w:pStyle w:val="1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、本次竞争性磋商本着公平、公正、科学、择优的原则，邀请各磋商方参加报价。</w:t>
      </w:r>
    </w:p>
    <w:p w14:paraId="55CC8F7A">
      <w:pPr>
        <w:pStyle w:val="1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14:paraId="3BCCFE18">
      <w:pPr>
        <w:pStyle w:val="1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、磋商小组按照统一的磋商原则和磋商方法，用同一标准对所有响应性文件进行评审。</w:t>
      </w:r>
    </w:p>
    <w:p w14:paraId="39D492FA">
      <w:pPr>
        <w:pStyle w:val="16"/>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4</w:t>
      </w:r>
      <w:r>
        <w:rPr>
          <w:rFonts w:hint="eastAsia" w:hAnsi="宋体"/>
          <w:b/>
          <w:bCs/>
          <w:color w:val="auto"/>
          <w:sz w:val="24"/>
          <w:szCs w:val="24"/>
          <w:highlight w:val="none"/>
        </w:rPr>
        <w:t>、评审</w:t>
      </w:r>
    </w:p>
    <w:p w14:paraId="200E2F66">
      <w:pPr>
        <w:pStyle w:val="16"/>
        <w:spacing w:line="336" w:lineRule="auto"/>
        <w:ind w:firstLine="480" w:firstLineChars="200"/>
        <w:rPr>
          <w:rFonts w:hAnsi="宋体" w:cs="Times New Roman"/>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在磋商响应截止时间前按规定提交响应文件的供应商在三家（含）以上的，由采购人或采购代理机构组织进行开标。</w:t>
      </w:r>
    </w:p>
    <w:p w14:paraId="4EAD16D7">
      <w:pPr>
        <w:pStyle w:val="16"/>
        <w:spacing w:line="336" w:lineRule="auto"/>
        <w:ind w:firstLine="482" w:firstLineChars="200"/>
        <w:rPr>
          <w:rFonts w:hAnsi="宋体" w:cs="Times New Roman"/>
          <w:color w:val="auto"/>
          <w:sz w:val="24"/>
          <w:szCs w:val="24"/>
          <w:highlight w:val="none"/>
        </w:rPr>
      </w:pPr>
      <w:r>
        <w:rPr>
          <w:rFonts w:hAnsi="宋体"/>
          <w:b/>
          <w:bCs/>
          <w:color w:val="auto"/>
          <w:sz w:val="24"/>
          <w:szCs w:val="24"/>
          <w:highlight w:val="none"/>
        </w:rPr>
        <w:t>4.2</w:t>
      </w:r>
      <w:r>
        <w:rPr>
          <w:rFonts w:hint="eastAsia" w:hAnsi="宋体"/>
          <w:b/>
          <w:bCs/>
          <w:color w:val="auto"/>
          <w:sz w:val="24"/>
          <w:szCs w:val="24"/>
          <w:highlight w:val="none"/>
        </w:rPr>
        <w:t>供应商登录政采云平台，用“项目采购</w:t>
      </w:r>
      <w:r>
        <w:rPr>
          <w:rFonts w:hAnsi="宋体"/>
          <w:b/>
          <w:bCs/>
          <w:color w:val="auto"/>
          <w:sz w:val="24"/>
          <w:szCs w:val="24"/>
          <w:highlight w:val="none"/>
        </w:rPr>
        <w:t>-</w:t>
      </w:r>
      <w:r>
        <w:rPr>
          <w:rFonts w:hint="eastAsia" w:hAnsi="宋体"/>
          <w:b/>
          <w:bCs/>
          <w:color w:val="auto"/>
          <w:sz w:val="24"/>
          <w:szCs w:val="24"/>
          <w:highlight w:val="none"/>
        </w:rPr>
        <w:t>开标评标”功能对电子磋商响应文件进行在线解密。在线解密电子磋商响应文件时间为开标时间起</w:t>
      </w:r>
      <w:r>
        <w:rPr>
          <w:rFonts w:hAnsi="宋体"/>
          <w:b/>
          <w:bCs/>
          <w:color w:val="auto"/>
          <w:sz w:val="24"/>
          <w:szCs w:val="24"/>
          <w:highlight w:val="none"/>
        </w:rPr>
        <w:t>30</w:t>
      </w:r>
      <w:r>
        <w:rPr>
          <w:rFonts w:hint="eastAsia" w:hAnsi="宋体"/>
          <w:b/>
          <w:bCs/>
          <w:color w:val="auto"/>
          <w:sz w:val="24"/>
          <w:szCs w:val="24"/>
          <w:highlight w:val="none"/>
        </w:rPr>
        <w:t>分钟内。若电子磋商响应文件解密失败，则由采购代理机构工作人员上传供应商提供的备份文件。</w:t>
      </w:r>
      <w:r>
        <w:rPr>
          <w:rFonts w:hint="eastAsia" w:hAnsi="宋体"/>
          <w:color w:val="auto"/>
          <w:sz w:val="24"/>
          <w:szCs w:val="24"/>
          <w:highlight w:val="none"/>
        </w:rPr>
        <w:t>备份文件（后缀名为</w:t>
      </w:r>
      <w:r>
        <w:rPr>
          <w:rFonts w:hAnsi="宋体"/>
          <w:color w:val="auto"/>
          <w:sz w:val="24"/>
          <w:szCs w:val="24"/>
          <w:highlight w:val="none"/>
        </w:rPr>
        <w:t>.bfbs</w:t>
      </w:r>
      <w:r>
        <w:rPr>
          <w:rFonts w:hint="eastAsia" w:hAnsi="宋体"/>
          <w:color w:val="auto"/>
          <w:sz w:val="24"/>
          <w:szCs w:val="24"/>
          <w:highlight w:val="none"/>
        </w:rPr>
        <w:t>）须存储在</w:t>
      </w:r>
      <w:r>
        <w:rPr>
          <w:rFonts w:hAnsi="宋体"/>
          <w:color w:val="auto"/>
          <w:sz w:val="24"/>
          <w:szCs w:val="24"/>
          <w:highlight w:val="none"/>
        </w:rPr>
        <w:t>U</w:t>
      </w:r>
      <w:r>
        <w:rPr>
          <w:rFonts w:hint="eastAsia" w:hAnsi="宋体"/>
          <w:color w:val="auto"/>
          <w:sz w:val="24"/>
          <w:szCs w:val="24"/>
          <w:highlight w:val="none"/>
        </w:rPr>
        <w:t>盘中，与上传的电子磋商响应文件一致，用信封进行密封并盖章</w:t>
      </w:r>
      <w:r>
        <w:rPr>
          <w:rFonts w:hint="eastAsia" w:hAnsi="宋体"/>
          <w:b/>
          <w:bCs/>
          <w:color w:val="auto"/>
          <w:sz w:val="24"/>
          <w:szCs w:val="24"/>
          <w:highlight w:val="none"/>
        </w:rPr>
        <w:t>（信封内仅需放入存储备份文件的</w:t>
      </w:r>
      <w:r>
        <w:rPr>
          <w:rFonts w:hAnsi="宋体"/>
          <w:b/>
          <w:bCs/>
          <w:color w:val="auto"/>
          <w:sz w:val="24"/>
          <w:szCs w:val="24"/>
          <w:highlight w:val="none"/>
        </w:rPr>
        <w:t>U</w:t>
      </w:r>
      <w:r>
        <w:rPr>
          <w:rFonts w:hint="eastAsia" w:hAnsi="宋体"/>
          <w:b/>
          <w:bCs/>
          <w:color w:val="auto"/>
          <w:sz w:val="24"/>
          <w:szCs w:val="24"/>
          <w:highlight w:val="none"/>
        </w:rPr>
        <w:t>盘）</w:t>
      </w:r>
      <w:r>
        <w:rPr>
          <w:rFonts w:hint="eastAsia" w:hAnsi="宋体"/>
          <w:color w:val="auto"/>
          <w:sz w:val="24"/>
          <w:szCs w:val="24"/>
          <w:highlight w:val="none"/>
        </w:rPr>
        <w:t>，由授权代表在磋商响应截止时间前递交至开标地点。</w:t>
      </w:r>
    </w:p>
    <w:p w14:paraId="14D100D2">
      <w:pPr>
        <w:pStyle w:val="16"/>
        <w:spacing w:line="336" w:lineRule="auto"/>
        <w:ind w:firstLine="480" w:firstLineChars="200"/>
        <w:rPr>
          <w:rFonts w:hAnsi="宋体" w:cs="Times New Roman"/>
          <w:color w:val="auto"/>
          <w:sz w:val="24"/>
          <w:szCs w:val="24"/>
          <w:highlight w:val="none"/>
        </w:rPr>
      </w:pPr>
      <w:r>
        <w:rPr>
          <w:rFonts w:hAnsi="宋体"/>
          <w:color w:val="auto"/>
          <w:sz w:val="24"/>
          <w:szCs w:val="24"/>
          <w:highlight w:val="none"/>
        </w:rPr>
        <w:t>4.3</w:t>
      </w:r>
      <w:r>
        <w:rPr>
          <w:rFonts w:hint="eastAsia" w:hAnsi="宋体"/>
          <w:color w:val="auto"/>
          <w:sz w:val="24"/>
          <w:szCs w:val="24"/>
          <w:highlight w:val="none"/>
        </w:rPr>
        <w:t>采购人按磋商文件规定的时间、地点公开开标。开标仪式由采购人或采购代理机构主持及有关人员参加。</w:t>
      </w:r>
    </w:p>
    <w:p w14:paraId="1E7B7A01">
      <w:pPr>
        <w:pStyle w:val="62"/>
        <w:spacing w:before="0" w:line="336" w:lineRule="auto"/>
        <w:ind w:firstLine="480"/>
        <w:rPr>
          <w:rFonts w:ascii="宋体"/>
          <w:color w:val="auto"/>
          <w:highlight w:val="none"/>
        </w:rPr>
      </w:pPr>
      <w:r>
        <w:rPr>
          <w:rFonts w:ascii="宋体" w:hAnsi="宋体" w:cs="宋体"/>
          <w:color w:val="auto"/>
          <w:highlight w:val="none"/>
        </w:rPr>
        <w:t>4.4</w:t>
      </w:r>
      <w:r>
        <w:rPr>
          <w:rFonts w:hint="eastAsia" w:ascii="宋体" w:hAnsi="宋体" w:cs="宋体"/>
          <w:color w:val="auto"/>
          <w:highlight w:val="none"/>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highlight w:val="none"/>
        </w:rPr>
        <w:t>磋商响应</w:t>
      </w:r>
      <w:r>
        <w:rPr>
          <w:rFonts w:hint="eastAsia" w:ascii="宋体" w:hAnsi="宋体" w:cs="宋体"/>
          <w:color w:val="auto"/>
          <w:highlight w:val="none"/>
        </w:rPr>
        <w:t>截止时间前到达开标地点递交备份文件。若电子磋商响应文件正常解锁，则</w:t>
      </w:r>
      <w:r>
        <w:rPr>
          <w:rFonts w:ascii="宋体" w:hAnsi="宋体" w:cs="宋体"/>
          <w:color w:val="auto"/>
          <w:highlight w:val="none"/>
        </w:rPr>
        <w:t>U</w:t>
      </w:r>
      <w:r>
        <w:rPr>
          <w:rFonts w:hint="eastAsia" w:ascii="宋体" w:hAnsi="宋体" w:cs="宋体"/>
          <w:color w:val="auto"/>
          <w:highlight w:val="none"/>
        </w:rPr>
        <w:t>盘退还给供应商；若解锁失败，则由采购代理机构将</w:t>
      </w:r>
      <w:r>
        <w:rPr>
          <w:rFonts w:ascii="宋体" w:hAnsi="宋体" w:cs="宋体"/>
          <w:color w:val="auto"/>
          <w:highlight w:val="none"/>
        </w:rPr>
        <w:t>U</w:t>
      </w:r>
      <w:r>
        <w:rPr>
          <w:rFonts w:hint="eastAsia" w:ascii="宋体" w:hAnsi="宋体" w:cs="宋体"/>
          <w:color w:val="auto"/>
          <w:highlight w:val="none"/>
        </w:rPr>
        <w:t>盘中的备份文件上传，该</w:t>
      </w:r>
      <w:r>
        <w:rPr>
          <w:rFonts w:ascii="宋体" w:hAnsi="宋体" w:cs="宋体"/>
          <w:color w:val="auto"/>
          <w:highlight w:val="none"/>
        </w:rPr>
        <w:t>U</w:t>
      </w:r>
      <w:r>
        <w:rPr>
          <w:rFonts w:hint="eastAsia" w:ascii="宋体" w:hAnsi="宋体" w:cs="宋体"/>
          <w:color w:val="auto"/>
          <w:highlight w:val="none"/>
        </w:rPr>
        <w:t>盘将由采购代理机构保存。</w:t>
      </w:r>
    </w:p>
    <w:p w14:paraId="4FEF456D">
      <w:pPr>
        <w:pStyle w:val="62"/>
        <w:spacing w:before="0" w:line="336" w:lineRule="auto"/>
        <w:ind w:firstLine="480"/>
        <w:rPr>
          <w:rFonts w:ascii="宋体"/>
          <w:color w:val="auto"/>
          <w:highlight w:val="none"/>
        </w:rPr>
      </w:pPr>
      <w:r>
        <w:rPr>
          <w:rFonts w:ascii="宋体" w:hAnsi="宋体" w:cs="宋体"/>
          <w:color w:val="auto"/>
          <w:highlight w:val="none"/>
        </w:rPr>
        <w:t>4.5</w:t>
      </w:r>
      <w:r>
        <w:rPr>
          <w:rFonts w:hint="eastAsia" w:ascii="宋体" w:hAnsi="宋体" w:cs="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739E871">
      <w:pPr>
        <w:spacing w:line="336" w:lineRule="auto"/>
        <w:ind w:firstLine="48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、组建磋商小组</w:t>
      </w:r>
    </w:p>
    <w:p w14:paraId="1D961FEC">
      <w:pPr>
        <w:pStyle w:val="62"/>
        <w:spacing w:before="0" w:line="336" w:lineRule="auto"/>
        <w:ind w:firstLine="480"/>
        <w:rPr>
          <w:rFonts w:ascii="宋体"/>
          <w:color w:val="auto"/>
          <w:highlight w:val="none"/>
        </w:rPr>
      </w:pPr>
      <w:r>
        <w:rPr>
          <w:rFonts w:ascii="宋体" w:hAnsi="宋体" w:cs="宋体"/>
          <w:color w:val="auto"/>
          <w:highlight w:val="none"/>
        </w:rPr>
        <w:t>5.1</w:t>
      </w:r>
      <w:r>
        <w:rPr>
          <w:rFonts w:hint="eastAsia" w:ascii="宋体" w:hAnsi="宋体" w:cs="宋体"/>
          <w:color w:val="auto"/>
          <w:highlight w:val="none"/>
        </w:rPr>
        <w:t>磋商小组由采购人代表和评审专家共</w:t>
      </w:r>
      <w:r>
        <w:rPr>
          <w:rFonts w:ascii="宋体" w:hAnsi="宋体" w:cs="宋体"/>
          <w:color w:val="auto"/>
          <w:highlight w:val="none"/>
        </w:rPr>
        <w:t>3</w:t>
      </w:r>
      <w:r>
        <w:rPr>
          <w:rFonts w:hint="eastAsia" w:ascii="宋体" w:hAnsi="宋体" w:cs="宋体"/>
          <w:color w:val="auto"/>
          <w:highlight w:val="none"/>
        </w:rPr>
        <w:t>人或以上单数组成，其中评审专家人数不少于磋商小组成员总数的</w:t>
      </w:r>
      <w:r>
        <w:rPr>
          <w:rFonts w:ascii="宋体" w:hAnsi="宋体" w:cs="宋体"/>
          <w:color w:val="auto"/>
          <w:highlight w:val="none"/>
        </w:rPr>
        <w:t>2/3</w:t>
      </w:r>
      <w:r>
        <w:rPr>
          <w:rFonts w:hint="eastAsia" w:ascii="宋体" w:hAnsi="宋体" w:cs="宋体"/>
          <w:color w:val="auto"/>
          <w:highlight w:val="none"/>
        </w:rPr>
        <w:t>。</w:t>
      </w:r>
    </w:p>
    <w:p w14:paraId="61604407">
      <w:pPr>
        <w:pStyle w:val="62"/>
        <w:tabs>
          <w:tab w:val="left" w:pos="0"/>
        </w:tabs>
        <w:spacing w:before="0" w:line="336" w:lineRule="auto"/>
        <w:ind w:firstLine="480"/>
        <w:rPr>
          <w:rFonts w:ascii="宋体"/>
          <w:color w:val="auto"/>
          <w:highlight w:val="none"/>
          <w:lang w:val="zh-CN"/>
        </w:rPr>
      </w:pPr>
      <w:r>
        <w:rPr>
          <w:rFonts w:ascii="宋体" w:hAnsi="宋体" w:cs="宋体"/>
          <w:color w:val="auto"/>
          <w:highlight w:val="none"/>
        </w:rPr>
        <w:t>5.2</w:t>
      </w:r>
      <w:r>
        <w:rPr>
          <w:rFonts w:hint="eastAsia" w:ascii="宋体" w:hAnsi="宋体" w:cs="宋体"/>
          <w:color w:val="auto"/>
          <w:highlight w:val="none"/>
          <w:lang w:val="zh-CN"/>
        </w:rPr>
        <w:t>评标工作由评标委员会负责，并推选产生的组长主持；</w:t>
      </w:r>
    </w:p>
    <w:p w14:paraId="2FB85678">
      <w:pPr>
        <w:pStyle w:val="1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lang w:val="zh-CN"/>
        </w:rPr>
        <w:t>本次评标为在线评标。</w:t>
      </w:r>
    </w:p>
    <w:p w14:paraId="6FD686A9">
      <w:pPr>
        <w:pStyle w:val="9"/>
        <w:numPr>
          <w:ilvl w:val="0"/>
          <w:numId w:val="17"/>
        </w:numPr>
        <w:jc w:val="center"/>
        <w:rPr>
          <w:rFonts w:cs="Times New Roman"/>
          <w:color w:val="auto"/>
          <w:highlight w:val="none"/>
        </w:rPr>
      </w:pPr>
      <w:r>
        <w:rPr>
          <w:color w:val="auto"/>
          <w:highlight w:val="none"/>
        </w:rPr>
        <w:t xml:space="preserve"> </w:t>
      </w:r>
      <w:bookmarkStart w:id="102" w:name="_Toc10093"/>
      <w:bookmarkStart w:id="103" w:name="_Toc4456"/>
      <w:bookmarkStart w:id="104" w:name="_Toc15338"/>
      <w:r>
        <w:rPr>
          <w:rFonts w:hint="eastAsia"/>
          <w:color w:val="auto"/>
          <w:highlight w:val="none"/>
        </w:rPr>
        <w:t>磋商程序</w:t>
      </w:r>
      <w:bookmarkEnd w:id="102"/>
      <w:bookmarkEnd w:id="103"/>
      <w:bookmarkEnd w:id="104"/>
    </w:p>
    <w:p w14:paraId="19F67919">
      <w:pPr>
        <w:snapToGrid w:val="0"/>
        <w:spacing w:line="336" w:lineRule="auto"/>
        <w:ind w:firstLine="480"/>
        <w:rPr>
          <w:rFonts w:ascii="宋体" w:hAnsi="宋体" w:cs="宋体"/>
          <w:b/>
          <w:bCs/>
          <w:color w:val="auto"/>
          <w:sz w:val="24"/>
          <w:szCs w:val="24"/>
          <w:highlight w:val="none"/>
        </w:rPr>
      </w:pPr>
      <w:r>
        <w:rPr>
          <w:rFonts w:hint="eastAsia" w:ascii="宋体" w:hAnsi="宋体" w:cs="宋体"/>
          <w:b/>
          <w:bCs/>
          <w:color w:val="auto"/>
          <w:sz w:val="24"/>
          <w:szCs w:val="24"/>
          <w:highlight w:val="none"/>
        </w:rPr>
        <w:t>1、对所有响应文件的初审</w:t>
      </w:r>
    </w:p>
    <w:p w14:paraId="29F0BD69">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1.1资格审查</w:t>
      </w:r>
    </w:p>
    <w:p w14:paraId="0481ECF0">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（1）开标后，磋商小组将依法对供应商的资格进行审查。</w:t>
      </w:r>
    </w:p>
    <w:p w14:paraId="7056922B">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（2）磋商小组依据法律法规和磋商文件的规定，对供应商的基本资格条件、特定资格条件进行审查。</w:t>
      </w:r>
    </w:p>
    <w:p w14:paraId="25FFA89D">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（3）供应商未按照磋商文件要求提供与基本资格条件、特定资格条件相应的有效资格证明材料的，视为供应商不具备磋商文件中规定的资格要求，其磋商无效。并将无效原由告知相关供应商.</w:t>
      </w:r>
    </w:p>
    <w:p w14:paraId="25EF8ECF">
      <w:pPr>
        <w:wordWrap w:val="0"/>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14:paraId="09BAD7D1">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（5）磋商小组出具《供应商资格审查意见表》，供应商未按照磋商文件要求提供与基本资格条件、特定资格条件相应的有效资格证明材料的，视为供应商不具备磋商文件中规定的资格要求，其磋商无效。</w:t>
      </w:r>
    </w:p>
    <w:p w14:paraId="3071B164">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11365B15">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（1）响应文件无法定代表人或其委托授权代表签名或盖章。</w:t>
      </w:r>
    </w:p>
    <w:p w14:paraId="4F6F3E52">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（2）响应文件内容虚假的。</w:t>
      </w:r>
    </w:p>
    <w:p w14:paraId="4063BC1F">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（3）响应文件有采购人不能接受的附加条件的。</w:t>
      </w:r>
    </w:p>
    <w:p w14:paraId="29A89C2A">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（4）磋商有效期、服务期等商务条款不能满足磋商文件要求的。</w:t>
      </w:r>
    </w:p>
    <w:p w14:paraId="56E89248">
      <w:pPr>
        <w:widowControl/>
        <w:spacing w:line="336" w:lineRule="auto"/>
        <w:ind w:firstLine="482"/>
        <w:jc w:val="left"/>
        <w:rPr>
          <w:rFonts w:ascii="宋体" w:hAnsi="宋体" w:cs="宋体"/>
          <w:color w:val="auto"/>
          <w:sz w:val="24"/>
          <w:szCs w:val="24"/>
          <w:highlight w:val="none"/>
        </w:rPr>
      </w:pPr>
      <w:r>
        <w:rPr>
          <w:rFonts w:hint="eastAsia" w:ascii="宋体" w:hAnsi="宋体" w:cs="宋体"/>
          <w:color w:val="auto"/>
          <w:sz w:val="24"/>
          <w:szCs w:val="24"/>
          <w:highlight w:val="none"/>
        </w:rPr>
        <w:t>（5）投标价格超出预算或最高限价，导致采购单位无法支付的。</w:t>
      </w:r>
    </w:p>
    <w:p w14:paraId="418FFB44">
      <w:pPr>
        <w:widowControl/>
        <w:spacing w:line="336" w:lineRule="auto"/>
        <w:ind w:firstLine="482"/>
        <w:jc w:val="left"/>
        <w:rPr>
          <w:rFonts w:ascii="宋体" w:hAnsi="宋体" w:cs="宋体"/>
          <w:color w:val="auto"/>
          <w:sz w:val="24"/>
          <w:szCs w:val="24"/>
          <w:highlight w:val="none"/>
        </w:rPr>
      </w:pPr>
      <w:r>
        <w:rPr>
          <w:rFonts w:hint="eastAsia" w:ascii="宋体" w:hAnsi="宋体" w:cs="宋体"/>
          <w:color w:val="auto"/>
          <w:sz w:val="24"/>
          <w:szCs w:val="24"/>
          <w:highlight w:val="none"/>
        </w:rPr>
        <w:t>（6）磋商文件明确规定的其他无效条款的。</w:t>
      </w:r>
    </w:p>
    <w:p w14:paraId="5192837C">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748526D">
      <w:pPr>
        <w:pStyle w:val="62"/>
        <w:tabs>
          <w:tab w:val="left" w:pos="0"/>
        </w:tabs>
        <w:spacing w:before="0" w:line="336" w:lineRule="auto"/>
        <w:ind w:firstLine="480"/>
        <w:rPr>
          <w:rFonts w:ascii="宋体" w:hAnsi="宋体" w:cs="宋体"/>
          <w:color w:val="auto"/>
          <w:highlight w:val="none"/>
        </w:rPr>
      </w:pPr>
      <w:r>
        <w:rPr>
          <w:rFonts w:hint="eastAsia" w:ascii="宋体" w:hAnsi="宋体" w:cs="宋体"/>
          <w:color w:val="auto"/>
          <w:highlight w:val="none"/>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35004C9A">
      <w:pPr>
        <w:snapToGrid w:val="0"/>
        <w:spacing w:line="336" w:lineRule="auto"/>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zh-CN"/>
        </w:rPr>
        <w:t>、磋商</w:t>
      </w:r>
    </w:p>
    <w:p w14:paraId="16CA3110">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2.1 初审合格的供应商进入下一步的磋商活动。</w:t>
      </w:r>
    </w:p>
    <w:p w14:paraId="541CB3CA">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2.2 磋商小组所有成员应当集中与单一供应商分别进行磋商，并给予所有参加磋商的供应商平等的磋商机会。</w:t>
      </w:r>
    </w:p>
    <w:p w14:paraId="63B31B44">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14:paraId="2AAA99A3">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2.4 在磋商过程中，磋商小组可以根据磋商文件和磋商情况实质性变动采购需求中的技术、服务要求以及合同草案条款。实质性变动的内容，须经采购人代表确认。</w:t>
      </w:r>
    </w:p>
    <w:p w14:paraId="231FEC34">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 磋商文件作出的实质性变动是磋商文件的有效组成部分，磋商小组应当及时以书面形式同时通知所有参加磋商的供应商。</w:t>
      </w:r>
    </w:p>
    <w:p w14:paraId="3A6B6992">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481451F">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2.7 符合《政府采购竞争性磋商采购方式管理暂行办法》（财库〔2014〕214号）第三条第四项即“市场竞争不充分的科研项目，以及需要扶持的科技成果转化项目”情形的，提交最后报价的供应商可以为2家。</w:t>
      </w:r>
    </w:p>
    <w:p w14:paraId="1535A7FE">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568DAA6">
      <w:pPr>
        <w:snapToGrid w:val="0"/>
        <w:spacing w:line="336" w:lineRule="auto"/>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val="zh-CN"/>
        </w:rPr>
        <w:t>、最后报价</w:t>
      </w:r>
    </w:p>
    <w:p w14:paraId="4A144C7C">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3.1商务技术汇总后，供应商开启报价文件，磋商小组应当要求所有实质性响应的供应商在规定时间内提交最后报价。</w:t>
      </w:r>
    </w:p>
    <w:p w14:paraId="7678E2AA">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3.2最后报价是供应商响应文件的有效组成部分，若最后报价高于响应文件报价文件报价，则以第一次报价计入评分。</w:t>
      </w:r>
    </w:p>
    <w:p w14:paraId="482E1A11">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3.3已提交响应文件的供应商，在提交最后报价之前，若因磋商文件实质性变动导致供应商无法满足采购需求的，允许供应商退出磋商。</w:t>
      </w:r>
    </w:p>
    <w:p w14:paraId="303FE5DC">
      <w:pPr>
        <w:pStyle w:val="10"/>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4、电子评标</w:t>
      </w:r>
    </w:p>
    <w:p w14:paraId="312361AD">
      <w:pPr>
        <w:pStyle w:val="10"/>
        <w:spacing w:line="336"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    4.1磋商活动由采购代理机构主持,磋商响应截止时间后,供应商登录政采云平台对电子响应文件进行在线解密；</w:t>
      </w:r>
    </w:p>
    <w:p w14:paraId="3CC6F5BD">
      <w:pPr>
        <w:pStyle w:val="1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4.2响应文件解密结束,开启响应文件,磋商小组对资格和商务技术响应文件进行资格审查和符合性审查；</w:t>
      </w:r>
    </w:p>
    <w:p w14:paraId="2121B4D9">
      <w:pPr>
        <w:pStyle w:val="1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4.3供应商按递交磋商响应文件的前后顺序决定磋商的顺序,就价格、服务等认为需要磋商的内容进行磋商,供应商逐家回答磋商小组的提问,供应商作出最终承诺；</w:t>
      </w:r>
    </w:p>
    <w:p w14:paraId="5ACA2969">
      <w:pPr>
        <w:pStyle w:val="1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4.4磋商小组对商务技术响应文件进行评审；</w:t>
      </w:r>
    </w:p>
    <w:p w14:paraId="47A5C08E">
      <w:pPr>
        <w:pStyle w:val="1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4.5商务技术汇总后，供应商开启报价文件，进行磋商二次报价（最终报价），</w:t>
      </w:r>
      <w:r>
        <w:rPr>
          <w:rFonts w:hint="eastAsia" w:ascii="宋体" w:hAnsi="宋体" w:cs="宋体"/>
          <w:b/>
          <w:bCs/>
          <w:color w:val="auto"/>
          <w:sz w:val="24"/>
          <w:szCs w:val="24"/>
          <w:highlight w:val="none"/>
        </w:rPr>
        <w:t>如果供应商在规定时间30分钟内未提交第二次报价，视该供应商放弃本次投标，作无效标处理</w:t>
      </w:r>
      <w:r>
        <w:rPr>
          <w:rFonts w:hint="eastAsia" w:ascii="宋体" w:hAnsi="宋体" w:cs="宋体"/>
          <w:color w:val="auto"/>
          <w:sz w:val="24"/>
          <w:szCs w:val="24"/>
          <w:highlight w:val="none"/>
        </w:rPr>
        <w:t>；</w:t>
      </w:r>
    </w:p>
    <w:p w14:paraId="6B2A908B">
      <w:pPr>
        <w:pStyle w:val="1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4.6在系统上开启最终报价情况；</w:t>
      </w:r>
    </w:p>
    <w:p w14:paraId="625236EA">
      <w:pPr>
        <w:pStyle w:val="1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4.7磋商小组对报价情况进行评审；</w:t>
      </w:r>
    </w:p>
    <w:p w14:paraId="673D13F4">
      <w:pPr>
        <w:pStyle w:val="1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4.8在系统上公开资格和商务技术评审结果；</w:t>
      </w:r>
    </w:p>
    <w:p w14:paraId="7D17B073">
      <w:pPr>
        <w:pStyle w:val="1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4.9在系统上公布评审结果。</w:t>
      </w:r>
    </w:p>
    <w:p w14:paraId="1B8D74CC">
      <w:pPr>
        <w:pStyle w:val="1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4.10开标会结束。</w:t>
      </w:r>
    </w:p>
    <w:p w14:paraId="7E1F3D0E">
      <w:pPr>
        <w:snapToGrid w:val="0"/>
        <w:spacing w:line="336"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特别说明:政采云如对电子化开标及评审程序有调整的,按调整后的程序操作。</w:t>
      </w:r>
    </w:p>
    <w:p w14:paraId="67A6A865">
      <w:pPr>
        <w:snapToGrid w:val="0"/>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5.综合评分</w:t>
      </w:r>
    </w:p>
    <w:p w14:paraId="458A5ED1">
      <w:pPr>
        <w:tabs>
          <w:tab w:val="left" w:pos="-1080"/>
          <w:tab w:val="left" w:pos="180"/>
          <w:tab w:val="left" w:pos="1080"/>
        </w:tabs>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5.1本评标办法采用综合评标法，由商务技术分和报价分合计组成，其中商务技术分</w:t>
      </w:r>
      <w:r>
        <w:rPr>
          <w:rFonts w:hint="eastAsia" w:ascii="宋体" w:hAnsi="宋体" w:cs="宋体"/>
          <w:color w:val="auto"/>
          <w:sz w:val="24"/>
          <w:szCs w:val="24"/>
          <w:highlight w:val="none"/>
          <w:u w:val="single"/>
        </w:rPr>
        <w:t xml:space="preserve"> 80 </w:t>
      </w:r>
      <w:r>
        <w:rPr>
          <w:rFonts w:hint="eastAsia" w:ascii="宋体" w:hAnsi="宋体" w:cs="宋体"/>
          <w:color w:val="auto"/>
          <w:sz w:val="24"/>
          <w:szCs w:val="24"/>
          <w:highlight w:val="none"/>
        </w:rPr>
        <w:t>分、报价分</w:t>
      </w:r>
      <w:r>
        <w:rPr>
          <w:rFonts w:hint="eastAsia" w:ascii="宋体" w:hAnsi="宋体" w:cs="宋体"/>
          <w:color w:val="auto"/>
          <w:sz w:val="24"/>
          <w:szCs w:val="24"/>
          <w:highlight w:val="none"/>
          <w:u w:val="single"/>
        </w:rPr>
        <w:t xml:space="preserve"> 20 </w:t>
      </w:r>
      <w:r>
        <w:rPr>
          <w:rFonts w:hint="eastAsia" w:ascii="宋体" w:hAnsi="宋体" w:cs="宋体"/>
          <w:color w:val="auto"/>
          <w:sz w:val="24"/>
          <w:szCs w:val="24"/>
          <w:highlight w:val="none"/>
        </w:rPr>
        <w:t>分；满分为100分。</w:t>
      </w:r>
    </w:p>
    <w:p w14:paraId="4A027C48">
      <w:pPr>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5.2经初步评审合格的响应文件，磋商小组根据竞争性磋商文件确定的评审标准和方法，对其商务技术部分作进一步评审、比较、打分。</w:t>
      </w:r>
    </w:p>
    <w:p w14:paraId="1E2286B0">
      <w:pPr>
        <w:pStyle w:val="16"/>
        <w:spacing w:line="336" w:lineRule="auto"/>
        <w:ind w:firstLine="480" w:firstLineChars="200"/>
        <w:rPr>
          <w:rFonts w:hAnsi="宋体"/>
          <w:color w:val="auto"/>
          <w:sz w:val="24"/>
          <w:szCs w:val="24"/>
          <w:highlight w:val="none"/>
        </w:rPr>
      </w:pPr>
      <w:r>
        <w:rPr>
          <w:rFonts w:hint="eastAsia" w:hAnsi="宋体"/>
          <w:color w:val="auto"/>
          <w:sz w:val="24"/>
          <w:szCs w:val="24"/>
          <w:highlight w:val="none"/>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06CA77F1">
      <w:pPr>
        <w:pStyle w:val="16"/>
        <w:spacing w:line="336" w:lineRule="auto"/>
        <w:ind w:left="400" w:leftChars="200"/>
        <w:rPr>
          <w:rFonts w:hAnsi="宋体"/>
          <w:b/>
          <w:bCs/>
          <w:color w:val="auto"/>
          <w:sz w:val="24"/>
          <w:szCs w:val="24"/>
          <w:highlight w:val="none"/>
        </w:rPr>
      </w:pPr>
      <w:r>
        <w:rPr>
          <w:rFonts w:hint="eastAsia" w:hAnsi="宋体"/>
          <w:b/>
          <w:bCs/>
          <w:color w:val="auto"/>
          <w:sz w:val="24"/>
          <w:szCs w:val="24"/>
          <w:highlight w:val="none"/>
        </w:rPr>
        <w:t>6、修正原则</w:t>
      </w:r>
    </w:p>
    <w:p w14:paraId="4E7E55AD">
      <w:pPr>
        <w:pStyle w:val="62"/>
        <w:spacing w:before="0" w:line="336" w:lineRule="auto"/>
        <w:ind w:left="400" w:leftChars="200" w:firstLine="0" w:firstLineChars="0"/>
        <w:rPr>
          <w:rFonts w:ascii="宋体" w:hAnsi="宋体" w:cs="宋体"/>
          <w:color w:val="auto"/>
          <w:highlight w:val="none"/>
          <w:lang w:val="zh-CN"/>
        </w:rPr>
      </w:pPr>
      <w:r>
        <w:rPr>
          <w:rFonts w:hint="eastAsia" w:ascii="宋体" w:hAnsi="宋体" w:cs="宋体"/>
          <w:color w:val="auto"/>
          <w:highlight w:val="none"/>
        </w:rPr>
        <w:t>响应</w:t>
      </w:r>
      <w:r>
        <w:rPr>
          <w:rFonts w:hint="eastAsia" w:ascii="宋体" w:hAnsi="宋体" w:cs="宋体"/>
          <w:color w:val="auto"/>
          <w:highlight w:val="none"/>
          <w:lang w:val="zh-CN"/>
        </w:rPr>
        <w:t>文件报价出现前后不一致的，按照下列规定修正：</w:t>
      </w:r>
    </w:p>
    <w:p w14:paraId="7EEDC757">
      <w:pPr>
        <w:pStyle w:val="62"/>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6.1响应</w:t>
      </w:r>
      <w:r>
        <w:rPr>
          <w:rFonts w:hint="eastAsia" w:ascii="宋体" w:hAnsi="宋体" w:cs="宋体"/>
          <w:color w:val="auto"/>
          <w:highlight w:val="none"/>
          <w:lang w:val="zh-CN"/>
        </w:rPr>
        <w:t>文件中</w:t>
      </w:r>
      <w:r>
        <w:rPr>
          <w:rFonts w:hint="eastAsia" w:ascii="宋体" w:hAnsi="宋体" w:cs="宋体"/>
          <w:color w:val="auto"/>
          <w:highlight w:val="none"/>
        </w:rPr>
        <w:t>报价</w:t>
      </w:r>
      <w:r>
        <w:rPr>
          <w:rFonts w:hint="eastAsia" w:ascii="宋体" w:hAnsi="宋体" w:cs="宋体"/>
          <w:color w:val="auto"/>
          <w:highlight w:val="none"/>
          <w:lang w:val="zh-CN"/>
        </w:rPr>
        <w:t>一览表内容与</w:t>
      </w:r>
      <w:r>
        <w:rPr>
          <w:rFonts w:hint="eastAsia" w:ascii="宋体" w:hAnsi="宋体" w:cs="宋体"/>
          <w:color w:val="auto"/>
          <w:highlight w:val="none"/>
        </w:rPr>
        <w:t>响应</w:t>
      </w:r>
      <w:r>
        <w:rPr>
          <w:rFonts w:hint="eastAsia" w:ascii="宋体" w:hAnsi="宋体" w:cs="宋体"/>
          <w:color w:val="auto"/>
          <w:highlight w:val="none"/>
          <w:lang w:val="zh-CN"/>
        </w:rPr>
        <w:t>文件中相应内容不一致的，以</w:t>
      </w:r>
      <w:r>
        <w:rPr>
          <w:rFonts w:hint="eastAsia" w:ascii="宋体" w:hAnsi="宋体" w:cs="宋体"/>
          <w:color w:val="auto"/>
          <w:highlight w:val="none"/>
        </w:rPr>
        <w:t>报价</w:t>
      </w:r>
      <w:r>
        <w:rPr>
          <w:rFonts w:hint="eastAsia" w:ascii="宋体" w:hAnsi="宋体" w:cs="宋体"/>
          <w:color w:val="auto"/>
          <w:highlight w:val="none"/>
          <w:lang w:val="zh-CN"/>
        </w:rPr>
        <w:t>一览表为准；</w:t>
      </w:r>
    </w:p>
    <w:p w14:paraId="4EAD3E8B">
      <w:pPr>
        <w:pStyle w:val="62"/>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6.2</w:t>
      </w:r>
      <w:r>
        <w:rPr>
          <w:rFonts w:hint="eastAsia" w:ascii="宋体" w:hAnsi="宋体" w:cs="宋体"/>
          <w:color w:val="auto"/>
          <w:highlight w:val="none"/>
          <w:lang w:val="zh-CN"/>
        </w:rPr>
        <w:t>大写金额和小写金额不一致的，以大写金额为准；</w:t>
      </w:r>
    </w:p>
    <w:p w14:paraId="57AAD6DF">
      <w:pPr>
        <w:pStyle w:val="62"/>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6.3</w:t>
      </w:r>
      <w:r>
        <w:rPr>
          <w:rFonts w:hint="eastAsia" w:ascii="宋体" w:hAnsi="宋体" w:cs="宋体"/>
          <w:color w:val="auto"/>
          <w:highlight w:val="none"/>
          <w:lang w:val="zh-CN"/>
        </w:rPr>
        <w:t>单价金额小数点或者百分比有明显错位的，以</w:t>
      </w:r>
      <w:r>
        <w:rPr>
          <w:rFonts w:hint="eastAsia" w:ascii="宋体" w:hAnsi="宋体" w:cs="宋体"/>
          <w:color w:val="auto"/>
          <w:highlight w:val="none"/>
        </w:rPr>
        <w:t>报价</w:t>
      </w:r>
      <w:r>
        <w:rPr>
          <w:rFonts w:hint="eastAsia" w:ascii="宋体" w:hAnsi="宋体" w:cs="宋体"/>
          <w:color w:val="auto"/>
          <w:highlight w:val="none"/>
          <w:lang w:val="zh-CN"/>
        </w:rPr>
        <w:t>一览表的总价为准，并修改单价；</w:t>
      </w:r>
    </w:p>
    <w:p w14:paraId="103E4B37">
      <w:pPr>
        <w:pStyle w:val="62"/>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6.4</w:t>
      </w:r>
      <w:r>
        <w:rPr>
          <w:rFonts w:hint="eastAsia" w:ascii="宋体" w:hAnsi="宋体" w:cs="宋体"/>
          <w:color w:val="auto"/>
          <w:highlight w:val="none"/>
          <w:lang w:val="zh-CN"/>
        </w:rPr>
        <w:t>总价金额与按单价汇总金额不一致的，以单价金额计算结果为准。</w:t>
      </w:r>
    </w:p>
    <w:p w14:paraId="5E46C78D">
      <w:pPr>
        <w:pStyle w:val="62"/>
        <w:spacing w:before="0" w:line="336" w:lineRule="auto"/>
        <w:ind w:firstLine="480"/>
        <w:rPr>
          <w:rFonts w:ascii="宋体" w:hAnsi="宋体" w:cs="宋体"/>
          <w:color w:val="auto"/>
          <w:highlight w:val="none"/>
          <w:lang w:val="zh-CN"/>
        </w:rPr>
      </w:pPr>
      <w:r>
        <w:rPr>
          <w:rFonts w:hint="eastAsia" w:ascii="宋体" w:hAnsi="宋体" w:cs="宋体"/>
          <w:color w:val="auto"/>
          <w:highlight w:val="none"/>
          <w:lang w:val="zh-CN"/>
        </w:rPr>
        <w:t>同时出现两种以上不一致的，按照前款规定的顺序修正。修正后的报价按照财政部公布第87号令 《政府采购产品和服务招标投标管理办法》第五十一条第二款的规定经</w:t>
      </w:r>
      <w:r>
        <w:rPr>
          <w:rFonts w:hint="eastAsia" w:ascii="宋体" w:hAnsi="宋体" w:cs="宋体"/>
          <w:color w:val="auto"/>
          <w:highlight w:val="none"/>
        </w:rPr>
        <w:t>供应商</w:t>
      </w:r>
      <w:r>
        <w:rPr>
          <w:rFonts w:hint="eastAsia" w:ascii="宋体" w:hAnsi="宋体" w:cs="宋体"/>
          <w:color w:val="auto"/>
          <w:highlight w:val="none"/>
          <w:lang w:val="zh-CN"/>
        </w:rPr>
        <w:t>确认后产生约束力，</w:t>
      </w:r>
      <w:r>
        <w:rPr>
          <w:rFonts w:hint="eastAsia" w:ascii="宋体" w:hAnsi="宋体" w:cs="宋体"/>
          <w:color w:val="auto"/>
          <w:highlight w:val="none"/>
        </w:rPr>
        <w:t>供应商</w:t>
      </w:r>
      <w:r>
        <w:rPr>
          <w:rFonts w:hint="eastAsia" w:ascii="宋体" w:hAnsi="宋体" w:cs="宋体"/>
          <w:color w:val="auto"/>
          <w:highlight w:val="none"/>
          <w:lang w:val="zh-CN"/>
        </w:rPr>
        <w:t>不确认的，其</w:t>
      </w:r>
      <w:r>
        <w:rPr>
          <w:rFonts w:hint="eastAsia" w:ascii="宋体" w:hAnsi="宋体" w:cs="宋体"/>
          <w:color w:val="auto"/>
          <w:highlight w:val="none"/>
        </w:rPr>
        <w:t>磋商</w:t>
      </w:r>
      <w:r>
        <w:rPr>
          <w:rFonts w:hint="eastAsia" w:ascii="宋体" w:hAnsi="宋体" w:cs="宋体"/>
          <w:color w:val="auto"/>
          <w:highlight w:val="none"/>
          <w:lang w:val="zh-CN"/>
        </w:rPr>
        <w:t>无效。</w:t>
      </w:r>
    </w:p>
    <w:p w14:paraId="60877FBD">
      <w:pPr>
        <w:pStyle w:val="16"/>
        <w:spacing w:line="336" w:lineRule="auto"/>
        <w:ind w:left="400" w:leftChars="200"/>
        <w:rPr>
          <w:rFonts w:hAnsi="宋体"/>
          <w:b/>
          <w:bCs/>
          <w:color w:val="auto"/>
          <w:sz w:val="24"/>
          <w:szCs w:val="24"/>
          <w:highlight w:val="none"/>
        </w:rPr>
      </w:pPr>
      <w:r>
        <w:rPr>
          <w:rFonts w:hint="eastAsia" w:hAnsi="宋体"/>
          <w:b/>
          <w:bCs/>
          <w:color w:val="auto"/>
          <w:sz w:val="24"/>
          <w:szCs w:val="24"/>
          <w:highlight w:val="none"/>
        </w:rPr>
        <w:t>7、响应文件的澄清</w:t>
      </w:r>
    </w:p>
    <w:p w14:paraId="2D22D6E5">
      <w:pPr>
        <w:pStyle w:val="62"/>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7.1</w:t>
      </w:r>
      <w:r>
        <w:rPr>
          <w:rFonts w:hint="eastAsia" w:ascii="宋体" w:hAnsi="宋体" w:cs="宋体"/>
          <w:color w:val="auto"/>
          <w:highlight w:val="none"/>
          <w:lang w:val="zh-CN"/>
        </w:rPr>
        <w:t>评审中因</w:t>
      </w:r>
      <w:r>
        <w:rPr>
          <w:rFonts w:hint="eastAsia" w:ascii="宋体" w:hAnsi="宋体" w:cs="宋体"/>
          <w:color w:val="auto"/>
          <w:highlight w:val="none"/>
        </w:rPr>
        <w:t>响应</w:t>
      </w:r>
      <w:r>
        <w:rPr>
          <w:rFonts w:hint="eastAsia" w:ascii="宋体" w:hAnsi="宋体" w:cs="宋体"/>
          <w:color w:val="auto"/>
          <w:highlight w:val="none"/>
          <w:lang w:val="zh-CN"/>
        </w:rPr>
        <w:t>文件含义不明、表述不一致或有明显计算错误等内容需要供应商作出澄清、说明或者补正的，</w:t>
      </w:r>
      <w:r>
        <w:rPr>
          <w:rFonts w:hint="eastAsia" w:ascii="宋体" w:hAnsi="宋体" w:cs="宋体"/>
          <w:color w:val="auto"/>
          <w:highlight w:val="none"/>
        </w:rPr>
        <w:t>磋商小组</w:t>
      </w:r>
      <w:r>
        <w:rPr>
          <w:rFonts w:hint="eastAsia" w:ascii="宋体" w:hAnsi="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49D8DC08">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供应商通过政采云平台交换的数据电文必须进行电子签章。</w:t>
      </w:r>
    </w:p>
    <w:p w14:paraId="3F5D99F8">
      <w:pPr>
        <w:pStyle w:val="9"/>
        <w:numPr>
          <w:ilvl w:val="0"/>
          <w:numId w:val="17"/>
        </w:numPr>
        <w:jc w:val="center"/>
        <w:rPr>
          <w:rFonts w:cs="Times New Roman"/>
          <w:color w:val="auto"/>
          <w:highlight w:val="none"/>
        </w:rPr>
      </w:pPr>
      <w:r>
        <w:rPr>
          <w:color w:val="auto"/>
          <w:highlight w:val="none"/>
        </w:rPr>
        <w:t xml:space="preserve"> </w:t>
      </w:r>
      <w:bookmarkStart w:id="105" w:name="_Toc12816"/>
      <w:bookmarkStart w:id="106" w:name="_Toc1778"/>
      <w:bookmarkStart w:id="107" w:name="_Toc25946"/>
      <w:r>
        <w:rPr>
          <w:rFonts w:hint="eastAsia"/>
          <w:color w:val="auto"/>
          <w:highlight w:val="none"/>
        </w:rPr>
        <w:t>注意事项</w:t>
      </w:r>
      <w:bookmarkEnd w:id="105"/>
      <w:bookmarkEnd w:id="106"/>
      <w:bookmarkEnd w:id="107"/>
    </w:p>
    <w:p w14:paraId="21E2E8B1">
      <w:pPr>
        <w:pStyle w:val="10"/>
        <w:spacing w:line="336" w:lineRule="auto"/>
        <w:rPr>
          <w:b/>
          <w:bCs/>
          <w:color w:val="auto"/>
          <w:sz w:val="24"/>
          <w:szCs w:val="24"/>
          <w:highlight w:val="none"/>
        </w:rPr>
      </w:pPr>
      <w:r>
        <w:rPr>
          <w:rFonts w:hint="eastAsia"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4DBF6DF2">
      <w:pPr>
        <w:pStyle w:val="9"/>
        <w:numPr>
          <w:ilvl w:val="0"/>
          <w:numId w:val="18"/>
        </w:numPr>
        <w:jc w:val="center"/>
        <w:rPr>
          <w:rFonts w:cs="Times New Roman"/>
          <w:color w:val="auto"/>
          <w:highlight w:val="none"/>
        </w:rPr>
      </w:pPr>
      <w:r>
        <w:rPr>
          <w:color w:val="auto"/>
          <w:highlight w:val="none"/>
        </w:rPr>
        <w:t xml:space="preserve"> </w:t>
      </w:r>
      <w:bookmarkStart w:id="108" w:name="_Toc6127"/>
      <w:bookmarkStart w:id="109" w:name="_Toc26903"/>
      <w:bookmarkStart w:id="110" w:name="_Toc13782"/>
      <w:r>
        <w:rPr>
          <w:rFonts w:hint="eastAsia"/>
          <w:color w:val="auto"/>
          <w:highlight w:val="none"/>
        </w:rPr>
        <w:t>评分细则</w:t>
      </w:r>
      <w:bookmarkEnd w:id="108"/>
      <w:bookmarkEnd w:id="109"/>
      <w:bookmarkEnd w:id="110"/>
    </w:p>
    <w:p w14:paraId="4A04FA4B">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一、报价文件评分标准（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rPr>
        <w:t>20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1414501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报价文件主要是对供应商的有效报价进行评议，其评分标准及分值设置规则如下：</w:t>
      </w:r>
    </w:p>
    <w:p w14:paraId="33AEE7AF">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、本次采购最高限价规定如下：</w:t>
      </w:r>
    </w:p>
    <w:p w14:paraId="60EB605F">
      <w:pPr>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本项目投标报价的最高限价</w:t>
      </w:r>
      <w:r>
        <w:rPr>
          <w:rFonts w:hint="eastAsia" w:ascii="宋体" w:hAnsi="宋体" w:cs="宋体"/>
          <w:b/>
          <w:bCs/>
          <w:color w:val="auto"/>
          <w:sz w:val="24"/>
          <w:szCs w:val="24"/>
          <w:highlight w:val="none"/>
        </w:rPr>
        <w:t>为人民币</w:t>
      </w:r>
      <w:r>
        <w:rPr>
          <w:rFonts w:hint="eastAsia" w:ascii="宋体" w:hAnsi="宋体" w:cs="宋体"/>
          <w:b/>
          <w:bCs/>
          <w:color w:val="auto"/>
          <w:sz w:val="24"/>
          <w:szCs w:val="24"/>
          <w:highlight w:val="none"/>
          <w:u w:val="single"/>
          <w:lang w:val="en-US" w:eastAsia="zh-CN"/>
        </w:rPr>
        <w:t>柒拾万元</w:t>
      </w:r>
      <w:r>
        <w:rPr>
          <w:rFonts w:hint="eastAsia" w:ascii="宋体" w:hAnsi="宋体"/>
          <w:b/>
          <w:color w:val="auto"/>
          <w:sz w:val="24"/>
          <w:szCs w:val="21"/>
          <w:highlight w:val="none"/>
          <w:u w:val="single"/>
        </w:rPr>
        <w:t>整</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700000.00</w:t>
      </w:r>
      <w:r>
        <w:rPr>
          <w:rFonts w:hint="eastAsia" w:ascii="宋体" w:hAnsi="宋体" w:cs="宋体"/>
          <w:b/>
          <w:bCs/>
          <w:color w:val="auto"/>
          <w:sz w:val="24"/>
          <w:szCs w:val="24"/>
          <w:highlight w:val="none"/>
        </w:rPr>
        <w:t>）。</w:t>
      </w:r>
    </w:p>
    <w:p w14:paraId="00E41C3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、供应商的报价在最高限价内的，为有效报价。</w:t>
      </w:r>
    </w:p>
    <w:p w14:paraId="4D872026">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、本次评标设有最佳报价。最佳报价确定方式：根据所有入围供应商有效报价中的最低报价作为最佳报价。</w:t>
      </w:r>
    </w:p>
    <w:p w14:paraId="1B8D4A6C">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、最佳报价者的报价分为满分，其他供应商的有效报价与最佳报价相比，按下列方法计算其报价分：</w:t>
      </w:r>
    </w:p>
    <w:p w14:paraId="1EC4900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投标价格分</w:t>
      </w:r>
      <w:r>
        <w:rPr>
          <w:rFonts w:ascii="宋体" w:hAnsi="宋体" w:cs="宋体"/>
          <w:color w:val="auto"/>
          <w:sz w:val="24"/>
          <w:szCs w:val="24"/>
          <w:highlight w:val="none"/>
        </w:rPr>
        <w:t>=(</w:t>
      </w:r>
      <w:r>
        <w:rPr>
          <w:rFonts w:hint="eastAsia" w:ascii="宋体" w:hAnsi="宋体" w:cs="宋体"/>
          <w:color w:val="auto"/>
          <w:sz w:val="24"/>
          <w:szCs w:val="24"/>
          <w:highlight w:val="none"/>
        </w:rPr>
        <w:t>最佳报价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ascii="宋体" w:hAnsi="宋体" w:cs="宋体"/>
          <w:color w:val="auto"/>
          <w:sz w:val="24"/>
          <w:szCs w:val="24"/>
          <w:highlight w:val="none"/>
        </w:rPr>
        <w:t>)*</w:t>
      </w:r>
      <w:r>
        <w:rPr>
          <w:rFonts w:hint="eastAsia" w:ascii="宋体" w:hAnsi="宋体" w:cs="宋体"/>
          <w:color w:val="auto"/>
          <w:sz w:val="24"/>
          <w:szCs w:val="24"/>
          <w:highlight w:val="none"/>
        </w:rPr>
        <w:t>价格权值</w:t>
      </w:r>
      <w:r>
        <w:rPr>
          <w:rFonts w:ascii="宋体" w:hAnsi="宋体" w:cs="宋体"/>
          <w:color w:val="auto"/>
          <w:sz w:val="24"/>
          <w:szCs w:val="24"/>
          <w:highlight w:val="none"/>
        </w:rPr>
        <w:t>*100</w:t>
      </w:r>
      <w:r>
        <w:rPr>
          <w:rFonts w:hint="eastAsia" w:ascii="宋体" w:hAnsi="宋体" w:cs="宋体"/>
          <w:color w:val="auto"/>
          <w:sz w:val="24"/>
          <w:szCs w:val="24"/>
          <w:highlight w:val="none"/>
        </w:rPr>
        <w:t>。</w:t>
      </w:r>
    </w:p>
    <w:p w14:paraId="1F1B6538">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、当报价一览表与磋商报价明细表报价不一致时，以报价一览表为准，磋商报价明细表报价予以修正并由授权代表签字确认，拒绝修正或确认的，则做无效标处理。</w:t>
      </w:r>
    </w:p>
    <w:p w14:paraId="10C9C95B">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highlight w:val="none"/>
        </w:rPr>
        <w:t>0</w:t>
      </w:r>
      <w:r>
        <w:rPr>
          <w:rFonts w:hint="eastAsia" w:ascii="宋体" w:hAnsi="宋体" w:cs="宋体"/>
          <w:color w:val="auto"/>
          <w:sz w:val="24"/>
          <w:szCs w:val="24"/>
          <w:highlight w:val="none"/>
        </w:rPr>
        <w:t>”元，视同赠送）</w:t>
      </w:r>
      <w:r>
        <w:rPr>
          <w:rFonts w:ascii="宋体" w:cs="宋体"/>
          <w:color w:val="auto"/>
          <w:sz w:val="24"/>
          <w:szCs w:val="24"/>
          <w:highlight w:val="none"/>
        </w:rPr>
        <w:t>,</w:t>
      </w:r>
      <w:r>
        <w:rPr>
          <w:rFonts w:hint="eastAsia" w:ascii="宋体" w:hAnsi="宋体" w:cs="宋体"/>
          <w:color w:val="auto"/>
          <w:sz w:val="24"/>
          <w:szCs w:val="24"/>
          <w:highlight w:val="none"/>
        </w:rPr>
        <w:t>如出现则做</w:t>
      </w:r>
      <w:r>
        <w:rPr>
          <w:rFonts w:hint="eastAsia" w:ascii="宋体" w:hAnsi="宋体" w:cs="宋体"/>
          <w:b/>
          <w:bCs/>
          <w:color w:val="auto"/>
          <w:sz w:val="24"/>
          <w:szCs w:val="24"/>
          <w:highlight w:val="none"/>
        </w:rPr>
        <w:t>无效响应</w:t>
      </w:r>
      <w:r>
        <w:rPr>
          <w:rFonts w:hint="eastAsia" w:ascii="宋体" w:hAnsi="宋体" w:cs="宋体"/>
          <w:color w:val="auto"/>
          <w:sz w:val="24"/>
          <w:szCs w:val="24"/>
          <w:highlight w:val="none"/>
        </w:rPr>
        <w:t>处理。</w:t>
      </w:r>
    </w:p>
    <w:p w14:paraId="1CF8155F">
      <w:pPr>
        <w:autoSpaceDE w:val="0"/>
        <w:autoSpaceDN w:val="0"/>
        <w:spacing w:line="360" w:lineRule="auto"/>
        <w:ind w:firstLine="482"/>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投标价格的合理性</w:t>
      </w:r>
      <w:r>
        <w:rPr>
          <w:rFonts w:hint="eastAsia" w:ascii="宋体" w:hAnsi="宋体" w:cs="宋体"/>
          <w:color w:val="auto"/>
          <w:sz w:val="24"/>
          <w:szCs w:val="24"/>
          <w:highlight w:val="none"/>
        </w:rPr>
        <w:t>：</w:t>
      </w:r>
      <w:r>
        <w:rPr>
          <w:rFonts w:hint="eastAsia" w:ascii="Arial" w:hAnsi="Arial"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068E1B4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olor w:val="auto"/>
          <w:sz w:val="24"/>
          <w:szCs w:val="21"/>
          <w:highlight w:val="none"/>
        </w:rPr>
        <w:t>价格扣除：</w:t>
      </w:r>
      <w:bookmarkStart w:id="111" w:name="_Toc20488"/>
      <w:bookmarkStart w:id="112" w:name="_Toc29672"/>
      <w:r>
        <w:rPr>
          <w:rFonts w:hint="eastAsia" w:ascii="宋体" w:hAnsi="宋体" w:cs="宋体"/>
          <w:color w:val="auto"/>
          <w:sz w:val="24"/>
          <w:szCs w:val="24"/>
          <w:highlight w:val="none"/>
        </w:rPr>
        <w:t>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AFDA3A6">
      <w:pPr>
        <w:spacing w:line="360" w:lineRule="auto"/>
        <w:ind w:firstLine="480" w:firstLineChars="200"/>
        <w:rPr>
          <w:rFonts w:ascii="宋体" w:hAnsi="宋体" w:cs="宋体"/>
          <w:color w:val="auto"/>
          <w:sz w:val="24"/>
          <w:szCs w:val="24"/>
          <w:highlight w:val="none"/>
        </w:rPr>
      </w:pPr>
      <w:r>
        <w:rPr>
          <w:rFonts w:hint="eastAsia" w:ascii="宋体" w:hAnsi="宋体"/>
          <w:color w:val="auto"/>
          <w:sz w:val="24"/>
          <w:szCs w:val="21"/>
          <w:highlight w:val="none"/>
        </w:rPr>
        <w:t>根据</w:t>
      </w:r>
      <w:r>
        <w:rPr>
          <w:rFonts w:hint="eastAsia" w:ascii="宋体" w:hAnsi="宋体"/>
          <w:color w:val="auto"/>
          <w:sz w:val="24"/>
          <w:szCs w:val="21"/>
          <w:highlight w:val="none"/>
          <w:lang w:val="en-US" w:eastAsia="zh-CN"/>
        </w:rPr>
        <w:t>财政部</w:t>
      </w:r>
      <w:r>
        <w:rPr>
          <w:rFonts w:hint="eastAsia" w:ascii="宋体" w:hAnsi="宋体"/>
          <w:color w:val="auto"/>
          <w:sz w:val="24"/>
          <w:szCs w:val="21"/>
          <w:highlight w:val="none"/>
        </w:rPr>
        <w:t>的《关于进一步加大政府采购支持中小企业力度的通知》（</w:t>
      </w:r>
      <w:r>
        <w:rPr>
          <w:rFonts w:hint="eastAsia" w:ascii="宋体" w:hAnsi="宋体"/>
          <w:color w:val="auto"/>
          <w:sz w:val="24"/>
          <w:szCs w:val="21"/>
          <w:highlight w:val="none"/>
          <w:lang w:val="en-US" w:eastAsia="zh-CN"/>
        </w:rPr>
        <w:t>财库</w:t>
      </w:r>
      <w:r>
        <w:rPr>
          <w:rFonts w:hint="eastAsia" w:ascii="宋体" w:hAnsi="宋体"/>
          <w:color w:val="auto"/>
          <w:sz w:val="24"/>
          <w:szCs w:val="21"/>
          <w:highlight w:val="none"/>
        </w:rPr>
        <w:t>〔2022〕</w:t>
      </w:r>
      <w:r>
        <w:rPr>
          <w:rFonts w:hint="eastAsia" w:ascii="宋体" w:hAnsi="宋体"/>
          <w:color w:val="auto"/>
          <w:sz w:val="24"/>
          <w:szCs w:val="21"/>
          <w:highlight w:val="none"/>
          <w:lang w:val="en-US" w:eastAsia="zh-CN"/>
        </w:rPr>
        <w:t>19</w:t>
      </w:r>
      <w:r>
        <w:rPr>
          <w:rFonts w:hint="eastAsia" w:ascii="宋体" w:hAnsi="宋体"/>
          <w:color w:val="auto"/>
          <w:sz w:val="24"/>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color w:val="auto"/>
          <w:sz w:val="24"/>
          <w:szCs w:val="21"/>
          <w:highlight w:val="none"/>
          <w:lang w:val="en-US" w:eastAsia="zh-CN"/>
        </w:rPr>
        <w:t>10%</w:t>
      </w:r>
      <w:r>
        <w:rPr>
          <w:rFonts w:hint="eastAsia" w:ascii="宋体" w:hAnsi="宋体"/>
          <w:color w:val="auto"/>
          <w:sz w:val="24"/>
          <w:szCs w:val="21"/>
          <w:highlight w:val="none"/>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color w:val="auto"/>
          <w:sz w:val="24"/>
          <w:szCs w:val="21"/>
          <w:highlight w:val="none"/>
          <w:lang w:val="en-US" w:eastAsia="zh-CN"/>
        </w:rPr>
        <w:t>4%</w:t>
      </w:r>
      <w:r>
        <w:rPr>
          <w:rFonts w:hint="eastAsia" w:ascii="宋体" w:hAnsi="宋体"/>
          <w:color w:val="auto"/>
          <w:sz w:val="24"/>
          <w:szCs w:val="21"/>
          <w:highlight w:val="none"/>
        </w:rPr>
        <w:t>给予扣除，用扣除后的价格参加评审。（中标价及合同价仍以其投标报价为准）</w:t>
      </w:r>
    </w:p>
    <w:p w14:paraId="0777AFEB">
      <w:pPr>
        <w:spacing w:line="360" w:lineRule="auto"/>
        <w:ind w:firstLine="480" w:firstLineChars="200"/>
        <w:rPr>
          <w:color w:val="auto"/>
          <w:highlight w:val="none"/>
        </w:rPr>
      </w:pPr>
      <w:r>
        <w:rPr>
          <w:rFonts w:hint="eastAsia" w:ascii="宋体" w:hAnsi="宋体" w:cs="宋体"/>
          <w:color w:val="auto"/>
          <w:sz w:val="24"/>
          <w:szCs w:val="24"/>
          <w:highlight w:val="none"/>
        </w:rPr>
        <w:t>组成联合体或者接受分包的小微企业与联合体内其他企业、分包企业之间存在直接控股、管理关系的，不享受价格</w:t>
      </w:r>
      <w:r>
        <w:rPr>
          <w:rFonts w:hint="eastAsia" w:ascii="Arial" w:hAnsi="Arial" w:cs="宋体"/>
          <w:color w:val="auto"/>
          <w:sz w:val="24"/>
          <w:szCs w:val="24"/>
          <w:highlight w:val="none"/>
        </w:rPr>
        <w:t>扣除优惠政策。联合体各方均为小型、微型企业的，联合体视同为小型、微型企业。</w:t>
      </w:r>
    </w:p>
    <w:p w14:paraId="7C026A9B">
      <w:pPr>
        <w:spacing w:line="360" w:lineRule="auto"/>
        <w:ind w:firstLine="482" w:firstLineChars="200"/>
        <w:outlineLvl w:val="1"/>
        <w:rPr>
          <w:rFonts w:hint="eastAsia" w:ascii="宋体" w:hAnsi="宋体" w:cs="宋体"/>
          <w:b/>
          <w:bCs/>
          <w:color w:val="auto"/>
          <w:sz w:val="24"/>
          <w:szCs w:val="24"/>
          <w:highlight w:val="none"/>
        </w:rPr>
      </w:pPr>
      <w:bookmarkStart w:id="113" w:name="_Toc12902"/>
      <w:r>
        <w:rPr>
          <w:rFonts w:hint="eastAsia" w:ascii="宋体" w:hAnsi="宋体" w:cs="宋体"/>
          <w:b/>
          <w:bCs/>
          <w:color w:val="auto"/>
          <w:sz w:val="24"/>
          <w:szCs w:val="24"/>
          <w:highlight w:val="none"/>
        </w:rPr>
        <w:t>二、商务技术文件评标内容及标准（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rPr>
        <w:t>80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bookmarkEnd w:id="111"/>
      <w:bookmarkEnd w:id="112"/>
      <w:bookmarkEnd w:id="113"/>
    </w:p>
    <w:p w14:paraId="29CD9EF2">
      <w:pPr>
        <w:ind w:firstLine="482" w:firstLineChars="200"/>
        <w:rPr>
          <w:color w:val="auto"/>
          <w:highlight w:val="none"/>
        </w:rPr>
      </w:pPr>
      <w:r>
        <w:rPr>
          <w:rFonts w:hint="eastAsia" w:ascii="宋体" w:hAnsi="宋体" w:cs="宋体"/>
          <w:b/>
          <w:bCs/>
          <w:color w:val="auto"/>
          <w:sz w:val="24"/>
          <w:szCs w:val="24"/>
          <w:highlight w:val="none"/>
        </w:rPr>
        <w:t>1、评分细则</w:t>
      </w:r>
    </w:p>
    <w:tbl>
      <w:tblPr>
        <w:tblStyle w:val="2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661"/>
        <w:gridCol w:w="5754"/>
        <w:gridCol w:w="843"/>
      </w:tblGrid>
      <w:tr w14:paraId="4361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922" w:type="dxa"/>
            <w:gridSpan w:val="2"/>
            <w:noWrap/>
            <w:vAlign w:val="center"/>
          </w:tcPr>
          <w:p w14:paraId="008CD7E1">
            <w:pPr>
              <w:pStyle w:val="38"/>
              <w:bidi w:val="0"/>
              <w:jc w:val="center"/>
              <w:rPr>
                <w:rFonts w:hint="eastAsia" w:ascii="宋体" w:hAnsi="宋体" w:eastAsia="宋体" w:cs="宋体"/>
                <w:b/>
                <w:bCs/>
                <w:sz w:val="24"/>
                <w:szCs w:val="24"/>
                <w:highlight w:val="none"/>
              </w:rPr>
            </w:pPr>
            <w:bookmarkStart w:id="114" w:name="_Toc8033"/>
            <w:bookmarkStart w:id="115" w:name="_Toc4517"/>
            <w:r>
              <w:rPr>
                <w:rFonts w:hint="eastAsia" w:ascii="宋体" w:hAnsi="宋体" w:eastAsia="宋体" w:cs="宋体"/>
                <w:b/>
                <w:bCs/>
                <w:sz w:val="24"/>
                <w:szCs w:val="24"/>
                <w:highlight w:val="none"/>
              </w:rPr>
              <w:t>评审项目</w:t>
            </w:r>
          </w:p>
        </w:tc>
        <w:tc>
          <w:tcPr>
            <w:tcW w:w="5754" w:type="dxa"/>
            <w:noWrap/>
            <w:vAlign w:val="center"/>
          </w:tcPr>
          <w:p w14:paraId="2D86874F">
            <w:pPr>
              <w:pStyle w:val="38"/>
              <w:bidi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c>
          <w:tcPr>
            <w:tcW w:w="843" w:type="dxa"/>
            <w:noWrap/>
            <w:vAlign w:val="center"/>
          </w:tcPr>
          <w:p w14:paraId="504AB551">
            <w:pPr>
              <w:pStyle w:val="38"/>
              <w:bidi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r>
      <w:tr w14:paraId="6FB7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61" w:type="dxa"/>
            <w:vMerge w:val="restart"/>
            <w:noWrap/>
            <w:vAlign w:val="center"/>
          </w:tcPr>
          <w:p w14:paraId="614E3BC9">
            <w:pPr>
              <w:pStyle w:val="38"/>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w:t>
            </w:r>
          </w:p>
        </w:tc>
        <w:tc>
          <w:tcPr>
            <w:tcW w:w="1661" w:type="dxa"/>
            <w:vMerge w:val="restart"/>
            <w:noWrap/>
            <w:vAlign w:val="center"/>
          </w:tcPr>
          <w:p w14:paraId="2111C276">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napToGrid/>
                <w:color w:val="auto"/>
                <w:kern w:val="0"/>
                <w:sz w:val="24"/>
                <w:szCs w:val="20"/>
                <w:highlight w:val="none"/>
                <w:lang w:val="en-US" w:eastAsia="zh-CN" w:bidi="ar"/>
              </w:rPr>
              <w:t>项目理解</w:t>
            </w:r>
          </w:p>
        </w:tc>
        <w:tc>
          <w:tcPr>
            <w:tcW w:w="5754" w:type="dxa"/>
            <w:noWrap/>
            <w:vAlign w:val="center"/>
          </w:tcPr>
          <w:p w14:paraId="5CC8BC2C">
            <w:pPr>
              <w:keepNext w:val="0"/>
              <w:keepLines w:val="0"/>
              <w:widowControl w:val="0"/>
              <w:suppressLineNumbers w:val="0"/>
              <w:snapToGrid w:val="0"/>
              <w:spacing w:before="0" w:beforeAutospacing="0" w:after="0" w:afterAutospacing="0"/>
              <w:ind w:left="0" w:leftChars="0" w:right="0" w:rightChars="0"/>
              <w:jc w:val="left"/>
              <w:rPr>
                <w:rFonts w:hint="eastAsia" w:ascii="宋体" w:hAnsi="宋体" w:eastAsia="宋体" w:cs="宋体"/>
                <w:sz w:val="24"/>
                <w:szCs w:val="24"/>
                <w:highlight w:val="none"/>
                <w:lang w:val="en-US" w:eastAsia="zh-CN"/>
              </w:rPr>
            </w:pPr>
            <w:r>
              <w:rPr>
                <w:rFonts w:hint="eastAsia" w:ascii="宋体" w:hAnsi="宋体" w:eastAsia="宋体" w:cs="宋体"/>
                <w:snapToGrid/>
                <w:color w:val="auto"/>
                <w:kern w:val="0"/>
                <w:sz w:val="24"/>
                <w:szCs w:val="20"/>
                <w:highlight w:val="none"/>
                <w:lang w:val="en-US" w:eastAsia="zh-CN" w:bidi="ar"/>
              </w:rPr>
              <w:t>评委根据供应商对整体项目的背景认识、理解深刻程度进行打分。</w:t>
            </w:r>
          </w:p>
        </w:tc>
        <w:tc>
          <w:tcPr>
            <w:tcW w:w="843" w:type="dxa"/>
            <w:noWrap/>
            <w:vAlign w:val="center"/>
          </w:tcPr>
          <w:p w14:paraId="4B1EE660">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napToGrid/>
                <w:color w:val="auto"/>
                <w:kern w:val="0"/>
                <w:sz w:val="24"/>
                <w:szCs w:val="20"/>
                <w:highlight w:val="none"/>
                <w:lang w:val="en-US" w:eastAsia="zh-CN" w:bidi="ar"/>
              </w:rPr>
              <w:t>5</w:t>
            </w:r>
          </w:p>
        </w:tc>
      </w:tr>
      <w:tr w14:paraId="684B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61" w:type="dxa"/>
            <w:vMerge w:val="continue"/>
            <w:noWrap/>
            <w:vAlign w:val="center"/>
          </w:tcPr>
          <w:p w14:paraId="2EC2327B">
            <w:pPr>
              <w:pStyle w:val="38"/>
              <w:bidi w:val="0"/>
              <w:jc w:val="center"/>
              <w:rPr>
                <w:rFonts w:hint="eastAsia" w:ascii="宋体" w:hAnsi="宋体" w:eastAsia="宋体" w:cs="宋体"/>
                <w:sz w:val="24"/>
                <w:szCs w:val="24"/>
                <w:highlight w:val="none"/>
                <w:lang w:val="en-US" w:eastAsia="zh-CN"/>
              </w:rPr>
            </w:pPr>
          </w:p>
        </w:tc>
        <w:tc>
          <w:tcPr>
            <w:tcW w:w="1661" w:type="dxa"/>
            <w:vMerge w:val="continue"/>
            <w:noWrap/>
            <w:vAlign w:val="center"/>
          </w:tcPr>
          <w:p w14:paraId="45DC5456">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highlight w:val="none"/>
                <w:lang w:val="en-US" w:eastAsia="zh-CN"/>
              </w:rPr>
            </w:pPr>
          </w:p>
        </w:tc>
        <w:tc>
          <w:tcPr>
            <w:tcW w:w="5754" w:type="dxa"/>
            <w:noWrap/>
            <w:vAlign w:val="center"/>
          </w:tcPr>
          <w:p w14:paraId="64A7BFA7">
            <w:pPr>
              <w:keepNext w:val="0"/>
              <w:keepLines w:val="0"/>
              <w:widowControl w:val="0"/>
              <w:suppressLineNumbers w:val="0"/>
              <w:snapToGrid w:val="0"/>
              <w:spacing w:before="0" w:beforeAutospacing="0" w:after="0" w:afterAutospacing="0"/>
              <w:ind w:left="0" w:leftChars="0" w:right="0" w:rightChars="0"/>
              <w:jc w:val="left"/>
              <w:rPr>
                <w:rFonts w:hint="eastAsia" w:ascii="宋体" w:hAnsi="宋体" w:eastAsia="宋体" w:cs="宋体"/>
                <w:sz w:val="24"/>
                <w:szCs w:val="24"/>
                <w:highlight w:val="none"/>
                <w:lang w:val="en-US" w:eastAsia="zh-CN"/>
              </w:rPr>
            </w:pPr>
            <w:r>
              <w:rPr>
                <w:rFonts w:hint="eastAsia" w:ascii="宋体" w:hAnsi="宋体" w:eastAsia="宋体" w:cs="宋体"/>
                <w:snapToGrid/>
                <w:color w:val="auto"/>
                <w:kern w:val="0"/>
                <w:sz w:val="24"/>
                <w:szCs w:val="20"/>
                <w:highlight w:val="none"/>
                <w:lang w:val="en-US" w:eastAsia="zh-CN" w:bidi="ar"/>
              </w:rPr>
              <w:t>评委根据供应商对整体项目的服务定位、工作目标、服务需求等理解</w:t>
            </w:r>
            <w:r>
              <w:rPr>
                <w:rFonts w:hint="eastAsia" w:ascii="宋体" w:hAnsi="宋体" w:cs="宋体"/>
                <w:snapToGrid/>
                <w:color w:val="auto"/>
                <w:kern w:val="0"/>
                <w:sz w:val="24"/>
                <w:szCs w:val="20"/>
                <w:highlight w:val="none"/>
                <w:lang w:val="en-US" w:eastAsia="zh-CN" w:bidi="ar"/>
              </w:rPr>
              <w:t>的</w:t>
            </w:r>
            <w:r>
              <w:rPr>
                <w:rFonts w:hint="eastAsia" w:ascii="宋体" w:hAnsi="宋体" w:eastAsia="宋体" w:cs="宋体"/>
                <w:snapToGrid/>
                <w:color w:val="auto"/>
                <w:kern w:val="0"/>
                <w:sz w:val="24"/>
                <w:szCs w:val="20"/>
                <w:highlight w:val="none"/>
                <w:lang w:val="en-US" w:eastAsia="zh-CN" w:bidi="ar"/>
              </w:rPr>
              <w:t>深入性进行打分。</w:t>
            </w:r>
          </w:p>
        </w:tc>
        <w:tc>
          <w:tcPr>
            <w:tcW w:w="843" w:type="dxa"/>
            <w:noWrap/>
            <w:vAlign w:val="center"/>
          </w:tcPr>
          <w:p w14:paraId="1ACC0098">
            <w:pPr>
              <w:keepNext w:val="0"/>
              <w:keepLines w:val="0"/>
              <w:widowControl w:val="0"/>
              <w:suppressLineNumbers w:val="0"/>
              <w:snapToGrid w:val="0"/>
              <w:spacing w:before="0" w:beforeAutospacing="0" w:after="0" w:afterAutospacing="0"/>
              <w:ind w:left="0" w:leftChars="0" w:right="0" w:rightChars="0"/>
              <w:jc w:val="center"/>
              <w:rPr>
                <w:rFonts w:hint="default" w:ascii="宋体" w:hAnsi="宋体" w:eastAsia="宋体" w:cs="宋体"/>
                <w:sz w:val="24"/>
                <w:szCs w:val="24"/>
                <w:highlight w:val="none"/>
                <w:lang w:val="en-US" w:eastAsia="zh-CN"/>
              </w:rPr>
            </w:pPr>
            <w:r>
              <w:rPr>
                <w:rFonts w:hint="eastAsia" w:ascii="宋体" w:hAnsi="宋体" w:cs="宋体"/>
                <w:snapToGrid/>
                <w:color w:val="auto"/>
                <w:kern w:val="0"/>
                <w:sz w:val="24"/>
                <w:szCs w:val="20"/>
                <w:highlight w:val="none"/>
                <w:lang w:val="en-US" w:eastAsia="zh-CN" w:bidi="ar"/>
              </w:rPr>
              <w:t>5</w:t>
            </w:r>
          </w:p>
        </w:tc>
      </w:tr>
      <w:tr w14:paraId="5BFB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1" w:type="dxa"/>
            <w:vMerge w:val="continue"/>
            <w:noWrap/>
            <w:vAlign w:val="center"/>
          </w:tcPr>
          <w:p w14:paraId="507BAF31">
            <w:pPr>
              <w:pStyle w:val="38"/>
              <w:bidi w:val="0"/>
              <w:rPr>
                <w:rFonts w:hint="eastAsia" w:ascii="宋体" w:hAnsi="宋体" w:eastAsia="宋体" w:cs="宋体"/>
                <w:sz w:val="24"/>
                <w:szCs w:val="24"/>
                <w:highlight w:val="none"/>
              </w:rPr>
            </w:pPr>
          </w:p>
        </w:tc>
        <w:tc>
          <w:tcPr>
            <w:tcW w:w="1661" w:type="dxa"/>
            <w:vMerge w:val="restart"/>
            <w:noWrap/>
            <w:vAlign w:val="center"/>
          </w:tcPr>
          <w:p w14:paraId="43850BE1">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napToGrid/>
                <w:color w:val="auto"/>
                <w:kern w:val="0"/>
                <w:sz w:val="24"/>
                <w:szCs w:val="20"/>
                <w:highlight w:val="none"/>
                <w:lang w:val="en-US" w:eastAsia="zh-CN" w:bidi="ar"/>
              </w:rPr>
              <w:t>项目方案</w:t>
            </w:r>
          </w:p>
        </w:tc>
        <w:tc>
          <w:tcPr>
            <w:tcW w:w="5754" w:type="dxa"/>
            <w:noWrap/>
            <w:vAlign w:val="center"/>
          </w:tcPr>
          <w:p w14:paraId="6D372C19">
            <w:pPr>
              <w:keepNext w:val="0"/>
              <w:keepLines w:val="0"/>
              <w:widowControl w:val="0"/>
              <w:suppressLineNumbers w:val="0"/>
              <w:snapToGrid w:val="0"/>
              <w:spacing w:before="0" w:beforeAutospacing="0" w:after="0" w:afterAutospacing="0"/>
              <w:ind w:left="0" w:leftChars="0" w:right="0" w:rightChars="0"/>
              <w:jc w:val="left"/>
              <w:rPr>
                <w:rFonts w:hint="eastAsia" w:ascii="宋体" w:hAnsi="宋体" w:eastAsia="宋体" w:cs="宋体"/>
                <w:sz w:val="24"/>
                <w:szCs w:val="24"/>
                <w:highlight w:val="none"/>
                <w:lang w:val="en-US" w:eastAsia="zh-CN"/>
              </w:rPr>
            </w:pPr>
            <w:r>
              <w:rPr>
                <w:rFonts w:hint="eastAsia" w:ascii="宋体" w:hAnsi="宋体" w:eastAsia="宋体" w:cs="宋体"/>
                <w:snapToGrid/>
                <w:color w:val="auto"/>
                <w:kern w:val="0"/>
                <w:sz w:val="24"/>
                <w:szCs w:val="20"/>
                <w:highlight w:val="none"/>
                <w:lang w:val="en-US" w:eastAsia="zh-CN" w:bidi="ar"/>
              </w:rPr>
              <w:t>评委根据供应商针对本项目</w:t>
            </w:r>
            <w:r>
              <w:rPr>
                <w:rFonts w:hint="eastAsia" w:ascii="宋体" w:hAnsi="宋体" w:cs="宋体"/>
                <w:snapToGrid/>
                <w:color w:val="auto"/>
                <w:kern w:val="0"/>
                <w:sz w:val="24"/>
                <w:szCs w:val="20"/>
                <w:highlight w:val="none"/>
                <w:lang w:val="en-US" w:eastAsia="zh-CN" w:bidi="ar"/>
              </w:rPr>
              <w:t>提供</w:t>
            </w:r>
            <w:r>
              <w:rPr>
                <w:rFonts w:hint="eastAsia" w:ascii="宋体" w:hAnsi="宋体" w:eastAsia="宋体" w:cs="宋体"/>
                <w:snapToGrid/>
                <w:color w:val="auto"/>
                <w:kern w:val="0"/>
                <w:sz w:val="24"/>
                <w:szCs w:val="20"/>
                <w:highlight w:val="none"/>
                <w:lang w:val="en-US" w:eastAsia="zh-CN" w:bidi="ar"/>
              </w:rPr>
              <w:t>的社工站“1+</w:t>
            </w:r>
            <w:r>
              <w:rPr>
                <w:rFonts w:hint="eastAsia" w:ascii="宋体" w:hAnsi="宋体" w:cs="宋体"/>
                <w:snapToGrid/>
                <w:color w:val="auto"/>
                <w:kern w:val="0"/>
                <w:sz w:val="24"/>
                <w:szCs w:val="20"/>
                <w:highlight w:val="none"/>
                <w:lang w:val="en-US" w:eastAsia="zh-CN" w:bidi="ar"/>
              </w:rPr>
              <w:t>2</w:t>
            </w:r>
            <w:r>
              <w:rPr>
                <w:rFonts w:hint="eastAsia" w:ascii="宋体" w:hAnsi="宋体" w:eastAsia="宋体" w:cs="宋体"/>
                <w:snapToGrid/>
                <w:color w:val="auto"/>
                <w:kern w:val="0"/>
                <w:sz w:val="24"/>
                <w:szCs w:val="20"/>
                <w:highlight w:val="none"/>
                <w:lang w:val="en-US" w:eastAsia="zh-CN" w:bidi="ar"/>
              </w:rPr>
              <w:t>+</w:t>
            </w:r>
            <w:r>
              <w:rPr>
                <w:rFonts w:hint="eastAsia" w:ascii="宋体" w:hAnsi="宋体" w:cs="宋体"/>
                <w:snapToGrid/>
                <w:color w:val="auto"/>
                <w:kern w:val="0"/>
                <w:sz w:val="24"/>
                <w:szCs w:val="20"/>
                <w:highlight w:val="none"/>
                <w:lang w:val="en-US" w:eastAsia="zh-CN" w:bidi="ar"/>
              </w:rPr>
              <w:t>N</w:t>
            </w:r>
            <w:r>
              <w:rPr>
                <w:rFonts w:hint="eastAsia" w:ascii="宋体" w:hAnsi="宋体" w:eastAsia="宋体" w:cs="宋体"/>
                <w:snapToGrid/>
                <w:color w:val="auto"/>
                <w:kern w:val="0"/>
                <w:sz w:val="24"/>
                <w:szCs w:val="20"/>
                <w:highlight w:val="none"/>
                <w:lang w:val="en-US" w:eastAsia="zh-CN" w:bidi="ar"/>
              </w:rPr>
              <w:t>”服务方案的科学性、完整性、合理性、可操作性进行打分。</w:t>
            </w:r>
          </w:p>
        </w:tc>
        <w:tc>
          <w:tcPr>
            <w:tcW w:w="843" w:type="dxa"/>
            <w:noWrap/>
            <w:vAlign w:val="center"/>
          </w:tcPr>
          <w:p w14:paraId="1772834A">
            <w:pPr>
              <w:keepNext w:val="0"/>
              <w:keepLines w:val="0"/>
              <w:widowControl w:val="0"/>
              <w:suppressLineNumbers w:val="0"/>
              <w:snapToGrid w:val="0"/>
              <w:spacing w:before="0" w:beforeAutospacing="0" w:after="0" w:afterAutospacing="0"/>
              <w:ind w:left="0" w:leftChars="0" w:right="0" w:righ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r>
      <w:tr w14:paraId="51A9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61" w:type="dxa"/>
            <w:vMerge w:val="continue"/>
            <w:noWrap/>
            <w:vAlign w:val="center"/>
          </w:tcPr>
          <w:p w14:paraId="4A571938">
            <w:pPr>
              <w:pStyle w:val="38"/>
              <w:bidi w:val="0"/>
              <w:rPr>
                <w:rFonts w:hint="eastAsia" w:ascii="宋体" w:hAnsi="宋体" w:eastAsia="宋体" w:cs="宋体"/>
                <w:sz w:val="24"/>
                <w:szCs w:val="24"/>
                <w:highlight w:val="none"/>
              </w:rPr>
            </w:pPr>
          </w:p>
        </w:tc>
        <w:tc>
          <w:tcPr>
            <w:tcW w:w="1661" w:type="dxa"/>
            <w:vMerge w:val="continue"/>
            <w:noWrap/>
            <w:vAlign w:val="center"/>
          </w:tcPr>
          <w:p w14:paraId="3BBA372A">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highlight w:val="none"/>
                <w:lang w:val="en-US" w:eastAsia="zh-CN"/>
              </w:rPr>
            </w:pPr>
          </w:p>
        </w:tc>
        <w:tc>
          <w:tcPr>
            <w:tcW w:w="5754" w:type="dxa"/>
            <w:noWrap/>
            <w:vAlign w:val="center"/>
          </w:tcPr>
          <w:p w14:paraId="134F132A">
            <w:pPr>
              <w:keepNext w:val="0"/>
              <w:keepLines w:val="0"/>
              <w:widowControl w:val="0"/>
              <w:suppressLineNumbers w:val="0"/>
              <w:snapToGrid w:val="0"/>
              <w:spacing w:before="0" w:beforeAutospacing="0" w:after="0" w:afterAutospacing="0"/>
              <w:ind w:left="0" w:leftChars="0" w:right="0" w:rightChars="0"/>
              <w:jc w:val="left"/>
              <w:rPr>
                <w:rFonts w:hint="eastAsia" w:ascii="宋体" w:hAnsi="宋体" w:eastAsia="宋体" w:cs="宋体"/>
                <w:sz w:val="24"/>
                <w:szCs w:val="24"/>
                <w:highlight w:val="none"/>
                <w:lang w:val="en-US" w:eastAsia="zh-CN"/>
              </w:rPr>
            </w:pPr>
            <w:r>
              <w:rPr>
                <w:rFonts w:hint="eastAsia" w:ascii="宋体" w:hAnsi="宋体" w:eastAsia="宋体" w:cs="宋体"/>
                <w:snapToGrid/>
                <w:color w:val="auto"/>
                <w:kern w:val="0"/>
                <w:sz w:val="24"/>
                <w:szCs w:val="20"/>
                <w:highlight w:val="none"/>
                <w:lang w:val="en-US" w:eastAsia="zh-CN" w:bidi="ar"/>
              </w:rPr>
              <w:t>评委根据供应商针对本项目</w:t>
            </w:r>
            <w:r>
              <w:rPr>
                <w:rFonts w:hint="eastAsia" w:ascii="宋体" w:hAnsi="宋体" w:cs="宋体"/>
                <w:snapToGrid/>
                <w:color w:val="auto"/>
                <w:kern w:val="0"/>
                <w:sz w:val="24"/>
                <w:szCs w:val="20"/>
                <w:highlight w:val="none"/>
                <w:lang w:val="en-US" w:eastAsia="zh-CN" w:bidi="ar"/>
              </w:rPr>
              <w:t>提供</w:t>
            </w:r>
            <w:r>
              <w:rPr>
                <w:rFonts w:hint="eastAsia" w:ascii="宋体" w:hAnsi="宋体" w:eastAsia="宋体" w:cs="宋体"/>
                <w:snapToGrid/>
                <w:color w:val="auto"/>
                <w:kern w:val="0"/>
                <w:sz w:val="24"/>
                <w:szCs w:val="20"/>
                <w:highlight w:val="none"/>
                <w:lang w:val="en-US" w:eastAsia="zh-CN" w:bidi="ar"/>
              </w:rPr>
              <w:t>的乐龄中心服务方案的科学性、完整性、合理性进行打分。</w:t>
            </w:r>
          </w:p>
        </w:tc>
        <w:tc>
          <w:tcPr>
            <w:tcW w:w="843" w:type="dxa"/>
            <w:noWrap/>
            <w:vAlign w:val="center"/>
          </w:tcPr>
          <w:p w14:paraId="4591EF55">
            <w:pPr>
              <w:keepNext w:val="0"/>
              <w:keepLines w:val="0"/>
              <w:widowControl w:val="0"/>
              <w:suppressLineNumbers w:val="0"/>
              <w:snapToGrid w:val="0"/>
              <w:spacing w:before="0" w:beforeAutospacing="0" w:after="0" w:afterAutospacing="0"/>
              <w:ind w:left="0" w:leftChars="0" w:right="0" w:righ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r>
      <w:tr w14:paraId="40A8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61" w:type="dxa"/>
            <w:vMerge w:val="continue"/>
            <w:noWrap/>
            <w:vAlign w:val="center"/>
          </w:tcPr>
          <w:p w14:paraId="66A338D7">
            <w:pPr>
              <w:pStyle w:val="38"/>
              <w:bidi w:val="0"/>
              <w:rPr>
                <w:rFonts w:hint="eastAsia" w:ascii="宋体" w:hAnsi="宋体" w:eastAsia="宋体" w:cs="宋体"/>
                <w:sz w:val="24"/>
                <w:szCs w:val="24"/>
                <w:highlight w:val="none"/>
              </w:rPr>
            </w:pPr>
          </w:p>
        </w:tc>
        <w:tc>
          <w:tcPr>
            <w:tcW w:w="1661" w:type="dxa"/>
            <w:vMerge w:val="continue"/>
            <w:noWrap/>
            <w:vAlign w:val="center"/>
          </w:tcPr>
          <w:p w14:paraId="70D85EC1">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highlight w:val="none"/>
                <w:lang w:val="en-US" w:eastAsia="zh-CN"/>
              </w:rPr>
            </w:pPr>
          </w:p>
        </w:tc>
        <w:tc>
          <w:tcPr>
            <w:tcW w:w="5754" w:type="dxa"/>
            <w:noWrap/>
            <w:vAlign w:val="center"/>
          </w:tcPr>
          <w:p w14:paraId="5A3DC8DE">
            <w:pPr>
              <w:keepNext w:val="0"/>
              <w:keepLines w:val="0"/>
              <w:widowControl w:val="0"/>
              <w:suppressLineNumbers w:val="0"/>
              <w:snapToGrid w:val="0"/>
              <w:spacing w:before="0" w:beforeAutospacing="0" w:after="0" w:afterAutospacing="0"/>
              <w:ind w:left="0" w:leftChars="0" w:right="0" w:right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napToGrid/>
                <w:color w:val="auto"/>
                <w:kern w:val="0"/>
                <w:sz w:val="24"/>
                <w:szCs w:val="20"/>
                <w:highlight w:val="none"/>
                <w:lang w:val="en-US" w:eastAsia="zh-CN" w:bidi="ar"/>
              </w:rPr>
              <w:t>评委根据供应商针对本项目</w:t>
            </w:r>
            <w:r>
              <w:rPr>
                <w:rFonts w:hint="eastAsia" w:ascii="宋体" w:hAnsi="宋体" w:cs="宋体"/>
                <w:snapToGrid/>
                <w:color w:val="auto"/>
                <w:kern w:val="0"/>
                <w:sz w:val="24"/>
                <w:szCs w:val="20"/>
                <w:highlight w:val="none"/>
                <w:lang w:val="en-US" w:eastAsia="zh-CN" w:bidi="ar"/>
              </w:rPr>
              <w:t>提供</w:t>
            </w:r>
            <w:r>
              <w:rPr>
                <w:rFonts w:hint="eastAsia" w:ascii="宋体" w:hAnsi="宋体" w:eastAsia="宋体" w:cs="宋体"/>
                <w:snapToGrid/>
                <w:color w:val="auto"/>
                <w:kern w:val="0"/>
                <w:sz w:val="24"/>
                <w:szCs w:val="20"/>
                <w:highlight w:val="none"/>
                <w:lang w:val="en-US" w:eastAsia="zh-CN" w:bidi="ar"/>
              </w:rPr>
              <w:t>的助联体服务方案的科学性、完整性、合理性进行打分。</w:t>
            </w:r>
          </w:p>
        </w:tc>
        <w:tc>
          <w:tcPr>
            <w:tcW w:w="843" w:type="dxa"/>
            <w:noWrap/>
            <w:vAlign w:val="center"/>
          </w:tcPr>
          <w:p w14:paraId="04D7B4A5">
            <w:pPr>
              <w:keepNext w:val="0"/>
              <w:keepLines w:val="0"/>
              <w:widowControl w:val="0"/>
              <w:suppressLineNumbers w:val="0"/>
              <w:snapToGrid w:val="0"/>
              <w:spacing w:before="0" w:beforeAutospacing="0" w:after="0" w:afterAutospacing="0"/>
              <w:ind w:left="0" w:leftChars="0" w:right="0" w:righ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r>
      <w:tr w14:paraId="1273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61" w:type="dxa"/>
            <w:vMerge w:val="continue"/>
            <w:noWrap/>
            <w:vAlign w:val="center"/>
          </w:tcPr>
          <w:p w14:paraId="781F1ADF">
            <w:pPr>
              <w:pStyle w:val="38"/>
              <w:bidi w:val="0"/>
              <w:rPr>
                <w:rFonts w:hint="eastAsia" w:ascii="宋体" w:hAnsi="宋体" w:eastAsia="宋体" w:cs="宋体"/>
                <w:sz w:val="24"/>
                <w:szCs w:val="24"/>
                <w:highlight w:val="none"/>
              </w:rPr>
            </w:pPr>
          </w:p>
        </w:tc>
        <w:tc>
          <w:tcPr>
            <w:tcW w:w="1661" w:type="dxa"/>
            <w:vMerge w:val="continue"/>
            <w:noWrap/>
            <w:vAlign w:val="center"/>
          </w:tcPr>
          <w:p w14:paraId="08BFDA6C">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highlight w:val="none"/>
                <w:lang w:val="en-US" w:eastAsia="zh-CN"/>
              </w:rPr>
            </w:pPr>
          </w:p>
        </w:tc>
        <w:tc>
          <w:tcPr>
            <w:tcW w:w="5754" w:type="dxa"/>
            <w:noWrap/>
            <w:vAlign w:val="center"/>
          </w:tcPr>
          <w:p w14:paraId="186A1F4C">
            <w:pPr>
              <w:keepNext w:val="0"/>
              <w:keepLines w:val="0"/>
              <w:widowControl w:val="0"/>
              <w:suppressLineNumbers w:val="0"/>
              <w:snapToGrid w:val="0"/>
              <w:spacing w:before="0" w:beforeAutospacing="0" w:after="0" w:afterAutospacing="0"/>
              <w:ind w:left="0" w:leftChars="0" w:right="0" w:rightChars="0"/>
              <w:jc w:val="left"/>
              <w:rPr>
                <w:rFonts w:hint="eastAsia" w:ascii="宋体" w:hAnsi="宋体" w:eastAsia="宋体" w:cs="宋体"/>
                <w:snapToGrid/>
                <w:color w:val="auto"/>
                <w:kern w:val="0"/>
                <w:sz w:val="24"/>
                <w:szCs w:val="20"/>
                <w:highlight w:val="none"/>
                <w:lang w:val="en-US" w:eastAsia="zh-CN" w:bidi="ar"/>
              </w:rPr>
            </w:pPr>
            <w:r>
              <w:rPr>
                <w:rFonts w:hint="eastAsia" w:ascii="宋体" w:hAnsi="宋体" w:eastAsia="宋体" w:cs="宋体"/>
                <w:snapToGrid/>
                <w:color w:val="auto"/>
                <w:kern w:val="0"/>
                <w:sz w:val="24"/>
                <w:szCs w:val="20"/>
                <w:highlight w:val="none"/>
                <w:lang w:val="en-US" w:eastAsia="zh-CN" w:bidi="ar"/>
              </w:rPr>
              <w:t>评委根据供应商针对本项目</w:t>
            </w:r>
            <w:r>
              <w:rPr>
                <w:rFonts w:hint="eastAsia" w:ascii="宋体" w:hAnsi="宋体" w:cs="宋体"/>
                <w:snapToGrid/>
                <w:color w:val="auto"/>
                <w:kern w:val="0"/>
                <w:sz w:val="24"/>
                <w:szCs w:val="20"/>
                <w:highlight w:val="none"/>
                <w:lang w:val="en-US" w:eastAsia="zh-CN" w:bidi="ar"/>
              </w:rPr>
              <w:t>提供</w:t>
            </w:r>
            <w:r>
              <w:rPr>
                <w:rFonts w:hint="eastAsia" w:ascii="宋体" w:hAnsi="宋体" w:eastAsia="宋体" w:cs="宋体"/>
                <w:snapToGrid/>
                <w:color w:val="auto"/>
                <w:kern w:val="0"/>
                <w:sz w:val="24"/>
                <w:szCs w:val="20"/>
                <w:highlight w:val="none"/>
                <w:lang w:val="en-US" w:eastAsia="zh-CN" w:bidi="ar"/>
              </w:rPr>
              <w:t>的其它功能的服务方案的科学性、完整性、合理性进行打分。</w:t>
            </w:r>
          </w:p>
        </w:tc>
        <w:tc>
          <w:tcPr>
            <w:tcW w:w="843" w:type="dxa"/>
            <w:noWrap/>
            <w:vAlign w:val="center"/>
          </w:tcPr>
          <w:p w14:paraId="2AD028F6">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cs="宋体"/>
                <w:snapToGrid/>
                <w:color w:val="auto"/>
                <w:kern w:val="0"/>
                <w:sz w:val="24"/>
                <w:szCs w:val="20"/>
                <w:highlight w:val="none"/>
                <w:lang w:val="en-US" w:eastAsia="zh-CN" w:bidi="ar"/>
              </w:rPr>
            </w:pPr>
            <w:r>
              <w:rPr>
                <w:rFonts w:hint="eastAsia" w:ascii="宋体" w:hAnsi="宋体" w:cs="宋体"/>
                <w:snapToGrid/>
                <w:color w:val="auto"/>
                <w:kern w:val="0"/>
                <w:sz w:val="24"/>
                <w:szCs w:val="20"/>
                <w:highlight w:val="none"/>
                <w:lang w:val="en-US" w:eastAsia="zh-CN" w:bidi="ar"/>
              </w:rPr>
              <w:t>5</w:t>
            </w:r>
          </w:p>
        </w:tc>
      </w:tr>
      <w:tr w14:paraId="5D2D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261" w:type="dxa"/>
            <w:vMerge w:val="continue"/>
            <w:noWrap/>
            <w:vAlign w:val="center"/>
          </w:tcPr>
          <w:p w14:paraId="7F06F674">
            <w:pPr>
              <w:pStyle w:val="38"/>
              <w:bidi w:val="0"/>
              <w:rPr>
                <w:rFonts w:hint="eastAsia" w:ascii="宋体" w:hAnsi="宋体" w:eastAsia="宋体" w:cs="宋体"/>
                <w:sz w:val="24"/>
                <w:szCs w:val="24"/>
                <w:highlight w:val="none"/>
              </w:rPr>
            </w:pPr>
          </w:p>
        </w:tc>
        <w:tc>
          <w:tcPr>
            <w:tcW w:w="1661" w:type="dxa"/>
            <w:vMerge w:val="restart"/>
            <w:noWrap/>
            <w:vAlign w:val="center"/>
          </w:tcPr>
          <w:p w14:paraId="23E1C908">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napToGrid/>
                <w:color w:val="auto"/>
                <w:kern w:val="0"/>
                <w:sz w:val="24"/>
                <w:szCs w:val="20"/>
                <w:highlight w:val="none"/>
                <w:lang w:val="en-US" w:eastAsia="zh-CN" w:bidi="ar"/>
              </w:rPr>
              <w:t>质量控制方案</w:t>
            </w:r>
          </w:p>
        </w:tc>
        <w:tc>
          <w:tcPr>
            <w:tcW w:w="5754" w:type="dxa"/>
            <w:shd w:val="clear" w:color="auto" w:fill="auto"/>
            <w:noWrap/>
            <w:vAlign w:val="center"/>
          </w:tcPr>
          <w:p w14:paraId="04C668CD">
            <w:pPr>
              <w:keepNext w:val="0"/>
              <w:keepLines w:val="0"/>
              <w:widowControl w:val="0"/>
              <w:suppressLineNumbers w:val="0"/>
              <w:snapToGrid w:val="0"/>
              <w:spacing w:before="0" w:beforeAutospacing="0" w:after="0" w:afterAutospacing="0"/>
              <w:ind w:left="0" w:leftChars="0" w:right="0" w:rightChars="0"/>
              <w:jc w:val="left"/>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snapToGrid/>
                <w:color w:val="auto"/>
                <w:kern w:val="0"/>
                <w:sz w:val="24"/>
                <w:szCs w:val="20"/>
                <w:highlight w:val="none"/>
                <w:lang w:val="en-US" w:eastAsia="zh-CN" w:bidi="ar"/>
              </w:rPr>
              <w:t>评委</w:t>
            </w:r>
            <w:r>
              <w:rPr>
                <w:rFonts w:hint="eastAsia" w:ascii="宋体" w:hAnsi="宋体" w:eastAsia="宋体" w:cs="宋体"/>
                <w:snapToGrid/>
                <w:color w:val="auto"/>
                <w:kern w:val="0"/>
                <w:sz w:val="24"/>
                <w:szCs w:val="20"/>
                <w:highlight w:val="none"/>
                <w:vertAlign w:val="baseline"/>
                <w:lang w:val="en-US" w:eastAsia="zh-CN" w:bidi="ar"/>
              </w:rPr>
              <w:t>根据供应商的资源链接情况酌情打分</w:t>
            </w:r>
            <w:r>
              <w:rPr>
                <w:rFonts w:hint="eastAsia" w:ascii="宋体" w:hAnsi="宋体" w:cs="宋体"/>
                <w:snapToGrid/>
                <w:color w:val="auto"/>
                <w:kern w:val="0"/>
                <w:sz w:val="24"/>
                <w:szCs w:val="20"/>
                <w:highlight w:val="none"/>
                <w:vertAlign w:val="baseline"/>
                <w:lang w:val="en-US" w:eastAsia="zh-CN" w:bidi="ar"/>
              </w:rPr>
              <w:t>，包括</w:t>
            </w:r>
            <w:r>
              <w:rPr>
                <w:rFonts w:hint="eastAsia" w:ascii="宋体" w:hAnsi="宋体" w:eastAsia="宋体" w:cs="宋体"/>
                <w:snapToGrid/>
                <w:color w:val="auto"/>
                <w:kern w:val="0"/>
                <w:sz w:val="24"/>
                <w:szCs w:val="20"/>
                <w:highlight w:val="none"/>
                <w:vertAlign w:val="baseline"/>
                <w:lang w:val="en-US" w:eastAsia="zh-CN" w:bidi="ar"/>
              </w:rPr>
              <w:t>项目针对服务对象、服务的村社区、其他社会组织、政府部门、企事业单位以及社会公众等方面的资源整合和动员情况。</w:t>
            </w:r>
          </w:p>
        </w:tc>
        <w:tc>
          <w:tcPr>
            <w:tcW w:w="843" w:type="dxa"/>
            <w:shd w:val="clear" w:color="auto" w:fill="auto"/>
            <w:noWrap/>
            <w:vAlign w:val="center"/>
          </w:tcPr>
          <w:p w14:paraId="73A41468">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cs="宋体"/>
                <w:snapToGrid/>
                <w:color w:val="auto"/>
                <w:kern w:val="0"/>
                <w:sz w:val="24"/>
                <w:szCs w:val="20"/>
                <w:highlight w:val="none"/>
                <w:lang w:val="en-US" w:eastAsia="zh-CN" w:bidi="ar"/>
              </w:rPr>
              <w:t>5</w:t>
            </w:r>
          </w:p>
        </w:tc>
      </w:tr>
      <w:tr w14:paraId="649A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61" w:type="dxa"/>
            <w:vMerge w:val="continue"/>
            <w:noWrap/>
            <w:vAlign w:val="center"/>
          </w:tcPr>
          <w:p w14:paraId="0510331E">
            <w:pPr>
              <w:pStyle w:val="38"/>
              <w:bidi w:val="0"/>
              <w:rPr>
                <w:rFonts w:hint="eastAsia" w:ascii="宋体" w:hAnsi="宋体" w:eastAsia="宋体" w:cs="宋体"/>
                <w:sz w:val="24"/>
                <w:szCs w:val="24"/>
                <w:highlight w:val="none"/>
              </w:rPr>
            </w:pPr>
          </w:p>
        </w:tc>
        <w:tc>
          <w:tcPr>
            <w:tcW w:w="1661" w:type="dxa"/>
            <w:vMerge w:val="continue"/>
            <w:noWrap/>
            <w:vAlign w:val="center"/>
          </w:tcPr>
          <w:p w14:paraId="229BE040">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highlight w:val="none"/>
              </w:rPr>
            </w:pPr>
          </w:p>
        </w:tc>
        <w:tc>
          <w:tcPr>
            <w:tcW w:w="5754" w:type="dxa"/>
            <w:noWrap/>
            <w:vAlign w:val="center"/>
          </w:tcPr>
          <w:p w14:paraId="218153F8">
            <w:pPr>
              <w:keepNext w:val="0"/>
              <w:keepLines w:val="0"/>
              <w:widowControl w:val="0"/>
              <w:suppressLineNumbers w:val="0"/>
              <w:snapToGrid w:val="0"/>
              <w:spacing w:before="0" w:beforeAutospacing="0" w:after="0" w:afterAutospacing="0"/>
              <w:ind w:left="0" w:leftChars="0" w:right="0" w:rightChars="0"/>
              <w:jc w:val="left"/>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snapToGrid/>
                <w:color w:val="auto"/>
                <w:kern w:val="0"/>
                <w:sz w:val="24"/>
                <w:szCs w:val="20"/>
                <w:highlight w:val="none"/>
                <w:lang w:val="en-US" w:eastAsia="zh-CN" w:bidi="ar"/>
              </w:rPr>
              <w:t>评委</w:t>
            </w:r>
            <w:r>
              <w:rPr>
                <w:rFonts w:hint="eastAsia" w:ascii="宋体" w:hAnsi="宋体" w:eastAsia="宋体" w:cs="宋体"/>
                <w:snapToGrid/>
                <w:color w:val="auto"/>
                <w:kern w:val="0"/>
                <w:sz w:val="24"/>
                <w:szCs w:val="20"/>
                <w:highlight w:val="none"/>
                <w:vertAlign w:val="baseline"/>
                <w:lang w:val="en-US" w:eastAsia="zh-CN" w:bidi="ar"/>
              </w:rPr>
              <w:t>根据供应商是否建立服务对象意见收集与投诉处理机制，及相关记录表格及应对方案等情况酌情打分。</w:t>
            </w:r>
          </w:p>
        </w:tc>
        <w:tc>
          <w:tcPr>
            <w:tcW w:w="843" w:type="dxa"/>
            <w:noWrap/>
            <w:vAlign w:val="center"/>
          </w:tcPr>
          <w:p w14:paraId="651F7AF1">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sz w:val="24"/>
                <w:szCs w:val="24"/>
                <w:highlight w:val="none"/>
                <w:lang w:eastAsia="zh-CN"/>
              </w:rPr>
            </w:pPr>
            <w:r>
              <w:rPr>
                <w:rFonts w:hint="eastAsia" w:ascii="宋体" w:hAnsi="宋体" w:cs="宋体"/>
                <w:snapToGrid/>
                <w:color w:val="auto"/>
                <w:kern w:val="0"/>
                <w:sz w:val="24"/>
                <w:szCs w:val="20"/>
                <w:highlight w:val="none"/>
                <w:lang w:val="en-US" w:eastAsia="zh-CN" w:bidi="ar"/>
              </w:rPr>
              <w:t>5</w:t>
            </w:r>
          </w:p>
        </w:tc>
      </w:tr>
      <w:tr w14:paraId="3AD1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261" w:type="dxa"/>
            <w:vMerge w:val="continue"/>
            <w:noWrap/>
            <w:vAlign w:val="center"/>
          </w:tcPr>
          <w:p w14:paraId="315ACFE7">
            <w:pPr>
              <w:pStyle w:val="38"/>
              <w:bidi w:val="0"/>
              <w:rPr>
                <w:rFonts w:hint="eastAsia" w:ascii="宋体" w:hAnsi="宋体" w:eastAsia="宋体" w:cs="宋体"/>
                <w:sz w:val="24"/>
                <w:szCs w:val="24"/>
                <w:highlight w:val="none"/>
              </w:rPr>
            </w:pPr>
          </w:p>
        </w:tc>
        <w:tc>
          <w:tcPr>
            <w:tcW w:w="1661" w:type="dxa"/>
            <w:vMerge w:val="continue"/>
            <w:noWrap/>
            <w:vAlign w:val="center"/>
          </w:tcPr>
          <w:p w14:paraId="42A4A9D5">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highlight w:val="none"/>
              </w:rPr>
            </w:pPr>
          </w:p>
        </w:tc>
        <w:tc>
          <w:tcPr>
            <w:tcW w:w="5754" w:type="dxa"/>
            <w:noWrap/>
            <w:vAlign w:val="center"/>
          </w:tcPr>
          <w:p w14:paraId="14171C09">
            <w:pPr>
              <w:keepNext w:val="0"/>
              <w:keepLines w:val="0"/>
              <w:widowControl w:val="0"/>
              <w:suppressLineNumbers w:val="0"/>
              <w:snapToGrid w:val="0"/>
              <w:spacing w:before="0" w:beforeAutospacing="0" w:after="0" w:afterAutospacing="0"/>
              <w:ind w:left="0" w:leftChars="0" w:right="0" w:rightChars="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napToGrid/>
                <w:color w:val="auto"/>
                <w:kern w:val="0"/>
                <w:sz w:val="24"/>
                <w:szCs w:val="20"/>
                <w:highlight w:val="none"/>
                <w:lang w:val="en-US" w:eastAsia="zh-CN" w:bidi="ar"/>
              </w:rPr>
              <w:t>评委</w:t>
            </w:r>
            <w:r>
              <w:rPr>
                <w:rFonts w:hint="eastAsia" w:ascii="宋体" w:hAnsi="宋体" w:eastAsia="宋体" w:cs="宋体"/>
                <w:snapToGrid/>
                <w:color w:val="auto"/>
                <w:kern w:val="0"/>
                <w:sz w:val="24"/>
                <w:szCs w:val="20"/>
                <w:highlight w:val="none"/>
                <w:vertAlign w:val="baseline"/>
                <w:lang w:val="en-US" w:eastAsia="zh-CN" w:bidi="ar"/>
              </w:rPr>
              <w:t>根据供应商的各功能室管理制度、档案管理制度、财务管理制度、岗位管理制度等的全面、具体、可行程度酌情打分。</w:t>
            </w:r>
          </w:p>
        </w:tc>
        <w:tc>
          <w:tcPr>
            <w:tcW w:w="843" w:type="dxa"/>
            <w:noWrap/>
            <w:vAlign w:val="center"/>
          </w:tcPr>
          <w:p w14:paraId="5940FC93">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sz w:val="24"/>
                <w:szCs w:val="24"/>
                <w:highlight w:val="none"/>
                <w:lang w:eastAsia="zh-CN"/>
              </w:rPr>
            </w:pPr>
            <w:r>
              <w:rPr>
                <w:rFonts w:hint="eastAsia" w:ascii="宋体" w:hAnsi="宋体" w:cs="宋体"/>
                <w:snapToGrid/>
                <w:color w:val="auto"/>
                <w:kern w:val="0"/>
                <w:sz w:val="24"/>
                <w:szCs w:val="20"/>
                <w:highlight w:val="none"/>
                <w:lang w:val="en-US" w:eastAsia="zh-CN" w:bidi="ar"/>
              </w:rPr>
              <w:t>5</w:t>
            </w:r>
          </w:p>
        </w:tc>
      </w:tr>
      <w:tr w14:paraId="4395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261" w:type="dxa"/>
            <w:vMerge w:val="continue"/>
            <w:noWrap/>
            <w:vAlign w:val="center"/>
          </w:tcPr>
          <w:p w14:paraId="5D9D3409">
            <w:pPr>
              <w:pStyle w:val="38"/>
              <w:bidi w:val="0"/>
              <w:rPr>
                <w:rFonts w:hint="eastAsia" w:ascii="宋体" w:hAnsi="宋体" w:eastAsia="宋体" w:cs="宋体"/>
                <w:sz w:val="24"/>
                <w:szCs w:val="24"/>
                <w:highlight w:val="none"/>
              </w:rPr>
            </w:pPr>
          </w:p>
        </w:tc>
        <w:tc>
          <w:tcPr>
            <w:tcW w:w="1661" w:type="dxa"/>
            <w:vMerge w:val="continue"/>
            <w:noWrap/>
            <w:vAlign w:val="center"/>
          </w:tcPr>
          <w:p w14:paraId="53E4D809">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highlight w:val="none"/>
              </w:rPr>
            </w:pPr>
          </w:p>
        </w:tc>
        <w:tc>
          <w:tcPr>
            <w:tcW w:w="5754" w:type="dxa"/>
            <w:noWrap/>
            <w:vAlign w:val="center"/>
          </w:tcPr>
          <w:p w14:paraId="056D61B1">
            <w:pPr>
              <w:keepNext w:val="0"/>
              <w:keepLines w:val="0"/>
              <w:widowControl w:val="0"/>
              <w:suppressLineNumbers w:val="0"/>
              <w:snapToGrid w:val="0"/>
              <w:spacing w:before="0" w:beforeAutospacing="0" w:after="0" w:afterAutospacing="0"/>
              <w:ind w:left="0" w:leftChars="0" w:right="0" w:rightChars="0"/>
              <w:jc w:val="left"/>
              <w:textAlignment w:val="baseline"/>
              <w:rPr>
                <w:rFonts w:hint="eastAsia" w:ascii="宋体" w:hAnsi="宋体" w:eastAsia="宋体" w:cs="宋体"/>
                <w:sz w:val="24"/>
                <w:szCs w:val="24"/>
                <w:highlight w:val="none"/>
              </w:rPr>
            </w:pPr>
            <w:r>
              <w:rPr>
                <w:rFonts w:hint="eastAsia" w:ascii="宋体" w:hAnsi="宋体" w:eastAsia="宋体" w:cs="宋体"/>
                <w:snapToGrid/>
                <w:color w:val="auto"/>
                <w:kern w:val="0"/>
                <w:sz w:val="24"/>
                <w:szCs w:val="20"/>
                <w:highlight w:val="none"/>
                <w:lang w:val="en-US" w:eastAsia="zh-CN" w:bidi="ar"/>
              </w:rPr>
              <w:t>评委</w:t>
            </w:r>
            <w:r>
              <w:rPr>
                <w:rFonts w:hint="eastAsia" w:ascii="宋体" w:hAnsi="宋体" w:eastAsia="宋体" w:cs="宋体"/>
                <w:snapToGrid/>
                <w:color w:val="auto"/>
                <w:kern w:val="0"/>
                <w:sz w:val="24"/>
                <w:szCs w:val="20"/>
                <w:highlight w:val="none"/>
                <w:vertAlign w:val="baseline"/>
                <w:lang w:val="en-US" w:eastAsia="zh-CN" w:bidi="ar"/>
              </w:rPr>
              <w:t>根据供应商对本项目的重大活动、节假日及意外事件</w:t>
            </w:r>
            <w:r>
              <w:rPr>
                <w:rFonts w:hint="eastAsia" w:ascii="宋体" w:hAnsi="宋体" w:cs="宋体"/>
                <w:snapToGrid/>
                <w:color w:val="auto"/>
                <w:kern w:val="0"/>
                <w:sz w:val="24"/>
                <w:szCs w:val="20"/>
                <w:highlight w:val="none"/>
                <w:vertAlign w:val="baseline"/>
                <w:lang w:val="en-US" w:eastAsia="zh-CN" w:bidi="ar"/>
              </w:rPr>
              <w:t>的</w:t>
            </w:r>
            <w:r>
              <w:rPr>
                <w:rFonts w:hint="eastAsia" w:ascii="宋体" w:hAnsi="宋体" w:eastAsia="宋体" w:cs="宋体"/>
                <w:snapToGrid/>
                <w:color w:val="auto"/>
                <w:kern w:val="0"/>
                <w:sz w:val="24"/>
                <w:szCs w:val="20"/>
                <w:highlight w:val="none"/>
                <w:vertAlign w:val="baseline"/>
                <w:lang w:val="en-US" w:eastAsia="zh-CN" w:bidi="ar"/>
              </w:rPr>
              <w:t>应急预案</w:t>
            </w:r>
            <w:r>
              <w:rPr>
                <w:rFonts w:hint="eastAsia" w:ascii="宋体" w:hAnsi="宋体" w:cs="宋体"/>
                <w:snapToGrid/>
                <w:color w:val="auto"/>
                <w:kern w:val="0"/>
                <w:sz w:val="24"/>
                <w:szCs w:val="20"/>
                <w:highlight w:val="none"/>
                <w:vertAlign w:val="baseline"/>
                <w:lang w:val="en-US" w:eastAsia="zh-CN" w:bidi="ar"/>
              </w:rPr>
              <w:t>情况</w:t>
            </w:r>
            <w:r>
              <w:rPr>
                <w:rFonts w:hint="eastAsia" w:ascii="宋体" w:hAnsi="宋体" w:eastAsia="宋体" w:cs="宋体"/>
                <w:snapToGrid/>
                <w:color w:val="auto"/>
                <w:kern w:val="0"/>
                <w:sz w:val="24"/>
                <w:szCs w:val="20"/>
                <w:highlight w:val="none"/>
                <w:vertAlign w:val="baseline"/>
                <w:lang w:val="en-US" w:eastAsia="zh-CN" w:bidi="ar"/>
              </w:rPr>
              <w:t>酌情打分。</w:t>
            </w:r>
          </w:p>
        </w:tc>
        <w:tc>
          <w:tcPr>
            <w:tcW w:w="843" w:type="dxa"/>
            <w:noWrap/>
            <w:vAlign w:val="center"/>
          </w:tcPr>
          <w:p w14:paraId="01A45F30">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sz w:val="24"/>
                <w:szCs w:val="24"/>
                <w:highlight w:val="none"/>
                <w:lang w:eastAsia="zh-CN"/>
              </w:rPr>
            </w:pPr>
            <w:r>
              <w:rPr>
                <w:rFonts w:hint="eastAsia" w:ascii="宋体" w:hAnsi="宋体" w:cs="宋体"/>
                <w:snapToGrid/>
                <w:color w:val="auto"/>
                <w:kern w:val="0"/>
                <w:sz w:val="24"/>
                <w:szCs w:val="20"/>
                <w:highlight w:val="none"/>
                <w:lang w:val="en-US" w:eastAsia="zh-CN" w:bidi="ar"/>
              </w:rPr>
              <w:t>5</w:t>
            </w:r>
          </w:p>
        </w:tc>
      </w:tr>
      <w:tr w14:paraId="1820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61" w:type="dxa"/>
            <w:vMerge w:val="continue"/>
            <w:noWrap/>
            <w:vAlign w:val="center"/>
          </w:tcPr>
          <w:p w14:paraId="68EEAD97">
            <w:pPr>
              <w:pStyle w:val="38"/>
              <w:bidi w:val="0"/>
              <w:rPr>
                <w:rFonts w:hint="eastAsia" w:ascii="宋体" w:hAnsi="宋体" w:eastAsia="宋体" w:cs="宋体"/>
                <w:sz w:val="24"/>
                <w:szCs w:val="24"/>
                <w:highlight w:val="none"/>
              </w:rPr>
            </w:pPr>
          </w:p>
        </w:tc>
        <w:tc>
          <w:tcPr>
            <w:tcW w:w="1661" w:type="dxa"/>
            <w:vMerge w:val="continue"/>
            <w:noWrap/>
            <w:vAlign w:val="center"/>
          </w:tcPr>
          <w:p w14:paraId="4CCBFABF">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highlight w:val="none"/>
                <w:lang w:val="en-US" w:eastAsia="zh-CN"/>
              </w:rPr>
            </w:pPr>
          </w:p>
        </w:tc>
        <w:tc>
          <w:tcPr>
            <w:tcW w:w="5754" w:type="dxa"/>
            <w:noWrap/>
            <w:vAlign w:val="center"/>
          </w:tcPr>
          <w:p w14:paraId="3C86DC47">
            <w:pPr>
              <w:keepNext w:val="0"/>
              <w:keepLines w:val="0"/>
              <w:widowControl w:val="0"/>
              <w:suppressLineNumbers w:val="0"/>
              <w:snapToGrid w:val="0"/>
              <w:spacing w:before="0" w:beforeAutospacing="0" w:after="0" w:afterAutospacing="0"/>
              <w:ind w:left="0" w:leftChars="0" w:right="0" w:rightChars="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napToGrid/>
                <w:color w:val="auto"/>
                <w:kern w:val="0"/>
                <w:sz w:val="24"/>
                <w:szCs w:val="20"/>
                <w:highlight w:val="none"/>
                <w:lang w:val="en-US" w:eastAsia="zh-CN" w:bidi="ar"/>
              </w:rPr>
              <w:t>评委</w:t>
            </w:r>
            <w:r>
              <w:rPr>
                <w:rFonts w:hint="eastAsia" w:ascii="宋体" w:hAnsi="宋体" w:eastAsia="宋体" w:cs="宋体"/>
                <w:snapToGrid/>
                <w:color w:val="auto"/>
                <w:kern w:val="0"/>
                <w:sz w:val="24"/>
                <w:szCs w:val="20"/>
                <w:highlight w:val="none"/>
                <w:vertAlign w:val="baseline"/>
                <w:lang w:val="en-US" w:eastAsia="zh-CN" w:bidi="ar"/>
              </w:rPr>
              <w:t>根据供应商对本项目成功通过上级主管部门的考核措施、迎检、接待参观等</w:t>
            </w:r>
            <w:r>
              <w:rPr>
                <w:rFonts w:hint="eastAsia" w:ascii="宋体" w:hAnsi="宋体" w:cs="宋体"/>
                <w:snapToGrid/>
                <w:color w:val="auto"/>
                <w:kern w:val="0"/>
                <w:sz w:val="24"/>
                <w:szCs w:val="20"/>
                <w:highlight w:val="none"/>
                <w:vertAlign w:val="baseline"/>
                <w:lang w:val="en-US" w:eastAsia="zh-CN" w:bidi="ar"/>
              </w:rPr>
              <w:t>的</w:t>
            </w:r>
            <w:r>
              <w:rPr>
                <w:rFonts w:hint="eastAsia" w:ascii="宋体" w:hAnsi="宋体" w:eastAsia="宋体" w:cs="宋体"/>
                <w:snapToGrid/>
                <w:color w:val="auto"/>
                <w:kern w:val="0"/>
                <w:sz w:val="24"/>
                <w:szCs w:val="20"/>
                <w:highlight w:val="none"/>
                <w:vertAlign w:val="baseline"/>
                <w:lang w:val="en-US" w:eastAsia="zh-CN" w:bidi="ar"/>
              </w:rPr>
              <w:t>预案</w:t>
            </w:r>
            <w:r>
              <w:rPr>
                <w:rFonts w:hint="eastAsia" w:ascii="宋体" w:hAnsi="宋体" w:cs="宋体"/>
                <w:snapToGrid/>
                <w:color w:val="auto"/>
                <w:kern w:val="0"/>
                <w:sz w:val="24"/>
                <w:szCs w:val="20"/>
                <w:highlight w:val="none"/>
                <w:vertAlign w:val="baseline"/>
                <w:lang w:val="en-US" w:eastAsia="zh-CN" w:bidi="ar"/>
              </w:rPr>
              <w:t>情况</w:t>
            </w:r>
            <w:r>
              <w:rPr>
                <w:rFonts w:hint="eastAsia" w:ascii="宋体" w:hAnsi="宋体" w:eastAsia="宋体" w:cs="宋体"/>
                <w:snapToGrid/>
                <w:color w:val="auto"/>
                <w:kern w:val="0"/>
                <w:sz w:val="24"/>
                <w:szCs w:val="20"/>
                <w:highlight w:val="none"/>
                <w:vertAlign w:val="baseline"/>
                <w:lang w:val="en-US" w:eastAsia="zh-CN" w:bidi="ar"/>
              </w:rPr>
              <w:t>进行打分。</w:t>
            </w:r>
          </w:p>
        </w:tc>
        <w:tc>
          <w:tcPr>
            <w:tcW w:w="843" w:type="dxa"/>
            <w:noWrap/>
            <w:vAlign w:val="center"/>
          </w:tcPr>
          <w:p w14:paraId="3DADDC24">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cs="宋体"/>
                <w:snapToGrid/>
                <w:color w:val="auto"/>
                <w:kern w:val="0"/>
                <w:sz w:val="24"/>
                <w:szCs w:val="20"/>
                <w:highlight w:val="none"/>
                <w:lang w:val="en-US" w:eastAsia="zh-CN" w:bidi="ar"/>
              </w:rPr>
              <w:t>5</w:t>
            </w:r>
          </w:p>
        </w:tc>
      </w:tr>
      <w:tr w14:paraId="3D6D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61" w:type="dxa"/>
            <w:vMerge w:val="continue"/>
            <w:noWrap/>
            <w:vAlign w:val="center"/>
          </w:tcPr>
          <w:p w14:paraId="164CB590">
            <w:pPr>
              <w:pStyle w:val="38"/>
              <w:bidi w:val="0"/>
              <w:rPr>
                <w:rFonts w:hint="eastAsia" w:ascii="宋体" w:hAnsi="宋体" w:eastAsia="宋体" w:cs="宋体"/>
                <w:sz w:val="24"/>
                <w:szCs w:val="24"/>
                <w:highlight w:val="none"/>
              </w:rPr>
            </w:pPr>
          </w:p>
        </w:tc>
        <w:tc>
          <w:tcPr>
            <w:tcW w:w="1661" w:type="dxa"/>
            <w:noWrap/>
            <w:vAlign w:val="center"/>
          </w:tcPr>
          <w:p w14:paraId="71B403D8">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sz w:val="24"/>
                <w:szCs w:val="24"/>
                <w:highlight w:val="none"/>
              </w:rPr>
            </w:pPr>
            <w:r>
              <w:rPr>
                <w:rFonts w:hint="eastAsia" w:ascii="宋体" w:hAnsi="宋体" w:eastAsia="宋体" w:cs="宋体"/>
                <w:snapToGrid/>
                <w:color w:val="auto"/>
                <w:kern w:val="0"/>
                <w:sz w:val="24"/>
                <w:szCs w:val="20"/>
                <w:highlight w:val="none"/>
                <w:lang w:val="en-US" w:eastAsia="zh-CN" w:bidi="ar"/>
              </w:rPr>
              <w:t>人员配置</w:t>
            </w:r>
          </w:p>
        </w:tc>
        <w:tc>
          <w:tcPr>
            <w:tcW w:w="5754" w:type="dxa"/>
            <w:noWrap/>
            <w:vAlign w:val="center"/>
          </w:tcPr>
          <w:p w14:paraId="42C7E6C4">
            <w:pPr>
              <w:keepNext w:val="0"/>
              <w:keepLines w:val="0"/>
              <w:widowControl w:val="0"/>
              <w:suppressLineNumbers w:val="0"/>
              <w:snapToGrid w:val="0"/>
              <w:spacing w:before="0" w:beforeAutospacing="0" w:after="0" w:afterAutospacing="0"/>
              <w:ind w:left="0" w:leftChars="0" w:right="0" w:rightChars="0"/>
              <w:jc w:val="left"/>
              <w:textAlignment w:val="baseline"/>
              <w:rPr>
                <w:rFonts w:hint="eastAsia" w:ascii="宋体" w:hAnsi="宋体" w:eastAsia="宋体" w:cs="宋体"/>
                <w:sz w:val="24"/>
                <w:szCs w:val="24"/>
                <w:highlight w:val="none"/>
                <w:lang w:val="zh-TW" w:eastAsia="zh-CN"/>
              </w:rPr>
            </w:pPr>
            <w:r>
              <w:rPr>
                <w:rFonts w:hint="eastAsia" w:ascii="宋体" w:hAnsi="宋体" w:eastAsia="宋体" w:cs="宋体"/>
                <w:snapToGrid/>
                <w:color w:val="auto"/>
                <w:kern w:val="0"/>
                <w:sz w:val="24"/>
                <w:szCs w:val="20"/>
                <w:highlight w:val="none"/>
                <w:vertAlign w:val="baseline"/>
                <w:lang w:val="en-US" w:eastAsia="zh-CN" w:bidi="ar"/>
              </w:rPr>
              <w:t>评委根据供应商拟</w:t>
            </w:r>
            <w:r>
              <w:rPr>
                <w:rFonts w:hint="eastAsia" w:ascii="宋体" w:hAnsi="宋体" w:cs="宋体"/>
                <w:snapToGrid/>
                <w:color w:val="auto"/>
                <w:kern w:val="0"/>
                <w:sz w:val="24"/>
                <w:szCs w:val="20"/>
                <w:highlight w:val="none"/>
                <w:vertAlign w:val="baseline"/>
                <w:lang w:val="en-US" w:eastAsia="zh-CN" w:bidi="ar"/>
              </w:rPr>
              <w:t>配置</w:t>
            </w:r>
            <w:r>
              <w:rPr>
                <w:rFonts w:hint="eastAsia" w:ascii="宋体" w:hAnsi="宋体" w:eastAsia="宋体" w:cs="宋体"/>
                <w:snapToGrid/>
                <w:color w:val="auto"/>
                <w:kern w:val="0"/>
                <w:sz w:val="24"/>
                <w:szCs w:val="20"/>
                <w:highlight w:val="none"/>
                <w:vertAlign w:val="baseline"/>
                <w:lang w:val="en-US" w:eastAsia="zh-CN" w:bidi="ar"/>
              </w:rPr>
              <w:t>的各项服务人员素质、技术能力、专业程度、经验等</w:t>
            </w:r>
            <w:r>
              <w:rPr>
                <w:rFonts w:hint="eastAsia" w:ascii="宋体" w:hAnsi="宋体" w:cs="宋体"/>
                <w:snapToGrid/>
                <w:color w:val="auto"/>
                <w:kern w:val="0"/>
                <w:sz w:val="24"/>
                <w:szCs w:val="20"/>
                <w:highlight w:val="none"/>
                <w:vertAlign w:val="baseline"/>
                <w:lang w:val="en-US" w:eastAsia="zh-CN" w:bidi="ar"/>
              </w:rPr>
              <w:t>情况</w:t>
            </w:r>
            <w:r>
              <w:rPr>
                <w:rFonts w:hint="eastAsia" w:ascii="宋体" w:hAnsi="宋体" w:eastAsia="宋体" w:cs="宋体"/>
                <w:snapToGrid/>
                <w:color w:val="auto"/>
                <w:kern w:val="0"/>
                <w:sz w:val="24"/>
                <w:szCs w:val="20"/>
                <w:highlight w:val="none"/>
                <w:vertAlign w:val="baseline"/>
                <w:lang w:val="en-US" w:eastAsia="zh-CN" w:bidi="ar"/>
              </w:rPr>
              <w:t>综合打分</w:t>
            </w:r>
            <w:r>
              <w:rPr>
                <w:rFonts w:hint="eastAsia" w:ascii="宋体" w:hAnsi="宋体" w:cs="宋体"/>
                <w:snapToGrid/>
                <w:color w:val="auto"/>
                <w:kern w:val="0"/>
                <w:sz w:val="24"/>
                <w:szCs w:val="20"/>
                <w:highlight w:val="none"/>
                <w:vertAlign w:val="baseline"/>
                <w:lang w:val="en-US" w:eastAsia="zh-CN" w:bidi="ar"/>
              </w:rPr>
              <w:t>。（</w:t>
            </w:r>
            <w:r>
              <w:rPr>
                <w:rFonts w:hint="eastAsia" w:ascii="宋体" w:hAnsi="宋体" w:eastAsia="宋体" w:cs="宋体"/>
                <w:snapToGrid/>
                <w:color w:val="auto"/>
                <w:kern w:val="0"/>
                <w:sz w:val="24"/>
                <w:szCs w:val="20"/>
                <w:highlight w:val="none"/>
                <w:vertAlign w:val="baseline"/>
                <w:lang w:val="en-US" w:eastAsia="zh-CN" w:bidi="ar"/>
              </w:rPr>
              <w:t>需提供相关</w:t>
            </w:r>
            <w:r>
              <w:rPr>
                <w:rFonts w:hint="eastAsia" w:ascii="宋体" w:hAnsi="宋体" w:cs="宋体"/>
                <w:snapToGrid/>
                <w:color w:val="auto"/>
                <w:kern w:val="0"/>
                <w:sz w:val="24"/>
                <w:szCs w:val="20"/>
                <w:highlight w:val="none"/>
                <w:vertAlign w:val="baseline"/>
                <w:lang w:val="en-US" w:eastAsia="zh-CN" w:bidi="ar"/>
              </w:rPr>
              <w:t>证明</w:t>
            </w:r>
            <w:r>
              <w:rPr>
                <w:rFonts w:hint="eastAsia" w:ascii="宋体" w:hAnsi="宋体" w:eastAsia="宋体" w:cs="宋体"/>
                <w:snapToGrid/>
                <w:color w:val="auto"/>
                <w:kern w:val="0"/>
                <w:sz w:val="24"/>
                <w:szCs w:val="20"/>
                <w:highlight w:val="none"/>
                <w:vertAlign w:val="baseline"/>
                <w:lang w:val="en-US" w:eastAsia="zh-CN" w:bidi="ar"/>
              </w:rPr>
              <w:t>材料</w:t>
            </w:r>
            <w:r>
              <w:rPr>
                <w:rFonts w:hint="eastAsia" w:ascii="宋体" w:hAnsi="宋体" w:cs="宋体"/>
                <w:snapToGrid/>
                <w:color w:val="auto"/>
                <w:kern w:val="0"/>
                <w:sz w:val="24"/>
                <w:szCs w:val="20"/>
                <w:highlight w:val="none"/>
                <w:vertAlign w:val="baseline"/>
                <w:lang w:val="en-US" w:eastAsia="zh-CN" w:bidi="ar"/>
              </w:rPr>
              <w:t>、</w:t>
            </w:r>
            <w:r>
              <w:rPr>
                <w:rFonts w:hint="eastAsia" w:ascii="宋体" w:hAnsi="宋体" w:cs="宋体"/>
                <w:b/>
                <w:bCs/>
                <w:snapToGrid/>
                <w:color w:val="auto"/>
                <w:kern w:val="0"/>
                <w:sz w:val="24"/>
                <w:szCs w:val="20"/>
                <w:highlight w:val="none"/>
                <w:vertAlign w:val="baseline"/>
                <w:lang w:val="en-US" w:eastAsia="zh-CN" w:bidi="ar"/>
              </w:rPr>
              <w:t>劳务合同扫描件</w:t>
            </w:r>
            <w:r>
              <w:rPr>
                <w:rFonts w:hint="eastAsia" w:ascii="宋体" w:hAnsi="宋体" w:cs="宋体"/>
                <w:snapToGrid/>
                <w:color w:val="auto"/>
                <w:kern w:val="0"/>
                <w:sz w:val="24"/>
                <w:szCs w:val="20"/>
                <w:highlight w:val="none"/>
                <w:vertAlign w:val="baseline"/>
                <w:lang w:val="en-US" w:eastAsia="zh-CN" w:bidi="ar"/>
              </w:rPr>
              <w:t>和供应商为其缴纳的社保证明并加盖公章）</w:t>
            </w:r>
          </w:p>
        </w:tc>
        <w:tc>
          <w:tcPr>
            <w:tcW w:w="843" w:type="dxa"/>
            <w:noWrap/>
            <w:vAlign w:val="center"/>
          </w:tcPr>
          <w:p w14:paraId="67B5F1FA">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sz w:val="24"/>
                <w:szCs w:val="24"/>
                <w:highlight w:val="none"/>
                <w:lang w:eastAsia="zh-CN"/>
              </w:rPr>
            </w:pPr>
            <w:r>
              <w:rPr>
                <w:rFonts w:hint="eastAsia" w:ascii="宋体" w:hAnsi="宋体" w:cs="宋体"/>
                <w:snapToGrid/>
                <w:color w:val="auto"/>
                <w:kern w:val="0"/>
                <w:sz w:val="24"/>
                <w:szCs w:val="20"/>
                <w:highlight w:val="none"/>
                <w:lang w:val="en-US" w:eastAsia="zh-CN" w:bidi="ar"/>
              </w:rPr>
              <w:t>5</w:t>
            </w:r>
          </w:p>
        </w:tc>
      </w:tr>
      <w:tr w14:paraId="7B55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61" w:type="dxa"/>
            <w:vMerge w:val="continue"/>
            <w:noWrap/>
            <w:vAlign w:val="center"/>
          </w:tcPr>
          <w:p w14:paraId="185E355A">
            <w:pPr>
              <w:pStyle w:val="38"/>
              <w:bidi w:val="0"/>
              <w:rPr>
                <w:rFonts w:hint="eastAsia" w:ascii="宋体" w:hAnsi="宋体" w:eastAsia="宋体" w:cs="宋体"/>
                <w:sz w:val="24"/>
                <w:szCs w:val="24"/>
                <w:highlight w:val="none"/>
              </w:rPr>
            </w:pPr>
          </w:p>
        </w:tc>
        <w:tc>
          <w:tcPr>
            <w:tcW w:w="1661" w:type="dxa"/>
            <w:noWrap/>
            <w:vAlign w:val="center"/>
          </w:tcPr>
          <w:p w14:paraId="517811F2">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sz w:val="24"/>
                <w:szCs w:val="24"/>
                <w:highlight w:val="none"/>
                <w:lang w:eastAsia="zh-CN"/>
              </w:rPr>
            </w:pPr>
            <w:r>
              <w:rPr>
                <w:rFonts w:hint="eastAsia" w:ascii="宋体" w:hAnsi="宋体" w:eastAsia="宋体" w:cs="宋体"/>
                <w:snapToGrid/>
                <w:color w:val="auto"/>
                <w:kern w:val="0"/>
                <w:sz w:val="24"/>
                <w:szCs w:val="20"/>
                <w:highlight w:val="none"/>
                <w:lang w:val="en-US" w:eastAsia="zh-CN" w:bidi="ar"/>
              </w:rPr>
              <w:t>售后服务</w:t>
            </w:r>
          </w:p>
        </w:tc>
        <w:tc>
          <w:tcPr>
            <w:tcW w:w="5754" w:type="dxa"/>
            <w:noWrap/>
            <w:vAlign w:val="center"/>
          </w:tcPr>
          <w:p w14:paraId="27CE18DA">
            <w:pPr>
              <w:keepNext w:val="0"/>
              <w:keepLines w:val="0"/>
              <w:widowControl w:val="0"/>
              <w:suppressLineNumbers w:val="0"/>
              <w:snapToGrid w:val="0"/>
              <w:spacing w:before="0" w:beforeAutospacing="0" w:after="0" w:afterAutospacing="0"/>
              <w:ind w:left="0" w:leftChars="0" w:right="0" w:rightChars="0"/>
              <w:jc w:val="left"/>
              <w:textAlignment w:val="baseline"/>
              <w:rPr>
                <w:rFonts w:hint="eastAsia" w:ascii="宋体" w:hAnsi="宋体" w:eastAsia="宋体" w:cs="宋体"/>
                <w:sz w:val="24"/>
                <w:szCs w:val="24"/>
                <w:highlight w:val="none"/>
              </w:rPr>
            </w:pPr>
            <w:r>
              <w:rPr>
                <w:rFonts w:hint="eastAsia" w:ascii="宋体" w:hAnsi="宋体" w:eastAsia="宋体" w:cs="宋体"/>
                <w:snapToGrid/>
                <w:color w:val="auto"/>
                <w:kern w:val="0"/>
                <w:sz w:val="24"/>
                <w:szCs w:val="20"/>
                <w:highlight w:val="none"/>
                <w:vertAlign w:val="baseline"/>
                <w:lang w:val="en-US" w:eastAsia="zh-CN" w:bidi="ar"/>
              </w:rPr>
              <w:t>评委根据供应商是否具有较强的售后服务能力以及较强的专业技术队伍，是否能提供快速的服务响应具体情况进行打分。</w:t>
            </w:r>
          </w:p>
        </w:tc>
        <w:tc>
          <w:tcPr>
            <w:tcW w:w="843" w:type="dxa"/>
            <w:noWrap/>
            <w:vAlign w:val="center"/>
          </w:tcPr>
          <w:p w14:paraId="5704C249">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napToGrid/>
                <w:color w:val="auto"/>
                <w:kern w:val="0"/>
                <w:sz w:val="24"/>
                <w:szCs w:val="20"/>
                <w:highlight w:val="none"/>
                <w:lang w:val="en-US" w:eastAsia="zh-CN" w:bidi="ar"/>
              </w:rPr>
              <w:t>5</w:t>
            </w:r>
          </w:p>
        </w:tc>
      </w:tr>
      <w:tr w14:paraId="1687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61" w:type="dxa"/>
            <w:vMerge w:val="continue"/>
            <w:noWrap/>
            <w:vAlign w:val="center"/>
          </w:tcPr>
          <w:p w14:paraId="50E4AD29">
            <w:pPr>
              <w:pStyle w:val="38"/>
              <w:bidi w:val="0"/>
              <w:rPr>
                <w:rFonts w:hint="eastAsia" w:ascii="宋体" w:hAnsi="宋体" w:eastAsia="宋体" w:cs="宋体"/>
                <w:sz w:val="24"/>
                <w:szCs w:val="24"/>
                <w:highlight w:val="none"/>
              </w:rPr>
            </w:pPr>
          </w:p>
        </w:tc>
        <w:tc>
          <w:tcPr>
            <w:tcW w:w="1661" w:type="dxa"/>
            <w:noWrap/>
            <w:vAlign w:val="center"/>
          </w:tcPr>
          <w:p w14:paraId="5C27DB06">
            <w:pPr>
              <w:widowControl/>
              <w:spacing w:before="100" w:after="100"/>
              <w:jc w:val="center"/>
              <w:rPr>
                <w:rFonts w:hint="eastAsia" w:ascii="宋体" w:hAnsi="宋体" w:eastAsia="宋体" w:cs="宋体"/>
                <w:sz w:val="24"/>
                <w:szCs w:val="24"/>
                <w:highlight w:val="none"/>
                <w:lang w:eastAsia="zh-CN"/>
              </w:rPr>
            </w:pPr>
            <w:r>
              <w:rPr>
                <w:rFonts w:hint="eastAsia" w:ascii="宋体" w:cs="宋体"/>
                <w:color w:val="auto"/>
                <w:kern w:val="0"/>
                <w:sz w:val="24"/>
                <w:highlight w:val="none"/>
                <w:lang w:bidi="ar"/>
              </w:rPr>
              <w:t>合理化建议</w:t>
            </w:r>
          </w:p>
        </w:tc>
        <w:tc>
          <w:tcPr>
            <w:tcW w:w="5754" w:type="dxa"/>
            <w:noWrap/>
            <w:vAlign w:val="center"/>
          </w:tcPr>
          <w:p w14:paraId="614BF858">
            <w:pPr>
              <w:widowControl/>
              <w:jc w:val="both"/>
              <w:rPr>
                <w:rFonts w:hint="eastAsia" w:ascii="宋体" w:hAnsi="宋体" w:eastAsia="宋体" w:cs="宋体"/>
                <w:sz w:val="24"/>
                <w:szCs w:val="24"/>
                <w:highlight w:val="none"/>
                <w:lang w:val="zh-TW"/>
              </w:rPr>
            </w:pPr>
            <w:r>
              <w:rPr>
                <w:rFonts w:hint="eastAsia" w:ascii="宋体" w:cs="宋体"/>
                <w:color w:val="auto"/>
                <w:kern w:val="0"/>
                <w:sz w:val="24"/>
                <w:highlight w:val="none"/>
                <w:lang w:bidi="ar"/>
              </w:rPr>
              <w:t>评委根据</w:t>
            </w:r>
            <w:r>
              <w:rPr>
                <w:rFonts w:hint="eastAsia" w:ascii="宋体" w:hAnsi="宋体" w:eastAsia="宋体" w:cs="宋体"/>
                <w:snapToGrid/>
                <w:color w:val="auto"/>
                <w:kern w:val="0"/>
                <w:sz w:val="24"/>
                <w:szCs w:val="20"/>
                <w:highlight w:val="none"/>
                <w:vertAlign w:val="baseline"/>
                <w:lang w:val="en-US" w:eastAsia="zh-CN" w:bidi="ar"/>
              </w:rPr>
              <w:t>供应商</w:t>
            </w:r>
            <w:r>
              <w:rPr>
                <w:rFonts w:hint="eastAsia" w:ascii="宋体" w:cs="宋体"/>
                <w:color w:val="auto"/>
                <w:kern w:val="0"/>
                <w:sz w:val="24"/>
                <w:highlight w:val="none"/>
                <w:lang w:bidi="ar"/>
              </w:rPr>
              <w:t>针对本项目提供的其他承诺或合理化建议进行打分</w:t>
            </w:r>
            <w:r>
              <w:rPr>
                <w:rFonts w:hint="eastAsia" w:ascii="宋体" w:hAnsi="宋体" w:cs="宋体"/>
                <w:color w:val="auto"/>
                <w:sz w:val="24"/>
                <w:highlight w:val="none"/>
                <w:lang w:eastAsia="zh-CN" w:bidi="ar"/>
              </w:rPr>
              <w:t>。</w:t>
            </w:r>
          </w:p>
        </w:tc>
        <w:tc>
          <w:tcPr>
            <w:tcW w:w="843" w:type="dxa"/>
            <w:noWrap/>
            <w:vAlign w:val="center"/>
          </w:tcPr>
          <w:p w14:paraId="51E2E6B4">
            <w:pPr>
              <w:widowControl/>
              <w:spacing w:before="100" w:after="100"/>
              <w:jc w:val="center"/>
              <w:rPr>
                <w:rFonts w:hint="eastAsia" w:ascii="宋体" w:hAnsi="宋体" w:eastAsia="宋体" w:cs="宋体"/>
                <w:sz w:val="24"/>
                <w:szCs w:val="24"/>
                <w:highlight w:val="none"/>
                <w:lang w:eastAsia="zh-CN"/>
              </w:rPr>
            </w:pPr>
            <w:r>
              <w:rPr>
                <w:rFonts w:hint="eastAsia" w:ascii="宋体" w:hAnsi="宋体" w:cs="宋体"/>
                <w:color w:val="auto"/>
                <w:sz w:val="24"/>
                <w:highlight w:val="none"/>
                <w:lang w:val="en-US" w:eastAsia="zh-CN"/>
              </w:rPr>
              <w:t>2</w:t>
            </w:r>
          </w:p>
        </w:tc>
      </w:tr>
      <w:tr w14:paraId="1A06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261" w:type="dxa"/>
            <w:vMerge w:val="restart"/>
            <w:noWrap/>
            <w:vAlign w:val="center"/>
          </w:tcPr>
          <w:p w14:paraId="69D120F6">
            <w:pPr>
              <w:pStyle w:val="38"/>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商务</w:t>
            </w:r>
          </w:p>
        </w:tc>
        <w:tc>
          <w:tcPr>
            <w:tcW w:w="1661" w:type="dxa"/>
            <w:noWrap/>
            <w:vAlign w:val="center"/>
          </w:tcPr>
          <w:p w14:paraId="57985170">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sz w:val="24"/>
                <w:szCs w:val="24"/>
                <w:highlight w:val="none"/>
              </w:rPr>
            </w:pPr>
            <w:r>
              <w:rPr>
                <w:rFonts w:hint="eastAsia" w:ascii="宋体" w:hAnsi="宋体" w:eastAsia="宋体" w:cs="宋体"/>
                <w:snapToGrid/>
                <w:color w:val="auto"/>
                <w:kern w:val="0"/>
                <w:sz w:val="24"/>
                <w:szCs w:val="24"/>
                <w:highlight w:val="none"/>
                <w:lang w:val="en-US" w:eastAsia="zh-CN" w:bidi="ar"/>
              </w:rPr>
              <w:t>业绩</w:t>
            </w:r>
          </w:p>
        </w:tc>
        <w:tc>
          <w:tcPr>
            <w:tcW w:w="5754" w:type="dxa"/>
            <w:noWrap/>
            <w:vAlign w:val="center"/>
          </w:tcPr>
          <w:p w14:paraId="4EE3C299">
            <w:pPr>
              <w:keepNext w:val="0"/>
              <w:keepLines w:val="0"/>
              <w:widowControl w:val="0"/>
              <w:suppressLineNumbers w:val="0"/>
              <w:snapToGrid w:val="0"/>
              <w:spacing w:before="0" w:beforeAutospacing="0" w:after="0" w:afterAutospacing="0"/>
              <w:ind w:right="0" w:rightChars="0"/>
              <w:jc w:val="left"/>
              <w:textAlignment w:val="baseline"/>
              <w:rPr>
                <w:rFonts w:hint="eastAsia" w:ascii="宋体" w:hAnsi="宋体" w:eastAsia="宋体" w:cs="宋体"/>
                <w:sz w:val="24"/>
                <w:szCs w:val="24"/>
                <w:highlight w:val="none"/>
              </w:rPr>
            </w:pPr>
            <w:r>
              <w:rPr>
                <w:rFonts w:hint="eastAsia" w:ascii="宋体" w:hAnsi="宋体" w:eastAsia="宋体" w:cs="宋体"/>
                <w:snapToGrid/>
                <w:color w:val="auto"/>
                <w:kern w:val="0"/>
                <w:sz w:val="24"/>
                <w:szCs w:val="24"/>
                <w:highlight w:val="none"/>
                <w:vertAlign w:val="baseline"/>
                <w:lang w:val="en-US" w:eastAsia="zh-CN" w:bidi="ar"/>
              </w:rPr>
              <w:t>供应商自2021年1月1日以来（以合同签订时间为准）承接过类似业绩</w:t>
            </w:r>
            <w:r>
              <w:rPr>
                <w:rFonts w:hint="eastAsia" w:ascii="宋体" w:hAnsi="宋体" w:cs="宋体"/>
                <w:snapToGrid/>
                <w:color w:val="auto"/>
                <w:kern w:val="0"/>
                <w:sz w:val="24"/>
                <w:szCs w:val="24"/>
                <w:highlight w:val="none"/>
                <w:vertAlign w:val="baseline"/>
                <w:lang w:val="en-US" w:eastAsia="zh-CN" w:bidi="ar"/>
              </w:rPr>
              <w:t>，</w:t>
            </w:r>
            <w:r>
              <w:rPr>
                <w:rFonts w:hint="eastAsia" w:ascii="宋体" w:hAnsi="宋体" w:eastAsia="宋体" w:cs="宋体"/>
                <w:snapToGrid/>
                <w:color w:val="auto"/>
                <w:kern w:val="0"/>
                <w:sz w:val="24"/>
                <w:szCs w:val="24"/>
                <w:highlight w:val="none"/>
                <w:vertAlign w:val="baseline"/>
                <w:lang w:val="en-US" w:eastAsia="zh-CN" w:bidi="ar"/>
              </w:rPr>
              <w:t>每提供一个</w:t>
            </w:r>
            <w:r>
              <w:rPr>
                <w:rFonts w:hint="eastAsia" w:ascii="宋体" w:hAnsi="宋体" w:cs="宋体"/>
                <w:snapToGrid/>
                <w:color w:val="auto"/>
                <w:kern w:val="0"/>
                <w:sz w:val="24"/>
                <w:szCs w:val="24"/>
                <w:highlight w:val="none"/>
                <w:vertAlign w:val="baseline"/>
                <w:lang w:val="en-US" w:eastAsia="zh-CN" w:bidi="ar"/>
              </w:rPr>
              <w:t>得</w:t>
            </w:r>
            <w:r>
              <w:rPr>
                <w:rFonts w:hint="eastAsia" w:ascii="宋体" w:hAnsi="宋体" w:eastAsia="宋体" w:cs="宋体"/>
                <w:snapToGrid/>
                <w:color w:val="auto"/>
                <w:kern w:val="0"/>
                <w:sz w:val="24"/>
                <w:szCs w:val="24"/>
                <w:highlight w:val="none"/>
                <w:vertAlign w:val="baseline"/>
                <w:lang w:val="en-US" w:eastAsia="zh-CN" w:bidi="ar"/>
              </w:rPr>
              <w:t>0.5分，最高得2分。（提供合同扫描件加盖供应商公章</w:t>
            </w:r>
            <w:r>
              <w:rPr>
                <w:rFonts w:hint="eastAsia" w:ascii="宋体" w:hAnsi="宋体" w:cs="宋体"/>
                <w:snapToGrid/>
                <w:color w:val="auto"/>
                <w:kern w:val="0"/>
                <w:sz w:val="24"/>
                <w:szCs w:val="24"/>
                <w:highlight w:val="none"/>
                <w:vertAlign w:val="baseline"/>
                <w:lang w:val="en-US" w:eastAsia="zh-CN" w:bidi="ar"/>
              </w:rPr>
              <w:t>）</w:t>
            </w:r>
          </w:p>
        </w:tc>
        <w:tc>
          <w:tcPr>
            <w:tcW w:w="843" w:type="dxa"/>
            <w:noWrap/>
            <w:vAlign w:val="center"/>
          </w:tcPr>
          <w:p w14:paraId="1AA243A5">
            <w:pPr>
              <w:keepNext w:val="0"/>
              <w:keepLines w:val="0"/>
              <w:widowControl w:val="0"/>
              <w:suppressLineNumbers w:val="0"/>
              <w:snapToGrid w:val="0"/>
              <w:spacing w:before="0" w:beforeAutospacing="0" w:after="0" w:afterAutospacing="0" w:line="360" w:lineRule="auto"/>
              <w:ind w:left="0" w:leftChars="0" w:right="0" w:righ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r>
      <w:tr w14:paraId="60C6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261" w:type="dxa"/>
            <w:vMerge w:val="continue"/>
            <w:noWrap/>
            <w:vAlign w:val="center"/>
          </w:tcPr>
          <w:p w14:paraId="1C4D3482">
            <w:pPr>
              <w:pStyle w:val="38"/>
              <w:bidi w:val="0"/>
              <w:rPr>
                <w:rFonts w:hint="eastAsia" w:ascii="宋体" w:hAnsi="宋体" w:eastAsia="宋体" w:cs="宋体"/>
                <w:sz w:val="24"/>
                <w:szCs w:val="24"/>
                <w:highlight w:val="none"/>
              </w:rPr>
            </w:pPr>
          </w:p>
        </w:tc>
        <w:tc>
          <w:tcPr>
            <w:tcW w:w="1661" w:type="dxa"/>
            <w:noWrap/>
            <w:vAlign w:val="center"/>
          </w:tcPr>
          <w:p w14:paraId="3A7AB563">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sz w:val="24"/>
                <w:szCs w:val="24"/>
                <w:highlight w:val="none"/>
              </w:rPr>
            </w:pPr>
            <w:r>
              <w:rPr>
                <w:rFonts w:hint="eastAsia" w:ascii="宋体" w:hAnsi="宋体" w:eastAsia="宋体" w:cs="宋体"/>
                <w:snapToGrid/>
                <w:color w:val="auto"/>
                <w:kern w:val="0"/>
                <w:sz w:val="24"/>
                <w:szCs w:val="24"/>
                <w:highlight w:val="none"/>
                <w:lang w:val="en-US" w:eastAsia="zh-CN" w:bidi="ar"/>
              </w:rPr>
              <w:t>企业实力</w:t>
            </w:r>
          </w:p>
        </w:tc>
        <w:tc>
          <w:tcPr>
            <w:tcW w:w="5754" w:type="dxa"/>
            <w:noWrap/>
            <w:vAlign w:val="center"/>
          </w:tcPr>
          <w:p w14:paraId="706BC6A7">
            <w:pPr>
              <w:keepNext w:val="0"/>
              <w:keepLines w:val="0"/>
              <w:widowControl w:val="0"/>
              <w:suppressLineNumbers w:val="0"/>
              <w:snapToGrid w:val="0"/>
              <w:spacing w:before="0" w:beforeAutospacing="0" w:after="0" w:afterAutospacing="0"/>
              <w:ind w:right="0" w:rightChars="0"/>
              <w:jc w:val="left"/>
              <w:textAlignment w:val="baseline"/>
              <w:rPr>
                <w:rFonts w:hint="eastAsia" w:ascii="宋体" w:hAnsi="宋体" w:eastAsia="宋体" w:cs="宋体"/>
                <w:sz w:val="24"/>
                <w:szCs w:val="24"/>
                <w:highlight w:val="none"/>
              </w:rPr>
            </w:pPr>
            <w:r>
              <w:rPr>
                <w:rFonts w:hint="eastAsia" w:ascii="宋体" w:hAnsi="宋体" w:eastAsia="宋体" w:cs="宋体"/>
                <w:snapToGrid/>
                <w:color w:val="auto"/>
                <w:kern w:val="0"/>
                <w:sz w:val="24"/>
                <w:szCs w:val="24"/>
                <w:highlight w:val="none"/>
                <w:vertAlign w:val="baseline"/>
                <w:lang w:val="en-US" w:eastAsia="zh-CN" w:bidi="ar"/>
              </w:rPr>
              <w:t>供应商具有蔬菜、鱼类、肉类、粮食等稳定、安全的采购渠道，每提供一个得1分，最高得</w:t>
            </w:r>
            <w:r>
              <w:rPr>
                <w:rFonts w:hint="eastAsia" w:ascii="宋体" w:hAnsi="宋体" w:cs="宋体"/>
                <w:snapToGrid/>
                <w:color w:val="auto"/>
                <w:kern w:val="0"/>
                <w:sz w:val="24"/>
                <w:szCs w:val="24"/>
                <w:highlight w:val="none"/>
                <w:vertAlign w:val="baseline"/>
                <w:lang w:val="en-US" w:eastAsia="zh-CN" w:bidi="ar"/>
              </w:rPr>
              <w:t>2</w:t>
            </w:r>
            <w:r>
              <w:rPr>
                <w:rFonts w:hint="eastAsia" w:ascii="宋体" w:hAnsi="宋体" w:eastAsia="宋体" w:cs="宋体"/>
                <w:snapToGrid/>
                <w:color w:val="auto"/>
                <w:kern w:val="0"/>
                <w:sz w:val="24"/>
                <w:szCs w:val="24"/>
                <w:highlight w:val="none"/>
                <w:vertAlign w:val="baseline"/>
                <w:lang w:val="en-US" w:eastAsia="zh-CN" w:bidi="ar"/>
              </w:rPr>
              <w:t>分。</w:t>
            </w:r>
            <w:r>
              <w:rPr>
                <w:rFonts w:hint="eastAsia" w:ascii="宋体" w:hAnsi="宋体" w:cs="宋体"/>
                <w:snapToGrid/>
                <w:color w:val="auto"/>
                <w:kern w:val="0"/>
                <w:sz w:val="24"/>
                <w:szCs w:val="24"/>
                <w:highlight w:val="none"/>
                <w:vertAlign w:val="baseline"/>
                <w:lang w:val="en-US" w:eastAsia="zh-CN" w:bidi="ar"/>
              </w:rPr>
              <w:t>（</w:t>
            </w:r>
            <w:r>
              <w:rPr>
                <w:rFonts w:hint="eastAsia" w:ascii="宋体" w:hAnsi="宋体" w:eastAsia="宋体" w:cs="宋体"/>
                <w:snapToGrid/>
                <w:color w:val="auto"/>
                <w:kern w:val="0"/>
                <w:sz w:val="24"/>
                <w:szCs w:val="24"/>
                <w:highlight w:val="none"/>
                <w:vertAlign w:val="baseline"/>
                <w:lang w:val="en-US" w:eastAsia="zh-CN" w:bidi="ar"/>
              </w:rPr>
              <w:t>提供基地证明或代销证明或供货协议等证明文件</w:t>
            </w:r>
            <w:r>
              <w:rPr>
                <w:rFonts w:hint="eastAsia" w:ascii="宋体" w:hAnsi="宋体" w:cs="宋体"/>
                <w:snapToGrid/>
                <w:color w:val="auto"/>
                <w:kern w:val="0"/>
                <w:sz w:val="24"/>
                <w:szCs w:val="24"/>
                <w:highlight w:val="none"/>
                <w:vertAlign w:val="baseline"/>
                <w:lang w:val="en-US" w:eastAsia="zh-CN" w:bidi="ar"/>
              </w:rPr>
              <w:t>扫描件</w:t>
            </w:r>
            <w:r>
              <w:rPr>
                <w:rFonts w:hint="eastAsia" w:ascii="宋体" w:hAnsi="宋体" w:eastAsia="宋体" w:cs="宋体"/>
                <w:snapToGrid/>
                <w:color w:val="auto"/>
                <w:kern w:val="0"/>
                <w:sz w:val="24"/>
                <w:szCs w:val="24"/>
                <w:highlight w:val="none"/>
                <w:vertAlign w:val="baseline"/>
                <w:lang w:val="en-US" w:eastAsia="zh-CN" w:bidi="ar"/>
              </w:rPr>
              <w:t>并加盖供应商公章</w:t>
            </w:r>
            <w:r>
              <w:rPr>
                <w:rFonts w:hint="eastAsia" w:ascii="宋体" w:hAnsi="宋体" w:cs="宋体"/>
                <w:snapToGrid/>
                <w:color w:val="auto"/>
                <w:kern w:val="0"/>
                <w:sz w:val="24"/>
                <w:szCs w:val="24"/>
                <w:highlight w:val="none"/>
                <w:vertAlign w:val="baseline"/>
                <w:lang w:val="en-US" w:eastAsia="zh-CN" w:bidi="ar"/>
              </w:rPr>
              <w:t>）</w:t>
            </w:r>
          </w:p>
        </w:tc>
        <w:tc>
          <w:tcPr>
            <w:tcW w:w="843" w:type="dxa"/>
            <w:noWrap/>
            <w:vAlign w:val="center"/>
          </w:tcPr>
          <w:p w14:paraId="1D295B19">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r>
      <w:tr w14:paraId="4379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261" w:type="dxa"/>
            <w:vMerge w:val="continue"/>
            <w:noWrap/>
            <w:vAlign w:val="center"/>
          </w:tcPr>
          <w:p w14:paraId="755E6575">
            <w:pPr>
              <w:pStyle w:val="38"/>
              <w:bidi w:val="0"/>
              <w:rPr>
                <w:rFonts w:hint="eastAsia" w:ascii="宋体" w:hAnsi="宋体" w:eastAsia="宋体" w:cs="宋体"/>
                <w:sz w:val="24"/>
                <w:szCs w:val="24"/>
                <w:highlight w:val="none"/>
              </w:rPr>
            </w:pPr>
          </w:p>
        </w:tc>
        <w:tc>
          <w:tcPr>
            <w:tcW w:w="1661" w:type="dxa"/>
            <w:noWrap/>
            <w:vAlign w:val="center"/>
          </w:tcPr>
          <w:p w14:paraId="4602E9C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snapToGrid/>
                <w:color w:val="auto"/>
                <w:kern w:val="0"/>
                <w:sz w:val="24"/>
                <w:szCs w:val="24"/>
                <w:highlight w:val="none"/>
                <w:lang w:val="en-US" w:eastAsia="zh-CN" w:bidi="ar"/>
              </w:rPr>
            </w:pPr>
            <w:r>
              <w:rPr>
                <w:rFonts w:hint="eastAsia" w:ascii="宋体" w:hAnsi="宋体" w:eastAsia="宋体" w:cs="宋体"/>
                <w:snapToGrid/>
                <w:color w:val="auto"/>
                <w:kern w:val="0"/>
                <w:sz w:val="24"/>
                <w:szCs w:val="24"/>
                <w:highlight w:val="none"/>
                <w:lang w:val="en-US" w:eastAsia="zh-CN" w:bidi="ar"/>
              </w:rPr>
              <w:t>证书</w:t>
            </w:r>
          </w:p>
        </w:tc>
        <w:tc>
          <w:tcPr>
            <w:tcW w:w="5754" w:type="dxa"/>
            <w:noWrap/>
            <w:vAlign w:val="center"/>
          </w:tcPr>
          <w:p w14:paraId="6CA359AB">
            <w:pPr>
              <w:keepNext w:val="0"/>
              <w:keepLines w:val="0"/>
              <w:widowControl w:val="0"/>
              <w:suppressLineNumbers w:val="0"/>
              <w:snapToGrid w:val="0"/>
              <w:spacing w:before="0" w:beforeAutospacing="0" w:after="0" w:afterAutospacing="0"/>
              <w:ind w:right="0" w:rightChars="0"/>
              <w:jc w:val="left"/>
              <w:textAlignment w:val="baseline"/>
              <w:rPr>
                <w:rFonts w:hint="eastAsia" w:ascii="宋体" w:hAnsi="宋体" w:eastAsia="宋体" w:cs="宋体"/>
                <w:snapToGrid/>
                <w:color w:val="auto"/>
                <w:kern w:val="0"/>
                <w:sz w:val="24"/>
                <w:szCs w:val="24"/>
                <w:highlight w:val="none"/>
                <w:vertAlign w:val="baseline"/>
                <w:lang w:val="en-US" w:eastAsia="zh-CN" w:bidi="ar"/>
              </w:rPr>
            </w:pPr>
            <w:r>
              <w:rPr>
                <w:rFonts w:hint="eastAsia" w:ascii="宋体" w:hAnsi="宋体" w:eastAsia="宋体" w:cs="宋体"/>
                <w:snapToGrid/>
                <w:color w:val="auto"/>
                <w:kern w:val="0"/>
                <w:sz w:val="24"/>
                <w:szCs w:val="24"/>
                <w:highlight w:val="none"/>
                <w:vertAlign w:val="baseline"/>
                <w:lang w:val="en-US" w:eastAsia="zh-CN" w:bidi="ar"/>
              </w:rPr>
              <w:t>本项目中的服务人员具有</w:t>
            </w:r>
            <w:r>
              <w:rPr>
                <w:rFonts w:hint="eastAsia" w:ascii="宋体" w:hAnsi="宋体" w:cs="宋体"/>
                <w:snapToGrid/>
                <w:color w:val="auto"/>
                <w:kern w:val="0"/>
                <w:sz w:val="24"/>
                <w:szCs w:val="24"/>
                <w:highlight w:val="none"/>
                <w:vertAlign w:val="baseline"/>
                <w:lang w:val="en-US" w:eastAsia="zh-CN" w:bidi="ar"/>
              </w:rPr>
              <w:t>助理</w:t>
            </w:r>
            <w:r>
              <w:rPr>
                <w:rFonts w:hint="eastAsia" w:ascii="宋体" w:hAnsi="宋体" w:eastAsia="宋体" w:cs="宋体"/>
                <w:snapToGrid/>
                <w:color w:val="auto"/>
                <w:kern w:val="0"/>
                <w:sz w:val="24"/>
                <w:szCs w:val="24"/>
                <w:highlight w:val="none"/>
                <w:vertAlign w:val="baseline"/>
                <w:lang w:val="en-US" w:eastAsia="zh-CN" w:bidi="ar"/>
              </w:rPr>
              <w:t>社会工作师</w:t>
            </w:r>
            <w:r>
              <w:rPr>
                <w:rFonts w:hint="eastAsia" w:ascii="宋体" w:hAnsi="宋体" w:cs="宋体"/>
                <w:snapToGrid/>
                <w:color w:val="auto"/>
                <w:kern w:val="0"/>
                <w:sz w:val="24"/>
                <w:szCs w:val="24"/>
                <w:highlight w:val="none"/>
                <w:vertAlign w:val="baseline"/>
                <w:lang w:val="en-US" w:eastAsia="zh-CN" w:bidi="ar"/>
              </w:rPr>
              <w:t>证书及以上</w:t>
            </w:r>
            <w:r>
              <w:rPr>
                <w:rFonts w:hint="eastAsia" w:ascii="宋体" w:hAnsi="宋体" w:eastAsia="宋体" w:cs="宋体"/>
                <w:snapToGrid/>
                <w:color w:val="auto"/>
                <w:kern w:val="0"/>
                <w:sz w:val="24"/>
                <w:szCs w:val="24"/>
                <w:highlight w:val="none"/>
                <w:vertAlign w:val="baseline"/>
                <w:lang w:val="en-US" w:eastAsia="zh-CN" w:bidi="ar"/>
              </w:rPr>
              <w:t>的，</w:t>
            </w:r>
            <w:r>
              <w:rPr>
                <w:rFonts w:hint="eastAsia" w:ascii="宋体" w:hAnsi="宋体" w:cs="宋体"/>
                <w:snapToGrid/>
                <w:color w:val="auto"/>
                <w:kern w:val="0"/>
                <w:sz w:val="24"/>
                <w:szCs w:val="24"/>
                <w:highlight w:val="none"/>
                <w:vertAlign w:val="baseline"/>
                <w:lang w:val="en-US" w:eastAsia="zh-CN" w:bidi="ar"/>
              </w:rPr>
              <w:t>每个</w:t>
            </w:r>
            <w:r>
              <w:rPr>
                <w:rFonts w:hint="eastAsia" w:ascii="宋体" w:hAnsi="宋体" w:eastAsia="宋体" w:cs="宋体"/>
                <w:snapToGrid/>
                <w:color w:val="auto"/>
                <w:kern w:val="0"/>
                <w:sz w:val="24"/>
                <w:szCs w:val="24"/>
                <w:highlight w:val="none"/>
                <w:vertAlign w:val="baseline"/>
                <w:lang w:val="en-US" w:eastAsia="zh-CN" w:bidi="ar"/>
              </w:rPr>
              <w:t>得1分</w:t>
            </w:r>
            <w:r>
              <w:rPr>
                <w:rFonts w:hint="eastAsia" w:ascii="宋体" w:hAnsi="宋体" w:cs="宋体"/>
                <w:snapToGrid/>
                <w:color w:val="auto"/>
                <w:kern w:val="0"/>
                <w:sz w:val="24"/>
                <w:szCs w:val="24"/>
                <w:highlight w:val="none"/>
                <w:vertAlign w:val="baseline"/>
                <w:lang w:val="en-US" w:eastAsia="zh-CN" w:bidi="ar"/>
              </w:rPr>
              <w:t>，</w:t>
            </w:r>
            <w:r>
              <w:rPr>
                <w:rFonts w:hint="eastAsia" w:ascii="宋体" w:hAnsi="宋体" w:eastAsia="宋体" w:cs="宋体"/>
                <w:snapToGrid/>
                <w:color w:val="auto"/>
                <w:kern w:val="0"/>
                <w:sz w:val="24"/>
                <w:szCs w:val="24"/>
                <w:highlight w:val="none"/>
                <w:vertAlign w:val="baseline"/>
                <w:lang w:val="en-US" w:eastAsia="zh-CN" w:bidi="ar"/>
              </w:rPr>
              <w:t>最高得3分；具有</w:t>
            </w:r>
            <w:r>
              <w:rPr>
                <w:rFonts w:hint="eastAsia" w:ascii="宋体" w:hAnsi="宋体" w:cs="宋体"/>
                <w:snapToGrid/>
                <w:color w:val="auto"/>
                <w:kern w:val="0"/>
                <w:sz w:val="24"/>
                <w:szCs w:val="24"/>
                <w:highlight w:val="none"/>
                <w:vertAlign w:val="baseline"/>
                <w:lang w:val="en-US" w:eastAsia="zh-CN" w:bidi="ar"/>
              </w:rPr>
              <w:t>二级</w:t>
            </w:r>
            <w:r>
              <w:rPr>
                <w:rFonts w:hint="eastAsia" w:ascii="宋体" w:hAnsi="宋体" w:eastAsia="宋体" w:cs="宋体"/>
                <w:snapToGrid/>
                <w:color w:val="auto"/>
                <w:kern w:val="0"/>
                <w:sz w:val="24"/>
                <w:szCs w:val="24"/>
                <w:highlight w:val="none"/>
                <w:vertAlign w:val="baseline"/>
                <w:lang w:val="en-US" w:eastAsia="zh-CN" w:bidi="ar"/>
              </w:rPr>
              <w:t>心理咨询师证书</w:t>
            </w:r>
            <w:r>
              <w:rPr>
                <w:rFonts w:hint="eastAsia" w:ascii="宋体" w:hAnsi="宋体" w:cs="宋体"/>
                <w:snapToGrid/>
                <w:color w:val="auto"/>
                <w:kern w:val="0"/>
                <w:sz w:val="24"/>
                <w:szCs w:val="24"/>
                <w:highlight w:val="none"/>
                <w:vertAlign w:val="baseline"/>
                <w:lang w:val="en-US" w:eastAsia="zh-CN" w:bidi="ar"/>
              </w:rPr>
              <w:t>及以上</w:t>
            </w:r>
            <w:r>
              <w:rPr>
                <w:rFonts w:hint="eastAsia" w:ascii="宋体" w:hAnsi="宋体" w:eastAsia="宋体" w:cs="宋体"/>
                <w:snapToGrid/>
                <w:color w:val="auto"/>
                <w:kern w:val="0"/>
                <w:sz w:val="24"/>
                <w:szCs w:val="24"/>
                <w:highlight w:val="none"/>
                <w:vertAlign w:val="baseline"/>
                <w:lang w:val="en-US" w:eastAsia="zh-CN" w:bidi="ar"/>
              </w:rPr>
              <w:t>的</w:t>
            </w:r>
            <w:r>
              <w:rPr>
                <w:rFonts w:hint="eastAsia" w:ascii="宋体" w:hAnsi="宋体" w:cs="宋体"/>
                <w:snapToGrid/>
                <w:color w:val="auto"/>
                <w:kern w:val="0"/>
                <w:sz w:val="24"/>
                <w:szCs w:val="24"/>
                <w:highlight w:val="none"/>
                <w:vertAlign w:val="baseline"/>
                <w:lang w:val="en-US" w:eastAsia="zh-CN" w:bidi="ar"/>
              </w:rPr>
              <w:t>，</w:t>
            </w:r>
            <w:r>
              <w:rPr>
                <w:rFonts w:hint="eastAsia" w:ascii="宋体" w:hAnsi="宋体" w:eastAsia="宋体" w:cs="宋体"/>
                <w:snapToGrid/>
                <w:color w:val="auto"/>
                <w:kern w:val="0"/>
                <w:sz w:val="24"/>
                <w:szCs w:val="24"/>
                <w:highlight w:val="none"/>
                <w:vertAlign w:val="baseline"/>
                <w:lang w:val="en-US" w:eastAsia="zh-CN" w:bidi="ar"/>
              </w:rPr>
              <w:t>得1分</w:t>
            </w:r>
            <w:r>
              <w:rPr>
                <w:rFonts w:hint="eastAsia" w:ascii="宋体" w:hAnsi="宋体" w:cs="宋体"/>
                <w:snapToGrid/>
                <w:color w:val="auto"/>
                <w:kern w:val="0"/>
                <w:sz w:val="24"/>
                <w:szCs w:val="24"/>
                <w:highlight w:val="none"/>
                <w:vertAlign w:val="baseline"/>
                <w:lang w:val="en-US" w:eastAsia="zh-CN" w:bidi="ar"/>
              </w:rPr>
              <w:t>，</w:t>
            </w:r>
            <w:r>
              <w:rPr>
                <w:rFonts w:hint="eastAsia" w:ascii="宋体" w:hAnsi="宋体" w:eastAsia="宋体" w:cs="宋体"/>
                <w:snapToGrid/>
                <w:color w:val="auto"/>
                <w:kern w:val="0"/>
                <w:sz w:val="24"/>
                <w:szCs w:val="24"/>
                <w:highlight w:val="none"/>
                <w:vertAlign w:val="baseline"/>
                <w:lang w:val="en-US" w:eastAsia="zh-CN" w:bidi="ar"/>
              </w:rPr>
              <w:t>最高得</w:t>
            </w:r>
            <w:r>
              <w:rPr>
                <w:rFonts w:hint="eastAsia" w:ascii="宋体" w:hAnsi="宋体" w:cs="宋体"/>
                <w:snapToGrid/>
                <w:color w:val="auto"/>
                <w:kern w:val="0"/>
                <w:sz w:val="24"/>
                <w:szCs w:val="24"/>
                <w:highlight w:val="none"/>
                <w:vertAlign w:val="baseline"/>
                <w:lang w:val="en-US" w:eastAsia="zh-CN" w:bidi="ar"/>
              </w:rPr>
              <w:t>1</w:t>
            </w:r>
            <w:r>
              <w:rPr>
                <w:rFonts w:hint="eastAsia" w:ascii="宋体" w:hAnsi="宋体" w:eastAsia="宋体" w:cs="宋体"/>
                <w:snapToGrid/>
                <w:color w:val="auto"/>
                <w:kern w:val="0"/>
                <w:sz w:val="24"/>
                <w:szCs w:val="24"/>
                <w:highlight w:val="none"/>
                <w:vertAlign w:val="baseline"/>
                <w:lang w:val="en-US" w:eastAsia="zh-CN" w:bidi="ar"/>
              </w:rPr>
              <w:t>分；具有高级养老护理员证</w:t>
            </w:r>
            <w:r>
              <w:rPr>
                <w:rFonts w:hint="eastAsia" w:ascii="宋体" w:hAnsi="宋体" w:cs="宋体"/>
                <w:snapToGrid/>
                <w:color w:val="auto"/>
                <w:kern w:val="0"/>
                <w:sz w:val="24"/>
                <w:szCs w:val="24"/>
                <w:highlight w:val="none"/>
                <w:vertAlign w:val="baseline"/>
                <w:lang w:val="en-US" w:eastAsia="zh-CN" w:bidi="ar"/>
              </w:rPr>
              <w:t>书的，得</w:t>
            </w:r>
            <w:r>
              <w:rPr>
                <w:rFonts w:hint="eastAsia" w:ascii="宋体" w:hAnsi="宋体" w:eastAsia="宋体" w:cs="宋体"/>
                <w:snapToGrid/>
                <w:color w:val="auto"/>
                <w:kern w:val="0"/>
                <w:sz w:val="24"/>
                <w:szCs w:val="24"/>
                <w:highlight w:val="none"/>
                <w:vertAlign w:val="baseline"/>
                <w:lang w:val="en-US" w:eastAsia="zh-CN" w:bidi="ar"/>
              </w:rPr>
              <w:t>1分，最高得1分；具有护士资格证</w:t>
            </w:r>
            <w:r>
              <w:rPr>
                <w:rFonts w:hint="eastAsia" w:ascii="宋体" w:hAnsi="宋体" w:cs="宋体"/>
                <w:snapToGrid/>
                <w:color w:val="auto"/>
                <w:kern w:val="0"/>
                <w:sz w:val="24"/>
                <w:szCs w:val="24"/>
                <w:highlight w:val="none"/>
                <w:vertAlign w:val="baseline"/>
                <w:lang w:val="en-US" w:eastAsia="zh-CN" w:bidi="ar"/>
              </w:rPr>
              <w:t>或</w:t>
            </w:r>
            <w:r>
              <w:rPr>
                <w:rFonts w:hint="eastAsia" w:ascii="宋体" w:hAnsi="宋体" w:eastAsia="宋体" w:cs="宋体"/>
                <w:snapToGrid/>
                <w:color w:val="auto"/>
                <w:kern w:val="0"/>
                <w:sz w:val="24"/>
                <w:szCs w:val="24"/>
                <w:highlight w:val="none"/>
                <w:vertAlign w:val="baseline"/>
                <w:lang w:val="en-US" w:eastAsia="zh-CN" w:bidi="ar"/>
              </w:rPr>
              <w:t>康复治疗师证书</w:t>
            </w:r>
            <w:r>
              <w:rPr>
                <w:rFonts w:hint="eastAsia" w:ascii="宋体" w:hAnsi="宋体" w:cs="宋体"/>
                <w:snapToGrid/>
                <w:color w:val="auto"/>
                <w:kern w:val="0"/>
                <w:sz w:val="24"/>
                <w:szCs w:val="24"/>
                <w:highlight w:val="none"/>
                <w:vertAlign w:val="baseline"/>
                <w:lang w:val="en-US" w:eastAsia="zh-CN" w:bidi="ar"/>
              </w:rPr>
              <w:t>的，</w:t>
            </w:r>
            <w:r>
              <w:rPr>
                <w:rFonts w:hint="eastAsia" w:ascii="宋体" w:hAnsi="宋体" w:eastAsia="宋体" w:cs="宋体"/>
                <w:snapToGrid/>
                <w:color w:val="auto"/>
                <w:kern w:val="0"/>
                <w:sz w:val="24"/>
                <w:szCs w:val="24"/>
                <w:highlight w:val="none"/>
                <w:vertAlign w:val="baseline"/>
                <w:lang w:val="en-US" w:eastAsia="zh-CN" w:bidi="ar"/>
              </w:rPr>
              <w:t>得1</w:t>
            </w:r>
            <w:r>
              <w:rPr>
                <w:rFonts w:hint="eastAsia" w:ascii="宋体" w:hAnsi="宋体" w:cs="宋体"/>
                <w:snapToGrid/>
                <w:color w:val="auto"/>
                <w:kern w:val="0"/>
                <w:sz w:val="24"/>
                <w:szCs w:val="24"/>
                <w:highlight w:val="none"/>
                <w:vertAlign w:val="baseline"/>
                <w:lang w:val="en-US" w:eastAsia="zh-CN" w:bidi="ar"/>
              </w:rPr>
              <w:t>分</w:t>
            </w:r>
            <w:r>
              <w:rPr>
                <w:rFonts w:hint="eastAsia" w:ascii="宋体" w:hAnsi="宋体" w:eastAsia="宋体" w:cs="宋体"/>
                <w:snapToGrid/>
                <w:color w:val="auto"/>
                <w:kern w:val="0"/>
                <w:sz w:val="24"/>
                <w:szCs w:val="24"/>
                <w:highlight w:val="none"/>
                <w:vertAlign w:val="baseline"/>
                <w:lang w:val="en-US" w:eastAsia="zh-CN" w:bidi="ar"/>
              </w:rPr>
              <w:t>，最高得1分。（提供</w:t>
            </w:r>
            <w:r>
              <w:rPr>
                <w:rFonts w:hint="eastAsia" w:ascii="宋体" w:hAnsi="宋体" w:cs="宋体"/>
                <w:snapToGrid/>
                <w:color w:val="auto"/>
                <w:kern w:val="0"/>
                <w:sz w:val="24"/>
                <w:szCs w:val="24"/>
                <w:highlight w:val="none"/>
                <w:vertAlign w:val="baseline"/>
                <w:lang w:val="en-US" w:eastAsia="zh-CN" w:bidi="ar"/>
              </w:rPr>
              <w:t>相应有效期内证书的扫描件</w:t>
            </w:r>
            <w:r>
              <w:rPr>
                <w:rFonts w:hint="eastAsia" w:ascii="宋体" w:hAnsi="宋体" w:cs="宋体"/>
                <w:snapToGrid/>
                <w:color w:val="auto"/>
                <w:kern w:val="0"/>
                <w:sz w:val="24"/>
                <w:szCs w:val="20"/>
                <w:highlight w:val="none"/>
                <w:vertAlign w:val="baseline"/>
                <w:lang w:val="en-US" w:eastAsia="zh-CN" w:bidi="ar"/>
              </w:rPr>
              <w:t>和供应商为其缴纳的社保证明均</w:t>
            </w:r>
            <w:r>
              <w:rPr>
                <w:rFonts w:hint="eastAsia" w:ascii="宋体" w:hAnsi="宋体" w:eastAsia="宋体" w:cs="宋体"/>
                <w:snapToGrid/>
                <w:color w:val="auto"/>
                <w:kern w:val="0"/>
                <w:sz w:val="24"/>
                <w:szCs w:val="24"/>
                <w:highlight w:val="none"/>
                <w:vertAlign w:val="baseline"/>
                <w:lang w:val="en-US" w:eastAsia="zh-CN" w:bidi="ar"/>
              </w:rPr>
              <w:t>加盖公章，一人多证的不重复计分</w:t>
            </w:r>
            <w:r>
              <w:rPr>
                <w:rFonts w:hint="eastAsia" w:ascii="宋体" w:hAnsi="宋体" w:cs="宋体"/>
                <w:snapToGrid/>
                <w:color w:val="auto"/>
                <w:kern w:val="0"/>
                <w:sz w:val="24"/>
                <w:szCs w:val="24"/>
                <w:highlight w:val="none"/>
                <w:vertAlign w:val="baseline"/>
                <w:lang w:val="en-US" w:eastAsia="zh-CN" w:bidi="ar"/>
              </w:rPr>
              <w:t>）</w:t>
            </w:r>
          </w:p>
        </w:tc>
        <w:tc>
          <w:tcPr>
            <w:tcW w:w="843" w:type="dxa"/>
            <w:noWrap/>
            <w:vAlign w:val="center"/>
          </w:tcPr>
          <w:p w14:paraId="61497712">
            <w:pPr>
              <w:keepNext w:val="0"/>
              <w:keepLines w:val="0"/>
              <w:widowControl w:val="0"/>
              <w:suppressLineNumbers w:val="0"/>
              <w:snapToGrid w:val="0"/>
              <w:spacing w:before="0" w:beforeAutospacing="0" w:after="0" w:afterAutospacing="0" w:line="360" w:lineRule="auto"/>
              <w:ind w:left="0" w:leftChars="0" w:right="0" w:rightChars="0"/>
              <w:jc w:val="center"/>
              <w:rPr>
                <w:rFonts w:hint="default" w:ascii="宋体" w:hAnsi="宋体" w:eastAsia="宋体" w:cs="宋体"/>
                <w:snapToGrid/>
                <w:color w:val="auto"/>
                <w:kern w:val="0"/>
                <w:sz w:val="24"/>
                <w:szCs w:val="24"/>
                <w:highlight w:val="none"/>
                <w:lang w:val="en-US" w:eastAsia="zh-CN" w:bidi="ar"/>
              </w:rPr>
            </w:pPr>
            <w:r>
              <w:rPr>
                <w:rFonts w:hint="eastAsia" w:ascii="宋体" w:hAnsi="宋体" w:eastAsia="宋体" w:cs="宋体"/>
                <w:snapToGrid/>
                <w:color w:val="auto"/>
                <w:kern w:val="0"/>
                <w:sz w:val="24"/>
                <w:szCs w:val="24"/>
                <w:highlight w:val="none"/>
                <w:lang w:val="en-US" w:eastAsia="zh-CN" w:bidi="ar"/>
              </w:rPr>
              <w:t>6</w:t>
            </w:r>
          </w:p>
        </w:tc>
      </w:tr>
    </w:tbl>
    <w:p w14:paraId="1268FC3B">
      <w:pPr>
        <w:spacing w:line="360" w:lineRule="auto"/>
        <w:rPr>
          <w:rFonts w:ascii="宋体"/>
          <w:color w:val="auto"/>
          <w:sz w:val="24"/>
          <w:szCs w:val="24"/>
          <w:highlight w:val="none"/>
        </w:rPr>
      </w:pPr>
      <w:r>
        <w:rPr>
          <w:rFonts w:hint="eastAsia" w:ascii="宋体" w:hAnsi="宋体" w:cs="宋体"/>
          <w:color w:val="auto"/>
          <w:sz w:val="24"/>
          <w:szCs w:val="24"/>
          <w:highlight w:val="none"/>
        </w:rPr>
        <w:t>注：</w:t>
      </w:r>
    </w:p>
    <w:p w14:paraId="2A5DF85F">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14:paraId="67FBEF24">
      <w:pPr>
        <w:spacing w:line="360" w:lineRule="auto"/>
        <w:ind w:firstLine="480" w:firstLineChars="200"/>
        <w:rPr>
          <w:rFonts w:cs="宋体"/>
          <w:color w:val="auto"/>
          <w:sz w:val="36"/>
          <w:szCs w:val="36"/>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、所有文件、合同、证书、资质等需要真实有效。成交供应商在中标后签订合同时需提供以上证明文件原件，若发现资料作假的取消中标资格。</w:t>
      </w:r>
    </w:p>
    <w:p w14:paraId="057ADF83">
      <w:pPr>
        <w:pStyle w:val="8"/>
        <w:jc w:val="both"/>
        <w:rPr>
          <w:rFonts w:hint="eastAsia" w:cs="宋体"/>
          <w:color w:val="auto"/>
          <w:sz w:val="36"/>
          <w:szCs w:val="36"/>
          <w:highlight w:val="none"/>
        </w:rPr>
      </w:pPr>
      <w:bookmarkStart w:id="116" w:name="_Toc6866"/>
      <w:bookmarkStart w:id="117" w:name="_Toc32092"/>
    </w:p>
    <w:p w14:paraId="28AD6E3F">
      <w:pPr>
        <w:pStyle w:val="8"/>
        <w:jc w:val="both"/>
        <w:rPr>
          <w:rFonts w:hint="eastAsia" w:cs="宋体"/>
          <w:color w:val="auto"/>
          <w:sz w:val="36"/>
          <w:szCs w:val="36"/>
          <w:highlight w:val="none"/>
        </w:rPr>
      </w:pPr>
    </w:p>
    <w:p w14:paraId="6C910635">
      <w:pPr>
        <w:rPr>
          <w:rFonts w:hint="eastAsia" w:cs="宋体"/>
          <w:color w:val="auto"/>
          <w:sz w:val="36"/>
          <w:szCs w:val="36"/>
          <w:highlight w:val="none"/>
        </w:rPr>
      </w:pPr>
    </w:p>
    <w:p w14:paraId="5FC1F62F">
      <w:pPr>
        <w:pStyle w:val="2"/>
        <w:rPr>
          <w:rFonts w:hint="eastAsia"/>
        </w:rPr>
      </w:pPr>
    </w:p>
    <w:p w14:paraId="57B2D81C">
      <w:pPr>
        <w:pStyle w:val="2"/>
        <w:ind w:left="0" w:leftChars="0" w:firstLine="0" w:firstLineChars="0"/>
        <w:rPr>
          <w:rFonts w:hint="eastAsia"/>
        </w:rPr>
      </w:pPr>
    </w:p>
    <w:p w14:paraId="3955A5F2">
      <w:pPr>
        <w:pStyle w:val="8"/>
        <w:jc w:val="center"/>
        <w:rPr>
          <w:rFonts w:ascii="宋体" w:cs="Times New Roman"/>
          <w:color w:val="auto"/>
          <w:highlight w:val="none"/>
        </w:rPr>
      </w:pPr>
      <w:r>
        <w:rPr>
          <w:rFonts w:hint="eastAsia" w:cs="宋体"/>
          <w:color w:val="auto"/>
          <w:sz w:val="36"/>
          <w:szCs w:val="36"/>
          <w:highlight w:val="none"/>
        </w:rPr>
        <w:t>第五部分</w:t>
      </w:r>
      <w:r>
        <w:rPr>
          <w:color w:val="auto"/>
          <w:sz w:val="36"/>
          <w:szCs w:val="36"/>
          <w:highlight w:val="none"/>
        </w:rPr>
        <w:t xml:space="preserve"> </w:t>
      </w:r>
      <w:r>
        <w:rPr>
          <w:rFonts w:hint="eastAsia" w:cs="宋体"/>
          <w:color w:val="auto"/>
          <w:sz w:val="36"/>
          <w:szCs w:val="36"/>
          <w:highlight w:val="none"/>
        </w:rPr>
        <w:t>采购合同</w:t>
      </w:r>
      <w:bookmarkEnd w:id="114"/>
      <w:bookmarkEnd w:id="115"/>
      <w:bookmarkEnd w:id="116"/>
      <w:bookmarkEnd w:id="117"/>
    </w:p>
    <w:p w14:paraId="1B0B7486">
      <w:pPr>
        <w:pStyle w:val="8"/>
        <w:jc w:val="both"/>
        <w:rPr>
          <w:rFonts w:hint="eastAsia" w:ascii="宋体" w:hAnsi="宋体" w:eastAsia="宋体" w:cs="宋体"/>
          <w:color w:val="auto"/>
          <w:sz w:val="24"/>
          <w:szCs w:val="24"/>
          <w:highlight w:val="none"/>
        </w:rPr>
      </w:pPr>
    </w:p>
    <w:p w14:paraId="4D22BA75">
      <w:pPr>
        <w:pStyle w:val="16"/>
        <w:shd w:val="clear" w:color="auto" w:fill="auto"/>
        <w:snapToGrid w:val="0"/>
        <w:spacing w:before="0" w:beforeLines="0" w:after="0" w:afterLines="0"/>
        <w:jc w:val="center"/>
        <w:rPr>
          <w:rFonts w:hint="eastAsia" w:hAnsi="宋体"/>
          <w:b/>
          <w:color w:val="auto"/>
          <w:sz w:val="32"/>
          <w:szCs w:val="32"/>
          <w:highlight w:val="none"/>
        </w:rPr>
      </w:pPr>
    </w:p>
    <w:p w14:paraId="12FAD1E7">
      <w:pPr>
        <w:shd w:val="clear" w:color="auto" w:fill="auto"/>
        <w:autoSpaceDE w:val="0"/>
        <w:autoSpaceDN w:val="0"/>
        <w:spacing w:line="360" w:lineRule="auto"/>
        <w:textAlignment w:val="bottom"/>
        <w:rPr>
          <w:rFonts w:hint="eastAsia" w:ascii="宋体" w:hAnsi="宋体"/>
          <w:b/>
          <w:color w:val="auto"/>
          <w:szCs w:val="21"/>
          <w:highlight w:val="none"/>
          <w:u w:val="single"/>
        </w:rPr>
      </w:pPr>
      <w:r>
        <w:rPr>
          <w:rFonts w:hint="eastAsia" w:ascii="宋体" w:hAnsi="宋体"/>
          <w:color w:val="auto"/>
          <w:sz w:val="32"/>
          <w:szCs w:val="32"/>
          <w:highlight w:val="none"/>
        </w:rPr>
        <w:t xml:space="preserve"> </w:t>
      </w:r>
      <w:r>
        <w:rPr>
          <w:rFonts w:hint="eastAsia" w:ascii="宋体" w:hAnsi="宋体"/>
          <w:b/>
          <w:color w:val="auto"/>
          <w:szCs w:val="21"/>
          <w:highlight w:val="none"/>
          <w:u w:val="single"/>
        </w:rPr>
        <w:t>备注：合同以双方签字盖章的文本为准，投标文件中各项招标需求均可在签订合同时列入或以更优的投标文件承诺内容列入。</w:t>
      </w:r>
    </w:p>
    <w:p w14:paraId="789A4648">
      <w:pPr>
        <w:shd w:val="clear" w:color="auto" w:fill="auto"/>
        <w:adjustRightInd w:val="0"/>
        <w:snapToGrid w:val="0"/>
        <w:spacing w:line="360" w:lineRule="auto"/>
        <w:jc w:val="center"/>
        <w:rPr>
          <w:rFonts w:hint="eastAsia" w:ascii="宋体" w:hAnsi="宋体"/>
          <w:color w:val="auto"/>
          <w:sz w:val="32"/>
          <w:szCs w:val="32"/>
          <w:highlight w:val="none"/>
        </w:rPr>
      </w:pPr>
      <w:r>
        <w:rPr>
          <w:rFonts w:hint="eastAsia" w:ascii="宋体" w:hAnsi="宋体" w:cs="宋体"/>
          <w:b/>
          <w:color w:val="auto"/>
          <w:sz w:val="32"/>
          <w:szCs w:val="32"/>
          <w:highlight w:val="none"/>
        </w:rPr>
        <w:t xml:space="preserve"> （以最终合同为准）</w:t>
      </w:r>
    </w:p>
    <w:p w14:paraId="25D060CD">
      <w:pPr>
        <w:shd w:val="clear" w:color="auto" w:fill="auto"/>
        <w:adjustRightInd w:val="0"/>
        <w:snapToGrid w:val="0"/>
        <w:spacing w:line="360" w:lineRule="auto"/>
        <w:jc w:val="center"/>
        <w:rPr>
          <w:rFonts w:hint="eastAsia" w:ascii="宋体" w:hAnsi="宋体"/>
          <w:color w:val="auto"/>
          <w:sz w:val="32"/>
          <w:szCs w:val="32"/>
          <w:highlight w:val="none"/>
        </w:rPr>
      </w:pPr>
    </w:p>
    <w:p w14:paraId="31ECE65A">
      <w:pPr>
        <w:shd w:val="clear" w:color="auto" w:fill="auto"/>
        <w:adjustRightInd w:val="0"/>
        <w:snapToGrid w:val="0"/>
        <w:spacing w:line="360" w:lineRule="auto"/>
        <w:jc w:val="center"/>
        <w:rPr>
          <w:rFonts w:hint="eastAsia" w:ascii="宋体" w:hAnsi="宋体"/>
          <w:color w:val="auto"/>
          <w:sz w:val="32"/>
          <w:szCs w:val="32"/>
          <w:highlight w:val="none"/>
        </w:rPr>
      </w:pPr>
    </w:p>
    <w:p w14:paraId="64A11095">
      <w:pPr>
        <w:shd w:val="clear" w:color="auto" w:fill="auto"/>
        <w:adjustRightInd w:val="0"/>
        <w:snapToGrid w:val="0"/>
        <w:spacing w:line="360" w:lineRule="auto"/>
        <w:jc w:val="center"/>
        <w:rPr>
          <w:rFonts w:hint="eastAsia" w:ascii="宋体" w:hAnsi="宋体"/>
          <w:color w:val="auto"/>
          <w:sz w:val="32"/>
          <w:szCs w:val="32"/>
          <w:highlight w:val="none"/>
        </w:rPr>
      </w:pPr>
    </w:p>
    <w:p w14:paraId="178890A7">
      <w:pPr>
        <w:shd w:val="clear" w:color="auto" w:fill="auto"/>
        <w:adjustRightInd w:val="0"/>
        <w:snapToGrid w:val="0"/>
        <w:spacing w:line="360" w:lineRule="auto"/>
        <w:jc w:val="center"/>
        <w:rPr>
          <w:rFonts w:hint="eastAsia" w:ascii="宋体" w:hAnsi="宋体"/>
          <w:color w:val="auto"/>
          <w:sz w:val="32"/>
          <w:szCs w:val="32"/>
          <w:highlight w:val="none"/>
        </w:rPr>
      </w:pPr>
    </w:p>
    <w:p w14:paraId="09976C67">
      <w:pPr>
        <w:shd w:val="clear" w:color="auto" w:fill="auto"/>
        <w:spacing w:line="360" w:lineRule="auto"/>
        <w:ind w:left="2560" w:hanging="2560" w:hangingChars="800"/>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 xml:space="preserve">项 目 名 称 </w:t>
      </w:r>
      <w:r>
        <w:rPr>
          <w:rFonts w:ascii="宋体" w:hAnsi="宋体"/>
          <w:color w:val="auto"/>
          <w:sz w:val="32"/>
          <w:szCs w:val="32"/>
          <w:highlight w:val="none"/>
        </w:rPr>
        <w:t xml:space="preserve"> </w:t>
      </w:r>
      <w:r>
        <w:rPr>
          <w:rFonts w:hint="eastAsia" w:ascii="宋体" w:hAnsi="宋体"/>
          <w:color w:val="auto"/>
          <w:sz w:val="32"/>
          <w:szCs w:val="32"/>
          <w:highlight w:val="none"/>
        </w:rPr>
        <w:t>：</w:t>
      </w:r>
      <w:r>
        <w:rPr>
          <w:rFonts w:hint="eastAsia" w:ascii="宋体" w:hAnsi="宋体"/>
          <w:color w:val="auto"/>
          <w:sz w:val="32"/>
          <w:szCs w:val="32"/>
          <w:highlight w:val="none"/>
          <w:u w:val="single"/>
          <w:lang w:eastAsia="zh-CN"/>
        </w:rPr>
        <w:t>百官街道文化站、志愿社会工作服务站、乐龄中心、助联体、老年大学等场所运行服务</w:t>
      </w:r>
    </w:p>
    <w:p w14:paraId="36FC92B1">
      <w:pPr>
        <w:shd w:val="clear" w:color="auto" w:fill="auto"/>
        <w:spacing w:line="360" w:lineRule="auto"/>
        <w:ind w:left="2560" w:hanging="2560" w:hangingChars="800"/>
        <w:rPr>
          <w:rFonts w:ascii="宋体" w:hAnsi="宋体"/>
          <w:color w:val="auto"/>
          <w:sz w:val="32"/>
          <w:szCs w:val="32"/>
          <w:highlight w:val="none"/>
        </w:rPr>
      </w:pPr>
      <w:r>
        <w:rPr>
          <w:rFonts w:hint="eastAsia" w:ascii="宋体" w:hAnsi="宋体"/>
          <w:color w:val="auto"/>
          <w:sz w:val="32"/>
          <w:szCs w:val="32"/>
          <w:highlight w:val="none"/>
        </w:rPr>
        <w:t>项 目 编 号  ：</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u w:val="single"/>
          <w:lang w:eastAsia="zh-CN"/>
        </w:rPr>
        <w:t>TPZC2024-016</w:t>
      </w:r>
      <w:r>
        <w:rPr>
          <w:rFonts w:hint="eastAsia" w:ascii="宋体" w:hAnsi="宋体"/>
          <w:color w:val="auto"/>
          <w:sz w:val="32"/>
          <w:szCs w:val="32"/>
          <w:highlight w:val="none"/>
          <w:u w:val="single"/>
          <w:lang w:val="en-US" w:eastAsia="zh-CN"/>
        </w:rPr>
        <w:t xml:space="preserve">        </w:t>
      </w:r>
    </w:p>
    <w:p w14:paraId="27D887A2">
      <w:pPr>
        <w:shd w:val="clear" w:color="auto" w:fill="auto"/>
        <w:spacing w:line="360" w:lineRule="auto"/>
        <w:rPr>
          <w:rFonts w:ascii="宋体" w:hAnsi="宋体"/>
          <w:color w:val="auto"/>
          <w:sz w:val="32"/>
          <w:szCs w:val="32"/>
          <w:highlight w:val="none"/>
        </w:rPr>
      </w:pPr>
      <w:r>
        <w:rPr>
          <w:rFonts w:ascii="宋体" w:hAnsi="宋体"/>
          <w:color w:val="auto"/>
          <w:sz w:val="32"/>
          <w:szCs w:val="32"/>
          <w:highlight w:val="none"/>
        </w:rPr>
        <w:t>甲方（采购人）：</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lang w:eastAsia="zh-CN"/>
        </w:rPr>
        <w:t>绍兴市上虞区百官街道办事处</w:t>
      </w:r>
      <w:r>
        <w:rPr>
          <w:rFonts w:hint="eastAsia" w:ascii="宋体" w:hAnsi="宋体"/>
          <w:color w:val="auto"/>
          <w:sz w:val="32"/>
          <w:szCs w:val="32"/>
          <w:highlight w:val="none"/>
          <w:u w:val="single"/>
        </w:rPr>
        <w:t xml:space="preserve"> </w:t>
      </w:r>
    </w:p>
    <w:p w14:paraId="06589CCF">
      <w:pPr>
        <w:shd w:val="clear" w:color="auto" w:fill="auto"/>
        <w:spacing w:line="360" w:lineRule="auto"/>
        <w:rPr>
          <w:rFonts w:ascii="宋体" w:hAnsi="宋体"/>
          <w:color w:val="auto"/>
          <w:sz w:val="32"/>
          <w:szCs w:val="32"/>
          <w:highlight w:val="none"/>
        </w:rPr>
      </w:pPr>
      <w:r>
        <w:rPr>
          <w:rFonts w:ascii="宋体" w:hAnsi="宋体"/>
          <w:color w:val="auto"/>
          <w:sz w:val="32"/>
          <w:szCs w:val="32"/>
          <w:highlight w:val="none"/>
        </w:rPr>
        <w:t>乙方（中标人）：</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w:t>
      </w:r>
    </w:p>
    <w:p w14:paraId="52F2AB6E">
      <w:pPr>
        <w:shd w:val="clear" w:color="auto" w:fill="auto"/>
        <w:spacing w:line="360" w:lineRule="auto"/>
        <w:rPr>
          <w:rFonts w:ascii="宋体" w:hAnsi="宋体"/>
          <w:color w:val="auto"/>
          <w:sz w:val="32"/>
          <w:szCs w:val="32"/>
          <w:highlight w:val="none"/>
        </w:rPr>
      </w:pPr>
      <w:r>
        <w:rPr>
          <w:rFonts w:hint="eastAsia" w:ascii="宋体" w:hAnsi="宋体"/>
          <w:color w:val="auto"/>
          <w:sz w:val="32"/>
          <w:szCs w:val="32"/>
          <w:highlight w:val="none"/>
        </w:rPr>
        <w:t xml:space="preserve">签 订 地 点 </w:t>
      </w:r>
      <w:r>
        <w:rPr>
          <w:rFonts w:ascii="宋体" w:hAnsi="宋体"/>
          <w:color w:val="auto"/>
          <w:sz w:val="32"/>
          <w:szCs w:val="32"/>
          <w:highlight w:val="none"/>
        </w:rPr>
        <w:t xml:space="preserve"> </w:t>
      </w:r>
      <w:r>
        <w:rPr>
          <w:rFonts w:hint="eastAsia" w:ascii="宋体" w:hAnsi="宋体"/>
          <w:color w:val="auto"/>
          <w:sz w:val="32"/>
          <w:szCs w:val="32"/>
          <w:highlight w:val="none"/>
        </w:rPr>
        <w:t>：</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lang w:val="en-US" w:eastAsia="zh-CN"/>
        </w:rPr>
        <w:t xml:space="preserve">  </w:t>
      </w:r>
      <w:r>
        <w:rPr>
          <w:rFonts w:ascii="宋体" w:hAnsi="宋体"/>
          <w:color w:val="auto"/>
          <w:sz w:val="32"/>
          <w:szCs w:val="32"/>
          <w:highlight w:val="none"/>
          <w:u w:val="single"/>
        </w:rPr>
        <w:t xml:space="preserve">    </w:t>
      </w:r>
    </w:p>
    <w:p w14:paraId="76838A27">
      <w:pPr>
        <w:shd w:val="clear" w:color="auto" w:fill="auto"/>
        <w:adjustRightInd w:val="0"/>
        <w:snapToGrid w:val="0"/>
        <w:spacing w:line="360" w:lineRule="auto"/>
        <w:rPr>
          <w:rFonts w:hint="eastAsia" w:ascii="宋体" w:hAnsi="宋体"/>
          <w:color w:val="auto"/>
          <w:sz w:val="32"/>
          <w:szCs w:val="32"/>
          <w:highlight w:val="none"/>
        </w:rPr>
      </w:pPr>
      <w:r>
        <w:rPr>
          <w:rFonts w:hint="eastAsia" w:ascii="宋体" w:hAnsi="宋体"/>
          <w:color w:val="auto"/>
          <w:sz w:val="32"/>
          <w:szCs w:val="32"/>
          <w:highlight w:val="none"/>
        </w:rPr>
        <w:t xml:space="preserve">签 订 日 期 </w:t>
      </w:r>
      <w:r>
        <w:rPr>
          <w:rFonts w:ascii="宋体" w:hAnsi="宋体"/>
          <w:color w:val="auto"/>
          <w:sz w:val="32"/>
          <w:szCs w:val="32"/>
          <w:highlight w:val="none"/>
        </w:rPr>
        <w:t xml:space="preserve"> </w:t>
      </w:r>
      <w:r>
        <w:rPr>
          <w:rFonts w:hint="eastAsia" w:ascii="宋体" w:hAnsi="宋体"/>
          <w:color w:val="auto"/>
          <w:sz w:val="32"/>
          <w:szCs w:val="32"/>
          <w:highlight w:val="none"/>
        </w:rPr>
        <w:t>：</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年  月 </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lang w:eastAsia="zh-CN"/>
        </w:rPr>
        <w:t>日</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w:t>
      </w:r>
    </w:p>
    <w:p w14:paraId="5CB7D052">
      <w:pPr>
        <w:shd w:val="clear" w:color="auto" w:fill="auto"/>
        <w:spacing w:line="360" w:lineRule="auto"/>
        <w:contextualSpacing/>
        <w:rPr>
          <w:rFonts w:ascii="宋体" w:hAnsi="宋体" w:cs="宋体"/>
          <w:b/>
          <w:color w:val="auto"/>
          <w:sz w:val="32"/>
          <w:szCs w:val="32"/>
          <w:highlight w:val="none"/>
        </w:rPr>
      </w:pPr>
    </w:p>
    <w:p w14:paraId="39B22EBD">
      <w:pPr>
        <w:pStyle w:val="3"/>
        <w:shd w:val="clear" w:color="auto" w:fill="auto"/>
        <w:rPr>
          <w:rFonts w:hAnsi="宋体" w:cs="宋体"/>
          <w:b/>
          <w:color w:val="auto"/>
          <w:sz w:val="32"/>
          <w:szCs w:val="32"/>
          <w:highlight w:val="none"/>
        </w:rPr>
      </w:pPr>
    </w:p>
    <w:p w14:paraId="7B65E662">
      <w:pPr>
        <w:rPr>
          <w:rFonts w:hAnsi="宋体" w:cs="宋体"/>
          <w:b/>
          <w:color w:val="auto"/>
          <w:sz w:val="32"/>
          <w:szCs w:val="32"/>
          <w:highlight w:val="none"/>
        </w:rPr>
      </w:pPr>
    </w:p>
    <w:p w14:paraId="47064058">
      <w:pPr>
        <w:pStyle w:val="2"/>
      </w:pPr>
    </w:p>
    <w:p w14:paraId="47457578">
      <w:pPr>
        <w:pStyle w:val="2"/>
      </w:pPr>
    </w:p>
    <w:p w14:paraId="4BE62DA9">
      <w:pPr>
        <w:spacing w:line="360" w:lineRule="auto"/>
        <w:ind w:firstLine="480" w:firstLineChars="200"/>
        <w:jc w:val="left"/>
        <w:rPr>
          <w:rFonts w:hint="eastAsia" w:ascii="宋体" w:hAnsi="宋体" w:eastAsia="宋体" w:cs="宋体"/>
          <w:b/>
          <w:bCs/>
          <w:color w:val="auto"/>
          <w:sz w:val="24"/>
          <w:highlight w:val="none"/>
        </w:rPr>
      </w:pPr>
      <w:bookmarkStart w:id="118" w:name="_Toc31834"/>
      <w:bookmarkStart w:id="119" w:name="_Toc4669"/>
      <w:bookmarkStart w:id="120" w:name="_Toc7690"/>
      <w:r>
        <w:rPr>
          <w:rFonts w:hint="eastAsia" w:ascii="宋体" w:hAnsi="宋体" w:eastAsia="宋体" w:cs="宋体"/>
          <w:color w:val="auto"/>
          <w:kern w:val="0"/>
          <w:sz w:val="24"/>
          <w:highlight w:val="none"/>
        </w:rPr>
        <w:t>根据《中华人民共和国民法典》、政府采购编号为</w:t>
      </w:r>
      <w:r>
        <w:rPr>
          <w:rFonts w:hint="eastAsia" w:ascii="宋体" w:hAnsi="宋体" w:cs="宋体"/>
          <w:color w:val="auto"/>
          <w:kern w:val="0"/>
          <w:sz w:val="24"/>
          <w:highlight w:val="none"/>
          <w:lang w:eastAsia="zh-CN"/>
        </w:rPr>
        <w:t>TPZC2024-016</w:t>
      </w:r>
      <w:r>
        <w:rPr>
          <w:rFonts w:hint="eastAsia" w:ascii="宋体" w:hAnsi="宋体" w:eastAsia="宋体" w:cs="宋体"/>
          <w:color w:val="auto"/>
          <w:kern w:val="0"/>
          <w:sz w:val="24"/>
          <w:highlight w:val="none"/>
        </w:rPr>
        <w:t>招标文件、</w:t>
      </w:r>
      <w:r>
        <w:rPr>
          <w:rFonts w:hint="eastAsia" w:ascii="宋体" w:hAnsi="宋体" w:eastAsia="宋体" w:cs="宋体"/>
          <w:color w:val="auto"/>
          <w:kern w:val="0"/>
          <w:sz w:val="24"/>
          <w:highlight w:val="none"/>
          <w:lang w:eastAsia="zh-CN"/>
        </w:rPr>
        <w:t>乙方</w:t>
      </w:r>
      <w:r>
        <w:rPr>
          <w:rFonts w:hint="eastAsia" w:ascii="宋体" w:hAnsi="宋体" w:eastAsia="宋体" w:cs="宋体"/>
          <w:color w:val="auto"/>
          <w:kern w:val="0"/>
          <w:sz w:val="24"/>
          <w:highlight w:val="none"/>
        </w:rPr>
        <w:t>响应文件的规定，经</w:t>
      </w:r>
      <w:r>
        <w:rPr>
          <w:rFonts w:hint="eastAsia" w:ascii="宋体" w:hAnsi="宋体" w:eastAsia="宋体" w:cs="宋体"/>
          <w:color w:val="auto"/>
          <w:kern w:val="0"/>
          <w:sz w:val="24"/>
          <w:highlight w:val="none"/>
          <w:lang w:val="en-US" w:eastAsia="zh-CN"/>
        </w:rPr>
        <w:t>竞争性磋商</w:t>
      </w:r>
      <w:r>
        <w:rPr>
          <w:rFonts w:hint="eastAsia" w:ascii="宋体" w:hAnsi="宋体" w:eastAsia="宋体" w:cs="宋体"/>
          <w:color w:val="auto"/>
          <w:kern w:val="0"/>
          <w:sz w:val="24"/>
          <w:highlight w:val="none"/>
        </w:rPr>
        <w:t>招标采购，签订本合同。</w:t>
      </w:r>
    </w:p>
    <w:p w14:paraId="54BDBA2A">
      <w:pPr>
        <w:keepNext w:val="0"/>
        <w:keepLines w:val="0"/>
        <w:pageBreakBefore w:val="0"/>
        <w:widowControl w:val="0"/>
        <w:kinsoku/>
        <w:wordWrap/>
        <w:overflowPunct/>
        <w:topLinePunct w:val="0"/>
        <w:bidi w:val="0"/>
        <w:snapToGrid/>
        <w:spacing w:line="312" w:lineRule="auto"/>
        <w:ind w:left="0" w:leftChars="0" w:right="24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一、项目概况</w:t>
      </w:r>
    </w:p>
    <w:p w14:paraId="0F59547C">
      <w:pPr>
        <w:keepNext w:val="0"/>
        <w:keepLines w:val="0"/>
        <w:pageBreakBefore w:val="0"/>
        <w:widowControl w:val="0"/>
        <w:kinsoku/>
        <w:wordWrap/>
        <w:overflowPunct/>
        <w:topLinePunct w:val="0"/>
        <w:bidi w:val="0"/>
        <w:snapToGrid/>
        <w:spacing w:line="312" w:lineRule="auto"/>
        <w:ind w:left="0" w:leftChars="0" w:right="24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民生服务综合体项目集乐龄中心、志愿社会工作服务站、助联体、社会组织、老年食堂、文化站及未成年人保护等功能，共享联建，实现综合运营、提质增效。</w:t>
      </w:r>
      <w:r>
        <w:rPr>
          <w:rFonts w:hint="eastAsia" w:ascii="宋体" w:hAnsi="宋体" w:eastAsia="宋体" w:cs="宋体"/>
          <w:b w:val="0"/>
          <w:bCs w:val="0"/>
          <w:sz w:val="24"/>
          <w:szCs w:val="24"/>
          <w:highlight w:val="none"/>
        </w:rPr>
        <w:t>该项目涵盖了社区健康咨询、便民生活服务、文化娱乐活动、</w:t>
      </w:r>
      <w:r>
        <w:rPr>
          <w:rFonts w:hint="eastAsia" w:ascii="宋体" w:hAnsi="宋体" w:eastAsia="宋体" w:cs="宋体"/>
          <w:b w:val="0"/>
          <w:bCs w:val="0"/>
          <w:sz w:val="24"/>
          <w:szCs w:val="24"/>
          <w:highlight w:val="none"/>
          <w:lang w:val="en-US" w:eastAsia="zh-CN"/>
        </w:rPr>
        <w:t>未成年人保护</w:t>
      </w:r>
      <w:r>
        <w:rPr>
          <w:rFonts w:hint="eastAsia" w:ascii="宋体" w:hAnsi="宋体" w:eastAsia="宋体" w:cs="宋体"/>
          <w:b w:val="0"/>
          <w:bCs w:val="0"/>
          <w:sz w:val="24"/>
          <w:szCs w:val="24"/>
          <w:highlight w:val="none"/>
        </w:rPr>
        <w:t>、老年人</w:t>
      </w:r>
      <w:r>
        <w:rPr>
          <w:rFonts w:hint="eastAsia" w:ascii="宋体" w:hAnsi="宋体" w:eastAsia="宋体" w:cs="宋体"/>
          <w:b w:val="0"/>
          <w:bCs w:val="0"/>
          <w:sz w:val="24"/>
          <w:szCs w:val="24"/>
          <w:highlight w:val="none"/>
          <w:lang w:val="en-US" w:eastAsia="zh-CN"/>
        </w:rPr>
        <w:t>居家养老</w:t>
      </w:r>
      <w:r>
        <w:rPr>
          <w:rFonts w:hint="eastAsia" w:ascii="宋体" w:hAnsi="宋体" w:eastAsia="宋体" w:cs="宋体"/>
          <w:b w:val="0"/>
          <w:bCs w:val="0"/>
          <w:sz w:val="24"/>
          <w:szCs w:val="24"/>
          <w:highlight w:val="none"/>
        </w:rPr>
        <w:t>关怀服务、</w:t>
      </w:r>
      <w:r>
        <w:rPr>
          <w:rFonts w:hint="eastAsia" w:ascii="宋体" w:hAnsi="宋体" w:eastAsia="宋体" w:cs="宋体"/>
          <w:b w:val="0"/>
          <w:bCs w:val="0"/>
          <w:sz w:val="24"/>
          <w:szCs w:val="24"/>
          <w:highlight w:val="none"/>
          <w:lang w:val="en-US" w:eastAsia="zh-CN"/>
        </w:rPr>
        <w:t>老年人教育服务、志愿</w:t>
      </w:r>
      <w:r>
        <w:rPr>
          <w:rFonts w:hint="eastAsia" w:ascii="宋体" w:hAnsi="宋体" w:eastAsia="宋体" w:cs="宋体"/>
          <w:b w:val="0"/>
          <w:bCs w:val="0"/>
          <w:sz w:val="24"/>
          <w:szCs w:val="24"/>
          <w:highlight w:val="none"/>
        </w:rPr>
        <w:t>公益活动、</w:t>
      </w:r>
      <w:r>
        <w:rPr>
          <w:rFonts w:hint="eastAsia" w:ascii="宋体" w:hAnsi="宋体" w:eastAsia="宋体" w:cs="宋体"/>
          <w:b w:val="0"/>
          <w:bCs w:val="0"/>
          <w:sz w:val="24"/>
          <w:szCs w:val="24"/>
          <w:highlight w:val="none"/>
          <w:lang w:val="en-US" w:eastAsia="zh-CN"/>
        </w:rPr>
        <w:t>慈善服务</w:t>
      </w:r>
      <w:r>
        <w:rPr>
          <w:rFonts w:hint="eastAsia" w:ascii="宋体" w:hAnsi="宋体" w:eastAsia="宋体" w:cs="宋体"/>
          <w:b w:val="0"/>
          <w:bCs w:val="0"/>
          <w:sz w:val="24"/>
          <w:szCs w:val="24"/>
          <w:highlight w:val="none"/>
        </w:rPr>
        <w:t>以及社会事务</w:t>
      </w:r>
      <w:r>
        <w:rPr>
          <w:rFonts w:hint="eastAsia" w:ascii="宋体" w:hAnsi="宋体" w:eastAsia="宋体" w:cs="宋体"/>
          <w:b w:val="0"/>
          <w:bCs w:val="0"/>
          <w:sz w:val="24"/>
          <w:szCs w:val="24"/>
          <w:highlight w:val="none"/>
          <w:lang w:val="en-US" w:eastAsia="zh-CN"/>
        </w:rPr>
        <w:t>辅助</w:t>
      </w:r>
      <w:r>
        <w:rPr>
          <w:rFonts w:hint="eastAsia" w:ascii="宋体" w:hAnsi="宋体" w:eastAsia="宋体" w:cs="宋体"/>
          <w:b w:val="0"/>
          <w:bCs w:val="0"/>
          <w:sz w:val="24"/>
          <w:szCs w:val="24"/>
          <w:highlight w:val="none"/>
        </w:rPr>
        <w:t>等方面</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通过提供全方位的民生服务，项目旨在</w:t>
      </w:r>
      <w:r>
        <w:rPr>
          <w:rFonts w:hint="eastAsia" w:ascii="宋体" w:hAnsi="宋体" w:eastAsia="宋体" w:cs="宋体"/>
          <w:b w:val="0"/>
          <w:bCs w:val="0"/>
          <w:sz w:val="24"/>
          <w:szCs w:val="24"/>
          <w:highlight w:val="none"/>
          <w:lang w:val="en-US" w:eastAsia="zh-CN"/>
        </w:rPr>
        <w:t>改善人民生活品质，提升群众幸福感和获得感</w:t>
      </w:r>
      <w:r>
        <w:rPr>
          <w:rFonts w:hint="eastAsia" w:ascii="宋体" w:hAnsi="宋体" w:eastAsia="宋体" w:cs="宋体"/>
          <w:b w:val="0"/>
          <w:bCs w:val="0"/>
          <w:sz w:val="24"/>
          <w:szCs w:val="24"/>
          <w:highlight w:val="none"/>
        </w:rPr>
        <w:t>。</w:t>
      </w:r>
    </w:p>
    <w:p w14:paraId="36D21AA5">
      <w:pPr>
        <w:keepNext w:val="0"/>
        <w:keepLines w:val="0"/>
        <w:pageBreakBefore w:val="0"/>
        <w:widowControl w:val="0"/>
        <w:kinsoku/>
        <w:wordWrap/>
        <w:overflowPunct/>
        <w:topLinePunct w:val="0"/>
        <w:bidi w:val="0"/>
        <w:snapToGrid/>
        <w:spacing w:line="312" w:lineRule="auto"/>
        <w:ind w:left="0" w:leftChars="0" w:right="24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二、项目服务内容</w:t>
      </w:r>
    </w:p>
    <w:p w14:paraId="19F8CF50">
      <w:pPr>
        <w:keepNext w:val="0"/>
        <w:keepLines w:val="0"/>
        <w:pageBreakBefore w:val="0"/>
        <w:widowControl w:val="0"/>
        <w:kinsoku/>
        <w:wordWrap/>
        <w:overflowPunct/>
        <w:topLinePunct w:val="0"/>
        <w:bidi w:val="0"/>
        <w:snapToGrid/>
        <w:spacing w:line="312" w:lineRule="auto"/>
        <w:ind w:left="0" w:leftChars="0" w:right="24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以坚持扎根社区、立足社区、服务社区为基本思路，在街道领导以及社区的支持下开展专业性服务，在服务的定位上，主要包括以下四个方面：</w:t>
      </w:r>
    </w:p>
    <w:p w14:paraId="093DB171">
      <w:pPr>
        <w:keepNext w:val="0"/>
        <w:keepLines w:val="0"/>
        <w:pageBreakBefore w:val="0"/>
        <w:widowControl w:val="0"/>
        <w:kinsoku/>
        <w:wordWrap/>
        <w:overflowPunct/>
        <w:topLinePunct w:val="0"/>
        <w:bidi w:val="0"/>
        <w:snapToGrid/>
        <w:spacing w:line="312" w:lineRule="auto"/>
        <w:ind w:left="0" w:leftChars="0" w:right="240"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弱势群体的暖心人。依托志愿社会工作服务站、助联体，面向民政在册的低保家庭、低保边缘家庭、散居特困供养对象、70周岁以上孤寡、独居、留守、失独，以及60周岁以上重病重残等特殊困难老年人、残障人士等弱势群体，定期走访、了解需求，以个案、小组等形式为这部分群体提供关怀和支持增能服务，从而激发其自身动力、扩展社会网络。</w:t>
      </w:r>
    </w:p>
    <w:p w14:paraId="45C252AB">
      <w:pPr>
        <w:keepNext w:val="0"/>
        <w:keepLines w:val="0"/>
        <w:pageBreakBefore w:val="0"/>
        <w:widowControl w:val="0"/>
        <w:kinsoku/>
        <w:wordWrap/>
        <w:overflowPunct/>
        <w:topLinePunct w:val="0"/>
        <w:bidi w:val="0"/>
        <w:snapToGrid/>
        <w:spacing w:line="312" w:lineRule="auto"/>
        <w:ind w:left="0" w:leftChars="0" w:right="24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2.服务老人的贴心人。依托乐龄中心、老年大学，通过无偿或低偿的方式为辖区内老年人提供便捷的生活服务，包括助餐服务、家政服务、健康服务、老年教育服务</w:t>
      </w:r>
      <w:r>
        <w:rPr>
          <w:rFonts w:hint="eastAsia" w:ascii="宋体" w:hAnsi="宋体" w:cs="宋体"/>
          <w:b w:val="0"/>
          <w:bCs w:val="0"/>
          <w:sz w:val="24"/>
          <w:szCs w:val="24"/>
          <w:highlight w:val="none"/>
          <w:lang w:val="en-US" w:eastAsia="zh-CN"/>
        </w:rPr>
        <w:t>、重阳节等传统节日慰问</w:t>
      </w:r>
      <w:r>
        <w:rPr>
          <w:rFonts w:hint="eastAsia" w:ascii="宋体" w:hAnsi="宋体" w:eastAsia="宋体" w:cs="宋体"/>
          <w:b w:val="0"/>
          <w:bCs w:val="0"/>
          <w:sz w:val="24"/>
          <w:szCs w:val="24"/>
          <w:highlight w:val="none"/>
          <w:lang w:val="en-US" w:eastAsia="zh-CN"/>
        </w:rPr>
        <w:t>等。合理规划、链接资源、引进优秀服务商等方式确保老人在日常生活中享受到优质、高效的服务。</w:t>
      </w:r>
    </w:p>
    <w:p w14:paraId="70C4C218">
      <w:pPr>
        <w:keepNext w:val="0"/>
        <w:keepLines w:val="0"/>
        <w:pageBreakBefore w:val="0"/>
        <w:widowControl w:val="0"/>
        <w:kinsoku/>
        <w:wordWrap/>
        <w:overflowPunct/>
        <w:topLinePunct w:val="0"/>
        <w:bidi w:val="0"/>
        <w:snapToGrid/>
        <w:spacing w:line="312" w:lineRule="auto"/>
        <w:ind w:left="0" w:leftChars="0" w:right="240"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社会组织的合伙人。积极发掘社区的居民骨干，针对社区居民的不同需求培育孵化社会组织，包括儿童服务、为老助老、文体娱乐及非遗传承等。结合社会组织的发展现状和需求积极开展社会组织的培训增能服务，为社会组织的成长和发展争取资源、提供支持。</w:t>
      </w:r>
    </w:p>
    <w:p w14:paraId="3969980B">
      <w:pPr>
        <w:keepNext w:val="0"/>
        <w:keepLines w:val="0"/>
        <w:pageBreakBefore w:val="0"/>
        <w:widowControl w:val="0"/>
        <w:kinsoku/>
        <w:wordWrap/>
        <w:overflowPunct/>
        <w:topLinePunct w:val="0"/>
        <w:bidi w:val="0"/>
        <w:snapToGrid/>
        <w:spacing w:line="312" w:lineRule="auto"/>
        <w:ind w:left="0" w:leftChars="0" w:right="240" w:firstLine="480" w:firstLineChars="200"/>
        <w:textAlignment w:val="auto"/>
        <w:rPr>
          <w:rFonts w:hint="eastAsia" w:ascii="宋体" w:hAnsi="宋体" w:eastAsia="宋体" w:cs="宋体"/>
          <w:b w:val="0"/>
          <w:bCs w:val="0"/>
          <w:sz w:val="24"/>
          <w:szCs w:val="24"/>
          <w:highlight w:val="none"/>
          <w:lang w:val="en" w:eastAsia="zh-CN"/>
        </w:rPr>
      </w:pPr>
      <w:r>
        <w:rPr>
          <w:rFonts w:hint="eastAsia" w:ascii="宋体" w:hAnsi="宋体" w:eastAsia="宋体" w:cs="宋体"/>
          <w:b w:val="0"/>
          <w:bCs w:val="0"/>
          <w:sz w:val="24"/>
          <w:szCs w:val="24"/>
          <w:highlight w:val="none"/>
          <w:lang w:val="en-US" w:eastAsia="zh-CN"/>
        </w:rPr>
        <w:t>4.未成年人的好朋友。定期走访困境儿童及散居孤儿，通过</w:t>
      </w:r>
      <w:r>
        <w:rPr>
          <w:rFonts w:hint="eastAsia" w:ascii="宋体" w:hAnsi="宋体" w:eastAsia="宋体" w:cs="宋体"/>
          <w:b w:val="0"/>
          <w:bCs w:val="0"/>
          <w:sz w:val="24"/>
          <w:szCs w:val="24"/>
          <w:highlight w:val="none"/>
          <w:lang w:val="en" w:eastAsia="zh-CN"/>
        </w:rPr>
        <w:t>链接教育、</w:t>
      </w:r>
      <w:r>
        <w:rPr>
          <w:rFonts w:hint="eastAsia" w:ascii="宋体" w:hAnsi="宋体" w:eastAsia="宋体" w:cs="宋体"/>
          <w:b w:val="0"/>
          <w:bCs w:val="0"/>
          <w:sz w:val="24"/>
          <w:szCs w:val="24"/>
          <w:highlight w:val="none"/>
          <w:lang w:val="en-US" w:eastAsia="zh-CN"/>
        </w:rPr>
        <w:t>团委、妇联、企事业单位、社会组织等资源</w:t>
      </w:r>
      <w:r>
        <w:rPr>
          <w:rFonts w:hint="eastAsia" w:ascii="宋体" w:hAnsi="宋体" w:eastAsia="宋体" w:cs="宋体"/>
          <w:b w:val="0"/>
          <w:bCs w:val="0"/>
          <w:sz w:val="24"/>
          <w:szCs w:val="24"/>
          <w:highlight w:val="none"/>
          <w:lang w:val="en" w:eastAsia="zh-CN"/>
        </w:rPr>
        <w:t>帮助解决未成年人及其家庭面临的问题。</w:t>
      </w:r>
    </w:p>
    <w:p w14:paraId="152887C4">
      <w:pPr>
        <w:pStyle w:val="2"/>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5.争先创优的先行</w:t>
      </w:r>
      <w:r>
        <w:rPr>
          <w:rFonts w:hint="eastAsia" w:ascii="宋体" w:hAnsi="宋体" w:eastAsia="宋体" w:cs="宋体"/>
          <w:b w:val="0"/>
          <w:bCs w:val="0"/>
          <w:sz w:val="21"/>
          <w:szCs w:val="21"/>
          <w:highlight w:val="none"/>
          <w:lang w:val="en-US" w:eastAsia="zh-CN"/>
        </w:rPr>
        <w:t>者。</w:t>
      </w:r>
      <w:r>
        <w:rPr>
          <w:rFonts w:hint="eastAsia" w:ascii="宋体" w:hAnsi="宋体" w:eastAsia="宋体" w:cs="宋体"/>
          <w:b w:val="0"/>
          <w:bCs w:val="0"/>
          <w:sz w:val="24"/>
          <w:szCs w:val="24"/>
          <w:highlight w:val="none"/>
          <w:lang w:val="en-US" w:eastAsia="zh-CN"/>
        </w:rPr>
        <w:t>充分利用各大场景做好用心服务和创新工作，根据相关文件，对照相关标准要求</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运营的各个领域阵地，在各级部门年度考核、评先评优中取得优异成绩。（如年度内相应的星级评定、示范创建、年度考核等未达标，从应付服务款中酌情扣除相应的上级年度补助款部分）</w:t>
      </w:r>
    </w:p>
    <w:p w14:paraId="1510D54A">
      <w:pPr>
        <w:pStyle w:val="2"/>
        <w:rPr>
          <w:rFonts w:hint="default"/>
          <w:sz w:val="24"/>
          <w:szCs w:val="24"/>
          <w:highlight w:val="none"/>
          <w:lang w:val="en-US" w:eastAsia="zh-CN"/>
        </w:rPr>
      </w:pPr>
      <w:r>
        <w:rPr>
          <w:rFonts w:hint="eastAsia" w:cs="宋体"/>
          <w:b w:val="0"/>
          <w:bCs w:val="0"/>
          <w:sz w:val="24"/>
          <w:szCs w:val="24"/>
          <w:highlight w:val="none"/>
          <w:lang w:val="en-US" w:eastAsia="zh-CN"/>
        </w:rPr>
        <w:t>6.活动场所的营运者。运营场所日常设施设备的购买、维修、清洗等提升服务质量的内容。服务期内，社区所有场所水电费用的30%由乙方承担，项目结束后一次性结算。</w:t>
      </w:r>
    </w:p>
    <w:p w14:paraId="26011758">
      <w:pPr>
        <w:keepNext w:val="0"/>
        <w:keepLines w:val="0"/>
        <w:pageBreakBefore w:val="0"/>
        <w:widowControl w:val="0"/>
        <w:kinsoku/>
        <w:wordWrap/>
        <w:overflowPunct/>
        <w:topLinePunct w:val="0"/>
        <w:bidi w:val="0"/>
        <w:snapToGrid/>
        <w:spacing w:line="312" w:lineRule="auto"/>
        <w:ind w:right="24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三、项目服务人员配置</w:t>
      </w:r>
    </w:p>
    <w:p w14:paraId="46A3E82E">
      <w:pPr>
        <w:keepNext w:val="0"/>
        <w:keepLines w:val="0"/>
        <w:pageBreakBefore w:val="0"/>
        <w:widowControl w:val="0"/>
        <w:kinsoku/>
        <w:wordWrap/>
        <w:overflowPunct/>
        <w:topLinePunct w:val="0"/>
        <w:bidi w:val="0"/>
        <w:snapToGrid/>
        <w:spacing w:line="312" w:lineRule="auto"/>
        <w:ind w:left="0" w:leftChars="0" w:right="240"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根椐上级部门对助联体、志愿社会工作服务站、乐龄中心、未保站的岗位配置要求，需相关负责人、工作人员的岗位等不少于9个（含老年食堂），计划如下：主管岗位   个，持证社工岗位   个，心理咨询师岗位   个，残疾人公益岗位   个，助餐服务岗位   个，帮工岗位   个，保洁岗位   个。</w:t>
      </w:r>
    </w:p>
    <w:p w14:paraId="3077E0C3">
      <w:pPr>
        <w:keepNext w:val="0"/>
        <w:keepLines w:val="0"/>
        <w:pageBreakBefore w:val="0"/>
        <w:widowControl w:val="0"/>
        <w:kinsoku/>
        <w:wordWrap/>
        <w:overflowPunct/>
        <w:topLinePunct w:val="0"/>
        <w:bidi w:val="0"/>
        <w:snapToGrid/>
        <w:spacing w:line="312" w:lineRule="auto"/>
        <w:ind w:left="0" w:leftChars="0" w:right="24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w:t>
      </w:r>
      <w:r>
        <w:rPr>
          <w:rFonts w:hint="eastAsia" w:ascii="宋体" w:hAnsi="宋体" w:eastAsia="宋体" w:cs="宋体"/>
          <w:b/>
          <w:bCs/>
          <w:sz w:val="24"/>
          <w:szCs w:val="24"/>
          <w:highlight w:val="none"/>
          <w:lang w:val="en-US" w:eastAsia="zh-CN"/>
        </w:rPr>
        <w:t>项目服务期限</w:t>
      </w:r>
    </w:p>
    <w:p w14:paraId="750ACD58">
      <w:pPr>
        <w:pStyle w:val="5"/>
        <w:keepNext w:val="0"/>
        <w:keepLines w:val="0"/>
        <w:pageBreakBefore w:val="0"/>
        <w:widowControl w:val="0"/>
        <w:kinsoku/>
        <w:wordWrap/>
        <w:overflowPunct/>
        <w:topLinePunct w:val="0"/>
        <w:bidi w:val="0"/>
        <w:snapToGrid/>
        <w:spacing w:after="0" w:line="312" w:lineRule="auto"/>
        <w:ind w:left="0" w:leftChars="0" w:right="240"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自合同签订之日起一年</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年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月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日至</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年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月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日</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14:paraId="22C12D90">
      <w:pPr>
        <w:keepNext w:val="0"/>
        <w:keepLines w:val="0"/>
        <w:pageBreakBefore w:val="0"/>
        <w:widowControl w:val="0"/>
        <w:kinsoku/>
        <w:wordWrap/>
        <w:overflowPunct/>
        <w:topLinePunct w:val="0"/>
        <w:bidi w:val="0"/>
        <w:snapToGrid/>
        <w:spacing w:line="312" w:lineRule="auto"/>
        <w:ind w:left="0" w:leftChars="0" w:right="24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五、合同价及付款方式</w:t>
      </w:r>
    </w:p>
    <w:p w14:paraId="4F530D7D">
      <w:pPr>
        <w:pStyle w:val="2"/>
        <w:keepNext w:val="0"/>
        <w:keepLines w:val="0"/>
        <w:pageBreakBefore w:val="0"/>
        <w:widowControl w:val="0"/>
        <w:kinsoku/>
        <w:wordWrap/>
        <w:overflowPunct/>
        <w:topLinePunct w:val="0"/>
        <w:autoSpaceDE/>
        <w:autoSpaceDN/>
        <w:bidi w:val="0"/>
        <w:adjustRightInd w:val="0"/>
        <w:snapToGrid/>
        <w:spacing w:line="360" w:lineRule="auto"/>
        <w:ind w:left="0" w:leftChars="0" w:right="238"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lang w:val="en-US" w:eastAsia="zh-CN"/>
        </w:rPr>
        <w:t>1.本项目合同价为大写：</w:t>
      </w:r>
      <w:r>
        <w:rPr>
          <w:rFonts w:hint="eastAsia" w:ascii="宋体" w:hAnsi="宋体" w:eastAsia="宋体" w:cs="宋体"/>
          <w:sz w:val="24"/>
          <w:szCs w:val="24"/>
          <w:highlight w:val="none"/>
          <w:u w:val="single"/>
          <w:lang w:val="en-US" w:eastAsia="zh-CN"/>
        </w:rPr>
        <w:t xml:space="preserve"> </w:t>
      </w:r>
      <w:r>
        <w:rPr>
          <w:rFonts w:hint="eastAsia"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元</w:t>
      </w:r>
      <w:r>
        <w:rPr>
          <w:rFonts w:hint="eastAsia" w:cs="宋体"/>
          <w:sz w:val="24"/>
          <w:szCs w:val="24"/>
          <w:highlight w:val="none"/>
          <w:u w:val="single"/>
          <w:lang w:val="en-US" w:eastAsia="zh-CN"/>
        </w:rPr>
        <w:t>整</w:t>
      </w:r>
      <w:r>
        <w:rPr>
          <w:rFonts w:hint="eastAsia" w:ascii="宋体" w:hAnsi="宋体" w:eastAsia="宋体" w:cs="宋体"/>
          <w:sz w:val="24"/>
          <w:szCs w:val="24"/>
          <w:highlight w:val="none"/>
          <w:u w:val="none"/>
          <w:lang w:val="en-US" w:eastAsia="zh-CN"/>
        </w:rPr>
        <w:t>（小写：￥</w:t>
      </w:r>
      <w:r>
        <w:rPr>
          <w:rFonts w:hint="eastAsia" w:cs="宋体"/>
          <w:sz w:val="24"/>
          <w:szCs w:val="24"/>
          <w:highlight w:val="none"/>
          <w:u w:val="none"/>
          <w:lang w:val="en-US" w:eastAsia="zh-CN"/>
        </w:rPr>
        <w:t xml:space="preserve">           </w:t>
      </w:r>
      <w:r>
        <w:rPr>
          <w:rFonts w:hint="eastAsia" w:ascii="宋体" w:hAnsi="宋体" w:eastAsia="宋体" w:cs="宋体"/>
          <w:sz w:val="24"/>
          <w:szCs w:val="24"/>
          <w:highlight w:val="none"/>
          <w:u w:val="none"/>
          <w:lang w:val="en-US" w:eastAsia="zh-CN"/>
        </w:rPr>
        <w:t>）</w:t>
      </w:r>
    </w:p>
    <w:p w14:paraId="2A1BF992">
      <w:pPr>
        <w:pStyle w:val="2"/>
        <w:keepLines w:val="0"/>
        <w:pageBreakBefore w:val="0"/>
        <w:widowControl w:val="0"/>
        <w:kinsoku/>
        <w:wordWrap/>
        <w:overflowPunct/>
        <w:topLinePunct w:val="0"/>
        <w:bidi w:val="0"/>
        <w:snapToGrid/>
        <w:spacing w:line="360" w:lineRule="auto"/>
        <w:ind w:left="0" w:leftChars="0" w:right="24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2.乙方在收到中标通知书后，需向甲方提供合同价的1%作为履约保证金，</w:t>
      </w:r>
      <w:r>
        <w:rPr>
          <w:rFonts w:hint="eastAsia" w:cs="宋体"/>
          <w:sz w:val="24"/>
          <w:szCs w:val="24"/>
          <w:highlight w:val="none"/>
          <w:lang w:val="en-US" w:eastAsia="zh-CN"/>
        </w:rPr>
        <w:t>履约</w:t>
      </w:r>
      <w:r>
        <w:rPr>
          <w:rFonts w:hint="eastAsia" w:ascii="宋体" w:hAnsi="宋体" w:eastAsia="宋体" w:cs="宋体"/>
          <w:sz w:val="24"/>
          <w:szCs w:val="24"/>
          <w:highlight w:val="none"/>
          <w:lang w:val="en-US" w:eastAsia="zh-CN"/>
        </w:rPr>
        <w:t>验收合格后无息退还。（供应商应当以支票、汇票、本票或者金融机构、保险公司、担保机构出具的保函等非现金形式提交）。</w:t>
      </w:r>
    </w:p>
    <w:p w14:paraId="6B66BE0D">
      <w:pPr>
        <w:pStyle w:val="2"/>
        <w:keepLines w:val="0"/>
        <w:pageBreakBefore w:val="0"/>
        <w:widowControl w:val="0"/>
        <w:kinsoku/>
        <w:wordWrap/>
        <w:overflowPunct/>
        <w:topLinePunct w:val="0"/>
        <w:bidi w:val="0"/>
        <w:snapToGrid/>
        <w:spacing w:line="360" w:lineRule="auto"/>
        <w:ind w:left="0" w:leftChars="0" w:right="24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3.合同签</w:t>
      </w:r>
      <w:r>
        <w:rPr>
          <w:rFonts w:hint="eastAsia" w:ascii="宋体" w:hAnsi="宋体" w:eastAsia="宋体" w:cs="宋体"/>
          <w:color w:val="auto"/>
          <w:sz w:val="24"/>
          <w:szCs w:val="24"/>
          <w:highlight w:val="none"/>
          <w:lang w:val="en-US" w:eastAsia="zh-CN"/>
        </w:rPr>
        <w:t>订后</w:t>
      </w:r>
      <w:r>
        <w:rPr>
          <w:rFonts w:hint="eastAsia" w:cs="宋体"/>
          <w:color w:val="auto"/>
          <w:sz w:val="24"/>
          <w:szCs w:val="24"/>
          <w:highlight w:val="none"/>
          <w:lang w:val="en-US" w:eastAsia="zh-CN"/>
        </w:rPr>
        <w:t>5个工作日内</w:t>
      </w:r>
      <w:r>
        <w:rPr>
          <w:rFonts w:hint="eastAsia" w:ascii="宋体" w:hAnsi="宋体" w:eastAsia="宋体" w:cs="宋体"/>
          <w:color w:val="auto"/>
          <w:sz w:val="24"/>
          <w:szCs w:val="24"/>
          <w:highlight w:val="none"/>
          <w:lang w:val="en-US" w:eastAsia="zh-CN"/>
        </w:rPr>
        <w:t>支付合同价的20%作为预付款，根据项目年中中期考核情况支付合同价的40%作为年中进度服务款，剩余</w:t>
      </w:r>
      <w:r>
        <w:rPr>
          <w:rFonts w:hint="eastAsia" w:cs="宋体"/>
          <w:color w:val="auto"/>
          <w:sz w:val="24"/>
          <w:szCs w:val="24"/>
          <w:highlight w:val="none"/>
          <w:lang w:val="en-US" w:eastAsia="zh-CN"/>
        </w:rPr>
        <w:t>款项</w:t>
      </w:r>
      <w:r>
        <w:rPr>
          <w:rFonts w:hint="eastAsia" w:ascii="宋体" w:hAnsi="宋体" w:eastAsia="宋体" w:cs="宋体"/>
          <w:color w:val="auto"/>
          <w:sz w:val="24"/>
          <w:szCs w:val="24"/>
          <w:highlight w:val="none"/>
          <w:lang w:val="en-US" w:eastAsia="zh-CN"/>
        </w:rPr>
        <w:t>根据年度考核情况拨付。</w:t>
      </w:r>
    </w:p>
    <w:p w14:paraId="12F239A1">
      <w:pPr>
        <w:pStyle w:val="2"/>
        <w:keepLines w:val="0"/>
        <w:pageBreakBefore w:val="0"/>
        <w:widowControl w:val="0"/>
        <w:kinsoku/>
        <w:wordWrap/>
        <w:overflowPunct/>
        <w:topLinePunct w:val="0"/>
        <w:bidi w:val="0"/>
        <w:snapToGrid/>
        <w:spacing w:line="360" w:lineRule="auto"/>
        <w:ind w:left="0" w:leftChars="0" w:right="24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在收款之前，应向</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提供发票，</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凭发票付款。如</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未按约定提供发票的，</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有权拒绝付款，直至收到</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提交的相应发票为止，在此情况下，</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不承担逾期付款违约责任。</w:t>
      </w:r>
    </w:p>
    <w:p w14:paraId="2D2874C7">
      <w:pPr>
        <w:keepNext w:val="0"/>
        <w:keepLines w:val="0"/>
        <w:pageBreakBefore w:val="0"/>
        <w:widowControl w:val="0"/>
        <w:kinsoku/>
        <w:wordWrap/>
        <w:overflowPunct/>
        <w:topLinePunct w:val="0"/>
        <w:bidi w:val="0"/>
        <w:snapToGrid/>
        <w:spacing w:line="312" w:lineRule="auto"/>
        <w:ind w:left="0" w:leftChars="0" w:right="24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六、考核办法</w:t>
      </w:r>
    </w:p>
    <w:p w14:paraId="7301103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rPr>
        <w:t>属地社区负责一线考核，每</w:t>
      </w:r>
      <w:r>
        <w:rPr>
          <w:rFonts w:hint="eastAsia" w:ascii="宋体" w:hAnsi="宋体" w:cs="宋体"/>
          <w:color w:val="auto"/>
          <w:sz w:val="24"/>
          <w:szCs w:val="24"/>
          <w:highlight w:val="none"/>
          <w:lang w:val="en-US" w:eastAsia="zh-CN"/>
        </w:rPr>
        <w:t>月</w:t>
      </w:r>
      <w:r>
        <w:rPr>
          <w:rFonts w:hint="eastAsia" w:ascii="宋体" w:hAnsi="宋体" w:eastAsia="宋体" w:cs="宋体"/>
          <w:color w:val="auto"/>
          <w:sz w:val="24"/>
          <w:szCs w:val="24"/>
          <w:highlight w:val="none"/>
          <w:lang w:val="en-US" w:eastAsia="zh-CN"/>
        </w:rPr>
        <w:t>组织不少于一次以上的巡查，对工作台账进行抽查，对实际工作开展情况进行督察。每</w:t>
      </w:r>
      <w:r>
        <w:rPr>
          <w:rFonts w:hint="eastAsia" w:ascii="宋体" w:hAnsi="宋体" w:cs="宋体"/>
          <w:color w:val="auto"/>
          <w:sz w:val="24"/>
          <w:szCs w:val="24"/>
          <w:highlight w:val="none"/>
          <w:lang w:val="en-US" w:eastAsia="zh-CN"/>
        </w:rPr>
        <w:t>月</w:t>
      </w:r>
      <w:r>
        <w:rPr>
          <w:rFonts w:hint="eastAsia" w:ascii="宋体" w:hAnsi="宋体" w:eastAsia="宋体" w:cs="宋体"/>
          <w:color w:val="auto"/>
          <w:sz w:val="24"/>
          <w:szCs w:val="24"/>
          <w:highlight w:val="none"/>
          <w:lang w:val="en-US" w:eastAsia="zh-CN"/>
        </w:rPr>
        <w:t>由属地社区根据考核细则按百分制考核打分，并将考核结果反馈给街道社事办。</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2.街道业务办线不定期进行飞行检查，每</w:t>
      </w:r>
      <w:r>
        <w:rPr>
          <w:rFonts w:hint="eastAsia" w:ascii="宋体" w:hAnsi="宋体" w:cs="宋体"/>
          <w:color w:val="auto"/>
          <w:sz w:val="24"/>
          <w:szCs w:val="24"/>
          <w:highlight w:val="none"/>
          <w:lang w:val="en-US" w:eastAsia="zh-CN"/>
        </w:rPr>
        <w:t>半年</w:t>
      </w:r>
      <w:r>
        <w:rPr>
          <w:rFonts w:hint="eastAsia" w:ascii="宋体" w:hAnsi="宋体" w:eastAsia="宋体" w:cs="宋体"/>
          <w:color w:val="auto"/>
          <w:sz w:val="24"/>
          <w:szCs w:val="24"/>
          <w:highlight w:val="none"/>
          <w:lang w:val="en-US" w:eastAsia="zh-CN"/>
        </w:rPr>
        <w:t>根据考核细则组织不少于一次抽查，也可以主动联系有关部门共同督查考核。同时结合各级部门明查暗访、考核评估以及居民信访投诉等考核评分。</w:t>
      </w:r>
    </w:p>
    <w:p w14:paraId="273B7D9D">
      <w:pPr>
        <w:pStyle w:val="2"/>
        <w:keepNext w:val="0"/>
        <w:keepLines w:val="0"/>
        <w:pageBreakBefore w:val="0"/>
        <w:widowControl w:val="0"/>
        <w:numPr>
          <w:ilvl w:val="0"/>
          <w:numId w:val="0"/>
        </w:numPr>
        <w:kinsoku/>
        <w:wordWrap/>
        <w:overflowPunct/>
        <w:topLinePunct w:val="0"/>
        <w:autoSpaceDE/>
        <w:autoSpaceDN/>
        <w:bidi w:val="0"/>
        <w:snapToGrid/>
        <w:spacing w:line="46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3.考核结果运用。街道与属地社区考核各取一半综合得分，作为拨付进度款依据。其中：</w:t>
      </w:r>
      <w:r>
        <w:rPr>
          <w:rFonts w:hint="eastAsia" w:cs="宋体"/>
          <w:color w:val="auto"/>
          <w:kern w:val="2"/>
          <w:sz w:val="24"/>
          <w:szCs w:val="24"/>
          <w:highlight w:val="none"/>
          <w:lang w:val="en-US" w:eastAsia="zh-CN" w:bidi="ar-SA"/>
        </w:rPr>
        <w:t>①</w:t>
      </w:r>
      <w:r>
        <w:rPr>
          <w:rFonts w:hint="eastAsia" w:ascii="宋体" w:hAnsi="宋体" w:eastAsia="宋体" w:cs="宋体"/>
          <w:color w:val="auto"/>
          <w:kern w:val="2"/>
          <w:sz w:val="24"/>
          <w:szCs w:val="24"/>
          <w:highlight w:val="none"/>
          <w:lang w:val="en-US" w:eastAsia="zh-CN" w:bidi="ar-SA"/>
        </w:rPr>
        <w:t>考核得分≥90分不扣</w:t>
      </w:r>
      <w:r>
        <w:rPr>
          <w:rFonts w:hint="eastAsia" w:cs="宋体"/>
          <w:color w:val="auto"/>
          <w:kern w:val="2"/>
          <w:sz w:val="24"/>
          <w:szCs w:val="24"/>
          <w:highlight w:val="none"/>
          <w:lang w:val="en-US" w:eastAsia="zh-CN" w:bidi="ar-SA"/>
        </w:rPr>
        <w:t>相应</w:t>
      </w:r>
      <w:r>
        <w:rPr>
          <w:rFonts w:hint="eastAsia" w:ascii="宋体" w:hAnsi="宋体" w:eastAsia="宋体" w:cs="宋体"/>
          <w:color w:val="auto"/>
          <w:kern w:val="2"/>
          <w:sz w:val="24"/>
          <w:szCs w:val="24"/>
          <w:highlight w:val="none"/>
          <w:lang w:val="en-US" w:eastAsia="zh-CN" w:bidi="ar-SA"/>
        </w:rPr>
        <w:t>进度</w:t>
      </w:r>
      <w:r>
        <w:rPr>
          <w:rFonts w:hint="eastAsia"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款；</w:t>
      </w:r>
      <w:r>
        <w:rPr>
          <w:rFonts w:hint="eastAsia" w:cs="宋体"/>
          <w:color w:val="auto"/>
          <w:kern w:val="2"/>
          <w:sz w:val="24"/>
          <w:szCs w:val="24"/>
          <w:highlight w:val="none"/>
          <w:lang w:val="en-US" w:eastAsia="zh-CN" w:bidi="ar-SA"/>
        </w:rPr>
        <w:t>②</w:t>
      </w:r>
      <w:r>
        <w:rPr>
          <w:rFonts w:hint="eastAsia" w:ascii="宋体" w:hAnsi="宋体" w:eastAsia="宋体" w:cs="宋体"/>
          <w:color w:val="auto"/>
          <w:kern w:val="2"/>
          <w:sz w:val="24"/>
          <w:szCs w:val="24"/>
          <w:highlight w:val="none"/>
          <w:lang w:val="en-US" w:eastAsia="zh-CN" w:bidi="ar-SA"/>
        </w:rPr>
        <w:t>考核得分</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90分</w:t>
      </w:r>
      <w:r>
        <w:rPr>
          <w:rFonts w:hint="eastAsia" w:cs="宋体"/>
          <w:color w:val="auto"/>
          <w:kern w:val="2"/>
          <w:sz w:val="24"/>
          <w:szCs w:val="24"/>
          <w:highlight w:val="none"/>
          <w:lang w:val="en-US" w:eastAsia="zh-CN" w:bidi="ar-SA"/>
        </w:rPr>
        <w:t>且</w:t>
      </w:r>
      <w:r>
        <w:rPr>
          <w:rFonts w:hint="eastAsia" w:ascii="宋体" w:hAnsi="宋体" w:eastAsia="宋体" w:cs="宋体"/>
          <w:color w:val="auto"/>
          <w:kern w:val="2"/>
          <w:sz w:val="24"/>
          <w:szCs w:val="24"/>
          <w:highlight w:val="none"/>
          <w:lang w:val="en-US" w:eastAsia="zh-CN" w:bidi="ar-SA"/>
        </w:rPr>
        <w:t>≥85</w:t>
      </w:r>
      <w:r>
        <w:rPr>
          <w:rFonts w:hint="eastAsia" w:cs="宋体"/>
          <w:color w:val="auto"/>
          <w:kern w:val="2"/>
          <w:sz w:val="24"/>
          <w:szCs w:val="24"/>
          <w:highlight w:val="none"/>
          <w:lang w:val="en-US" w:eastAsia="zh-CN" w:bidi="ar-SA"/>
        </w:rPr>
        <w:t>分</w:t>
      </w:r>
      <w:r>
        <w:rPr>
          <w:rFonts w:hint="eastAsia" w:ascii="宋体" w:hAnsi="宋体" w:eastAsia="宋体" w:cs="宋体"/>
          <w:color w:val="auto"/>
          <w:kern w:val="2"/>
          <w:sz w:val="24"/>
          <w:szCs w:val="24"/>
          <w:highlight w:val="none"/>
          <w:lang w:val="en-US" w:eastAsia="zh-CN" w:bidi="ar-SA"/>
        </w:rPr>
        <w:t>扣</w:t>
      </w:r>
      <w:r>
        <w:rPr>
          <w:rFonts w:hint="eastAsia" w:cs="宋体"/>
          <w:color w:val="auto"/>
          <w:kern w:val="2"/>
          <w:sz w:val="24"/>
          <w:szCs w:val="24"/>
          <w:highlight w:val="none"/>
          <w:lang w:val="en-US" w:eastAsia="zh-CN" w:bidi="ar-SA"/>
        </w:rPr>
        <w:t>相应</w:t>
      </w:r>
      <w:r>
        <w:rPr>
          <w:rFonts w:hint="eastAsia" w:ascii="宋体" w:hAnsi="宋体" w:eastAsia="宋体" w:cs="宋体"/>
          <w:color w:val="auto"/>
          <w:kern w:val="2"/>
          <w:sz w:val="24"/>
          <w:szCs w:val="24"/>
          <w:highlight w:val="none"/>
          <w:lang w:val="en-US" w:eastAsia="zh-CN" w:bidi="ar-SA"/>
        </w:rPr>
        <w:t>进度</w:t>
      </w:r>
      <w:r>
        <w:rPr>
          <w:rFonts w:hint="eastAsia"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款的5%；</w:t>
      </w:r>
      <w:r>
        <w:rPr>
          <w:rFonts w:hint="eastAsia" w:cs="宋体"/>
          <w:color w:val="auto"/>
          <w:kern w:val="2"/>
          <w:sz w:val="24"/>
          <w:szCs w:val="24"/>
          <w:highlight w:val="none"/>
          <w:lang w:val="en-US" w:eastAsia="zh-CN" w:bidi="ar-SA"/>
        </w:rPr>
        <w:t>③</w:t>
      </w:r>
      <w:r>
        <w:rPr>
          <w:rFonts w:hint="eastAsia" w:ascii="宋体" w:hAnsi="宋体" w:eastAsia="宋体" w:cs="宋体"/>
          <w:color w:val="auto"/>
          <w:kern w:val="2"/>
          <w:sz w:val="24"/>
          <w:szCs w:val="24"/>
          <w:highlight w:val="none"/>
          <w:lang w:val="en-US" w:eastAsia="zh-CN" w:bidi="ar-SA"/>
        </w:rPr>
        <w:t>考核得分</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85分</w:t>
      </w:r>
      <w:r>
        <w:rPr>
          <w:rFonts w:hint="eastAsia" w:cs="宋体"/>
          <w:color w:val="auto"/>
          <w:kern w:val="2"/>
          <w:sz w:val="24"/>
          <w:szCs w:val="24"/>
          <w:highlight w:val="none"/>
          <w:lang w:val="en-US" w:eastAsia="zh-CN" w:bidi="ar-SA"/>
        </w:rPr>
        <w:t>且</w:t>
      </w:r>
      <w:r>
        <w:rPr>
          <w:rFonts w:hint="eastAsia" w:ascii="宋体" w:hAnsi="宋体" w:eastAsia="宋体" w:cs="宋体"/>
          <w:color w:val="auto"/>
          <w:kern w:val="2"/>
          <w:sz w:val="24"/>
          <w:szCs w:val="24"/>
          <w:highlight w:val="none"/>
          <w:lang w:val="en-US" w:eastAsia="zh-CN" w:bidi="ar-SA"/>
        </w:rPr>
        <w:t>≥8</w:t>
      </w:r>
      <w:r>
        <w:rPr>
          <w:rFonts w:hint="eastAsia" w:cs="宋体"/>
          <w:color w:val="auto"/>
          <w:kern w:val="2"/>
          <w:sz w:val="24"/>
          <w:szCs w:val="24"/>
          <w:highlight w:val="none"/>
          <w:lang w:val="en-US" w:eastAsia="zh-CN" w:bidi="ar-SA"/>
        </w:rPr>
        <w:t>0分</w:t>
      </w:r>
      <w:r>
        <w:rPr>
          <w:rFonts w:hint="eastAsia" w:ascii="宋体" w:hAnsi="宋体" w:eastAsia="宋体" w:cs="宋体"/>
          <w:color w:val="auto"/>
          <w:kern w:val="2"/>
          <w:sz w:val="24"/>
          <w:szCs w:val="24"/>
          <w:highlight w:val="none"/>
          <w:lang w:val="en-US" w:eastAsia="zh-CN" w:bidi="ar-SA"/>
        </w:rPr>
        <w:t>扣</w:t>
      </w:r>
      <w:r>
        <w:rPr>
          <w:rFonts w:hint="eastAsia" w:cs="宋体"/>
          <w:color w:val="auto"/>
          <w:kern w:val="2"/>
          <w:sz w:val="24"/>
          <w:szCs w:val="24"/>
          <w:highlight w:val="none"/>
          <w:lang w:val="en-US" w:eastAsia="zh-CN" w:bidi="ar-SA"/>
        </w:rPr>
        <w:t>相应</w:t>
      </w:r>
      <w:r>
        <w:rPr>
          <w:rFonts w:hint="eastAsia" w:ascii="宋体" w:hAnsi="宋体" w:eastAsia="宋体" w:cs="宋体"/>
          <w:color w:val="auto"/>
          <w:kern w:val="2"/>
          <w:sz w:val="24"/>
          <w:szCs w:val="24"/>
          <w:highlight w:val="none"/>
          <w:lang w:val="en-US" w:eastAsia="zh-CN" w:bidi="ar-SA"/>
        </w:rPr>
        <w:t>进度</w:t>
      </w:r>
      <w:r>
        <w:rPr>
          <w:rFonts w:hint="eastAsia"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款10%；</w:t>
      </w:r>
      <w:r>
        <w:rPr>
          <w:rFonts w:hint="eastAsia" w:cs="宋体"/>
          <w:color w:val="auto"/>
          <w:kern w:val="2"/>
          <w:sz w:val="24"/>
          <w:szCs w:val="24"/>
          <w:highlight w:val="none"/>
          <w:lang w:val="en-US" w:eastAsia="zh-CN" w:bidi="ar-SA"/>
        </w:rPr>
        <w:t>④</w:t>
      </w:r>
      <w:r>
        <w:rPr>
          <w:rFonts w:hint="eastAsia" w:ascii="宋体" w:hAnsi="宋体" w:eastAsia="宋体" w:cs="宋体"/>
          <w:color w:val="auto"/>
          <w:kern w:val="2"/>
          <w:sz w:val="24"/>
          <w:szCs w:val="24"/>
          <w:highlight w:val="none"/>
          <w:lang w:val="en-US" w:eastAsia="zh-CN" w:bidi="ar-SA"/>
        </w:rPr>
        <w:t>考核得分＜80分不</w:t>
      </w:r>
      <w:r>
        <w:rPr>
          <w:rFonts w:hint="eastAsia" w:cs="宋体"/>
          <w:color w:val="auto"/>
          <w:kern w:val="2"/>
          <w:sz w:val="24"/>
          <w:szCs w:val="24"/>
          <w:highlight w:val="none"/>
          <w:lang w:val="en-US" w:eastAsia="zh-CN" w:bidi="ar-SA"/>
        </w:rPr>
        <w:t>予</w:t>
      </w:r>
      <w:r>
        <w:rPr>
          <w:rFonts w:hint="eastAsia" w:ascii="宋体" w:hAnsi="宋体" w:eastAsia="宋体" w:cs="宋体"/>
          <w:color w:val="auto"/>
          <w:kern w:val="2"/>
          <w:sz w:val="24"/>
          <w:szCs w:val="24"/>
          <w:highlight w:val="none"/>
          <w:lang w:val="en-US" w:eastAsia="zh-CN" w:bidi="ar-SA"/>
        </w:rPr>
        <w:t>拨付</w:t>
      </w:r>
      <w:r>
        <w:rPr>
          <w:rFonts w:hint="eastAsia" w:cs="宋体"/>
          <w:color w:val="auto"/>
          <w:kern w:val="2"/>
          <w:sz w:val="24"/>
          <w:szCs w:val="24"/>
          <w:highlight w:val="none"/>
          <w:lang w:val="en-US" w:eastAsia="zh-CN" w:bidi="ar-SA"/>
        </w:rPr>
        <w:t>相应</w:t>
      </w:r>
      <w:r>
        <w:rPr>
          <w:rFonts w:hint="eastAsia" w:ascii="宋体" w:hAnsi="宋体" w:eastAsia="宋体" w:cs="宋体"/>
          <w:color w:val="auto"/>
          <w:kern w:val="2"/>
          <w:sz w:val="24"/>
          <w:szCs w:val="24"/>
          <w:highlight w:val="none"/>
          <w:lang w:val="en-US" w:eastAsia="zh-CN" w:bidi="ar-SA"/>
        </w:rPr>
        <w:t>进度</w:t>
      </w:r>
      <w:r>
        <w:rPr>
          <w:rFonts w:hint="eastAsia"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款。</w:t>
      </w:r>
      <w:r>
        <w:rPr>
          <w:rFonts w:hint="eastAsia" w:cs="宋体"/>
          <w:color w:val="auto"/>
          <w:kern w:val="2"/>
          <w:sz w:val="24"/>
          <w:szCs w:val="24"/>
          <w:highlight w:val="none"/>
          <w:lang w:val="en-US" w:eastAsia="zh-CN" w:bidi="ar-SA"/>
        </w:rPr>
        <w:t>⑤连续两个月考核得分</w:t>
      </w:r>
      <w:r>
        <w:rPr>
          <w:rFonts w:hint="eastAsia" w:ascii="宋体" w:hAnsi="宋体" w:eastAsia="宋体" w:cs="宋体"/>
          <w:color w:val="auto"/>
          <w:kern w:val="2"/>
          <w:sz w:val="24"/>
          <w:szCs w:val="24"/>
          <w:highlight w:val="none"/>
          <w:lang w:val="en-US" w:eastAsia="zh-CN" w:bidi="ar-SA"/>
        </w:rPr>
        <w:t>＜80分</w:t>
      </w:r>
      <w:r>
        <w:rPr>
          <w:rFonts w:hint="eastAsia" w:cs="宋体"/>
          <w:color w:val="auto"/>
          <w:kern w:val="2"/>
          <w:sz w:val="24"/>
          <w:szCs w:val="24"/>
          <w:highlight w:val="none"/>
          <w:lang w:val="en-US" w:eastAsia="zh-CN" w:bidi="ar-SA"/>
        </w:rPr>
        <w:t>，甲方有权解除合同。</w:t>
      </w:r>
    </w:p>
    <w:p w14:paraId="60ADB03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lang w:val="en-US" w:eastAsia="zh-CN" w:bidi="ar-SA"/>
        </w:rPr>
        <w:t>4.</w:t>
      </w:r>
      <w:r>
        <w:rPr>
          <w:rFonts w:hint="eastAsia" w:ascii="宋体" w:hAnsi="宋体" w:eastAsia="宋体" w:cs="宋体"/>
          <w:b w:val="0"/>
          <w:color w:val="auto"/>
          <w:kern w:val="2"/>
          <w:sz w:val="24"/>
          <w:szCs w:val="24"/>
          <w:highlight w:val="none"/>
          <w:lang w:val="en-US" w:eastAsia="zh-CN" w:bidi="ar-SA"/>
        </w:rPr>
        <w:t>考核细则</w:t>
      </w:r>
    </w:p>
    <w:p w14:paraId="6CA3DC11">
      <w:pPr>
        <w:ind w:right="320" w:firstLine="361" w:firstLineChars="150"/>
        <w:jc w:val="center"/>
        <w:rPr>
          <w:rFonts w:hint="eastAsia"/>
          <w:color w:val="auto"/>
          <w:highlight w:val="none"/>
          <w:lang w:val="en-US" w:eastAsia="zh-CN"/>
        </w:rPr>
      </w:pPr>
      <w:r>
        <w:rPr>
          <w:rFonts w:hint="eastAsia" w:ascii="宋体" w:hAnsi="宋体" w:eastAsia="宋体" w:cs="宋体"/>
          <w:b/>
          <w:bCs/>
          <w:color w:val="auto"/>
          <w:sz w:val="24"/>
          <w:szCs w:val="24"/>
          <w:highlight w:val="none"/>
          <w:lang w:eastAsia="zh-CN"/>
        </w:rPr>
        <w:t>百官街道民政综合体、文化站、老年大学等场所运行服务</w:t>
      </w:r>
      <w:r>
        <w:rPr>
          <w:rFonts w:hint="eastAsia" w:ascii="宋体" w:hAnsi="宋体" w:eastAsia="宋体" w:cs="宋体"/>
          <w:b/>
          <w:bCs/>
          <w:color w:val="auto"/>
          <w:sz w:val="24"/>
          <w:szCs w:val="24"/>
          <w:highlight w:val="none"/>
          <w:lang w:val="en-US" w:eastAsia="zh-CN"/>
        </w:rPr>
        <w:t>考核细则</w:t>
      </w:r>
    </w:p>
    <w:tbl>
      <w:tblPr>
        <w:tblStyle w:val="30"/>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21"/>
        <w:gridCol w:w="1219"/>
        <w:gridCol w:w="6645"/>
        <w:gridCol w:w="725"/>
      </w:tblGrid>
      <w:tr w14:paraId="539D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21" w:type="dxa"/>
            <w:shd w:val="clear" w:color="auto" w:fill="auto"/>
            <w:noWrap w:val="0"/>
            <w:vAlign w:val="center"/>
          </w:tcPr>
          <w:p w14:paraId="7C12E2C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b/>
                <w:bCs/>
                <w:color w:val="auto"/>
                <w:sz w:val="21"/>
                <w:szCs w:val="21"/>
                <w:highlight w:val="none"/>
                <w:lang w:val="en-US" w:eastAsia="zh-CN"/>
              </w:rPr>
            </w:pPr>
            <w:r>
              <w:rPr>
                <w:rFonts w:hint="eastAsia"/>
                <w:b/>
                <w:bCs/>
                <w:color w:val="auto"/>
                <w:sz w:val="21"/>
                <w:szCs w:val="21"/>
                <w:highlight w:val="none"/>
              </w:rPr>
              <w:t>类别</w:t>
            </w:r>
          </w:p>
        </w:tc>
        <w:tc>
          <w:tcPr>
            <w:tcW w:w="1219" w:type="dxa"/>
            <w:shd w:val="clear" w:color="auto" w:fill="auto"/>
            <w:noWrap w:val="0"/>
            <w:vAlign w:val="center"/>
          </w:tcPr>
          <w:p w14:paraId="0CA159E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b/>
                <w:bCs/>
                <w:color w:val="auto"/>
                <w:sz w:val="21"/>
                <w:szCs w:val="21"/>
                <w:highlight w:val="none"/>
                <w:lang w:val="en-US" w:eastAsia="zh-CN"/>
              </w:rPr>
            </w:pPr>
            <w:r>
              <w:rPr>
                <w:rFonts w:hint="eastAsia"/>
                <w:b/>
                <w:bCs/>
                <w:color w:val="auto"/>
                <w:sz w:val="21"/>
                <w:szCs w:val="21"/>
                <w:highlight w:val="none"/>
              </w:rPr>
              <w:t>服务内容</w:t>
            </w:r>
          </w:p>
        </w:tc>
        <w:tc>
          <w:tcPr>
            <w:tcW w:w="6645" w:type="dxa"/>
            <w:shd w:val="clear" w:color="auto" w:fill="auto"/>
            <w:noWrap w:val="0"/>
            <w:vAlign w:val="center"/>
          </w:tcPr>
          <w:p w14:paraId="2A94181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b/>
                <w:bCs/>
                <w:color w:val="auto"/>
                <w:sz w:val="21"/>
                <w:szCs w:val="21"/>
                <w:highlight w:val="none"/>
                <w:lang w:val="en-US" w:eastAsia="zh-CN"/>
              </w:rPr>
            </w:pPr>
            <w:r>
              <w:rPr>
                <w:rFonts w:hint="eastAsia"/>
                <w:b/>
                <w:bCs/>
                <w:color w:val="auto"/>
                <w:sz w:val="21"/>
                <w:szCs w:val="21"/>
                <w:highlight w:val="none"/>
              </w:rPr>
              <w:t>具体量化指标</w:t>
            </w:r>
          </w:p>
        </w:tc>
        <w:tc>
          <w:tcPr>
            <w:tcW w:w="725" w:type="dxa"/>
            <w:shd w:val="clear" w:color="auto" w:fill="auto"/>
            <w:noWrap w:val="0"/>
            <w:vAlign w:val="center"/>
          </w:tcPr>
          <w:p w14:paraId="23BC49C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考核分值</w:t>
            </w:r>
          </w:p>
        </w:tc>
      </w:tr>
      <w:tr w14:paraId="3443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2" w:hRule="atLeast"/>
          <w:jc w:val="center"/>
        </w:trPr>
        <w:tc>
          <w:tcPr>
            <w:tcW w:w="1221" w:type="dxa"/>
            <w:vMerge w:val="restart"/>
            <w:shd w:val="clear" w:color="auto" w:fill="auto"/>
            <w:noWrap w:val="0"/>
            <w:vAlign w:val="center"/>
          </w:tcPr>
          <w:p w14:paraId="045E978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基础管理</w:t>
            </w:r>
          </w:p>
        </w:tc>
        <w:tc>
          <w:tcPr>
            <w:tcW w:w="1219" w:type="dxa"/>
            <w:shd w:val="clear" w:color="auto" w:fill="auto"/>
            <w:noWrap w:val="0"/>
            <w:vAlign w:val="center"/>
          </w:tcPr>
          <w:p w14:paraId="7918B18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运营管理</w:t>
            </w:r>
          </w:p>
        </w:tc>
        <w:tc>
          <w:tcPr>
            <w:tcW w:w="6645" w:type="dxa"/>
            <w:shd w:val="clear" w:color="auto" w:fill="auto"/>
            <w:noWrap w:val="0"/>
            <w:vAlign w:val="center"/>
          </w:tcPr>
          <w:p w14:paraId="24A11F5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1.运营方必须与工作人员签订劳动或劳务合同，并且要求给工作人员投保人身意外伤害险；出现设施设备破损不及时维修或保养，影响正常使用的；每一处扣2分。3.未按时缴纳各类应缴费用的，每出现一起扣1分。</w:t>
            </w:r>
          </w:p>
        </w:tc>
        <w:tc>
          <w:tcPr>
            <w:tcW w:w="725" w:type="dxa"/>
            <w:shd w:val="clear" w:color="auto" w:fill="auto"/>
            <w:noWrap w:val="0"/>
            <w:vAlign w:val="center"/>
          </w:tcPr>
          <w:p w14:paraId="63EE96D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2681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2" w:hRule="atLeast"/>
          <w:jc w:val="center"/>
        </w:trPr>
        <w:tc>
          <w:tcPr>
            <w:tcW w:w="1221" w:type="dxa"/>
            <w:vMerge w:val="continue"/>
            <w:shd w:val="clear" w:color="auto" w:fill="auto"/>
            <w:noWrap w:val="0"/>
            <w:vAlign w:val="center"/>
          </w:tcPr>
          <w:p w14:paraId="36D1892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75F8B5F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人员管理</w:t>
            </w:r>
          </w:p>
        </w:tc>
        <w:tc>
          <w:tcPr>
            <w:tcW w:w="6645" w:type="dxa"/>
            <w:shd w:val="clear" w:color="auto" w:fill="auto"/>
            <w:noWrap w:val="0"/>
            <w:vAlign w:val="center"/>
          </w:tcPr>
          <w:p w14:paraId="43E7A5F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运营服务专职工作岗位不少于9个，至少配备主管岗位1个，持证社工岗位3个，心理咨询师岗位1个，残疾人公益岗位1个，助餐服务岗位1个，帮工岗位1个，保洁岗位1个。按实际需求配备工作人员，并具有相应的资质，掌握相应的业务知识和岗位技能。人员未按要求配置到位的，每项少1人扣2.5分。</w:t>
            </w:r>
          </w:p>
        </w:tc>
        <w:tc>
          <w:tcPr>
            <w:tcW w:w="725" w:type="dxa"/>
            <w:shd w:val="clear" w:color="auto" w:fill="auto"/>
            <w:noWrap w:val="0"/>
            <w:vAlign w:val="center"/>
          </w:tcPr>
          <w:p w14:paraId="773A98F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0E09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3" w:hRule="atLeast"/>
          <w:jc w:val="center"/>
        </w:trPr>
        <w:tc>
          <w:tcPr>
            <w:tcW w:w="1221" w:type="dxa"/>
            <w:vMerge w:val="continue"/>
            <w:shd w:val="clear" w:color="auto" w:fill="auto"/>
            <w:noWrap w:val="0"/>
            <w:vAlign w:val="center"/>
          </w:tcPr>
          <w:p w14:paraId="101ED6B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2DDD531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运营监管</w:t>
            </w:r>
          </w:p>
        </w:tc>
        <w:tc>
          <w:tcPr>
            <w:tcW w:w="6645" w:type="dxa"/>
            <w:shd w:val="clear" w:color="auto" w:fill="auto"/>
            <w:noWrap w:val="0"/>
            <w:vAlign w:val="center"/>
          </w:tcPr>
          <w:p w14:paraId="2B05A3C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每月底向街道提交月底工作总结或公众号推送信息，每月提交工作（活动）计划。</w:t>
            </w:r>
          </w:p>
        </w:tc>
        <w:tc>
          <w:tcPr>
            <w:tcW w:w="725" w:type="dxa"/>
            <w:shd w:val="clear" w:color="auto" w:fill="auto"/>
            <w:noWrap w:val="0"/>
            <w:vAlign w:val="center"/>
          </w:tcPr>
          <w:p w14:paraId="2F350B3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191E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7" w:hRule="atLeast"/>
          <w:jc w:val="center"/>
        </w:trPr>
        <w:tc>
          <w:tcPr>
            <w:tcW w:w="1221" w:type="dxa"/>
            <w:vMerge w:val="continue"/>
            <w:shd w:val="clear" w:color="auto" w:fill="auto"/>
            <w:noWrap w:val="0"/>
            <w:vAlign w:val="center"/>
          </w:tcPr>
          <w:p w14:paraId="43C3D4D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72C9783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安全责任</w:t>
            </w:r>
          </w:p>
        </w:tc>
        <w:tc>
          <w:tcPr>
            <w:tcW w:w="6645" w:type="dxa"/>
            <w:shd w:val="clear" w:color="auto" w:fill="auto"/>
            <w:noWrap w:val="0"/>
            <w:vAlign w:val="center"/>
          </w:tcPr>
          <w:p w14:paraId="0EBCC13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制定消防安全、食品卫生、公共卫生、环境卫生等各项突发事件的应急预案，建立各类台账，每季度开展应急演练一次。发生安全事故的此项不得分。</w:t>
            </w:r>
          </w:p>
        </w:tc>
        <w:tc>
          <w:tcPr>
            <w:tcW w:w="725" w:type="dxa"/>
            <w:shd w:val="clear" w:color="auto" w:fill="auto"/>
            <w:noWrap w:val="0"/>
            <w:vAlign w:val="center"/>
          </w:tcPr>
          <w:p w14:paraId="2D80A32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74EC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1221" w:type="dxa"/>
            <w:vMerge w:val="restart"/>
            <w:shd w:val="clear" w:color="auto" w:fill="auto"/>
            <w:noWrap w:val="0"/>
            <w:vAlign w:val="center"/>
          </w:tcPr>
          <w:p w14:paraId="7EADA0E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基础运营</w:t>
            </w:r>
          </w:p>
        </w:tc>
        <w:tc>
          <w:tcPr>
            <w:tcW w:w="1219" w:type="dxa"/>
            <w:shd w:val="clear" w:color="auto" w:fill="auto"/>
            <w:noWrap w:val="0"/>
            <w:vAlign w:val="center"/>
          </w:tcPr>
          <w:p w14:paraId="43FDA2D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系统平台维护</w:t>
            </w:r>
          </w:p>
        </w:tc>
        <w:tc>
          <w:tcPr>
            <w:tcW w:w="6645" w:type="dxa"/>
            <w:shd w:val="clear" w:color="auto" w:fill="auto"/>
            <w:noWrap w:val="0"/>
            <w:vAlign w:val="center"/>
          </w:tcPr>
          <w:p w14:paraId="6782AC7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协助街道文化站智慧云、浙里文化圈小程序、文化文物平台、助联体邻里救、乡贤通等五个系统平台的日常维护和跟进。</w:t>
            </w:r>
          </w:p>
        </w:tc>
        <w:tc>
          <w:tcPr>
            <w:tcW w:w="725" w:type="dxa"/>
            <w:shd w:val="clear" w:color="auto" w:fill="auto"/>
            <w:noWrap w:val="0"/>
            <w:vAlign w:val="center"/>
          </w:tcPr>
          <w:p w14:paraId="69806D7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3</w:t>
            </w:r>
          </w:p>
        </w:tc>
      </w:tr>
      <w:tr w14:paraId="23AF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4" w:hRule="atLeast"/>
          <w:jc w:val="center"/>
        </w:trPr>
        <w:tc>
          <w:tcPr>
            <w:tcW w:w="1221" w:type="dxa"/>
            <w:vMerge w:val="continue"/>
            <w:shd w:val="clear" w:color="auto" w:fill="auto"/>
            <w:noWrap w:val="0"/>
            <w:vAlign w:val="top"/>
          </w:tcPr>
          <w:p w14:paraId="146ECD4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7349430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场馆运营管理</w:t>
            </w:r>
          </w:p>
        </w:tc>
        <w:tc>
          <w:tcPr>
            <w:tcW w:w="6645" w:type="dxa"/>
            <w:shd w:val="clear" w:color="auto" w:fill="auto"/>
            <w:noWrap w:val="0"/>
            <w:vAlign w:val="center"/>
          </w:tcPr>
          <w:p w14:paraId="7BF6188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做好日常来访接待、登记、服务等常态化工作；管理维护好场地设施，做好场地租用登记管理工作，做好场地卫生工作，确保各场地区域干净、整洁、顺畅。</w:t>
            </w:r>
          </w:p>
        </w:tc>
        <w:tc>
          <w:tcPr>
            <w:tcW w:w="725" w:type="dxa"/>
            <w:shd w:val="clear" w:color="auto" w:fill="auto"/>
            <w:noWrap w:val="0"/>
            <w:vAlign w:val="center"/>
          </w:tcPr>
          <w:p w14:paraId="68253CE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3</w:t>
            </w:r>
          </w:p>
        </w:tc>
      </w:tr>
      <w:tr w14:paraId="30F4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7" w:hRule="atLeast"/>
          <w:jc w:val="center"/>
        </w:trPr>
        <w:tc>
          <w:tcPr>
            <w:tcW w:w="1221" w:type="dxa"/>
            <w:vMerge w:val="continue"/>
            <w:shd w:val="clear" w:color="auto" w:fill="auto"/>
            <w:noWrap w:val="0"/>
            <w:vAlign w:val="top"/>
          </w:tcPr>
          <w:p w14:paraId="22E6AEF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6A9447E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制度规范建设</w:t>
            </w:r>
          </w:p>
        </w:tc>
        <w:tc>
          <w:tcPr>
            <w:tcW w:w="6645" w:type="dxa"/>
            <w:shd w:val="clear" w:color="auto" w:fill="auto"/>
            <w:noWrap w:val="0"/>
            <w:vAlign w:val="center"/>
          </w:tcPr>
          <w:p w14:paraId="32B3746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有合理的组织架构和职责分工，有规范的运行流程和服务标准，有岗位管理、财务管理、培训管理、志愿者管理、档案管理等各项制度，形成一整套百官街道现代社区服务操作化规范手册。</w:t>
            </w:r>
          </w:p>
        </w:tc>
        <w:tc>
          <w:tcPr>
            <w:tcW w:w="725" w:type="dxa"/>
            <w:shd w:val="clear" w:color="auto" w:fill="auto"/>
            <w:noWrap w:val="0"/>
            <w:vAlign w:val="center"/>
          </w:tcPr>
          <w:p w14:paraId="571BC89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3</w:t>
            </w:r>
          </w:p>
        </w:tc>
      </w:tr>
      <w:tr w14:paraId="0C83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0" w:hRule="atLeast"/>
          <w:jc w:val="center"/>
        </w:trPr>
        <w:tc>
          <w:tcPr>
            <w:tcW w:w="1221" w:type="dxa"/>
            <w:shd w:val="clear" w:color="auto" w:fill="auto"/>
            <w:noWrap w:val="0"/>
            <w:vAlign w:val="center"/>
          </w:tcPr>
          <w:p w14:paraId="485DFF5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核心服务</w:t>
            </w:r>
          </w:p>
        </w:tc>
        <w:tc>
          <w:tcPr>
            <w:tcW w:w="1219" w:type="dxa"/>
            <w:shd w:val="clear" w:color="auto" w:fill="auto"/>
            <w:noWrap w:val="0"/>
            <w:vAlign w:val="center"/>
          </w:tcPr>
          <w:p w14:paraId="2177EF8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同心向党社工服务项目</w:t>
            </w:r>
          </w:p>
        </w:tc>
        <w:tc>
          <w:tcPr>
            <w:tcW w:w="6645" w:type="dxa"/>
            <w:shd w:val="clear" w:color="auto" w:fill="auto"/>
            <w:noWrap w:val="0"/>
            <w:vAlign w:val="center"/>
          </w:tcPr>
          <w:p w14:paraId="4320AEB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以党建引领为核心，以社区为重心，以党建工作引领社会工作，发挥党员先锋模范作用及深入群众的优势，陆续开展邻里互助、公益宣传等多方面的公益服务，全面打造雷锋岗-党建服务品牌。每季度开展1场公益活动，一年不少于4次。</w:t>
            </w:r>
          </w:p>
        </w:tc>
        <w:tc>
          <w:tcPr>
            <w:tcW w:w="725" w:type="dxa"/>
            <w:shd w:val="clear" w:color="auto" w:fill="auto"/>
            <w:noWrap w:val="0"/>
            <w:vAlign w:val="center"/>
          </w:tcPr>
          <w:p w14:paraId="0C48109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7568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5" w:hRule="atLeast"/>
          <w:jc w:val="center"/>
        </w:trPr>
        <w:tc>
          <w:tcPr>
            <w:tcW w:w="1221" w:type="dxa"/>
            <w:vMerge w:val="restart"/>
            <w:shd w:val="clear" w:color="auto" w:fill="auto"/>
            <w:noWrap w:val="0"/>
            <w:vAlign w:val="center"/>
          </w:tcPr>
          <w:p w14:paraId="08743CA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助联体服务</w:t>
            </w:r>
          </w:p>
        </w:tc>
        <w:tc>
          <w:tcPr>
            <w:tcW w:w="1219" w:type="dxa"/>
            <w:shd w:val="clear" w:color="auto" w:fill="auto"/>
            <w:noWrap w:val="0"/>
            <w:vAlign w:val="center"/>
          </w:tcPr>
          <w:p w14:paraId="6DAC279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协助工作</w:t>
            </w:r>
          </w:p>
        </w:tc>
        <w:tc>
          <w:tcPr>
            <w:tcW w:w="6645" w:type="dxa"/>
            <w:shd w:val="clear" w:color="auto" w:fill="auto"/>
            <w:noWrap w:val="0"/>
            <w:vAlign w:val="center"/>
          </w:tcPr>
          <w:p w14:paraId="2D41F94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协助社事办加强探访关爱队伍管理，做好探访关爱行动反馈、监督等工作，做好业务培训工作，其中每月汇总1次各社区探访关爱工作开展情况，适时组织开展个性化活动，每季度组织1次探访关爱队伍业务培训。</w:t>
            </w:r>
          </w:p>
        </w:tc>
        <w:tc>
          <w:tcPr>
            <w:tcW w:w="725" w:type="dxa"/>
            <w:shd w:val="clear" w:color="auto" w:fill="auto"/>
            <w:noWrap w:val="0"/>
            <w:vAlign w:val="center"/>
          </w:tcPr>
          <w:p w14:paraId="035DA03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5</w:t>
            </w:r>
          </w:p>
        </w:tc>
      </w:tr>
      <w:tr w14:paraId="1613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21" w:type="dxa"/>
            <w:vMerge w:val="continue"/>
            <w:shd w:val="clear" w:color="auto" w:fill="auto"/>
            <w:noWrap w:val="0"/>
            <w:vAlign w:val="top"/>
          </w:tcPr>
          <w:p w14:paraId="43C7982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791670E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关爱服务</w:t>
            </w:r>
          </w:p>
        </w:tc>
        <w:tc>
          <w:tcPr>
            <w:tcW w:w="6645" w:type="dxa"/>
            <w:shd w:val="clear" w:color="auto" w:fill="auto"/>
            <w:noWrap w:val="0"/>
            <w:vAlign w:val="center"/>
          </w:tcPr>
          <w:p w14:paraId="5994EFC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每年探访不少于300人次，每季度探访有需求的困难家庭，开展社会工作和心理健康服务，年度内开展2个个案，每年为有需求的困难群众开展关爱服务不少于20次。</w:t>
            </w:r>
          </w:p>
        </w:tc>
        <w:tc>
          <w:tcPr>
            <w:tcW w:w="725" w:type="dxa"/>
            <w:shd w:val="clear" w:color="auto" w:fill="auto"/>
            <w:noWrap w:val="0"/>
            <w:vAlign w:val="center"/>
          </w:tcPr>
          <w:p w14:paraId="57985ED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5</w:t>
            </w:r>
          </w:p>
        </w:tc>
      </w:tr>
      <w:tr w14:paraId="45DF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 w:hRule="atLeast"/>
          <w:jc w:val="center"/>
        </w:trPr>
        <w:tc>
          <w:tcPr>
            <w:tcW w:w="1221" w:type="dxa"/>
            <w:shd w:val="clear" w:color="auto" w:fill="auto"/>
            <w:noWrap w:val="0"/>
            <w:vAlign w:val="center"/>
          </w:tcPr>
          <w:p w14:paraId="0B4B3B0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未成年人保护站服务</w:t>
            </w:r>
          </w:p>
        </w:tc>
        <w:tc>
          <w:tcPr>
            <w:tcW w:w="1219" w:type="dxa"/>
            <w:shd w:val="clear" w:color="auto" w:fill="auto"/>
            <w:noWrap w:val="0"/>
            <w:vAlign w:val="center"/>
          </w:tcPr>
          <w:p w14:paraId="558A975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leftChars="0" w:right="0" w:rightChars="0"/>
              <w:jc w:val="center"/>
              <w:textAlignment w:val="auto"/>
              <w:rPr>
                <w:rFonts w:hint="eastAsia" w:ascii="Times New Roman" w:hAnsi="Times New Roman" w:eastAsia="宋体" w:cs="Times New Roman"/>
                <w:color w:val="auto"/>
                <w:kern w:val="2"/>
                <w:sz w:val="20"/>
                <w:szCs w:val="20"/>
                <w:highlight w:val="none"/>
                <w:lang w:val="en-US" w:eastAsia="zh-CN" w:bidi="ar-SA"/>
              </w:rPr>
            </w:pPr>
            <w:r>
              <w:rPr>
                <w:rFonts w:hint="eastAsia"/>
                <w:color w:val="auto"/>
                <w:sz w:val="20"/>
                <w:szCs w:val="20"/>
                <w:highlight w:val="none"/>
                <w:lang w:val="en-US" w:eastAsia="zh-CN"/>
              </w:rPr>
              <w:t>服务开展</w:t>
            </w:r>
          </w:p>
        </w:tc>
        <w:tc>
          <w:tcPr>
            <w:tcW w:w="6645" w:type="dxa"/>
            <w:shd w:val="clear" w:color="auto" w:fill="auto"/>
            <w:noWrap w:val="0"/>
            <w:vAlign w:val="center"/>
          </w:tcPr>
          <w:p w14:paraId="5E2D5F9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leftChars="0" w:right="0" w:rightChars="0"/>
              <w:jc w:val="left"/>
              <w:textAlignment w:val="auto"/>
              <w:rPr>
                <w:rFonts w:hint="eastAsia" w:ascii="Times New Roman" w:hAnsi="Times New Roman" w:eastAsia="宋体" w:cs="Times New Roman"/>
                <w:color w:val="auto"/>
                <w:kern w:val="2"/>
                <w:sz w:val="20"/>
                <w:szCs w:val="20"/>
                <w:highlight w:val="none"/>
                <w:lang w:val="en-US" w:eastAsia="zh-CN" w:bidi="ar-SA"/>
              </w:rPr>
            </w:pPr>
            <w:r>
              <w:rPr>
                <w:rFonts w:hint="eastAsia"/>
                <w:color w:val="auto"/>
                <w:sz w:val="20"/>
                <w:szCs w:val="20"/>
                <w:highlight w:val="none"/>
                <w:lang w:val="en-US" w:eastAsia="zh-CN"/>
              </w:rPr>
              <w:t>困境儿童走访，提供心理辅导、开展危机干预、宣传教育等服务，年度开展2个个案，年度2次活动进校园，年度1次暑期托管服务。</w:t>
            </w:r>
          </w:p>
        </w:tc>
        <w:tc>
          <w:tcPr>
            <w:tcW w:w="725" w:type="dxa"/>
            <w:shd w:val="clear" w:color="auto" w:fill="auto"/>
            <w:noWrap w:val="0"/>
            <w:vAlign w:val="center"/>
          </w:tcPr>
          <w:p w14:paraId="1F0018A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4</w:t>
            </w:r>
          </w:p>
        </w:tc>
      </w:tr>
      <w:tr w14:paraId="5604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1" w:hRule="atLeast"/>
          <w:jc w:val="center"/>
        </w:trPr>
        <w:tc>
          <w:tcPr>
            <w:tcW w:w="1221" w:type="dxa"/>
            <w:vMerge w:val="restart"/>
            <w:shd w:val="clear" w:color="auto" w:fill="auto"/>
            <w:noWrap w:val="0"/>
            <w:vAlign w:val="center"/>
          </w:tcPr>
          <w:p w14:paraId="5609B46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乐龄中心</w:t>
            </w:r>
          </w:p>
          <w:p w14:paraId="6CE0ABD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服务</w:t>
            </w:r>
          </w:p>
        </w:tc>
        <w:tc>
          <w:tcPr>
            <w:tcW w:w="1219" w:type="dxa"/>
            <w:shd w:val="clear" w:color="auto" w:fill="auto"/>
            <w:noWrap w:val="0"/>
            <w:vAlign w:val="center"/>
          </w:tcPr>
          <w:p w14:paraId="3F83083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服务开展</w:t>
            </w:r>
          </w:p>
        </w:tc>
        <w:tc>
          <w:tcPr>
            <w:tcW w:w="6645" w:type="dxa"/>
            <w:shd w:val="clear" w:color="auto" w:fill="auto"/>
            <w:noWrap w:val="0"/>
            <w:vAlign w:val="center"/>
          </w:tcPr>
          <w:p w14:paraId="6E59BE1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根据乐龄中心服务项目开展生活服务、康复护理服务、日托服务、家庭支持服务、社会工作、心理疏导服务等。</w:t>
            </w:r>
          </w:p>
        </w:tc>
        <w:tc>
          <w:tcPr>
            <w:tcW w:w="725" w:type="dxa"/>
            <w:shd w:val="clear" w:color="auto" w:fill="auto"/>
            <w:noWrap w:val="0"/>
            <w:vAlign w:val="center"/>
          </w:tcPr>
          <w:p w14:paraId="712AB97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125B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3" w:hRule="atLeast"/>
          <w:jc w:val="center"/>
        </w:trPr>
        <w:tc>
          <w:tcPr>
            <w:tcW w:w="1221" w:type="dxa"/>
            <w:vMerge w:val="continue"/>
            <w:shd w:val="clear" w:color="auto" w:fill="auto"/>
            <w:noWrap w:val="0"/>
            <w:vAlign w:val="top"/>
          </w:tcPr>
          <w:p w14:paraId="6521928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758AEB9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助餐服务</w:t>
            </w:r>
          </w:p>
        </w:tc>
        <w:tc>
          <w:tcPr>
            <w:tcW w:w="6645" w:type="dxa"/>
            <w:shd w:val="clear" w:color="auto" w:fill="auto"/>
            <w:noWrap w:val="0"/>
            <w:vAlign w:val="center"/>
          </w:tcPr>
          <w:p w14:paraId="69AA07A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为老年人提供助餐服务，根据实际需求和情况视情况开展相应送餐服务。</w:t>
            </w:r>
          </w:p>
        </w:tc>
        <w:tc>
          <w:tcPr>
            <w:tcW w:w="725" w:type="dxa"/>
            <w:shd w:val="clear" w:color="auto" w:fill="auto"/>
            <w:noWrap w:val="0"/>
            <w:vAlign w:val="center"/>
          </w:tcPr>
          <w:p w14:paraId="0736D76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7A7F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1221" w:type="dxa"/>
            <w:vMerge w:val="continue"/>
            <w:shd w:val="clear" w:color="auto" w:fill="auto"/>
            <w:noWrap w:val="0"/>
            <w:vAlign w:val="top"/>
          </w:tcPr>
          <w:p w14:paraId="11DD25D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5BDFBEE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理发服务</w:t>
            </w:r>
          </w:p>
        </w:tc>
        <w:tc>
          <w:tcPr>
            <w:tcW w:w="6645" w:type="dxa"/>
            <w:shd w:val="clear" w:color="auto" w:fill="auto"/>
            <w:noWrap w:val="0"/>
            <w:vAlign w:val="center"/>
          </w:tcPr>
          <w:p w14:paraId="7DC5264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每月提供不少于2次服务。</w:t>
            </w:r>
          </w:p>
        </w:tc>
        <w:tc>
          <w:tcPr>
            <w:tcW w:w="725" w:type="dxa"/>
            <w:shd w:val="clear" w:color="auto" w:fill="auto"/>
            <w:noWrap w:val="0"/>
            <w:vAlign w:val="center"/>
          </w:tcPr>
          <w:p w14:paraId="615F142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33F6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jc w:val="center"/>
        </w:trPr>
        <w:tc>
          <w:tcPr>
            <w:tcW w:w="1221" w:type="dxa"/>
            <w:vMerge w:val="continue"/>
            <w:shd w:val="clear" w:color="auto" w:fill="auto"/>
            <w:noWrap w:val="0"/>
            <w:vAlign w:val="top"/>
          </w:tcPr>
          <w:p w14:paraId="73ACE3E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3DA42B5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健康管理</w:t>
            </w:r>
          </w:p>
        </w:tc>
        <w:tc>
          <w:tcPr>
            <w:tcW w:w="6645" w:type="dxa"/>
            <w:shd w:val="clear" w:color="auto" w:fill="auto"/>
            <w:noWrap w:val="0"/>
            <w:vAlign w:val="center"/>
          </w:tcPr>
          <w:p w14:paraId="65570ED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为老年人提供生活方式和健康状况评估、中医体质辨识、体格检查、辅助检查和健康指导等服务。按</w:t>
            </w:r>
            <w:r>
              <w:rPr>
                <w:rFonts w:hint="eastAsia"/>
                <w:color w:val="auto"/>
                <w:sz w:val="20"/>
                <w:szCs w:val="20"/>
                <w:highlight w:val="none"/>
              </w:rPr>
              <w:t>80周岁以上老年人每年、80周岁以下老年人每两年1次</w:t>
            </w:r>
            <w:r>
              <w:rPr>
                <w:rFonts w:hint="eastAsia"/>
                <w:color w:val="auto"/>
                <w:sz w:val="20"/>
                <w:szCs w:val="20"/>
                <w:highlight w:val="none"/>
                <w:lang w:eastAsia="zh-CN"/>
              </w:rPr>
              <w:t>的标准，协助</w:t>
            </w:r>
            <w:r>
              <w:rPr>
                <w:rFonts w:hint="eastAsia"/>
                <w:color w:val="auto"/>
                <w:sz w:val="20"/>
                <w:szCs w:val="20"/>
                <w:highlight w:val="none"/>
                <w:lang w:val="en-US" w:eastAsia="zh-CN"/>
              </w:rPr>
              <w:t>做好老年人自理能力筛查。</w:t>
            </w:r>
          </w:p>
        </w:tc>
        <w:tc>
          <w:tcPr>
            <w:tcW w:w="725" w:type="dxa"/>
            <w:shd w:val="clear" w:color="auto" w:fill="auto"/>
            <w:noWrap w:val="0"/>
            <w:vAlign w:val="center"/>
          </w:tcPr>
          <w:p w14:paraId="68AE5B4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1F2B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jc w:val="center"/>
        </w:trPr>
        <w:tc>
          <w:tcPr>
            <w:tcW w:w="1221" w:type="dxa"/>
            <w:vMerge w:val="continue"/>
            <w:shd w:val="clear" w:color="auto" w:fill="auto"/>
            <w:noWrap w:val="0"/>
            <w:vAlign w:val="top"/>
          </w:tcPr>
          <w:p w14:paraId="390152E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36D0CBE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辅具适配、指导与租赁</w:t>
            </w:r>
          </w:p>
        </w:tc>
        <w:tc>
          <w:tcPr>
            <w:tcW w:w="6645" w:type="dxa"/>
            <w:shd w:val="clear" w:color="auto" w:fill="auto"/>
            <w:noWrap w:val="0"/>
            <w:vAlign w:val="center"/>
          </w:tcPr>
          <w:p w14:paraId="1AD90AF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提供助行类、助洁类、护理类、护具类、视听类、智能类、医疗类、益智类等康复辅具展示、体验、宣教、适配、租赁、出售，可根据老年人需求灵活采用日租、月租、年租等方式。</w:t>
            </w:r>
          </w:p>
        </w:tc>
        <w:tc>
          <w:tcPr>
            <w:tcW w:w="725" w:type="dxa"/>
            <w:shd w:val="clear" w:color="auto" w:fill="auto"/>
            <w:noWrap w:val="0"/>
            <w:vAlign w:val="center"/>
          </w:tcPr>
          <w:p w14:paraId="2F4A83C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66A8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jc w:val="center"/>
        </w:trPr>
        <w:tc>
          <w:tcPr>
            <w:tcW w:w="1221" w:type="dxa"/>
            <w:vMerge w:val="continue"/>
            <w:shd w:val="clear" w:color="auto" w:fill="auto"/>
            <w:noWrap w:val="0"/>
            <w:vAlign w:val="top"/>
          </w:tcPr>
          <w:p w14:paraId="791335D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73834FA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日间照料服务</w:t>
            </w:r>
          </w:p>
        </w:tc>
        <w:tc>
          <w:tcPr>
            <w:tcW w:w="6645" w:type="dxa"/>
            <w:shd w:val="clear" w:color="auto" w:fill="auto"/>
            <w:noWrap w:val="0"/>
            <w:vAlign w:val="center"/>
          </w:tcPr>
          <w:p w14:paraId="371B7B2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为社区内有需求的老年人提供日间托养，有条件可开展接送等附加服务。</w:t>
            </w:r>
          </w:p>
        </w:tc>
        <w:tc>
          <w:tcPr>
            <w:tcW w:w="725" w:type="dxa"/>
            <w:shd w:val="clear" w:color="auto" w:fill="auto"/>
            <w:noWrap w:val="0"/>
            <w:vAlign w:val="center"/>
          </w:tcPr>
          <w:p w14:paraId="687E16E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748B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jc w:val="center"/>
        </w:trPr>
        <w:tc>
          <w:tcPr>
            <w:tcW w:w="1221" w:type="dxa"/>
            <w:vMerge w:val="continue"/>
            <w:shd w:val="clear" w:color="auto" w:fill="auto"/>
            <w:noWrap w:val="0"/>
            <w:vAlign w:val="top"/>
          </w:tcPr>
          <w:p w14:paraId="33CC765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2DE6988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家庭照护者培训</w:t>
            </w:r>
          </w:p>
        </w:tc>
        <w:tc>
          <w:tcPr>
            <w:tcW w:w="6645" w:type="dxa"/>
            <w:shd w:val="clear" w:color="auto" w:fill="auto"/>
            <w:noWrap w:val="0"/>
            <w:vAlign w:val="center"/>
          </w:tcPr>
          <w:p w14:paraId="5F3F293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每年为高龄、失能老年人家庭提供不少于1次护理、康复、照顾服务技术等培训，每次培训90分钟以上。</w:t>
            </w:r>
          </w:p>
        </w:tc>
        <w:tc>
          <w:tcPr>
            <w:tcW w:w="725" w:type="dxa"/>
            <w:shd w:val="clear" w:color="auto" w:fill="auto"/>
            <w:noWrap w:val="0"/>
            <w:vAlign w:val="center"/>
          </w:tcPr>
          <w:p w14:paraId="1022FF5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42D0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jc w:val="center"/>
        </w:trPr>
        <w:tc>
          <w:tcPr>
            <w:tcW w:w="1221" w:type="dxa"/>
            <w:vMerge w:val="continue"/>
            <w:shd w:val="clear" w:color="auto" w:fill="auto"/>
            <w:noWrap w:val="0"/>
            <w:vAlign w:val="top"/>
          </w:tcPr>
          <w:p w14:paraId="41CB94B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5F33DF1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养老顾问</w:t>
            </w:r>
          </w:p>
        </w:tc>
        <w:tc>
          <w:tcPr>
            <w:tcW w:w="6645" w:type="dxa"/>
            <w:shd w:val="clear" w:color="auto" w:fill="auto"/>
            <w:noWrap w:val="0"/>
            <w:vAlign w:val="center"/>
          </w:tcPr>
          <w:p w14:paraId="1FAD217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全面链接政府部门、医疗机构、养老机构、社会组织、村（社区）等各方资源，为居家老年人提供养老服务资源介绍、老年人福利政策指导等现场政策咨询和资源供需对接服务。由1名专职社会工作者提供服务。</w:t>
            </w:r>
          </w:p>
        </w:tc>
        <w:tc>
          <w:tcPr>
            <w:tcW w:w="725" w:type="dxa"/>
            <w:shd w:val="clear" w:color="auto" w:fill="auto"/>
            <w:noWrap w:val="0"/>
            <w:vAlign w:val="center"/>
          </w:tcPr>
          <w:p w14:paraId="272069C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62F9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21" w:type="dxa"/>
            <w:vMerge w:val="continue"/>
            <w:shd w:val="clear" w:color="auto" w:fill="auto"/>
            <w:noWrap w:val="0"/>
            <w:vAlign w:val="top"/>
          </w:tcPr>
          <w:p w14:paraId="7104961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3040129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综合服务</w:t>
            </w:r>
          </w:p>
        </w:tc>
        <w:tc>
          <w:tcPr>
            <w:tcW w:w="6645" w:type="dxa"/>
            <w:shd w:val="clear" w:color="auto" w:fill="auto"/>
            <w:noWrap w:val="0"/>
            <w:vAlign w:val="center"/>
          </w:tcPr>
          <w:p w14:paraId="51A3065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1.文娱服务。根据老年人喜好及生理、心理特点，开展书画、棋牌、摄影等各类休闲活动。每季度至少开展2次50人以上的老年人集体活动。</w:t>
            </w:r>
          </w:p>
          <w:p w14:paraId="7AAF258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2.上门服务。为有特殊服务需求的老年人提供生活照料、康复护理和社会工作、心理疏导等居家上门服务，并在明显位置公示上门服务种类和收费标准。</w:t>
            </w:r>
          </w:p>
          <w:p w14:paraId="10957DF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rPr>
            </w:pPr>
            <w:r>
              <w:rPr>
                <w:rFonts w:hint="eastAsia"/>
                <w:color w:val="auto"/>
                <w:sz w:val="20"/>
                <w:szCs w:val="20"/>
                <w:highlight w:val="none"/>
                <w:lang w:val="en-US" w:eastAsia="zh-CN"/>
              </w:rPr>
              <w:t>3.</w:t>
            </w:r>
            <w:r>
              <w:rPr>
                <w:rFonts w:hint="eastAsia"/>
                <w:color w:val="auto"/>
                <w:sz w:val="20"/>
                <w:szCs w:val="20"/>
                <w:highlight w:val="none"/>
              </w:rPr>
              <w:t>志愿服务。</w:t>
            </w:r>
            <w:r>
              <w:rPr>
                <w:rFonts w:hint="eastAsia"/>
                <w:color w:val="auto"/>
                <w:sz w:val="20"/>
                <w:szCs w:val="20"/>
                <w:highlight w:val="none"/>
                <w:lang w:eastAsia="zh-CN"/>
              </w:rPr>
              <w:t>组建</w:t>
            </w:r>
            <w:r>
              <w:rPr>
                <w:rFonts w:hint="eastAsia"/>
                <w:color w:val="auto"/>
                <w:sz w:val="20"/>
                <w:szCs w:val="20"/>
                <w:highlight w:val="none"/>
                <w:lang w:val="en-US" w:eastAsia="zh-CN"/>
              </w:rPr>
              <w:t>1支志愿服务队伍，</w:t>
            </w:r>
            <w:r>
              <w:rPr>
                <w:rFonts w:hint="eastAsia"/>
                <w:color w:val="auto"/>
                <w:sz w:val="20"/>
                <w:szCs w:val="20"/>
                <w:highlight w:val="none"/>
              </w:rPr>
              <w:t>通过“时间银行”等方式，动员社区开展邻里关怀、志愿服务，组织低龄健康老年志愿者为高龄、独居等老年人提供家庭援助服务。</w:t>
            </w:r>
          </w:p>
          <w:p w14:paraId="43AADDA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4.养老服务“爱心卡”。为60周岁以上失能失智及80周岁以上老年人提供助餐、助浴、助洁、助行、助医、助急等养老服务。</w:t>
            </w:r>
          </w:p>
        </w:tc>
        <w:tc>
          <w:tcPr>
            <w:tcW w:w="725" w:type="dxa"/>
            <w:shd w:val="clear" w:color="auto" w:fill="auto"/>
            <w:noWrap w:val="0"/>
            <w:vAlign w:val="center"/>
          </w:tcPr>
          <w:p w14:paraId="4C74890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4</w:t>
            </w:r>
          </w:p>
        </w:tc>
      </w:tr>
      <w:tr w14:paraId="03A9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8" w:hRule="atLeast"/>
          <w:jc w:val="center"/>
        </w:trPr>
        <w:tc>
          <w:tcPr>
            <w:tcW w:w="1221" w:type="dxa"/>
            <w:vMerge w:val="restart"/>
            <w:shd w:val="clear" w:color="auto" w:fill="auto"/>
            <w:noWrap w:val="0"/>
            <w:vAlign w:val="center"/>
          </w:tcPr>
          <w:p w14:paraId="2669015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社工站服务</w:t>
            </w:r>
          </w:p>
        </w:tc>
        <w:tc>
          <w:tcPr>
            <w:tcW w:w="1219" w:type="dxa"/>
            <w:shd w:val="clear" w:color="auto" w:fill="auto"/>
            <w:noWrap w:val="0"/>
            <w:vAlign w:val="center"/>
          </w:tcPr>
          <w:p w14:paraId="5A752FE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服务开展</w:t>
            </w:r>
          </w:p>
        </w:tc>
        <w:tc>
          <w:tcPr>
            <w:tcW w:w="6645" w:type="dxa"/>
            <w:shd w:val="clear" w:color="auto" w:fill="auto"/>
            <w:noWrap w:val="0"/>
            <w:vAlign w:val="top"/>
          </w:tcPr>
          <w:p w14:paraId="0F5B82D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按照“一站一特色”的原则,策划实施符合实际、体现特色、展示亮点的志愿社会工作服务项目,具体可围绕“1+2+N”的模式开展。其中“1”是指以党建引领为核心，全力打造“孝善虞礼”志愿社会工作服务品牌；“2”是指常态化开展志愿服务项目、社会工作项目；“N”是指结合乡镇（街道）实际，开展信访、医疗、教育、一老一小、扶贫帮困等各领域志愿社会工作个性化服务项目。完成志愿服务项目品牌和社会工作项目品牌各一个。开展专业个案工作，个案不少于15个，其中专业个案不少于7个。运用小组专业方法，开展小组活动不少于4个。运用社区工作方法，开展社区活动不少于5场。</w:t>
            </w:r>
          </w:p>
        </w:tc>
        <w:tc>
          <w:tcPr>
            <w:tcW w:w="725" w:type="dxa"/>
            <w:shd w:val="clear" w:color="auto" w:fill="auto"/>
            <w:noWrap w:val="0"/>
            <w:vAlign w:val="center"/>
          </w:tcPr>
          <w:p w14:paraId="5D6045A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15</w:t>
            </w:r>
          </w:p>
        </w:tc>
      </w:tr>
      <w:tr w14:paraId="7AE0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21" w:type="dxa"/>
            <w:vMerge w:val="continue"/>
            <w:shd w:val="clear" w:color="auto" w:fill="auto"/>
            <w:noWrap w:val="0"/>
            <w:vAlign w:val="top"/>
          </w:tcPr>
          <w:p w14:paraId="6AD9725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7BACEE0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组织培育</w:t>
            </w:r>
          </w:p>
        </w:tc>
        <w:tc>
          <w:tcPr>
            <w:tcW w:w="6645" w:type="dxa"/>
            <w:shd w:val="clear" w:color="auto" w:fill="auto"/>
            <w:noWrap w:val="0"/>
            <w:vAlign w:val="center"/>
          </w:tcPr>
          <w:p w14:paraId="30F7059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培育1家社会组织、建立1支不少于30人的志愿者队伍，为有需求的志愿者提供指导服务，年度内4次志愿者能力提升培训。</w:t>
            </w:r>
          </w:p>
        </w:tc>
        <w:tc>
          <w:tcPr>
            <w:tcW w:w="725" w:type="dxa"/>
            <w:shd w:val="clear" w:color="auto" w:fill="auto"/>
            <w:noWrap w:val="0"/>
            <w:vAlign w:val="center"/>
          </w:tcPr>
          <w:p w14:paraId="76F106F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5</w:t>
            </w:r>
          </w:p>
        </w:tc>
      </w:tr>
      <w:tr w14:paraId="58E3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1" w:hRule="atLeast"/>
          <w:jc w:val="center"/>
        </w:trPr>
        <w:tc>
          <w:tcPr>
            <w:tcW w:w="1221" w:type="dxa"/>
            <w:vMerge w:val="restart"/>
            <w:shd w:val="clear" w:color="auto" w:fill="auto"/>
            <w:noWrap w:val="0"/>
            <w:vAlign w:val="center"/>
          </w:tcPr>
          <w:p w14:paraId="3263D04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文化站及老年大学服务</w:t>
            </w:r>
          </w:p>
        </w:tc>
        <w:tc>
          <w:tcPr>
            <w:tcW w:w="1219" w:type="dxa"/>
            <w:shd w:val="clear" w:color="auto" w:fill="auto"/>
            <w:noWrap w:val="0"/>
            <w:vAlign w:val="center"/>
          </w:tcPr>
          <w:p w14:paraId="4BCB406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老年大学课程服务</w:t>
            </w:r>
          </w:p>
        </w:tc>
        <w:tc>
          <w:tcPr>
            <w:tcW w:w="6645" w:type="dxa"/>
            <w:shd w:val="clear" w:color="auto" w:fill="auto"/>
            <w:noWrap w:val="0"/>
            <w:vAlign w:val="center"/>
          </w:tcPr>
          <w:p w14:paraId="7E81C302">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00" w:lineRule="atLeast"/>
              <w:ind w:left="0" w:leftChars="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协助开展街道老年大学招生、完成学员注册报名，负责日常教学管理及相关资料收集、报送等，浙学通、云上老年大学系统信息填报。协助老年大学创建工作有关资料的收集整理等。协助做好场地管理（老年大学12门课程教室的管理，每周二、五下午书法社团课，不定期有老干部组织娱乐活动）</w:t>
            </w:r>
          </w:p>
        </w:tc>
        <w:tc>
          <w:tcPr>
            <w:tcW w:w="725" w:type="dxa"/>
            <w:shd w:val="clear" w:color="auto" w:fill="auto"/>
            <w:noWrap w:val="0"/>
            <w:vAlign w:val="center"/>
          </w:tcPr>
          <w:p w14:paraId="1DEAE26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4F94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7" w:hRule="atLeast"/>
          <w:jc w:val="center"/>
        </w:trPr>
        <w:tc>
          <w:tcPr>
            <w:tcW w:w="1221" w:type="dxa"/>
            <w:vMerge w:val="continue"/>
            <w:shd w:val="clear" w:color="auto" w:fill="auto"/>
            <w:noWrap w:val="0"/>
            <w:vAlign w:val="top"/>
          </w:tcPr>
          <w:p w14:paraId="4BC2A9D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74D6A25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文化站活动服务</w:t>
            </w:r>
          </w:p>
        </w:tc>
        <w:tc>
          <w:tcPr>
            <w:tcW w:w="6645" w:type="dxa"/>
            <w:shd w:val="clear" w:color="auto" w:fill="auto"/>
            <w:noWrap w:val="0"/>
            <w:vAlign w:val="center"/>
          </w:tcPr>
          <w:p w14:paraId="10A5066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default"/>
                <w:color w:val="auto"/>
                <w:sz w:val="20"/>
                <w:szCs w:val="20"/>
                <w:highlight w:val="none"/>
                <w:lang w:val="en-US" w:eastAsia="zh-CN"/>
              </w:rPr>
            </w:pPr>
            <w:r>
              <w:rPr>
                <w:rFonts w:hint="default"/>
                <w:color w:val="auto"/>
                <w:sz w:val="20"/>
                <w:szCs w:val="20"/>
                <w:highlight w:val="none"/>
                <w:lang w:val="en-US" w:eastAsia="zh-CN"/>
              </w:rPr>
              <w:t>协助文化站和图书分馆日常运营管理、做好场地开放和活动开展记录，志愿汇成员的加入与审核，及15分钟文化生活圈每次活动的发布与签到。协助各类活动的申报、通知及后续的开展工作，全年举办大型文化活动5场以上，举办阅读推广文体活动4次以上，举办公益类培训讲座6次以上，各类活动38场以上，形成5支及以上文化志愿团队。协助整理文化站相关资料。</w:t>
            </w:r>
          </w:p>
        </w:tc>
        <w:tc>
          <w:tcPr>
            <w:tcW w:w="725" w:type="dxa"/>
            <w:shd w:val="clear" w:color="auto" w:fill="auto"/>
            <w:noWrap w:val="0"/>
            <w:vAlign w:val="center"/>
          </w:tcPr>
          <w:p w14:paraId="7418195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2BF0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221" w:type="dxa"/>
            <w:vMerge w:val="continue"/>
            <w:shd w:val="clear" w:color="auto" w:fill="auto"/>
            <w:noWrap w:val="0"/>
            <w:vAlign w:val="top"/>
          </w:tcPr>
          <w:p w14:paraId="0961DCA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1B4DB99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新时代文明实践所</w:t>
            </w:r>
          </w:p>
        </w:tc>
        <w:tc>
          <w:tcPr>
            <w:tcW w:w="6645" w:type="dxa"/>
            <w:shd w:val="clear" w:color="auto" w:fill="auto"/>
            <w:noWrap w:val="0"/>
            <w:vAlign w:val="center"/>
          </w:tcPr>
          <w:p w14:paraId="6B299A0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协助做好各级文明城市检查，实践所志愿服务站有工作人员1名，做好实践所公益广告滚动播放、活动照片、每月计划的定期更新，协助开展“扫黄打非”送祝福活动、全民阅读活动、学雷锋活动、文明实践志愿服务活动等，按照新时代文明实践测评要求，每月25日前上报下月文明实践活动计划及当月活动记录表，协助整理实践所相关台账，协助维护志愿浙江系统平台。</w:t>
            </w:r>
          </w:p>
        </w:tc>
        <w:tc>
          <w:tcPr>
            <w:tcW w:w="725" w:type="dxa"/>
            <w:shd w:val="clear" w:color="auto" w:fill="auto"/>
            <w:noWrap w:val="0"/>
            <w:vAlign w:val="center"/>
          </w:tcPr>
          <w:p w14:paraId="41EBEE4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3</w:t>
            </w:r>
          </w:p>
        </w:tc>
      </w:tr>
      <w:tr w14:paraId="3CF7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8" w:hRule="atLeast"/>
          <w:jc w:val="center"/>
        </w:trPr>
        <w:tc>
          <w:tcPr>
            <w:tcW w:w="1221" w:type="dxa"/>
            <w:vMerge w:val="restart"/>
            <w:shd w:val="clear" w:color="auto" w:fill="auto"/>
            <w:noWrap w:val="0"/>
            <w:vAlign w:val="top"/>
          </w:tcPr>
          <w:p w14:paraId="7BAED3A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p w14:paraId="6A2DDEB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p w14:paraId="04DEEA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p w14:paraId="1217B51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推广宣传</w:t>
            </w:r>
          </w:p>
        </w:tc>
        <w:tc>
          <w:tcPr>
            <w:tcW w:w="1219" w:type="dxa"/>
            <w:shd w:val="clear" w:color="auto" w:fill="auto"/>
            <w:noWrap w:val="0"/>
            <w:vAlign w:val="center"/>
          </w:tcPr>
          <w:p w14:paraId="478E147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微信公众号运营</w:t>
            </w:r>
          </w:p>
        </w:tc>
        <w:tc>
          <w:tcPr>
            <w:tcW w:w="6645" w:type="dxa"/>
            <w:shd w:val="clear" w:color="auto" w:fill="auto"/>
            <w:noWrap w:val="0"/>
            <w:vAlign w:val="center"/>
          </w:tcPr>
          <w:p w14:paraId="0B6DF00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保证每月至少发布4篇微信公众号信息，依托社工站微信公众号，进行每月的工作总结与活动宣传。每月报送街道公众号2篇以上。</w:t>
            </w:r>
          </w:p>
        </w:tc>
        <w:tc>
          <w:tcPr>
            <w:tcW w:w="725" w:type="dxa"/>
            <w:shd w:val="clear" w:color="auto" w:fill="auto"/>
            <w:noWrap w:val="0"/>
            <w:vAlign w:val="center"/>
          </w:tcPr>
          <w:p w14:paraId="33731FE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2</w:t>
            </w:r>
          </w:p>
        </w:tc>
      </w:tr>
      <w:tr w14:paraId="050A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7" w:hRule="atLeast"/>
          <w:jc w:val="center"/>
        </w:trPr>
        <w:tc>
          <w:tcPr>
            <w:tcW w:w="1221" w:type="dxa"/>
            <w:vMerge w:val="continue"/>
            <w:shd w:val="clear" w:color="auto" w:fill="auto"/>
            <w:noWrap w:val="0"/>
            <w:vAlign w:val="top"/>
          </w:tcPr>
          <w:p w14:paraId="6EB8E12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09EB6A0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媒体宣传</w:t>
            </w:r>
          </w:p>
        </w:tc>
        <w:tc>
          <w:tcPr>
            <w:tcW w:w="6645" w:type="dxa"/>
            <w:shd w:val="clear" w:color="auto" w:fill="auto"/>
            <w:noWrap w:val="0"/>
            <w:vAlign w:val="center"/>
          </w:tcPr>
          <w:p w14:paraId="04B86DF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年度内进行正面宣传报道，区级以上媒体的宣传报道至少4次。</w:t>
            </w:r>
          </w:p>
        </w:tc>
        <w:tc>
          <w:tcPr>
            <w:tcW w:w="725" w:type="dxa"/>
            <w:shd w:val="clear" w:color="auto" w:fill="auto"/>
            <w:noWrap w:val="0"/>
            <w:vAlign w:val="center"/>
          </w:tcPr>
          <w:p w14:paraId="648FE31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2</w:t>
            </w:r>
          </w:p>
        </w:tc>
      </w:tr>
      <w:tr w14:paraId="31F1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1221" w:type="dxa"/>
            <w:vMerge w:val="continue"/>
            <w:shd w:val="clear" w:color="auto" w:fill="auto"/>
            <w:noWrap w:val="0"/>
            <w:vAlign w:val="top"/>
          </w:tcPr>
          <w:p w14:paraId="35DF638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21CB755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政府报送</w:t>
            </w:r>
          </w:p>
        </w:tc>
        <w:tc>
          <w:tcPr>
            <w:tcW w:w="6645" w:type="dxa"/>
            <w:shd w:val="clear" w:color="auto" w:fill="auto"/>
            <w:noWrap w:val="0"/>
            <w:vAlign w:val="center"/>
          </w:tcPr>
          <w:p w14:paraId="789FEE2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年度内报送相关上级部门信息稿至少3篇。</w:t>
            </w:r>
          </w:p>
        </w:tc>
        <w:tc>
          <w:tcPr>
            <w:tcW w:w="725" w:type="dxa"/>
            <w:shd w:val="clear" w:color="auto" w:fill="auto"/>
            <w:noWrap w:val="0"/>
            <w:vAlign w:val="center"/>
          </w:tcPr>
          <w:p w14:paraId="3622CF0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2</w:t>
            </w:r>
          </w:p>
        </w:tc>
      </w:tr>
      <w:tr w14:paraId="3E59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jc w:val="center"/>
        </w:trPr>
        <w:tc>
          <w:tcPr>
            <w:tcW w:w="1221" w:type="dxa"/>
            <w:vMerge w:val="continue"/>
            <w:shd w:val="clear" w:color="auto" w:fill="auto"/>
            <w:noWrap w:val="0"/>
            <w:vAlign w:val="top"/>
          </w:tcPr>
          <w:p w14:paraId="1DA050E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5C8BCF4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宣传手册</w:t>
            </w:r>
          </w:p>
        </w:tc>
        <w:tc>
          <w:tcPr>
            <w:tcW w:w="6645" w:type="dxa"/>
            <w:shd w:val="clear" w:color="auto" w:fill="auto"/>
            <w:noWrap w:val="0"/>
            <w:vAlign w:val="center"/>
          </w:tcPr>
          <w:p w14:paraId="44AC206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年度内形成1份民政服务综合体宣传手册，进行推广。</w:t>
            </w:r>
          </w:p>
        </w:tc>
        <w:tc>
          <w:tcPr>
            <w:tcW w:w="725" w:type="dxa"/>
            <w:shd w:val="clear" w:color="auto" w:fill="auto"/>
            <w:noWrap w:val="0"/>
            <w:vAlign w:val="center"/>
          </w:tcPr>
          <w:p w14:paraId="175E10A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2</w:t>
            </w:r>
          </w:p>
        </w:tc>
      </w:tr>
      <w:tr w14:paraId="12AF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jc w:val="center"/>
        </w:trPr>
        <w:tc>
          <w:tcPr>
            <w:tcW w:w="1221" w:type="dxa"/>
            <w:vMerge w:val="continue"/>
            <w:shd w:val="clear" w:color="auto" w:fill="auto"/>
            <w:noWrap w:val="0"/>
            <w:vAlign w:val="top"/>
          </w:tcPr>
          <w:p w14:paraId="769A681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1219" w:type="dxa"/>
            <w:shd w:val="clear" w:color="auto" w:fill="auto"/>
            <w:noWrap w:val="0"/>
            <w:vAlign w:val="center"/>
          </w:tcPr>
          <w:p w14:paraId="21DEEE7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专业案例</w:t>
            </w:r>
          </w:p>
        </w:tc>
        <w:tc>
          <w:tcPr>
            <w:tcW w:w="6645" w:type="dxa"/>
            <w:shd w:val="clear" w:color="auto" w:fill="auto"/>
            <w:noWrap w:val="0"/>
            <w:vAlign w:val="center"/>
          </w:tcPr>
          <w:p w14:paraId="4200A88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年度内形成1个社会工作服务案例。</w:t>
            </w:r>
          </w:p>
        </w:tc>
        <w:tc>
          <w:tcPr>
            <w:tcW w:w="725" w:type="dxa"/>
            <w:shd w:val="clear" w:color="auto" w:fill="auto"/>
            <w:noWrap w:val="0"/>
            <w:vAlign w:val="center"/>
          </w:tcPr>
          <w:p w14:paraId="0051E80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2</w:t>
            </w:r>
          </w:p>
        </w:tc>
      </w:tr>
      <w:tr w14:paraId="5A5A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9" w:hRule="atLeast"/>
          <w:jc w:val="center"/>
        </w:trPr>
        <w:tc>
          <w:tcPr>
            <w:tcW w:w="1221" w:type="dxa"/>
            <w:shd w:val="clear" w:color="auto" w:fill="auto"/>
            <w:noWrap w:val="0"/>
            <w:vAlign w:val="center"/>
          </w:tcPr>
          <w:p w14:paraId="632A416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满意度调查</w:t>
            </w:r>
          </w:p>
        </w:tc>
        <w:tc>
          <w:tcPr>
            <w:tcW w:w="1219" w:type="dxa"/>
            <w:shd w:val="clear" w:color="auto" w:fill="auto"/>
            <w:noWrap w:val="0"/>
            <w:vAlign w:val="center"/>
          </w:tcPr>
          <w:p w14:paraId="0AEEFDF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r>
              <w:rPr>
                <w:rFonts w:hint="eastAsia"/>
                <w:color w:val="auto"/>
                <w:sz w:val="20"/>
                <w:szCs w:val="20"/>
                <w:highlight w:val="none"/>
                <w:lang w:val="en-US" w:eastAsia="zh-CN"/>
              </w:rPr>
              <w:t>满意率</w:t>
            </w:r>
          </w:p>
          <w:p w14:paraId="1AE5A83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调查</w:t>
            </w:r>
          </w:p>
        </w:tc>
        <w:tc>
          <w:tcPr>
            <w:tcW w:w="6645" w:type="dxa"/>
            <w:shd w:val="clear" w:color="auto" w:fill="auto"/>
            <w:noWrap w:val="0"/>
            <w:vAlign w:val="center"/>
          </w:tcPr>
          <w:p w14:paraId="7272A35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群众满意率达75%（含）以上的不扣分，75%以下每低一个百分点扣1分，扣完为止。除不可抗力外受到投诉的，投诉查实1次扣2分。</w:t>
            </w:r>
          </w:p>
        </w:tc>
        <w:tc>
          <w:tcPr>
            <w:tcW w:w="725" w:type="dxa"/>
            <w:shd w:val="clear" w:color="auto" w:fill="auto"/>
            <w:noWrap w:val="0"/>
            <w:vAlign w:val="center"/>
          </w:tcPr>
          <w:p w14:paraId="53E4133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10</w:t>
            </w:r>
          </w:p>
        </w:tc>
      </w:tr>
      <w:tr w14:paraId="51B6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1221" w:type="dxa"/>
            <w:shd w:val="clear" w:color="auto" w:fill="auto"/>
            <w:noWrap w:val="0"/>
            <w:vAlign w:val="center"/>
          </w:tcPr>
          <w:p w14:paraId="0ECEE16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default"/>
                <w:color w:val="auto"/>
                <w:sz w:val="20"/>
                <w:szCs w:val="20"/>
                <w:highlight w:val="none"/>
                <w:lang w:val="en-US" w:eastAsia="zh-CN"/>
              </w:rPr>
            </w:pPr>
            <w:r>
              <w:rPr>
                <w:rFonts w:hint="eastAsia"/>
                <w:color w:val="auto"/>
                <w:sz w:val="20"/>
                <w:szCs w:val="20"/>
                <w:highlight w:val="none"/>
                <w:lang w:val="en-US" w:eastAsia="zh-CN"/>
              </w:rPr>
              <w:t>得分</w:t>
            </w:r>
          </w:p>
        </w:tc>
        <w:tc>
          <w:tcPr>
            <w:tcW w:w="1219" w:type="dxa"/>
            <w:shd w:val="clear" w:color="auto" w:fill="auto"/>
            <w:noWrap w:val="0"/>
            <w:vAlign w:val="center"/>
          </w:tcPr>
          <w:p w14:paraId="26BB664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c>
          <w:tcPr>
            <w:tcW w:w="6645" w:type="dxa"/>
            <w:shd w:val="clear" w:color="auto" w:fill="auto"/>
            <w:noWrap w:val="0"/>
            <w:vAlign w:val="center"/>
          </w:tcPr>
          <w:p w14:paraId="60C45C4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left"/>
              <w:textAlignment w:val="auto"/>
              <w:rPr>
                <w:rFonts w:hint="default"/>
                <w:color w:val="auto"/>
                <w:sz w:val="20"/>
                <w:szCs w:val="20"/>
                <w:highlight w:val="none"/>
                <w:lang w:val="en-US" w:eastAsia="zh-CN"/>
              </w:rPr>
            </w:pPr>
          </w:p>
        </w:tc>
        <w:tc>
          <w:tcPr>
            <w:tcW w:w="725" w:type="dxa"/>
            <w:shd w:val="clear" w:color="auto" w:fill="auto"/>
            <w:noWrap w:val="0"/>
            <w:vAlign w:val="center"/>
          </w:tcPr>
          <w:p w14:paraId="320A933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atLeast"/>
              <w:ind w:left="0" w:right="0"/>
              <w:jc w:val="center"/>
              <w:textAlignment w:val="auto"/>
              <w:rPr>
                <w:rFonts w:hint="eastAsia"/>
                <w:color w:val="auto"/>
                <w:sz w:val="20"/>
                <w:szCs w:val="20"/>
                <w:highlight w:val="none"/>
                <w:lang w:val="en-US" w:eastAsia="zh-CN"/>
              </w:rPr>
            </w:pPr>
          </w:p>
        </w:tc>
      </w:tr>
    </w:tbl>
    <w:p w14:paraId="1FCAE316">
      <w:pPr>
        <w:ind w:right="320" w:firstLine="480" w:firstLineChars="200"/>
        <w:jc w:val="left"/>
        <w:rPr>
          <w:rFonts w:hint="eastAsia" w:ascii="方正小标宋简体" w:hAnsi="华文中宋" w:eastAsia="方正小标宋简体" w:cs="Times New Roman"/>
          <w:color w:val="auto"/>
          <w:sz w:val="24"/>
          <w:szCs w:val="24"/>
          <w:highlight w:val="none"/>
        </w:rPr>
      </w:pPr>
      <w:r>
        <w:rPr>
          <w:rFonts w:hint="eastAsia" w:ascii="方正小标宋简体" w:hAnsi="华文中宋" w:eastAsia="方正小标宋简体" w:cs="Times New Roman"/>
          <w:color w:val="auto"/>
          <w:sz w:val="24"/>
          <w:szCs w:val="24"/>
          <w:highlight w:val="none"/>
        </w:rPr>
        <w:t>考核人员：                                     考核日期：</w:t>
      </w:r>
    </w:p>
    <w:p w14:paraId="37FF30A9">
      <w:pPr>
        <w:keepNext w:val="0"/>
        <w:keepLines w:val="0"/>
        <w:pageBreakBefore w:val="0"/>
        <w:widowControl w:val="0"/>
        <w:kinsoku/>
        <w:wordWrap/>
        <w:overflowPunct/>
        <w:topLinePunct w:val="0"/>
        <w:bidi w:val="0"/>
        <w:snapToGrid/>
        <w:spacing w:line="312" w:lineRule="auto"/>
        <w:ind w:left="0" w:leftChars="0" w:right="24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七、违约责任</w:t>
      </w:r>
    </w:p>
    <w:p w14:paraId="61697636">
      <w:pPr>
        <w:keepNext w:val="0"/>
        <w:keepLines w:val="0"/>
        <w:pageBreakBefore w:val="0"/>
        <w:widowControl w:val="0"/>
        <w:tabs>
          <w:tab w:val="left" w:pos="283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1、甲方无正当理由拒绝服务的，乙方有要求甲方赔偿的权利。</w:t>
      </w:r>
    </w:p>
    <w:p w14:paraId="6C42BD24">
      <w:pPr>
        <w:keepNext w:val="0"/>
        <w:keepLines w:val="0"/>
        <w:pageBreakBefore w:val="0"/>
        <w:widowControl w:val="0"/>
        <w:tabs>
          <w:tab w:val="left" w:pos="283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2、甲方无正当理由拒绝支付合同款或者延期支付的，由甲方按应支付每天万分之</w:t>
      </w:r>
      <w:r>
        <w:rPr>
          <w:rFonts w:hint="eastAsia" w:ascii="宋体" w:hAnsi="宋体" w:eastAsia="宋体" w:cs="宋体"/>
          <w:color w:val="auto"/>
          <w:kern w:val="2"/>
          <w:sz w:val="24"/>
          <w:szCs w:val="24"/>
          <w:highlight w:val="none"/>
          <w:u w:val="single"/>
          <w:lang w:val="en-US" w:eastAsia="zh-CN" w:bidi="ar-SA"/>
        </w:rPr>
        <w:t xml:space="preserve"> 五 </w:t>
      </w:r>
      <w:r>
        <w:rPr>
          <w:rFonts w:hint="eastAsia" w:ascii="宋体" w:hAnsi="宋体" w:eastAsia="宋体" w:cs="宋体"/>
          <w:color w:val="auto"/>
          <w:kern w:val="2"/>
          <w:sz w:val="24"/>
          <w:szCs w:val="24"/>
          <w:highlight w:val="none"/>
          <w:lang w:val="en-US" w:eastAsia="zh-CN" w:bidi="ar-SA"/>
        </w:rPr>
        <w:t>的延期违约金。</w:t>
      </w:r>
    </w:p>
    <w:p w14:paraId="1C450A68">
      <w:pPr>
        <w:keepNext w:val="0"/>
        <w:keepLines w:val="0"/>
        <w:pageBreakBefore w:val="0"/>
        <w:widowControl w:val="0"/>
        <w:tabs>
          <w:tab w:val="left" w:pos="283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3、乙方所交付的服务不符合合同规定标准的，甲方有权拒绝接收，不予退还履约保证金，并有要求乙方赔偿的权利。</w:t>
      </w:r>
    </w:p>
    <w:p w14:paraId="29E0A388">
      <w:pPr>
        <w:keepNext w:val="0"/>
        <w:keepLines w:val="0"/>
        <w:pageBreakBefore w:val="0"/>
        <w:widowControl w:val="0"/>
        <w:tabs>
          <w:tab w:val="left" w:pos="283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4、乙方未能及时提供服务或其它非甲方原因引起的无法提供服务的，甲方有权解除合同，并有要求乙方赔偿的权利；非甲方原因导致验收延迟的，由乙方支付合同价每天万分之</w:t>
      </w:r>
      <w:r>
        <w:rPr>
          <w:rFonts w:hint="eastAsia" w:ascii="宋体" w:hAnsi="宋体" w:eastAsia="宋体" w:cs="宋体"/>
          <w:color w:val="auto"/>
          <w:kern w:val="2"/>
          <w:sz w:val="24"/>
          <w:szCs w:val="24"/>
          <w:highlight w:val="none"/>
          <w:u w:val="single"/>
          <w:lang w:val="en-US" w:eastAsia="zh-CN" w:bidi="ar-SA"/>
        </w:rPr>
        <w:t xml:space="preserve"> 五 </w:t>
      </w:r>
      <w:r>
        <w:rPr>
          <w:rFonts w:hint="eastAsia" w:ascii="宋体" w:hAnsi="宋体" w:eastAsia="宋体" w:cs="宋体"/>
          <w:color w:val="auto"/>
          <w:kern w:val="2"/>
          <w:sz w:val="24"/>
          <w:szCs w:val="24"/>
          <w:highlight w:val="none"/>
          <w:lang w:val="en-US" w:eastAsia="zh-CN" w:bidi="ar-SA"/>
        </w:rPr>
        <w:t>的误期赔偿费，延迟10天以上的，甲方有权解除合同，并有要求乙方赔偿的权利。</w:t>
      </w:r>
    </w:p>
    <w:p w14:paraId="37A97C0D">
      <w:pPr>
        <w:keepNext w:val="0"/>
        <w:keepLines w:val="0"/>
        <w:pageBreakBefore w:val="0"/>
        <w:widowControl w:val="0"/>
        <w:kinsoku/>
        <w:wordWrap/>
        <w:overflowPunct/>
        <w:topLinePunct w:val="0"/>
        <w:bidi w:val="0"/>
        <w:snapToGrid/>
        <w:spacing w:line="312" w:lineRule="auto"/>
        <w:ind w:left="0" w:leftChars="0" w:right="24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八、争议解决</w:t>
      </w:r>
    </w:p>
    <w:p w14:paraId="475645FA">
      <w:pPr>
        <w:spacing w:line="360" w:lineRule="auto"/>
        <w:ind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1、因本合同及合同有关事项发生的争议，由甲乙双方友好协商解决。协商不成时，可以向有关组织申请调解。合同一方或双方不愿调解或调解不成的，可以通过仲裁或诉讼的方式解决争议。</w:t>
      </w:r>
    </w:p>
    <w:p w14:paraId="0A0D558D">
      <w:pPr>
        <w:spacing w:line="360" w:lineRule="auto"/>
        <w:ind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2、选择仲裁的，由绍兴仲裁委员会仲裁解决，通过诉讼方式解决的，任何一方均可向甲方所在地人民法院提起诉讼。</w:t>
      </w:r>
    </w:p>
    <w:p w14:paraId="6184FDC0">
      <w:pPr>
        <w:spacing w:line="360" w:lineRule="auto"/>
        <w:ind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3、如甲乙双方有争议的事项不影响合同其他部分的履行，在争议解决期间，合同其他部分应当继续履行。</w:t>
      </w:r>
    </w:p>
    <w:p w14:paraId="7FEC5F56">
      <w:pPr>
        <w:keepNext w:val="0"/>
        <w:keepLines w:val="0"/>
        <w:pageBreakBefore w:val="0"/>
        <w:widowControl w:val="0"/>
        <w:kinsoku/>
        <w:wordWrap/>
        <w:overflowPunct/>
        <w:topLinePunct w:val="0"/>
        <w:bidi w:val="0"/>
        <w:snapToGrid/>
        <w:spacing w:line="312" w:lineRule="auto"/>
        <w:ind w:left="0" w:leftChars="0" w:right="24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九、本合同依法签订，即具有法律效力。双方必须全面履行，不得单方擅自变更或解除。因故需要变更或解除合同，应双方协商，依法另立协议。</w:t>
      </w:r>
    </w:p>
    <w:p w14:paraId="24DB19BD">
      <w:pPr>
        <w:keepNext w:val="0"/>
        <w:keepLines w:val="0"/>
        <w:pageBreakBefore w:val="0"/>
        <w:widowControl w:val="0"/>
        <w:kinsoku/>
        <w:wordWrap/>
        <w:overflowPunct/>
        <w:topLinePunct w:val="0"/>
        <w:bidi w:val="0"/>
        <w:snapToGrid/>
        <w:spacing w:line="312" w:lineRule="auto"/>
        <w:ind w:left="0" w:leftChars="0" w:right="240" w:firstLine="482" w:firstLineChars="200"/>
        <w:textAlignment w:val="auto"/>
        <w:rPr>
          <w:rFonts w:hint="eastAsia" w:ascii="宋体" w:hAnsi="宋体" w:eastAsia="宋体" w:cs="宋体"/>
          <w:highlight w:val="none"/>
          <w:lang w:val="en-US" w:eastAsia="zh-CN"/>
        </w:rPr>
      </w:pPr>
      <w:r>
        <w:rPr>
          <w:rFonts w:hint="eastAsia" w:ascii="宋体" w:hAnsi="宋体" w:eastAsia="宋体" w:cs="宋体"/>
          <w:b/>
          <w:bCs/>
          <w:sz w:val="24"/>
          <w:szCs w:val="24"/>
          <w:highlight w:val="none"/>
          <w:lang w:val="en-US" w:eastAsia="zh-CN"/>
        </w:rPr>
        <w:t>十、本合同一式    份，甲方和成交乙方各执    份，并由甲方在30日内做好政采云平台网上合同创建及备案。</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14:paraId="67F3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440" w:type="dxa"/>
            <w:noWrap w:val="0"/>
            <w:vAlign w:val="center"/>
          </w:tcPr>
          <w:p w14:paraId="6ED895BF">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甲方</w:t>
            </w:r>
          </w:p>
        </w:tc>
        <w:tc>
          <w:tcPr>
            <w:tcW w:w="2340" w:type="dxa"/>
            <w:noWrap w:val="0"/>
            <w:vAlign w:val="center"/>
          </w:tcPr>
          <w:p w14:paraId="511595E0">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（盖章）</w:t>
            </w:r>
          </w:p>
        </w:tc>
        <w:tc>
          <w:tcPr>
            <w:tcW w:w="1620" w:type="dxa"/>
            <w:noWrap w:val="0"/>
            <w:vAlign w:val="center"/>
          </w:tcPr>
          <w:p w14:paraId="4BAFD424">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乙方</w:t>
            </w:r>
          </w:p>
        </w:tc>
        <w:tc>
          <w:tcPr>
            <w:tcW w:w="2700" w:type="dxa"/>
            <w:noWrap w:val="0"/>
            <w:vAlign w:val="center"/>
          </w:tcPr>
          <w:p w14:paraId="298D4661">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（盖章）</w:t>
            </w:r>
          </w:p>
        </w:tc>
      </w:tr>
      <w:tr w14:paraId="54CD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440" w:type="dxa"/>
            <w:noWrap w:val="0"/>
            <w:vAlign w:val="center"/>
          </w:tcPr>
          <w:p w14:paraId="79931B2B">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代表签名</w:t>
            </w:r>
          </w:p>
        </w:tc>
        <w:tc>
          <w:tcPr>
            <w:tcW w:w="2340" w:type="dxa"/>
            <w:noWrap w:val="0"/>
            <w:vAlign w:val="center"/>
          </w:tcPr>
          <w:p w14:paraId="0059B0A3">
            <w:pPr>
              <w:snapToGrid w:val="0"/>
              <w:spacing w:line="360" w:lineRule="auto"/>
              <w:jc w:val="center"/>
              <w:rPr>
                <w:rFonts w:hint="eastAsia" w:ascii="宋体" w:hAnsi="宋体" w:eastAsia="宋体" w:cs="宋体"/>
                <w:snapToGrid w:val="0"/>
                <w:color w:val="auto"/>
                <w:kern w:val="0"/>
                <w:sz w:val="24"/>
                <w:szCs w:val="24"/>
                <w:highlight w:val="none"/>
              </w:rPr>
            </w:pPr>
          </w:p>
        </w:tc>
        <w:tc>
          <w:tcPr>
            <w:tcW w:w="1620" w:type="dxa"/>
            <w:noWrap w:val="0"/>
            <w:vAlign w:val="center"/>
          </w:tcPr>
          <w:p w14:paraId="775ECA8D">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代表签名</w:t>
            </w:r>
          </w:p>
        </w:tc>
        <w:tc>
          <w:tcPr>
            <w:tcW w:w="2700" w:type="dxa"/>
            <w:noWrap w:val="0"/>
            <w:vAlign w:val="center"/>
          </w:tcPr>
          <w:p w14:paraId="27C0B53F">
            <w:pPr>
              <w:snapToGrid w:val="0"/>
              <w:spacing w:line="360" w:lineRule="auto"/>
              <w:jc w:val="center"/>
              <w:rPr>
                <w:rFonts w:hint="eastAsia" w:ascii="宋体" w:hAnsi="宋体" w:eastAsia="宋体" w:cs="宋体"/>
                <w:snapToGrid w:val="0"/>
                <w:color w:val="auto"/>
                <w:kern w:val="0"/>
                <w:sz w:val="24"/>
                <w:szCs w:val="24"/>
                <w:highlight w:val="none"/>
              </w:rPr>
            </w:pPr>
          </w:p>
        </w:tc>
      </w:tr>
      <w:tr w14:paraId="64DB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440" w:type="dxa"/>
            <w:noWrap w:val="0"/>
            <w:vAlign w:val="center"/>
          </w:tcPr>
          <w:p w14:paraId="483FB239">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地址</w:t>
            </w:r>
          </w:p>
        </w:tc>
        <w:tc>
          <w:tcPr>
            <w:tcW w:w="2340" w:type="dxa"/>
            <w:noWrap w:val="0"/>
            <w:vAlign w:val="center"/>
          </w:tcPr>
          <w:p w14:paraId="764161E5">
            <w:pPr>
              <w:snapToGrid w:val="0"/>
              <w:spacing w:line="360" w:lineRule="auto"/>
              <w:jc w:val="center"/>
              <w:rPr>
                <w:rFonts w:hint="eastAsia" w:ascii="宋体" w:hAnsi="宋体" w:eastAsia="宋体" w:cs="宋体"/>
                <w:snapToGrid w:val="0"/>
                <w:color w:val="auto"/>
                <w:kern w:val="0"/>
                <w:sz w:val="24"/>
                <w:szCs w:val="24"/>
                <w:highlight w:val="none"/>
              </w:rPr>
            </w:pPr>
          </w:p>
        </w:tc>
        <w:tc>
          <w:tcPr>
            <w:tcW w:w="1620" w:type="dxa"/>
            <w:noWrap w:val="0"/>
            <w:vAlign w:val="center"/>
          </w:tcPr>
          <w:p w14:paraId="77C04F26">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地址</w:t>
            </w:r>
          </w:p>
        </w:tc>
        <w:tc>
          <w:tcPr>
            <w:tcW w:w="2700" w:type="dxa"/>
            <w:noWrap w:val="0"/>
            <w:vAlign w:val="center"/>
          </w:tcPr>
          <w:p w14:paraId="50CC06B1">
            <w:pPr>
              <w:snapToGrid w:val="0"/>
              <w:spacing w:line="360" w:lineRule="auto"/>
              <w:jc w:val="center"/>
              <w:rPr>
                <w:rFonts w:hint="eastAsia" w:ascii="宋体" w:hAnsi="宋体" w:eastAsia="宋体" w:cs="宋体"/>
                <w:snapToGrid w:val="0"/>
                <w:color w:val="auto"/>
                <w:kern w:val="0"/>
                <w:sz w:val="24"/>
                <w:szCs w:val="24"/>
                <w:highlight w:val="none"/>
              </w:rPr>
            </w:pPr>
          </w:p>
        </w:tc>
      </w:tr>
      <w:tr w14:paraId="55E8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440" w:type="dxa"/>
            <w:noWrap w:val="0"/>
            <w:vAlign w:val="center"/>
          </w:tcPr>
          <w:p w14:paraId="532080AD">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电话</w:t>
            </w:r>
          </w:p>
        </w:tc>
        <w:tc>
          <w:tcPr>
            <w:tcW w:w="2340" w:type="dxa"/>
            <w:noWrap w:val="0"/>
            <w:vAlign w:val="center"/>
          </w:tcPr>
          <w:p w14:paraId="3FC1FD58">
            <w:pPr>
              <w:snapToGrid w:val="0"/>
              <w:spacing w:line="360" w:lineRule="auto"/>
              <w:jc w:val="center"/>
              <w:rPr>
                <w:rFonts w:hint="eastAsia" w:ascii="宋体" w:hAnsi="宋体" w:eastAsia="宋体" w:cs="宋体"/>
                <w:snapToGrid w:val="0"/>
                <w:color w:val="auto"/>
                <w:kern w:val="0"/>
                <w:sz w:val="24"/>
                <w:szCs w:val="24"/>
                <w:highlight w:val="none"/>
              </w:rPr>
            </w:pPr>
          </w:p>
        </w:tc>
        <w:tc>
          <w:tcPr>
            <w:tcW w:w="1620" w:type="dxa"/>
            <w:noWrap w:val="0"/>
            <w:vAlign w:val="center"/>
          </w:tcPr>
          <w:p w14:paraId="5E39ED2D">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电话</w:t>
            </w:r>
          </w:p>
        </w:tc>
        <w:tc>
          <w:tcPr>
            <w:tcW w:w="2700" w:type="dxa"/>
            <w:noWrap w:val="0"/>
            <w:vAlign w:val="center"/>
          </w:tcPr>
          <w:p w14:paraId="3AF076C3">
            <w:pPr>
              <w:snapToGrid w:val="0"/>
              <w:spacing w:line="360" w:lineRule="auto"/>
              <w:jc w:val="center"/>
              <w:rPr>
                <w:rFonts w:hint="eastAsia" w:ascii="宋体" w:hAnsi="宋体" w:eastAsia="宋体" w:cs="宋体"/>
                <w:snapToGrid w:val="0"/>
                <w:color w:val="auto"/>
                <w:kern w:val="0"/>
                <w:sz w:val="24"/>
                <w:szCs w:val="24"/>
                <w:highlight w:val="none"/>
              </w:rPr>
            </w:pPr>
          </w:p>
        </w:tc>
      </w:tr>
      <w:tr w14:paraId="162A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440" w:type="dxa"/>
            <w:noWrap w:val="0"/>
            <w:vAlign w:val="center"/>
          </w:tcPr>
          <w:p w14:paraId="06C20711">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开户银行</w:t>
            </w:r>
          </w:p>
        </w:tc>
        <w:tc>
          <w:tcPr>
            <w:tcW w:w="2340" w:type="dxa"/>
            <w:noWrap w:val="0"/>
            <w:vAlign w:val="center"/>
          </w:tcPr>
          <w:p w14:paraId="08D40554">
            <w:pPr>
              <w:snapToGrid w:val="0"/>
              <w:spacing w:line="360" w:lineRule="auto"/>
              <w:jc w:val="center"/>
              <w:rPr>
                <w:rFonts w:hint="eastAsia" w:ascii="宋体" w:hAnsi="宋体" w:eastAsia="宋体" w:cs="宋体"/>
                <w:snapToGrid w:val="0"/>
                <w:color w:val="auto"/>
                <w:kern w:val="0"/>
                <w:sz w:val="24"/>
                <w:szCs w:val="24"/>
                <w:highlight w:val="none"/>
              </w:rPr>
            </w:pPr>
          </w:p>
        </w:tc>
        <w:tc>
          <w:tcPr>
            <w:tcW w:w="1620" w:type="dxa"/>
            <w:noWrap w:val="0"/>
            <w:vAlign w:val="center"/>
          </w:tcPr>
          <w:p w14:paraId="691E5B61">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开户银行</w:t>
            </w:r>
          </w:p>
        </w:tc>
        <w:tc>
          <w:tcPr>
            <w:tcW w:w="2700" w:type="dxa"/>
            <w:noWrap w:val="0"/>
            <w:vAlign w:val="center"/>
          </w:tcPr>
          <w:p w14:paraId="56F55870">
            <w:pPr>
              <w:snapToGrid w:val="0"/>
              <w:spacing w:line="360" w:lineRule="auto"/>
              <w:jc w:val="center"/>
              <w:rPr>
                <w:rFonts w:hint="eastAsia" w:ascii="宋体" w:hAnsi="宋体" w:eastAsia="宋体" w:cs="宋体"/>
                <w:snapToGrid w:val="0"/>
                <w:color w:val="auto"/>
                <w:kern w:val="0"/>
                <w:sz w:val="24"/>
                <w:szCs w:val="24"/>
                <w:highlight w:val="none"/>
              </w:rPr>
            </w:pPr>
          </w:p>
        </w:tc>
      </w:tr>
      <w:tr w14:paraId="6A1F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440" w:type="dxa"/>
            <w:noWrap w:val="0"/>
            <w:vAlign w:val="bottom"/>
          </w:tcPr>
          <w:p w14:paraId="04D96C8A">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账</w:t>
            </w:r>
            <w:r>
              <w:rPr>
                <w:rFonts w:hint="eastAsia" w:ascii="宋体" w:hAnsi="宋体" w:eastAsia="宋体" w:cs="宋体"/>
                <w:snapToGrid w:val="0"/>
                <w:color w:val="auto"/>
                <w:kern w:val="0"/>
                <w:sz w:val="24"/>
                <w:szCs w:val="24"/>
                <w:highlight w:val="none"/>
              </w:rPr>
              <w:t>号</w:t>
            </w:r>
          </w:p>
        </w:tc>
        <w:tc>
          <w:tcPr>
            <w:tcW w:w="2340" w:type="dxa"/>
            <w:noWrap w:val="0"/>
            <w:vAlign w:val="bottom"/>
          </w:tcPr>
          <w:p w14:paraId="1FBF5D23">
            <w:pPr>
              <w:snapToGrid w:val="0"/>
              <w:spacing w:line="360" w:lineRule="auto"/>
              <w:jc w:val="center"/>
              <w:rPr>
                <w:rFonts w:hint="eastAsia" w:ascii="宋体" w:hAnsi="宋体" w:eastAsia="宋体" w:cs="宋体"/>
                <w:snapToGrid w:val="0"/>
                <w:color w:val="auto"/>
                <w:kern w:val="0"/>
                <w:sz w:val="24"/>
                <w:szCs w:val="24"/>
                <w:highlight w:val="none"/>
              </w:rPr>
            </w:pPr>
          </w:p>
        </w:tc>
        <w:tc>
          <w:tcPr>
            <w:tcW w:w="1620" w:type="dxa"/>
            <w:noWrap w:val="0"/>
            <w:vAlign w:val="bottom"/>
          </w:tcPr>
          <w:p w14:paraId="6A8F4B6C">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账</w:t>
            </w:r>
            <w:r>
              <w:rPr>
                <w:rFonts w:hint="eastAsia" w:ascii="宋体" w:hAnsi="宋体" w:eastAsia="宋体" w:cs="宋体"/>
                <w:snapToGrid w:val="0"/>
                <w:color w:val="auto"/>
                <w:kern w:val="0"/>
                <w:sz w:val="24"/>
                <w:szCs w:val="24"/>
                <w:highlight w:val="none"/>
              </w:rPr>
              <w:t>号</w:t>
            </w:r>
          </w:p>
        </w:tc>
        <w:tc>
          <w:tcPr>
            <w:tcW w:w="2700" w:type="dxa"/>
            <w:noWrap w:val="0"/>
            <w:vAlign w:val="bottom"/>
          </w:tcPr>
          <w:p w14:paraId="5930F360">
            <w:pPr>
              <w:snapToGrid w:val="0"/>
              <w:spacing w:line="360" w:lineRule="auto"/>
              <w:jc w:val="center"/>
              <w:rPr>
                <w:rFonts w:hint="eastAsia" w:ascii="宋体" w:hAnsi="宋体" w:eastAsia="宋体" w:cs="宋体"/>
                <w:snapToGrid w:val="0"/>
                <w:color w:val="auto"/>
                <w:kern w:val="0"/>
                <w:sz w:val="24"/>
                <w:szCs w:val="24"/>
                <w:highlight w:val="none"/>
              </w:rPr>
            </w:pPr>
          </w:p>
        </w:tc>
      </w:tr>
    </w:tbl>
    <w:p w14:paraId="7F71F294">
      <w:pPr>
        <w:pStyle w:val="2"/>
        <w:rPr>
          <w:rFonts w:hint="eastAsia" w:cs="宋体"/>
          <w:color w:val="auto"/>
          <w:sz w:val="36"/>
          <w:szCs w:val="36"/>
          <w:highlight w:val="none"/>
        </w:rPr>
      </w:pPr>
      <w:bookmarkStart w:id="121" w:name="_Toc32017"/>
    </w:p>
    <w:p w14:paraId="57CCD445">
      <w:pPr>
        <w:pStyle w:val="4"/>
        <w:rPr>
          <w:rFonts w:hint="eastAsia" w:cs="宋体"/>
          <w:color w:val="auto"/>
          <w:sz w:val="36"/>
          <w:szCs w:val="36"/>
          <w:highlight w:val="none"/>
        </w:rPr>
      </w:pPr>
    </w:p>
    <w:p w14:paraId="2D04969C">
      <w:pPr>
        <w:pStyle w:val="7"/>
        <w:rPr>
          <w:rFonts w:hint="eastAsia" w:cs="宋体"/>
          <w:color w:val="auto"/>
          <w:sz w:val="36"/>
          <w:szCs w:val="36"/>
          <w:highlight w:val="none"/>
        </w:rPr>
      </w:pPr>
    </w:p>
    <w:p w14:paraId="70723A67">
      <w:pPr>
        <w:rPr>
          <w:rFonts w:hint="eastAsia" w:cs="宋体"/>
          <w:color w:val="auto"/>
          <w:sz w:val="36"/>
          <w:szCs w:val="36"/>
          <w:highlight w:val="none"/>
        </w:rPr>
      </w:pPr>
    </w:p>
    <w:p w14:paraId="539F8DE4">
      <w:pPr>
        <w:pStyle w:val="2"/>
        <w:rPr>
          <w:rFonts w:hint="eastAsia" w:cs="宋体"/>
          <w:color w:val="auto"/>
          <w:sz w:val="36"/>
          <w:szCs w:val="36"/>
          <w:highlight w:val="none"/>
        </w:rPr>
      </w:pPr>
    </w:p>
    <w:p w14:paraId="2E2491AB">
      <w:pPr>
        <w:pStyle w:val="4"/>
        <w:rPr>
          <w:rFonts w:hint="eastAsia" w:cs="宋体"/>
          <w:color w:val="auto"/>
          <w:sz w:val="36"/>
          <w:szCs w:val="36"/>
          <w:highlight w:val="none"/>
        </w:rPr>
      </w:pPr>
    </w:p>
    <w:p w14:paraId="5AB60EA9">
      <w:pPr>
        <w:pStyle w:val="7"/>
        <w:rPr>
          <w:rFonts w:hint="eastAsia" w:cs="宋体"/>
          <w:color w:val="auto"/>
          <w:sz w:val="36"/>
          <w:szCs w:val="36"/>
          <w:highlight w:val="none"/>
        </w:rPr>
      </w:pPr>
    </w:p>
    <w:p w14:paraId="412BD521">
      <w:pPr>
        <w:rPr>
          <w:rFonts w:hint="eastAsia" w:cs="宋体"/>
          <w:color w:val="auto"/>
          <w:sz w:val="36"/>
          <w:szCs w:val="36"/>
          <w:highlight w:val="none"/>
        </w:rPr>
      </w:pPr>
    </w:p>
    <w:p w14:paraId="27921731">
      <w:pPr>
        <w:pStyle w:val="2"/>
        <w:rPr>
          <w:rFonts w:hint="eastAsia" w:cs="宋体"/>
          <w:color w:val="auto"/>
          <w:sz w:val="36"/>
          <w:szCs w:val="36"/>
          <w:highlight w:val="none"/>
        </w:rPr>
      </w:pPr>
    </w:p>
    <w:p w14:paraId="0245EEA8">
      <w:pPr>
        <w:pStyle w:val="4"/>
        <w:rPr>
          <w:rFonts w:hint="eastAsia" w:cs="宋体"/>
          <w:color w:val="auto"/>
          <w:sz w:val="36"/>
          <w:szCs w:val="36"/>
          <w:highlight w:val="none"/>
        </w:rPr>
      </w:pPr>
    </w:p>
    <w:p w14:paraId="5D9DBC14">
      <w:pPr>
        <w:pStyle w:val="7"/>
        <w:rPr>
          <w:rFonts w:hint="eastAsia" w:cs="宋体"/>
          <w:color w:val="auto"/>
          <w:sz w:val="36"/>
          <w:szCs w:val="36"/>
          <w:highlight w:val="none"/>
        </w:rPr>
      </w:pPr>
    </w:p>
    <w:p w14:paraId="242B2539">
      <w:pPr>
        <w:rPr>
          <w:rFonts w:hint="eastAsia" w:cs="宋体"/>
          <w:color w:val="auto"/>
          <w:sz w:val="36"/>
          <w:szCs w:val="36"/>
          <w:highlight w:val="none"/>
        </w:rPr>
      </w:pPr>
    </w:p>
    <w:p w14:paraId="0685F82F">
      <w:pPr>
        <w:pStyle w:val="2"/>
        <w:rPr>
          <w:rFonts w:hint="eastAsia"/>
        </w:rPr>
      </w:pPr>
    </w:p>
    <w:p w14:paraId="0F058D8F">
      <w:pPr>
        <w:pStyle w:val="8"/>
        <w:jc w:val="center"/>
        <w:rPr>
          <w:rFonts w:hint="eastAsia" w:cs="宋体"/>
          <w:color w:val="auto"/>
          <w:sz w:val="36"/>
          <w:szCs w:val="36"/>
          <w:highlight w:val="none"/>
        </w:rPr>
      </w:pPr>
      <w:r>
        <w:rPr>
          <w:rFonts w:hint="eastAsia" w:cs="宋体"/>
          <w:color w:val="auto"/>
          <w:sz w:val="36"/>
          <w:szCs w:val="36"/>
          <w:highlight w:val="none"/>
        </w:rPr>
        <w:t>第六部分 应提交的有关格式范例</w:t>
      </w:r>
      <w:bookmarkEnd w:id="118"/>
      <w:bookmarkEnd w:id="119"/>
      <w:bookmarkEnd w:id="120"/>
      <w:bookmarkEnd w:id="121"/>
    </w:p>
    <w:p w14:paraId="653DD6AC">
      <w:pPr>
        <w:spacing w:line="360" w:lineRule="auto"/>
        <w:ind w:firstLine="480" w:firstLineChars="200"/>
        <w:outlineLvl w:val="9"/>
        <w:rPr>
          <w:rFonts w:ascii="宋体"/>
          <w:color w:val="auto"/>
          <w:sz w:val="24"/>
          <w:szCs w:val="24"/>
          <w:highlight w:val="none"/>
        </w:rPr>
      </w:pPr>
    </w:p>
    <w:p w14:paraId="2EEF96B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供应商按照以下格式编制响应文件，</w:t>
      </w:r>
      <w:r>
        <w:rPr>
          <w:rFonts w:hint="eastAsia" w:ascii="宋体" w:hAnsi="宋体" w:cs="宋体"/>
          <w:b/>
          <w:bCs/>
          <w:color w:val="auto"/>
          <w:sz w:val="24"/>
          <w:szCs w:val="24"/>
          <w:highlight w:val="none"/>
        </w:rPr>
        <w:t>“资格文件”、“商务技术文件”、“报价文件”须分</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个</w:t>
      </w:r>
      <w:r>
        <w:rPr>
          <w:rFonts w:ascii="宋体" w:hAnsi="宋体" w:cs="宋体"/>
          <w:b/>
          <w:bCs/>
          <w:color w:val="auto"/>
          <w:sz w:val="24"/>
          <w:szCs w:val="24"/>
          <w:highlight w:val="none"/>
        </w:rPr>
        <w:t>PDF</w:t>
      </w:r>
      <w:r>
        <w:rPr>
          <w:rFonts w:hint="eastAsia" w:ascii="宋体" w:hAnsi="宋体" w:cs="宋体"/>
          <w:b/>
          <w:bCs/>
          <w:color w:val="auto"/>
          <w:sz w:val="24"/>
          <w:szCs w:val="24"/>
          <w:highlight w:val="none"/>
        </w:rPr>
        <w:t>格式分别导入。</w:t>
      </w:r>
    </w:p>
    <w:p w14:paraId="744104D8">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7B968360">
      <w:pPr>
        <w:spacing w:line="360" w:lineRule="auto"/>
        <w:jc w:val="center"/>
        <w:outlineLvl w:val="1"/>
        <w:rPr>
          <w:rFonts w:ascii="宋体"/>
          <w:b/>
          <w:bCs/>
          <w:color w:val="auto"/>
          <w:sz w:val="36"/>
          <w:szCs w:val="36"/>
          <w:highlight w:val="none"/>
        </w:rPr>
      </w:pPr>
      <w:r>
        <w:rPr>
          <w:rFonts w:ascii="宋体"/>
          <w:b/>
          <w:bCs/>
          <w:color w:val="auto"/>
          <w:sz w:val="24"/>
          <w:szCs w:val="24"/>
          <w:highlight w:val="none"/>
        </w:rPr>
        <w:br w:type="page"/>
      </w:r>
      <w:bookmarkStart w:id="122" w:name="_Toc8104"/>
      <w:bookmarkStart w:id="123" w:name="_Toc1492"/>
      <w:bookmarkStart w:id="124" w:name="_Toc6473"/>
      <w:r>
        <w:rPr>
          <w:rFonts w:hint="eastAsia" w:ascii="宋体" w:hAnsi="宋体" w:cs="宋体"/>
          <w:b/>
          <w:bCs/>
          <w:color w:val="auto"/>
          <w:sz w:val="36"/>
          <w:szCs w:val="36"/>
          <w:highlight w:val="none"/>
        </w:rPr>
        <w:t>资格文件部分</w:t>
      </w:r>
      <w:bookmarkEnd w:id="122"/>
      <w:bookmarkEnd w:id="123"/>
      <w:bookmarkEnd w:id="124"/>
    </w:p>
    <w:p w14:paraId="7F7ED846">
      <w:pPr>
        <w:spacing w:line="360" w:lineRule="auto"/>
        <w:jc w:val="center"/>
        <w:rPr>
          <w:rFonts w:ascii="宋体"/>
          <w:b/>
          <w:bCs/>
          <w:color w:val="auto"/>
          <w:sz w:val="36"/>
          <w:szCs w:val="36"/>
          <w:highlight w:val="none"/>
        </w:rPr>
      </w:pPr>
    </w:p>
    <w:p w14:paraId="021B6934">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目录</w:t>
      </w:r>
    </w:p>
    <w:p w14:paraId="63468A30">
      <w:pPr>
        <w:spacing w:line="360" w:lineRule="auto"/>
        <w:ind w:firstLine="480" w:firstLineChars="200"/>
        <w:outlineLvl w:val="1"/>
        <w:rPr>
          <w:rFonts w:ascii="宋体"/>
          <w:color w:val="auto"/>
          <w:sz w:val="24"/>
          <w:szCs w:val="24"/>
          <w:highlight w:val="none"/>
        </w:rPr>
      </w:pPr>
      <w:bookmarkStart w:id="125" w:name="_Toc32046"/>
      <w:bookmarkStart w:id="126" w:name="_Toc32507"/>
      <w:bookmarkStart w:id="127" w:name="_Toc19387"/>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）法定代表人授权书；（格式见附件）</w:t>
      </w:r>
      <w:bookmarkEnd w:id="125"/>
      <w:bookmarkEnd w:id="126"/>
      <w:bookmarkEnd w:id="127"/>
    </w:p>
    <w:p w14:paraId="775B555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）营业执照</w:t>
      </w:r>
      <w:r>
        <w:rPr>
          <w:rFonts w:ascii="宋体" w:hAnsi="宋体" w:cs="宋体"/>
          <w:color w:val="auto"/>
          <w:sz w:val="24"/>
          <w:szCs w:val="24"/>
          <w:highlight w:val="none"/>
        </w:rPr>
        <w:t>(</w:t>
      </w:r>
      <w:r>
        <w:rPr>
          <w:rFonts w:hint="eastAsia" w:ascii="宋体" w:hAnsi="宋体" w:cs="宋体"/>
          <w:color w:val="auto"/>
          <w:sz w:val="24"/>
          <w:szCs w:val="24"/>
          <w:highlight w:val="none"/>
        </w:rPr>
        <w:t>或事业法人登记证或其他工商等登记证明材料</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rPr>
        <w:t>、税务登记证</w:t>
      </w:r>
      <w:r>
        <w:rPr>
          <w:rFonts w:ascii="宋体" w:hAnsi="宋体" w:cs="宋体"/>
          <w:color w:val="auto"/>
          <w:sz w:val="24"/>
          <w:szCs w:val="24"/>
          <w:highlight w:val="none"/>
        </w:rPr>
        <w:t>(</w:t>
      </w:r>
      <w:r>
        <w:rPr>
          <w:rFonts w:hint="eastAsia" w:ascii="宋体" w:hAnsi="宋体" w:cs="宋体"/>
          <w:color w:val="auto"/>
          <w:sz w:val="24"/>
          <w:szCs w:val="24"/>
          <w:highlight w:val="none"/>
        </w:rPr>
        <w:t>或其它缴纳证明材料</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rPr>
        <w:t>、社保登记证（或其它缴纳证明材料）</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rPr>
        <w:t>；实施“五证合一、一照一码”登记制度改革的，只需提供改革后取得的营业执照</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rPr>
        <w:t>；事业单位的，则提供有效的《事业单位法人证书》副本</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rPr>
        <w:t>并加盖单位公章；</w:t>
      </w:r>
    </w:p>
    <w:p w14:paraId="201FFE6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3D2843F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（3）具有履行合同所必需的产品和专业技术能力的承诺函</w:t>
      </w:r>
      <w:r>
        <w:rPr>
          <w:rFonts w:hint="eastAsia" w:ascii="宋体" w:hAnsi="宋体" w:cs="宋体"/>
          <w:color w:val="auto"/>
          <w:sz w:val="24"/>
          <w:szCs w:val="24"/>
          <w:highlight w:val="none"/>
          <w:lang w:val="en-US" w:eastAsia="zh-CN"/>
        </w:rPr>
        <w:t>(格式自拟）</w:t>
      </w:r>
      <w:r>
        <w:rPr>
          <w:rFonts w:hint="eastAsia" w:ascii="宋体" w:hAnsi="宋体" w:cs="宋体"/>
          <w:color w:val="auto"/>
          <w:sz w:val="24"/>
          <w:szCs w:val="24"/>
          <w:highlight w:val="none"/>
        </w:rPr>
        <w:t>；</w:t>
      </w:r>
    </w:p>
    <w:p w14:paraId="278D03C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（4）投标人承诺函（格式见附件）；</w:t>
      </w:r>
    </w:p>
    <w:p w14:paraId="761030E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中小企业声明函（格式见附件）； </w:t>
      </w:r>
    </w:p>
    <w:p w14:paraId="14B5ACC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残疾人福利性单位声明函(如有)（格式见附件）；</w:t>
      </w:r>
    </w:p>
    <w:p w14:paraId="51726F5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监狱企业证明文件(如有)（格式见附件）；</w:t>
      </w:r>
    </w:p>
    <w:p w14:paraId="2DA50540">
      <w:pPr>
        <w:pStyle w:val="8"/>
        <w:rPr>
          <w:color w:val="auto"/>
          <w:highlight w:val="none"/>
        </w:rPr>
      </w:pPr>
    </w:p>
    <w:p w14:paraId="044408B4">
      <w:pPr>
        <w:pStyle w:val="3"/>
        <w:ind w:firstLine="486"/>
        <w:rPr>
          <w:rFonts w:cs="Times New Roman"/>
          <w:color w:val="auto"/>
          <w:highlight w:val="none"/>
        </w:rPr>
      </w:pPr>
    </w:p>
    <w:p w14:paraId="52504947">
      <w:pPr>
        <w:pStyle w:val="3"/>
        <w:ind w:firstLine="486"/>
        <w:rPr>
          <w:rFonts w:cs="Times New Roman"/>
          <w:color w:val="auto"/>
          <w:highlight w:val="none"/>
        </w:rPr>
      </w:pPr>
    </w:p>
    <w:p w14:paraId="3FCED182">
      <w:pPr>
        <w:rPr>
          <w:rFonts w:ascii="宋体"/>
          <w:color w:val="auto"/>
          <w:highlight w:val="none"/>
        </w:rPr>
      </w:pPr>
      <w:r>
        <w:rPr>
          <w:rFonts w:ascii="宋体"/>
          <w:color w:val="auto"/>
          <w:highlight w:val="none"/>
        </w:rPr>
        <w:br w:type="page"/>
      </w:r>
      <w:bookmarkStart w:id="128" w:name="_Toc24699"/>
    </w:p>
    <w:p w14:paraId="49B68CD2">
      <w:pPr>
        <w:rPr>
          <w:b/>
          <w:bCs/>
          <w:color w:val="auto"/>
          <w:sz w:val="24"/>
          <w:szCs w:val="24"/>
          <w:highlight w:val="none"/>
        </w:rPr>
      </w:pPr>
      <w:r>
        <w:rPr>
          <w:rFonts w:hint="eastAsia" w:cs="宋体"/>
          <w:b/>
          <w:bCs/>
          <w:color w:val="auto"/>
          <w:sz w:val="24"/>
          <w:szCs w:val="24"/>
          <w:highlight w:val="none"/>
        </w:rPr>
        <w:t>附件一：</w:t>
      </w:r>
    </w:p>
    <w:p w14:paraId="421CEB81">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法定代表人授权书</w:t>
      </w:r>
      <w:bookmarkEnd w:id="128"/>
    </w:p>
    <w:p w14:paraId="2CE949A6">
      <w:pPr>
        <w:pStyle w:val="10"/>
        <w:spacing w:line="360" w:lineRule="auto"/>
        <w:rPr>
          <w:rFonts w:ascii="宋体"/>
          <w:color w:val="auto"/>
          <w:highlight w:val="none"/>
        </w:rPr>
      </w:pPr>
    </w:p>
    <w:p w14:paraId="49FA22AC">
      <w:pPr>
        <w:spacing w:line="360" w:lineRule="auto"/>
        <w:ind w:firstLine="480" w:firstLineChars="200"/>
        <w:rPr>
          <w:rFonts w:ascii="宋体"/>
          <w:color w:val="auto"/>
          <w:sz w:val="24"/>
          <w:szCs w:val="24"/>
          <w:highlight w:val="none"/>
        </w:rPr>
      </w:pPr>
      <w:r>
        <w:rPr>
          <w:rFonts w:hint="eastAsia" w:ascii="宋体" w:hAnsi="宋体" w:cs="宋体"/>
          <w:color w:val="auto"/>
          <w:sz w:val="24"/>
          <w:highlight w:val="none"/>
          <w:lang w:eastAsia="zh-CN"/>
        </w:rPr>
        <w:t>绍兴市上虞区百官街道办事处</w:t>
      </w:r>
      <w:r>
        <w:rPr>
          <w:rFonts w:hint="eastAsia" w:ascii="宋体" w:hAnsi="宋体" w:cs="宋体"/>
          <w:color w:val="auto"/>
          <w:sz w:val="24"/>
          <w:szCs w:val="24"/>
          <w:highlight w:val="none"/>
        </w:rPr>
        <w:t>：</w:t>
      </w:r>
    </w:p>
    <w:p w14:paraId="73C1736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浙江天平项目咨询有限公司</w:t>
      </w:r>
      <w:r>
        <w:rPr>
          <w:rFonts w:hint="eastAsia" w:ascii="宋体" w:hAnsi="宋体" w:cs="宋体"/>
          <w:color w:val="auto"/>
          <w:sz w:val="24"/>
          <w:szCs w:val="24"/>
          <w:highlight w:val="none"/>
        </w:rPr>
        <w:t>：</w:t>
      </w:r>
    </w:p>
    <w:p w14:paraId="177362C7">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（供应商全称）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（授权代表名称）</w:t>
      </w:r>
      <w:r>
        <w:rPr>
          <w:rFonts w:hint="eastAsia" w:ascii="宋体" w:hAnsi="宋体" w:cs="宋体"/>
          <w:color w:val="auto"/>
          <w:sz w:val="24"/>
          <w:szCs w:val="24"/>
          <w:highlight w:val="none"/>
        </w:rPr>
        <w:t>为授权代表，参加贵处组织的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w:t>
      </w:r>
      <w:r>
        <w:rPr>
          <w:rFonts w:hint="eastAsia" w:ascii="宋体" w:hAnsi="宋体" w:cs="宋体"/>
          <w:color w:val="auto"/>
          <w:sz w:val="24"/>
          <w:szCs w:val="24"/>
          <w:highlight w:val="none"/>
          <w:u w:val="single"/>
        </w:rPr>
        <w:t>（括号内填写招标编号）</w:t>
      </w:r>
      <w:r>
        <w:rPr>
          <w:rFonts w:hint="eastAsia" w:ascii="宋体" w:hAnsi="宋体" w:cs="宋体"/>
          <w:color w:val="auto"/>
          <w:sz w:val="24"/>
          <w:szCs w:val="24"/>
          <w:highlight w:val="none"/>
        </w:rPr>
        <w:t>，授权处理招投标活动中的一切事宜。</w:t>
      </w:r>
    </w:p>
    <w:p w14:paraId="38644D0E">
      <w:pPr>
        <w:spacing w:line="360" w:lineRule="auto"/>
        <w:ind w:firstLine="480" w:firstLineChars="200"/>
        <w:rPr>
          <w:rFonts w:ascii="宋体"/>
          <w:color w:val="auto"/>
          <w:sz w:val="24"/>
          <w:szCs w:val="24"/>
          <w:highlight w:val="none"/>
        </w:rPr>
      </w:pPr>
    </w:p>
    <w:p w14:paraId="4FA42BB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法定代表人签字：</w:t>
      </w:r>
    </w:p>
    <w:p w14:paraId="391C799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供应商全称：（盖章）</w:t>
      </w:r>
    </w:p>
    <w:p w14:paraId="4B285D6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日期：</w:t>
      </w:r>
    </w:p>
    <w:p w14:paraId="349E104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附：</w:t>
      </w:r>
    </w:p>
    <w:p w14:paraId="54519CC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授权代表姓名：</w:t>
      </w:r>
    </w:p>
    <w:p w14:paraId="2BB162A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职务：</w:t>
      </w:r>
    </w:p>
    <w:p w14:paraId="6183783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详细通讯地址：</w:t>
      </w:r>
    </w:p>
    <w:p w14:paraId="39B85C3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p>
    <w:p w14:paraId="17E2276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电话：</w:t>
      </w:r>
    </w:p>
    <w:p w14:paraId="25F7C45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邮政编码：</w:t>
      </w:r>
    </w:p>
    <w:p w14:paraId="2DF53C15">
      <w:pPr>
        <w:pStyle w:val="16"/>
        <w:snapToGrid w:val="0"/>
        <w:spacing w:line="360" w:lineRule="auto"/>
        <w:rPr>
          <w:rFonts w:hAnsi="宋体" w:cs="Times New Roman"/>
          <w:color w:val="auto"/>
          <w:sz w:val="24"/>
          <w:szCs w:val="24"/>
          <w:highlight w:val="none"/>
        </w:rPr>
      </w:pPr>
    </w:p>
    <w:p w14:paraId="1EA53CCD">
      <w:pPr>
        <w:pStyle w:val="16"/>
        <w:snapToGrid w:val="0"/>
        <w:spacing w:line="360" w:lineRule="auto"/>
        <w:rPr>
          <w:rFonts w:hAnsi="宋体" w:cs="Times New Roman"/>
          <w:color w:val="auto"/>
          <w:sz w:val="24"/>
          <w:szCs w:val="24"/>
          <w:highlight w:val="none"/>
        </w:rPr>
      </w:pPr>
    </w:p>
    <w:p w14:paraId="2032A956">
      <w:pPr>
        <w:pStyle w:val="16"/>
        <w:snapToGrid w:val="0"/>
        <w:spacing w:line="360" w:lineRule="auto"/>
        <w:rPr>
          <w:rFonts w:hAnsi="宋体" w:cs="Times New Roman"/>
          <w:color w:val="auto"/>
          <w:sz w:val="24"/>
          <w:szCs w:val="24"/>
          <w:highlight w:val="none"/>
        </w:rPr>
      </w:pPr>
    </w:p>
    <w:p w14:paraId="0776B8A8">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附：授权代表身份证</w:t>
      </w:r>
      <w:r>
        <w:rPr>
          <w:rFonts w:hint="eastAsia" w:ascii="宋体" w:hAnsi="宋体" w:cs="宋体"/>
          <w:b/>
          <w:bCs/>
          <w:color w:val="auto"/>
          <w:sz w:val="24"/>
          <w:szCs w:val="24"/>
          <w:highlight w:val="none"/>
          <w:lang w:eastAsia="zh-CN"/>
        </w:rPr>
        <w:t>扫描件</w:t>
      </w:r>
      <w:r>
        <w:rPr>
          <w:rFonts w:hint="eastAsia" w:ascii="宋体" w:hAnsi="宋体" w:cs="宋体"/>
          <w:b/>
          <w:bCs/>
          <w:color w:val="auto"/>
          <w:sz w:val="24"/>
          <w:szCs w:val="24"/>
          <w:highlight w:val="none"/>
        </w:rPr>
        <w:t>（正反面）</w:t>
      </w:r>
    </w:p>
    <w:p w14:paraId="456A93A5">
      <w:pPr>
        <w:spacing w:line="360" w:lineRule="auto"/>
        <w:rPr>
          <w:rFonts w:ascii="宋体"/>
          <w:b/>
          <w:bCs/>
          <w:color w:val="auto"/>
          <w:sz w:val="24"/>
          <w:szCs w:val="24"/>
          <w:highlight w:val="none"/>
        </w:rPr>
      </w:pPr>
    </w:p>
    <w:p w14:paraId="06F4E2E0">
      <w:pPr>
        <w:pStyle w:val="3"/>
        <w:ind w:firstLine="486"/>
        <w:rPr>
          <w:rFonts w:cs="Times New Roman"/>
          <w:color w:val="auto"/>
          <w:highlight w:val="none"/>
        </w:rPr>
      </w:pPr>
    </w:p>
    <w:p w14:paraId="2487BE4A">
      <w:pPr>
        <w:snapToGrid w:val="0"/>
        <w:spacing w:before="50" w:after="120" w:afterLines="50"/>
        <w:jc w:val="left"/>
        <w:rPr>
          <w:rFonts w:ascii="宋体" w:hAnsi="宋体" w:cs="宋体"/>
          <w:b/>
          <w:bCs/>
          <w:color w:val="auto"/>
          <w:sz w:val="24"/>
          <w:highlight w:val="none"/>
          <w:lang w:val="zh-CN"/>
        </w:rPr>
      </w:pPr>
      <w:r>
        <w:rPr>
          <w:rFonts w:ascii="宋体"/>
          <w:b/>
          <w:bCs/>
          <w:color w:val="auto"/>
          <w:sz w:val="24"/>
          <w:szCs w:val="24"/>
          <w:highlight w:val="none"/>
        </w:rPr>
        <w:br w:type="page"/>
      </w:r>
      <w:r>
        <w:rPr>
          <w:rFonts w:hint="eastAsia" w:ascii="宋体" w:hAnsi="宋体" w:cs="宋体"/>
          <w:b/>
          <w:bCs/>
          <w:color w:val="auto"/>
          <w:sz w:val="24"/>
          <w:highlight w:val="none"/>
          <w:lang w:val="zh-CN"/>
        </w:rPr>
        <w:t>附件二：</w:t>
      </w:r>
    </w:p>
    <w:p w14:paraId="39BE2B0F">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 标 人 承 诺 函</w:t>
      </w:r>
    </w:p>
    <w:p w14:paraId="4F4B779A">
      <w:pPr>
        <w:rPr>
          <w:color w:val="auto"/>
          <w:highlight w:val="none"/>
        </w:rPr>
      </w:pPr>
    </w:p>
    <w:p w14:paraId="02D16C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绍兴市上虞区百官街道办事处</w:t>
      </w:r>
      <w:r>
        <w:rPr>
          <w:rFonts w:hint="eastAsia" w:ascii="宋体" w:hAnsi="宋体" w:cs="宋体"/>
          <w:color w:val="auto"/>
          <w:sz w:val="24"/>
          <w:highlight w:val="none"/>
        </w:rPr>
        <w:t>：</w:t>
      </w:r>
    </w:p>
    <w:p w14:paraId="46EAEA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浙江天平项目咨询有限公司</w:t>
      </w:r>
      <w:r>
        <w:rPr>
          <w:rFonts w:hint="eastAsia" w:ascii="宋体" w:hAnsi="宋体" w:cs="宋体"/>
          <w:color w:val="auto"/>
          <w:sz w:val="24"/>
          <w:highlight w:val="none"/>
        </w:rPr>
        <w:t>：</w:t>
      </w:r>
    </w:p>
    <w:p w14:paraId="7A32F1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5877AB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的法定代表人，我方愿意参加贵方组织的</w:t>
      </w:r>
      <w:r>
        <w:rPr>
          <w:rFonts w:hint="eastAsia" w:ascii="宋体" w:hAnsi="宋体" w:cs="宋体"/>
          <w:color w:val="auto"/>
          <w:sz w:val="24"/>
          <w:highlight w:val="none"/>
          <w:u w:val="single"/>
        </w:rPr>
        <w:t>（招标项目名称）（编号为）</w:t>
      </w:r>
      <w:r>
        <w:rPr>
          <w:rFonts w:hint="eastAsia" w:ascii="宋体" w:hAnsi="宋体" w:cs="宋体"/>
          <w:color w:val="auto"/>
          <w:sz w:val="24"/>
          <w:highlight w:val="none"/>
        </w:rPr>
        <w:t>的投标，为此，我方就本次投标有关事项郑重承诺如下：</w:t>
      </w:r>
    </w:p>
    <w:p w14:paraId="418DDD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1、我方已详细审查全部招标文件，同意招标文件的各项要求。</w:t>
      </w:r>
    </w:p>
    <w:p w14:paraId="262362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2、我方向贵方提交的所有投标文件、资料都是准确的和真实的。</w:t>
      </w:r>
    </w:p>
    <w:p w14:paraId="255F39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3、若中标，我方将按招标文件规定履行合同责任和义务。</w:t>
      </w:r>
    </w:p>
    <w:p w14:paraId="4816F2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4、我方不是采购人的附属机构；在获知本项目采购信息后，与采购人聘请的为此项目提供咨询服务的公司及其附属机构没有任何联系。</w:t>
      </w:r>
    </w:p>
    <w:p w14:paraId="719C88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14:paraId="5B4742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6、我方参与本项目前3年内的经营活动中没有重大违法记录；</w:t>
      </w:r>
    </w:p>
    <w:p w14:paraId="672A88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799465ED">
      <w:pPr>
        <w:pStyle w:val="62"/>
        <w:spacing w:before="0"/>
        <w:ind w:firstLine="480"/>
        <w:rPr>
          <w:rFonts w:ascii="宋体" w:hAnsi="宋体" w:cs="宋体"/>
          <w:color w:val="auto"/>
          <w:highlight w:val="none"/>
        </w:rPr>
      </w:pPr>
      <w:r>
        <w:rPr>
          <w:rFonts w:hint="eastAsia" w:ascii="宋体" w:hAnsi="宋体" w:cs="宋体"/>
          <w:color w:val="auto"/>
          <w:highlight w:val="none"/>
        </w:rPr>
        <w:t>8、具有良好的商业信誉和健全的财务会计制度；</w:t>
      </w:r>
    </w:p>
    <w:p w14:paraId="7B2E99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9、具有依法缴纳税收和社会保障资金的良好记录；</w:t>
      </w:r>
    </w:p>
    <w:p w14:paraId="66AAE1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10、以上事项如有虚假或隐瞒，我方愿意承担一切后果，并不再寻求任何旨在减轻或免除法律责任的辩解。</w:t>
      </w:r>
    </w:p>
    <w:p w14:paraId="4678F877">
      <w:pPr>
        <w:spacing w:line="360" w:lineRule="auto"/>
        <w:ind w:firstLine="480" w:firstLineChars="200"/>
        <w:rPr>
          <w:rFonts w:ascii="宋体" w:hAnsi="宋体" w:cs="宋体"/>
          <w:color w:val="auto"/>
          <w:sz w:val="24"/>
          <w:highlight w:val="none"/>
        </w:rPr>
      </w:pPr>
    </w:p>
    <w:p w14:paraId="45FDA614">
      <w:pPr>
        <w:pStyle w:val="3"/>
        <w:ind w:left="5000"/>
        <w:rPr>
          <w:color w:val="auto"/>
          <w:highlight w:val="none"/>
        </w:rPr>
      </w:pPr>
    </w:p>
    <w:p w14:paraId="6417E4A6">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000246DB">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7F171B81">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14:paraId="19DC6AEA">
      <w:pPr>
        <w:spacing w:line="360" w:lineRule="auto"/>
        <w:rPr>
          <w:rFonts w:ascii="宋体"/>
          <w:b/>
          <w:bCs/>
          <w:color w:val="auto"/>
          <w:sz w:val="36"/>
          <w:szCs w:val="36"/>
          <w:highlight w:val="none"/>
        </w:rPr>
      </w:pPr>
    </w:p>
    <w:p w14:paraId="067186AE">
      <w:pPr>
        <w:spacing w:line="360" w:lineRule="auto"/>
        <w:rPr>
          <w:color w:val="auto"/>
          <w:sz w:val="36"/>
          <w:szCs w:val="36"/>
          <w:highlight w:val="none"/>
        </w:rPr>
      </w:pPr>
    </w:p>
    <w:p w14:paraId="4F0CF236">
      <w:pPr>
        <w:spacing w:line="360" w:lineRule="auto"/>
        <w:jc w:val="left"/>
        <w:rPr>
          <w:rFonts w:ascii="宋体"/>
          <w:b/>
          <w:bCs/>
          <w:color w:val="auto"/>
          <w:sz w:val="32"/>
          <w:szCs w:val="32"/>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val="zh-CN"/>
        </w:rPr>
        <w:t>：</w:t>
      </w:r>
    </w:p>
    <w:p w14:paraId="19AF7CFA">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w:t>
      </w:r>
    </w:p>
    <w:p w14:paraId="6327AC73">
      <w:pPr>
        <w:widowControl/>
        <w:snapToGrid w:val="0"/>
        <w:spacing w:line="324" w:lineRule="auto"/>
        <w:ind w:firstLine="480" w:firstLineChars="200"/>
        <w:jc w:val="center"/>
        <w:rPr>
          <w:rFonts w:ascii="宋体"/>
          <w:color w:val="auto"/>
          <w:sz w:val="24"/>
          <w:szCs w:val="24"/>
          <w:highlight w:val="none"/>
        </w:rPr>
      </w:pPr>
      <w:r>
        <w:rPr>
          <w:rFonts w:hint="eastAsia" w:ascii="宋体" w:hAnsi="宋体" w:cs="宋体"/>
          <w:color w:val="auto"/>
          <w:sz w:val="24"/>
          <w:szCs w:val="24"/>
          <w:highlight w:val="none"/>
        </w:rPr>
        <w:t>【不属于中小企业的无需填写、递交】</w:t>
      </w:r>
    </w:p>
    <w:p w14:paraId="6E73114D">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采购活动，服务全部由符合政策要求的中小企业承接。相关企业（含联合体中的中小企业、签订分包意向协议的中小企业）的具体情况如下：</w:t>
      </w:r>
    </w:p>
    <w:p w14:paraId="6D465DAE">
      <w:pPr>
        <w:spacing w:line="288"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其他未列明行业</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470E08FF">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14:paraId="723C117E">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4F47459D">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77BE34B5">
      <w:pPr>
        <w:spacing w:line="288" w:lineRule="auto"/>
        <w:ind w:right="420" w:firstLine="4320" w:firstLineChars="1800"/>
        <w:rPr>
          <w:rFonts w:ascii="宋体" w:hAnsi="宋体" w:cs="宋体"/>
          <w:color w:val="auto"/>
          <w:sz w:val="24"/>
          <w:szCs w:val="24"/>
          <w:highlight w:val="none"/>
        </w:rPr>
      </w:pPr>
    </w:p>
    <w:p w14:paraId="18082B30">
      <w:pPr>
        <w:spacing w:line="288" w:lineRule="auto"/>
        <w:ind w:right="420" w:firstLine="4320" w:firstLineChars="1800"/>
        <w:rPr>
          <w:rFonts w:ascii="宋体" w:hAnsi="宋体" w:cs="宋体"/>
          <w:color w:val="auto"/>
          <w:sz w:val="24"/>
          <w:szCs w:val="24"/>
          <w:highlight w:val="none"/>
        </w:rPr>
      </w:pPr>
    </w:p>
    <w:p w14:paraId="7862414A">
      <w:pPr>
        <w:spacing w:line="288" w:lineRule="auto"/>
        <w:ind w:right="420"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14:paraId="0D48FCF3">
      <w:pPr>
        <w:spacing w:line="288" w:lineRule="auto"/>
        <w:ind w:left="3600" w:leftChars="1800"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24785D5D">
      <w:pPr>
        <w:pStyle w:val="10"/>
        <w:spacing w:line="288" w:lineRule="auto"/>
        <w:rPr>
          <w:rFonts w:ascii="宋体" w:hAnsi="宋体" w:cs="宋体"/>
          <w:color w:val="auto"/>
          <w:sz w:val="24"/>
          <w:szCs w:val="24"/>
          <w:highlight w:val="none"/>
        </w:rPr>
      </w:pPr>
    </w:p>
    <w:p w14:paraId="7556301A">
      <w:pPr>
        <w:spacing w:line="288" w:lineRule="auto"/>
        <w:ind w:firstLine="480" w:firstLineChars="200"/>
        <w:jc w:val="left"/>
        <w:rPr>
          <w:rFonts w:ascii="宋体" w:hAnsi="宋体" w:cs="宋体"/>
          <w:color w:val="auto"/>
          <w:sz w:val="24"/>
          <w:szCs w:val="24"/>
          <w:highlight w:val="none"/>
        </w:rPr>
      </w:pPr>
    </w:p>
    <w:p w14:paraId="56603CDC">
      <w:pPr>
        <w:spacing w:line="288" w:lineRule="auto"/>
        <w:ind w:firstLine="480" w:firstLineChars="200"/>
        <w:jc w:val="left"/>
        <w:rPr>
          <w:rFonts w:ascii="宋体" w:hAnsi="宋体" w:cs="宋体"/>
          <w:color w:val="auto"/>
          <w:sz w:val="24"/>
          <w:szCs w:val="24"/>
          <w:highlight w:val="none"/>
        </w:rPr>
      </w:pPr>
    </w:p>
    <w:p w14:paraId="224CC4A2">
      <w:pPr>
        <w:spacing w:line="288" w:lineRule="auto"/>
        <w:ind w:firstLine="480" w:firstLineChars="200"/>
        <w:jc w:val="left"/>
        <w:rPr>
          <w:rFonts w:ascii="宋体" w:hAnsi="宋体" w:cs="宋体"/>
          <w:color w:val="auto"/>
          <w:sz w:val="24"/>
          <w:szCs w:val="24"/>
          <w:highlight w:val="none"/>
        </w:rPr>
      </w:pPr>
    </w:p>
    <w:p w14:paraId="10E5CD62">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注：从业人员、营业收入、资产总额填报上一年度数据，无上一年度数据的新成立企业可不填报。</w:t>
      </w:r>
    </w:p>
    <w:p w14:paraId="605CC4BC">
      <w:pPr>
        <w:widowControl/>
        <w:snapToGrid w:val="0"/>
        <w:spacing w:line="324" w:lineRule="auto"/>
        <w:ind w:firstLine="480" w:firstLineChars="200"/>
        <w:jc w:val="left"/>
        <w:rPr>
          <w:rFonts w:ascii="宋体"/>
          <w:color w:val="auto"/>
          <w:sz w:val="24"/>
          <w:szCs w:val="24"/>
          <w:highlight w:val="none"/>
        </w:rPr>
      </w:pPr>
    </w:p>
    <w:p w14:paraId="13482AE2">
      <w:pPr>
        <w:pStyle w:val="9"/>
        <w:spacing w:line="360" w:lineRule="auto"/>
        <w:jc w:val="center"/>
        <w:outlineLvl w:val="9"/>
        <w:rPr>
          <w:rFonts w:hAnsi="宋体" w:cs="Times New Roman"/>
          <w:color w:val="auto"/>
          <w:sz w:val="24"/>
          <w:szCs w:val="24"/>
          <w:highlight w:val="none"/>
        </w:rPr>
      </w:pPr>
    </w:p>
    <w:p w14:paraId="4B40D4ED">
      <w:pPr>
        <w:pStyle w:val="9"/>
        <w:spacing w:line="360" w:lineRule="auto"/>
        <w:jc w:val="center"/>
        <w:outlineLvl w:val="9"/>
        <w:rPr>
          <w:rFonts w:hAnsi="宋体" w:cs="Times New Roman"/>
          <w:color w:val="auto"/>
          <w:sz w:val="24"/>
          <w:szCs w:val="24"/>
          <w:highlight w:val="none"/>
        </w:rPr>
      </w:pPr>
    </w:p>
    <w:p w14:paraId="6C80B2C0">
      <w:pPr>
        <w:jc w:val="center"/>
        <w:rPr>
          <w:color w:val="auto"/>
          <w:highlight w:val="none"/>
          <w:lang w:val="zh-CN"/>
        </w:rPr>
      </w:pPr>
      <w:bookmarkStart w:id="129" w:name="_Toc30916"/>
      <w:bookmarkStart w:id="130" w:name="_Toc3295"/>
      <w:bookmarkStart w:id="131" w:name="_Toc2071"/>
      <w:r>
        <w:rPr>
          <w:rFonts w:hAnsi="宋体"/>
          <w:color w:val="auto"/>
          <w:highlight w:val="none"/>
        </w:rPr>
        <w:br w:type="page"/>
      </w:r>
      <w:bookmarkEnd w:id="129"/>
      <w:bookmarkEnd w:id="130"/>
      <w:bookmarkEnd w:id="131"/>
    </w:p>
    <w:p w14:paraId="5A927567">
      <w:pPr>
        <w:rPr>
          <w:b/>
          <w:bCs/>
          <w:color w:val="auto"/>
          <w:sz w:val="24"/>
          <w:szCs w:val="24"/>
          <w:highlight w:val="none"/>
          <w:lang w:val="zh-CN"/>
        </w:rPr>
      </w:pPr>
      <w:bookmarkStart w:id="132" w:name="_Toc9715"/>
      <w:bookmarkStart w:id="133" w:name="_Toc31472"/>
      <w:bookmarkStart w:id="134" w:name="_Toc25017"/>
      <w:bookmarkStart w:id="135" w:name="_Toc16150"/>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四</w:t>
      </w:r>
      <w:r>
        <w:rPr>
          <w:rFonts w:hint="eastAsia" w:cs="宋体"/>
          <w:b/>
          <w:bCs/>
          <w:color w:val="auto"/>
          <w:sz w:val="24"/>
          <w:szCs w:val="24"/>
          <w:highlight w:val="none"/>
        </w:rPr>
        <w:t>：</w:t>
      </w:r>
    </w:p>
    <w:p w14:paraId="3CAA0C29">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残疾人福利性单位声明函</w:t>
      </w:r>
      <w:bookmarkEnd w:id="132"/>
      <w:bookmarkEnd w:id="133"/>
      <w:bookmarkEnd w:id="134"/>
      <w:bookmarkEnd w:id="135"/>
    </w:p>
    <w:p w14:paraId="6903B59C">
      <w:pPr>
        <w:widowControl/>
        <w:snapToGrid w:val="0"/>
        <w:spacing w:line="324" w:lineRule="auto"/>
        <w:ind w:firstLine="480" w:firstLineChars="200"/>
        <w:jc w:val="center"/>
        <w:rPr>
          <w:rFonts w:ascii="宋体"/>
          <w:color w:val="auto"/>
          <w:sz w:val="24"/>
          <w:szCs w:val="24"/>
          <w:highlight w:val="none"/>
        </w:rPr>
      </w:pPr>
      <w:r>
        <w:rPr>
          <w:rFonts w:hint="eastAsia" w:ascii="宋体" w:hAnsi="宋体" w:cs="宋体"/>
          <w:color w:val="auto"/>
          <w:sz w:val="24"/>
          <w:szCs w:val="24"/>
          <w:highlight w:val="none"/>
        </w:rPr>
        <w:t>【不属于残疾人福利性单位的无需填写、递交】</w:t>
      </w:r>
    </w:p>
    <w:p w14:paraId="09C96BD4">
      <w:pPr>
        <w:spacing w:line="588" w:lineRule="exact"/>
        <w:rPr>
          <w:rFonts w:ascii="宋体"/>
          <w:b/>
          <w:bCs/>
          <w:color w:val="auto"/>
          <w:spacing w:val="6"/>
          <w:sz w:val="30"/>
          <w:szCs w:val="30"/>
          <w:highlight w:val="none"/>
        </w:rPr>
      </w:pPr>
    </w:p>
    <w:p w14:paraId="17FAA6FD">
      <w:pPr>
        <w:spacing w:line="588"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本单位郑重声明，根据《财政部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民政部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z w:val="24"/>
          <w:szCs w:val="24"/>
          <w:highlight w:val="none"/>
        </w:rPr>
        <w:t>号）的规定，本单位为符合条件的残疾人福利性单位，且本单位参加</w:t>
      </w:r>
      <w:r>
        <w:rPr>
          <w:rFonts w:ascii="宋体" w:hAnsi="宋体" w:cs="宋体"/>
          <w:color w:val="auto"/>
          <w:sz w:val="24"/>
          <w:szCs w:val="24"/>
          <w:highlight w:val="none"/>
        </w:rPr>
        <w:t>______</w:t>
      </w:r>
      <w:r>
        <w:rPr>
          <w:rFonts w:hint="eastAsia" w:ascii="宋体" w:hAnsi="宋体" w:cs="宋体"/>
          <w:color w:val="auto"/>
          <w:sz w:val="24"/>
          <w:szCs w:val="24"/>
          <w:highlight w:val="none"/>
        </w:rPr>
        <w:t>单位的</w:t>
      </w:r>
      <w:r>
        <w:rPr>
          <w:rFonts w:ascii="宋体" w:hAnsi="宋体" w:cs="宋体"/>
          <w:color w:val="auto"/>
          <w:sz w:val="24"/>
          <w:szCs w:val="24"/>
          <w:highlight w:val="none"/>
        </w:rPr>
        <w:t>______</w:t>
      </w:r>
      <w:r>
        <w:rPr>
          <w:rFonts w:hint="eastAsia" w:ascii="宋体" w:hAnsi="宋体" w:cs="宋体"/>
          <w:color w:val="auto"/>
          <w:sz w:val="24"/>
          <w:szCs w:val="24"/>
          <w:highlight w:val="none"/>
        </w:rPr>
        <w:t>项目采购活动提供本单位服务，或者提供其他残疾人福利性单位提供的服务。本单位对上述声明的真实性负责。如有虚假，将依法承担相应责任。</w:t>
      </w:r>
    </w:p>
    <w:p w14:paraId="739940FA">
      <w:pPr>
        <w:pStyle w:val="9"/>
        <w:outlineLvl w:val="9"/>
        <w:rPr>
          <w:rFonts w:cs="Times New Roman"/>
          <w:color w:val="auto"/>
          <w:highlight w:val="none"/>
        </w:rPr>
      </w:pPr>
    </w:p>
    <w:p w14:paraId="31155BBC">
      <w:pPr>
        <w:pStyle w:val="10"/>
        <w:rPr>
          <w:color w:val="auto"/>
          <w:highlight w:val="none"/>
        </w:rPr>
      </w:pPr>
    </w:p>
    <w:p w14:paraId="237B6FDD">
      <w:pPr>
        <w:spacing w:line="588" w:lineRule="exact"/>
        <w:rPr>
          <w:rFonts w:ascii="宋体"/>
          <w:color w:val="auto"/>
          <w:sz w:val="24"/>
          <w:szCs w:val="24"/>
          <w:highlight w:val="none"/>
        </w:rPr>
      </w:pPr>
    </w:p>
    <w:p w14:paraId="55F55C90">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6B6E8846">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288079F7">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4DD6DEEA">
      <w:pPr>
        <w:rPr>
          <w:b/>
          <w:bCs/>
          <w:color w:val="auto"/>
          <w:sz w:val="24"/>
          <w:szCs w:val="24"/>
          <w:highlight w:val="none"/>
          <w:lang w:val="zh-CN"/>
        </w:rPr>
      </w:pPr>
      <w:bookmarkStart w:id="136" w:name="_Toc2386"/>
      <w:bookmarkStart w:id="137" w:name="_Toc5441"/>
      <w:bookmarkStart w:id="138" w:name="_Toc15966"/>
      <w:bookmarkStart w:id="139" w:name="_Toc24"/>
      <w:r>
        <w:rPr>
          <w:color w:val="auto"/>
          <w:sz w:val="24"/>
          <w:szCs w:val="24"/>
          <w:highlight w:val="none"/>
          <w:lang w:val="zh-CN"/>
        </w:rPr>
        <w:br w:type="page"/>
      </w: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五</w:t>
      </w:r>
      <w:r>
        <w:rPr>
          <w:rFonts w:hint="eastAsia" w:cs="宋体"/>
          <w:b/>
          <w:bCs/>
          <w:color w:val="auto"/>
          <w:sz w:val="24"/>
          <w:szCs w:val="24"/>
          <w:highlight w:val="none"/>
        </w:rPr>
        <w:t>：</w:t>
      </w:r>
    </w:p>
    <w:p w14:paraId="51F1E1D4">
      <w:pPr>
        <w:spacing w:line="360" w:lineRule="auto"/>
        <w:jc w:val="center"/>
        <w:rPr>
          <w:rFonts w:hint="eastAsia" w:ascii="宋体" w:hAnsi="宋体" w:cs="宋体"/>
          <w:b/>
          <w:bCs/>
          <w:color w:val="auto"/>
          <w:sz w:val="32"/>
          <w:szCs w:val="32"/>
          <w:highlight w:val="none"/>
        </w:rPr>
      </w:pPr>
    </w:p>
    <w:p w14:paraId="74A23911">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监狱企业证明文件</w:t>
      </w:r>
      <w:bookmarkEnd w:id="136"/>
      <w:bookmarkEnd w:id="137"/>
      <w:bookmarkEnd w:id="138"/>
      <w:bookmarkEnd w:id="139"/>
    </w:p>
    <w:p w14:paraId="1E27A470">
      <w:pPr>
        <w:widowControl/>
        <w:snapToGri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【不属于监狱企业的无需填写、递交】</w:t>
      </w:r>
    </w:p>
    <w:p w14:paraId="2C6FB616">
      <w:pPr>
        <w:widowControl/>
        <w:snapToGrid w:val="0"/>
        <w:spacing w:line="324" w:lineRule="auto"/>
        <w:jc w:val="center"/>
        <w:rPr>
          <w:rFonts w:ascii="宋体"/>
          <w:color w:val="auto"/>
          <w:sz w:val="24"/>
          <w:szCs w:val="24"/>
          <w:highlight w:val="none"/>
        </w:rPr>
      </w:pPr>
    </w:p>
    <w:p w14:paraId="05B2E149">
      <w:pPr>
        <w:spacing w:line="588" w:lineRule="exact"/>
        <w:ind w:firstLine="480" w:firstLineChars="200"/>
        <w:rPr>
          <w:rFonts w:ascii="宋体"/>
          <w:color w:val="auto"/>
          <w:sz w:val="24"/>
          <w:szCs w:val="24"/>
          <w:highlight w:val="none"/>
        </w:rPr>
      </w:pPr>
    </w:p>
    <w:p w14:paraId="1FB48925">
      <w:pPr>
        <w:adjustRightInd w:val="0"/>
        <w:snapToGrid w:val="0"/>
        <w:spacing w:before="156"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监狱企业需提供省级以上的监狱管理局、戒毒管理局（含新疆生产建设兵团）出具的属于监狱企业的证明文件。</w:t>
      </w:r>
      <w:r>
        <w:rPr>
          <w:rFonts w:ascii="宋体" w:hAnsi="宋体" w:cs="宋体"/>
          <w:color w:val="auto"/>
          <w:sz w:val="24"/>
          <w:szCs w:val="24"/>
          <w:highlight w:val="none"/>
        </w:rPr>
        <w:t xml:space="preserve">  </w:t>
      </w:r>
    </w:p>
    <w:p w14:paraId="3AFB6CBD">
      <w:pPr>
        <w:pStyle w:val="9"/>
        <w:outlineLvl w:val="9"/>
        <w:rPr>
          <w:rFonts w:cs="Times New Roman"/>
          <w:color w:val="auto"/>
          <w:highlight w:val="none"/>
        </w:rPr>
      </w:pPr>
    </w:p>
    <w:p w14:paraId="112F6582">
      <w:pPr>
        <w:pStyle w:val="10"/>
        <w:rPr>
          <w:color w:val="auto"/>
          <w:highlight w:val="none"/>
        </w:rPr>
      </w:pPr>
    </w:p>
    <w:p w14:paraId="0241DA26">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456F1608">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2232C1B8">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7024D5B0">
      <w:pPr>
        <w:spacing w:line="360" w:lineRule="auto"/>
        <w:jc w:val="center"/>
        <w:rPr>
          <w:rFonts w:ascii="宋体"/>
          <w:b/>
          <w:bCs/>
          <w:color w:val="auto"/>
          <w:sz w:val="24"/>
          <w:szCs w:val="24"/>
          <w:highlight w:val="none"/>
        </w:rPr>
      </w:pPr>
    </w:p>
    <w:p w14:paraId="7CBED065">
      <w:pPr>
        <w:spacing w:line="360" w:lineRule="auto"/>
        <w:rPr>
          <w:color w:val="auto"/>
          <w:sz w:val="36"/>
          <w:szCs w:val="36"/>
          <w:highlight w:val="none"/>
        </w:rPr>
      </w:pPr>
    </w:p>
    <w:p w14:paraId="1C639D0A">
      <w:pPr>
        <w:pStyle w:val="8"/>
        <w:rPr>
          <w:color w:val="auto"/>
          <w:sz w:val="36"/>
          <w:szCs w:val="36"/>
          <w:highlight w:val="none"/>
        </w:rPr>
      </w:pPr>
    </w:p>
    <w:p w14:paraId="3D75DF05">
      <w:pPr>
        <w:rPr>
          <w:color w:val="auto"/>
          <w:sz w:val="36"/>
          <w:szCs w:val="36"/>
          <w:highlight w:val="none"/>
        </w:rPr>
      </w:pPr>
    </w:p>
    <w:p w14:paraId="224BD09E">
      <w:pPr>
        <w:pStyle w:val="8"/>
        <w:rPr>
          <w:color w:val="auto"/>
          <w:sz w:val="36"/>
          <w:szCs w:val="36"/>
          <w:highlight w:val="none"/>
        </w:rPr>
      </w:pPr>
    </w:p>
    <w:p w14:paraId="725ABD31">
      <w:pPr>
        <w:rPr>
          <w:color w:val="auto"/>
          <w:sz w:val="36"/>
          <w:szCs w:val="36"/>
          <w:highlight w:val="none"/>
        </w:rPr>
      </w:pPr>
    </w:p>
    <w:p w14:paraId="612364FD">
      <w:pPr>
        <w:pStyle w:val="8"/>
        <w:rPr>
          <w:color w:val="auto"/>
          <w:sz w:val="36"/>
          <w:szCs w:val="36"/>
          <w:highlight w:val="none"/>
        </w:rPr>
      </w:pPr>
    </w:p>
    <w:p w14:paraId="0A66D1EC">
      <w:pPr>
        <w:rPr>
          <w:color w:val="auto"/>
          <w:sz w:val="36"/>
          <w:szCs w:val="36"/>
          <w:highlight w:val="none"/>
        </w:rPr>
      </w:pPr>
    </w:p>
    <w:p w14:paraId="3DDC0E2C">
      <w:pPr>
        <w:pStyle w:val="8"/>
        <w:rPr>
          <w:color w:val="auto"/>
          <w:sz w:val="36"/>
          <w:szCs w:val="36"/>
          <w:highlight w:val="none"/>
        </w:rPr>
      </w:pPr>
    </w:p>
    <w:p w14:paraId="4BB4F43D">
      <w:pPr>
        <w:rPr>
          <w:color w:val="auto"/>
          <w:sz w:val="36"/>
          <w:szCs w:val="36"/>
          <w:highlight w:val="none"/>
        </w:rPr>
      </w:pPr>
    </w:p>
    <w:p w14:paraId="67CF3D66">
      <w:pPr>
        <w:pStyle w:val="8"/>
        <w:rPr>
          <w:color w:val="auto"/>
          <w:highlight w:val="none"/>
        </w:rPr>
      </w:pPr>
    </w:p>
    <w:p w14:paraId="36883B0A">
      <w:pPr>
        <w:spacing w:line="360" w:lineRule="auto"/>
        <w:ind w:left="3600" w:leftChars="1800" w:firstLine="480" w:firstLineChars="200"/>
        <w:rPr>
          <w:rFonts w:ascii="宋体" w:hAnsi="宋体" w:cs="宋体"/>
          <w:color w:val="auto"/>
          <w:sz w:val="24"/>
          <w:szCs w:val="24"/>
          <w:highlight w:val="none"/>
        </w:rPr>
      </w:pPr>
    </w:p>
    <w:p w14:paraId="201843AD">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商务技术文件</w:t>
      </w:r>
    </w:p>
    <w:p w14:paraId="7168383A">
      <w:pPr>
        <w:spacing w:line="360" w:lineRule="auto"/>
        <w:jc w:val="center"/>
        <w:rPr>
          <w:rFonts w:ascii="宋体"/>
          <w:b/>
          <w:bCs/>
          <w:color w:val="auto"/>
          <w:sz w:val="36"/>
          <w:szCs w:val="36"/>
          <w:highlight w:val="none"/>
        </w:rPr>
      </w:pPr>
    </w:p>
    <w:p w14:paraId="5349755A">
      <w:pPr>
        <w:pStyle w:val="9"/>
        <w:rPr>
          <w:color w:val="auto"/>
          <w:highlight w:val="none"/>
        </w:rPr>
      </w:pPr>
    </w:p>
    <w:p w14:paraId="201DEE7B">
      <w:pPr>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目录</w:t>
      </w:r>
    </w:p>
    <w:p w14:paraId="1F2258CB">
      <w:pPr>
        <w:pStyle w:val="9"/>
        <w:rPr>
          <w:color w:val="auto"/>
          <w:highlight w:val="none"/>
        </w:rPr>
      </w:pPr>
    </w:p>
    <w:p w14:paraId="52F81F6E">
      <w:pPr>
        <w:pStyle w:val="62"/>
        <w:numPr>
          <w:ilvl w:val="0"/>
          <w:numId w:val="19"/>
        </w:numPr>
        <w:spacing w:before="0" w:line="336" w:lineRule="auto"/>
        <w:ind w:firstLine="480"/>
        <w:rPr>
          <w:rFonts w:ascii="宋体"/>
          <w:color w:val="auto"/>
          <w:highlight w:val="none"/>
        </w:rPr>
      </w:pPr>
      <w:r>
        <w:rPr>
          <w:rFonts w:hint="eastAsia" w:ascii="宋体" w:hAnsi="宋体" w:cs="宋体"/>
          <w:color w:val="auto"/>
          <w:highlight w:val="none"/>
        </w:rPr>
        <w:t>评分对应表（格式见附件，主要用于评委对应评分内容）</w:t>
      </w:r>
    </w:p>
    <w:p w14:paraId="32B96230">
      <w:pPr>
        <w:pStyle w:val="62"/>
        <w:numPr>
          <w:ilvl w:val="0"/>
          <w:numId w:val="19"/>
        </w:numPr>
        <w:spacing w:before="0" w:line="336" w:lineRule="auto"/>
        <w:ind w:firstLine="480"/>
        <w:rPr>
          <w:rFonts w:ascii="宋体"/>
          <w:color w:val="auto"/>
          <w:highlight w:val="none"/>
        </w:rPr>
      </w:pPr>
      <w:r>
        <w:rPr>
          <w:rFonts w:hint="eastAsia" w:ascii="宋体" w:hAnsi="宋体" w:cs="宋体"/>
          <w:color w:val="auto"/>
          <w:highlight w:val="none"/>
        </w:rPr>
        <w:t>供应商商务技术文件中资信分自评表（格式见附件）；</w:t>
      </w:r>
    </w:p>
    <w:p w14:paraId="10F2A830">
      <w:pPr>
        <w:pStyle w:val="62"/>
        <w:numPr>
          <w:ilvl w:val="0"/>
          <w:numId w:val="19"/>
        </w:numPr>
        <w:spacing w:before="0" w:line="336" w:lineRule="auto"/>
        <w:ind w:firstLine="480"/>
        <w:rPr>
          <w:rFonts w:ascii="宋体"/>
          <w:color w:val="auto"/>
          <w:highlight w:val="none"/>
        </w:rPr>
      </w:pPr>
      <w:r>
        <w:rPr>
          <w:rFonts w:hint="eastAsia" w:ascii="宋体" w:hAnsi="宋体" w:cs="宋体"/>
          <w:color w:val="auto"/>
          <w:highlight w:val="none"/>
        </w:rPr>
        <w:t>磋商项目明细清单（格式见附件）；</w:t>
      </w:r>
    </w:p>
    <w:p w14:paraId="10AF6331">
      <w:pPr>
        <w:pStyle w:val="62"/>
        <w:numPr>
          <w:ilvl w:val="0"/>
          <w:numId w:val="19"/>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技术响应及建议表（格式见附件）；</w:t>
      </w:r>
    </w:p>
    <w:p w14:paraId="0ADFDFCA">
      <w:pPr>
        <w:pStyle w:val="62"/>
        <w:numPr>
          <w:ilvl w:val="0"/>
          <w:numId w:val="19"/>
        </w:numPr>
        <w:spacing w:before="0" w:line="336" w:lineRule="auto"/>
        <w:ind w:firstLine="480"/>
        <w:rPr>
          <w:rFonts w:hint="eastAsia" w:ascii="宋体" w:hAnsi="宋体" w:cs="宋体"/>
          <w:color w:val="auto"/>
          <w:sz w:val="24"/>
          <w:highlight w:val="none"/>
        </w:rPr>
      </w:pPr>
      <w:r>
        <w:rPr>
          <w:rFonts w:hint="eastAsia" w:ascii="宋体" w:hAnsi="宋体" w:cs="宋体"/>
          <w:color w:val="auto"/>
          <w:highlight w:val="none"/>
        </w:rPr>
        <w:t>商务响应表（格式见附件）；</w:t>
      </w:r>
    </w:p>
    <w:p w14:paraId="6CBD818F">
      <w:pPr>
        <w:pStyle w:val="62"/>
        <w:numPr>
          <w:ilvl w:val="0"/>
          <w:numId w:val="19"/>
        </w:numPr>
        <w:spacing w:before="0" w:line="336" w:lineRule="auto"/>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项目理解</w:t>
      </w:r>
      <w:r>
        <w:rPr>
          <w:rFonts w:hint="eastAsia" w:ascii="宋体" w:hAnsi="宋体" w:cs="宋体"/>
          <w:color w:val="auto"/>
          <w:sz w:val="24"/>
          <w:highlight w:val="none"/>
          <w:lang w:eastAsia="zh-CN"/>
        </w:rPr>
        <w:t>；</w:t>
      </w:r>
    </w:p>
    <w:p w14:paraId="1EF14EFD">
      <w:pPr>
        <w:pStyle w:val="62"/>
        <w:numPr>
          <w:ilvl w:val="0"/>
          <w:numId w:val="19"/>
        </w:numPr>
        <w:spacing w:before="0"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项目方案；</w:t>
      </w:r>
    </w:p>
    <w:p w14:paraId="1B7D74E7">
      <w:pPr>
        <w:pStyle w:val="62"/>
        <w:numPr>
          <w:ilvl w:val="0"/>
          <w:numId w:val="19"/>
        </w:numPr>
        <w:spacing w:before="0" w:line="336" w:lineRule="auto"/>
        <w:ind w:firstLine="480"/>
        <w:rPr>
          <w:rFonts w:hint="eastAsia" w:ascii="宋体" w:hAnsi="宋体" w:cs="宋体"/>
          <w:color w:val="auto"/>
          <w:sz w:val="24"/>
          <w:highlight w:val="none"/>
        </w:rPr>
      </w:pPr>
      <w:r>
        <w:rPr>
          <w:rFonts w:hint="eastAsia" w:ascii="宋体" w:hAnsi="宋体" w:eastAsia="宋体" w:cs="宋体"/>
          <w:sz w:val="24"/>
          <w:szCs w:val="24"/>
          <w:highlight w:val="none"/>
          <w:lang w:val="en-US" w:eastAsia="zh-CN"/>
        </w:rPr>
        <w:t>质量控制方案</w:t>
      </w:r>
      <w:r>
        <w:rPr>
          <w:rFonts w:hint="eastAsia" w:ascii="宋体" w:hAnsi="宋体" w:cs="宋体"/>
          <w:color w:val="auto"/>
          <w:sz w:val="24"/>
          <w:highlight w:val="none"/>
        </w:rPr>
        <w:t>；</w:t>
      </w:r>
    </w:p>
    <w:p w14:paraId="5499C7B7">
      <w:pPr>
        <w:pStyle w:val="62"/>
        <w:numPr>
          <w:ilvl w:val="0"/>
          <w:numId w:val="19"/>
        </w:numPr>
        <w:spacing w:before="0" w:line="336" w:lineRule="auto"/>
        <w:ind w:firstLine="480"/>
        <w:rPr>
          <w:rFonts w:hint="eastAsia" w:ascii="宋体" w:hAnsi="宋体" w:cs="宋体"/>
          <w:color w:val="auto"/>
          <w:sz w:val="24"/>
          <w:highlight w:val="none"/>
        </w:rPr>
      </w:pPr>
      <w:r>
        <w:rPr>
          <w:rFonts w:hint="eastAsia" w:ascii="宋体" w:hAnsi="宋体" w:eastAsia="宋体" w:cs="宋体"/>
          <w:sz w:val="24"/>
          <w:szCs w:val="24"/>
          <w:highlight w:val="none"/>
        </w:rPr>
        <w:t>人员配置</w:t>
      </w:r>
      <w:r>
        <w:rPr>
          <w:rFonts w:hint="eastAsia" w:ascii="宋体" w:hAnsi="宋体" w:cs="宋体"/>
          <w:color w:val="auto"/>
          <w:sz w:val="24"/>
          <w:highlight w:val="none"/>
          <w:lang w:eastAsia="zh-CN"/>
        </w:rPr>
        <w:t>；</w:t>
      </w:r>
    </w:p>
    <w:p w14:paraId="2B357AC8">
      <w:pPr>
        <w:pStyle w:val="62"/>
        <w:numPr>
          <w:ilvl w:val="0"/>
          <w:numId w:val="19"/>
        </w:numPr>
        <w:spacing w:before="0" w:line="336" w:lineRule="auto"/>
        <w:ind w:firstLine="480"/>
        <w:rPr>
          <w:rFonts w:hint="eastAsia" w:ascii="宋体" w:hAnsi="宋体" w:cs="宋体"/>
          <w:color w:val="auto"/>
          <w:sz w:val="24"/>
          <w:highlight w:val="none"/>
        </w:rPr>
      </w:pPr>
      <w:r>
        <w:rPr>
          <w:rFonts w:hint="eastAsia" w:ascii="宋体" w:hAnsi="宋体" w:eastAsia="宋体" w:cs="宋体"/>
          <w:sz w:val="24"/>
          <w:szCs w:val="24"/>
          <w:highlight w:val="none"/>
        </w:rPr>
        <w:t>售后服务</w:t>
      </w:r>
      <w:r>
        <w:rPr>
          <w:rFonts w:hint="eastAsia" w:ascii="宋体" w:hAnsi="宋体" w:cs="宋体"/>
          <w:color w:val="auto"/>
          <w:sz w:val="24"/>
          <w:highlight w:val="none"/>
        </w:rPr>
        <w:t>；</w:t>
      </w:r>
    </w:p>
    <w:p w14:paraId="7066FF2B">
      <w:pPr>
        <w:pStyle w:val="62"/>
        <w:numPr>
          <w:ilvl w:val="0"/>
          <w:numId w:val="19"/>
        </w:numPr>
        <w:spacing w:before="0" w:line="336" w:lineRule="auto"/>
        <w:ind w:firstLine="480"/>
        <w:rPr>
          <w:rFonts w:hint="eastAsia" w:ascii="宋体" w:hAnsi="宋体" w:cs="宋体"/>
          <w:color w:val="auto"/>
          <w:sz w:val="24"/>
          <w:highlight w:val="none"/>
        </w:rPr>
      </w:pPr>
      <w:r>
        <w:rPr>
          <w:rFonts w:hint="eastAsia" w:ascii="宋体" w:hAnsi="宋体" w:eastAsia="宋体" w:cs="宋体"/>
          <w:sz w:val="24"/>
          <w:szCs w:val="24"/>
          <w:highlight w:val="none"/>
          <w:lang w:eastAsia="zh-CN"/>
        </w:rPr>
        <w:t>合理化建议</w:t>
      </w:r>
      <w:r>
        <w:rPr>
          <w:rFonts w:hint="eastAsia" w:ascii="宋体" w:hAnsi="宋体" w:cs="宋体"/>
          <w:color w:val="auto"/>
          <w:sz w:val="24"/>
          <w:highlight w:val="none"/>
        </w:rPr>
        <w:t>；</w:t>
      </w:r>
    </w:p>
    <w:p w14:paraId="654C509D">
      <w:pPr>
        <w:pStyle w:val="62"/>
        <w:numPr>
          <w:ilvl w:val="0"/>
          <w:numId w:val="19"/>
        </w:numPr>
        <w:spacing w:before="0" w:line="336" w:lineRule="auto"/>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业绩</w:t>
      </w:r>
      <w:r>
        <w:rPr>
          <w:rFonts w:hint="eastAsia" w:ascii="宋体" w:hAnsi="宋体" w:cs="宋体"/>
          <w:color w:val="auto"/>
          <w:sz w:val="24"/>
          <w:highlight w:val="none"/>
          <w:lang w:eastAsia="zh-CN"/>
        </w:rPr>
        <w:t>；</w:t>
      </w:r>
    </w:p>
    <w:p w14:paraId="7E955B64">
      <w:pPr>
        <w:pStyle w:val="62"/>
        <w:numPr>
          <w:ilvl w:val="0"/>
          <w:numId w:val="19"/>
        </w:numPr>
        <w:spacing w:before="0" w:line="336" w:lineRule="auto"/>
        <w:ind w:firstLine="480"/>
        <w:rPr>
          <w:rFonts w:hint="eastAsia" w:ascii="宋体" w:hAnsi="宋体" w:cs="宋体"/>
          <w:color w:val="auto"/>
          <w:sz w:val="24"/>
          <w:highlight w:val="none"/>
        </w:rPr>
      </w:pPr>
      <w:r>
        <w:rPr>
          <w:rFonts w:hint="eastAsia" w:asciiTheme="minorEastAsia" w:hAnsiTheme="minorEastAsia" w:eastAsiaTheme="minorEastAsia"/>
          <w:highlight w:val="none"/>
        </w:rPr>
        <w:t>企业实力</w:t>
      </w:r>
      <w:r>
        <w:rPr>
          <w:rFonts w:hint="eastAsia" w:asciiTheme="minorEastAsia" w:hAnsiTheme="minorEastAsia" w:eastAsiaTheme="minorEastAsia"/>
          <w:highlight w:val="none"/>
          <w:lang w:eastAsia="zh-CN"/>
        </w:rPr>
        <w:t>；</w:t>
      </w:r>
    </w:p>
    <w:p w14:paraId="3DE35A3D">
      <w:pPr>
        <w:pStyle w:val="62"/>
        <w:numPr>
          <w:ilvl w:val="0"/>
          <w:numId w:val="19"/>
        </w:numPr>
        <w:spacing w:before="0" w:line="336" w:lineRule="auto"/>
        <w:ind w:firstLine="480"/>
        <w:rPr>
          <w:rFonts w:hint="eastAsia" w:ascii="宋体" w:hAnsi="宋体" w:cs="宋体"/>
          <w:color w:val="auto"/>
          <w:sz w:val="24"/>
          <w:highlight w:val="none"/>
        </w:rPr>
      </w:pPr>
      <w:r>
        <w:rPr>
          <w:rFonts w:hint="eastAsia" w:ascii="宋体" w:hAnsi="宋体" w:cs="宋体"/>
          <w:sz w:val="24"/>
          <w:szCs w:val="24"/>
          <w:highlight w:val="none"/>
          <w:lang w:val="en-US" w:eastAsia="zh-CN"/>
        </w:rPr>
        <w:t>证书</w:t>
      </w:r>
      <w:r>
        <w:rPr>
          <w:rFonts w:hint="eastAsia" w:ascii="宋体" w:hAnsi="宋体" w:eastAsia="宋体" w:cs="宋体"/>
          <w:bCs/>
          <w:color w:val="auto"/>
          <w:sz w:val="24"/>
          <w:szCs w:val="24"/>
          <w:highlight w:val="none"/>
          <w:lang w:eastAsia="zh-CN"/>
        </w:rPr>
        <w:t>；</w:t>
      </w:r>
    </w:p>
    <w:p w14:paraId="1B361685">
      <w:pPr>
        <w:pStyle w:val="62"/>
        <w:numPr>
          <w:ilvl w:val="0"/>
          <w:numId w:val="19"/>
        </w:numPr>
        <w:spacing w:before="0"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供应商认为需要的其他文件资料</w:t>
      </w:r>
      <w:r>
        <w:rPr>
          <w:rFonts w:hint="eastAsia" w:ascii="宋体" w:hAnsi="宋体" w:cs="宋体"/>
          <w:color w:val="auto"/>
          <w:sz w:val="24"/>
          <w:highlight w:val="none"/>
          <w:lang w:eastAsia="zh-CN"/>
        </w:rPr>
        <w:t>。</w:t>
      </w:r>
    </w:p>
    <w:p w14:paraId="05011CBF">
      <w:pPr>
        <w:pStyle w:val="62"/>
        <w:numPr>
          <w:ilvl w:val="0"/>
          <w:numId w:val="0"/>
        </w:numPr>
        <w:spacing w:before="0" w:line="336" w:lineRule="auto"/>
        <w:ind w:leftChars="200"/>
        <w:rPr>
          <w:rFonts w:hint="eastAsia" w:ascii="宋体" w:hAnsi="宋体" w:cs="宋体"/>
          <w:color w:val="auto"/>
          <w:sz w:val="24"/>
          <w:highlight w:val="none"/>
        </w:rPr>
      </w:pPr>
      <w:r>
        <w:rPr>
          <w:rFonts w:hint="eastAsia" w:ascii="宋体" w:hAnsi="宋体" w:cs="宋体"/>
          <w:color w:val="auto"/>
          <w:sz w:val="24"/>
          <w:highlight w:val="none"/>
        </w:rPr>
        <w:t>注：以上内容应与评标办法中内容具有一致性。</w:t>
      </w:r>
    </w:p>
    <w:p w14:paraId="75EBEC85">
      <w:pPr>
        <w:pStyle w:val="16"/>
        <w:spacing w:line="500" w:lineRule="exact"/>
        <w:ind w:firstLine="480" w:firstLineChars="200"/>
        <w:rPr>
          <w:rFonts w:hAnsi="宋体" w:cs="Times New Roman"/>
          <w:color w:val="auto"/>
          <w:sz w:val="24"/>
          <w:szCs w:val="24"/>
          <w:highlight w:val="none"/>
        </w:rPr>
      </w:pPr>
    </w:p>
    <w:p w14:paraId="56877380">
      <w:pPr>
        <w:rPr>
          <w:rFonts w:hAnsi="宋体" w:cs="Times New Roman"/>
          <w:color w:val="auto"/>
          <w:sz w:val="24"/>
          <w:szCs w:val="24"/>
          <w:highlight w:val="none"/>
        </w:rPr>
      </w:pPr>
    </w:p>
    <w:p w14:paraId="331E5E25">
      <w:pPr>
        <w:pStyle w:val="9"/>
        <w:outlineLvl w:val="9"/>
        <w:rPr>
          <w:rFonts w:hAnsi="宋体" w:cs="Times New Roman"/>
          <w:color w:val="auto"/>
          <w:sz w:val="24"/>
          <w:szCs w:val="24"/>
          <w:highlight w:val="none"/>
        </w:rPr>
      </w:pPr>
    </w:p>
    <w:p w14:paraId="6CFEE6CE">
      <w:pPr>
        <w:pStyle w:val="10"/>
        <w:rPr>
          <w:highlight w:val="none"/>
        </w:rPr>
      </w:pPr>
    </w:p>
    <w:p w14:paraId="4BE5ED8E">
      <w:pPr>
        <w:rPr>
          <w:highlight w:val="none"/>
        </w:rPr>
      </w:pPr>
    </w:p>
    <w:p w14:paraId="4A45EA38">
      <w:pPr>
        <w:pStyle w:val="2"/>
        <w:rPr>
          <w:highlight w:val="none"/>
        </w:rPr>
      </w:pPr>
    </w:p>
    <w:p w14:paraId="32B5C1A7">
      <w:pPr>
        <w:pStyle w:val="4"/>
        <w:rPr>
          <w:highlight w:val="none"/>
        </w:rPr>
      </w:pPr>
    </w:p>
    <w:p w14:paraId="0326E475">
      <w:pPr>
        <w:pStyle w:val="7"/>
        <w:rPr>
          <w:highlight w:val="none"/>
        </w:rPr>
      </w:pPr>
    </w:p>
    <w:p w14:paraId="7FBE7A71">
      <w:pPr>
        <w:rPr>
          <w:highlight w:val="none"/>
        </w:rPr>
      </w:pPr>
    </w:p>
    <w:p w14:paraId="6BC26571">
      <w:pPr>
        <w:pStyle w:val="8"/>
      </w:pPr>
    </w:p>
    <w:p w14:paraId="37B763C1">
      <w:pPr>
        <w:rPr>
          <w:color w:val="auto"/>
          <w:highlight w:val="none"/>
        </w:rPr>
      </w:pPr>
    </w:p>
    <w:p w14:paraId="203CEA1F">
      <w:pPr>
        <w:snapToGrid w:val="0"/>
        <w:spacing w:before="50" w:after="50"/>
        <w:jc w:val="left"/>
        <w:rPr>
          <w:rFonts w:ascii="宋体" w:hAnsi="宋体" w:cs="宋体"/>
          <w:b/>
          <w:bCs/>
          <w:color w:val="auto"/>
          <w:sz w:val="24"/>
          <w:highlight w:val="none"/>
          <w:lang w:val="zh-CN"/>
        </w:rPr>
      </w:pPr>
      <w:bookmarkStart w:id="140" w:name="_Toc10131"/>
      <w:r>
        <w:rPr>
          <w:rFonts w:hint="eastAsia" w:ascii="宋体" w:hAnsi="宋体" w:cs="宋体"/>
          <w:b/>
          <w:bCs/>
          <w:color w:val="auto"/>
          <w:sz w:val="24"/>
          <w:highlight w:val="none"/>
          <w:lang w:val="zh-CN"/>
        </w:rPr>
        <w:t>附件</w:t>
      </w: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lang w:val="zh-CN"/>
        </w:rPr>
        <w:t>：</w:t>
      </w:r>
    </w:p>
    <w:p w14:paraId="6365ECAA">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评分对应表</w:t>
      </w:r>
    </w:p>
    <w:p w14:paraId="346E73AE">
      <w:pPr>
        <w:snapToGrid w:val="0"/>
        <w:spacing w:before="50"/>
        <w:jc w:val="center"/>
        <w:rPr>
          <w:rFonts w:ascii="宋体" w:hAnsi="宋体" w:cs="宋体"/>
          <w:b/>
          <w:color w:val="auto"/>
          <w:sz w:val="32"/>
          <w:szCs w:val="32"/>
          <w:highlight w:val="none"/>
        </w:rPr>
      </w:pPr>
    </w:p>
    <w:p w14:paraId="278BD4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6954CD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9"/>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0FEE9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7332A346">
            <w:pPr>
              <w:jc w:val="center"/>
              <w:rPr>
                <w:rFonts w:ascii="宋体" w:hAnsi="宋体" w:cs="宋体"/>
                <w:color w:val="auto"/>
                <w:sz w:val="24"/>
                <w:highlight w:val="none"/>
              </w:rPr>
            </w:pPr>
            <w:r>
              <w:rPr>
                <w:rFonts w:hint="eastAsia" w:ascii="宋体" w:hAnsi="宋体" w:cs="宋体"/>
                <w:color w:val="auto"/>
                <w:sz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AF2F098">
            <w:pPr>
              <w:jc w:val="center"/>
              <w:rPr>
                <w:rFonts w:ascii="宋体" w:hAnsi="宋体" w:cs="宋体"/>
                <w:color w:val="auto"/>
                <w:sz w:val="24"/>
                <w:highlight w:val="none"/>
              </w:rPr>
            </w:pPr>
            <w:r>
              <w:rPr>
                <w:rFonts w:hint="eastAsia" w:ascii="宋体" w:hAnsi="宋体" w:cs="宋体"/>
                <w:color w:val="auto"/>
                <w:sz w:val="24"/>
                <w:highlight w:val="none"/>
              </w:rPr>
              <w:t>响应文件对应资料</w:t>
            </w:r>
          </w:p>
        </w:tc>
        <w:tc>
          <w:tcPr>
            <w:tcW w:w="1977" w:type="dxa"/>
            <w:tcBorders>
              <w:top w:val="single" w:color="auto" w:sz="4" w:space="0"/>
              <w:left w:val="single" w:color="auto" w:sz="4" w:space="0"/>
              <w:bottom w:val="single" w:color="auto" w:sz="4" w:space="0"/>
              <w:right w:val="single" w:color="auto" w:sz="4" w:space="0"/>
            </w:tcBorders>
            <w:vAlign w:val="center"/>
          </w:tcPr>
          <w:p w14:paraId="090D4DE2">
            <w:pPr>
              <w:jc w:val="center"/>
              <w:rPr>
                <w:rFonts w:ascii="宋体" w:hAnsi="宋体" w:cs="宋体"/>
                <w:color w:val="auto"/>
                <w:sz w:val="24"/>
                <w:highlight w:val="none"/>
              </w:rPr>
            </w:pPr>
            <w:r>
              <w:rPr>
                <w:rFonts w:hint="eastAsia" w:ascii="宋体" w:hAnsi="宋体" w:cs="宋体"/>
                <w:color w:val="auto"/>
                <w:sz w:val="24"/>
                <w:highlight w:val="none"/>
              </w:rPr>
              <w:t>响应文件页码</w:t>
            </w:r>
          </w:p>
        </w:tc>
      </w:tr>
      <w:tr w14:paraId="01FD1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17ABB30B">
            <w:pPr>
              <w:jc w:val="center"/>
              <w:rPr>
                <w:rFonts w:ascii="宋体" w:hAnsi="宋体" w:cs="宋体"/>
                <w:color w:val="auto"/>
                <w:sz w:val="24"/>
                <w:highlight w:val="none"/>
              </w:rPr>
            </w:pPr>
            <w:r>
              <w:rPr>
                <w:rFonts w:hint="eastAsia" w:ascii="宋体" w:hAnsi="宋体" w:cs="宋体"/>
                <w:color w:val="auto"/>
                <w:sz w:val="24"/>
                <w:highlight w:val="none"/>
              </w:rPr>
              <w:t>对应评分办法及评分标准</w:t>
            </w:r>
          </w:p>
          <w:p w14:paraId="26D6BAA0">
            <w:pPr>
              <w:jc w:val="center"/>
              <w:rPr>
                <w:rFonts w:ascii="宋体" w:hAnsi="宋体" w:cs="宋体"/>
                <w:color w:val="auto"/>
                <w:sz w:val="24"/>
                <w:highlight w:val="none"/>
              </w:rPr>
            </w:pPr>
            <w:r>
              <w:rPr>
                <w:rFonts w:hint="eastAsia" w:ascii="宋体" w:hAnsi="宋体" w:cs="宋体"/>
                <w:color w:val="auto"/>
                <w:sz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1CC03B67">
            <w:pPr>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04053EB7">
            <w:pPr>
              <w:jc w:val="center"/>
              <w:rPr>
                <w:rFonts w:ascii="宋体" w:hAnsi="宋体" w:cs="宋体"/>
                <w:color w:val="auto"/>
                <w:sz w:val="24"/>
                <w:highlight w:val="none"/>
              </w:rPr>
            </w:pPr>
          </w:p>
        </w:tc>
      </w:tr>
      <w:tr w14:paraId="3E750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66C4B09B">
            <w:pPr>
              <w:jc w:val="center"/>
              <w:rPr>
                <w:rFonts w:ascii="宋体" w:hAnsi="宋体" w:cs="宋体"/>
                <w:color w:val="auto"/>
                <w:sz w:val="24"/>
                <w:highlight w:val="none"/>
              </w:rPr>
            </w:pPr>
            <w:r>
              <w:rPr>
                <w:rFonts w:hint="eastAsia" w:ascii="宋体" w:hAnsi="宋体" w:cs="宋体"/>
                <w:color w:val="auto"/>
                <w:sz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60609CE7">
            <w:pPr>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75090C4D">
            <w:pPr>
              <w:jc w:val="center"/>
              <w:rPr>
                <w:rFonts w:ascii="宋体" w:hAnsi="宋体" w:cs="宋体"/>
                <w:color w:val="auto"/>
                <w:sz w:val="24"/>
                <w:highlight w:val="none"/>
              </w:rPr>
            </w:pPr>
          </w:p>
        </w:tc>
      </w:tr>
      <w:tr w14:paraId="574A5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1EDCD9F6">
            <w:pPr>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1E84B8F">
            <w:pPr>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03441D6B">
            <w:pPr>
              <w:jc w:val="center"/>
              <w:rPr>
                <w:rFonts w:ascii="宋体" w:hAnsi="宋体" w:cs="宋体"/>
                <w:color w:val="auto"/>
                <w:sz w:val="24"/>
                <w:highlight w:val="none"/>
              </w:rPr>
            </w:pPr>
          </w:p>
        </w:tc>
      </w:tr>
      <w:tr w14:paraId="39CC4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531DF612">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7C85B9C">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37F0D24B">
            <w:pPr>
              <w:spacing w:line="360" w:lineRule="auto"/>
              <w:ind w:firstLine="480" w:firstLineChars="200"/>
              <w:jc w:val="center"/>
              <w:rPr>
                <w:rFonts w:ascii="宋体" w:hAnsi="宋体" w:cs="宋体"/>
                <w:color w:val="auto"/>
                <w:sz w:val="24"/>
                <w:highlight w:val="none"/>
              </w:rPr>
            </w:pPr>
          </w:p>
        </w:tc>
      </w:tr>
      <w:tr w14:paraId="50FBA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4850A308">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AB764E7">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54BE754C">
            <w:pPr>
              <w:spacing w:line="360" w:lineRule="auto"/>
              <w:ind w:firstLine="480" w:firstLineChars="200"/>
              <w:jc w:val="center"/>
              <w:rPr>
                <w:rFonts w:ascii="宋体" w:hAnsi="宋体" w:cs="宋体"/>
                <w:color w:val="auto"/>
                <w:sz w:val="24"/>
                <w:highlight w:val="none"/>
              </w:rPr>
            </w:pPr>
          </w:p>
        </w:tc>
      </w:tr>
      <w:tr w14:paraId="13513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18A7150F">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0C33F52">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7CCBA8F1">
            <w:pPr>
              <w:spacing w:line="360" w:lineRule="auto"/>
              <w:ind w:firstLine="480" w:firstLineChars="200"/>
              <w:jc w:val="center"/>
              <w:rPr>
                <w:rFonts w:ascii="宋体" w:hAnsi="宋体" w:cs="宋体"/>
                <w:color w:val="auto"/>
                <w:sz w:val="24"/>
                <w:highlight w:val="none"/>
              </w:rPr>
            </w:pPr>
          </w:p>
        </w:tc>
      </w:tr>
      <w:tr w14:paraId="19D81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0B754731">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B4BC5A5">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7F40E52F">
            <w:pPr>
              <w:spacing w:line="360" w:lineRule="auto"/>
              <w:ind w:firstLine="480" w:firstLineChars="200"/>
              <w:jc w:val="center"/>
              <w:rPr>
                <w:rFonts w:ascii="宋体" w:hAnsi="宋体" w:cs="宋体"/>
                <w:color w:val="auto"/>
                <w:sz w:val="24"/>
                <w:highlight w:val="none"/>
              </w:rPr>
            </w:pPr>
          </w:p>
        </w:tc>
      </w:tr>
      <w:tr w14:paraId="314BB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05A91B84">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E44676A">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1D949722">
            <w:pPr>
              <w:spacing w:line="360" w:lineRule="auto"/>
              <w:ind w:firstLine="480" w:firstLineChars="200"/>
              <w:jc w:val="center"/>
              <w:rPr>
                <w:rFonts w:ascii="宋体" w:hAnsi="宋体" w:cs="宋体"/>
                <w:color w:val="auto"/>
                <w:sz w:val="24"/>
                <w:highlight w:val="none"/>
              </w:rPr>
            </w:pPr>
          </w:p>
        </w:tc>
      </w:tr>
      <w:tr w14:paraId="722C9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3DFF3835">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A3CEC25">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1B49481B">
            <w:pPr>
              <w:spacing w:line="360" w:lineRule="auto"/>
              <w:ind w:firstLine="480" w:firstLineChars="200"/>
              <w:jc w:val="center"/>
              <w:rPr>
                <w:rFonts w:ascii="宋体" w:hAnsi="宋体" w:cs="宋体"/>
                <w:color w:val="auto"/>
                <w:sz w:val="24"/>
                <w:highlight w:val="none"/>
              </w:rPr>
            </w:pPr>
          </w:p>
        </w:tc>
      </w:tr>
    </w:tbl>
    <w:p w14:paraId="6DA2FC89">
      <w:pPr>
        <w:spacing w:line="360" w:lineRule="auto"/>
        <w:ind w:firstLine="480" w:firstLineChars="200"/>
        <w:rPr>
          <w:rFonts w:ascii="宋体" w:hAnsi="宋体" w:cs="宋体"/>
          <w:color w:val="auto"/>
          <w:sz w:val="24"/>
          <w:highlight w:val="none"/>
        </w:rPr>
      </w:pPr>
    </w:p>
    <w:p w14:paraId="6532099E">
      <w:pPr>
        <w:spacing w:line="360" w:lineRule="auto"/>
        <w:ind w:left="3600" w:leftChars="1800" w:firstLine="480" w:firstLineChars="200"/>
        <w:rPr>
          <w:rFonts w:ascii="宋体" w:hAnsi="宋体" w:cs="宋体"/>
          <w:color w:val="auto"/>
          <w:sz w:val="24"/>
          <w:highlight w:val="none"/>
        </w:rPr>
      </w:pPr>
    </w:p>
    <w:p w14:paraId="2F63A4E8">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27976FE0">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6B37F1B3">
      <w:pPr>
        <w:spacing w:line="360" w:lineRule="auto"/>
        <w:ind w:left="3600" w:leftChars="1800" w:firstLine="480" w:firstLineChars="200"/>
        <w:rPr>
          <w:color w:val="auto"/>
          <w:highlight w:val="none"/>
          <w:lang w:val="zh-CN"/>
        </w:rPr>
      </w:pPr>
      <w:r>
        <w:rPr>
          <w:rFonts w:hint="eastAsia" w:ascii="宋体" w:hAnsi="宋体" w:cs="宋体"/>
          <w:color w:val="auto"/>
          <w:sz w:val="24"/>
          <w:highlight w:val="none"/>
        </w:rPr>
        <w:t>供应商全称（公章）：</w:t>
      </w:r>
      <w:r>
        <w:rPr>
          <w:rFonts w:hint="eastAsia"/>
          <w:color w:val="auto"/>
          <w:highlight w:val="none"/>
          <w:lang w:val="zh-CN"/>
        </w:rPr>
        <w:br w:type="page"/>
      </w:r>
    </w:p>
    <w:p w14:paraId="0744773D">
      <w:pPr>
        <w:rPr>
          <w:b/>
          <w:bCs/>
          <w:color w:val="auto"/>
          <w:sz w:val="24"/>
          <w:szCs w:val="32"/>
          <w:highlight w:val="none"/>
          <w:lang w:val="zh-CN"/>
        </w:rPr>
      </w:pPr>
      <w:r>
        <w:rPr>
          <w:rFonts w:hint="eastAsia"/>
          <w:b/>
          <w:bCs/>
          <w:color w:val="auto"/>
          <w:sz w:val="24"/>
          <w:szCs w:val="32"/>
          <w:highlight w:val="none"/>
          <w:lang w:val="zh-CN"/>
        </w:rPr>
        <w:t>附件</w:t>
      </w:r>
      <w:r>
        <w:rPr>
          <w:rFonts w:hint="eastAsia"/>
          <w:b/>
          <w:bCs/>
          <w:color w:val="auto"/>
          <w:sz w:val="24"/>
          <w:szCs w:val="32"/>
          <w:highlight w:val="none"/>
          <w:lang w:val="en-US" w:eastAsia="zh-CN"/>
        </w:rPr>
        <w:t>七</w:t>
      </w:r>
      <w:r>
        <w:rPr>
          <w:rFonts w:hint="eastAsia"/>
          <w:b/>
          <w:bCs/>
          <w:color w:val="auto"/>
          <w:sz w:val="24"/>
          <w:szCs w:val="32"/>
          <w:highlight w:val="none"/>
        </w:rPr>
        <w:t>：</w:t>
      </w:r>
    </w:p>
    <w:p w14:paraId="6BFE4015">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140"/>
    </w:p>
    <w:p w14:paraId="3AECC23F">
      <w:pPr>
        <w:snapToGrid w:val="0"/>
        <w:spacing w:before="50"/>
        <w:jc w:val="center"/>
        <w:rPr>
          <w:rFonts w:ascii="宋体" w:hAnsi="宋体" w:cs="宋体"/>
          <w:b/>
          <w:color w:val="auto"/>
          <w:sz w:val="32"/>
          <w:szCs w:val="32"/>
          <w:highlight w:val="none"/>
        </w:rPr>
      </w:pPr>
    </w:p>
    <w:p w14:paraId="352D74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2AF8FA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9"/>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7A116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BABB1CA">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387" w:type="dxa"/>
            <w:vAlign w:val="center"/>
          </w:tcPr>
          <w:p w14:paraId="010032C9">
            <w:pPr>
              <w:jc w:val="center"/>
              <w:rPr>
                <w:rFonts w:ascii="宋体" w:hAnsi="宋体" w:cs="宋体"/>
                <w:color w:val="auto"/>
                <w:sz w:val="24"/>
                <w:highlight w:val="none"/>
              </w:rPr>
            </w:pPr>
            <w:r>
              <w:rPr>
                <w:rFonts w:hint="eastAsia" w:ascii="宋体" w:hAnsi="宋体" w:cs="宋体"/>
                <w:color w:val="auto"/>
                <w:sz w:val="24"/>
                <w:highlight w:val="none"/>
              </w:rPr>
              <w:t>资信分内容</w:t>
            </w:r>
          </w:p>
        </w:tc>
        <w:tc>
          <w:tcPr>
            <w:tcW w:w="1462" w:type="dxa"/>
            <w:vAlign w:val="center"/>
          </w:tcPr>
          <w:p w14:paraId="374013A0">
            <w:pPr>
              <w:jc w:val="center"/>
              <w:rPr>
                <w:rFonts w:ascii="宋体" w:hAnsi="宋体" w:cs="宋体"/>
                <w:color w:val="auto"/>
                <w:sz w:val="24"/>
                <w:highlight w:val="none"/>
              </w:rPr>
            </w:pPr>
            <w:r>
              <w:rPr>
                <w:rFonts w:hint="eastAsia" w:ascii="宋体" w:hAnsi="宋体" w:cs="宋体"/>
                <w:color w:val="auto"/>
                <w:sz w:val="24"/>
                <w:highlight w:val="none"/>
              </w:rPr>
              <w:t>自评得分</w:t>
            </w:r>
          </w:p>
        </w:tc>
        <w:tc>
          <w:tcPr>
            <w:tcW w:w="2415" w:type="dxa"/>
            <w:tcBorders>
              <w:right w:val="single" w:color="auto" w:sz="4" w:space="0"/>
            </w:tcBorders>
            <w:vAlign w:val="center"/>
          </w:tcPr>
          <w:p w14:paraId="38E613CA">
            <w:pPr>
              <w:jc w:val="center"/>
              <w:rPr>
                <w:rFonts w:ascii="宋体" w:hAnsi="宋体" w:cs="宋体"/>
                <w:color w:val="auto"/>
                <w:sz w:val="24"/>
                <w:highlight w:val="none"/>
              </w:rPr>
            </w:pPr>
            <w:r>
              <w:rPr>
                <w:rFonts w:hint="eastAsia" w:ascii="宋体" w:hAnsi="宋体" w:cs="宋体"/>
                <w:color w:val="auto"/>
                <w:sz w:val="24"/>
                <w:highlight w:val="none"/>
              </w:rPr>
              <w:t>响应文件对应资料</w:t>
            </w:r>
          </w:p>
        </w:tc>
        <w:tc>
          <w:tcPr>
            <w:tcW w:w="1746" w:type="dxa"/>
            <w:tcBorders>
              <w:left w:val="single" w:color="auto" w:sz="4" w:space="0"/>
            </w:tcBorders>
            <w:vAlign w:val="center"/>
          </w:tcPr>
          <w:p w14:paraId="291E3465">
            <w:pPr>
              <w:jc w:val="center"/>
              <w:rPr>
                <w:rFonts w:ascii="宋体" w:hAnsi="宋体" w:cs="宋体"/>
                <w:color w:val="auto"/>
                <w:sz w:val="24"/>
                <w:highlight w:val="none"/>
              </w:rPr>
            </w:pPr>
            <w:r>
              <w:rPr>
                <w:rFonts w:hint="eastAsia" w:ascii="宋体" w:hAnsi="宋体" w:cs="宋体"/>
                <w:color w:val="auto"/>
                <w:sz w:val="24"/>
                <w:highlight w:val="none"/>
              </w:rPr>
              <w:t>响应文件页码</w:t>
            </w:r>
          </w:p>
        </w:tc>
      </w:tr>
      <w:tr w14:paraId="4AD12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5327533">
            <w:pPr>
              <w:jc w:val="center"/>
              <w:rPr>
                <w:rFonts w:ascii="宋体" w:hAnsi="宋体" w:cs="宋体"/>
                <w:color w:val="auto"/>
                <w:sz w:val="24"/>
                <w:highlight w:val="none"/>
              </w:rPr>
            </w:pPr>
            <w:r>
              <w:rPr>
                <w:rFonts w:hint="eastAsia" w:ascii="宋体" w:hAnsi="宋体" w:cs="宋体"/>
                <w:color w:val="auto"/>
                <w:sz w:val="24"/>
                <w:highlight w:val="none"/>
              </w:rPr>
              <w:t>1</w:t>
            </w:r>
          </w:p>
        </w:tc>
        <w:tc>
          <w:tcPr>
            <w:tcW w:w="2387" w:type="dxa"/>
          </w:tcPr>
          <w:p w14:paraId="4540D46C">
            <w:pPr>
              <w:jc w:val="center"/>
              <w:rPr>
                <w:rFonts w:ascii="宋体" w:hAnsi="宋体" w:cs="宋体"/>
                <w:color w:val="auto"/>
                <w:sz w:val="24"/>
                <w:highlight w:val="none"/>
              </w:rPr>
            </w:pPr>
          </w:p>
        </w:tc>
        <w:tc>
          <w:tcPr>
            <w:tcW w:w="1462" w:type="dxa"/>
          </w:tcPr>
          <w:p w14:paraId="22F5907C">
            <w:pPr>
              <w:jc w:val="center"/>
              <w:rPr>
                <w:rFonts w:ascii="宋体" w:hAnsi="宋体" w:cs="宋体"/>
                <w:color w:val="auto"/>
                <w:sz w:val="24"/>
                <w:highlight w:val="none"/>
              </w:rPr>
            </w:pPr>
          </w:p>
        </w:tc>
        <w:tc>
          <w:tcPr>
            <w:tcW w:w="2415" w:type="dxa"/>
            <w:tcBorders>
              <w:right w:val="single" w:color="auto" w:sz="4" w:space="0"/>
            </w:tcBorders>
          </w:tcPr>
          <w:p w14:paraId="7FEF6AFA">
            <w:pPr>
              <w:jc w:val="center"/>
              <w:rPr>
                <w:rFonts w:ascii="宋体" w:hAnsi="宋体" w:cs="宋体"/>
                <w:color w:val="auto"/>
                <w:sz w:val="24"/>
                <w:highlight w:val="none"/>
              </w:rPr>
            </w:pPr>
          </w:p>
        </w:tc>
        <w:tc>
          <w:tcPr>
            <w:tcW w:w="1746" w:type="dxa"/>
            <w:tcBorders>
              <w:left w:val="single" w:color="auto" w:sz="4" w:space="0"/>
            </w:tcBorders>
          </w:tcPr>
          <w:p w14:paraId="51EB502E">
            <w:pPr>
              <w:jc w:val="center"/>
              <w:rPr>
                <w:rFonts w:ascii="宋体" w:hAnsi="宋体" w:cs="宋体"/>
                <w:color w:val="auto"/>
                <w:sz w:val="24"/>
                <w:highlight w:val="none"/>
              </w:rPr>
            </w:pPr>
          </w:p>
        </w:tc>
      </w:tr>
      <w:tr w14:paraId="75AD8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9C6E4D2">
            <w:pPr>
              <w:jc w:val="center"/>
              <w:rPr>
                <w:rFonts w:ascii="宋体" w:hAnsi="宋体" w:cs="宋体"/>
                <w:color w:val="auto"/>
                <w:sz w:val="24"/>
                <w:highlight w:val="none"/>
              </w:rPr>
            </w:pPr>
            <w:r>
              <w:rPr>
                <w:rFonts w:hint="eastAsia" w:ascii="宋体" w:hAnsi="宋体" w:cs="宋体"/>
                <w:color w:val="auto"/>
                <w:sz w:val="24"/>
                <w:highlight w:val="none"/>
              </w:rPr>
              <w:t>2</w:t>
            </w:r>
          </w:p>
        </w:tc>
        <w:tc>
          <w:tcPr>
            <w:tcW w:w="2387" w:type="dxa"/>
          </w:tcPr>
          <w:p w14:paraId="20B6498C">
            <w:pPr>
              <w:jc w:val="center"/>
              <w:rPr>
                <w:rFonts w:ascii="宋体" w:hAnsi="宋体" w:cs="宋体"/>
                <w:color w:val="auto"/>
                <w:sz w:val="24"/>
                <w:highlight w:val="none"/>
              </w:rPr>
            </w:pPr>
          </w:p>
        </w:tc>
        <w:tc>
          <w:tcPr>
            <w:tcW w:w="1462" w:type="dxa"/>
          </w:tcPr>
          <w:p w14:paraId="3331EAB0">
            <w:pPr>
              <w:jc w:val="center"/>
              <w:rPr>
                <w:rFonts w:ascii="宋体" w:hAnsi="宋体" w:cs="宋体"/>
                <w:color w:val="auto"/>
                <w:sz w:val="24"/>
                <w:highlight w:val="none"/>
              </w:rPr>
            </w:pPr>
          </w:p>
        </w:tc>
        <w:tc>
          <w:tcPr>
            <w:tcW w:w="2415" w:type="dxa"/>
            <w:tcBorders>
              <w:right w:val="single" w:color="auto" w:sz="4" w:space="0"/>
            </w:tcBorders>
          </w:tcPr>
          <w:p w14:paraId="3E566215">
            <w:pPr>
              <w:jc w:val="center"/>
              <w:rPr>
                <w:rFonts w:ascii="宋体" w:hAnsi="宋体" w:cs="宋体"/>
                <w:color w:val="auto"/>
                <w:sz w:val="24"/>
                <w:highlight w:val="none"/>
              </w:rPr>
            </w:pPr>
          </w:p>
        </w:tc>
        <w:tc>
          <w:tcPr>
            <w:tcW w:w="1746" w:type="dxa"/>
            <w:tcBorders>
              <w:left w:val="single" w:color="auto" w:sz="4" w:space="0"/>
            </w:tcBorders>
          </w:tcPr>
          <w:p w14:paraId="1780F528">
            <w:pPr>
              <w:jc w:val="center"/>
              <w:rPr>
                <w:rFonts w:ascii="宋体" w:hAnsi="宋体" w:cs="宋体"/>
                <w:color w:val="auto"/>
                <w:sz w:val="24"/>
                <w:highlight w:val="none"/>
              </w:rPr>
            </w:pPr>
          </w:p>
        </w:tc>
      </w:tr>
      <w:tr w14:paraId="3B1C6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DB17EB0">
            <w:pPr>
              <w:jc w:val="center"/>
              <w:rPr>
                <w:rFonts w:ascii="宋体" w:hAnsi="宋体" w:cs="宋体"/>
                <w:color w:val="auto"/>
                <w:sz w:val="24"/>
                <w:highlight w:val="none"/>
              </w:rPr>
            </w:pPr>
            <w:r>
              <w:rPr>
                <w:rFonts w:hint="eastAsia" w:ascii="宋体" w:hAnsi="宋体" w:cs="宋体"/>
                <w:color w:val="auto"/>
                <w:sz w:val="24"/>
                <w:highlight w:val="none"/>
              </w:rPr>
              <w:t>3</w:t>
            </w:r>
          </w:p>
        </w:tc>
        <w:tc>
          <w:tcPr>
            <w:tcW w:w="2387" w:type="dxa"/>
          </w:tcPr>
          <w:p w14:paraId="76099046">
            <w:pPr>
              <w:jc w:val="center"/>
              <w:rPr>
                <w:rFonts w:ascii="宋体" w:hAnsi="宋体" w:cs="宋体"/>
                <w:color w:val="auto"/>
                <w:sz w:val="24"/>
                <w:highlight w:val="none"/>
              </w:rPr>
            </w:pPr>
          </w:p>
        </w:tc>
        <w:tc>
          <w:tcPr>
            <w:tcW w:w="1462" w:type="dxa"/>
          </w:tcPr>
          <w:p w14:paraId="5E75D454">
            <w:pPr>
              <w:jc w:val="center"/>
              <w:rPr>
                <w:rFonts w:ascii="宋体" w:hAnsi="宋体" w:cs="宋体"/>
                <w:color w:val="auto"/>
                <w:sz w:val="24"/>
                <w:highlight w:val="none"/>
              </w:rPr>
            </w:pPr>
          </w:p>
        </w:tc>
        <w:tc>
          <w:tcPr>
            <w:tcW w:w="2415" w:type="dxa"/>
            <w:tcBorders>
              <w:right w:val="single" w:color="auto" w:sz="4" w:space="0"/>
            </w:tcBorders>
          </w:tcPr>
          <w:p w14:paraId="6FFAC57A">
            <w:pPr>
              <w:jc w:val="center"/>
              <w:rPr>
                <w:rFonts w:ascii="宋体" w:hAnsi="宋体" w:cs="宋体"/>
                <w:color w:val="auto"/>
                <w:sz w:val="24"/>
                <w:highlight w:val="none"/>
              </w:rPr>
            </w:pPr>
          </w:p>
        </w:tc>
        <w:tc>
          <w:tcPr>
            <w:tcW w:w="1746" w:type="dxa"/>
            <w:tcBorders>
              <w:left w:val="single" w:color="auto" w:sz="4" w:space="0"/>
            </w:tcBorders>
          </w:tcPr>
          <w:p w14:paraId="22B4334F">
            <w:pPr>
              <w:jc w:val="center"/>
              <w:rPr>
                <w:rFonts w:ascii="宋体" w:hAnsi="宋体" w:cs="宋体"/>
                <w:color w:val="auto"/>
                <w:sz w:val="24"/>
                <w:highlight w:val="none"/>
              </w:rPr>
            </w:pPr>
          </w:p>
        </w:tc>
      </w:tr>
      <w:tr w14:paraId="7A703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295FAC9">
            <w:pPr>
              <w:jc w:val="center"/>
              <w:rPr>
                <w:rFonts w:ascii="宋体" w:hAnsi="宋体" w:cs="宋体"/>
                <w:color w:val="auto"/>
                <w:sz w:val="24"/>
                <w:highlight w:val="none"/>
              </w:rPr>
            </w:pPr>
            <w:r>
              <w:rPr>
                <w:rFonts w:hint="eastAsia" w:ascii="宋体" w:hAnsi="宋体" w:cs="宋体"/>
                <w:color w:val="auto"/>
                <w:sz w:val="24"/>
                <w:highlight w:val="none"/>
              </w:rPr>
              <w:t>4</w:t>
            </w:r>
          </w:p>
        </w:tc>
        <w:tc>
          <w:tcPr>
            <w:tcW w:w="2387" w:type="dxa"/>
          </w:tcPr>
          <w:p w14:paraId="65719391">
            <w:pPr>
              <w:jc w:val="center"/>
              <w:rPr>
                <w:rFonts w:ascii="宋体" w:hAnsi="宋体" w:cs="宋体"/>
                <w:color w:val="auto"/>
                <w:sz w:val="24"/>
                <w:highlight w:val="none"/>
              </w:rPr>
            </w:pPr>
          </w:p>
        </w:tc>
        <w:tc>
          <w:tcPr>
            <w:tcW w:w="1462" w:type="dxa"/>
          </w:tcPr>
          <w:p w14:paraId="584A70DB">
            <w:pPr>
              <w:jc w:val="center"/>
              <w:rPr>
                <w:rFonts w:ascii="宋体" w:hAnsi="宋体" w:cs="宋体"/>
                <w:color w:val="auto"/>
                <w:sz w:val="24"/>
                <w:highlight w:val="none"/>
              </w:rPr>
            </w:pPr>
          </w:p>
        </w:tc>
        <w:tc>
          <w:tcPr>
            <w:tcW w:w="2415" w:type="dxa"/>
            <w:tcBorders>
              <w:right w:val="single" w:color="auto" w:sz="4" w:space="0"/>
            </w:tcBorders>
          </w:tcPr>
          <w:p w14:paraId="153D2C0C">
            <w:pPr>
              <w:jc w:val="center"/>
              <w:rPr>
                <w:rFonts w:ascii="宋体" w:hAnsi="宋体" w:cs="宋体"/>
                <w:color w:val="auto"/>
                <w:sz w:val="24"/>
                <w:highlight w:val="none"/>
              </w:rPr>
            </w:pPr>
          </w:p>
        </w:tc>
        <w:tc>
          <w:tcPr>
            <w:tcW w:w="1746" w:type="dxa"/>
            <w:tcBorders>
              <w:left w:val="single" w:color="auto" w:sz="4" w:space="0"/>
            </w:tcBorders>
          </w:tcPr>
          <w:p w14:paraId="0443AAEA">
            <w:pPr>
              <w:jc w:val="center"/>
              <w:rPr>
                <w:rFonts w:ascii="宋体" w:hAnsi="宋体" w:cs="宋体"/>
                <w:color w:val="auto"/>
                <w:sz w:val="24"/>
                <w:highlight w:val="none"/>
              </w:rPr>
            </w:pPr>
          </w:p>
        </w:tc>
      </w:tr>
      <w:tr w14:paraId="486E8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AE84CB7">
            <w:pPr>
              <w:jc w:val="center"/>
              <w:rPr>
                <w:rFonts w:ascii="宋体" w:hAnsi="宋体" w:cs="宋体"/>
                <w:color w:val="auto"/>
                <w:sz w:val="24"/>
                <w:highlight w:val="none"/>
              </w:rPr>
            </w:pPr>
            <w:r>
              <w:rPr>
                <w:rFonts w:hint="eastAsia" w:ascii="宋体" w:hAnsi="宋体" w:cs="宋体"/>
                <w:color w:val="auto"/>
                <w:sz w:val="24"/>
                <w:highlight w:val="none"/>
              </w:rPr>
              <w:t>5</w:t>
            </w:r>
          </w:p>
        </w:tc>
        <w:tc>
          <w:tcPr>
            <w:tcW w:w="2387" w:type="dxa"/>
          </w:tcPr>
          <w:p w14:paraId="49DA18FC">
            <w:pPr>
              <w:jc w:val="center"/>
              <w:rPr>
                <w:rFonts w:ascii="宋体" w:hAnsi="宋体" w:cs="宋体"/>
                <w:color w:val="auto"/>
                <w:sz w:val="24"/>
                <w:highlight w:val="none"/>
              </w:rPr>
            </w:pPr>
          </w:p>
        </w:tc>
        <w:tc>
          <w:tcPr>
            <w:tcW w:w="1462" w:type="dxa"/>
          </w:tcPr>
          <w:p w14:paraId="4994F3A6">
            <w:pPr>
              <w:jc w:val="center"/>
              <w:rPr>
                <w:rFonts w:ascii="宋体" w:hAnsi="宋体" w:cs="宋体"/>
                <w:color w:val="auto"/>
                <w:sz w:val="24"/>
                <w:highlight w:val="none"/>
              </w:rPr>
            </w:pPr>
          </w:p>
        </w:tc>
        <w:tc>
          <w:tcPr>
            <w:tcW w:w="2415" w:type="dxa"/>
            <w:tcBorders>
              <w:right w:val="single" w:color="auto" w:sz="4" w:space="0"/>
            </w:tcBorders>
          </w:tcPr>
          <w:p w14:paraId="50068887">
            <w:pPr>
              <w:jc w:val="center"/>
              <w:rPr>
                <w:rFonts w:ascii="宋体" w:hAnsi="宋体" w:cs="宋体"/>
                <w:color w:val="auto"/>
                <w:sz w:val="24"/>
                <w:highlight w:val="none"/>
              </w:rPr>
            </w:pPr>
          </w:p>
        </w:tc>
        <w:tc>
          <w:tcPr>
            <w:tcW w:w="1746" w:type="dxa"/>
            <w:tcBorders>
              <w:left w:val="single" w:color="auto" w:sz="4" w:space="0"/>
            </w:tcBorders>
          </w:tcPr>
          <w:p w14:paraId="0E05E5BA">
            <w:pPr>
              <w:jc w:val="center"/>
              <w:rPr>
                <w:rFonts w:ascii="宋体" w:hAnsi="宋体" w:cs="宋体"/>
                <w:color w:val="auto"/>
                <w:sz w:val="24"/>
                <w:highlight w:val="none"/>
              </w:rPr>
            </w:pPr>
          </w:p>
        </w:tc>
      </w:tr>
      <w:tr w14:paraId="1AEDD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FD3231C">
            <w:pPr>
              <w:jc w:val="center"/>
              <w:rPr>
                <w:rFonts w:ascii="宋体" w:hAnsi="宋体" w:cs="宋体"/>
                <w:color w:val="auto"/>
                <w:sz w:val="24"/>
                <w:highlight w:val="none"/>
              </w:rPr>
            </w:pPr>
            <w:r>
              <w:rPr>
                <w:rFonts w:hint="eastAsia" w:ascii="宋体" w:hAnsi="宋体" w:cs="宋体"/>
                <w:color w:val="auto"/>
                <w:sz w:val="24"/>
                <w:highlight w:val="none"/>
              </w:rPr>
              <w:t>6</w:t>
            </w:r>
          </w:p>
        </w:tc>
        <w:tc>
          <w:tcPr>
            <w:tcW w:w="2387" w:type="dxa"/>
          </w:tcPr>
          <w:p w14:paraId="0C9C295D">
            <w:pPr>
              <w:jc w:val="center"/>
              <w:rPr>
                <w:rFonts w:ascii="宋体" w:hAnsi="宋体" w:cs="宋体"/>
                <w:color w:val="auto"/>
                <w:sz w:val="24"/>
                <w:highlight w:val="none"/>
              </w:rPr>
            </w:pPr>
          </w:p>
        </w:tc>
        <w:tc>
          <w:tcPr>
            <w:tcW w:w="1462" w:type="dxa"/>
          </w:tcPr>
          <w:p w14:paraId="35B176D8">
            <w:pPr>
              <w:jc w:val="center"/>
              <w:rPr>
                <w:rFonts w:ascii="宋体" w:hAnsi="宋体" w:cs="宋体"/>
                <w:color w:val="auto"/>
                <w:sz w:val="24"/>
                <w:highlight w:val="none"/>
              </w:rPr>
            </w:pPr>
          </w:p>
        </w:tc>
        <w:tc>
          <w:tcPr>
            <w:tcW w:w="2415" w:type="dxa"/>
            <w:tcBorders>
              <w:right w:val="single" w:color="auto" w:sz="4" w:space="0"/>
            </w:tcBorders>
          </w:tcPr>
          <w:p w14:paraId="0E682233">
            <w:pPr>
              <w:jc w:val="center"/>
              <w:rPr>
                <w:rFonts w:ascii="宋体" w:hAnsi="宋体" w:cs="宋体"/>
                <w:color w:val="auto"/>
                <w:sz w:val="24"/>
                <w:highlight w:val="none"/>
              </w:rPr>
            </w:pPr>
          </w:p>
        </w:tc>
        <w:tc>
          <w:tcPr>
            <w:tcW w:w="1746" w:type="dxa"/>
            <w:tcBorders>
              <w:left w:val="single" w:color="auto" w:sz="4" w:space="0"/>
            </w:tcBorders>
          </w:tcPr>
          <w:p w14:paraId="1BD49441">
            <w:pPr>
              <w:jc w:val="center"/>
              <w:rPr>
                <w:rFonts w:ascii="宋体" w:hAnsi="宋体" w:cs="宋体"/>
                <w:color w:val="auto"/>
                <w:sz w:val="24"/>
                <w:highlight w:val="none"/>
              </w:rPr>
            </w:pPr>
          </w:p>
        </w:tc>
      </w:tr>
      <w:tr w14:paraId="728FC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F494259">
            <w:pPr>
              <w:jc w:val="center"/>
              <w:rPr>
                <w:rFonts w:ascii="宋体" w:hAnsi="宋体" w:cs="宋体"/>
                <w:color w:val="auto"/>
                <w:sz w:val="24"/>
                <w:highlight w:val="none"/>
              </w:rPr>
            </w:pPr>
            <w:r>
              <w:rPr>
                <w:rFonts w:hint="eastAsia" w:ascii="宋体" w:hAnsi="宋体" w:cs="宋体"/>
                <w:color w:val="auto"/>
                <w:sz w:val="24"/>
                <w:highlight w:val="none"/>
              </w:rPr>
              <w:t>7</w:t>
            </w:r>
          </w:p>
        </w:tc>
        <w:tc>
          <w:tcPr>
            <w:tcW w:w="2387" w:type="dxa"/>
          </w:tcPr>
          <w:p w14:paraId="539E794F">
            <w:pPr>
              <w:jc w:val="center"/>
              <w:rPr>
                <w:rFonts w:ascii="宋体" w:hAnsi="宋体" w:cs="宋体"/>
                <w:color w:val="auto"/>
                <w:sz w:val="24"/>
                <w:highlight w:val="none"/>
              </w:rPr>
            </w:pPr>
          </w:p>
        </w:tc>
        <w:tc>
          <w:tcPr>
            <w:tcW w:w="1462" w:type="dxa"/>
          </w:tcPr>
          <w:p w14:paraId="78C0DB0D">
            <w:pPr>
              <w:jc w:val="center"/>
              <w:rPr>
                <w:rFonts w:ascii="宋体" w:hAnsi="宋体" w:cs="宋体"/>
                <w:color w:val="auto"/>
                <w:sz w:val="24"/>
                <w:highlight w:val="none"/>
              </w:rPr>
            </w:pPr>
          </w:p>
        </w:tc>
        <w:tc>
          <w:tcPr>
            <w:tcW w:w="2415" w:type="dxa"/>
            <w:tcBorders>
              <w:right w:val="single" w:color="auto" w:sz="4" w:space="0"/>
            </w:tcBorders>
          </w:tcPr>
          <w:p w14:paraId="6AE1B976">
            <w:pPr>
              <w:jc w:val="center"/>
              <w:rPr>
                <w:rFonts w:ascii="宋体" w:hAnsi="宋体" w:cs="宋体"/>
                <w:color w:val="auto"/>
                <w:sz w:val="24"/>
                <w:highlight w:val="none"/>
              </w:rPr>
            </w:pPr>
          </w:p>
        </w:tc>
        <w:tc>
          <w:tcPr>
            <w:tcW w:w="1746" w:type="dxa"/>
            <w:tcBorders>
              <w:left w:val="single" w:color="auto" w:sz="4" w:space="0"/>
            </w:tcBorders>
          </w:tcPr>
          <w:p w14:paraId="6F46D04C">
            <w:pPr>
              <w:jc w:val="center"/>
              <w:rPr>
                <w:rFonts w:ascii="宋体" w:hAnsi="宋体" w:cs="宋体"/>
                <w:color w:val="auto"/>
                <w:sz w:val="24"/>
                <w:highlight w:val="none"/>
              </w:rPr>
            </w:pPr>
          </w:p>
        </w:tc>
      </w:tr>
      <w:tr w14:paraId="7871F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99BA072">
            <w:pPr>
              <w:jc w:val="center"/>
              <w:rPr>
                <w:rFonts w:ascii="宋体" w:hAnsi="宋体" w:cs="宋体"/>
                <w:color w:val="auto"/>
                <w:sz w:val="24"/>
                <w:highlight w:val="none"/>
              </w:rPr>
            </w:pPr>
            <w:r>
              <w:rPr>
                <w:rFonts w:hint="eastAsia" w:ascii="宋体" w:hAnsi="宋体" w:cs="宋体"/>
                <w:color w:val="auto"/>
                <w:sz w:val="24"/>
                <w:highlight w:val="none"/>
              </w:rPr>
              <w:t>8</w:t>
            </w:r>
          </w:p>
        </w:tc>
        <w:tc>
          <w:tcPr>
            <w:tcW w:w="2387" w:type="dxa"/>
          </w:tcPr>
          <w:p w14:paraId="35B62A47">
            <w:pPr>
              <w:jc w:val="center"/>
              <w:rPr>
                <w:rFonts w:ascii="宋体" w:hAnsi="宋体" w:cs="宋体"/>
                <w:color w:val="auto"/>
                <w:sz w:val="24"/>
                <w:highlight w:val="none"/>
              </w:rPr>
            </w:pPr>
          </w:p>
        </w:tc>
        <w:tc>
          <w:tcPr>
            <w:tcW w:w="1462" w:type="dxa"/>
          </w:tcPr>
          <w:p w14:paraId="20E9F723">
            <w:pPr>
              <w:jc w:val="center"/>
              <w:rPr>
                <w:rFonts w:ascii="宋体" w:hAnsi="宋体" w:cs="宋体"/>
                <w:color w:val="auto"/>
                <w:sz w:val="24"/>
                <w:highlight w:val="none"/>
              </w:rPr>
            </w:pPr>
          </w:p>
        </w:tc>
        <w:tc>
          <w:tcPr>
            <w:tcW w:w="2415" w:type="dxa"/>
            <w:tcBorders>
              <w:right w:val="single" w:color="auto" w:sz="4" w:space="0"/>
            </w:tcBorders>
          </w:tcPr>
          <w:p w14:paraId="71286EA5">
            <w:pPr>
              <w:jc w:val="center"/>
              <w:rPr>
                <w:rFonts w:ascii="宋体" w:hAnsi="宋体" w:cs="宋体"/>
                <w:color w:val="auto"/>
                <w:sz w:val="24"/>
                <w:highlight w:val="none"/>
              </w:rPr>
            </w:pPr>
          </w:p>
        </w:tc>
        <w:tc>
          <w:tcPr>
            <w:tcW w:w="1746" w:type="dxa"/>
            <w:tcBorders>
              <w:left w:val="single" w:color="auto" w:sz="4" w:space="0"/>
            </w:tcBorders>
          </w:tcPr>
          <w:p w14:paraId="76F779F5">
            <w:pPr>
              <w:jc w:val="center"/>
              <w:rPr>
                <w:rFonts w:ascii="宋体" w:hAnsi="宋体" w:cs="宋体"/>
                <w:color w:val="auto"/>
                <w:sz w:val="24"/>
                <w:highlight w:val="none"/>
              </w:rPr>
            </w:pPr>
          </w:p>
        </w:tc>
      </w:tr>
      <w:tr w14:paraId="37812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BC136F4">
            <w:pPr>
              <w:jc w:val="center"/>
              <w:rPr>
                <w:rFonts w:ascii="宋体" w:hAnsi="宋体" w:cs="宋体"/>
                <w:color w:val="auto"/>
                <w:sz w:val="24"/>
                <w:highlight w:val="none"/>
              </w:rPr>
            </w:pPr>
            <w:r>
              <w:rPr>
                <w:rFonts w:hint="eastAsia" w:ascii="宋体" w:hAnsi="宋体" w:cs="宋体"/>
                <w:color w:val="auto"/>
                <w:sz w:val="24"/>
                <w:highlight w:val="none"/>
              </w:rPr>
              <w:t>合计</w:t>
            </w:r>
          </w:p>
        </w:tc>
        <w:tc>
          <w:tcPr>
            <w:tcW w:w="2387" w:type="dxa"/>
          </w:tcPr>
          <w:p w14:paraId="3ABB6302">
            <w:pPr>
              <w:jc w:val="center"/>
              <w:rPr>
                <w:rFonts w:ascii="宋体" w:hAnsi="宋体" w:cs="宋体"/>
                <w:color w:val="auto"/>
                <w:sz w:val="24"/>
                <w:highlight w:val="none"/>
              </w:rPr>
            </w:pPr>
          </w:p>
        </w:tc>
        <w:tc>
          <w:tcPr>
            <w:tcW w:w="1462" w:type="dxa"/>
          </w:tcPr>
          <w:p w14:paraId="629485EC">
            <w:pPr>
              <w:jc w:val="center"/>
              <w:rPr>
                <w:rFonts w:ascii="宋体" w:hAnsi="宋体" w:cs="宋体"/>
                <w:color w:val="auto"/>
                <w:sz w:val="24"/>
                <w:highlight w:val="none"/>
              </w:rPr>
            </w:pPr>
          </w:p>
        </w:tc>
        <w:tc>
          <w:tcPr>
            <w:tcW w:w="2415" w:type="dxa"/>
            <w:tcBorders>
              <w:right w:val="single" w:color="auto" w:sz="4" w:space="0"/>
            </w:tcBorders>
          </w:tcPr>
          <w:p w14:paraId="722716CE">
            <w:pPr>
              <w:jc w:val="center"/>
              <w:rPr>
                <w:rFonts w:ascii="宋体" w:hAnsi="宋体" w:cs="宋体"/>
                <w:color w:val="auto"/>
                <w:sz w:val="24"/>
                <w:highlight w:val="none"/>
              </w:rPr>
            </w:pPr>
          </w:p>
        </w:tc>
        <w:tc>
          <w:tcPr>
            <w:tcW w:w="1746" w:type="dxa"/>
            <w:tcBorders>
              <w:left w:val="single" w:color="auto" w:sz="4" w:space="0"/>
            </w:tcBorders>
          </w:tcPr>
          <w:p w14:paraId="2BA4791C">
            <w:pPr>
              <w:jc w:val="center"/>
              <w:rPr>
                <w:rFonts w:ascii="宋体" w:hAnsi="宋体" w:cs="宋体"/>
                <w:color w:val="auto"/>
                <w:sz w:val="24"/>
                <w:highlight w:val="none"/>
              </w:rPr>
            </w:pPr>
          </w:p>
        </w:tc>
      </w:tr>
    </w:tbl>
    <w:p w14:paraId="59290790">
      <w:pPr>
        <w:spacing w:line="360" w:lineRule="auto"/>
        <w:ind w:firstLine="480" w:firstLineChars="200"/>
        <w:rPr>
          <w:rFonts w:ascii="宋体" w:hAnsi="宋体" w:cs="宋体"/>
          <w:color w:val="auto"/>
          <w:sz w:val="24"/>
          <w:highlight w:val="none"/>
        </w:rPr>
      </w:pPr>
    </w:p>
    <w:p w14:paraId="4B7EE732">
      <w:pPr>
        <w:spacing w:line="360" w:lineRule="auto"/>
        <w:ind w:left="3600" w:leftChars="1800" w:firstLine="480" w:firstLineChars="200"/>
        <w:rPr>
          <w:rFonts w:ascii="宋体" w:hAnsi="宋体" w:cs="宋体"/>
          <w:color w:val="auto"/>
          <w:sz w:val="24"/>
          <w:highlight w:val="none"/>
        </w:rPr>
      </w:pPr>
    </w:p>
    <w:p w14:paraId="62A1202D">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2C68793A">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344D5442">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供应商全称（公章）：</w:t>
      </w:r>
    </w:p>
    <w:p w14:paraId="5CF2CB2B">
      <w:pPr>
        <w:pStyle w:val="3"/>
        <w:ind w:firstLine="560"/>
        <w:rPr>
          <w:rFonts w:cs="宋体"/>
          <w:color w:val="auto"/>
          <w:sz w:val="28"/>
          <w:szCs w:val="28"/>
          <w:highlight w:val="none"/>
        </w:rPr>
      </w:pPr>
    </w:p>
    <w:p w14:paraId="0F519CC5">
      <w:pPr>
        <w:snapToGrid w:val="0"/>
        <w:spacing w:before="50" w:after="120" w:afterLines="50"/>
        <w:jc w:val="left"/>
        <w:rPr>
          <w:rFonts w:ascii="宋体" w:hAnsi="宋体" w:cs="宋体"/>
          <w:b/>
          <w:bCs/>
          <w:color w:val="auto"/>
          <w:sz w:val="24"/>
          <w:highlight w:val="none"/>
          <w:lang w:val="zh-CN"/>
        </w:rPr>
      </w:pPr>
      <w:r>
        <w:rPr>
          <w:rFonts w:hint="eastAsia" w:ascii="宋体" w:hAnsi="宋体" w:cs="宋体"/>
          <w:b/>
          <w:bCs/>
          <w:color w:val="auto"/>
          <w:sz w:val="30"/>
          <w:szCs w:val="30"/>
          <w:highlight w:val="none"/>
        </w:rPr>
        <w:br w:type="page"/>
      </w:r>
      <w:r>
        <w:rPr>
          <w:rFonts w:hint="eastAsia" w:ascii="宋体" w:hAnsi="宋体" w:cs="宋体"/>
          <w:b/>
          <w:bCs/>
          <w:color w:val="auto"/>
          <w:sz w:val="24"/>
          <w:highlight w:val="none"/>
          <w:lang w:val="zh-CN"/>
        </w:rPr>
        <w:t>附件</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lang w:val="zh-CN"/>
        </w:rPr>
        <w:t>：</w:t>
      </w:r>
    </w:p>
    <w:p w14:paraId="7201F62C">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磋商项目明细清单</w:t>
      </w:r>
    </w:p>
    <w:p w14:paraId="09738F50">
      <w:pPr>
        <w:spacing w:line="360" w:lineRule="auto"/>
        <w:ind w:firstLine="480" w:firstLineChars="200"/>
        <w:rPr>
          <w:rFonts w:ascii="宋体" w:hAnsi="宋体" w:cs="宋体"/>
          <w:color w:val="auto"/>
          <w:sz w:val="24"/>
          <w:highlight w:val="none"/>
        </w:rPr>
      </w:pPr>
    </w:p>
    <w:p w14:paraId="128B1E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42659D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58929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1371A12">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7E619B2D">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299A2C2C">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22489BBC">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工作量</w:t>
            </w:r>
          </w:p>
        </w:tc>
      </w:tr>
      <w:tr w14:paraId="14565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257F86A">
            <w:pPr>
              <w:snapToGrid w:val="0"/>
              <w:spacing w:before="50" w:after="50"/>
              <w:jc w:val="center"/>
              <w:rPr>
                <w:rFonts w:ascii="宋体" w:hAnsi="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2D2FA78C">
            <w:pPr>
              <w:snapToGrid w:val="0"/>
              <w:spacing w:before="50" w:after="50"/>
              <w:jc w:val="center"/>
              <w:rPr>
                <w:rFonts w:ascii="宋体" w:hAnsi="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62F2F708">
            <w:pPr>
              <w:snapToGrid w:val="0"/>
              <w:spacing w:before="50" w:after="50"/>
              <w:ind w:left="480" w:hanging="480"/>
              <w:jc w:val="center"/>
              <w:rPr>
                <w:rFonts w:ascii="宋体" w:hAnsi="宋体" w:cs="宋体"/>
                <w:color w:val="auto"/>
                <w:sz w:val="24"/>
                <w:highlight w:val="none"/>
              </w:rPr>
            </w:pPr>
          </w:p>
        </w:tc>
        <w:tc>
          <w:tcPr>
            <w:tcW w:w="2830" w:type="dxa"/>
            <w:tcBorders>
              <w:top w:val="single" w:color="auto" w:sz="4" w:space="0"/>
              <w:left w:val="single" w:color="auto" w:sz="4" w:space="0"/>
              <w:bottom w:val="single" w:color="auto" w:sz="4" w:space="0"/>
              <w:right w:val="single" w:color="auto" w:sz="4" w:space="0"/>
            </w:tcBorders>
            <w:vAlign w:val="center"/>
          </w:tcPr>
          <w:p w14:paraId="7D4DF3EB">
            <w:pPr>
              <w:snapToGrid w:val="0"/>
              <w:spacing w:before="50" w:after="50"/>
              <w:jc w:val="center"/>
              <w:rPr>
                <w:rFonts w:ascii="宋体" w:hAnsi="宋体" w:cs="宋体"/>
                <w:color w:val="auto"/>
                <w:sz w:val="24"/>
                <w:highlight w:val="none"/>
              </w:rPr>
            </w:pPr>
          </w:p>
        </w:tc>
      </w:tr>
      <w:tr w14:paraId="1F59E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4D4AC22">
            <w:pPr>
              <w:snapToGrid w:val="0"/>
              <w:spacing w:before="50" w:after="50"/>
              <w:jc w:val="center"/>
              <w:rPr>
                <w:rFonts w:ascii="宋体" w:hAnsi="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12A8F21E">
            <w:pPr>
              <w:snapToGrid w:val="0"/>
              <w:spacing w:before="50" w:after="50"/>
              <w:jc w:val="center"/>
              <w:rPr>
                <w:rFonts w:ascii="宋体" w:hAnsi="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3477804F">
            <w:pPr>
              <w:snapToGrid w:val="0"/>
              <w:spacing w:before="50" w:after="50"/>
              <w:ind w:left="480" w:hanging="480"/>
              <w:jc w:val="center"/>
              <w:rPr>
                <w:rFonts w:ascii="宋体" w:hAnsi="宋体" w:cs="宋体"/>
                <w:color w:val="auto"/>
                <w:sz w:val="24"/>
                <w:highlight w:val="none"/>
              </w:rPr>
            </w:pPr>
          </w:p>
        </w:tc>
        <w:tc>
          <w:tcPr>
            <w:tcW w:w="2830" w:type="dxa"/>
            <w:tcBorders>
              <w:top w:val="single" w:color="auto" w:sz="4" w:space="0"/>
              <w:left w:val="single" w:color="auto" w:sz="4" w:space="0"/>
              <w:bottom w:val="single" w:color="auto" w:sz="4" w:space="0"/>
              <w:right w:val="single" w:color="auto" w:sz="4" w:space="0"/>
            </w:tcBorders>
            <w:vAlign w:val="center"/>
          </w:tcPr>
          <w:p w14:paraId="5D592AAC">
            <w:pPr>
              <w:snapToGrid w:val="0"/>
              <w:spacing w:before="50" w:after="50"/>
              <w:jc w:val="center"/>
              <w:rPr>
                <w:rFonts w:ascii="宋体" w:hAnsi="宋体" w:cs="宋体"/>
                <w:color w:val="auto"/>
                <w:sz w:val="24"/>
                <w:highlight w:val="none"/>
              </w:rPr>
            </w:pPr>
          </w:p>
        </w:tc>
      </w:tr>
    </w:tbl>
    <w:p w14:paraId="17498930">
      <w:pPr>
        <w:snapToGrid w:val="0"/>
        <w:spacing w:before="120" w:before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注：在填写时，如上表不适合本项目的实际情况，可在确保投标明细内容完整的情况下，根据上表格式自行划表填写。</w:t>
      </w:r>
    </w:p>
    <w:p w14:paraId="7E138BD4">
      <w:pPr>
        <w:pStyle w:val="3"/>
        <w:rPr>
          <w:rFonts w:cs="宋体"/>
          <w:color w:val="auto"/>
          <w:highlight w:val="none"/>
        </w:rPr>
      </w:pPr>
    </w:p>
    <w:p w14:paraId="0C9652A5">
      <w:pPr>
        <w:pStyle w:val="3"/>
        <w:rPr>
          <w:rFonts w:cs="宋体"/>
          <w:color w:val="auto"/>
          <w:highlight w:val="none"/>
        </w:rPr>
      </w:pPr>
    </w:p>
    <w:p w14:paraId="7A5BB62B">
      <w:pPr>
        <w:pStyle w:val="3"/>
        <w:rPr>
          <w:rFonts w:cs="宋体"/>
          <w:color w:val="auto"/>
          <w:highlight w:val="none"/>
        </w:rPr>
      </w:pPr>
    </w:p>
    <w:p w14:paraId="5F977AD3">
      <w:pPr>
        <w:snapToGrid w:val="0"/>
        <w:spacing w:before="120" w:beforeLines="50"/>
        <w:rPr>
          <w:rFonts w:ascii="宋体" w:hAnsi="宋体" w:cs="宋体"/>
          <w:color w:val="auto"/>
          <w:sz w:val="24"/>
          <w:highlight w:val="none"/>
        </w:rPr>
      </w:pPr>
    </w:p>
    <w:p w14:paraId="12BD7916">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667E0B7E">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7A5F6585">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供应商全称（公章）：</w:t>
      </w:r>
    </w:p>
    <w:p w14:paraId="34A883AE">
      <w:pPr>
        <w:snapToGrid w:val="0"/>
        <w:spacing w:before="50" w:after="50"/>
        <w:rPr>
          <w:rFonts w:ascii="宋体" w:hAnsi="宋体" w:cs="宋体"/>
          <w:color w:val="auto"/>
          <w:spacing w:val="20"/>
          <w:sz w:val="24"/>
          <w:highlight w:val="none"/>
        </w:rPr>
      </w:pPr>
    </w:p>
    <w:p w14:paraId="5D8F4C69">
      <w:pPr>
        <w:snapToGrid w:val="0"/>
        <w:spacing w:before="50" w:after="50"/>
        <w:rPr>
          <w:rFonts w:ascii="宋体" w:hAnsi="宋体" w:cs="宋体"/>
          <w:color w:val="auto"/>
          <w:spacing w:val="20"/>
          <w:sz w:val="30"/>
          <w:szCs w:val="30"/>
          <w:highlight w:val="none"/>
        </w:rPr>
      </w:pPr>
    </w:p>
    <w:p w14:paraId="13907D30">
      <w:pPr>
        <w:pStyle w:val="3"/>
        <w:ind w:firstLine="680"/>
        <w:rPr>
          <w:rFonts w:cs="宋体"/>
          <w:color w:val="auto"/>
          <w:spacing w:val="20"/>
          <w:sz w:val="30"/>
          <w:szCs w:val="30"/>
          <w:highlight w:val="none"/>
        </w:rPr>
      </w:pPr>
    </w:p>
    <w:p w14:paraId="3AC79ECD">
      <w:pPr>
        <w:pStyle w:val="3"/>
        <w:ind w:firstLine="680"/>
        <w:rPr>
          <w:rFonts w:cs="宋体"/>
          <w:color w:val="auto"/>
          <w:spacing w:val="20"/>
          <w:sz w:val="30"/>
          <w:szCs w:val="30"/>
          <w:highlight w:val="none"/>
        </w:rPr>
      </w:pPr>
    </w:p>
    <w:p w14:paraId="01B6892C">
      <w:pPr>
        <w:pStyle w:val="3"/>
        <w:ind w:firstLine="680"/>
        <w:rPr>
          <w:rFonts w:cs="宋体"/>
          <w:color w:val="auto"/>
          <w:spacing w:val="20"/>
          <w:sz w:val="30"/>
          <w:szCs w:val="30"/>
          <w:highlight w:val="none"/>
        </w:rPr>
      </w:pPr>
    </w:p>
    <w:p w14:paraId="798534C5">
      <w:pPr>
        <w:pStyle w:val="3"/>
        <w:ind w:firstLine="680"/>
        <w:rPr>
          <w:rFonts w:cs="宋体"/>
          <w:color w:val="auto"/>
          <w:spacing w:val="20"/>
          <w:sz w:val="30"/>
          <w:szCs w:val="30"/>
          <w:highlight w:val="none"/>
        </w:rPr>
      </w:pPr>
    </w:p>
    <w:p w14:paraId="78F8335E">
      <w:pPr>
        <w:rPr>
          <w:color w:val="auto"/>
          <w:sz w:val="24"/>
          <w:szCs w:val="18"/>
          <w:highlight w:val="none"/>
        </w:rPr>
      </w:pPr>
      <w:bookmarkStart w:id="141" w:name="_Toc2823"/>
      <w:r>
        <w:rPr>
          <w:rFonts w:hint="eastAsia"/>
          <w:color w:val="auto"/>
          <w:sz w:val="24"/>
          <w:szCs w:val="18"/>
          <w:highlight w:val="none"/>
        </w:rPr>
        <w:br w:type="page"/>
      </w:r>
    </w:p>
    <w:p w14:paraId="02895D1F">
      <w:pPr>
        <w:rPr>
          <w:b/>
          <w:bCs/>
          <w:color w:val="auto"/>
          <w:sz w:val="24"/>
          <w:szCs w:val="32"/>
          <w:highlight w:val="none"/>
        </w:rPr>
      </w:pPr>
      <w:r>
        <w:rPr>
          <w:rFonts w:hint="eastAsia"/>
          <w:b/>
          <w:bCs/>
          <w:color w:val="auto"/>
          <w:sz w:val="24"/>
          <w:szCs w:val="32"/>
          <w:highlight w:val="none"/>
        </w:rPr>
        <w:t>附件</w:t>
      </w:r>
      <w:r>
        <w:rPr>
          <w:rFonts w:hint="eastAsia"/>
          <w:b/>
          <w:bCs/>
          <w:color w:val="auto"/>
          <w:sz w:val="24"/>
          <w:szCs w:val="32"/>
          <w:highlight w:val="none"/>
          <w:lang w:val="en-US" w:eastAsia="zh-CN"/>
        </w:rPr>
        <w:t>九</w:t>
      </w:r>
      <w:r>
        <w:rPr>
          <w:rFonts w:hint="eastAsia"/>
          <w:b/>
          <w:bCs/>
          <w:color w:val="auto"/>
          <w:sz w:val="24"/>
          <w:szCs w:val="32"/>
          <w:highlight w:val="none"/>
        </w:rPr>
        <w:t>：</w:t>
      </w:r>
    </w:p>
    <w:p w14:paraId="2F4DF332">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技术响应及建议表</w:t>
      </w:r>
      <w:bookmarkEnd w:id="141"/>
    </w:p>
    <w:p w14:paraId="2D16B5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5A196E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7677B6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05A2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AEA4F4C">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40" w:type="dxa"/>
            <w:vAlign w:val="center"/>
          </w:tcPr>
          <w:p w14:paraId="59AE6C2B">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名称</w:t>
            </w:r>
          </w:p>
        </w:tc>
        <w:tc>
          <w:tcPr>
            <w:tcW w:w="1980" w:type="dxa"/>
            <w:vAlign w:val="center"/>
          </w:tcPr>
          <w:p w14:paraId="44CDA77B">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磋商文件要求</w:t>
            </w:r>
          </w:p>
        </w:tc>
        <w:tc>
          <w:tcPr>
            <w:tcW w:w="2520" w:type="dxa"/>
            <w:vAlign w:val="center"/>
          </w:tcPr>
          <w:p w14:paraId="2E871300">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响应文件响应</w:t>
            </w:r>
          </w:p>
        </w:tc>
        <w:tc>
          <w:tcPr>
            <w:tcW w:w="1953" w:type="dxa"/>
            <w:vAlign w:val="center"/>
          </w:tcPr>
          <w:p w14:paraId="61E51595">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偏离情况</w:t>
            </w:r>
          </w:p>
        </w:tc>
      </w:tr>
      <w:tr w14:paraId="22E1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E252906">
            <w:pPr>
              <w:snapToGrid w:val="0"/>
              <w:spacing w:before="50" w:after="50"/>
              <w:jc w:val="center"/>
              <w:rPr>
                <w:rFonts w:ascii="宋体" w:hAnsi="宋体" w:cs="宋体"/>
                <w:color w:val="auto"/>
                <w:sz w:val="24"/>
                <w:highlight w:val="none"/>
              </w:rPr>
            </w:pPr>
          </w:p>
        </w:tc>
        <w:tc>
          <w:tcPr>
            <w:tcW w:w="1440" w:type="dxa"/>
            <w:vAlign w:val="center"/>
          </w:tcPr>
          <w:p w14:paraId="437C98C3">
            <w:pPr>
              <w:snapToGrid w:val="0"/>
              <w:spacing w:before="50" w:after="50"/>
              <w:jc w:val="center"/>
              <w:rPr>
                <w:rFonts w:ascii="宋体" w:hAnsi="宋体" w:cs="宋体"/>
                <w:color w:val="auto"/>
                <w:sz w:val="24"/>
                <w:highlight w:val="none"/>
              </w:rPr>
            </w:pPr>
          </w:p>
        </w:tc>
        <w:tc>
          <w:tcPr>
            <w:tcW w:w="1980" w:type="dxa"/>
            <w:vAlign w:val="center"/>
          </w:tcPr>
          <w:p w14:paraId="3F2D77C0">
            <w:pPr>
              <w:snapToGrid w:val="0"/>
              <w:spacing w:before="50" w:after="50"/>
              <w:jc w:val="center"/>
              <w:rPr>
                <w:rFonts w:ascii="宋体" w:hAnsi="宋体" w:cs="宋体"/>
                <w:color w:val="auto"/>
                <w:sz w:val="24"/>
                <w:highlight w:val="none"/>
              </w:rPr>
            </w:pPr>
          </w:p>
        </w:tc>
        <w:tc>
          <w:tcPr>
            <w:tcW w:w="2520" w:type="dxa"/>
            <w:vAlign w:val="center"/>
          </w:tcPr>
          <w:p w14:paraId="775D14F8">
            <w:pPr>
              <w:snapToGrid w:val="0"/>
              <w:spacing w:before="50" w:after="50"/>
              <w:jc w:val="center"/>
              <w:rPr>
                <w:rFonts w:ascii="宋体" w:hAnsi="宋体" w:cs="宋体"/>
                <w:color w:val="auto"/>
                <w:sz w:val="24"/>
                <w:highlight w:val="none"/>
              </w:rPr>
            </w:pPr>
          </w:p>
        </w:tc>
        <w:tc>
          <w:tcPr>
            <w:tcW w:w="1953" w:type="dxa"/>
            <w:vAlign w:val="center"/>
          </w:tcPr>
          <w:p w14:paraId="449F00F1">
            <w:pPr>
              <w:snapToGrid w:val="0"/>
              <w:spacing w:before="50" w:after="50"/>
              <w:jc w:val="center"/>
              <w:rPr>
                <w:rFonts w:ascii="宋体" w:hAnsi="宋体" w:cs="宋体"/>
                <w:color w:val="auto"/>
                <w:sz w:val="24"/>
                <w:highlight w:val="none"/>
              </w:rPr>
            </w:pPr>
          </w:p>
        </w:tc>
      </w:tr>
      <w:tr w14:paraId="43CA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413D1E4">
            <w:pPr>
              <w:snapToGrid w:val="0"/>
              <w:spacing w:before="50" w:after="50"/>
              <w:jc w:val="center"/>
              <w:rPr>
                <w:rFonts w:ascii="宋体" w:hAnsi="宋体" w:cs="宋体"/>
                <w:color w:val="auto"/>
                <w:sz w:val="24"/>
                <w:highlight w:val="none"/>
              </w:rPr>
            </w:pPr>
          </w:p>
        </w:tc>
        <w:tc>
          <w:tcPr>
            <w:tcW w:w="1440" w:type="dxa"/>
            <w:vAlign w:val="center"/>
          </w:tcPr>
          <w:p w14:paraId="395A1414">
            <w:pPr>
              <w:snapToGrid w:val="0"/>
              <w:spacing w:before="50" w:after="50"/>
              <w:jc w:val="center"/>
              <w:rPr>
                <w:rFonts w:ascii="宋体" w:hAnsi="宋体" w:cs="宋体"/>
                <w:color w:val="auto"/>
                <w:sz w:val="24"/>
                <w:highlight w:val="none"/>
              </w:rPr>
            </w:pPr>
          </w:p>
        </w:tc>
        <w:tc>
          <w:tcPr>
            <w:tcW w:w="1980" w:type="dxa"/>
            <w:vAlign w:val="center"/>
          </w:tcPr>
          <w:p w14:paraId="4EC1E7E1">
            <w:pPr>
              <w:snapToGrid w:val="0"/>
              <w:spacing w:before="50" w:after="50"/>
              <w:jc w:val="center"/>
              <w:rPr>
                <w:rFonts w:ascii="宋体" w:hAnsi="宋体" w:cs="宋体"/>
                <w:color w:val="auto"/>
                <w:sz w:val="24"/>
                <w:highlight w:val="none"/>
              </w:rPr>
            </w:pPr>
          </w:p>
        </w:tc>
        <w:tc>
          <w:tcPr>
            <w:tcW w:w="2520" w:type="dxa"/>
            <w:vAlign w:val="center"/>
          </w:tcPr>
          <w:p w14:paraId="36F7DBB6">
            <w:pPr>
              <w:snapToGrid w:val="0"/>
              <w:spacing w:before="50" w:after="50"/>
              <w:jc w:val="center"/>
              <w:rPr>
                <w:rFonts w:ascii="宋体" w:hAnsi="宋体" w:cs="宋体"/>
                <w:color w:val="auto"/>
                <w:sz w:val="24"/>
                <w:highlight w:val="none"/>
              </w:rPr>
            </w:pPr>
          </w:p>
        </w:tc>
        <w:tc>
          <w:tcPr>
            <w:tcW w:w="1953" w:type="dxa"/>
            <w:vAlign w:val="center"/>
          </w:tcPr>
          <w:p w14:paraId="005FF55B">
            <w:pPr>
              <w:snapToGrid w:val="0"/>
              <w:spacing w:before="50" w:after="50"/>
              <w:jc w:val="center"/>
              <w:rPr>
                <w:rFonts w:ascii="宋体" w:hAnsi="宋体" w:cs="宋体"/>
                <w:color w:val="auto"/>
                <w:sz w:val="24"/>
                <w:highlight w:val="none"/>
              </w:rPr>
            </w:pPr>
          </w:p>
        </w:tc>
      </w:tr>
      <w:tr w14:paraId="2DAB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5A20261">
            <w:pPr>
              <w:snapToGrid w:val="0"/>
              <w:spacing w:before="50" w:after="50"/>
              <w:jc w:val="center"/>
              <w:rPr>
                <w:rFonts w:ascii="宋体" w:hAnsi="宋体" w:cs="宋体"/>
                <w:color w:val="auto"/>
                <w:sz w:val="24"/>
                <w:highlight w:val="none"/>
              </w:rPr>
            </w:pPr>
          </w:p>
        </w:tc>
        <w:tc>
          <w:tcPr>
            <w:tcW w:w="1440" w:type="dxa"/>
            <w:vAlign w:val="center"/>
          </w:tcPr>
          <w:p w14:paraId="2AE9FD13">
            <w:pPr>
              <w:snapToGrid w:val="0"/>
              <w:spacing w:before="50" w:after="50"/>
              <w:jc w:val="center"/>
              <w:rPr>
                <w:rFonts w:ascii="宋体" w:hAnsi="宋体" w:cs="宋体"/>
                <w:color w:val="auto"/>
                <w:sz w:val="24"/>
                <w:highlight w:val="none"/>
              </w:rPr>
            </w:pPr>
          </w:p>
        </w:tc>
        <w:tc>
          <w:tcPr>
            <w:tcW w:w="1980" w:type="dxa"/>
            <w:vAlign w:val="center"/>
          </w:tcPr>
          <w:p w14:paraId="5075AB70">
            <w:pPr>
              <w:snapToGrid w:val="0"/>
              <w:spacing w:before="50" w:after="50"/>
              <w:jc w:val="center"/>
              <w:rPr>
                <w:rFonts w:ascii="宋体" w:hAnsi="宋体" w:cs="宋体"/>
                <w:color w:val="auto"/>
                <w:sz w:val="24"/>
                <w:highlight w:val="none"/>
              </w:rPr>
            </w:pPr>
          </w:p>
        </w:tc>
        <w:tc>
          <w:tcPr>
            <w:tcW w:w="2520" w:type="dxa"/>
            <w:vAlign w:val="center"/>
          </w:tcPr>
          <w:p w14:paraId="3C1390C4">
            <w:pPr>
              <w:snapToGrid w:val="0"/>
              <w:spacing w:before="50" w:after="50"/>
              <w:jc w:val="center"/>
              <w:rPr>
                <w:rFonts w:ascii="宋体" w:hAnsi="宋体" w:cs="宋体"/>
                <w:color w:val="auto"/>
                <w:sz w:val="24"/>
                <w:highlight w:val="none"/>
              </w:rPr>
            </w:pPr>
          </w:p>
        </w:tc>
        <w:tc>
          <w:tcPr>
            <w:tcW w:w="1953" w:type="dxa"/>
            <w:vAlign w:val="center"/>
          </w:tcPr>
          <w:p w14:paraId="6D8C966E">
            <w:pPr>
              <w:snapToGrid w:val="0"/>
              <w:spacing w:before="50" w:after="50"/>
              <w:jc w:val="center"/>
              <w:rPr>
                <w:rFonts w:ascii="宋体" w:hAnsi="宋体" w:cs="宋体"/>
                <w:color w:val="auto"/>
                <w:sz w:val="24"/>
                <w:highlight w:val="none"/>
              </w:rPr>
            </w:pPr>
          </w:p>
        </w:tc>
      </w:tr>
      <w:tr w14:paraId="3A1F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8348CD8">
            <w:pPr>
              <w:snapToGrid w:val="0"/>
              <w:spacing w:before="50" w:after="50"/>
              <w:jc w:val="center"/>
              <w:rPr>
                <w:rFonts w:ascii="宋体" w:hAnsi="宋体" w:cs="宋体"/>
                <w:color w:val="auto"/>
                <w:sz w:val="24"/>
                <w:highlight w:val="none"/>
              </w:rPr>
            </w:pPr>
          </w:p>
        </w:tc>
        <w:tc>
          <w:tcPr>
            <w:tcW w:w="1440" w:type="dxa"/>
            <w:vAlign w:val="center"/>
          </w:tcPr>
          <w:p w14:paraId="311211A4">
            <w:pPr>
              <w:snapToGrid w:val="0"/>
              <w:spacing w:before="50" w:after="50"/>
              <w:jc w:val="center"/>
              <w:rPr>
                <w:rFonts w:ascii="宋体" w:hAnsi="宋体" w:cs="宋体"/>
                <w:color w:val="auto"/>
                <w:sz w:val="24"/>
                <w:highlight w:val="none"/>
              </w:rPr>
            </w:pPr>
          </w:p>
        </w:tc>
        <w:tc>
          <w:tcPr>
            <w:tcW w:w="1980" w:type="dxa"/>
            <w:vAlign w:val="center"/>
          </w:tcPr>
          <w:p w14:paraId="628FF2CC">
            <w:pPr>
              <w:snapToGrid w:val="0"/>
              <w:spacing w:before="50" w:after="50"/>
              <w:jc w:val="center"/>
              <w:rPr>
                <w:rFonts w:ascii="宋体" w:hAnsi="宋体" w:cs="宋体"/>
                <w:color w:val="auto"/>
                <w:sz w:val="24"/>
                <w:highlight w:val="none"/>
              </w:rPr>
            </w:pPr>
          </w:p>
        </w:tc>
        <w:tc>
          <w:tcPr>
            <w:tcW w:w="2520" w:type="dxa"/>
            <w:vAlign w:val="center"/>
          </w:tcPr>
          <w:p w14:paraId="504DCAFD">
            <w:pPr>
              <w:snapToGrid w:val="0"/>
              <w:spacing w:before="50" w:after="50"/>
              <w:jc w:val="center"/>
              <w:rPr>
                <w:rFonts w:ascii="宋体" w:hAnsi="宋体" w:cs="宋体"/>
                <w:color w:val="auto"/>
                <w:sz w:val="24"/>
                <w:highlight w:val="none"/>
              </w:rPr>
            </w:pPr>
          </w:p>
        </w:tc>
        <w:tc>
          <w:tcPr>
            <w:tcW w:w="1953" w:type="dxa"/>
            <w:vAlign w:val="center"/>
          </w:tcPr>
          <w:p w14:paraId="2C8E3795">
            <w:pPr>
              <w:snapToGrid w:val="0"/>
              <w:spacing w:before="50" w:after="50"/>
              <w:jc w:val="center"/>
              <w:rPr>
                <w:rFonts w:ascii="宋体" w:hAnsi="宋体" w:cs="宋体"/>
                <w:color w:val="auto"/>
                <w:sz w:val="24"/>
                <w:highlight w:val="none"/>
              </w:rPr>
            </w:pPr>
          </w:p>
        </w:tc>
      </w:tr>
      <w:tr w14:paraId="7970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2B8AA56">
            <w:pPr>
              <w:snapToGrid w:val="0"/>
              <w:spacing w:before="50" w:after="50"/>
              <w:jc w:val="center"/>
              <w:rPr>
                <w:rFonts w:ascii="宋体" w:hAnsi="宋体" w:cs="宋体"/>
                <w:color w:val="auto"/>
                <w:sz w:val="24"/>
                <w:highlight w:val="none"/>
              </w:rPr>
            </w:pPr>
          </w:p>
        </w:tc>
        <w:tc>
          <w:tcPr>
            <w:tcW w:w="1440" w:type="dxa"/>
            <w:vAlign w:val="center"/>
          </w:tcPr>
          <w:p w14:paraId="73D27561">
            <w:pPr>
              <w:snapToGrid w:val="0"/>
              <w:spacing w:before="50" w:after="50"/>
              <w:jc w:val="center"/>
              <w:rPr>
                <w:rFonts w:ascii="宋体" w:hAnsi="宋体" w:cs="宋体"/>
                <w:color w:val="auto"/>
                <w:sz w:val="24"/>
                <w:highlight w:val="none"/>
              </w:rPr>
            </w:pPr>
          </w:p>
        </w:tc>
        <w:tc>
          <w:tcPr>
            <w:tcW w:w="1980" w:type="dxa"/>
            <w:vAlign w:val="center"/>
          </w:tcPr>
          <w:p w14:paraId="36D52C0E">
            <w:pPr>
              <w:snapToGrid w:val="0"/>
              <w:spacing w:before="50" w:after="50"/>
              <w:jc w:val="center"/>
              <w:rPr>
                <w:rFonts w:ascii="宋体" w:hAnsi="宋体" w:cs="宋体"/>
                <w:color w:val="auto"/>
                <w:sz w:val="24"/>
                <w:highlight w:val="none"/>
              </w:rPr>
            </w:pPr>
          </w:p>
        </w:tc>
        <w:tc>
          <w:tcPr>
            <w:tcW w:w="2520" w:type="dxa"/>
            <w:vAlign w:val="center"/>
          </w:tcPr>
          <w:p w14:paraId="746A5A66">
            <w:pPr>
              <w:snapToGrid w:val="0"/>
              <w:spacing w:before="50" w:after="50"/>
              <w:jc w:val="center"/>
              <w:rPr>
                <w:rFonts w:ascii="宋体" w:hAnsi="宋体" w:cs="宋体"/>
                <w:color w:val="auto"/>
                <w:sz w:val="24"/>
                <w:highlight w:val="none"/>
              </w:rPr>
            </w:pPr>
          </w:p>
        </w:tc>
        <w:tc>
          <w:tcPr>
            <w:tcW w:w="1953" w:type="dxa"/>
            <w:vAlign w:val="center"/>
          </w:tcPr>
          <w:p w14:paraId="44EC94FA">
            <w:pPr>
              <w:snapToGrid w:val="0"/>
              <w:spacing w:before="50" w:after="50"/>
              <w:jc w:val="center"/>
              <w:rPr>
                <w:rFonts w:ascii="宋体" w:hAnsi="宋体" w:cs="宋体"/>
                <w:color w:val="auto"/>
                <w:sz w:val="24"/>
                <w:highlight w:val="none"/>
              </w:rPr>
            </w:pPr>
          </w:p>
        </w:tc>
      </w:tr>
      <w:tr w14:paraId="3DE0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7ED4720C">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投标建议</w:t>
            </w:r>
          </w:p>
        </w:tc>
        <w:tc>
          <w:tcPr>
            <w:tcW w:w="6453" w:type="dxa"/>
            <w:gridSpan w:val="3"/>
            <w:vAlign w:val="center"/>
          </w:tcPr>
          <w:p w14:paraId="0E45B1AC">
            <w:pPr>
              <w:spacing w:line="360" w:lineRule="auto"/>
              <w:jc w:val="center"/>
              <w:rPr>
                <w:rFonts w:ascii="宋体" w:hAnsi="宋体" w:cs="宋体"/>
                <w:color w:val="auto"/>
                <w:sz w:val="24"/>
                <w:highlight w:val="none"/>
              </w:rPr>
            </w:pPr>
          </w:p>
        </w:tc>
      </w:tr>
    </w:tbl>
    <w:p w14:paraId="011AE7AA">
      <w:pPr>
        <w:snapToGrid w:val="0"/>
        <w:spacing w:line="360" w:lineRule="auto"/>
        <w:rPr>
          <w:rFonts w:ascii="宋体" w:hAnsi="宋体" w:cs="宋体"/>
          <w:color w:val="auto"/>
          <w:sz w:val="24"/>
          <w:highlight w:val="none"/>
        </w:rPr>
      </w:pPr>
    </w:p>
    <w:p w14:paraId="30A5A93B">
      <w:pPr>
        <w:pStyle w:val="16"/>
        <w:spacing w:line="360" w:lineRule="auto"/>
        <w:rPr>
          <w:rFonts w:hAnsi="宋体" w:cs="宋体"/>
          <w:color w:val="auto"/>
          <w:sz w:val="24"/>
          <w:highlight w:val="none"/>
        </w:rPr>
      </w:pPr>
      <w:r>
        <w:rPr>
          <w:rFonts w:hint="eastAsia" w:hAnsi="宋体" w:cs="宋体"/>
          <w:color w:val="auto"/>
          <w:sz w:val="24"/>
          <w:highlight w:val="none"/>
        </w:rPr>
        <w:t>注：名称可基于项目清单根据供应商实际情况调整。</w:t>
      </w:r>
    </w:p>
    <w:p w14:paraId="055ABF45">
      <w:pPr>
        <w:rPr>
          <w:rFonts w:ascii="宋体" w:hAnsi="宋体" w:cs="宋体"/>
          <w:color w:val="auto"/>
          <w:sz w:val="24"/>
          <w:highlight w:val="none"/>
        </w:rPr>
      </w:pPr>
    </w:p>
    <w:p w14:paraId="091A14A6">
      <w:pPr>
        <w:pStyle w:val="3"/>
        <w:rPr>
          <w:color w:val="auto"/>
          <w:highlight w:val="none"/>
        </w:rPr>
      </w:pPr>
    </w:p>
    <w:p w14:paraId="1CF5B188">
      <w:pPr>
        <w:snapToGrid w:val="0"/>
        <w:spacing w:line="360" w:lineRule="auto"/>
        <w:rPr>
          <w:rFonts w:ascii="宋体" w:hAnsi="宋体" w:cs="宋体"/>
          <w:color w:val="auto"/>
          <w:sz w:val="24"/>
          <w:highlight w:val="none"/>
        </w:rPr>
      </w:pPr>
    </w:p>
    <w:p w14:paraId="09F80183">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4B450ECD">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665B9C3D">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供应商全称（公章）：</w:t>
      </w:r>
    </w:p>
    <w:p w14:paraId="1411DA66">
      <w:pPr>
        <w:rPr>
          <w:color w:val="auto"/>
          <w:sz w:val="24"/>
          <w:szCs w:val="18"/>
          <w:highlight w:val="none"/>
        </w:rPr>
      </w:pPr>
      <w:r>
        <w:rPr>
          <w:rFonts w:hint="eastAsia"/>
          <w:color w:val="auto"/>
          <w:sz w:val="24"/>
          <w:szCs w:val="18"/>
          <w:highlight w:val="none"/>
        </w:rPr>
        <w:br w:type="page"/>
      </w:r>
    </w:p>
    <w:p w14:paraId="2BF19F44">
      <w:pPr>
        <w:rPr>
          <w:b/>
          <w:bCs/>
          <w:color w:val="auto"/>
          <w:sz w:val="24"/>
          <w:szCs w:val="32"/>
          <w:highlight w:val="none"/>
        </w:rPr>
      </w:pPr>
      <w:r>
        <w:rPr>
          <w:rFonts w:hint="eastAsia"/>
          <w:b/>
          <w:bCs/>
          <w:color w:val="auto"/>
          <w:sz w:val="24"/>
          <w:szCs w:val="32"/>
          <w:highlight w:val="none"/>
        </w:rPr>
        <w:t>附件</w:t>
      </w:r>
      <w:r>
        <w:rPr>
          <w:rFonts w:hint="eastAsia"/>
          <w:b/>
          <w:bCs/>
          <w:color w:val="auto"/>
          <w:sz w:val="24"/>
          <w:szCs w:val="32"/>
          <w:highlight w:val="none"/>
          <w:lang w:val="en-US" w:eastAsia="zh-CN"/>
        </w:rPr>
        <w:t>十</w:t>
      </w:r>
      <w:r>
        <w:rPr>
          <w:rFonts w:hint="eastAsia"/>
          <w:b/>
          <w:bCs/>
          <w:color w:val="auto"/>
          <w:sz w:val="24"/>
          <w:szCs w:val="32"/>
          <w:highlight w:val="none"/>
        </w:rPr>
        <w:t>：</w:t>
      </w:r>
    </w:p>
    <w:p w14:paraId="14D1904C">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商务响应表</w:t>
      </w:r>
    </w:p>
    <w:p w14:paraId="6926F6BB">
      <w:pPr>
        <w:snapToGrid w:val="0"/>
        <w:spacing w:before="50"/>
        <w:jc w:val="center"/>
        <w:rPr>
          <w:rFonts w:ascii="宋体" w:hAnsi="宋体" w:cs="宋体"/>
          <w:b/>
          <w:color w:val="auto"/>
          <w:sz w:val="32"/>
          <w:szCs w:val="32"/>
          <w:highlight w:val="none"/>
        </w:rPr>
      </w:pPr>
    </w:p>
    <w:p w14:paraId="76E9D5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53F50F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9"/>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575EB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7E422929">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6AE62FA7">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31DF2E3C">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是否</w:t>
            </w:r>
          </w:p>
          <w:p w14:paraId="07D6B731">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4FA35096">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供应商的承诺或说明</w:t>
            </w:r>
          </w:p>
        </w:tc>
      </w:tr>
      <w:tr w14:paraId="19A79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12BF1F0B">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65E770AE">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0B6918">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05C785EB">
            <w:pPr>
              <w:snapToGrid w:val="0"/>
              <w:spacing w:before="50" w:after="50"/>
              <w:jc w:val="center"/>
              <w:rPr>
                <w:rFonts w:ascii="宋体" w:hAnsi="宋体" w:cs="宋体"/>
                <w:color w:val="auto"/>
                <w:sz w:val="24"/>
                <w:highlight w:val="none"/>
              </w:rPr>
            </w:pPr>
          </w:p>
        </w:tc>
      </w:tr>
      <w:tr w14:paraId="32063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3505A286">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3568D3B2">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B44A413">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4CAC5079">
            <w:pPr>
              <w:snapToGrid w:val="0"/>
              <w:spacing w:before="50" w:after="50"/>
              <w:jc w:val="center"/>
              <w:rPr>
                <w:rFonts w:ascii="宋体" w:hAnsi="宋体" w:cs="宋体"/>
                <w:color w:val="auto"/>
                <w:sz w:val="24"/>
                <w:highlight w:val="none"/>
              </w:rPr>
            </w:pPr>
          </w:p>
        </w:tc>
      </w:tr>
      <w:tr w14:paraId="22700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578D362F">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6155FBBB">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9762F8">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390127C9">
            <w:pPr>
              <w:snapToGrid w:val="0"/>
              <w:spacing w:before="50" w:after="50"/>
              <w:jc w:val="center"/>
              <w:rPr>
                <w:rFonts w:ascii="宋体" w:hAnsi="宋体" w:cs="宋体"/>
                <w:color w:val="auto"/>
                <w:sz w:val="24"/>
                <w:highlight w:val="none"/>
              </w:rPr>
            </w:pPr>
          </w:p>
        </w:tc>
      </w:tr>
      <w:tr w14:paraId="250D3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73CA3330">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14:paraId="3615ABA2">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F8BFAF6">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07028D22">
            <w:pPr>
              <w:snapToGrid w:val="0"/>
              <w:spacing w:before="50" w:after="50"/>
              <w:jc w:val="center"/>
              <w:rPr>
                <w:rFonts w:ascii="宋体" w:hAnsi="宋体" w:cs="宋体"/>
                <w:color w:val="auto"/>
                <w:sz w:val="24"/>
                <w:highlight w:val="none"/>
              </w:rPr>
            </w:pPr>
          </w:p>
        </w:tc>
      </w:tr>
      <w:tr w14:paraId="16A47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6D768E65">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本地化服务</w:t>
            </w:r>
          </w:p>
        </w:tc>
        <w:tc>
          <w:tcPr>
            <w:tcW w:w="2700" w:type="dxa"/>
            <w:tcBorders>
              <w:top w:val="single" w:color="auto" w:sz="4" w:space="0"/>
              <w:left w:val="single" w:color="auto" w:sz="4" w:space="0"/>
              <w:bottom w:val="single" w:color="auto" w:sz="4" w:space="0"/>
              <w:right w:val="single" w:color="auto" w:sz="4" w:space="0"/>
            </w:tcBorders>
            <w:vAlign w:val="center"/>
          </w:tcPr>
          <w:p w14:paraId="573253DF">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38300EF">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59D032B5">
            <w:pPr>
              <w:snapToGrid w:val="0"/>
              <w:spacing w:before="50" w:after="50"/>
              <w:jc w:val="center"/>
              <w:rPr>
                <w:rFonts w:ascii="宋体" w:hAnsi="宋体" w:cs="宋体"/>
                <w:color w:val="auto"/>
                <w:sz w:val="24"/>
                <w:highlight w:val="none"/>
              </w:rPr>
            </w:pPr>
          </w:p>
        </w:tc>
      </w:tr>
      <w:tr w14:paraId="7B14F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5E598792">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14:paraId="73E917E4">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0AB2C3">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77723C20">
            <w:pPr>
              <w:snapToGrid w:val="0"/>
              <w:spacing w:before="50" w:after="50"/>
              <w:jc w:val="center"/>
              <w:rPr>
                <w:rFonts w:ascii="宋体" w:hAnsi="宋体" w:cs="宋体"/>
                <w:color w:val="auto"/>
                <w:sz w:val="24"/>
                <w:highlight w:val="none"/>
              </w:rPr>
            </w:pPr>
          </w:p>
        </w:tc>
      </w:tr>
      <w:tr w14:paraId="6685D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7F4346B2">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14:paraId="7B484CE7">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969149">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27D3E637">
            <w:pPr>
              <w:snapToGrid w:val="0"/>
              <w:spacing w:before="50" w:after="50"/>
              <w:jc w:val="center"/>
              <w:rPr>
                <w:rFonts w:ascii="宋体" w:hAnsi="宋体" w:cs="宋体"/>
                <w:color w:val="auto"/>
                <w:sz w:val="24"/>
                <w:highlight w:val="none"/>
              </w:rPr>
            </w:pPr>
          </w:p>
        </w:tc>
      </w:tr>
      <w:tr w14:paraId="64444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6E303085">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42891391">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6ECD19">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3D89CC18">
            <w:pPr>
              <w:snapToGrid w:val="0"/>
              <w:spacing w:before="50" w:after="50"/>
              <w:jc w:val="center"/>
              <w:rPr>
                <w:rFonts w:ascii="宋体" w:hAnsi="宋体" w:cs="宋体"/>
                <w:color w:val="auto"/>
                <w:sz w:val="24"/>
                <w:highlight w:val="none"/>
              </w:rPr>
            </w:pPr>
          </w:p>
        </w:tc>
      </w:tr>
      <w:tr w14:paraId="7A1F0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6361B110">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280EA1CC">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484CC4">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5ABCC53D">
            <w:pPr>
              <w:snapToGrid w:val="0"/>
              <w:spacing w:before="50" w:after="50"/>
              <w:jc w:val="center"/>
              <w:rPr>
                <w:rFonts w:ascii="宋体" w:hAnsi="宋体" w:cs="宋体"/>
                <w:color w:val="auto"/>
                <w:sz w:val="24"/>
                <w:highlight w:val="none"/>
              </w:rPr>
            </w:pPr>
          </w:p>
        </w:tc>
      </w:tr>
      <w:tr w14:paraId="23252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215479C9">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3E07C617">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C6F5C0E">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1756B295">
            <w:pPr>
              <w:snapToGrid w:val="0"/>
              <w:spacing w:before="50" w:after="50"/>
              <w:jc w:val="center"/>
              <w:rPr>
                <w:rFonts w:ascii="宋体" w:hAnsi="宋体" w:cs="宋体"/>
                <w:color w:val="auto"/>
                <w:sz w:val="24"/>
                <w:highlight w:val="none"/>
              </w:rPr>
            </w:pPr>
          </w:p>
        </w:tc>
      </w:tr>
      <w:tr w14:paraId="75EBE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7F41EE53">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14:paraId="748B7793">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57F1C9C">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4E176B36">
            <w:pPr>
              <w:snapToGrid w:val="0"/>
              <w:spacing w:before="50" w:after="50"/>
              <w:jc w:val="center"/>
              <w:rPr>
                <w:rFonts w:ascii="宋体" w:hAnsi="宋体" w:cs="宋体"/>
                <w:color w:val="auto"/>
                <w:sz w:val="24"/>
                <w:highlight w:val="none"/>
              </w:rPr>
            </w:pPr>
          </w:p>
        </w:tc>
      </w:tr>
    </w:tbl>
    <w:p w14:paraId="4E4EA72F">
      <w:pPr>
        <w:spacing w:line="360" w:lineRule="auto"/>
        <w:ind w:left="3600" w:leftChars="1800" w:firstLine="480" w:firstLineChars="200"/>
        <w:rPr>
          <w:rFonts w:ascii="宋体" w:hAnsi="宋体" w:cs="宋体"/>
          <w:color w:val="auto"/>
          <w:sz w:val="24"/>
          <w:highlight w:val="none"/>
        </w:rPr>
      </w:pPr>
    </w:p>
    <w:p w14:paraId="4701F72A">
      <w:pPr>
        <w:spacing w:line="360" w:lineRule="auto"/>
        <w:ind w:left="3600" w:leftChars="1800" w:firstLine="480" w:firstLineChars="200"/>
        <w:rPr>
          <w:rFonts w:ascii="宋体" w:hAnsi="宋体" w:cs="宋体"/>
          <w:color w:val="auto"/>
          <w:sz w:val="24"/>
          <w:highlight w:val="none"/>
        </w:rPr>
      </w:pPr>
    </w:p>
    <w:p w14:paraId="2DEA113E">
      <w:pPr>
        <w:spacing w:line="360" w:lineRule="auto"/>
        <w:ind w:left="3600" w:leftChars="1800" w:firstLine="480" w:firstLineChars="200"/>
        <w:rPr>
          <w:rFonts w:ascii="宋体" w:hAnsi="宋体" w:cs="宋体"/>
          <w:color w:val="auto"/>
          <w:sz w:val="24"/>
          <w:highlight w:val="none"/>
        </w:rPr>
      </w:pPr>
    </w:p>
    <w:p w14:paraId="6FE7901C">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1411540F">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1DFE0C03">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供应商全称（公章）：</w:t>
      </w:r>
    </w:p>
    <w:p w14:paraId="6B0798B2">
      <w:pPr>
        <w:snapToGrid w:val="0"/>
        <w:spacing w:before="50" w:after="50"/>
        <w:rPr>
          <w:rFonts w:ascii="宋体" w:hAnsi="宋体" w:cs="宋体"/>
          <w:b/>
          <w:bCs/>
          <w:color w:val="auto"/>
          <w:sz w:val="24"/>
          <w:highlight w:val="none"/>
          <w:lang w:val="zh-CN"/>
        </w:rPr>
      </w:pPr>
      <w:r>
        <w:rPr>
          <w:rFonts w:hint="eastAsia" w:ascii="宋体" w:hAnsi="宋体" w:cs="宋体"/>
          <w:color w:val="auto"/>
          <w:sz w:val="24"/>
          <w:highlight w:val="none"/>
        </w:rPr>
        <w:br w:type="page"/>
      </w:r>
      <w:r>
        <w:rPr>
          <w:rFonts w:hint="eastAsia" w:ascii="宋体" w:hAnsi="宋体" w:cs="宋体"/>
          <w:b/>
          <w:bCs/>
          <w:color w:val="auto"/>
          <w:sz w:val="24"/>
          <w:highlight w:val="none"/>
          <w:lang w:val="zh-CN"/>
        </w:rPr>
        <w:t>附件</w:t>
      </w:r>
      <w:r>
        <w:rPr>
          <w:rFonts w:hint="eastAsia" w:ascii="宋体" w:hAnsi="宋体" w:cs="宋体"/>
          <w:b/>
          <w:bCs/>
          <w:color w:val="auto"/>
          <w:sz w:val="24"/>
          <w:highlight w:val="none"/>
          <w:lang w:val="en-US" w:eastAsia="zh-CN"/>
        </w:rPr>
        <w:t>十一</w:t>
      </w:r>
      <w:r>
        <w:rPr>
          <w:rFonts w:hint="eastAsia" w:ascii="宋体" w:hAnsi="宋体" w:cs="宋体"/>
          <w:b/>
          <w:bCs/>
          <w:color w:val="auto"/>
          <w:sz w:val="24"/>
          <w:highlight w:val="none"/>
          <w:lang w:val="zh-CN"/>
        </w:rPr>
        <w:t>：</w:t>
      </w:r>
    </w:p>
    <w:p w14:paraId="6DAF9E1C">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项目组人员清单</w:t>
      </w:r>
    </w:p>
    <w:p w14:paraId="4F5C82B0">
      <w:pPr>
        <w:snapToGrid w:val="0"/>
        <w:spacing w:before="120" w:beforeLines="50" w:after="50"/>
        <w:jc w:val="center"/>
        <w:rPr>
          <w:rFonts w:ascii="宋体" w:hAnsi="宋体" w:cs="宋体"/>
          <w:b/>
          <w:color w:val="auto"/>
          <w:sz w:val="30"/>
          <w:szCs w:val="30"/>
          <w:highlight w:val="none"/>
        </w:rPr>
      </w:pPr>
    </w:p>
    <w:p w14:paraId="171773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4AAE6A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9"/>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58C3D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84C9258">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47F5A9E">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E281F06">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20DE8003">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6429383D">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31DE03F0">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劳动合同编号</w:t>
            </w:r>
          </w:p>
        </w:tc>
      </w:tr>
      <w:tr w14:paraId="714A5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7CD20790">
            <w:pPr>
              <w:snapToGrid w:val="0"/>
              <w:spacing w:before="120"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EFA7A93">
            <w:pPr>
              <w:snapToGrid w:val="0"/>
              <w:spacing w:before="120"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3594E79">
            <w:pPr>
              <w:snapToGrid w:val="0"/>
              <w:spacing w:before="120"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3674DAE">
            <w:pPr>
              <w:snapToGrid w:val="0"/>
              <w:spacing w:before="120"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BA4B92D">
            <w:pPr>
              <w:snapToGrid w:val="0"/>
              <w:spacing w:before="120"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C07A0A6">
            <w:pPr>
              <w:snapToGrid w:val="0"/>
              <w:spacing w:before="120" w:beforeLines="50" w:after="50" w:line="460" w:lineRule="exact"/>
              <w:rPr>
                <w:rFonts w:ascii="宋体" w:hAnsi="宋体" w:cs="宋体"/>
                <w:color w:val="auto"/>
                <w:sz w:val="24"/>
                <w:highlight w:val="none"/>
              </w:rPr>
            </w:pPr>
          </w:p>
        </w:tc>
      </w:tr>
      <w:tr w14:paraId="55892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236EA4EE">
            <w:pPr>
              <w:snapToGrid w:val="0"/>
              <w:spacing w:before="120"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43BD676">
            <w:pPr>
              <w:snapToGrid w:val="0"/>
              <w:spacing w:before="120"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55516A2">
            <w:pPr>
              <w:snapToGrid w:val="0"/>
              <w:spacing w:before="120"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388C2B5">
            <w:pPr>
              <w:snapToGrid w:val="0"/>
              <w:spacing w:before="120"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8E27B1D">
            <w:pPr>
              <w:snapToGrid w:val="0"/>
              <w:spacing w:before="120"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78B1C39">
            <w:pPr>
              <w:snapToGrid w:val="0"/>
              <w:spacing w:before="120" w:beforeLines="50" w:after="50" w:line="460" w:lineRule="exact"/>
              <w:rPr>
                <w:rFonts w:ascii="宋体" w:hAnsi="宋体" w:cs="宋体"/>
                <w:color w:val="auto"/>
                <w:sz w:val="24"/>
                <w:highlight w:val="none"/>
              </w:rPr>
            </w:pPr>
          </w:p>
        </w:tc>
      </w:tr>
      <w:tr w14:paraId="08BFF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37B83F1A">
            <w:pPr>
              <w:snapToGrid w:val="0"/>
              <w:spacing w:before="120"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1AFDEE2">
            <w:pPr>
              <w:snapToGrid w:val="0"/>
              <w:spacing w:before="120"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925B713">
            <w:pPr>
              <w:pStyle w:val="18"/>
              <w:snapToGrid w:val="0"/>
              <w:spacing w:before="120" w:beforeLines="50" w:after="50" w:line="460" w:lineRule="exact"/>
              <w:ind w:left="5250"/>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01D3F3CC">
            <w:pPr>
              <w:snapToGrid w:val="0"/>
              <w:spacing w:before="120"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06C23CB">
            <w:pPr>
              <w:snapToGrid w:val="0"/>
              <w:spacing w:before="120"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BF99A61">
            <w:pPr>
              <w:snapToGrid w:val="0"/>
              <w:spacing w:before="120" w:beforeLines="50" w:after="50" w:line="460" w:lineRule="exact"/>
              <w:rPr>
                <w:rFonts w:ascii="宋体" w:hAnsi="宋体" w:cs="宋体"/>
                <w:color w:val="auto"/>
                <w:sz w:val="24"/>
                <w:highlight w:val="none"/>
              </w:rPr>
            </w:pPr>
          </w:p>
        </w:tc>
      </w:tr>
      <w:tr w14:paraId="0B948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2369E282">
            <w:pPr>
              <w:snapToGrid w:val="0"/>
              <w:spacing w:before="120"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403AE69">
            <w:pPr>
              <w:snapToGrid w:val="0"/>
              <w:spacing w:before="120"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39FC84E">
            <w:pPr>
              <w:snapToGrid w:val="0"/>
              <w:spacing w:before="120"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DB8AD0E">
            <w:pPr>
              <w:snapToGrid w:val="0"/>
              <w:spacing w:before="120"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F3C80A5">
            <w:pPr>
              <w:snapToGrid w:val="0"/>
              <w:spacing w:before="120"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DF1D660">
            <w:pPr>
              <w:snapToGrid w:val="0"/>
              <w:spacing w:before="120" w:beforeLines="50" w:after="50" w:line="460" w:lineRule="exact"/>
              <w:rPr>
                <w:rFonts w:ascii="宋体" w:hAnsi="宋体" w:cs="宋体"/>
                <w:color w:val="auto"/>
                <w:sz w:val="24"/>
                <w:highlight w:val="none"/>
              </w:rPr>
            </w:pPr>
          </w:p>
        </w:tc>
      </w:tr>
      <w:tr w14:paraId="3EF4C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67C91343">
            <w:pPr>
              <w:snapToGrid w:val="0"/>
              <w:spacing w:before="120"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2861C1F">
            <w:pPr>
              <w:snapToGrid w:val="0"/>
              <w:spacing w:before="120"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D3B2D74">
            <w:pPr>
              <w:snapToGrid w:val="0"/>
              <w:spacing w:before="120"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8C70AD7">
            <w:pPr>
              <w:snapToGrid w:val="0"/>
              <w:spacing w:before="120"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123277A">
            <w:pPr>
              <w:snapToGrid w:val="0"/>
              <w:spacing w:before="120"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5970AD0">
            <w:pPr>
              <w:snapToGrid w:val="0"/>
              <w:spacing w:before="120" w:beforeLines="50" w:after="50" w:line="460" w:lineRule="exact"/>
              <w:rPr>
                <w:rFonts w:ascii="宋体" w:hAnsi="宋体" w:cs="宋体"/>
                <w:color w:val="auto"/>
                <w:sz w:val="24"/>
                <w:highlight w:val="none"/>
              </w:rPr>
            </w:pPr>
          </w:p>
        </w:tc>
      </w:tr>
      <w:tr w14:paraId="7066F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51F64C08">
            <w:pPr>
              <w:snapToGrid w:val="0"/>
              <w:spacing w:before="120"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1A78C87">
            <w:pPr>
              <w:snapToGrid w:val="0"/>
              <w:spacing w:before="120"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C9B553E">
            <w:pPr>
              <w:snapToGrid w:val="0"/>
              <w:spacing w:before="120"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7C3F5D2">
            <w:pPr>
              <w:snapToGrid w:val="0"/>
              <w:spacing w:before="120"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AD50638">
            <w:pPr>
              <w:snapToGrid w:val="0"/>
              <w:spacing w:before="120"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C2E493F">
            <w:pPr>
              <w:snapToGrid w:val="0"/>
              <w:spacing w:before="120" w:beforeLines="50" w:after="50" w:line="460" w:lineRule="exact"/>
              <w:rPr>
                <w:rFonts w:ascii="宋体" w:hAnsi="宋体" w:cs="宋体"/>
                <w:color w:val="auto"/>
                <w:sz w:val="24"/>
                <w:highlight w:val="none"/>
              </w:rPr>
            </w:pPr>
          </w:p>
        </w:tc>
      </w:tr>
      <w:tr w14:paraId="134DF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54E552CA">
            <w:pPr>
              <w:snapToGrid w:val="0"/>
              <w:spacing w:before="120"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50288A3">
            <w:pPr>
              <w:snapToGrid w:val="0"/>
              <w:spacing w:before="120"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F830015">
            <w:pPr>
              <w:snapToGrid w:val="0"/>
              <w:spacing w:before="120"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D7E8C4E">
            <w:pPr>
              <w:snapToGrid w:val="0"/>
              <w:spacing w:before="120"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E63BD38">
            <w:pPr>
              <w:snapToGrid w:val="0"/>
              <w:spacing w:before="120"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3CE55D8">
            <w:pPr>
              <w:snapToGrid w:val="0"/>
              <w:spacing w:before="120" w:beforeLines="50" w:after="50" w:line="460" w:lineRule="exact"/>
              <w:rPr>
                <w:rFonts w:ascii="宋体" w:hAnsi="宋体" w:cs="宋体"/>
                <w:color w:val="auto"/>
                <w:sz w:val="24"/>
                <w:highlight w:val="none"/>
              </w:rPr>
            </w:pPr>
          </w:p>
        </w:tc>
      </w:tr>
      <w:tr w14:paraId="7CD38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7ABF740D">
            <w:pPr>
              <w:snapToGrid w:val="0"/>
              <w:spacing w:before="120"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DE124F2">
            <w:pPr>
              <w:snapToGrid w:val="0"/>
              <w:spacing w:before="120"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E3B98AD">
            <w:pPr>
              <w:snapToGrid w:val="0"/>
              <w:spacing w:before="120"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C095C3E">
            <w:pPr>
              <w:snapToGrid w:val="0"/>
              <w:spacing w:before="120"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30519FE">
            <w:pPr>
              <w:snapToGrid w:val="0"/>
              <w:spacing w:before="120"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007F0D9">
            <w:pPr>
              <w:snapToGrid w:val="0"/>
              <w:spacing w:before="120" w:beforeLines="50" w:after="50" w:line="460" w:lineRule="exact"/>
              <w:rPr>
                <w:rFonts w:ascii="宋体" w:hAnsi="宋体" w:cs="宋体"/>
                <w:color w:val="auto"/>
                <w:sz w:val="24"/>
                <w:highlight w:val="none"/>
              </w:rPr>
            </w:pPr>
          </w:p>
        </w:tc>
      </w:tr>
      <w:tr w14:paraId="3D772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42825715">
            <w:pPr>
              <w:snapToGrid w:val="0"/>
              <w:spacing w:before="120"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4611B92">
            <w:pPr>
              <w:snapToGrid w:val="0"/>
              <w:spacing w:before="120"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B7470E4">
            <w:pPr>
              <w:snapToGrid w:val="0"/>
              <w:spacing w:before="120"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240C8B1">
            <w:pPr>
              <w:snapToGrid w:val="0"/>
              <w:spacing w:before="120"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AB6424E">
            <w:pPr>
              <w:snapToGrid w:val="0"/>
              <w:spacing w:before="120"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8850374">
            <w:pPr>
              <w:snapToGrid w:val="0"/>
              <w:spacing w:before="120" w:beforeLines="50" w:after="50" w:line="460" w:lineRule="exact"/>
              <w:rPr>
                <w:rFonts w:ascii="宋体" w:hAnsi="宋体" w:cs="宋体"/>
                <w:color w:val="auto"/>
                <w:sz w:val="24"/>
                <w:highlight w:val="none"/>
              </w:rPr>
            </w:pPr>
          </w:p>
        </w:tc>
      </w:tr>
    </w:tbl>
    <w:p w14:paraId="7B88FC24">
      <w:pPr>
        <w:snapToGrid w:val="0"/>
        <w:spacing w:line="360" w:lineRule="auto"/>
        <w:jc w:val="left"/>
        <w:rPr>
          <w:rFonts w:ascii="宋体" w:hAnsi="宋体" w:cs="宋体"/>
          <w:color w:val="auto"/>
          <w:sz w:val="24"/>
          <w:highlight w:val="none"/>
        </w:rPr>
      </w:pPr>
    </w:p>
    <w:p w14:paraId="5C9772B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注：在填写时，如本表格不适合投标单位的实际情况，可根据本表格式自行划表填写。 </w:t>
      </w:r>
    </w:p>
    <w:p w14:paraId="545E12AE">
      <w:pPr>
        <w:snapToGrid w:val="0"/>
        <w:spacing w:before="50" w:after="120" w:afterLines="50" w:line="460" w:lineRule="exact"/>
        <w:jc w:val="left"/>
        <w:rPr>
          <w:rFonts w:ascii="宋体" w:hAnsi="宋体" w:cs="宋体"/>
          <w:color w:val="auto"/>
          <w:sz w:val="24"/>
          <w:highlight w:val="none"/>
        </w:rPr>
      </w:pPr>
    </w:p>
    <w:p w14:paraId="361F2ABA">
      <w:pPr>
        <w:pStyle w:val="3"/>
        <w:rPr>
          <w:color w:val="auto"/>
          <w:highlight w:val="none"/>
        </w:rPr>
      </w:pPr>
    </w:p>
    <w:p w14:paraId="210B7F41">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7286ED4F">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7FB21E76">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供应商全称（公章）：</w:t>
      </w:r>
    </w:p>
    <w:p w14:paraId="3E3BE6D3">
      <w:pPr>
        <w:spacing w:line="360" w:lineRule="auto"/>
        <w:jc w:val="center"/>
        <w:rPr>
          <w:rFonts w:ascii="宋体"/>
          <w:b/>
          <w:bCs/>
          <w:color w:val="auto"/>
          <w:sz w:val="36"/>
          <w:szCs w:val="36"/>
          <w:highlight w:val="none"/>
        </w:rPr>
      </w:pPr>
      <w:r>
        <w:rPr>
          <w:rFonts w:hint="eastAsia" w:ascii="宋体" w:hAnsi="宋体" w:cs="宋体"/>
          <w:color w:val="auto"/>
          <w:spacing w:val="20"/>
          <w:sz w:val="30"/>
          <w:szCs w:val="30"/>
          <w:highlight w:val="none"/>
        </w:rPr>
        <w:br w:type="page"/>
      </w:r>
      <w:r>
        <w:rPr>
          <w:rFonts w:hint="eastAsia" w:ascii="宋体" w:hAnsi="宋体" w:cs="宋体"/>
          <w:b/>
          <w:bCs/>
          <w:color w:val="auto"/>
          <w:sz w:val="36"/>
          <w:szCs w:val="36"/>
          <w:highlight w:val="none"/>
        </w:rPr>
        <w:t>报价文件</w:t>
      </w:r>
    </w:p>
    <w:p w14:paraId="60FEA316">
      <w:pPr>
        <w:spacing w:line="360" w:lineRule="auto"/>
        <w:jc w:val="center"/>
        <w:rPr>
          <w:rFonts w:ascii="宋体"/>
          <w:b/>
          <w:bCs/>
          <w:color w:val="auto"/>
          <w:sz w:val="36"/>
          <w:szCs w:val="36"/>
          <w:highlight w:val="none"/>
        </w:rPr>
      </w:pPr>
    </w:p>
    <w:p w14:paraId="524327BF">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目录</w:t>
      </w:r>
    </w:p>
    <w:p w14:paraId="6D3336A7">
      <w:pPr>
        <w:pStyle w:val="3"/>
        <w:ind w:firstLine="723"/>
        <w:rPr>
          <w:rFonts w:cs="Times New Roman"/>
          <w:b/>
          <w:bCs/>
          <w:color w:val="auto"/>
          <w:sz w:val="36"/>
          <w:szCs w:val="36"/>
          <w:highlight w:val="none"/>
        </w:rPr>
      </w:pPr>
    </w:p>
    <w:p w14:paraId="4AD08F8D">
      <w:pPr>
        <w:numPr>
          <w:ilvl w:val="0"/>
          <w:numId w:val="20"/>
        </w:numPr>
        <w:spacing w:line="360" w:lineRule="auto"/>
        <w:ind w:left="425" w:leftChars="0" w:hanging="425" w:firstLineChars="0"/>
        <w:rPr>
          <w:rFonts w:ascii="宋体"/>
          <w:color w:val="auto"/>
          <w:sz w:val="24"/>
          <w:szCs w:val="24"/>
          <w:highlight w:val="none"/>
        </w:rPr>
      </w:pPr>
      <w:r>
        <w:rPr>
          <w:rFonts w:hint="eastAsia" w:ascii="宋体" w:hAnsi="宋体" w:cs="宋体"/>
          <w:color w:val="auto"/>
          <w:sz w:val="24"/>
          <w:szCs w:val="24"/>
          <w:highlight w:val="none"/>
        </w:rPr>
        <w:t>磋商函（格式见附件）；</w:t>
      </w:r>
    </w:p>
    <w:p w14:paraId="0A862FB9">
      <w:pPr>
        <w:numPr>
          <w:ilvl w:val="0"/>
          <w:numId w:val="20"/>
        </w:numPr>
        <w:spacing w:line="360" w:lineRule="auto"/>
        <w:ind w:left="425" w:leftChars="0" w:hanging="425" w:firstLineChars="0"/>
        <w:rPr>
          <w:rFonts w:ascii="宋体"/>
          <w:color w:val="auto"/>
          <w:sz w:val="24"/>
          <w:szCs w:val="24"/>
          <w:highlight w:val="none"/>
        </w:rPr>
      </w:pPr>
      <w:r>
        <w:rPr>
          <w:rFonts w:hint="eastAsia" w:ascii="宋体" w:hAnsi="宋体" w:cs="宋体"/>
          <w:color w:val="auto"/>
          <w:sz w:val="24"/>
          <w:szCs w:val="24"/>
          <w:highlight w:val="none"/>
        </w:rPr>
        <w:t>报价一览表（格式见附件）；</w:t>
      </w:r>
    </w:p>
    <w:p w14:paraId="7FEA6D70">
      <w:pPr>
        <w:numPr>
          <w:ilvl w:val="0"/>
          <w:numId w:val="20"/>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磋商报价明细表（格式见附件）。</w:t>
      </w:r>
    </w:p>
    <w:p w14:paraId="78C3A151">
      <w:pPr>
        <w:rPr>
          <w:rFonts w:ascii="宋体"/>
          <w:color w:val="auto"/>
          <w:highlight w:val="none"/>
        </w:rPr>
      </w:pPr>
      <w:r>
        <w:rPr>
          <w:rFonts w:ascii="宋体"/>
          <w:color w:val="auto"/>
          <w:highlight w:val="none"/>
        </w:rPr>
        <w:br w:type="page"/>
      </w:r>
    </w:p>
    <w:p w14:paraId="3625CABF">
      <w:pPr>
        <w:rPr>
          <w:rFonts w:ascii="宋体" w:hAnsi="宋体" w:cs="宋体"/>
          <w:b/>
          <w:bCs/>
          <w:color w:val="auto"/>
          <w:highlight w:val="none"/>
          <w:lang w:val="zh-CN"/>
        </w:rPr>
      </w:pPr>
      <w:bookmarkStart w:id="142" w:name="_Toc3094"/>
      <w:bookmarkStart w:id="143" w:name="_Toc12011"/>
      <w:r>
        <w:rPr>
          <w:rFonts w:hint="eastAsia"/>
          <w:b/>
          <w:bCs/>
          <w:color w:val="auto"/>
          <w:sz w:val="24"/>
          <w:szCs w:val="32"/>
          <w:highlight w:val="none"/>
          <w:lang w:val="zh-CN"/>
        </w:rPr>
        <w:t>附件</w:t>
      </w:r>
      <w:bookmarkStart w:id="144" w:name="_Toc130094924"/>
      <w:bookmarkStart w:id="145" w:name="_Toc98731770"/>
      <w:r>
        <w:rPr>
          <w:rFonts w:hint="eastAsia"/>
          <w:b/>
          <w:bCs/>
          <w:color w:val="auto"/>
          <w:sz w:val="24"/>
          <w:szCs w:val="32"/>
          <w:highlight w:val="none"/>
          <w:lang w:val="en-US" w:eastAsia="zh-CN"/>
        </w:rPr>
        <w:t>十二</w:t>
      </w:r>
      <w:r>
        <w:rPr>
          <w:rFonts w:hint="eastAsia"/>
          <w:b/>
          <w:bCs/>
          <w:color w:val="auto"/>
          <w:sz w:val="24"/>
          <w:szCs w:val="32"/>
          <w:highlight w:val="none"/>
        </w:rPr>
        <w:t>：</w:t>
      </w:r>
    </w:p>
    <w:p w14:paraId="04BC694D">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磋 商 函</w:t>
      </w:r>
      <w:bookmarkEnd w:id="142"/>
      <w:bookmarkEnd w:id="144"/>
      <w:bookmarkEnd w:id="145"/>
    </w:p>
    <w:p w14:paraId="74F25005">
      <w:pPr>
        <w:spacing w:line="360" w:lineRule="auto"/>
        <w:ind w:firstLine="480" w:firstLineChars="200"/>
        <w:rPr>
          <w:rFonts w:ascii="宋体" w:hAnsi="宋体" w:cs="宋体"/>
          <w:color w:val="auto"/>
          <w:sz w:val="24"/>
          <w:highlight w:val="none"/>
          <w:u w:val="single"/>
        </w:rPr>
      </w:pPr>
    </w:p>
    <w:p w14:paraId="4C8C91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绍兴市上虞区百官街道办事处</w:t>
      </w:r>
      <w:r>
        <w:rPr>
          <w:rFonts w:hint="eastAsia" w:ascii="宋体" w:hAnsi="宋体" w:cs="宋体"/>
          <w:color w:val="auto"/>
          <w:sz w:val="24"/>
          <w:highlight w:val="none"/>
        </w:rPr>
        <w:t>：</w:t>
      </w:r>
    </w:p>
    <w:p w14:paraId="2D2E0B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浙江天平项目咨询有限公司</w:t>
      </w:r>
      <w:r>
        <w:rPr>
          <w:rFonts w:hint="eastAsia" w:ascii="宋体" w:hAnsi="宋体" w:cs="宋体"/>
          <w:color w:val="auto"/>
          <w:sz w:val="24"/>
          <w:highlight w:val="none"/>
        </w:rPr>
        <w:t>：</w:t>
      </w:r>
    </w:p>
    <w:p w14:paraId="388652FC">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我单位认真研究了关于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554272AD">
      <w:pPr>
        <w:spacing w:line="360" w:lineRule="auto"/>
        <w:ind w:firstLine="576" w:firstLineChars="240"/>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3"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9pt;margin-top:39pt;height:0pt;width:0.05pt;z-index:251661312;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k9JBrS&#10;AAAABwEAAA8AAAAAAAAAAQAgAAAAIgAAAGRycy9kb3ducmV2LnhtbFBLAQIUABQAAAAIAIdO4kAf&#10;UTwO7QEAAOIDAAAOAAAAAAAAAAEAIAAAACEBAABkcnMvZTJvRG9jLnhtbFBLBQYAAAAABgAGAFkB&#10;AACABQAAAAA=&#10;">
                <v:fill on="f" focussize="0,0"/>
                <v:stroke color="#000000" joinstyle="round"/>
                <v:imagedata o:title=""/>
                <o:lock v:ext="edit" aspectratio="f"/>
              </v:line>
            </w:pict>
          </mc:Fallback>
        </mc:AlternateContent>
      </w:r>
      <w:r>
        <w:rPr>
          <w:rFonts w:hint="eastAsia" w:ascii="宋体" w:hAnsi="宋体" w:cs="宋体"/>
          <w:color w:val="auto"/>
          <w:sz w:val="24"/>
          <w:highlight w:val="none"/>
        </w:rPr>
        <w:t>1、一旦我单位中标，我单位愿意承接报价一览表中所列的技术服务，服务期为：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981FB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2、我单位同意提供按照</w:t>
      </w:r>
      <w:r>
        <w:rPr>
          <w:rFonts w:hint="eastAsia" w:ascii="宋体" w:hAnsi="宋体" w:cs="宋体"/>
          <w:bCs/>
          <w:color w:val="auto"/>
          <w:sz w:val="24"/>
          <w:highlight w:val="none"/>
        </w:rPr>
        <w:t>采购人的可能要求与其投标有关的一切数据和资料，完全理解采购人不一定要接受最低价者作为成交供应商</w:t>
      </w:r>
      <w:r>
        <w:rPr>
          <w:rFonts w:hint="eastAsia" w:ascii="宋体" w:hAnsi="宋体" w:cs="宋体"/>
          <w:color w:val="auto"/>
          <w:sz w:val="24"/>
          <w:highlight w:val="none"/>
        </w:rPr>
        <w:t>。</w:t>
      </w:r>
    </w:p>
    <w:p w14:paraId="77215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3、一旦我单位中标，我们保证按照磋商文件的要求，完成服务。</w:t>
      </w:r>
    </w:p>
    <w:p w14:paraId="16E394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4、如果我单位中标，我方将按照要求提交履约保证金，严格履行合同义务。</w:t>
      </w:r>
    </w:p>
    <w:p w14:paraId="304D8A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5、除非另行达成协议并生效，你方的成交通知书和本磋商函将构成约束你我双方的合同。</w:t>
      </w:r>
    </w:p>
    <w:p w14:paraId="1307FB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6、我单位承诺，一旦发生磋商文件第二部分第11条规定情形之一的，承担该条款约定的责任。</w:t>
      </w:r>
    </w:p>
    <w:p w14:paraId="0D6104D3">
      <w:pPr>
        <w:pStyle w:val="16"/>
        <w:snapToGrid w:val="0"/>
        <w:spacing w:line="360" w:lineRule="auto"/>
        <w:ind w:left="480"/>
        <w:jc w:val="left"/>
        <w:rPr>
          <w:rFonts w:hAnsi="宋体" w:cs="宋体"/>
          <w:color w:val="auto"/>
          <w:sz w:val="24"/>
          <w:highlight w:val="none"/>
        </w:rPr>
      </w:pPr>
      <w:r>
        <w:rPr>
          <w:rFonts w:hint="eastAsia" w:hAnsi="宋体" w:cs="宋体"/>
          <w:color w:val="auto"/>
          <w:sz w:val="24"/>
          <w:highlight w:val="none"/>
        </w:rPr>
        <w:t xml:space="preserve"> </w:t>
      </w:r>
    </w:p>
    <w:p w14:paraId="7A4DAE6A">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地址：</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邮编：</w:t>
      </w:r>
      <w:r>
        <w:rPr>
          <w:rFonts w:hint="eastAsia" w:ascii="宋体" w:hAnsi="宋体" w:cs="宋体"/>
          <w:bCs/>
          <w:color w:val="auto"/>
          <w:sz w:val="24"/>
          <w:szCs w:val="21"/>
          <w:highlight w:val="none"/>
          <w:u w:val="single"/>
        </w:rPr>
        <w:t xml:space="preserve">                 </w:t>
      </w:r>
    </w:p>
    <w:p w14:paraId="73D8A61B">
      <w:pPr>
        <w:spacing w:line="360" w:lineRule="auto"/>
        <w:ind w:firstLine="480" w:firstLineChars="200"/>
        <w:rPr>
          <w:rFonts w:ascii="宋体" w:hAnsi="宋体" w:cs="宋体"/>
          <w:bCs/>
          <w:color w:val="auto"/>
          <w:sz w:val="24"/>
          <w:szCs w:val="21"/>
          <w:highlight w:val="none"/>
          <w:u w:val="single"/>
        </w:rPr>
      </w:pPr>
      <w:r>
        <w:rPr>
          <w:rFonts w:hint="eastAsia" w:ascii="宋体" w:hAnsi="宋体" w:cs="宋体"/>
          <w:bCs/>
          <w:color w:val="auto"/>
          <w:sz w:val="24"/>
          <w:szCs w:val="21"/>
          <w:highlight w:val="none"/>
        </w:rPr>
        <w:t>电话：</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传真：</w:t>
      </w:r>
      <w:r>
        <w:rPr>
          <w:rFonts w:hint="eastAsia" w:ascii="宋体" w:hAnsi="宋体" w:cs="宋体"/>
          <w:bCs/>
          <w:color w:val="auto"/>
          <w:sz w:val="24"/>
          <w:szCs w:val="21"/>
          <w:highlight w:val="none"/>
          <w:u w:val="single"/>
        </w:rPr>
        <w:t xml:space="preserve">                 </w:t>
      </w:r>
    </w:p>
    <w:p w14:paraId="202B8C19">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供应商代表姓名：</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职务：</w:t>
      </w:r>
      <w:r>
        <w:rPr>
          <w:rFonts w:hint="eastAsia" w:ascii="宋体" w:hAnsi="宋体" w:cs="宋体"/>
          <w:bCs/>
          <w:color w:val="auto"/>
          <w:sz w:val="24"/>
          <w:szCs w:val="21"/>
          <w:highlight w:val="none"/>
          <w:u w:val="single"/>
        </w:rPr>
        <w:t xml:space="preserve">                 </w:t>
      </w:r>
    </w:p>
    <w:p w14:paraId="058FAB48">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供应商名称</w:t>
      </w:r>
      <w:r>
        <w:rPr>
          <w:rFonts w:hint="eastAsia" w:ascii="宋体" w:hAnsi="宋体" w:cs="宋体"/>
          <w:bCs/>
          <w:color w:val="auto"/>
          <w:sz w:val="24"/>
          <w:szCs w:val="21"/>
          <w:highlight w:val="none"/>
          <w:u w:val="single"/>
        </w:rPr>
        <w:t>：                   　　　</w:t>
      </w:r>
    </w:p>
    <w:p w14:paraId="382D74AC">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（公章）：                   </w:t>
      </w:r>
    </w:p>
    <w:p w14:paraId="682819AD">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5F088714">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601A82AF">
      <w:pPr>
        <w:rPr>
          <w:rFonts w:hint="eastAsia" w:cs="宋体"/>
          <w:b/>
          <w:bCs/>
          <w:color w:val="auto"/>
          <w:sz w:val="24"/>
          <w:szCs w:val="24"/>
          <w:highlight w:val="none"/>
          <w:lang w:val="zh-CN"/>
        </w:rPr>
      </w:pPr>
    </w:p>
    <w:p w14:paraId="0CC5C493">
      <w:pPr>
        <w:rPr>
          <w:rFonts w:hint="eastAsia" w:cs="宋体"/>
          <w:b/>
          <w:bCs/>
          <w:color w:val="auto"/>
          <w:sz w:val="24"/>
          <w:szCs w:val="24"/>
          <w:highlight w:val="none"/>
          <w:lang w:val="zh-CN"/>
        </w:rPr>
      </w:pPr>
    </w:p>
    <w:p w14:paraId="6910E402">
      <w:pPr>
        <w:rPr>
          <w:rFonts w:hint="eastAsia" w:cs="宋体"/>
          <w:b/>
          <w:bCs/>
          <w:color w:val="auto"/>
          <w:sz w:val="24"/>
          <w:szCs w:val="24"/>
          <w:highlight w:val="none"/>
          <w:lang w:val="zh-CN"/>
        </w:rPr>
      </w:pPr>
    </w:p>
    <w:p w14:paraId="03E96C53">
      <w:pPr>
        <w:rPr>
          <w:rFonts w:hint="eastAsia" w:cs="宋体"/>
          <w:b/>
          <w:bCs/>
          <w:color w:val="auto"/>
          <w:sz w:val="24"/>
          <w:szCs w:val="24"/>
          <w:highlight w:val="none"/>
          <w:lang w:val="zh-CN"/>
        </w:rPr>
      </w:pPr>
    </w:p>
    <w:bookmarkEnd w:id="143"/>
    <w:p w14:paraId="5980AD3E">
      <w:pPr>
        <w:rPr>
          <w:b/>
          <w:bCs/>
          <w:color w:val="auto"/>
          <w:sz w:val="24"/>
          <w:szCs w:val="32"/>
          <w:highlight w:val="none"/>
          <w:lang w:val="zh-CN"/>
        </w:rPr>
      </w:pPr>
      <w:r>
        <w:rPr>
          <w:rFonts w:hint="eastAsia"/>
          <w:b/>
          <w:bCs/>
          <w:color w:val="auto"/>
          <w:sz w:val="24"/>
          <w:szCs w:val="32"/>
          <w:highlight w:val="none"/>
          <w:lang w:val="zh-CN"/>
        </w:rPr>
        <w:t>附件</w:t>
      </w:r>
      <w:bookmarkStart w:id="146" w:name="_Toc98731771"/>
      <w:bookmarkStart w:id="147" w:name="_Toc130094925"/>
      <w:r>
        <w:rPr>
          <w:rFonts w:hint="eastAsia"/>
          <w:b/>
          <w:bCs/>
          <w:color w:val="auto"/>
          <w:sz w:val="24"/>
          <w:szCs w:val="32"/>
          <w:highlight w:val="none"/>
        </w:rPr>
        <w:t>十</w:t>
      </w:r>
      <w:r>
        <w:rPr>
          <w:rFonts w:hint="eastAsia"/>
          <w:b/>
          <w:bCs/>
          <w:color w:val="auto"/>
          <w:sz w:val="24"/>
          <w:szCs w:val="32"/>
          <w:highlight w:val="none"/>
          <w:lang w:val="en-US" w:eastAsia="zh-CN"/>
        </w:rPr>
        <w:t>三</w:t>
      </w:r>
      <w:r>
        <w:rPr>
          <w:rFonts w:hint="eastAsia"/>
          <w:b/>
          <w:bCs/>
          <w:color w:val="auto"/>
          <w:sz w:val="24"/>
          <w:szCs w:val="32"/>
          <w:highlight w:val="none"/>
        </w:rPr>
        <w:t>：</w:t>
      </w:r>
    </w:p>
    <w:p w14:paraId="05223FF9">
      <w:pPr>
        <w:spacing w:line="360" w:lineRule="auto"/>
        <w:jc w:val="center"/>
        <w:outlineLvl w:val="0"/>
        <w:rPr>
          <w:rFonts w:ascii="宋体" w:hAnsi="宋体" w:cs="宋体"/>
          <w:b/>
          <w:bCs/>
          <w:color w:val="auto"/>
          <w:sz w:val="32"/>
          <w:szCs w:val="32"/>
          <w:highlight w:val="none"/>
        </w:rPr>
      </w:pPr>
      <w:bookmarkStart w:id="148" w:name="_Toc13608"/>
      <w:bookmarkStart w:id="149" w:name="_Toc24380"/>
      <w:bookmarkStart w:id="150" w:name="_Toc3109"/>
      <w:r>
        <w:rPr>
          <w:rFonts w:hint="eastAsia" w:ascii="宋体" w:hAnsi="宋体" w:cs="宋体"/>
          <w:b/>
          <w:bCs/>
          <w:color w:val="auto"/>
          <w:sz w:val="32"/>
          <w:szCs w:val="32"/>
          <w:highlight w:val="none"/>
        </w:rPr>
        <w:t>报价一览表</w:t>
      </w:r>
      <w:bookmarkEnd w:id="146"/>
      <w:bookmarkEnd w:id="147"/>
      <w:bookmarkEnd w:id="148"/>
      <w:bookmarkEnd w:id="149"/>
      <w:bookmarkEnd w:id="150"/>
    </w:p>
    <w:p w14:paraId="1CF1C4C9">
      <w:pPr>
        <w:pStyle w:val="16"/>
        <w:spacing w:line="360" w:lineRule="auto"/>
        <w:rPr>
          <w:rFonts w:hAnsi="宋体" w:cs="宋体"/>
          <w:color w:val="auto"/>
          <w:sz w:val="24"/>
          <w:highlight w:val="none"/>
        </w:rPr>
      </w:pPr>
    </w:p>
    <w:p w14:paraId="135E3E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196CA1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采购编号：               </w:t>
      </w:r>
    </w:p>
    <w:tbl>
      <w:tblPr>
        <w:tblStyle w:val="29"/>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2AEE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3FA41392">
            <w:pPr>
              <w:pStyle w:val="16"/>
              <w:spacing w:line="360" w:lineRule="auto"/>
              <w:jc w:val="center"/>
              <w:rPr>
                <w:rFonts w:hAnsi="宋体" w:cs="宋体"/>
                <w:b w:val="0"/>
                <w:bCs w:val="0"/>
                <w:color w:val="auto"/>
                <w:sz w:val="24"/>
                <w:highlight w:val="none"/>
              </w:rPr>
            </w:pPr>
            <w:r>
              <w:rPr>
                <w:rFonts w:hint="eastAsia" w:hAnsi="宋体" w:cs="宋体"/>
                <w:b w:val="0"/>
                <w:bCs w:val="0"/>
                <w:color w:val="auto"/>
                <w:sz w:val="24"/>
                <w:highlight w:val="none"/>
              </w:rPr>
              <w:t>投标总价</w:t>
            </w:r>
          </w:p>
        </w:tc>
        <w:tc>
          <w:tcPr>
            <w:tcW w:w="6707" w:type="dxa"/>
            <w:vAlign w:val="center"/>
          </w:tcPr>
          <w:p w14:paraId="1D779903">
            <w:pPr>
              <w:pStyle w:val="16"/>
              <w:spacing w:line="360" w:lineRule="auto"/>
              <w:jc w:val="center"/>
              <w:rPr>
                <w:rFonts w:hAnsi="宋体" w:cs="宋体"/>
                <w:b w:val="0"/>
                <w:bCs w:val="0"/>
                <w:color w:val="auto"/>
                <w:sz w:val="24"/>
                <w:highlight w:val="none"/>
              </w:rPr>
            </w:pPr>
            <w:r>
              <w:rPr>
                <w:rFonts w:hint="eastAsia" w:hAnsi="宋体" w:cs="宋体"/>
                <w:b w:val="0"/>
                <w:bCs w:val="0"/>
                <w:color w:val="auto"/>
                <w:sz w:val="24"/>
                <w:highlight w:val="none"/>
              </w:rPr>
              <w:t>大写：</w:t>
            </w:r>
            <w:r>
              <w:rPr>
                <w:rFonts w:hint="eastAsia" w:hAnsi="宋体" w:cs="宋体"/>
                <w:b w:val="0"/>
                <w:bCs w:val="0"/>
                <w:color w:val="auto"/>
                <w:sz w:val="24"/>
                <w:highlight w:val="none"/>
                <w:u w:val="single"/>
              </w:rPr>
              <w:t xml:space="preserve">　　　　            </w:t>
            </w:r>
            <w:r>
              <w:rPr>
                <w:rFonts w:hint="eastAsia" w:hAnsi="宋体" w:cs="宋体"/>
                <w:b w:val="0"/>
                <w:bCs w:val="0"/>
                <w:color w:val="auto"/>
                <w:sz w:val="24"/>
                <w:highlight w:val="none"/>
              </w:rPr>
              <w:t>元（小写：</w:t>
            </w:r>
            <w:r>
              <w:rPr>
                <w:rFonts w:hint="eastAsia" w:hAnsi="宋体" w:cs="宋体"/>
                <w:b w:val="0"/>
                <w:bCs w:val="0"/>
                <w:color w:val="auto"/>
                <w:sz w:val="24"/>
                <w:highlight w:val="none"/>
                <w:u w:val="single"/>
              </w:rPr>
              <w:t xml:space="preserve">　　　　 </w:t>
            </w:r>
            <w:r>
              <w:rPr>
                <w:rFonts w:hint="eastAsia" w:hAnsi="宋体" w:cs="宋体"/>
                <w:b w:val="0"/>
                <w:bCs w:val="0"/>
                <w:color w:val="auto"/>
                <w:sz w:val="24"/>
                <w:highlight w:val="none"/>
              </w:rPr>
              <w:t>）</w:t>
            </w:r>
          </w:p>
        </w:tc>
      </w:tr>
      <w:tr w14:paraId="08F1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7BAA42DE">
            <w:pPr>
              <w:pStyle w:val="16"/>
              <w:spacing w:line="360" w:lineRule="auto"/>
              <w:ind w:firstLine="480" w:firstLineChars="200"/>
              <w:rPr>
                <w:rFonts w:hint="eastAsia" w:hAnsi="宋体" w:eastAsia="宋体" w:cs="宋体"/>
                <w:b w:val="0"/>
                <w:bCs w:val="0"/>
                <w:color w:val="auto"/>
                <w:sz w:val="24"/>
                <w:highlight w:val="none"/>
                <w:lang w:eastAsia="zh-CN"/>
              </w:rPr>
            </w:pPr>
            <w:r>
              <w:rPr>
                <w:rFonts w:hint="eastAsia" w:hAnsi="宋体" w:cs="Times New Roman"/>
                <w:b w:val="0"/>
                <w:bCs w:val="0"/>
                <w:color w:val="auto"/>
                <w:sz w:val="24"/>
                <w:szCs w:val="24"/>
                <w:highlight w:val="none"/>
              </w:rPr>
              <w:t>本次报价应包含项目所需全部服务，不得缺漏，是履行合同的最终价格（包括但不限于本次采购项目所需的人员工资、福利</w:t>
            </w:r>
            <w:r>
              <w:rPr>
                <w:rFonts w:hint="eastAsia" w:hAnsi="宋体" w:cs="Times New Roman"/>
                <w:b w:val="0"/>
                <w:bCs w:val="0"/>
                <w:color w:val="auto"/>
                <w:sz w:val="24"/>
                <w:szCs w:val="24"/>
                <w:highlight w:val="none"/>
                <w:lang w:val="en-US" w:eastAsia="zh-CN"/>
              </w:rPr>
              <w:t>、</w:t>
            </w:r>
            <w:r>
              <w:rPr>
                <w:rFonts w:hint="eastAsia" w:hAnsi="宋体" w:cs="Times New Roman"/>
                <w:b w:val="0"/>
                <w:bCs w:val="0"/>
                <w:color w:val="auto"/>
                <w:sz w:val="24"/>
                <w:szCs w:val="24"/>
                <w:highlight w:val="none"/>
              </w:rPr>
              <w:t>利润、税金、保险</w:t>
            </w:r>
            <w:r>
              <w:rPr>
                <w:rFonts w:hint="eastAsia" w:hAnsi="宋体" w:cs="Times New Roman"/>
                <w:b w:val="0"/>
                <w:bCs w:val="0"/>
                <w:color w:val="auto"/>
                <w:sz w:val="24"/>
                <w:szCs w:val="24"/>
                <w:highlight w:val="none"/>
                <w:lang w:eastAsia="zh-CN"/>
              </w:rPr>
              <w:t>、</w:t>
            </w:r>
            <w:r>
              <w:rPr>
                <w:rFonts w:hint="eastAsia" w:hAnsi="宋体" w:cs="Times New Roman"/>
                <w:b w:val="0"/>
                <w:bCs w:val="0"/>
                <w:color w:val="auto"/>
                <w:sz w:val="24"/>
                <w:szCs w:val="24"/>
                <w:highlight w:val="none"/>
                <w:lang w:val="en-US" w:eastAsia="zh-CN"/>
              </w:rPr>
              <w:t>应急性保障费用、招标代理费及其他不可预见费用等一切费用</w:t>
            </w:r>
            <w:r>
              <w:rPr>
                <w:rFonts w:hint="eastAsia" w:hAnsi="宋体" w:cs="Times New Roman"/>
                <w:b w:val="0"/>
                <w:bCs w:val="0"/>
                <w:color w:val="auto"/>
                <w:sz w:val="24"/>
                <w:szCs w:val="24"/>
                <w:highlight w:val="none"/>
              </w:rPr>
              <w:t>。</w:t>
            </w:r>
          </w:p>
        </w:tc>
      </w:tr>
    </w:tbl>
    <w:p w14:paraId="6A5809A8">
      <w:pPr>
        <w:pStyle w:val="16"/>
        <w:spacing w:line="360" w:lineRule="auto"/>
        <w:rPr>
          <w:rFonts w:hAnsi="宋体" w:cs="宋体"/>
          <w:color w:val="auto"/>
          <w:sz w:val="24"/>
          <w:highlight w:val="none"/>
        </w:rPr>
      </w:pPr>
    </w:p>
    <w:p w14:paraId="1EF13882">
      <w:pPr>
        <w:pStyle w:val="16"/>
        <w:spacing w:line="360" w:lineRule="auto"/>
        <w:rPr>
          <w:rFonts w:hAnsi="宋体" w:cs="宋体"/>
          <w:color w:val="auto"/>
          <w:sz w:val="24"/>
          <w:highlight w:val="none"/>
        </w:rPr>
      </w:pPr>
    </w:p>
    <w:p w14:paraId="6EBCF8B7">
      <w:pPr>
        <w:pStyle w:val="16"/>
        <w:spacing w:line="360" w:lineRule="auto"/>
        <w:rPr>
          <w:rFonts w:hAnsi="宋体" w:cs="宋体"/>
          <w:color w:val="auto"/>
          <w:sz w:val="24"/>
          <w:highlight w:val="none"/>
        </w:rPr>
      </w:pPr>
    </w:p>
    <w:p w14:paraId="7AEC9962">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35209598">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1B77F012">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供应商全称（公章）：</w:t>
      </w:r>
    </w:p>
    <w:p w14:paraId="114512B1">
      <w:pPr>
        <w:snapToGrid w:val="0"/>
        <w:spacing w:line="360" w:lineRule="auto"/>
        <w:ind w:firstLine="435"/>
        <w:rPr>
          <w:rFonts w:ascii="宋体"/>
          <w:color w:val="auto"/>
          <w:highlight w:val="none"/>
        </w:rPr>
      </w:pPr>
    </w:p>
    <w:p w14:paraId="39E6A113">
      <w:pPr>
        <w:snapToGrid w:val="0"/>
        <w:spacing w:line="360" w:lineRule="auto"/>
        <w:ind w:firstLine="435"/>
        <w:rPr>
          <w:rFonts w:ascii="宋体"/>
          <w:color w:val="auto"/>
          <w:highlight w:val="none"/>
        </w:rPr>
      </w:pPr>
    </w:p>
    <w:p w14:paraId="0F3010B5">
      <w:pPr>
        <w:snapToGrid w:val="0"/>
        <w:spacing w:line="360" w:lineRule="auto"/>
        <w:ind w:firstLine="435"/>
        <w:rPr>
          <w:rFonts w:ascii="宋体"/>
          <w:color w:val="auto"/>
          <w:highlight w:val="none"/>
        </w:rPr>
      </w:pPr>
    </w:p>
    <w:p w14:paraId="0FDAC153">
      <w:pPr>
        <w:snapToGrid w:val="0"/>
        <w:spacing w:line="360" w:lineRule="auto"/>
        <w:ind w:firstLine="435"/>
        <w:rPr>
          <w:rFonts w:ascii="宋体"/>
          <w:color w:val="auto"/>
          <w:highlight w:val="none"/>
        </w:rPr>
      </w:pPr>
    </w:p>
    <w:p w14:paraId="37D0191C">
      <w:pPr>
        <w:snapToGrid w:val="0"/>
        <w:spacing w:line="360" w:lineRule="auto"/>
        <w:ind w:firstLine="435"/>
        <w:rPr>
          <w:rFonts w:ascii="宋体"/>
          <w:color w:val="auto"/>
          <w:highlight w:val="none"/>
        </w:rPr>
      </w:pPr>
    </w:p>
    <w:p w14:paraId="0D18EE2D">
      <w:pPr>
        <w:spacing w:line="360" w:lineRule="auto"/>
        <w:jc w:val="left"/>
        <w:rPr>
          <w:rFonts w:ascii="宋体" w:hAnsi="宋体" w:cs="宋体"/>
          <w:b/>
          <w:bCs/>
          <w:color w:val="auto"/>
          <w:sz w:val="24"/>
          <w:highlight w:val="none"/>
          <w:lang w:val="zh-CN"/>
        </w:rPr>
      </w:pPr>
      <w:r>
        <w:rPr>
          <w:rFonts w:ascii="宋体"/>
          <w:color w:val="auto"/>
          <w:highlight w:val="none"/>
        </w:rPr>
        <w:br w:type="page"/>
      </w:r>
      <w:bookmarkStart w:id="151" w:name="_Toc7196"/>
      <w:r>
        <w:rPr>
          <w:rFonts w:hint="eastAsia" w:ascii="宋体" w:hAnsi="宋体" w:cs="宋体"/>
          <w:b/>
          <w:bCs/>
          <w:color w:val="auto"/>
          <w:sz w:val="24"/>
          <w:highlight w:val="none"/>
          <w:lang w:val="zh-CN"/>
        </w:rPr>
        <w:t>附件十</w:t>
      </w:r>
      <w:r>
        <w:rPr>
          <w:rFonts w:hint="eastAsia" w:hAnsi="宋体" w:cs="宋体"/>
          <w:b/>
          <w:bCs/>
          <w:color w:val="auto"/>
          <w:sz w:val="24"/>
          <w:highlight w:val="none"/>
          <w:lang w:val="en-US" w:eastAsia="zh-CN"/>
        </w:rPr>
        <w:t>四</w:t>
      </w:r>
      <w:r>
        <w:rPr>
          <w:rFonts w:hint="eastAsia" w:ascii="宋体" w:hAnsi="宋体" w:cs="宋体"/>
          <w:b/>
          <w:bCs/>
          <w:color w:val="auto"/>
          <w:sz w:val="24"/>
          <w:highlight w:val="none"/>
          <w:lang w:val="zh-CN"/>
        </w:rPr>
        <w:t>：</w:t>
      </w:r>
    </w:p>
    <w:p w14:paraId="393C545D">
      <w:pPr>
        <w:spacing w:line="360" w:lineRule="auto"/>
        <w:jc w:val="center"/>
        <w:outlineLvl w:val="0"/>
        <w:rPr>
          <w:rFonts w:hAnsi="宋体" w:cs="宋体"/>
          <w:color w:val="auto"/>
          <w:sz w:val="24"/>
          <w:highlight w:val="none"/>
        </w:rPr>
      </w:pPr>
      <w:bookmarkStart w:id="152" w:name="_Toc29790"/>
      <w:bookmarkStart w:id="153" w:name="_Toc10713"/>
      <w:bookmarkStart w:id="154" w:name="_Toc15340"/>
      <w:r>
        <w:rPr>
          <w:rFonts w:hint="eastAsia" w:ascii="宋体" w:hAnsi="宋体" w:cs="宋体"/>
          <w:b/>
          <w:bCs/>
          <w:color w:val="auto"/>
          <w:sz w:val="32"/>
          <w:szCs w:val="32"/>
          <w:highlight w:val="none"/>
        </w:rPr>
        <w:t>磋商报价明细表</w:t>
      </w:r>
      <w:bookmarkEnd w:id="152"/>
      <w:bookmarkEnd w:id="153"/>
      <w:bookmarkEnd w:id="154"/>
    </w:p>
    <w:p w14:paraId="3EE64E26">
      <w:pPr>
        <w:spacing w:line="360" w:lineRule="auto"/>
        <w:ind w:firstLine="480" w:firstLineChars="200"/>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采购编号：   </w:t>
      </w:r>
    </w:p>
    <w:tbl>
      <w:tblPr>
        <w:tblStyle w:val="29"/>
        <w:tblW w:w="9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614"/>
        <w:gridCol w:w="729"/>
        <w:gridCol w:w="830"/>
        <w:gridCol w:w="1063"/>
        <w:gridCol w:w="1034"/>
        <w:gridCol w:w="2359"/>
      </w:tblGrid>
      <w:tr w14:paraId="0A78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780" w:type="dxa"/>
            <w:vMerge w:val="restart"/>
            <w:vAlign w:val="center"/>
          </w:tcPr>
          <w:p w14:paraId="1B73164D">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序号</w:t>
            </w:r>
          </w:p>
        </w:tc>
        <w:tc>
          <w:tcPr>
            <w:tcW w:w="2614" w:type="dxa"/>
            <w:vMerge w:val="restart"/>
            <w:vAlign w:val="center"/>
          </w:tcPr>
          <w:p w14:paraId="4E922DE3">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lang w:val="en-US" w:eastAsia="zh-CN"/>
              </w:rPr>
              <w:t>项目</w:t>
            </w:r>
          </w:p>
        </w:tc>
        <w:tc>
          <w:tcPr>
            <w:tcW w:w="729" w:type="dxa"/>
            <w:vMerge w:val="restart"/>
            <w:vAlign w:val="center"/>
          </w:tcPr>
          <w:p w14:paraId="5F053B92">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单位</w:t>
            </w:r>
          </w:p>
        </w:tc>
        <w:tc>
          <w:tcPr>
            <w:tcW w:w="830" w:type="dxa"/>
            <w:vMerge w:val="restart"/>
            <w:vAlign w:val="center"/>
          </w:tcPr>
          <w:p w14:paraId="735D782B">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数量</w:t>
            </w:r>
          </w:p>
        </w:tc>
        <w:tc>
          <w:tcPr>
            <w:tcW w:w="2097" w:type="dxa"/>
            <w:gridSpan w:val="2"/>
            <w:vAlign w:val="center"/>
          </w:tcPr>
          <w:p w14:paraId="37D5AB98">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投标报价（元）</w:t>
            </w:r>
          </w:p>
        </w:tc>
        <w:tc>
          <w:tcPr>
            <w:tcW w:w="2359" w:type="dxa"/>
            <w:vMerge w:val="restart"/>
            <w:vAlign w:val="center"/>
          </w:tcPr>
          <w:p w14:paraId="73684703">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备注</w:t>
            </w:r>
          </w:p>
        </w:tc>
      </w:tr>
      <w:tr w14:paraId="09C7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780" w:type="dxa"/>
            <w:vMerge w:val="continue"/>
            <w:vAlign w:val="center"/>
          </w:tcPr>
          <w:p w14:paraId="50189600">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c>
          <w:tcPr>
            <w:tcW w:w="2614" w:type="dxa"/>
            <w:vMerge w:val="continue"/>
            <w:vAlign w:val="center"/>
          </w:tcPr>
          <w:p w14:paraId="0397D18D">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c>
          <w:tcPr>
            <w:tcW w:w="729" w:type="dxa"/>
            <w:vMerge w:val="continue"/>
            <w:vAlign w:val="center"/>
          </w:tcPr>
          <w:p w14:paraId="6EA23CC3">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c>
          <w:tcPr>
            <w:tcW w:w="830" w:type="dxa"/>
            <w:vMerge w:val="continue"/>
            <w:vAlign w:val="center"/>
          </w:tcPr>
          <w:p w14:paraId="491AB47C">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c>
          <w:tcPr>
            <w:tcW w:w="1063" w:type="dxa"/>
            <w:vAlign w:val="center"/>
          </w:tcPr>
          <w:p w14:paraId="44D214B5">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单价</w:t>
            </w:r>
          </w:p>
        </w:tc>
        <w:tc>
          <w:tcPr>
            <w:tcW w:w="1034" w:type="dxa"/>
            <w:vAlign w:val="center"/>
          </w:tcPr>
          <w:p w14:paraId="64E6B2A4">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小计</w:t>
            </w:r>
          </w:p>
        </w:tc>
        <w:tc>
          <w:tcPr>
            <w:tcW w:w="2359" w:type="dxa"/>
            <w:vMerge w:val="continue"/>
            <w:vAlign w:val="center"/>
          </w:tcPr>
          <w:p w14:paraId="0F685F84">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r>
      <w:tr w14:paraId="20AA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0" w:type="dxa"/>
            <w:vAlign w:val="center"/>
          </w:tcPr>
          <w:p w14:paraId="10036281">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1</w:t>
            </w:r>
          </w:p>
        </w:tc>
        <w:tc>
          <w:tcPr>
            <w:tcW w:w="2614" w:type="dxa"/>
            <w:vAlign w:val="center"/>
          </w:tcPr>
          <w:p w14:paraId="4281B94C">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主管岗</w:t>
            </w:r>
          </w:p>
        </w:tc>
        <w:tc>
          <w:tcPr>
            <w:tcW w:w="729" w:type="dxa"/>
            <w:vAlign w:val="center"/>
          </w:tcPr>
          <w:p w14:paraId="3156C5C4">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1</w:t>
            </w:r>
          </w:p>
        </w:tc>
        <w:tc>
          <w:tcPr>
            <w:tcW w:w="830" w:type="dxa"/>
            <w:vAlign w:val="center"/>
          </w:tcPr>
          <w:p w14:paraId="386F51F2">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个</w:t>
            </w:r>
          </w:p>
        </w:tc>
        <w:tc>
          <w:tcPr>
            <w:tcW w:w="1063" w:type="dxa"/>
            <w:vAlign w:val="center"/>
          </w:tcPr>
          <w:p w14:paraId="408A6737">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p>
        </w:tc>
        <w:tc>
          <w:tcPr>
            <w:tcW w:w="1034" w:type="dxa"/>
            <w:vAlign w:val="center"/>
          </w:tcPr>
          <w:p w14:paraId="3317D475">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p>
        </w:tc>
        <w:tc>
          <w:tcPr>
            <w:tcW w:w="2359" w:type="dxa"/>
            <w:vAlign w:val="center"/>
          </w:tcPr>
          <w:p w14:paraId="245E0C4F">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p>
        </w:tc>
      </w:tr>
      <w:tr w14:paraId="7A89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0" w:type="dxa"/>
            <w:vAlign w:val="center"/>
          </w:tcPr>
          <w:p w14:paraId="00EDBAB0">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2</w:t>
            </w:r>
          </w:p>
        </w:tc>
        <w:tc>
          <w:tcPr>
            <w:tcW w:w="2614" w:type="dxa"/>
            <w:vAlign w:val="center"/>
          </w:tcPr>
          <w:p w14:paraId="7CFD5C33">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社工岗</w:t>
            </w:r>
          </w:p>
        </w:tc>
        <w:tc>
          <w:tcPr>
            <w:tcW w:w="729" w:type="dxa"/>
            <w:vAlign w:val="center"/>
          </w:tcPr>
          <w:p w14:paraId="117D3E81">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3</w:t>
            </w:r>
          </w:p>
        </w:tc>
        <w:tc>
          <w:tcPr>
            <w:tcW w:w="830" w:type="dxa"/>
            <w:vAlign w:val="center"/>
          </w:tcPr>
          <w:p w14:paraId="7A2DBAE8">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个</w:t>
            </w:r>
          </w:p>
        </w:tc>
        <w:tc>
          <w:tcPr>
            <w:tcW w:w="1063" w:type="dxa"/>
            <w:vAlign w:val="center"/>
          </w:tcPr>
          <w:p w14:paraId="4F8AA5EB">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p>
        </w:tc>
        <w:tc>
          <w:tcPr>
            <w:tcW w:w="1034" w:type="dxa"/>
            <w:vAlign w:val="center"/>
          </w:tcPr>
          <w:p w14:paraId="1DE2CE76">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p>
        </w:tc>
        <w:tc>
          <w:tcPr>
            <w:tcW w:w="2359" w:type="dxa"/>
            <w:vAlign w:val="center"/>
          </w:tcPr>
          <w:p w14:paraId="41B687D6">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p>
        </w:tc>
      </w:tr>
      <w:tr w14:paraId="4CCE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0" w:type="dxa"/>
            <w:vAlign w:val="center"/>
          </w:tcPr>
          <w:p w14:paraId="29F04BE0">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3</w:t>
            </w:r>
          </w:p>
        </w:tc>
        <w:tc>
          <w:tcPr>
            <w:tcW w:w="2614" w:type="dxa"/>
            <w:vAlign w:val="center"/>
          </w:tcPr>
          <w:p w14:paraId="336C8652">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心理咨询师</w:t>
            </w:r>
          </w:p>
        </w:tc>
        <w:tc>
          <w:tcPr>
            <w:tcW w:w="729" w:type="dxa"/>
            <w:vAlign w:val="center"/>
          </w:tcPr>
          <w:p w14:paraId="6A5129DE">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1</w:t>
            </w:r>
          </w:p>
        </w:tc>
        <w:tc>
          <w:tcPr>
            <w:tcW w:w="830" w:type="dxa"/>
            <w:vAlign w:val="center"/>
          </w:tcPr>
          <w:p w14:paraId="5676939E">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个</w:t>
            </w:r>
          </w:p>
        </w:tc>
        <w:tc>
          <w:tcPr>
            <w:tcW w:w="1063" w:type="dxa"/>
            <w:vAlign w:val="center"/>
          </w:tcPr>
          <w:p w14:paraId="555BA7EB">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c>
          <w:tcPr>
            <w:tcW w:w="1034" w:type="dxa"/>
            <w:vAlign w:val="center"/>
          </w:tcPr>
          <w:p w14:paraId="14D05C7B">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c>
          <w:tcPr>
            <w:tcW w:w="2359" w:type="dxa"/>
            <w:vAlign w:val="center"/>
          </w:tcPr>
          <w:p w14:paraId="18D82F1C">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r>
      <w:tr w14:paraId="7285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0" w:type="dxa"/>
            <w:vAlign w:val="center"/>
          </w:tcPr>
          <w:p w14:paraId="4559E0C6">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4</w:t>
            </w:r>
          </w:p>
        </w:tc>
        <w:tc>
          <w:tcPr>
            <w:tcW w:w="2614" w:type="dxa"/>
            <w:vAlign w:val="center"/>
          </w:tcPr>
          <w:p w14:paraId="2D4EE44D">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助餐服务岗</w:t>
            </w:r>
          </w:p>
        </w:tc>
        <w:tc>
          <w:tcPr>
            <w:tcW w:w="729" w:type="dxa"/>
            <w:vAlign w:val="center"/>
          </w:tcPr>
          <w:p w14:paraId="6A62A6DF">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1</w:t>
            </w:r>
          </w:p>
        </w:tc>
        <w:tc>
          <w:tcPr>
            <w:tcW w:w="830" w:type="dxa"/>
            <w:vAlign w:val="center"/>
          </w:tcPr>
          <w:p w14:paraId="2592B352">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个</w:t>
            </w:r>
          </w:p>
        </w:tc>
        <w:tc>
          <w:tcPr>
            <w:tcW w:w="1063" w:type="dxa"/>
            <w:vAlign w:val="center"/>
          </w:tcPr>
          <w:p w14:paraId="0C091338">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c>
          <w:tcPr>
            <w:tcW w:w="1034" w:type="dxa"/>
            <w:vAlign w:val="center"/>
          </w:tcPr>
          <w:p w14:paraId="4ABC8950">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c>
          <w:tcPr>
            <w:tcW w:w="2359" w:type="dxa"/>
            <w:vAlign w:val="center"/>
          </w:tcPr>
          <w:p w14:paraId="7913FC53">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r>
      <w:tr w14:paraId="41F1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0" w:type="dxa"/>
            <w:vAlign w:val="center"/>
          </w:tcPr>
          <w:p w14:paraId="6CCED0DE">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5</w:t>
            </w:r>
          </w:p>
        </w:tc>
        <w:tc>
          <w:tcPr>
            <w:tcW w:w="2614" w:type="dxa"/>
            <w:vAlign w:val="center"/>
          </w:tcPr>
          <w:p w14:paraId="468A384D">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帮工岗</w:t>
            </w:r>
          </w:p>
        </w:tc>
        <w:tc>
          <w:tcPr>
            <w:tcW w:w="729" w:type="dxa"/>
            <w:vAlign w:val="center"/>
          </w:tcPr>
          <w:p w14:paraId="297083F6">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1</w:t>
            </w:r>
          </w:p>
        </w:tc>
        <w:tc>
          <w:tcPr>
            <w:tcW w:w="830" w:type="dxa"/>
            <w:vAlign w:val="center"/>
          </w:tcPr>
          <w:p w14:paraId="6EF4D451">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个</w:t>
            </w:r>
          </w:p>
        </w:tc>
        <w:tc>
          <w:tcPr>
            <w:tcW w:w="1063" w:type="dxa"/>
            <w:vAlign w:val="center"/>
          </w:tcPr>
          <w:p w14:paraId="7AE8C7BB">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c>
          <w:tcPr>
            <w:tcW w:w="1034" w:type="dxa"/>
            <w:vAlign w:val="center"/>
          </w:tcPr>
          <w:p w14:paraId="3707BD0E">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c>
          <w:tcPr>
            <w:tcW w:w="2359" w:type="dxa"/>
            <w:vAlign w:val="center"/>
          </w:tcPr>
          <w:p w14:paraId="27B81695">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r>
      <w:tr w14:paraId="777D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0" w:type="dxa"/>
            <w:vAlign w:val="center"/>
          </w:tcPr>
          <w:p w14:paraId="5D62FEA5">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6</w:t>
            </w:r>
          </w:p>
        </w:tc>
        <w:tc>
          <w:tcPr>
            <w:tcW w:w="2614" w:type="dxa"/>
            <w:vAlign w:val="center"/>
          </w:tcPr>
          <w:p w14:paraId="14BC21D1">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保洁岗</w:t>
            </w:r>
          </w:p>
        </w:tc>
        <w:tc>
          <w:tcPr>
            <w:tcW w:w="729" w:type="dxa"/>
            <w:vAlign w:val="center"/>
          </w:tcPr>
          <w:p w14:paraId="452C6E67">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1</w:t>
            </w:r>
          </w:p>
        </w:tc>
        <w:tc>
          <w:tcPr>
            <w:tcW w:w="830" w:type="dxa"/>
            <w:vAlign w:val="center"/>
          </w:tcPr>
          <w:p w14:paraId="681D168F">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个</w:t>
            </w:r>
          </w:p>
        </w:tc>
        <w:tc>
          <w:tcPr>
            <w:tcW w:w="1063" w:type="dxa"/>
            <w:vAlign w:val="center"/>
          </w:tcPr>
          <w:p w14:paraId="02F9144F">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c>
          <w:tcPr>
            <w:tcW w:w="1034" w:type="dxa"/>
            <w:vAlign w:val="center"/>
          </w:tcPr>
          <w:p w14:paraId="3EE72645">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c>
          <w:tcPr>
            <w:tcW w:w="2359" w:type="dxa"/>
            <w:vAlign w:val="center"/>
          </w:tcPr>
          <w:p w14:paraId="3ECE5E57">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r>
      <w:tr w14:paraId="2BA5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0" w:type="dxa"/>
            <w:vAlign w:val="center"/>
          </w:tcPr>
          <w:p w14:paraId="7516AF95">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7</w:t>
            </w:r>
          </w:p>
        </w:tc>
        <w:tc>
          <w:tcPr>
            <w:tcW w:w="2614" w:type="dxa"/>
            <w:vAlign w:val="center"/>
          </w:tcPr>
          <w:p w14:paraId="50DE59FB">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残疾人公益岗</w:t>
            </w:r>
          </w:p>
        </w:tc>
        <w:tc>
          <w:tcPr>
            <w:tcW w:w="729" w:type="dxa"/>
            <w:vAlign w:val="center"/>
          </w:tcPr>
          <w:p w14:paraId="73E4EFC9">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1</w:t>
            </w:r>
          </w:p>
        </w:tc>
        <w:tc>
          <w:tcPr>
            <w:tcW w:w="830" w:type="dxa"/>
            <w:vAlign w:val="center"/>
          </w:tcPr>
          <w:p w14:paraId="2B74A506">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个</w:t>
            </w:r>
          </w:p>
        </w:tc>
        <w:tc>
          <w:tcPr>
            <w:tcW w:w="1063" w:type="dxa"/>
            <w:vAlign w:val="center"/>
          </w:tcPr>
          <w:p w14:paraId="131B546E">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c>
          <w:tcPr>
            <w:tcW w:w="1034" w:type="dxa"/>
            <w:vAlign w:val="center"/>
          </w:tcPr>
          <w:p w14:paraId="4E34B2C5">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c>
          <w:tcPr>
            <w:tcW w:w="2359" w:type="dxa"/>
            <w:vAlign w:val="center"/>
          </w:tcPr>
          <w:p w14:paraId="0FDE5435">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r>
      <w:tr w14:paraId="4FBB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04252713">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8</w:t>
            </w:r>
          </w:p>
        </w:tc>
        <w:tc>
          <w:tcPr>
            <w:tcW w:w="2614" w:type="dxa"/>
            <w:vAlign w:val="center"/>
          </w:tcPr>
          <w:p w14:paraId="46342F46">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日常活动、大型活动等</w:t>
            </w:r>
          </w:p>
        </w:tc>
        <w:tc>
          <w:tcPr>
            <w:tcW w:w="729" w:type="dxa"/>
            <w:vAlign w:val="center"/>
          </w:tcPr>
          <w:p w14:paraId="3297F4C9">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1</w:t>
            </w:r>
          </w:p>
        </w:tc>
        <w:tc>
          <w:tcPr>
            <w:tcW w:w="830" w:type="dxa"/>
            <w:vAlign w:val="center"/>
          </w:tcPr>
          <w:p w14:paraId="50E23B5C">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年</w:t>
            </w:r>
          </w:p>
        </w:tc>
        <w:tc>
          <w:tcPr>
            <w:tcW w:w="1063" w:type="dxa"/>
            <w:vAlign w:val="center"/>
          </w:tcPr>
          <w:p w14:paraId="7FA9DB02">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c>
          <w:tcPr>
            <w:tcW w:w="1034" w:type="dxa"/>
            <w:vAlign w:val="center"/>
          </w:tcPr>
          <w:p w14:paraId="23AF3B7B">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c>
          <w:tcPr>
            <w:tcW w:w="2359" w:type="dxa"/>
            <w:vAlign w:val="center"/>
          </w:tcPr>
          <w:p w14:paraId="213D8847">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r>
      <w:tr w14:paraId="0D57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017F72B3">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9</w:t>
            </w:r>
          </w:p>
        </w:tc>
        <w:tc>
          <w:tcPr>
            <w:tcW w:w="2614" w:type="dxa"/>
            <w:vAlign w:val="center"/>
          </w:tcPr>
          <w:p w14:paraId="1C3B8760">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传统节日慰问费</w:t>
            </w:r>
          </w:p>
        </w:tc>
        <w:tc>
          <w:tcPr>
            <w:tcW w:w="729" w:type="dxa"/>
            <w:vAlign w:val="center"/>
          </w:tcPr>
          <w:p w14:paraId="35E61DFD">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1</w:t>
            </w:r>
          </w:p>
        </w:tc>
        <w:tc>
          <w:tcPr>
            <w:tcW w:w="830" w:type="dxa"/>
            <w:vAlign w:val="center"/>
          </w:tcPr>
          <w:p w14:paraId="2946BE00">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年</w:t>
            </w:r>
          </w:p>
        </w:tc>
        <w:tc>
          <w:tcPr>
            <w:tcW w:w="1063" w:type="dxa"/>
            <w:vAlign w:val="center"/>
          </w:tcPr>
          <w:p w14:paraId="7A884016">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15000</w:t>
            </w:r>
          </w:p>
        </w:tc>
        <w:tc>
          <w:tcPr>
            <w:tcW w:w="1034" w:type="dxa"/>
            <w:vAlign w:val="center"/>
          </w:tcPr>
          <w:p w14:paraId="33BE6126">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15000</w:t>
            </w:r>
          </w:p>
        </w:tc>
        <w:tc>
          <w:tcPr>
            <w:tcW w:w="2359" w:type="dxa"/>
            <w:vMerge w:val="restart"/>
            <w:vAlign w:val="center"/>
          </w:tcPr>
          <w:p w14:paraId="5A25B4EC">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暂估价，不作为竞争费用，按实结算</w:t>
            </w:r>
          </w:p>
        </w:tc>
      </w:tr>
      <w:tr w14:paraId="5D24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325B5C77">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10</w:t>
            </w:r>
          </w:p>
        </w:tc>
        <w:tc>
          <w:tcPr>
            <w:tcW w:w="2614" w:type="dxa"/>
            <w:vAlign w:val="center"/>
          </w:tcPr>
          <w:p w14:paraId="41E09F54">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设施设备购买费</w:t>
            </w:r>
          </w:p>
        </w:tc>
        <w:tc>
          <w:tcPr>
            <w:tcW w:w="729" w:type="dxa"/>
            <w:vAlign w:val="center"/>
          </w:tcPr>
          <w:p w14:paraId="123386A6">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1</w:t>
            </w:r>
          </w:p>
        </w:tc>
        <w:tc>
          <w:tcPr>
            <w:tcW w:w="830" w:type="dxa"/>
            <w:vAlign w:val="center"/>
          </w:tcPr>
          <w:p w14:paraId="41CCF005">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年</w:t>
            </w:r>
          </w:p>
        </w:tc>
        <w:tc>
          <w:tcPr>
            <w:tcW w:w="1063" w:type="dxa"/>
            <w:vAlign w:val="center"/>
          </w:tcPr>
          <w:p w14:paraId="62BAF2BD">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5000</w:t>
            </w:r>
          </w:p>
        </w:tc>
        <w:tc>
          <w:tcPr>
            <w:tcW w:w="1034" w:type="dxa"/>
            <w:vAlign w:val="center"/>
          </w:tcPr>
          <w:p w14:paraId="7CAD9853">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5000</w:t>
            </w:r>
          </w:p>
        </w:tc>
        <w:tc>
          <w:tcPr>
            <w:tcW w:w="2359" w:type="dxa"/>
            <w:vMerge w:val="continue"/>
            <w:vAlign w:val="center"/>
          </w:tcPr>
          <w:p w14:paraId="65D2359E">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r>
      <w:tr w14:paraId="01A0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1601398D">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11</w:t>
            </w:r>
          </w:p>
        </w:tc>
        <w:tc>
          <w:tcPr>
            <w:tcW w:w="2614" w:type="dxa"/>
            <w:vAlign w:val="center"/>
          </w:tcPr>
          <w:p w14:paraId="5F1A635C">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设施设备小维修、油烟机清洗、零星物件更换、突发事件预备等</w:t>
            </w:r>
          </w:p>
        </w:tc>
        <w:tc>
          <w:tcPr>
            <w:tcW w:w="729" w:type="dxa"/>
            <w:vAlign w:val="center"/>
          </w:tcPr>
          <w:p w14:paraId="3A6F8315">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1</w:t>
            </w:r>
          </w:p>
        </w:tc>
        <w:tc>
          <w:tcPr>
            <w:tcW w:w="830" w:type="dxa"/>
            <w:vAlign w:val="center"/>
          </w:tcPr>
          <w:p w14:paraId="4B7FE6CB">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年</w:t>
            </w:r>
          </w:p>
        </w:tc>
        <w:tc>
          <w:tcPr>
            <w:tcW w:w="1063" w:type="dxa"/>
            <w:vAlign w:val="center"/>
          </w:tcPr>
          <w:p w14:paraId="64924EC9">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c>
          <w:tcPr>
            <w:tcW w:w="1034" w:type="dxa"/>
            <w:vAlign w:val="center"/>
          </w:tcPr>
          <w:p w14:paraId="62199B2C">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c>
          <w:tcPr>
            <w:tcW w:w="2359" w:type="dxa"/>
            <w:vAlign w:val="center"/>
          </w:tcPr>
          <w:p w14:paraId="27284DC5">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r>
      <w:tr w14:paraId="1637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center"/>
          </w:tcPr>
          <w:p w14:paraId="0F7954E9">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12</w:t>
            </w:r>
          </w:p>
        </w:tc>
        <w:tc>
          <w:tcPr>
            <w:tcW w:w="2614" w:type="dxa"/>
            <w:vAlign w:val="center"/>
          </w:tcPr>
          <w:p w14:paraId="15FC132A">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管理费、税金</w:t>
            </w:r>
          </w:p>
        </w:tc>
        <w:tc>
          <w:tcPr>
            <w:tcW w:w="729" w:type="dxa"/>
            <w:vAlign w:val="center"/>
          </w:tcPr>
          <w:p w14:paraId="38DF621A">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1</w:t>
            </w:r>
          </w:p>
        </w:tc>
        <w:tc>
          <w:tcPr>
            <w:tcW w:w="830" w:type="dxa"/>
            <w:vAlign w:val="center"/>
          </w:tcPr>
          <w:p w14:paraId="127A2C87">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年</w:t>
            </w:r>
          </w:p>
        </w:tc>
        <w:tc>
          <w:tcPr>
            <w:tcW w:w="1063" w:type="dxa"/>
            <w:vAlign w:val="center"/>
          </w:tcPr>
          <w:p w14:paraId="03CC4C64">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c>
          <w:tcPr>
            <w:tcW w:w="1034" w:type="dxa"/>
            <w:vAlign w:val="center"/>
          </w:tcPr>
          <w:p w14:paraId="60EC1993">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c>
          <w:tcPr>
            <w:tcW w:w="2359" w:type="dxa"/>
            <w:vAlign w:val="center"/>
          </w:tcPr>
          <w:p w14:paraId="1AFA450D">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p>
        </w:tc>
      </w:tr>
      <w:tr w14:paraId="3964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394" w:type="dxa"/>
            <w:gridSpan w:val="2"/>
            <w:vAlign w:val="center"/>
          </w:tcPr>
          <w:p w14:paraId="15904FD3">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投标总价</w:t>
            </w:r>
          </w:p>
        </w:tc>
        <w:tc>
          <w:tcPr>
            <w:tcW w:w="6015" w:type="dxa"/>
            <w:gridSpan w:val="5"/>
            <w:vAlign w:val="center"/>
          </w:tcPr>
          <w:p w14:paraId="0C240A21">
            <w:pPr>
              <w:pStyle w:val="16"/>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 xml:space="preserve">  </w:t>
            </w:r>
            <w:r>
              <w:rPr>
                <w:rFonts w:hint="eastAsia" w:asciiTheme="majorEastAsia" w:hAnsiTheme="majorEastAsia" w:eastAsiaTheme="majorEastAsia" w:cstheme="majorEastAsia"/>
                <w:b w:val="0"/>
                <w:bCs w:val="0"/>
                <w:color w:val="auto"/>
                <w:sz w:val="24"/>
                <w:szCs w:val="24"/>
                <w:highlight w:val="none"/>
              </w:rPr>
              <w:t>大写：</w:t>
            </w:r>
            <w:r>
              <w:rPr>
                <w:rFonts w:hint="eastAsia" w:asciiTheme="majorEastAsia" w:hAnsiTheme="majorEastAsia" w:eastAsiaTheme="majorEastAsia" w:cstheme="majorEastAsia"/>
                <w:b w:val="0"/>
                <w:bCs w:val="0"/>
                <w:color w:val="auto"/>
                <w:sz w:val="24"/>
                <w:szCs w:val="24"/>
                <w:highlight w:val="none"/>
                <w:u w:val="single"/>
              </w:rPr>
              <w:t xml:space="preserve">　　　　  </w:t>
            </w:r>
            <w:r>
              <w:rPr>
                <w:rFonts w:hint="eastAsia" w:asciiTheme="majorEastAsia" w:hAnsiTheme="majorEastAsia" w:eastAsiaTheme="majorEastAsia" w:cstheme="majorEastAsia"/>
                <w:b w:val="0"/>
                <w:bCs w:val="0"/>
                <w:color w:val="auto"/>
                <w:sz w:val="24"/>
                <w:szCs w:val="24"/>
                <w:highlight w:val="none"/>
                <w:u w:val="single"/>
                <w:lang w:val="en-US" w:eastAsia="zh-CN"/>
              </w:rPr>
              <w:t xml:space="preserve">  </w:t>
            </w:r>
            <w:r>
              <w:rPr>
                <w:rFonts w:hint="eastAsia" w:asciiTheme="majorEastAsia" w:hAnsiTheme="majorEastAsia" w:eastAsiaTheme="majorEastAsia" w:cstheme="majorEastAsia"/>
                <w:b w:val="0"/>
                <w:bCs w:val="0"/>
                <w:color w:val="auto"/>
                <w:sz w:val="24"/>
                <w:szCs w:val="24"/>
                <w:highlight w:val="none"/>
                <w:u w:val="single"/>
              </w:rPr>
              <w:t xml:space="preserve">      </w:t>
            </w:r>
            <w:r>
              <w:rPr>
                <w:rFonts w:hint="eastAsia" w:asciiTheme="majorEastAsia" w:hAnsiTheme="majorEastAsia" w:eastAsiaTheme="majorEastAsia" w:cstheme="majorEastAsia"/>
                <w:b w:val="0"/>
                <w:bCs w:val="0"/>
                <w:color w:val="auto"/>
                <w:sz w:val="24"/>
                <w:szCs w:val="24"/>
                <w:highlight w:val="none"/>
              </w:rPr>
              <w:t>元（小写：</w:t>
            </w:r>
            <w:r>
              <w:rPr>
                <w:rFonts w:hint="eastAsia" w:asciiTheme="majorEastAsia" w:hAnsiTheme="majorEastAsia" w:eastAsiaTheme="majorEastAsia" w:cstheme="majorEastAsia"/>
                <w:b w:val="0"/>
                <w:bCs w:val="0"/>
                <w:color w:val="auto"/>
                <w:sz w:val="24"/>
                <w:szCs w:val="24"/>
                <w:highlight w:val="none"/>
                <w:u w:val="single"/>
              </w:rPr>
              <w:t>　　</w:t>
            </w:r>
            <w:r>
              <w:rPr>
                <w:rFonts w:hint="eastAsia" w:asciiTheme="majorEastAsia" w:hAnsiTheme="majorEastAsia" w:eastAsiaTheme="majorEastAsia" w:cstheme="majorEastAsia"/>
                <w:b w:val="0"/>
                <w:bCs w:val="0"/>
                <w:color w:val="auto"/>
                <w:sz w:val="24"/>
                <w:szCs w:val="24"/>
                <w:highlight w:val="none"/>
                <w:u w:val="single"/>
                <w:lang w:val="en-US" w:eastAsia="zh-CN"/>
              </w:rPr>
              <w:t xml:space="preserve">    </w:t>
            </w:r>
            <w:r>
              <w:rPr>
                <w:rFonts w:hint="eastAsia" w:asciiTheme="majorEastAsia" w:hAnsiTheme="majorEastAsia" w:eastAsiaTheme="majorEastAsia" w:cstheme="majorEastAsia"/>
                <w:b w:val="0"/>
                <w:bCs w:val="0"/>
                <w:color w:val="auto"/>
                <w:sz w:val="24"/>
                <w:szCs w:val="24"/>
                <w:highlight w:val="none"/>
                <w:u w:val="single"/>
              </w:rPr>
              <w:t>　</w:t>
            </w:r>
            <w:r>
              <w:rPr>
                <w:rFonts w:hint="eastAsia" w:asciiTheme="majorEastAsia" w:hAnsiTheme="majorEastAsia" w:eastAsiaTheme="majorEastAsia" w:cstheme="majorEastAsia"/>
                <w:b w:val="0"/>
                <w:bCs w:val="0"/>
                <w:color w:val="auto"/>
                <w:sz w:val="24"/>
                <w:szCs w:val="24"/>
                <w:highlight w:val="none"/>
              </w:rPr>
              <w:t>）</w:t>
            </w:r>
          </w:p>
        </w:tc>
      </w:tr>
      <w:tr w14:paraId="57C8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409" w:type="dxa"/>
            <w:gridSpan w:val="7"/>
            <w:vAlign w:val="center"/>
          </w:tcPr>
          <w:p w14:paraId="6D77689B">
            <w:pPr>
              <w:pStyle w:val="16"/>
              <w:keepNext w:val="0"/>
              <w:keepLines w:val="0"/>
              <w:pageBreakBefore w:val="0"/>
              <w:widowControl w:val="0"/>
              <w:kinsoku/>
              <w:wordWrap/>
              <w:overflowPunct/>
              <w:topLinePunct w:val="0"/>
              <w:autoSpaceDE/>
              <w:autoSpaceDN/>
              <w:bidi w:val="0"/>
              <w:adjustRightInd/>
              <w:snapToGrid/>
              <w:spacing w:line="240" w:lineRule="atLeast"/>
              <w:ind w:firstLine="480" w:firstLineChars="200"/>
              <w:jc w:val="left"/>
              <w:textAlignment w:val="auto"/>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本次报价应包含项目所需全部服务，不得缺漏，是履行合同的最终价格（包括但不限于本次采购项目所需的人员工资、福利、利润、税金、保险</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应急性保障费用、招标代理费及其他不可预见费用等一切费用</w:t>
            </w:r>
            <w:r>
              <w:rPr>
                <w:rFonts w:hint="eastAsia" w:asciiTheme="majorEastAsia" w:hAnsiTheme="majorEastAsia" w:eastAsiaTheme="majorEastAsia" w:cstheme="majorEastAsia"/>
                <w:b w:val="0"/>
                <w:bCs w:val="0"/>
                <w:color w:val="auto"/>
                <w:sz w:val="24"/>
                <w:szCs w:val="24"/>
                <w:highlight w:val="none"/>
              </w:rPr>
              <w:t>。</w:t>
            </w:r>
          </w:p>
        </w:tc>
      </w:tr>
    </w:tbl>
    <w:p w14:paraId="336C70E4">
      <w:pPr>
        <w:spacing w:line="360" w:lineRule="auto"/>
        <w:rPr>
          <w:rFonts w:hint="eastAsia" w:ascii="宋体" w:hAnsi="宋体" w:cs="宋体"/>
          <w:color w:val="auto"/>
          <w:sz w:val="24"/>
          <w:highlight w:val="none"/>
        </w:rPr>
      </w:pPr>
      <w:r>
        <w:rPr>
          <w:rFonts w:hint="eastAsia" w:hAnsi="宋体" w:cs="宋体"/>
          <w:color w:val="auto"/>
          <w:sz w:val="24"/>
          <w:highlight w:val="none"/>
        </w:rPr>
        <w:t>注：</w:t>
      </w:r>
      <w:r>
        <w:rPr>
          <w:rFonts w:hint="eastAsia" w:ascii="宋体" w:hAnsi="宋体" w:cs="宋体"/>
          <w:b w:val="0"/>
          <w:bCs/>
          <w:color w:val="auto"/>
          <w:sz w:val="24"/>
          <w:highlight w:val="none"/>
        </w:rPr>
        <w:t>在填写本磋商报价明细表时，投标人可根据实际情况自行增项，但表格格式不得修改。</w:t>
      </w:r>
    </w:p>
    <w:p w14:paraId="181F8451">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5221DDCA">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51CEC7D6">
      <w:pPr>
        <w:spacing w:line="360" w:lineRule="auto"/>
        <w:jc w:val="center"/>
        <w:rPr>
          <w:rFonts w:ascii="宋体" w:hAnsi="宋体" w:cs="宋体"/>
          <w:color w:val="auto"/>
          <w:sz w:val="24"/>
          <w:szCs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供应商全称（公章）：</w:t>
      </w:r>
      <w:bookmarkEnd w:id="151"/>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6C9D6">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4841C">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24841C">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38288">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CAF3A">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CCAF3A">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C020B">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E1FAF">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33E1FAF">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D743">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62A20">
                          <w:pPr>
                            <w:pStyle w:val="2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062A20">
                    <w:pPr>
                      <w:pStyle w:val="21"/>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EC6AF"/>
    <w:multiLevelType w:val="singleLevel"/>
    <w:tmpl w:val="A1AEC6AF"/>
    <w:lvl w:ilvl="0" w:tentative="0">
      <w:start w:val="1"/>
      <w:numFmt w:val="chineseCounting"/>
      <w:suff w:val="space"/>
      <w:lvlText w:val="%1．"/>
      <w:lvlJc w:val="left"/>
      <w:rPr>
        <w:rFonts w:hint="eastAsia"/>
      </w:rPr>
    </w:lvl>
  </w:abstractNum>
  <w:abstractNum w:abstractNumId="1">
    <w:nsid w:val="00000001"/>
    <w:multiLevelType w:val="singleLevel"/>
    <w:tmpl w:val="00000001"/>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decimalEnclosedCircleChinese"/>
      <w:suff w:val="nothing"/>
      <w:lvlText w:val="%1　"/>
      <w:lvlJc w:val="left"/>
      <w:pPr>
        <w:ind w:firstLine="1134"/>
      </w:pPr>
      <w:rPr>
        <w:rFonts w:hint="eastAsia"/>
      </w:rPr>
    </w:lvl>
  </w:abstractNum>
  <w:abstractNum w:abstractNumId="4">
    <w:nsid w:val="00000004"/>
    <w:multiLevelType w:val="singleLevel"/>
    <w:tmpl w:val="00000004"/>
    <w:lvl w:ilvl="0" w:tentative="0">
      <w:start w:val="1"/>
      <w:numFmt w:val="decimal"/>
      <w:suff w:val="nothing"/>
      <w:lvlText w:val="%1．"/>
      <w:lvlJc w:val="left"/>
      <w:pPr>
        <w:ind w:firstLine="397"/>
      </w:pPr>
      <w:rPr>
        <w:rFonts w:hint="default" w:ascii="宋体" w:hAnsi="宋体" w:eastAsia="宋体" w:cs="宋体"/>
        <w:sz w:val="24"/>
        <w:szCs w:val="24"/>
      </w:rPr>
    </w:lvl>
  </w:abstractNum>
  <w:abstractNum w:abstractNumId="5">
    <w:nsid w:val="00000005"/>
    <w:multiLevelType w:val="singleLevel"/>
    <w:tmpl w:val="00000005"/>
    <w:lvl w:ilvl="0" w:tentative="0">
      <w:start w:val="1"/>
      <w:numFmt w:val="chineseCounting"/>
      <w:suff w:val="nothing"/>
      <w:lvlText w:val="%1、"/>
      <w:lvlJc w:val="left"/>
      <w:rPr>
        <w:rFonts w:hint="eastAsia"/>
      </w:rPr>
    </w:lvl>
  </w:abstractNum>
  <w:abstractNum w:abstractNumId="6">
    <w:nsid w:val="00000006"/>
    <w:multiLevelType w:val="singleLevel"/>
    <w:tmpl w:val="0000000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7">
    <w:nsid w:val="00000007"/>
    <w:multiLevelType w:val="singleLevel"/>
    <w:tmpl w:val="00000007"/>
    <w:lvl w:ilvl="0" w:tentative="0">
      <w:start w:val="1"/>
      <w:numFmt w:val="decimalEnclosedCircleChinese"/>
      <w:suff w:val="nothing"/>
      <w:lvlText w:val="%1　"/>
      <w:lvlJc w:val="left"/>
      <w:pPr>
        <w:ind w:firstLine="397"/>
      </w:pPr>
      <w:rPr>
        <w:rFonts w:hint="eastAsia"/>
      </w:rPr>
    </w:lvl>
  </w:abstractNum>
  <w:abstractNum w:abstractNumId="8">
    <w:nsid w:val="00000008"/>
    <w:multiLevelType w:val="singleLevel"/>
    <w:tmpl w:val="00000008"/>
    <w:lvl w:ilvl="0" w:tentative="0">
      <w:start w:val="1"/>
      <w:numFmt w:val="decimalEnclosedCircleChinese"/>
      <w:suff w:val="nothing"/>
      <w:lvlText w:val="%1　"/>
      <w:lvlJc w:val="left"/>
      <w:pPr>
        <w:ind w:firstLine="397"/>
      </w:pPr>
      <w:rPr>
        <w:rFonts w:hint="eastAsia"/>
      </w:rPr>
    </w:lvl>
  </w:abstractNum>
  <w:abstractNum w:abstractNumId="9">
    <w:nsid w:val="00000009"/>
    <w:multiLevelType w:val="singleLevel"/>
    <w:tmpl w:val="00000009"/>
    <w:lvl w:ilvl="0" w:tentative="0">
      <w:start w:val="1"/>
      <w:numFmt w:val="decimalEnclosedCircleChinese"/>
      <w:suff w:val="nothing"/>
      <w:lvlText w:val="%1　"/>
      <w:lvlJc w:val="left"/>
      <w:pPr>
        <w:ind w:firstLine="1134"/>
      </w:pPr>
      <w:rPr>
        <w:rFonts w:hint="eastAsia"/>
      </w:rPr>
    </w:lvl>
  </w:abstractNum>
  <w:abstractNum w:abstractNumId="10">
    <w:nsid w:val="0000000A"/>
    <w:multiLevelType w:val="singleLevel"/>
    <w:tmpl w:val="0000000A"/>
    <w:lvl w:ilvl="0" w:tentative="0">
      <w:start w:val="4"/>
      <w:numFmt w:val="chineseCounting"/>
      <w:suff w:val="nothing"/>
      <w:lvlText w:val="%1、"/>
      <w:lvlJc w:val="left"/>
      <w:rPr>
        <w:rFonts w:hint="eastAsia"/>
      </w:rPr>
    </w:lvl>
  </w:abstractNum>
  <w:abstractNum w:abstractNumId="11">
    <w:nsid w:val="0000000C"/>
    <w:multiLevelType w:val="multilevel"/>
    <w:tmpl w:val="0000000C"/>
    <w:lvl w:ilvl="0" w:tentative="0">
      <w:start w:val="1"/>
      <w:numFmt w:val="upperLetter"/>
      <w:pStyle w:val="11"/>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2">
    <w:nsid w:val="0000000D"/>
    <w:multiLevelType w:val="singleLevel"/>
    <w:tmpl w:val="0000000D"/>
    <w:lvl w:ilvl="0" w:tentative="0">
      <w:start w:val="1"/>
      <w:numFmt w:val="decimalEnclosedCircleChinese"/>
      <w:suff w:val="nothing"/>
      <w:lvlText w:val="%1　"/>
      <w:lvlJc w:val="left"/>
      <w:pPr>
        <w:ind w:firstLine="1134"/>
      </w:pPr>
      <w:rPr>
        <w:rFonts w:hint="eastAsia"/>
      </w:rPr>
    </w:lvl>
  </w:abstractNum>
  <w:abstractNum w:abstractNumId="13">
    <w:nsid w:val="0000000E"/>
    <w:multiLevelType w:val="singleLevel"/>
    <w:tmpl w:val="0000000E"/>
    <w:lvl w:ilvl="0" w:tentative="0">
      <w:start w:val="1"/>
      <w:numFmt w:val="decimal"/>
      <w:suff w:val="nothing"/>
      <w:lvlText w:val="%1．"/>
      <w:lvlJc w:val="left"/>
      <w:pPr>
        <w:ind w:firstLine="397"/>
      </w:pPr>
      <w:rPr>
        <w:rFonts w:hint="default"/>
      </w:rPr>
    </w:lvl>
  </w:abstractNum>
  <w:abstractNum w:abstractNumId="14">
    <w:nsid w:val="0000000F"/>
    <w:multiLevelType w:val="singleLevel"/>
    <w:tmpl w:val="0000000F"/>
    <w:lvl w:ilvl="0" w:tentative="0">
      <w:start w:val="1"/>
      <w:numFmt w:val="decimal"/>
      <w:suff w:val="nothing"/>
      <w:lvlText w:val="%1．"/>
      <w:lvlJc w:val="left"/>
      <w:pPr>
        <w:ind w:firstLine="397"/>
      </w:pPr>
      <w:rPr>
        <w:rFonts w:hint="default"/>
      </w:rPr>
    </w:lvl>
  </w:abstractNum>
  <w:abstractNum w:abstractNumId="15">
    <w:nsid w:val="141CFF25"/>
    <w:multiLevelType w:val="singleLevel"/>
    <w:tmpl w:val="141CFF25"/>
    <w:lvl w:ilvl="0" w:tentative="0">
      <w:start w:val="1"/>
      <w:numFmt w:val="decimalEnclosedCircleChinese"/>
      <w:suff w:val="nothing"/>
      <w:lvlText w:val="%1　"/>
      <w:lvlJc w:val="left"/>
      <w:pPr>
        <w:ind w:left="0" w:firstLine="1134"/>
      </w:pPr>
      <w:rPr>
        <w:rFonts w:hint="eastAsia"/>
      </w:rPr>
    </w:lvl>
  </w:abstractNum>
  <w:abstractNum w:abstractNumId="16">
    <w:nsid w:val="2C5917C3"/>
    <w:multiLevelType w:val="multilevel"/>
    <w:tmpl w:val="2C5917C3"/>
    <w:lvl w:ilvl="0" w:tentative="0">
      <w:start w:val="1"/>
      <w:numFmt w:val="none"/>
      <w:suff w:val="nothing"/>
      <w:lvlText w:val="%1——"/>
      <w:lvlJc w:val="left"/>
      <w:pPr>
        <w:ind w:left="3348"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pStyle w:val="42"/>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7">
    <w:nsid w:val="3AFDAC36"/>
    <w:multiLevelType w:val="multilevel"/>
    <w:tmpl w:val="3AFDAC36"/>
    <w:lvl w:ilvl="0" w:tentative="0">
      <w:start w:val="1"/>
      <w:numFmt w:val="chineseCountingThousand"/>
      <w:suff w:val="nothing"/>
      <w:lvlText w:val="第%1章 "/>
      <w:lvlJc w:val="left"/>
      <w:rPr>
        <w:rFonts w:hint="eastAsia" w:cs="Times New Roman"/>
      </w:rPr>
    </w:lvl>
    <w:lvl w:ilvl="1" w:tentative="0">
      <w:start w:val="1"/>
      <w:numFmt w:val="decimal"/>
      <w:isLgl/>
      <w:lvlText w:val="%1.%2"/>
      <w:lvlJc w:val="left"/>
      <w:rPr>
        <w:rFonts w:hint="eastAsia" w:ascii="黑体" w:hAnsi="黑体" w:eastAsia="黑体" w:cs="Times New Roman"/>
        <w:sz w:val="32"/>
        <w:szCs w:val="32"/>
      </w:rPr>
    </w:lvl>
    <w:lvl w:ilvl="2" w:tentative="0">
      <w:start w:val="1"/>
      <w:numFmt w:val="decimal"/>
      <w:isLgl/>
      <w:lvlText w:val="%1.%2.%3."/>
      <w:lvlJc w:val="left"/>
      <w:rPr>
        <w:rFonts w:hint="eastAsia" w:ascii="黑体" w:hAnsi="黑体" w:eastAsia="黑体" w:cs="Times New Roman"/>
      </w:rPr>
    </w:lvl>
    <w:lvl w:ilvl="3" w:tentative="0">
      <w:start w:val="1"/>
      <w:numFmt w:val="decimal"/>
      <w:isLgl/>
      <w:lvlText w:val="%1.%2.%3.%4."/>
      <w:lvlJc w:val="left"/>
      <w:rPr>
        <w:rFonts w:hint="eastAsia" w:ascii="宋体" w:hAnsi="宋体" w:eastAsia="宋体" w:cs="Times New Roman"/>
      </w:rPr>
    </w:lvl>
    <w:lvl w:ilvl="4" w:tentative="0">
      <w:start w:val="1"/>
      <w:numFmt w:val="decimal"/>
      <w:isLgl/>
      <w:lvlText w:val="%1.%2.%3.%4.%5."/>
      <w:lvlJc w:val="left"/>
      <w:rPr>
        <w:rFonts w:hint="eastAsia" w:cs="Times New Roman"/>
        <w:b/>
        <w:bCs w:val="0"/>
        <w:i w:val="0"/>
        <w:iCs w:val="0"/>
        <w:caps w:val="0"/>
        <w:smallCaps w:val="0"/>
        <w:strike w:val="0"/>
        <w:dstrike w:val="0"/>
        <w:vanish w:val="0"/>
        <w:spacing w:val="0"/>
        <w:position w:val="0"/>
        <w:u w:val="none"/>
        <w:vertAlign w:val="baseline"/>
      </w:rPr>
    </w:lvl>
    <w:lvl w:ilvl="5" w:tentative="0">
      <w:start w:val="1"/>
      <w:numFmt w:val="decimal"/>
      <w:pStyle w:val="13"/>
      <w:isLgl/>
      <w:lvlText w:val="%1.%2.%3.%4.%5.%6."/>
      <w:lvlJc w:val="left"/>
    </w:lvl>
    <w:lvl w:ilvl="6" w:tentative="0">
      <w:start w:val="1"/>
      <w:numFmt w:val="decimal"/>
      <w:isLgl/>
      <w:lvlText w:val="%1.%2.%3.%4.%5.%6.%7"/>
      <w:lvlJc w:val="left"/>
      <w:rPr>
        <w:rFonts w:hint="eastAsia" w:cs="Times New Roman"/>
      </w:rPr>
    </w:lvl>
    <w:lvl w:ilvl="7" w:tentative="0">
      <w:start w:val="1"/>
      <w:numFmt w:val="decimal"/>
      <w:isLgl/>
      <w:lvlText w:val="%1.%2.%3.%4.%5.%6.%7.%8."/>
      <w:lvlJc w:val="left"/>
      <w:rPr>
        <w:rFonts w:cs="Times New Roman"/>
        <w:b/>
        <w:bCs w:val="0"/>
        <w:i w:val="0"/>
        <w:iCs w:val="0"/>
        <w:caps w:val="0"/>
        <w:smallCaps w:val="0"/>
        <w:strike w:val="0"/>
        <w:dstrike w:val="0"/>
        <w:vanish w:val="0"/>
        <w:spacing w:val="0"/>
        <w:position w:val="0"/>
        <w:u w:val="none"/>
        <w:vertAlign w:val="baseline"/>
      </w:rPr>
    </w:lvl>
    <w:lvl w:ilvl="8" w:tentative="0">
      <w:start w:val="1"/>
      <w:numFmt w:val="decimal"/>
      <w:isLgl/>
      <w:lvlText w:val="%1.%2.%3.%4.%5.%6.%7.%8.%9."/>
      <w:lvlJc w:val="left"/>
      <w:rPr>
        <w:rFonts w:hint="eastAsia" w:ascii="宋体" w:hAnsi="宋体" w:eastAsia="宋体" w:cs="Times New Roman"/>
      </w:rPr>
    </w:lvl>
  </w:abstractNum>
  <w:abstractNum w:abstractNumId="18">
    <w:nsid w:val="438B5F3B"/>
    <w:multiLevelType w:val="singleLevel"/>
    <w:tmpl w:val="438B5F3B"/>
    <w:lvl w:ilvl="0" w:tentative="0">
      <w:start w:val="1"/>
      <w:numFmt w:val="decimal"/>
      <w:lvlText w:val="(%1)"/>
      <w:lvlJc w:val="left"/>
      <w:pPr>
        <w:ind w:left="425" w:hanging="425"/>
      </w:pPr>
      <w:rPr>
        <w:rFonts w:hint="default"/>
      </w:rPr>
    </w:lvl>
  </w:abstractNum>
  <w:abstractNum w:abstractNumId="19">
    <w:nsid w:val="43F94463"/>
    <w:multiLevelType w:val="singleLevel"/>
    <w:tmpl w:val="43F94463"/>
    <w:lvl w:ilvl="0" w:tentative="0">
      <w:start w:val="1"/>
      <w:numFmt w:val="decimalEnclosedCircleChinese"/>
      <w:suff w:val="nothing"/>
      <w:lvlText w:val="%1　"/>
      <w:lvlJc w:val="left"/>
      <w:pPr>
        <w:ind w:left="0" w:firstLine="1134"/>
      </w:pPr>
      <w:rPr>
        <w:rFonts w:hint="eastAsia"/>
      </w:rPr>
    </w:lvl>
  </w:abstractNum>
  <w:num w:numId="1">
    <w:abstractNumId w:val="11"/>
  </w:num>
  <w:num w:numId="2">
    <w:abstractNumId w:val="17"/>
  </w:num>
  <w:num w:numId="3">
    <w:abstractNumId w:val="16"/>
  </w:num>
  <w:num w:numId="4">
    <w:abstractNumId w:val="0"/>
  </w:num>
  <w:num w:numId="5">
    <w:abstractNumId w:val="4"/>
  </w:num>
  <w:num w:numId="6">
    <w:abstractNumId w:val="13"/>
  </w:num>
  <w:num w:numId="7">
    <w:abstractNumId w:val="7"/>
  </w:num>
  <w:num w:numId="8">
    <w:abstractNumId w:val="14"/>
  </w:num>
  <w:num w:numId="9">
    <w:abstractNumId w:val="8"/>
  </w:num>
  <w:num w:numId="10">
    <w:abstractNumId w:val="5"/>
  </w:num>
  <w:num w:numId="11">
    <w:abstractNumId w:val="6"/>
  </w:num>
  <w:num w:numId="12">
    <w:abstractNumId w:val="12"/>
  </w:num>
  <w:num w:numId="13">
    <w:abstractNumId w:val="19"/>
  </w:num>
  <w:num w:numId="14">
    <w:abstractNumId w:val="3"/>
  </w:num>
  <w:num w:numId="15">
    <w:abstractNumId w:val="1"/>
  </w:num>
  <w:num w:numId="16">
    <w:abstractNumId w:val="9"/>
  </w:num>
  <w:num w:numId="17">
    <w:abstractNumId w:val="2"/>
  </w:num>
  <w:num w:numId="18">
    <w:abstractNumId w:val="10"/>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DJjNTNlNTc2YzA4MDFhZDc2ZTliMzY5YjA3OTMifQ=="/>
  </w:docVars>
  <w:rsids>
    <w:rsidRoot w:val="009238AE"/>
    <w:rsid w:val="00005CCA"/>
    <w:rsid w:val="000203FD"/>
    <w:rsid w:val="00024E8A"/>
    <w:rsid w:val="0006698C"/>
    <w:rsid w:val="0007016B"/>
    <w:rsid w:val="00085977"/>
    <w:rsid w:val="000A118A"/>
    <w:rsid w:val="000A79C7"/>
    <w:rsid w:val="000B3ED2"/>
    <w:rsid w:val="000E253D"/>
    <w:rsid w:val="00104083"/>
    <w:rsid w:val="0011189F"/>
    <w:rsid w:val="0015334C"/>
    <w:rsid w:val="00155EC9"/>
    <w:rsid w:val="00162F4F"/>
    <w:rsid w:val="001B53CA"/>
    <w:rsid w:val="001C462B"/>
    <w:rsid w:val="0020596C"/>
    <w:rsid w:val="00241844"/>
    <w:rsid w:val="0026130D"/>
    <w:rsid w:val="0028336A"/>
    <w:rsid w:val="00284BAC"/>
    <w:rsid w:val="002B6923"/>
    <w:rsid w:val="002C77B0"/>
    <w:rsid w:val="002D0F58"/>
    <w:rsid w:val="003027E9"/>
    <w:rsid w:val="00303700"/>
    <w:rsid w:val="0032770A"/>
    <w:rsid w:val="003410EC"/>
    <w:rsid w:val="00370C7E"/>
    <w:rsid w:val="003A4DB8"/>
    <w:rsid w:val="003A688A"/>
    <w:rsid w:val="003B0FBD"/>
    <w:rsid w:val="003E654D"/>
    <w:rsid w:val="00421375"/>
    <w:rsid w:val="00440364"/>
    <w:rsid w:val="00444CA1"/>
    <w:rsid w:val="0044577A"/>
    <w:rsid w:val="00451447"/>
    <w:rsid w:val="00473031"/>
    <w:rsid w:val="004762C8"/>
    <w:rsid w:val="0047670C"/>
    <w:rsid w:val="0048177D"/>
    <w:rsid w:val="004E31A0"/>
    <w:rsid w:val="004F00E1"/>
    <w:rsid w:val="004F5BEC"/>
    <w:rsid w:val="00505860"/>
    <w:rsid w:val="00515DC6"/>
    <w:rsid w:val="00521AD2"/>
    <w:rsid w:val="005672F4"/>
    <w:rsid w:val="0057758E"/>
    <w:rsid w:val="005A38CC"/>
    <w:rsid w:val="005B4B0B"/>
    <w:rsid w:val="005C4CFE"/>
    <w:rsid w:val="005C7898"/>
    <w:rsid w:val="00637E3F"/>
    <w:rsid w:val="00664F5E"/>
    <w:rsid w:val="00697B9C"/>
    <w:rsid w:val="006D79B5"/>
    <w:rsid w:val="006F4599"/>
    <w:rsid w:val="00702E43"/>
    <w:rsid w:val="00705638"/>
    <w:rsid w:val="00715EF9"/>
    <w:rsid w:val="00716322"/>
    <w:rsid w:val="00723887"/>
    <w:rsid w:val="007455BE"/>
    <w:rsid w:val="00754D5C"/>
    <w:rsid w:val="0078092C"/>
    <w:rsid w:val="00796F9A"/>
    <w:rsid w:val="007B2EAC"/>
    <w:rsid w:val="007B3B5A"/>
    <w:rsid w:val="007C2CDB"/>
    <w:rsid w:val="007D144C"/>
    <w:rsid w:val="00802745"/>
    <w:rsid w:val="00845C29"/>
    <w:rsid w:val="008578AA"/>
    <w:rsid w:val="00867CCF"/>
    <w:rsid w:val="0087167F"/>
    <w:rsid w:val="00873316"/>
    <w:rsid w:val="0087730C"/>
    <w:rsid w:val="0088699A"/>
    <w:rsid w:val="008B3887"/>
    <w:rsid w:val="008C5044"/>
    <w:rsid w:val="008C72CC"/>
    <w:rsid w:val="008E34EF"/>
    <w:rsid w:val="009050C0"/>
    <w:rsid w:val="009238AE"/>
    <w:rsid w:val="00930024"/>
    <w:rsid w:val="009443F5"/>
    <w:rsid w:val="009603FF"/>
    <w:rsid w:val="00981653"/>
    <w:rsid w:val="00994F88"/>
    <w:rsid w:val="009D13B3"/>
    <w:rsid w:val="009E2834"/>
    <w:rsid w:val="009E68A5"/>
    <w:rsid w:val="00A1456B"/>
    <w:rsid w:val="00A15D82"/>
    <w:rsid w:val="00A230E7"/>
    <w:rsid w:val="00A4033D"/>
    <w:rsid w:val="00A56072"/>
    <w:rsid w:val="00A82D20"/>
    <w:rsid w:val="00A830A7"/>
    <w:rsid w:val="00A87EB2"/>
    <w:rsid w:val="00A97C7C"/>
    <w:rsid w:val="00AC29B4"/>
    <w:rsid w:val="00AE4A15"/>
    <w:rsid w:val="00B023F7"/>
    <w:rsid w:val="00B07915"/>
    <w:rsid w:val="00B248A9"/>
    <w:rsid w:val="00B2593F"/>
    <w:rsid w:val="00B7326F"/>
    <w:rsid w:val="00BD7BC2"/>
    <w:rsid w:val="00BF24EF"/>
    <w:rsid w:val="00BF706B"/>
    <w:rsid w:val="00BF782E"/>
    <w:rsid w:val="00C071E7"/>
    <w:rsid w:val="00C53929"/>
    <w:rsid w:val="00C62746"/>
    <w:rsid w:val="00C665DD"/>
    <w:rsid w:val="00C66A5A"/>
    <w:rsid w:val="00C82A9E"/>
    <w:rsid w:val="00C93B35"/>
    <w:rsid w:val="00CA05DC"/>
    <w:rsid w:val="00CA116E"/>
    <w:rsid w:val="00CB6D03"/>
    <w:rsid w:val="00CD0983"/>
    <w:rsid w:val="00D03517"/>
    <w:rsid w:val="00D1074B"/>
    <w:rsid w:val="00D1598B"/>
    <w:rsid w:val="00D32FE0"/>
    <w:rsid w:val="00D40FE2"/>
    <w:rsid w:val="00D84DC1"/>
    <w:rsid w:val="00DA33C7"/>
    <w:rsid w:val="00DA5C53"/>
    <w:rsid w:val="00DD2C96"/>
    <w:rsid w:val="00DD70BA"/>
    <w:rsid w:val="00DF7FAD"/>
    <w:rsid w:val="00E17F8F"/>
    <w:rsid w:val="00E759DE"/>
    <w:rsid w:val="00E8363E"/>
    <w:rsid w:val="00E863FE"/>
    <w:rsid w:val="00E865C2"/>
    <w:rsid w:val="00E877D2"/>
    <w:rsid w:val="00EA0CE7"/>
    <w:rsid w:val="00ED5986"/>
    <w:rsid w:val="00EF3768"/>
    <w:rsid w:val="00F031A7"/>
    <w:rsid w:val="00F11E73"/>
    <w:rsid w:val="00F37C15"/>
    <w:rsid w:val="00F40FD7"/>
    <w:rsid w:val="00F41FDC"/>
    <w:rsid w:val="00F66B7B"/>
    <w:rsid w:val="010B22B0"/>
    <w:rsid w:val="0111602F"/>
    <w:rsid w:val="0113400C"/>
    <w:rsid w:val="0118379E"/>
    <w:rsid w:val="011D61A5"/>
    <w:rsid w:val="012D1043"/>
    <w:rsid w:val="013E61E2"/>
    <w:rsid w:val="0143677F"/>
    <w:rsid w:val="01626374"/>
    <w:rsid w:val="01653F66"/>
    <w:rsid w:val="0179546C"/>
    <w:rsid w:val="017B5688"/>
    <w:rsid w:val="017C6D0A"/>
    <w:rsid w:val="017E5928"/>
    <w:rsid w:val="019404F8"/>
    <w:rsid w:val="01A5508F"/>
    <w:rsid w:val="01B009AB"/>
    <w:rsid w:val="01C13696"/>
    <w:rsid w:val="01D41341"/>
    <w:rsid w:val="01DD3C4D"/>
    <w:rsid w:val="01E74ACC"/>
    <w:rsid w:val="01F40F97"/>
    <w:rsid w:val="01FF0067"/>
    <w:rsid w:val="0213141D"/>
    <w:rsid w:val="02223565"/>
    <w:rsid w:val="02251150"/>
    <w:rsid w:val="022629C0"/>
    <w:rsid w:val="022655F4"/>
    <w:rsid w:val="023A109F"/>
    <w:rsid w:val="023D293E"/>
    <w:rsid w:val="024869D7"/>
    <w:rsid w:val="024912E2"/>
    <w:rsid w:val="025263E9"/>
    <w:rsid w:val="02532988"/>
    <w:rsid w:val="025F28B4"/>
    <w:rsid w:val="02624152"/>
    <w:rsid w:val="026E2AF7"/>
    <w:rsid w:val="02887703"/>
    <w:rsid w:val="029307AF"/>
    <w:rsid w:val="029F7056"/>
    <w:rsid w:val="02A12A73"/>
    <w:rsid w:val="02A93B2F"/>
    <w:rsid w:val="02AD7AC3"/>
    <w:rsid w:val="02C24BF1"/>
    <w:rsid w:val="02C44002"/>
    <w:rsid w:val="02E02D8D"/>
    <w:rsid w:val="02EA4873"/>
    <w:rsid w:val="02EE59E6"/>
    <w:rsid w:val="03125B78"/>
    <w:rsid w:val="034B354E"/>
    <w:rsid w:val="03525F75"/>
    <w:rsid w:val="03681C3C"/>
    <w:rsid w:val="036B7036"/>
    <w:rsid w:val="036F6B27"/>
    <w:rsid w:val="037269DD"/>
    <w:rsid w:val="037B371D"/>
    <w:rsid w:val="037E4FBC"/>
    <w:rsid w:val="038325D2"/>
    <w:rsid w:val="038A3960"/>
    <w:rsid w:val="0394658D"/>
    <w:rsid w:val="03B24C65"/>
    <w:rsid w:val="03B44E81"/>
    <w:rsid w:val="03B60BF9"/>
    <w:rsid w:val="03B64756"/>
    <w:rsid w:val="03C03826"/>
    <w:rsid w:val="03C42496"/>
    <w:rsid w:val="03C82517"/>
    <w:rsid w:val="03CA4F28"/>
    <w:rsid w:val="03D40EF1"/>
    <w:rsid w:val="03DF1EFE"/>
    <w:rsid w:val="03E70DB3"/>
    <w:rsid w:val="040218DF"/>
    <w:rsid w:val="041B2BA8"/>
    <w:rsid w:val="042B77F4"/>
    <w:rsid w:val="042D7C0E"/>
    <w:rsid w:val="04357D70"/>
    <w:rsid w:val="04434537"/>
    <w:rsid w:val="04441D61"/>
    <w:rsid w:val="04642403"/>
    <w:rsid w:val="04677869"/>
    <w:rsid w:val="04695C6C"/>
    <w:rsid w:val="04787C5D"/>
    <w:rsid w:val="04846602"/>
    <w:rsid w:val="048B5BE2"/>
    <w:rsid w:val="048E56D2"/>
    <w:rsid w:val="04926F71"/>
    <w:rsid w:val="04932222"/>
    <w:rsid w:val="049D5915"/>
    <w:rsid w:val="04A44EF6"/>
    <w:rsid w:val="04A86794"/>
    <w:rsid w:val="04AF0C04"/>
    <w:rsid w:val="04B2316F"/>
    <w:rsid w:val="04C17856"/>
    <w:rsid w:val="04CB2483"/>
    <w:rsid w:val="04CE5ACF"/>
    <w:rsid w:val="04D8119B"/>
    <w:rsid w:val="04DA4474"/>
    <w:rsid w:val="04E35A1E"/>
    <w:rsid w:val="04EC13E1"/>
    <w:rsid w:val="04F55751"/>
    <w:rsid w:val="04FC088E"/>
    <w:rsid w:val="04FF037E"/>
    <w:rsid w:val="05065269"/>
    <w:rsid w:val="050D65F7"/>
    <w:rsid w:val="05102AFB"/>
    <w:rsid w:val="0528648C"/>
    <w:rsid w:val="052D0A47"/>
    <w:rsid w:val="052D6C99"/>
    <w:rsid w:val="05322502"/>
    <w:rsid w:val="0540041A"/>
    <w:rsid w:val="054933A7"/>
    <w:rsid w:val="054B5371"/>
    <w:rsid w:val="05573D16"/>
    <w:rsid w:val="055E48FF"/>
    <w:rsid w:val="0582190D"/>
    <w:rsid w:val="05883ED0"/>
    <w:rsid w:val="058D5735"/>
    <w:rsid w:val="05962A91"/>
    <w:rsid w:val="05A056BD"/>
    <w:rsid w:val="05AF3B52"/>
    <w:rsid w:val="05B253F0"/>
    <w:rsid w:val="05BF74F0"/>
    <w:rsid w:val="05C263D6"/>
    <w:rsid w:val="05C30E47"/>
    <w:rsid w:val="05D034CF"/>
    <w:rsid w:val="05D15877"/>
    <w:rsid w:val="05E732EC"/>
    <w:rsid w:val="05EC445F"/>
    <w:rsid w:val="05EF21A1"/>
    <w:rsid w:val="05F9301F"/>
    <w:rsid w:val="06055520"/>
    <w:rsid w:val="06071298"/>
    <w:rsid w:val="060E2D67"/>
    <w:rsid w:val="06154F77"/>
    <w:rsid w:val="06175254"/>
    <w:rsid w:val="062260D2"/>
    <w:rsid w:val="06252BFE"/>
    <w:rsid w:val="062F6A41"/>
    <w:rsid w:val="06316315"/>
    <w:rsid w:val="06563FCE"/>
    <w:rsid w:val="066606B5"/>
    <w:rsid w:val="06696496"/>
    <w:rsid w:val="06824DC3"/>
    <w:rsid w:val="068E0217"/>
    <w:rsid w:val="069845E6"/>
    <w:rsid w:val="06AF067A"/>
    <w:rsid w:val="06C158EB"/>
    <w:rsid w:val="06C8278A"/>
    <w:rsid w:val="06E12C63"/>
    <w:rsid w:val="06EE2458"/>
    <w:rsid w:val="06F85D90"/>
    <w:rsid w:val="071D689A"/>
    <w:rsid w:val="071E10EC"/>
    <w:rsid w:val="07261BF2"/>
    <w:rsid w:val="07350087"/>
    <w:rsid w:val="073F0F06"/>
    <w:rsid w:val="074107DA"/>
    <w:rsid w:val="07487DBA"/>
    <w:rsid w:val="0750564C"/>
    <w:rsid w:val="07550729"/>
    <w:rsid w:val="075D2B72"/>
    <w:rsid w:val="076A3D53"/>
    <w:rsid w:val="076D7821"/>
    <w:rsid w:val="07895214"/>
    <w:rsid w:val="078F5850"/>
    <w:rsid w:val="07AD5E6F"/>
    <w:rsid w:val="07BF3289"/>
    <w:rsid w:val="07C33E31"/>
    <w:rsid w:val="07C66F31"/>
    <w:rsid w:val="07D07BCF"/>
    <w:rsid w:val="07DF40A4"/>
    <w:rsid w:val="07E61381"/>
    <w:rsid w:val="07FA6993"/>
    <w:rsid w:val="07FCB73D"/>
    <w:rsid w:val="08013E26"/>
    <w:rsid w:val="080D3DD2"/>
    <w:rsid w:val="080D5BC9"/>
    <w:rsid w:val="081B54CF"/>
    <w:rsid w:val="082216E1"/>
    <w:rsid w:val="082D6E2C"/>
    <w:rsid w:val="0831084F"/>
    <w:rsid w:val="08346591"/>
    <w:rsid w:val="083D5445"/>
    <w:rsid w:val="084D079F"/>
    <w:rsid w:val="084D31AF"/>
    <w:rsid w:val="0854453D"/>
    <w:rsid w:val="0857273B"/>
    <w:rsid w:val="086623E5"/>
    <w:rsid w:val="0869448C"/>
    <w:rsid w:val="08752E31"/>
    <w:rsid w:val="087C6BC5"/>
    <w:rsid w:val="08931509"/>
    <w:rsid w:val="089A4646"/>
    <w:rsid w:val="08A67157"/>
    <w:rsid w:val="08A74FB5"/>
    <w:rsid w:val="08B84ACC"/>
    <w:rsid w:val="08BB280E"/>
    <w:rsid w:val="08BF68C7"/>
    <w:rsid w:val="08C303EF"/>
    <w:rsid w:val="08E81855"/>
    <w:rsid w:val="08EE04EE"/>
    <w:rsid w:val="09120680"/>
    <w:rsid w:val="09383E5F"/>
    <w:rsid w:val="093A1985"/>
    <w:rsid w:val="095C7F3B"/>
    <w:rsid w:val="097035F9"/>
    <w:rsid w:val="098470A4"/>
    <w:rsid w:val="09992B4F"/>
    <w:rsid w:val="09A11A04"/>
    <w:rsid w:val="09B2776D"/>
    <w:rsid w:val="09BF1E8A"/>
    <w:rsid w:val="09D04097"/>
    <w:rsid w:val="09DA3F01"/>
    <w:rsid w:val="09DC0C8E"/>
    <w:rsid w:val="09E33DCA"/>
    <w:rsid w:val="09EF09C1"/>
    <w:rsid w:val="0A015099"/>
    <w:rsid w:val="0A1026E6"/>
    <w:rsid w:val="0A2148F3"/>
    <w:rsid w:val="0A250F10"/>
    <w:rsid w:val="0A2C39C3"/>
    <w:rsid w:val="0A2E33DD"/>
    <w:rsid w:val="0A394F6F"/>
    <w:rsid w:val="0A4B01E4"/>
    <w:rsid w:val="0A4F27D5"/>
    <w:rsid w:val="0A5627EE"/>
    <w:rsid w:val="0A6842D0"/>
    <w:rsid w:val="0A6F38B0"/>
    <w:rsid w:val="0A785CAB"/>
    <w:rsid w:val="0A7D68CB"/>
    <w:rsid w:val="0A801619"/>
    <w:rsid w:val="0A8E01DA"/>
    <w:rsid w:val="0AA277E2"/>
    <w:rsid w:val="0AB85EF5"/>
    <w:rsid w:val="0ABB08A3"/>
    <w:rsid w:val="0ABD286D"/>
    <w:rsid w:val="0AC263A3"/>
    <w:rsid w:val="0AD930C5"/>
    <w:rsid w:val="0AE4604C"/>
    <w:rsid w:val="0AED4CFD"/>
    <w:rsid w:val="0AF0679F"/>
    <w:rsid w:val="0AF618DB"/>
    <w:rsid w:val="0B022976"/>
    <w:rsid w:val="0B1B7594"/>
    <w:rsid w:val="0B2C354F"/>
    <w:rsid w:val="0B442396"/>
    <w:rsid w:val="0B45008E"/>
    <w:rsid w:val="0B4A24DE"/>
    <w:rsid w:val="0B4E6BEB"/>
    <w:rsid w:val="0B536D2E"/>
    <w:rsid w:val="0B552E90"/>
    <w:rsid w:val="0B5C5BE2"/>
    <w:rsid w:val="0B6158EF"/>
    <w:rsid w:val="0B61769D"/>
    <w:rsid w:val="0B666A61"/>
    <w:rsid w:val="0B683B84"/>
    <w:rsid w:val="0B8C4068"/>
    <w:rsid w:val="0B924545"/>
    <w:rsid w:val="0B995089"/>
    <w:rsid w:val="0BA457DB"/>
    <w:rsid w:val="0BAD4CB6"/>
    <w:rsid w:val="0BBF6171"/>
    <w:rsid w:val="0BD75BB1"/>
    <w:rsid w:val="0BE856C8"/>
    <w:rsid w:val="0BEC78B6"/>
    <w:rsid w:val="0BF422BF"/>
    <w:rsid w:val="0C032502"/>
    <w:rsid w:val="0C061FF2"/>
    <w:rsid w:val="0C0B7609"/>
    <w:rsid w:val="0C104C1F"/>
    <w:rsid w:val="0C145D5F"/>
    <w:rsid w:val="0C2661F0"/>
    <w:rsid w:val="0C274491"/>
    <w:rsid w:val="0C3628D7"/>
    <w:rsid w:val="0C3B1C9C"/>
    <w:rsid w:val="0C426854"/>
    <w:rsid w:val="0C5F0057"/>
    <w:rsid w:val="0C68338A"/>
    <w:rsid w:val="0C7156BE"/>
    <w:rsid w:val="0C790A16"/>
    <w:rsid w:val="0C847C19"/>
    <w:rsid w:val="0C8A23BF"/>
    <w:rsid w:val="0C8E44C1"/>
    <w:rsid w:val="0C947E70"/>
    <w:rsid w:val="0C9B74C5"/>
    <w:rsid w:val="0CA5180B"/>
    <w:rsid w:val="0CAF204C"/>
    <w:rsid w:val="0CC2416B"/>
    <w:rsid w:val="0CC675E4"/>
    <w:rsid w:val="0CD12600"/>
    <w:rsid w:val="0CDA7707"/>
    <w:rsid w:val="0CDD2D53"/>
    <w:rsid w:val="0CE9794A"/>
    <w:rsid w:val="0CF54541"/>
    <w:rsid w:val="0CF956B3"/>
    <w:rsid w:val="0CFE2CC9"/>
    <w:rsid w:val="0D093B48"/>
    <w:rsid w:val="0D160B7F"/>
    <w:rsid w:val="0D2C3CDA"/>
    <w:rsid w:val="0D336E17"/>
    <w:rsid w:val="0D3B68D1"/>
    <w:rsid w:val="0D464D9C"/>
    <w:rsid w:val="0D51729D"/>
    <w:rsid w:val="0D5A1BF7"/>
    <w:rsid w:val="0D6214AA"/>
    <w:rsid w:val="0D7D4536"/>
    <w:rsid w:val="0DB253C7"/>
    <w:rsid w:val="0DC67C8B"/>
    <w:rsid w:val="0DCD2DC7"/>
    <w:rsid w:val="0DDF0D4D"/>
    <w:rsid w:val="0DE6032D"/>
    <w:rsid w:val="0DF209C4"/>
    <w:rsid w:val="0E0013EF"/>
    <w:rsid w:val="0E0D58BA"/>
    <w:rsid w:val="0E157F84"/>
    <w:rsid w:val="0E197DBB"/>
    <w:rsid w:val="0E226F43"/>
    <w:rsid w:val="0E2F3A82"/>
    <w:rsid w:val="0E3177FA"/>
    <w:rsid w:val="0E3746E5"/>
    <w:rsid w:val="0E572FD9"/>
    <w:rsid w:val="0E657EBA"/>
    <w:rsid w:val="0E760DED"/>
    <w:rsid w:val="0E8F62CF"/>
    <w:rsid w:val="0E912047"/>
    <w:rsid w:val="0E9C09EC"/>
    <w:rsid w:val="0EA525BB"/>
    <w:rsid w:val="0EE06B2A"/>
    <w:rsid w:val="0F0E1587"/>
    <w:rsid w:val="0F1A028E"/>
    <w:rsid w:val="0F2033CB"/>
    <w:rsid w:val="0F2E3ECA"/>
    <w:rsid w:val="0F2E7896"/>
    <w:rsid w:val="0F3D3F7D"/>
    <w:rsid w:val="0F4075C9"/>
    <w:rsid w:val="0F435E07"/>
    <w:rsid w:val="0F451083"/>
    <w:rsid w:val="0F5512C6"/>
    <w:rsid w:val="0F586AB5"/>
    <w:rsid w:val="0F6A48A4"/>
    <w:rsid w:val="0F8C6CB2"/>
    <w:rsid w:val="0F900551"/>
    <w:rsid w:val="0FAC2EB1"/>
    <w:rsid w:val="0FAE4E7B"/>
    <w:rsid w:val="0FB75ADD"/>
    <w:rsid w:val="0FBA3368"/>
    <w:rsid w:val="0FCA5EAD"/>
    <w:rsid w:val="0FCE2E27"/>
    <w:rsid w:val="0FCF2263"/>
    <w:rsid w:val="0FDA17CC"/>
    <w:rsid w:val="0FDF3286"/>
    <w:rsid w:val="0FF01672"/>
    <w:rsid w:val="0FF52AA9"/>
    <w:rsid w:val="0FFA3C1C"/>
    <w:rsid w:val="10260EB5"/>
    <w:rsid w:val="10345524"/>
    <w:rsid w:val="10352EA6"/>
    <w:rsid w:val="1036730D"/>
    <w:rsid w:val="103A670E"/>
    <w:rsid w:val="103B4960"/>
    <w:rsid w:val="104135F9"/>
    <w:rsid w:val="10703EDE"/>
    <w:rsid w:val="10712901"/>
    <w:rsid w:val="107C0AD5"/>
    <w:rsid w:val="107F4121"/>
    <w:rsid w:val="108C1CE9"/>
    <w:rsid w:val="109B7BB5"/>
    <w:rsid w:val="109C2F25"/>
    <w:rsid w:val="109D1177"/>
    <w:rsid w:val="10AF2C58"/>
    <w:rsid w:val="10C7659F"/>
    <w:rsid w:val="10D601E5"/>
    <w:rsid w:val="10DA3734"/>
    <w:rsid w:val="10E2669D"/>
    <w:rsid w:val="10E93D4E"/>
    <w:rsid w:val="10EA0134"/>
    <w:rsid w:val="10F863AD"/>
    <w:rsid w:val="112076B2"/>
    <w:rsid w:val="11230CF7"/>
    <w:rsid w:val="11276C93"/>
    <w:rsid w:val="11365CF6"/>
    <w:rsid w:val="114A0BD3"/>
    <w:rsid w:val="11610104"/>
    <w:rsid w:val="1176599A"/>
    <w:rsid w:val="11785740"/>
    <w:rsid w:val="1178761E"/>
    <w:rsid w:val="117F5FFB"/>
    <w:rsid w:val="11A32626"/>
    <w:rsid w:val="11A752F3"/>
    <w:rsid w:val="11B30526"/>
    <w:rsid w:val="11B43EFD"/>
    <w:rsid w:val="11C52008"/>
    <w:rsid w:val="11D34725"/>
    <w:rsid w:val="11D96613"/>
    <w:rsid w:val="11DC7A7D"/>
    <w:rsid w:val="11E9219A"/>
    <w:rsid w:val="120F360F"/>
    <w:rsid w:val="12136E27"/>
    <w:rsid w:val="12170AB5"/>
    <w:rsid w:val="121D3BF2"/>
    <w:rsid w:val="121E6C9D"/>
    <w:rsid w:val="12240106"/>
    <w:rsid w:val="12415B32"/>
    <w:rsid w:val="124F64A1"/>
    <w:rsid w:val="12555A81"/>
    <w:rsid w:val="125F420A"/>
    <w:rsid w:val="12641821"/>
    <w:rsid w:val="12661A3D"/>
    <w:rsid w:val="127668DD"/>
    <w:rsid w:val="127777A6"/>
    <w:rsid w:val="127E28E2"/>
    <w:rsid w:val="12957C2C"/>
    <w:rsid w:val="12B207DE"/>
    <w:rsid w:val="12C34108"/>
    <w:rsid w:val="12CC5D44"/>
    <w:rsid w:val="12DC435C"/>
    <w:rsid w:val="12E53E51"/>
    <w:rsid w:val="12EC2D08"/>
    <w:rsid w:val="12F820F0"/>
    <w:rsid w:val="13086650"/>
    <w:rsid w:val="1319085D"/>
    <w:rsid w:val="131B1365"/>
    <w:rsid w:val="131C20FB"/>
    <w:rsid w:val="132C0590"/>
    <w:rsid w:val="13374C44"/>
    <w:rsid w:val="133E2141"/>
    <w:rsid w:val="133E6515"/>
    <w:rsid w:val="134F021D"/>
    <w:rsid w:val="135E44C2"/>
    <w:rsid w:val="13693592"/>
    <w:rsid w:val="136C6BDF"/>
    <w:rsid w:val="13833F28"/>
    <w:rsid w:val="13A55A1C"/>
    <w:rsid w:val="13C22CA3"/>
    <w:rsid w:val="13CA0DFF"/>
    <w:rsid w:val="13CB7DA9"/>
    <w:rsid w:val="13D96576"/>
    <w:rsid w:val="13E470BD"/>
    <w:rsid w:val="13FE2D40"/>
    <w:rsid w:val="14164D9C"/>
    <w:rsid w:val="14186ABD"/>
    <w:rsid w:val="14214A2A"/>
    <w:rsid w:val="142676D5"/>
    <w:rsid w:val="14290F74"/>
    <w:rsid w:val="14321BD6"/>
    <w:rsid w:val="143E35BB"/>
    <w:rsid w:val="145A7139"/>
    <w:rsid w:val="146A5814"/>
    <w:rsid w:val="147246C9"/>
    <w:rsid w:val="14740441"/>
    <w:rsid w:val="147E12BF"/>
    <w:rsid w:val="149F4D92"/>
    <w:rsid w:val="14A81E98"/>
    <w:rsid w:val="14B720DC"/>
    <w:rsid w:val="14B95E54"/>
    <w:rsid w:val="14C33176"/>
    <w:rsid w:val="14D507B4"/>
    <w:rsid w:val="14D902A4"/>
    <w:rsid w:val="14DB226E"/>
    <w:rsid w:val="14E856F1"/>
    <w:rsid w:val="14F128EC"/>
    <w:rsid w:val="14F53560"/>
    <w:rsid w:val="15246428"/>
    <w:rsid w:val="153638BB"/>
    <w:rsid w:val="153D66B2"/>
    <w:rsid w:val="15441B9C"/>
    <w:rsid w:val="154A2F50"/>
    <w:rsid w:val="15671930"/>
    <w:rsid w:val="156C736A"/>
    <w:rsid w:val="156D1E4B"/>
    <w:rsid w:val="15777A3F"/>
    <w:rsid w:val="158346B4"/>
    <w:rsid w:val="15855928"/>
    <w:rsid w:val="159F0A46"/>
    <w:rsid w:val="15BB209F"/>
    <w:rsid w:val="15D54412"/>
    <w:rsid w:val="15DA2525"/>
    <w:rsid w:val="15E16D29"/>
    <w:rsid w:val="15EA64E1"/>
    <w:rsid w:val="15EF58A5"/>
    <w:rsid w:val="15F94546"/>
    <w:rsid w:val="15FA4976"/>
    <w:rsid w:val="15FF3D3A"/>
    <w:rsid w:val="160B6B83"/>
    <w:rsid w:val="162B4B2F"/>
    <w:rsid w:val="163A0A31"/>
    <w:rsid w:val="163D2AB4"/>
    <w:rsid w:val="164756E1"/>
    <w:rsid w:val="16556050"/>
    <w:rsid w:val="166444E5"/>
    <w:rsid w:val="166846B1"/>
    <w:rsid w:val="16801192"/>
    <w:rsid w:val="16AB5C70"/>
    <w:rsid w:val="16B27132"/>
    <w:rsid w:val="16C32FBA"/>
    <w:rsid w:val="16D276A1"/>
    <w:rsid w:val="16D57191"/>
    <w:rsid w:val="16D74CB7"/>
    <w:rsid w:val="16D90A2F"/>
    <w:rsid w:val="16E42F30"/>
    <w:rsid w:val="16E86EC4"/>
    <w:rsid w:val="16FB6BF7"/>
    <w:rsid w:val="16FF7D6A"/>
    <w:rsid w:val="17123F41"/>
    <w:rsid w:val="1715758D"/>
    <w:rsid w:val="171B1048"/>
    <w:rsid w:val="172634B4"/>
    <w:rsid w:val="1732013F"/>
    <w:rsid w:val="17326391"/>
    <w:rsid w:val="17377504"/>
    <w:rsid w:val="174B2FAF"/>
    <w:rsid w:val="174D31CB"/>
    <w:rsid w:val="174F2A9F"/>
    <w:rsid w:val="174F6F43"/>
    <w:rsid w:val="17667DE9"/>
    <w:rsid w:val="1767603B"/>
    <w:rsid w:val="177E0A01"/>
    <w:rsid w:val="178076FA"/>
    <w:rsid w:val="1796247C"/>
    <w:rsid w:val="17996410"/>
    <w:rsid w:val="179E57D5"/>
    <w:rsid w:val="17A238AC"/>
    <w:rsid w:val="17A34B99"/>
    <w:rsid w:val="17A76D98"/>
    <w:rsid w:val="17AF6D10"/>
    <w:rsid w:val="17B9616B"/>
    <w:rsid w:val="17BD20FF"/>
    <w:rsid w:val="17CC2342"/>
    <w:rsid w:val="17CC6884"/>
    <w:rsid w:val="17D00CB0"/>
    <w:rsid w:val="17E72CD8"/>
    <w:rsid w:val="17EE4066"/>
    <w:rsid w:val="180D4CD7"/>
    <w:rsid w:val="182061EA"/>
    <w:rsid w:val="182E0907"/>
    <w:rsid w:val="182F1E85"/>
    <w:rsid w:val="18371EB1"/>
    <w:rsid w:val="183B1275"/>
    <w:rsid w:val="18420856"/>
    <w:rsid w:val="184D581D"/>
    <w:rsid w:val="1853036D"/>
    <w:rsid w:val="18567E5D"/>
    <w:rsid w:val="187F1162"/>
    <w:rsid w:val="1881137E"/>
    <w:rsid w:val="188F4B47"/>
    <w:rsid w:val="189A2440"/>
    <w:rsid w:val="18AB01A9"/>
    <w:rsid w:val="18B4591C"/>
    <w:rsid w:val="18B54B84"/>
    <w:rsid w:val="18B8741E"/>
    <w:rsid w:val="18C24301"/>
    <w:rsid w:val="18D05E62"/>
    <w:rsid w:val="18F22CC9"/>
    <w:rsid w:val="18FA6A3B"/>
    <w:rsid w:val="19081158"/>
    <w:rsid w:val="19235F91"/>
    <w:rsid w:val="19240840"/>
    <w:rsid w:val="192A1602"/>
    <w:rsid w:val="19304397"/>
    <w:rsid w:val="19377C8F"/>
    <w:rsid w:val="193C7053"/>
    <w:rsid w:val="19461C80"/>
    <w:rsid w:val="19466124"/>
    <w:rsid w:val="194B7296"/>
    <w:rsid w:val="194F322A"/>
    <w:rsid w:val="195919B3"/>
    <w:rsid w:val="19697EAD"/>
    <w:rsid w:val="197430FF"/>
    <w:rsid w:val="197B401F"/>
    <w:rsid w:val="198C1D89"/>
    <w:rsid w:val="198D78AF"/>
    <w:rsid w:val="19AC7D2F"/>
    <w:rsid w:val="19C32801"/>
    <w:rsid w:val="19CA335A"/>
    <w:rsid w:val="19CC03D7"/>
    <w:rsid w:val="19D246EC"/>
    <w:rsid w:val="19DB2D10"/>
    <w:rsid w:val="19FB0881"/>
    <w:rsid w:val="1A0F29BA"/>
    <w:rsid w:val="1A271AB1"/>
    <w:rsid w:val="1A2C531A"/>
    <w:rsid w:val="1A383CBF"/>
    <w:rsid w:val="1A3D12D5"/>
    <w:rsid w:val="1A3D7527"/>
    <w:rsid w:val="1A402B73"/>
    <w:rsid w:val="1A404921"/>
    <w:rsid w:val="1A472154"/>
    <w:rsid w:val="1A597D3C"/>
    <w:rsid w:val="1A604FC3"/>
    <w:rsid w:val="1A75281D"/>
    <w:rsid w:val="1A772A39"/>
    <w:rsid w:val="1A7A6085"/>
    <w:rsid w:val="1A7D55C0"/>
    <w:rsid w:val="1A8B0292"/>
    <w:rsid w:val="1A8B2040"/>
    <w:rsid w:val="1A952EBF"/>
    <w:rsid w:val="1A9A2283"/>
    <w:rsid w:val="1A9C023A"/>
    <w:rsid w:val="1AA2382E"/>
    <w:rsid w:val="1AA255DC"/>
    <w:rsid w:val="1AA85C69"/>
    <w:rsid w:val="1ACD2659"/>
    <w:rsid w:val="1AD11A1D"/>
    <w:rsid w:val="1AD339E7"/>
    <w:rsid w:val="1AD87250"/>
    <w:rsid w:val="1ADA6B24"/>
    <w:rsid w:val="1AF04599"/>
    <w:rsid w:val="1B0A464B"/>
    <w:rsid w:val="1B0E67CD"/>
    <w:rsid w:val="1B267FBB"/>
    <w:rsid w:val="1B2E0C1E"/>
    <w:rsid w:val="1B2F36F2"/>
    <w:rsid w:val="1B3277E5"/>
    <w:rsid w:val="1B3B1964"/>
    <w:rsid w:val="1B4D379A"/>
    <w:rsid w:val="1B5C578B"/>
    <w:rsid w:val="1B610FF3"/>
    <w:rsid w:val="1B707488"/>
    <w:rsid w:val="1B7725C5"/>
    <w:rsid w:val="1B7E1BA5"/>
    <w:rsid w:val="1B7E3953"/>
    <w:rsid w:val="1B9C4323"/>
    <w:rsid w:val="1BAD5FE6"/>
    <w:rsid w:val="1BAF6202"/>
    <w:rsid w:val="1BB93B82"/>
    <w:rsid w:val="1BC31CAE"/>
    <w:rsid w:val="1BDE2644"/>
    <w:rsid w:val="1BE539D2"/>
    <w:rsid w:val="1BF27E9D"/>
    <w:rsid w:val="1BF9122C"/>
    <w:rsid w:val="1C0876C1"/>
    <w:rsid w:val="1C116575"/>
    <w:rsid w:val="1C127D69"/>
    <w:rsid w:val="1C1D316C"/>
    <w:rsid w:val="1C220782"/>
    <w:rsid w:val="1C377FB9"/>
    <w:rsid w:val="1C3B5CE8"/>
    <w:rsid w:val="1C4A1A87"/>
    <w:rsid w:val="1C4C1CA3"/>
    <w:rsid w:val="1C527621"/>
    <w:rsid w:val="1C6500AD"/>
    <w:rsid w:val="1C67088B"/>
    <w:rsid w:val="1C694603"/>
    <w:rsid w:val="1C752FA8"/>
    <w:rsid w:val="1C7865F4"/>
    <w:rsid w:val="1C8054A9"/>
    <w:rsid w:val="1C856F63"/>
    <w:rsid w:val="1C9A47BD"/>
    <w:rsid w:val="1CA218C3"/>
    <w:rsid w:val="1CA631C0"/>
    <w:rsid w:val="1CC12A8E"/>
    <w:rsid w:val="1CC21DD9"/>
    <w:rsid w:val="1CCC4B92"/>
    <w:rsid w:val="1CCF7CB8"/>
    <w:rsid w:val="1CD13F56"/>
    <w:rsid w:val="1CD557F5"/>
    <w:rsid w:val="1CE04199"/>
    <w:rsid w:val="1CE369A5"/>
    <w:rsid w:val="1CE77446"/>
    <w:rsid w:val="1CED6FE2"/>
    <w:rsid w:val="1CF77E61"/>
    <w:rsid w:val="1CFF4E24"/>
    <w:rsid w:val="1D0E51AB"/>
    <w:rsid w:val="1D0F6BF6"/>
    <w:rsid w:val="1D172492"/>
    <w:rsid w:val="1D246B0D"/>
    <w:rsid w:val="1D266050"/>
    <w:rsid w:val="1D274825"/>
    <w:rsid w:val="1D2D77E9"/>
    <w:rsid w:val="1D322C47"/>
    <w:rsid w:val="1D3C0585"/>
    <w:rsid w:val="1D460F60"/>
    <w:rsid w:val="1D4806BC"/>
    <w:rsid w:val="1D525097"/>
    <w:rsid w:val="1D7274E7"/>
    <w:rsid w:val="1D7A1C24"/>
    <w:rsid w:val="1D7E5E8C"/>
    <w:rsid w:val="1D7F1257"/>
    <w:rsid w:val="1D90796E"/>
    <w:rsid w:val="1D9D670D"/>
    <w:rsid w:val="1DB25B36"/>
    <w:rsid w:val="1DB573D4"/>
    <w:rsid w:val="1DEA3522"/>
    <w:rsid w:val="1E197963"/>
    <w:rsid w:val="1E1D38F7"/>
    <w:rsid w:val="1E256A0D"/>
    <w:rsid w:val="1E31278D"/>
    <w:rsid w:val="1E4C7C8A"/>
    <w:rsid w:val="1E560BB7"/>
    <w:rsid w:val="1E57048B"/>
    <w:rsid w:val="1E614720"/>
    <w:rsid w:val="1E65704C"/>
    <w:rsid w:val="1E6B472F"/>
    <w:rsid w:val="1E875722"/>
    <w:rsid w:val="1E9240DD"/>
    <w:rsid w:val="1E957931"/>
    <w:rsid w:val="1EA57449"/>
    <w:rsid w:val="1EA71413"/>
    <w:rsid w:val="1EBA7398"/>
    <w:rsid w:val="1EC154C0"/>
    <w:rsid w:val="1EC234DC"/>
    <w:rsid w:val="1ECB5101"/>
    <w:rsid w:val="1ECE2E43"/>
    <w:rsid w:val="1EE95587"/>
    <w:rsid w:val="1EF07D0A"/>
    <w:rsid w:val="1EF81C6E"/>
    <w:rsid w:val="1EFA7794"/>
    <w:rsid w:val="1F1138B5"/>
    <w:rsid w:val="1F220A99"/>
    <w:rsid w:val="1F4C4C53"/>
    <w:rsid w:val="1F4C5B16"/>
    <w:rsid w:val="1F5534A4"/>
    <w:rsid w:val="1F691D3E"/>
    <w:rsid w:val="1F6B0692"/>
    <w:rsid w:val="1F715EB6"/>
    <w:rsid w:val="1F7E2174"/>
    <w:rsid w:val="1F8F4381"/>
    <w:rsid w:val="1FA45D95"/>
    <w:rsid w:val="1FAB0A8F"/>
    <w:rsid w:val="1FAF67D1"/>
    <w:rsid w:val="1FBC2C9C"/>
    <w:rsid w:val="1FC9297E"/>
    <w:rsid w:val="1FCB70A4"/>
    <w:rsid w:val="1FD47FE6"/>
    <w:rsid w:val="1FD74F38"/>
    <w:rsid w:val="1FD955FC"/>
    <w:rsid w:val="1FDC564F"/>
    <w:rsid w:val="1FE02FD0"/>
    <w:rsid w:val="1FF20A23"/>
    <w:rsid w:val="1FF266BE"/>
    <w:rsid w:val="1FF52BE5"/>
    <w:rsid w:val="1FFC578E"/>
    <w:rsid w:val="1FFE5062"/>
    <w:rsid w:val="20191C70"/>
    <w:rsid w:val="2021138E"/>
    <w:rsid w:val="202251F5"/>
    <w:rsid w:val="2029374E"/>
    <w:rsid w:val="20337402"/>
    <w:rsid w:val="20360CA0"/>
    <w:rsid w:val="204A04B0"/>
    <w:rsid w:val="205E2895"/>
    <w:rsid w:val="206D3F96"/>
    <w:rsid w:val="20765541"/>
    <w:rsid w:val="207B66B3"/>
    <w:rsid w:val="2080016D"/>
    <w:rsid w:val="20894852"/>
    <w:rsid w:val="209D3AD2"/>
    <w:rsid w:val="20A458E0"/>
    <w:rsid w:val="20CE082F"/>
    <w:rsid w:val="20DD55C0"/>
    <w:rsid w:val="20E5192F"/>
    <w:rsid w:val="20EE157B"/>
    <w:rsid w:val="20FD531A"/>
    <w:rsid w:val="20FF72E4"/>
    <w:rsid w:val="210F504D"/>
    <w:rsid w:val="2116462E"/>
    <w:rsid w:val="21167447"/>
    <w:rsid w:val="212B632B"/>
    <w:rsid w:val="21433B72"/>
    <w:rsid w:val="21472A39"/>
    <w:rsid w:val="21515666"/>
    <w:rsid w:val="21584C46"/>
    <w:rsid w:val="215D225D"/>
    <w:rsid w:val="215D400B"/>
    <w:rsid w:val="21667363"/>
    <w:rsid w:val="2167118E"/>
    <w:rsid w:val="216E4553"/>
    <w:rsid w:val="21703D3E"/>
    <w:rsid w:val="218313B6"/>
    <w:rsid w:val="21845A3B"/>
    <w:rsid w:val="2186530F"/>
    <w:rsid w:val="219E4D4F"/>
    <w:rsid w:val="21A02DB6"/>
    <w:rsid w:val="21A67760"/>
    <w:rsid w:val="21AA1DD5"/>
    <w:rsid w:val="21AB2FC8"/>
    <w:rsid w:val="21B05D2F"/>
    <w:rsid w:val="21B55BF5"/>
    <w:rsid w:val="21C10A3D"/>
    <w:rsid w:val="21C135B4"/>
    <w:rsid w:val="21C85928"/>
    <w:rsid w:val="21D00C81"/>
    <w:rsid w:val="21D52DE3"/>
    <w:rsid w:val="21D818E3"/>
    <w:rsid w:val="21E07116"/>
    <w:rsid w:val="21EA1E51"/>
    <w:rsid w:val="21F7445F"/>
    <w:rsid w:val="220646A2"/>
    <w:rsid w:val="2208041A"/>
    <w:rsid w:val="22135D8C"/>
    <w:rsid w:val="221F6292"/>
    <w:rsid w:val="2221772E"/>
    <w:rsid w:val="22237002"/>
    <w:rsid w:val="22320EF9"/>
    <w:rsid w:val="224F429B"/>
    <w:rsid w:val="225B2C40"/>
    <w:rsid w:val="22623FCE"/>
    <w:rsid w:val="226B2757"/>
    <w:rsid w:val="22715FC0"/>
    <w:rsid w:val="22721D38"/>
    <w:rsid w:val="22804455"/>
    <w:rsid w:val="229D7529"/>
    <w:rsid w:val="22AA3280"/>
    <w:rsid w:val="22B20386"/>
    <w:rsid w:val="22D36C7A"/>
    <w:rsid w:val="22D4654E"/>
    <w:rsid w:val="22D80E71"/>
    <w:rsid w:val="22E36792"/>
    <w:rsid w:val="22F015DA"/>
    <w:rsid w:val="22F56BF1"/>
    <w:rsid w:val="22FD7853"/>
    <w:rsid w:val="23337719"/>
    <w:rsid w:val="233A4603"/>
    <w:rsid w:val="233B65CE"/>
    <w:rsid w:val="233F60BE"/>
    <w:rsid w:val="23434D46"/>
    <w:rsid w:val="234611FA"/>
    <w:rsid w:val="234E4553"/>
    <w:rsid w:val="236A6B88"/>
    <w:rsid w:val="236B2A0F"/>
    <w:rsid w:val="23751ADF"/>
    <w:rsid w:val="23865A00"/>
    <w:rsid w:val="23971A56"/>
    <w:rsid w:val="239C07D8"/>
    <w:rsid w:val="23B100DE"/>
    <w:rsid w:val="23E32EED"/>
    <w:rsid w:val="23E7405F"/>
    <w:rsid w:val="23F01166"/>
    <w:rsid w:val="24044C11"/>
    <w:rsid w:val="240B5FA0"/>
    <w:rsid w:val="2423311F"/>
    <w:rsid w:val="24277523"/>
    <w:rsid w:val="242A0B1C"/>
    <w:rsid w:val="242F7EE0"/>
    <w:rsid w:val="243B4AA2"/>
    <w:rsid w:val="244119C2"/>
    <w:rsid w:val="24572F93"/>
    <w:rsid w:val="24577CC3"/>
    <w:rsid w:val="245F616F"/>
    <w:rsid w:val="247022A7"/>
    <w:rsid w:val="247B1377"/>
    <w:rsid w:val="247E6772"/>
    <w:rsid w:val="2480073C"/>
    <w:rsid w:val="248410C6"/>
    <w:rsid w:val="248F6BD1"/>
    <w:rsid w:val="249D2C8A"/>
    <w:rsid w:val="24AB6A35"/>
    <w:rsid w:val="24B71C84"/>
    <w:rsid w:val="24B77ED6"/>
    <w:rsid w:val="24B948A8"/>
    <w:rsid w:val="24BC54EC"/>
    <w:rsid w:val="24C932C7"/>
    <w:rsid w:val="24CA7C09"/>
    <w:rsid w:val="24CE60BE"/>
    <w:rsid w:val="24DB3BC4"/>
    <w:rsid w:val="24E32A79"/>
    <w:rsid w:val="24E55741"/>
    <w:rsid w:val="24FE5B05"/>
    <w:rsid w:val="2500187D"/>
    <w:rsid w:val="25033821"/>
    <w:rsid w:val="25144415"/>
    <w:rsid w:val="251610A0"/>
    <w:rsid w:val="2524556B"/>
    <w:rsid w:val="254369E2"/>
    <w:rsid w:val="25697422"/>
    <w:rsid w:val="256C2A6E"/>
    <w:rsid w:val="25735BDC"/>
    <w:rsid w:val="257D111F"/>
    <w:rsid w:val="257D4C7B"/>
    <w:rsid w:val="2580651A"/>
    <w:rsid w:val="258A45EF"/>
    <w:rsid w:val="25983863"/>
    <w:rsid w:val="25A42208"/>
    <w:rsid w:val="25A5750E"/>
    <w:rsid w:val="25A95A70"/>
    <w:rsid w:val="25BD776E"/>
    <w:rsid w:val="25C14ADA"/>
    <w:rsid w:val="25D56865"/>
    <w:rsid w:val="25D80104"/>
    <w:rsid w:val="25D845A8"/>
    <w:rsid w:val="25DC7835"/>
    <w:rsid w:val="25DE1BBE"/>
    <w:rsid w:val="25DF1492"/>
    <w:rsid w:val="25E1345C"/>
    <w:rsid w:val="25E22D30"/>
    <w:rsid w:val="25E257F4"/>
    <w:rsid w:val="25F969F8"/>
    <w:rsid w:val="260D5FFF"/>
    <w:rsid w:val="260E1D77"/>
    <w:rsid w:val="26256EA1"/>
    <w:rsid w:val="262A4E03"/>
    <w:rsid w:val="26502390"/>
    <w:rsid w:val="26606A77"/>
    <w:rsid w:val="26607858"/>
    <w:rsid w:val="26695200"/>
    <w:rsid w:val="266B4729"/>
    <w:rsid w:val="266F6CBA"/>
    <w:rsid w:val="267A21B1"/>
    <w:rsid w:val="26812549"/>
    <w:rsid w:val="268C6650"/>
    <w:rsid w:val="26A61FB0"/>
    <w:rsid w:val="26AA7CF2"/>
    <w:rsid w:val="26AC3A6A"/>
    <w:rsid w:val="26B446CD"/>
    <w:rsid w:val="26C708A4"/>
    <w:rsid w:val="26C8461C"/>
    <w:rsid w:val="26D62895"/>
    <w:rsid w:val="26D7660D"/>
    <w:rsid w:val="26DC3C24"/>
    <w:rsid w:val="26E03714"/>
    <w:rsid w:val="26EB4F82"/>
    <w:rsid w:val="26ED422C"/>
    <w:rsid w:val="26F76010"/>
    <w:rsid w:val="26FC7E22"/>
    <w:rsid w:val="27054F28"/>
    <w:rsid w:val="27062E70"/>
    <w:rsid w:val="27155217"/>
    <w:rsid w:val="27182EAE"/>
    <w:rsid w:val="271E5FE8"/>
    <w:rsid w:val="27361586"/>
    <w:rsid w:val="27402404"/>
    <w:rsid w:val="27541A0C"/>
    <w:rsid w:val="2758774E"/>
    <w:rsid w:val="277773B2"/>
    <w:rsid w:val="278A3680"/>
    <w:rsid w:val="279B763B"/>
    <w:rsid w:val="27A72484"/>
    <w:rsid w:val="27B64475"/>
    <w:rsid w:val="27BF3329"/>
    <w:rsid w:val="27CB7F20"/>
    <w:rsid w:val="27EB411E"/>
    <w:rsid w:val="27F531EF"/>
    <w:rsid w:val="280E3822"/>
    <w:rsid w:val="281178FD"/>
    <w:rsid w:val="281713B7"/>
    <w:rsid w:val="2818512F"/>
    <w:rsid w:val="28302479"/>
    <w:rsid w:val="2832107C"/>
    <w:rsid w:val="28357A8F"/>
    <w:rsid w:val="2837528B"/>
    <w:rsid w:val="283830DC"/>
    <w:rsid w:val="283D06F2"/>
    <w:rsid w:val="283F26BC"/>
    <w:rsid w:val="28467821"/>
    <w:rsid w:val="28665E9B"/>
    <w:rsid w:val="286B525F"/>
    <w:rsid w:val="287C121A"/>
    <w:rsid w:val="288307FB"/>
    <w:rsid w:val="288403ED"/>
    <w:rsid w:val="288B3B53"/>
    <w:rsid w:val="288B76AF"/>
    <w:rsid w:val="28996270"/>
    <w:rsid w:val="28BA1D43"/>
    <w:rsid w:val="28BE7A85"/>
    <w:rsid w:val="28C20B7D"/>
    <w:rsid w:val="28DD05EF"/>
    <w:rsid w:val="28E120D3"/>
    <w:rsid w:val="28F33BD2"/>
    <w:rsid w:val="28FA14C5"/>
    <w:rsid w:val="29114058"/>
    <w:rsid w:val="29235B3A"/>
    <w:rsid w:val="292375FC"/>
    <w:rsid w:val="29386CDF"/>
    <w:rsid w:val="294837F2"/>
    <w:rsid w:val="29534671"/>
    <w:rsid w:val="295439A0"/>
    <w:rsid w:val="29561B5C"/>
    <w:rsid w:val="295D54F0"/>
    <w:rsid w:val="295F6FD6"/>
    <w:rsid w:val="296072FA"/>
    <w:rsid w:val="29657F00"/>
    <w:rsid w:val="29787C34"/>
    <w:rsid w:val="297939AC"/>
    <w:rsid w:val="29802F8C"/>
    <w:rsid w:val="29883EF2"/>
    <w:rsid w:val="29891E41"/>
    <w:rsid w:val="298F31CF"/>
    <w:rsid w:val="29BB2216"/>
    <w:rsid w:val="29D6619B"/>
    <w:rsid w:val="29E96D83"/>
    <w:rsid w:val="2A000535"/>
    <w:rsid w:val="2A005E7B"/>
    <w:rsid w:val="2A157B78"/>
    <w:rsid w:val="2A2953D2"/>
    <w:rsid w:val="2A336250"/>
    <w:rsid w:val="2A391AB9"/>
    <w:rsid w:val="2A3A7A42"/>
    <w:rsid w:val="2A41271B"/>
    <w:rsid w:val="2A4E5C47"/>
    <w:rsid w:val="2A510484"/>
    <w:rsid w:val="2A510485"/>
    <w:rsid w:val="2A557F75"/>
    <w:rsid w:val="2A6B1546"/>
    <w:rsid w:val="2A6D1762"/>
    <w:rsid w:val="2A7234AD"/>
    <w:rsid w:val="2A8C3D3A"/>
    <w:rsid w:val="2A943DB9"/>
    <w:rsid w:val="2A9860B3"/>
    <w:rsid w:val="2AA25646"/>
    <w:rsid w:val="2AB8768A"/>
    <w:rsid w:val="2AC62C21"/>
    <w:rsid w:val="2AD27817"/>
    <w:rsid w:val="2AD52E64"/>
    <w:rsid w:val="2AE350CB"/>
    <w:rsid w:val="2AE74AF2"/>
    <w:rsid w:val="2AF77CB4"/>
    <w:rsid w:val="2AFB11C4"/>
    <w:rsid w:val="2B084612"/>
    <w:rsid w:val="2B177920"/>
    <w:rsid w:val="2B1E2A5D"/>
    <w:rsid w:val="2B3D4643"/>
    <w:rsid w:val="2B5841C1"/>
    <w:rsid w:val="2B5A3C59"/>
    <w:rsid w:val="2B683CD8"/>
    <w:rsid w:val="2B6D0292"/>
    <w:rsid w:val="2B8C251A"/>
    <w:rsid w:val="2B8E1816"/>
    <w:rsid w:val="2B8E1990"/>
    <w:rsid w:val="2BA8213A"/>
    <w:rsid w:val="2BAA609E"/>
    <w:rsid w:val="2BAD08B5"/>
    <w:rsid w:val="2BB331A5"/>
    <w:rsid w:val="2BC74EA2"/>
    <w:rsid w:val="2BCE4483"/>
    <w:rsid w:val="2BE47802"/>
    <w:rsid w:val="2BE9306B"/>
    <w:rsid w:val="2BF33EE9"/>
    <w:rsid w:val="2BFD08C4"/>
    <w:rsid w:val="2C0003B4"/>
    <w:rsid w:val="2C0125BA"/>
    <w:rsid w:val="2C163734"/>
    <w:rsid w:val="2C2045B2"/>
    <w:rsid w:val="2C271DE5"/>
    <w:rsid w:val="2C273B93"/>
    <w:rsid w:val="2C304F8C"/>
    <w:rsid w:val="2C363DD6"/>
    <w:rsid w:val="2C38632B"/>
    <w:rsid w:val="2C4958B7"/>
    <w:rsid w:val="2C552F52"/>
    <w:rsid w:val="2C583D4C"/>
    <w:rsid w:val="2C6E531E"/>
    <w:rsid w:val="2C715EFC"/>
    <w:rsid w:val="2C7212B2"/>
    <w:rsid w:val="2C741CAC"/>
    <w:rsid w:val="2C8E776E"/>
    <w:rsid w:val="2C901738"/>
    <w:rsid w:val="2C9D09DA"/>
    <w:rsid w:val="2CA6451B"/>
    <w:rsid w:val="2CAD22EA"/>
    <w:rsid w:val="2CBC252D"/>
    <w:rsid w:val="2CC31B0E"/>
    <w:rsid w:val="2CD95160"/>
    <w:rsid w:val="2D012636"/>
    <w:rsid w:val="2D040005"/>
    <w:rsid w:val="2D0D4B37"/>
    <w:rsid w:val="2D3C541C"/>
    <w:rsid w:val="2D40315E"/>
    <w:rsid w:val="2D426ED6"/>
    <w:rsid w:val="2D46629B"/>
    <w:rsid w:val="2D4B565F"/>
    <w:rsid w:val="2D6649A5"/>
    <w:rsid w:val="2D795793"/>
    <w:rsid w:val="2D811081"/>
    <w:rsid w:val="2D8172D3"/>
    <w:rsid w:val="2D8D11DF"/>
    <w:rsid w:val="2D9B7144"/>
    <w:rsid w:val="2D9C2560"/>
    <w:rsid w:val="2DA40315"/>
    <w:rsid w:val="2DBD655D"/>
    <w:rsid w:val="2E057F04"/>
    <w:rsid w:val="2E0A551A"/>
    <w:rsid w:val="2E0D1F53"/>
    <w:rsid w:val="2E1920A8"/>
    <w:rsid w:val="2E304F81"/>
    <w:rsid w:val="2E382087"/>
    <w:rsid w:val="2E3F51C4"/>
    <w:rsid w:val="2E4722CA"/>
    <w:rsid w:val="2E5549E7"/>
    <w:rsid w:val="2E5D5FA9"/>
    <w:rsid w:val="2E5F5866"/>
    <w:rsid w:val="2E642E7C"/>
    <w:rsid w:val="2E725599"/>
    <w:rsid w:val="2E772BB0"/>
    <w:rsid w:val="2E8B21B7"/>
    <w:rsid w:val="2EAD4823"/>
    <w:rsid w:val="2EB707A1"/>
    <w:rsid w:val="2EBD0E37"/>
    <w:rsid w:val="2ECB6A58"/>
    <w:rsid w:val="2EE6563F"/>
    <w:rsid w:val="2F021B3A"/>
    <w:rsid w:val="2F055F84"/>
    <w:rsid w:val="2F063F34"/>
    <w:rsid w:val="2F065CE2"/>
    <w:rsid w:val="2F0A3A24"/>
    <w:rsid w:val="2F146650"/>
    <w:rsid w:val="2F17377A"/>
    <w:rsid w:val="2F1943FA"/>
    <w:rsid w:val="2F1A6A14"/>
    <w:rsid w:val="2F1C5505"/>
    <w:rsid w:val="2F1E5313"/>
    <w:rsid w:val="2F2B5748"/>
    <w:rsid w:val="2F5C3B54"/>
    <w:rsid w:val="2F5C5965"/>
    <w:rsid w:val="2F6A2714"/>
    <w:rsid w:val="2F7610B9"/>
    <w:rsid w:val="2F884423"/>
    <w:rsid w:val="2F884949"/>
    <w:rsid w:val="2F9E5F1A"/>
    <w:rsid w:val="2FA71273"/>
    <w:rsid w:val="2FAA0D63"/>
    <w:rsid w:val="2FAB58C1"/>
    <w:rsid w:val="2FAD43AF"/>
    <w:rsid w:val="2FC53770"/>
    <w:rsid w:val="2FD7047A"/>
    <w:rsid w:val="2FDE27BA"/>
    <w:rsid w:val="2FEC2416"/>
    <w:rsid w:val="2FF30F29"/>
    <w:rsid w:val="2FF46A5D"/>
    <w:rsid w:val="2FFA779F"/>
    <w:rsid w:val="2FFE4C0B"/>
    <w:rsid w:val="30085A89"/>
    <w:rsid w:val="30110DE2"/>
    <w:rsid w:val="30450A8C"/>
    <w:rsid w:val="30470360"/>
    <w:rsid w:val="30607673"/>
    <w:rsid w:val="30670A02"/>
    <w:rsid w:val="3070757D"/>
    <w:rsid w:val="30744ECD"/>
    <w:rsid w:val="309537C1"/>
    <w:rsid w:val="309641D1"/>
    <w:rsid w:val="309F1F4A"/>
    <w:rsid w:val="30A9101A"/>
    <w:rsid w:val="30AE4883"/>
    <w:rsid w:val="30B26121"/>
    <w:rsid w:val="30B8125D"/>
    <w:rsid w:val="30C16364"/>
    <w:rsid w:val="30C6397A"/>
    <w:rsid w:val="30CB71E3"/>
    <w:rsid w:val="30D77936"/>
    <w:rsid w:val="30DD6F16"/>
    <w:rsid w:val="30DF4A3C"/>
    <w:rsid w:val="30EC4612"/>
    <w:rsid w:val="30FA1876"/>
    <w:rsid w:val="30FF5DC6"/>
    <w:rsid w:val="3106646D"/>
    <w:rsid w:val="31091AB9"/>
    <w:rsid w:val="31185880"/>
    <w:rsid w:val="312245A1"/>
    <w:rsid w:val="31254329"/>
    <w:rsid w:val="312E32CE"/>
    <w:rsid w:val="312F5F78"/>
    <w:rsid w:val="314F3970"/>
    <w:rsid w:val="315C608D"/>
    <w:rsid w:val="317962BF"/>
    <w:rsid w:val="318B0720"/>
    <w:rsid w:val="31901230"/>
    <w:rsid w:val="31A2252C"/>
    <w:rsid w:val="31A44643"/>
    <w:rsid w:val="31B00187"/>
    <w:rsid w:val="31E05A32"/>
    <w:rsid w:val="31E44E46"/>
    <w:rsid w:val="320501EC"/>
    <w:rsid w:val="320C7AB3"/>
    <w:rsid w:val="323963CE"/>
    <w:rsid w:val="323E31D5"/>
    <w:rsid w:val="32485077"/>
    <w:rsid w:val="32501F2B"/>
    <w:rsid w:val="32560D2E"/>
    <w:rsid w:val="32713DBA"/>
    <w:rsid w:val="327505AE"/>
    <w:rsid w:val="327A53A7"/>
    <w:rsid w:val="328238D1"/>
    <w:rsid w:val="32827D75"/>
    <w:rsid w:val="32841682"/>
    <w:rsid w:val="32891103"/>
    <w:rsid w:val="32BD2B5B"/>
    <w:rsid w:val="32BF68D3"/>
    <w:rsid w:val="32C1089D"/>
    <w:rsid w:val="32CB5278"/>
    <w:rsid w:val="32D0288E"/>
    <w:rsid w:val="32D216CC"/>
    <w:rsid w:val="32D81743"/>
    <w:rsid w:val="32D85BE7"/>
    <w:rsid w:val="32D87995"/>
    <w:rsid w:val="32E03714"/>
    <w:rsid w:val="33095DA0"/>
    <w:rsid w:val="331A61FF"/>
    <w:rsid w:val="3328091C"/>
    <w:rsid w:val="3335354B"/>
    <w:rsid w:val="33435756"/>
    <w:rsid w:val="33466FF4"/>
    <w:rsid w:val="335608C6"/>
    <w:rsid w:val="335C6818"/>
    <w:rsid w:val="33857B1D"/>
    <w:rsid w:val="33A1247D"/>
    <w:rsid w:val="33B3552E"/>
    <w:rsid w:val="33B514D1"/>
    <w:rsid w:val="33BC1065"/>
    <w:rsid w:val="33C235E5"/>
    <w:rsid w:val="33C323F3"/>
    <w:rsid w:val="33CA5530"/>
    <w:rsid w:val="33E81E5A"/>
    <w:rsid w:val="340F5638"/>
    <w:rsid w:val="3417273F"/>
    <w:rsid w:val="3424709C"/>
    <w:rsid w:val="3428494C"/>
    <w:rsid w:val="342D3D10"/>
    <w:rsid w:val="34473024"/>
    <w:rsid w:val="344D6161"/>
    <w:rsid w:val="344D7F0F"/>
    <w:rsid w:val="345D2848"/>
    <w:rsid w:val="346040E6"/>
    <w:rsid w:val="346A6D13"/>
    <w:rsid w:val="34713BFD"/>
    <w:rsid w:val="34770801"/>
    <w:rsid w:val="3489363D"/>
    <w:rsid w:val="348C4EDB"/>
    <w:rsid w:val="34907349"/>
    <w:rsid w:val="34A35D81"/>
    <w:rsid w:val="34A55F9D"/>
    <w:rsid w:val="34A71D15"/>
    <w:rsid w:val="34B47F8E"/>
    <w:rsid w:val="34B8139C"/>
    <w:rsid w:val="35066A3B"/>
    <w:rsid w:val="351F3659"/>
    <w:rsid w:val="35201746"/>
    <w:rsid w:val="35244234"/>
    <w:rsid w:val="35262C3A"/>
    <w:rsid w:val="352B427A"/>
    <w:rsid w:val="352E1003"/>
    <w:rsid w:val="35386E11"/>
    <w:rsid w:val="3555351F"/>
    <w:rsid w:val="355C665B"/>
    <w:rsid w:val="35696FCA"/>
    <w:rsid w:val="35702107"/>
    <w:rsid w:val="35887450"/>
    <w:rsid w:val="358E07DF"/>
    <w:rsid w:val="35A818A1"/>
    <w:rsid w:val="35A87AF3"/>
    <w:rsid w:val="35BE7A8E"/>
    <w:rsid w:val="35C00993"/>
    <w:rsid w:val="35C97A69"/>
    <w:rsid w:val="35D72186"/>
    <w:rsid w:val="35E75889"/>
    <w:rsid w:val="35E93C67"/>
    <w:rsid w:val="36015EC7"/>
    <w:rsid w:val="3605509B"/>
    <w:rsid w:val="36105698"/>
    <w:rsid w:val="36201070"/>
    <w:rsid w:val="36274EBB"/>
    <w:rsid w:val="364957C0"/>
    <w:rsid w:val="364A2958"/>
    <w:rsid w:val="36525CB0"/>
    <w:rsid w:val="366559E4"/>
    <w:rsid w:val="36665C17"/>
    <w:rsid w:val="3667175C"/>
    <w:rsid w:val="366D6646"/>
    <w:rsid w:val="366F6862"/>
    <w:rsid w:val="36745C27"/>
    <w:rsid w:val="367818A9"/>
    <w:rsid w:val="367E6AA5"/>
    <w:rsid w:val="36910587"/>
    <w:rsid w:val="36A224A0"/>
    <w:rsid w:val="36A350D6"/>
    <w:rsid w:val="36A55751"/>
    <w:rsid w:val="36A93B22"/>
    <w:rsid w:val="36AA33F6"/>
    <w:rsid w:val="36AA5AEC"/>
    <w:rsid w:val="36AC3612"/>
    <w:rsid w:val="36AC38FB"/>
    <w:rsid w:val="36B10C29"/>
    <w:rsid w:val="36CE5337"/>
    <w:rsid w:val="36D13079"/>
    <w:rsid w:val="36D82946"/>
    <w:rsid w:val="36E37651"/>
    <w:rsid w:val="36EC3A0F"/>
    <w:rsid w:val="36FF7BE6"/>
    <w:rsid w:val="37032C81"/>
    <w:rsid w:val="37070849"/>
    <w:rsid w:val="371F4BBF"/>
    <w:rsid w:val="37321D6A"/>
    <w:rsid w:val="373A6E70"/>
    <w:rsid w:val="37691503"/>
    <w:rsid w:val="37712166"/>
    <w:rsid w:val="37732382"/>
    <w:rsid w:val="377C16DD"/>
    <w:rsid w:val="37865C12"/>
    <w:rsid w:val="37922808"/>
    <w:rsid w:val="37985945"/>
    <w:rsid w:val="379C5435"/>
    <w:rsid w:val="37BC7885"/>
    <w:rsid w:val="37D22C05"/>
    <w:rsid w:val="37D5757E"/>
    <w:rsid w:val="37D95311"/>
    <w:rsid w:val="37DF5322"/>
    <w:rsid w:val="37E34BD0"/>
    <w:rsid w:val="37F30DCD"/>
    <w:rsid w:val="37FE3BB5"/>
    <w:rsid w:val="38095CA1"/>
    <w:rsid w:val="381C0324"/>
    <w:rsid w:val="38213B8C"/>
    <w:rsid w:val="383C09C6"/>
    <w:rsid w:val="38447A9B"/>
    <w:rsid w:val="385555E4"/>
    <w:rsid w:val="38613F89"/>
    <w:rsid w:val="3862667F"/>
    <w:rsid w:val="38685317"/>
    <w:rsid w:val="38855EC9"/>
    <w:rsid w:val="38995E18"/>
    <w:rsid w:val="38997BC6"/>
    <w:rsid w:val="389E6F8B"/>
    <w:rsid w:val="38CA7D80"/>
    <w:rsid w:val="38D62BC9"/>
    <w:rsid w:val="38DB01DF"/>
    <w:rsid w:val="38EA0422"/>
    <w:rsid w:val="38F372D7"/>
    <w:rsid w:val="39184F8F"/>
    <w:rsid w:val="39272596"/>
    <w:rsid w:val="392A6406"/>
    <w:rsid w:val="39333B77"/>
    <w:rsid w:val="393873DF"/>
    <w:rsid w:val="393C6ED0"/>
    <w:rsid w:val="393F251C"/>
    <w:rsid w:val="39434F15"/>
    <w:rsid w:val="39437493"/>
    <w:rsid w:val="39463128"/>
    <w:rsid w:val="394A1468"/>
    <w:rsid w:val="395843EC"/>
    <w:rsid w:val="39820C37"/>
    <w:rsid w:val="398E6FFF"/>
    <w:rsid w:val="39B57DB1"/>
    <w:rsid w:val="39B76556"/>
    <w:rsid w:val="39E653D6"/>
    <w:rsid w:val="39E9692C"/>
    <w:rsid w:val="39FA6830"/>
    <w:rsid w:val="39FF1CAB"/>
    <w:rsid w:val="39FF7EFD"/>
    <w:rsid w:val="3A092B2A"/>
    <w:rsid w:val="3A0D7F3D"/>
    <w:rsid w:val="3A137505"/>
    <w:rsid w:val="3A2E1E94"/>
    <w:rsid w:val="3A395226"/>
    <w:rsid w:val="3A4257C1"/>
    <w:rsid w:val="3A443B62"/>
    <w:rsid w:val="3A63048C"/>
    <w:rsid w:val="3A6A181A"/>
    <w:rsid w:val="3A6B10EF"/>
    <w:rsid w:val="3A7022ED"/>
    <w:rsid w:val="3A744447"/>
    <w:rsid w:val="3A8A5A19"/>
    <w:rsid w:val="3A8B353F"/>
    <w:rsid w:val="3A914FF9"/>
    <w:rsid w:val="3A940645"/>
    <w:rsid w:val="3AA20FB4"/>
    <w:rsid w:val="3AC84793"/>
    <w:rsid w:val="3ACC0297"/>
    <w:rsid w:val="3AD9543F"/>
    <w:rsid w:val="3ADC3D9A"/>
    <w:rsid w:val="3ADE7B13"/>
    <w:rsid w:val="3AEB42B2"/>
    <w:rsid w:val="3AED7D56"/>
    <w:rsid w:val="3AF17846"/>
    <w:rsid w:val="3AF64E5C"/>
    <w:rsid w:val="3B245E6D"/>
    <w:rsid w:val="3B253993"/>
    <w:rsid w:val="3B30243D"/>
    <w:rsid w:val="3B31208C"/>
    <w:rsid w:val="3B37322C"/>
    <w:rsid w:val="3B4402BD"/>
    <w:rsid w:val="3B45633E"/>
    <w:rsid w:val="3B563B4D"/>
    <w:rsid w:val="3B64270E"/>
    <w:rsid w:val="3B695038"/>
    <w:rsid w:val="3B6C2916"/>
    <w:rsid w:val="3B815E78"/>
    <w:rsid w:val="3BB702F4"/>
    <w:rsid w:val="3BB801EB"/>
    <w:rsid w:val="3BB84807"/>
    <w:rsid w:val="3BC136BC"/>
    <w:rsid w:val="3BCE3D81"/>
    <w:rsid w:val="3BD3519D"/>
    <w:rsid w:val="3BDD4120"/>
    <w:rsid w:val="3BDD49FA"/>
    <w:rsid w:val="3BDF1D94"/>
    <w:rsid w:val="3BE41159"/>
    <w:rsid w:val="3BEF3B99"/>
    <w:rsid w:val="3C096E11"/>
    <w:rsid w:val="3C0A7098"/>
    <w:rsid w:val="3C0E3BCD"/>
    <w:rsid w:val="3C184ED4"/>
    <w:rsid w:val="3C2017A8"/>
    <w:rsid w:val="3C237ED3"/>
    <w:rsid w:val="3C2B322B"/>
    <w:rsid w:val="3C595008"/>
    <w:rsid w:val="3C5A58BF"/>
    <w:rsid w:val="3C5A766D"/>
    <w:rsid w:val="3C6127A9"/>
    <w:rsid w:val="3C803BFC"/>
    <w:rsid w:val="3C850B8E"/>
    <w:rsid w:val="3CA87DEA"/>
    <w:rsid w:val="3CAA0C2A"/>
    <w:rsid w:val="3CB11983"/>
    <w:rsid w:val="3CB57524"/>
    <w:rsid w:val="3CB774FD"/>
    <w:rsid w:val="3CB80EA5"/>
    <w:rsid w:val="3CC2593E"/>
    <w:rsid w:val="3CC33464"/>
    <w:rsid w:val="3CC96E22"/>
    <w:rsid w:val="3CD15B81"/>
    <w:rsid w:val="3CDA46D0"/>
    <w:rsid w:val="3CDB692F"/>
    <w:rsid w:val="3CE27D8E"/>
    <w:rsid w:val="3CE358B4"/>
    <w:rsid w:val="3CE77152"/>
    <w:rsid w:val="3D053A7C"/>
    <w:rsid w:val="3D0C6BB9"/>
    <w:rsid w:val="3D233F03"/>
    <w:rsid w:val="3D236561"/>
    <w:rsid w:val="3D244C48"/>
    <w:rsid w:val="3D5642D8"/>
    <w:rsid w:val="3D593EFF"/>
    <w:rsid w:val="3D5C3A0F"/>
    <w:rsid w:val="3D624A2B"/>
    <w:rsid w:val="3D632551"/>
    <w:rsid w:val="3D7B5AED"/>
    <w:rsid w:val="3D950CBD"/>
    <w:rsid w:val="3DB633CE"/>
    <w:rsid w:val="3DBA4867"/>
    <w:rsid w:val="3DC56D68"/>
    <w:rsid w:val="3DDF5B9F"/>
    <w:rsid w:val="3E09134A"/>
    <w:rsid w:val="3E0E4BB3"/>
    <w:rsid w:val="3E1C107E"/>
    <w:rsid w:val="3E416D36"/>
    <w:rsid w:val="3E481E73"/>
    <w:rsid w:val="3E491747"/>
    <w:rsid w:val="3E4E4FAF"/>
    <w:rsid w:val="3E525EC2"/>
    <w:rsid w:val="3E5F0BC8"/>
    <w:rsid w:val="3E970704"/>
    <w:rsid w:val="3E990A11"/>
    <w:rsid w:val="3EA6303D"/>
    <w:rsid w:val="3EAF1EF2"/>
    <w:rsid w:val="3EAF3CA0"/>
    <w:rsid w:val="3EBC016B"/>
    <w:rsid w:val="3ECF4342"/>
    <w:rsid w:val="3ED100BA"/>
    <w:rsid w:val="3ED23E32"/>
    <w:rsid w:val="3ED656D0"/>
    <w:rsid w:val="3ED92ACB"/>
    <w:rsid w:val="3EDC080D"/>
    <w:rsid w:val="3EDF0565"/>
    <w:rsid w:val="3EE002FD"/>
    <w:rsid w:val="3EE576C2"/>
    <w:rsid w:val="3EF7687F"/>
    <w:rsid w:val="3EF94CDF"/>
    <w:rsid w:val="3F0338BD"/>
    <w:rsid w:val="3F1921C0"/>
    <w:rsid w:val="3F2C3542"/>
    <w:rsid w:val="3F3B19D7"/>
    <w:rsid w:val="3F454604"/>
    <w:rsid w:val="3F55760A"/>
    <w:rsid w:val="3F577E93"/>
    <w:rsid w:val="3F5D6E73"/>
    <w:rsid w:val="3F6D089B"/>
    <w:rsid w:val="3F984734"/>
    <w:rsid w:val="3F9966FE"/>
    <w:rsid w:val="3FBE7F13"/>
    <w:rsid w:val="3FC65745"/>
    <w:rsid w:val="3FC824B5"/>
    <w:rsid w:val="3FD6525C"/>
    <w:rsid w:val="3FEE6A4A"/>
    <w:rsid w:val="3FF632CD"/>
    <w:rsid w:val="3FFA53EF"/>
    <w:rsid w:val="400121A3"/>
    <w:rsid w:val="40101D6F"/>
    <w:rsid w:val="40186E05"/>
    <w:rsid w:val="401D2662"/>
    <w:rsid w:val="402704E2"/>
    <w:rsid w:val="40293B77"/>
    <w:rsid w:val="40322DDA"/>
    <w:rsid w:val="404A4D49"/>
    <w:rsid w:val="40503261"/>
    <w:rsid w:val="406D5BC1"/>
    <w:rsid w:val="406E7B8B"/>
    <w:rsid w:val="40844CB8"/>
    <w:rsid w:val="408918AE"/>
    <w:rsid w:val="4090365D"/>
    <w:rsid w:val="4095054D"/>
    <w:rsid w:val="40ED4F53"/>
    <w:rsid w:val="40FE2CBD"/>
    <w:rsid w:val="41006A35"/>
    <w:rsid w:val="410B7187"/>
    <w:rsid w:val="41232723"/>
    <w:rsid w:val="412546ED"/>
    <w:rsid w:val="413C1A16"/>
    <w:rsid w:val="41456B3D"/>
    <w:rsid w:val="414A5F02"/>
    <w:rsid w:val="41597EF3"/>
    <w:rsid w:val="416845DA"/>
    <w:rsid w:val="41792343"/>
    <w:rsid w:val="417C108D"/>
    <w:rsid w:val="41856F3A"/>
    <w:rsid w:val="418C2076"/>
    <w:rsid w:val="419A2DBD"/>
    <w:rsid w:val="41A63A30"/>
    <w:rsid w:val="41B810BD"/>
    <w:rsid w:val="41D57EC1"/>
    <w:rsid w:val="41DE664A"/>
    <w:rsid w:val="41E77D4E"/>
    <w:rsid w:val="41E9396D"/>
    <w:rsid w:val="41E9571B"/>
    <w:rsid w:val="41FF1B86"/>
    <w:rsid w:val="4214206C"/>
    <w:rsid w:val="4224225E"/>
    <w:rsid w:val="422C5607"/>
    <w:rsid w:val="423544BC"/>
    <w:rsid w:val="423D7815"/>
    <w:rsid w:val="42403225"/>
    <w:rsid w:val="4248348E"/>
    <w:rsid w:val="424A586D"/>
    <w:rsid w:val="424F56D9"/>
    <w:rsid w:val="42501169"/>
    <w:rsid w:val="4250579A"/>
    <w:rsid w:val="425734E9"/>
    <w:rsid w:val="425B50B1"/>
    <w:rsid w:val="426C3C56"/>
    <w:rsid w:val="42764AD5"/>
    <w:rsid w:val="42786711"/>
    <w:rsid w:val="427B20EB"/>
    <w:rsid w:val="427B2750"/>
    <w:rsid w:val="42825877"/>
    <w:rsid w:val="42934D93"/>
    <w:rsid w:val="4293772E"/>
    <w:rsid w:val="429531AD"/>
    <w:rsid w:val="42A96C58"/>
    <w:rsid w:val="42AB0C22"/>
    <w:rsid w:val="42AE6605"/>
    <w:rsid w:val="42BA2C13"/>
    <w:rsid w:val="42DF6B1E"/>
    <w:rsid w:val="42EB101F"/>
    <w:rsid w:val="42F04887"/>
    <w:rsid w:val="42F500EF"/>
    <w:rsid w:val="42FA5706"/>
    <w:rsid w:val="43036368"/>
    <w:rsid w:val="43234C5C"/>
    <w:rsid w:val="43380334"/>
    <w:rsid w:val="433A3D54"/>
    <w:rsid w:val="43421586"/>
    <w:rsid w:val="434C14BE"/>
    <w:rsid w:val="435C016E"/>
    <w:rsid w:val="43687C0A"/>
    <w:rsid w:val="436A63E7"/>
    <w:rsid w:val="436C6603"/>
    <w:rsid w:val="43943464"/>
    <w:rsid w:val="439E42E3"/>
    <w:rsid w:val="43AB0D5E"/>
    <w:rsid w:val="43AE2740"/>
    <w:rsid w:val="43B835F7"/>
    <w:rsid w:val="43BF2BD7"/>
    <w:rsid w:val="43C7383A"/>
    <w:rsid w:val="43C81360"/>
    <w:rsid w:val="43DE6DD5"/>
    <w:rsid w:val="43EE7018"/>
    <w:rsid w:val="43F108B7"/>
    <w:rsid w:val="43F403A7"/>
    <w:rsid w:val="440028DC"/>
    <w:rsid w:val="441253C9"/>
    <w:rsid w:val="4436451B"/>
    <w:rsid w:val="44415C92"/>
    <w:rsid w:val="4448706F"/>
    <w:rsid w:val="44586B88"/>
    <w:rsid w:val="446217B4"/>
    <w:rsid w:val="4475773A"/>
    <w:rsid w:val="4476700E"/>
    <w:rsid w:val="447C2876"/>
    <w:rsid w:val="448636F5"/>
    <w:rsid w:val="44890AEF"/>
    <w:rsid w:val="44A60EAD"/>
    <w:rsid w:val="44A92F3F"/>
    <w:rsid w:val="44B518E4"/>
    <w:rsid w:val="44BA15F0"/>
    <w:rsid w:val="44BD69EB"/>
    <w:rsid w:val="44BF2763"/>
    <w:rsid w:val="44CD1324"/>
    <w:rsid w:val="44D2693A"/>
    <w:rsid w:val="44DD0BB4"/>
    <w:rsid w:val="44E623E5"/>
    <w:rsid w:val="44F56185"/>
    <w:rsid w:val="44FC320A"/>
    <w:rsid w:val="45022641"/>
    <w:rsid w:val="450308A1"/>
    <w:rsid w:val="45060392"/>
    <w:rsid w:val="45074F31"/>
    <w:rsid w:val="450C075F"/>
    <w:rsid w:val="450C142F"/>
    <w:rsid w:val="45156827"/>
    <w:rsid w:val="451707F1"/>
    <w:rsid w:val="45230F44"/>
    <w:rsid w:val="452627E2"/>
    <w:rsid w:val="452B604A"/>
    <w:rsid w:val="452C1BDC"/>
    <w:rsid w:val="45390B8D"/>
    <w:rsid w:val="4541761C"/>
    <w:rsid w:val="45467BF7"/>
    <w:rsid w:val="45570670"/>
    <w:rsid w:val="45570BED"/>
    <w:rsid w:val="45587386"/>
    <w:rsid w:val="45695B71"/>
    <w:rsid w:val="4574179F"/>
    <w:rsid w:val="45806396"/>
    <w:rsid w:val="459B15BA"/>
    <w:rsid w:val="459C2AA4"/>
    <w:rsid w:val="459C71FB"/>
    <w:rsid w:val="45AB2CE7"/>
    <w:rsid w:val="45AD2F03"/>
    <w:rsid w:val="45B93E4A"/>
    <w:rsid w:val="45C1250B"/>
    <w:rsid w:val="45D16BF2"/>
    <w:rsid w:val="45ED14AB"/>
    <w:rsid w:val="460778E7"/>
    <w:rsid w:val="46092013"/>
    <w:rsid w:val="460D0F7A"/>
    <w:rsid w:val="4631143E"/>
    <w:rsid w:val="464473C4"/>
    <w:rsid w:val="46492C2C"/>
    <w:rsid w:val="465A6BE7"/>
    <w:rsid w:val="465D2233"/>
    <w:rsid w:val="468772B0"/>
    <w:rsid w:val="468E4AE3"/>
    <w:rsid w:val="469039C8"/>
    <w:rsid w:val="46AB2EEC"/>
    <w:rsid w:val="46B502C1"/>
    <w:rsid w:val="46B81B60"/>
    <w:rsid w:val="46C027C2"/>
    <w:rsid w:val="46C95B1B"/>
    <w:rsid w:val="46DA3884"/>
    <w:rsid w:val="46DD3374"/>
    <w:rsid w:val="46F506BE"/>
    <w:rsid w:val="46FD2D44"/>
    <w:rsid w:val="47003456"/>
    <w:rsid w:val="47014B93"/>
    <w:rsid w:val="47072E3B"/>
    <w:rsid w:val="470D3C59"/>
    <w:rsid w:val="472114B3"/>
    <w:rsid w:val="47293B39"/>
    <w:rsid w:val="4734568A"/>
    <w:rsid w:val="473F7B8B"/>
    <w:rsid w:val="474156B1"/>
    <w:rsid w:val="47463507"/>
    <w:rsid w:val="47633879"/>
    <w:rsid w:val="47680E90"/>
    <w:rsid w:val="477B5067"/>
    <w:rsid w:val="479B008D"/>
    <w:rsid w:val="47A83982"/>
    <w:rsid w:val="47AA594C"/>
    <w:rsid w:val="47AB5220"/>
    <w:rsid w:val="47AD0F98"/>
    <w:rsid w:val="47B47B3D"/>
    <w:rsid w:val="47C36A0E"/>
    <w:rsid w:val="47CE3E00"/>
    <w:rsid w:val="47D93B3C"/>
    <w:rsid w:val="47EF7803"/>
    <w:rsid w:val="47F903BF"/>
    <w:rsid w:val="480C5CBF"/>
    <w:rsid w:val="482239DC"/>
    <w:rsid w:val="48240342"/>
    <w:rsid w:val="48276F9D"/>
    <w:rsid w:val="482A1A6E"/>
    <w:rsid w:val="482A7203"/>
    <w:rsid w:val="482D3E87"/>
    <w:rsid w:val="483E6094"/>
    <w:rsid w:val="484F3B0D"/>
    <w:rsid w:val="48617456"/>
    <w:rsid w:val="48651873"/>
    <w:rsid w:val="48763A80"/>
    <w:rsid w:val="488717E9"/>
    <w:rsid w:val="488937B4"/>
    <w:rsid w:val="4891224F"/>
    <w:rsid w:val="4893018E"/>
    <w:rsid w:val="48965ED0"/>
    <w:rsid w:val="489B7043"/>
    <w:rsid w:val="48A50E57"/>
    <w:rsid w:val="48AC1250"/>
    <w:rsid w:val="48AC2FFE"/>
    <w:rsid w:val="48BC7520"/>
    <w:rsid w:val="48C06AA9"/>
    <w:rsid w:val="48CF5ED6"/>
    <w:rsid w:val="48D662CD"/>
    <w:rsid w:val="48E1539E"/>
    <w:rsid w:val="48FB7394"/>
    <w:rsid w:val="490E445B"/>
    <w:rsid w:val="491134DD"/>
    <w:rsid w:val="491207C7"/>
    <w:rsid w:val="491237A9"/>
    <w:rsid w:val="491868E5"/>
    <w:rsid w:val="49194B8B"/>
    <w:rsid w:val="491A440C"/>
    <w:rsid w:val="491B1C94"/>
    <w:rsid w:val="492A498E"/>
    <w:rsid w:val="492B03C7"/>
    <w:rsid w:val="493F0316"/>
    <w:rsid w:val="496438D9"/>
    <w:rsid w:val="496B1CD2"/>
    <w:rsid w:val="496E4757"/>
    <w:rsid w:val="49777AB0"/>
    <w:rsid w:val="49926698"/>
    <w:rsid w:val="49AC66FF"/>
    <w:rsid w:val="49B26D3A"/>
    <w:rsid w:val="49B303BC"/>
    <w:rsid w:val="49B4660E"/>
    <w:rsid w:val="49B7712F"/>
    <w:rsid w:val="49BA3D67"/>
    <w:rsid w:val="49C03205"/>
    <w:rsid w:val="49C167BA"/>
    <w:rsid w:val="49C83E68"/>
    <w:rsid w:val="49CA00A3"/>
    <w:rsid w:val="49EA0282"/>
    <w:rsid w:val="49EF3AEA"/>
    <w:rsid w:val="49F70BF1"/>
    <w:rsid w:val="49FB119D"/>
    <w:rsid w:val="4A0B1FA6"/>
    <w:rsid w:val="4A2C089A"/>
    <w:rsid w:val="4A4200BE"/>
    <w:rsid w:val="4A45195C"/>
    <w:rsid w:val="4A463ED2"/>
    <w:rsid w:val="4A4D183F"/>
    <w:rsid w:val="4A643CF0"/>
    <w:rsid w:val="4A655B5A"/>
    <w:rsid w:val="4A6F69D9"/>
    <w:rsid w:val="4A742241"/>
    <w:rsid w:val="4A7E7B74"/>
    <w:rsid w:val="4A802994"/>
    <w:rsid w:val="4A9B5A20"/>
    <w:rsid w:val="4AAD305D"/>
    <w:rsid w:val="4AB341A3"/>
    <w:rsid w:val="4AB34B18"/>
    <w:rsid w:val="4ABD14F2"/>
    <w:rsid w:val="4AC7411F"/>
    <w:rsid w:val="4AD93E52"/>
    <w:rsid w:val="4AE922E8"/>
    <w:rsid w:val="4AF41AE2"/>
    <w:rsid w:val="4AF84C20"/>
    <w:rsid w:val="4AFF7D5D"/>
    <w:rsid w:val="4B000F16"/>
    <w:rsid w:val="4B02784D"/>
    <w:rsid w:val="4B09089E"/>
    <w:rsid w:val="4B0E1D4E"/>
    <w:rsid w:val="4B212CAE"/>
    <w:rsid w:val="4B230A05"/>
    <w:rsid w:val="4B257098"/>
    <w:rsid w:val="4B306168"/>
    <w:rsid w:val="4B3244C7"/>
    <w:rsid w:val="4B36505C"/>
    <w:rsid w:val="4B38326F"/>
    <w:rsid w:val="4B4734B2"/>
    <w:rsid w:val="4B481704"/>
    <w:rsid w:val="4B596751"/>
    <w:rsid w:val="4B815E56"/>
    <w:rsid w:val="4B8D7117"/>
    <w:rsid w:val="4B9B709A"/>
    <w:rsid w:val="4BA157E3"/>
    <w:rsid w:val="4BA17066"/>
    <w:rsid w:val="4BAF1783"/>
    <w:rsid w:val="4BC6475E"/>
    <w:rsid w:val="4BD25472"/>
    <w:rsid w:val="4BEF7DD1"/>
    <w:rsid w:val="4BF947AC"/>
    <w:rsid w:val="4C073D0C"/>
    <w:rsid w:val="4C0B44E0"/>
    <w:rsid w:val="4C160075"/>
    <w:rsid w:val="4C1642A8"/>
    <w:rsid w:val="4C20442F"/>
    <w:rsid w:val="4C2A2BB8"/>
    <w:rsid w:val="4C2F1992"/>
    <w:rsid w:val="4C3D195E"/>
    <w:rsid w:val="4C463387"/>
    <w:rsid w:val="4C481290"/>
    <w:rsid w:val="4C545E87"/>
    <w:rsid w:val="4C60482B"/>
    <w:rsid w:val="4C616901"/>
    <w:rsid w:val="4C63256E"/>
    <w:rsid w:val="4C6D6F48"/>
    <w:rsid w:val="4C71007F"/>
    <w:rsid w:val="4C716343"/>
    <w:rsid w:val="4C732DED"/>
    <w:rsid w:val="4C771B75"/>
    <w:rsid w:val="4C8B7132"/>
    <w:rsid w:val="4C940979"/>
    <w:rsid w:val="4C981AC7"/>
    <w:rsid w:val="4CA3296A"/>
    <w:rsid w:val="4CB6269D"/>
    <w:rsid w:val="4CBC3F37"/>
    <w:rsid w:val="4CC76658"/>
    <w:rsid w:val="4CD82614"/>
    <w:rsid w:val="4CDF7E46"/>
    <w:rsid w:val="4CE30FB8"/>
    <w:rsid w:val="4CF62E1B"/>
    <w:rsid w:val="4CF840E1"/>
    <w:rsid w:val="4CFB09F8"/>
    <w:rsid w:val="4D1F6494"/>
    <w:rsid w:val="4D2B1060"/>
    <w:rsid w:val="4D2E2B7B"/>
    <w:rsid w:val="4D3A507C"/>
    <w:rsid w:val="4D41465D"/>
    <w:rsid w:val="4D5048A0"/>
    <w:rsid w:val="4D600EC9"/>
    <w:rsid w:val="4D64659D"/>
    <w:rsid w:val="4D6B3488"/>
    <w:rsid w:val="4D757384"/>
    <w:rsid w:val="4D7762D0"/>
    <w:rsid w:val="4D7C5695"/>
    <w:rsid w:val="4D897DB2"/>
    <w:rsid w:val="4DA23311"/>
    <w:rsid w:val="4DA30E74"/>
    <w:rsid w:val="4DA90454"/>
    <w:rsid w:val="4DB43081"/>
    <w:rsid w:val="4DBB7A1A"/>
    <w:rsid w:val="4DCB56E6"/>
    <w:rsid w:val="4DCF7EBB"/>
    <w:rsid w:val="4DDA5E53"/>
    <w:rsid w:val="4DE82D2A"/>
    <w:rsid w:val="4E0538DC"/>
    <w:rsid w:val="4E1C6E78"/>
    <w:rsid w:val="4E21448E"/>
    <w:rsid w:val="4E241889"/>
    <w:rsid w:val="4E3B72FE"/>
    <w:rsid w:val="4E422B8B"/>
    <w:rsid w:val="4E526C3C"/>
    <w:rsid w:val="4E542CAD"/>
    <w:rsid w:val="4E5A52AA"/>
    <w:rsid w:val="4E720846"/>
    <w:rsid w:val="4E946A0E"/>
    <w:rsid w:val="4E9E163B"/>
    <w:rsid w:val="4EA330F5"/>
    <w:rsid w:val="4EA8070C"/>
    <w:rsid w:val="4EAF7FF7"/>
    <w:rsid w:val="4EB8094F"/>
    <w:rsid w:val="4EC2357B"/>
    <w:rsid w:val="4ED92673"/>
    <w:rsid w:val="4EDE7C89"/>
    <w:rsid w:val="4EF0144D"/>
    <w:rsid w:val="4F053468"/>
    <w:rsid w:val="4F0C0C9A"/>
    <w:rsid w:val="4F132029"/>
    <w:rsid w:val="4F135B85"/>
    <w:rsid w:val="4F231B40"/>
    <w:rsid w:val="4F3E43AC"/>
    <w:rsid w:val="4F5543EF"/>
    <w:rsid w:val="4F627ED0"/>
    <w:rsid w:val="4F675674"/>
    <w:rsid w:val="4F6E05EC"/>
    <w:rsid w:val="4F702FD7"/>
    <w:rsid w:val="4F816C21"/>
    <w:rsid w:val="4F822D0B"/>
    <w:rsid w:val="4F9A62A6"/>
    <w:rsid w:val="4FA72771"/>
    <w:rsid w:val="4FAB400F"/>
    <w:rsid w:val="4FAC25DD"/>
    <w:rsid w:val="4FBF309A"/>
    <w:rsid w:val="4FCA0935"/>
    <w:rsid w:val="4FCC3F86"/>
    <w:rsid w:val="4FE237A9"/>
    <w:rsid w:val="4FEE03A0"/>
    <w:rsid w:val="4FFC6C46"/>
    <w:rsid w:val="4FFD05E3"/>
    <w:rsid w:val="50033B53"/>
    <w:rsid w:val="50081462"/>
    <w:rsid w:val="500F75C2"/>
    <w:rsid w:val="50105E00"/>
    <w:rsid w:val="501778F7"/>
    <w:rsid w:val="50316AFD"/>
    <w:rsid w:val="503B1837"/>
    <w:rsid w:val="504A6926"/>
    <w:rsid w:val="50610B72"/>
    <w:rsid w:val="50611726"/>
    <w:rsid w:val="506D7517"/>
    <w:rsid w:val="507C775A"/>
    <w:rsid w:val="50836D3A"/>
    <w:rsid w:val="50970A38"/>
    <w:rsid w:val="509879FF"/>
    <w:rsid w:val="5099655E"/>
    <w:rsid w:val="509B22D6"/>
    <w:rsid w:val="50AD3DB7"/>
    <w:rsid w:val="50B951D7"/>
    <w:rsid w:val="50BC3FFA"/>
    <w:rsid w:val="50BE7D72"/>
    <w:rsid w:val="50C07F8E"/>
    <w:rsid w:val="50C10F02"/>
    <w:rsid w:val="50C618DE"/>
    <w:rsid w:val="50C64E79"/>
    <w:rsid w:val="50D77086"/>
    <w:rsid w:val="50DD469C"/>
    <w:rsid w:val="50E753FB"/>
    <w:rsid w:val="50F70163"/>
    <w:rsid w:val="50F81776"/>
    <w:rsid w:val="50F96FFC"/>
    <w:rsid w:val="51037E7B"/>
    <w:rsid w:val="51053BF3"/>
    <w:rsid w:val="510A7845"/>
    <w:rsid w:val="510B4C75"/>
    <w:rsid w:val="512630B2"/>
    <w:rsid w:val="51271DBC"/>
    <w:rsid w:val="51361FFF"/>
    <w:rsid w:val="5139014B"/>
    <w:rsid w:val="513A1AEF"/>
    <w:rsid w:val="513F5357"/>
    <w:rsid w:val="514205CA"/>
    <w:rsid w:val="514359C6"/>
    <w:rsid w:val="51581F75"/>
    <w:rsid w:val="516052CE"/>
    <w:rsid w:val="51663EC6"/>
    <w:rsid w:val="516923D4"/>
    <w:rsid w:val="5176689F"/>
    <w:rsid w:val="51777908"/>
    <w:rsid w:val="517B2107"/>
    <w:rsid w:val="51890380"/>
    <w:rsid w:val="519B1982"/>
    <w:rsid w:val="51A0391C"/>
    <w:rsid w:val="51A21442"/>
    <w:rsid w:val="51B15B29"/>
    <w:rsid w:val="51B16F5C"/>
    <w:rsid w:val="51B354C2"/>
    <w:rsid w:val="51B7313F"/>
    <w:rsid w:val="51D14315"/>
    <w:rsid w:val="51D3784E"/>
    <w:rsid w:val="51DD06CC"/>
    <w:rsid w:val="51F31C9E"/>
    <w:rsid w:val="52065E75"/>
    <w:rsid w:val="520774F7"/>
    <w:rsid w:val="520B6FE7"/>
    <w:rsid w:val="520E2829"/>
    <w:rsid w:val="521D148B"/>
    <w:rsid w:val="52262073"/>
    <w:rsid w:val="523A5B1F"/>
    <w:rsid w:val="524A0E47"/>
    <w:rsid w:val="524F15CA"/>
    <w:rsid w:val="52500E9E"/>
    <w:rsid w:val="525070F0"/>
    <w:rsid w:val="525A4431"/>
    <w:rsid w:val="52630BD1"/>
    <w:rsid w:val="52635075"/>
    <w:rsid w:val="526A6404"/>
    <w:rsid w:val="52770B21"/>
    <w:rsid w:val="52992845"/>
    <w:rsid w:val="52A01E26"/>
    <w:rsid w:val="52B551A5"/>
    <w:rsid w:val="52BE04FE"/>
    <w:rsid w:val="52C13B4A"/>
    <w:rsid w:val="52D7511B"/>
    <w:rsid w:val="52F21F55"/>
    <w:rsid w:val="52FB52AE"/>
    <w:rsid w:val="530028C4"/>
    <w:rsid w:val="5305612D"/>
    <w:rsid w:val="53185E60"/>
    <w:rsid w:val="53206AC2"/>
    <w:rsid w:val="53285977"/>
    <w:rsid w:val="532A0486"/>
    <w:rsid w:val="533E33EC"/>
    <w:rsid w:val="53476745"/>
    <w:rsid w:val="534A1D91"/>
    <w:rsid w:val="53511372"/>
    <w:rsid w:val="53536E98"/>
    <w:rsid w:val="536746F1"/>
    <w:rsid w:val="53690469"/>
    <w:rsid w:val="538F6092"/>
    <w:rsid w:val="539841AD"/>
    <w:rsid w:val="53A51893"/>
    <w:rsid w:val="53BE6DFC"/>
    <w:rsid w:val="53D02297"/>
    <w:rsid w:val="53D61877"/>
    <w:rsid w:val="53E144A4"/>
    <w:rsid w:val="53E61ABA"/>
    <w:rsid w:val="53EC4BF7"/>
    <w:rsid w:val="540E0200"/>
    <w:rsid w:val="54297BF9"/>
    <w:rsid w:val="542B3971"/>
    <w:rsid w:val="542E16B3"/>
    <w:rsid w:val="543071D9"/>
    <w:rsid w:val="54437DC2"/>
    <w:rsid w:val="54492049"/>
    <w:rsid w:val="54492650"/>
    <w:rsid w:val="544F3B03"/>
    <w:rsid w:val="544F63E3"/>
    <w:rsid w:val="545253A1"/>
    <w:rsid w:val="545F7ABE"/>
    <w:rsid w:val="54686973"/>
    <w:rsid w:val="54696A0D"/>
    <w:rsid w:val="54815C87"/>
    <w:rsid w:val="548440AE"/>
    <w:rsid w:val="54972DB4"/>
    <w:rsid w:val="54A159E1"/>
    <w:rsid w:val="54A51010"/>
    <w:rsid w:val="54BA402F"/>
    <w:rsid w:val="54C85664"/>
    <w:rsid w:val="54E1091A"/>
    <w:rsid w:val="54EF43AE"/>
    <w:rsid w:val="550A7A2A"/>
    <w:rsid w:val="551C775D"/>
    <w:rsid w:val="55367B45"/>
    <w:rsid w:val="55377FD3"/>
    <w:rsid w:val="5539030F"/>
    <w:rsid w:val="555315B8"/>
    <w:rsid w:val="55595E22"/>
    <w:rsid w:val="55684751"/>
    <w:rsid w:val="556F5ADF"/>
    <w:rsid w:val="557C32F9"/>
    <w:rsid w:val="557F21C6"/>
    <w:rsid w:val="558061DD"/>
    <w:rsid w:val="55937362"/>
    <w:rsid w:val="559E63C4"/>
    <w:rsid w:val="55A25EB5"/>
    <w:rsid w:val="55AB0340"/>
    <w:rsid w:val="55BF2B5C"/>
    <w:rsid w:val="55C37BD9"/>
    <w:rsid w:val="55CA71B9"/>
    <w:rsid w:val="55CB540B"/>
    <w:rsid w:val="55D81C32"/>
    <w:rsid w:val="55F06C20"/>
    <w:rsid w:val="55FB55C5"/>
    <w:rsid w:val="55FC3817"/>
    <w:rsid w:val="56026953"/>
    <w:rsid w:val="56064695"/>
    <w:rsid w:val="560B7461"/>
    <w:rsid w:val="561641AD"/>
    <w:rsid w:val="561C2272"/>
    <w:rsid w:val="561D19DF"/>
    <w:rsid w:val="5625016E"/>
    <w:rsid w:val="56291607"/>
    <w:rsid w:val="56312D95"/>
    <w:rsid w:val="56426B33"/>
    <w:rsid w:val="565A22EB"/>
    <w:rsid w:val="565D1FD4"/>
    <w:rsid w:val="5661367A"/>
    <w:rsid w:val="566273F2"/>
    <w:rsid w:val="566C4D15"/>
    <w:rsid w:val="566C774E"/>
    <w:rsid w:val="56890E23"/>
    <w:rsid w:val="568A7075"/>
    <w:rsid w:val="56963DC0"/>
    <w:rsid w:val="56A65531"/>
    <w:rsid w:val="56A95021"/>
    <w:rsid w:val="56AB6FEB"/>
    <w:rsid w:val="56C360E3"/>
    <w:rsid w:val="56CF0F2B"/>
    <w:rsid w:val="56D57BC4"/>
    <w:rsid w:val="56D71B8E"/>
    <w:rsid w:val="56E46059"/>
    <w:rsid w:val="56ED315F"/>
    <w:rsid w:val="56FB3ACE"/>
    <w:rsid w:val="570404A9"/>
    <w:rsid w:val="570A087C"/>
    <w:rsid w:val="571A1A7B"/>
    <w:rsid w:val="571B1801"/>
    <w:rsid w:val="57342B3C"/>
    <w:rsid w:val="57430FD1"/>
    <w:rsid w:val="576A0C54"/>
    <w:rsid w:val="576C0528"/>
    <w:rsid w:val="576F7A02"/>
    <w:rsid w:val="57733DB0"/>
    <w:rsid w:val="577B076B"/>
    <w:rsid w:val="5791660A"/>
    <w:rsid w:val="57982DE3"/>
    <w:rsid w:val="579B705F"/>
    <w:rsid w:val="57A177C7"/>
    <w:rsid w:val="57AC4DC9"/>
    <w:rsid w:val="57AE0B41"/>
    <w:rsid w:val="57AF1EEB"/>
    <w:rsid w:val="57BB14B0"/>
    <w:rsid w:val="57C03F27"/>
    <w:rsid w:val="57D24B60"/>
    <w:rsid w:val="57D566CC"/>
    <w:rsid w:val="57D64006"/>
    <w:rsid w:val="57E91A63"/>
    <w:rsid w:val="57EC78BB"/>
    <w:rsid w:val="57ED39CE"/>
    <w:rsid w:val="57F55F69"/>
    <w:rsid w:val="57F66044"/>
    <w:rsid w:val="5818245E"/>
    <w:rsid w:val="581A4428"/>
    <w:rsid w:val="58207565"/>
    <w:rsid w:val="58214A53"/>
    <w:rsid w:val="5839498E"/>
    <w:rsid w:val="583B614D"/>
    <w:rsid w:val="583D0117"/>
    <w:rsid w:val="58492617"/>
    <w:rsid w:val="584C035A"/>
    <w:rsid w:val="585130AB"/>
    <w:rsid w:val="5851771E"/>
    <w:rsid w:val="58564D34"/>
    <w:rsid w:val="585711D8"/>
    <w:rsid w:val="58597148"/>
    <w:rsid w:val="587F428B"/>
    <w:rsid w:val="58826827"/>
    <w:rsid w:val="588673C8"/>
    <w:rsid w:val="58913FBE"/>
    <w:rsid w:val="58935F89"/>
    <w:rsid w:val="589D2963"/>
    <w:rsid w:val="58A94BE5"/>
    <w:rsid w:val="58B959EF"/>
    <w:rsid w:val="58BE3005"/>
    <w:rsid w:val="58C85C32"/>
    <w:rsid w:val="58C919AA"/>
    <w:rsid w:val="58C92183"/>
    <w:rsid w:val="58CA7CA6"/>
    <w:rsid w:val="58CF5213"/>
    <w:rsid w:val="58DF2F7C"/>
    <w:rsid w:val="58F30EF8"/>
    <w:rsid w:val="58F5279F"/>
    <w:rsid w:val="590D5D3B"/>
    <w:rsid w:val="590D7AE9"/>
    <w:rsid w:val="59101387"/>
    <w:rsid w:val="591271F6"/>
    <w:rsid w:val="59127415"/>
    <w:rsid w:val="591E1CF6"/>
    <w:rsid w:val="59305585"/>
    <w:rsid w:val="5945318E"/>
    <w:rsid w:val="595079D6"/>
    <w:rsid w:val="595E0345"/>
    <w:rsid w:val="59657925"/>
    <w:rsid w:val="5967369D"/>
    <w:rsid w:val="59747B68"/>
    <w:rsid w:val="5979517E"/>
    <w:rsid w:val="59837DAB"/>
    <w:rsid w:val="59907957"/>
    <w:rsid w:val="599124C8"/>
    <w:rsid w:val="599E4BE5"/>
    <w:rsid w:val="59A85A64"/>
    <w:rsid w:val="59AC10B0"/>
    <w:rsid w:val="59B7658D"/>
    <w:rsid w:val="59BD150F"/>
    <w:rsid w:val="59C3464B"/>
    <w:rsid w:val="59CD7278"/>
    <w:rsid w:val="59D2663D"/>
    <w:rsid w:val="59E135B0"/>
    <w:rsid w:val="59E200C2"/>
    <w:rsid w:val="59EE16C8"/>
    <w:rsid w:val="59F14D15"/>
    <w:rsid w:val="59FE7432"/>
    <w:rsid w:val="5A107ABE"/>
    <w:rsid w:val="5A113609"/>
    <w:rsid w:val="5A171214"/>
    <w:rsid w:val="5A1B6236"/>
    <w:rsid w:val="5A1D3D5C"/>
    <w:rsid w:val="5A1D5B0A"/>
    <w:rsid w:val="5A201A9E"/>
    <w:rsid w:val="5A315DCF"/>
    <w:rsid w:val="5A4412E8"/>
    <w:rsid w:val="5A5D684E"/>
    <w:rsid w:val="5A5E2E5F"/>
    <w:rsid w:val="5A6064B2"/>
    <w:rsid w:val="5A64198B"/>
    <w:rsid w:val="5A767910"/>
    <w:rsid w:val="5A8F01C0"/>
    <w:rsid w:val="5A9B1124"/>
    <w:rsid w:val="5AA601F5"/>
    <w:rsid w:val="5AA61F61"/>
    <w:rsid w:val="5AB21CD6"/>
    <w:rsid w:val="5ABE5915"/>
    <w:rsid w:val="5AC70298"/>
    <w:rsid w:val="5AC8016B"/>
    <w:rsid w:val="5ACE32A8"/>
    <w:rsid w:val="5AD36B10"/>
    <w:rsid w:val="5AF947C9"/>
    <w:rsid w:val="5AFE3B8D"/>
    <w:rsid w:val="5B1433B1"/>
    <w:rsid w:val="5B2B2C36"/>
    <w:rsid w:val="5B3026F0"/>
    <w:rsid w:val="5B413A7A"/>
    <w:rsid w:val="5B525C87"/>
    <w:rsid w:val="5B542761"/>
    <w:rsid w:val="5B5639C9"/>
    <w:rsid w:val="5B5A2D8E"/>
    <w:rsid w:val="5B5C70B7"/>
    <w:rsid w:val="5B5E63DA"/>
    <w:rsid w:val="5B637E94"/>
    <w:rsid w:val="5B6854AA"/>
    <w:rsid w:val="5B6D486F"/>
    <w:rsid w:val="5B764DB6"/>
    <w:rsid w:val="5B835E40"/>
    <w:rsid w:val="5BB678B0"/>
    <w:rsid w:val="5BD3501A"/>
    <w:rsid w:val="5BDE576D"/>
    <w:rsid w:val="5BE663CF"/>
    <w:rsid w:val="5BEC0B30"/>
    <w:rsid w:val="5BF40AEC"/>
    <w:rsid w:val="5BFE196B"/>
    <w:rsid w:val="5C1F025F"/>
    <w:rsid w:val="5C3E620B"/>
    <w:rsid w:val="5C4474B1"/>
    <w:rsid w:val="5C447CC6"/>
    <w:rsid w:val="5C4B482A"/>
    <w:rsid w:val="5C515F3F"/>
    <w:rsid w:val="5C5D3B6B"/>
    <w:rsid w:val="5C5F52A8"/>
    <w:rsid w:val="5C6043D4"/>
    <w:rsid w:val="5C606182"/>
    <w:rsid w:val="5C6610B5"/>
    <w:rsid w:val="5C677ECC"/>
    <w:rsid w:val="5C6A3D14"/>
    <w:rsid w:val="5C6A5252"/>
    <w:rsid w:val="5C6F122F"/>
    <w:rsid w:val="5C7A0B5D"/>
    <w:rsid w:val="5C7E485A"/>
    <w:rsid w:val="5C9D73D6"/>
    <w:rsid w:val="5C9F37A0"/>
    <w:rsid w:val="5CA51446"/>
    <w:rsid w:val="5CB06944"/>
    <w:rsid w:val="5CC20BEA"/>
    <w:rsid w:val="5CD728E8"/>
    <w:rsid w:val="5CEB1EEF"/>
    <w:rsid w:val="5CF90E52"/>
    <w:rsid w:val="5D1D22C5"/>
    <w:rsid w:val="5D281115"/>
    <w:rsid w:val="5D2B49E2"/>
    <w:rsid w:val="5D494E68"/>
    <w:rsid w:val="5D551A5E"/>
    <w:rsid w:val="5D582069"/>
    <w:rsid w:val="5D5C103F"/>
    <w:rsid w:val="5D635F29"/>
    <w:rsid w:val="5D700646"/>
    <w:rsid w:val="5D845EA0"/>
    <w:rsid w:val="5D8A795A"/>
    <w:rsid w:val="5D9500AD"/>
    <w:rsid w:val="5DA16A52"/>
    <w:rsid w:val="5DA30A1C"/>
    <w:rsid w:val="5DB04EE7"/>
    <w:rsid w:val="5DB524FD"/>
    <w:rsid w:val="5DC10D1E"/>
    <w:rsid w:val="5DC36F89"/>
    <w:rsid w:val="5DC82230"/>
    <w:rsid w:val="5DCD5A99"/>
    <w:rsid w:val="5DE85D16"/>
    <w:rsid w:val="5DF66D9E"/>
    <w:rsid w:val="5DF72B16"/>
    <w:rsid w:val="5E093950"/>
    <w:rsid w:val="5E0A2849"/>
    <w:rsid w:val="5E1831B8"/>
    <w:rsid w:val="5E1C432A"/>
    <w:rsid w:val="5E2002BE"/>
    <w:rsid w:val="5E39312E"/>
    <w:rsid w:val="5E3B2A02"/>
    <w:rsid w:val="5E483371"/>
    <w:rsid w:val="5E4C10B3"/>
    <w:rsid w:val="5E512226"/>
    <w:rsid w:val="5E554903"/>
    <w:rsid w:val="5E655CD1"/>
    <w:rsid w:val="5E7F6EA9"/>
    <w:rsid w:val="5E8E347A"/>
    <w:rsid w:val="5E96232F"/>
    <w:rsid w:val="5E99379F"/>
    <w:rsid w:val="5EA762EA"/>
    <w:rsid w:val="5EB97DCB"/>
    <w:rsid w:val="5EBB1D95"/>
    <w:rsid w:val="5EC46E9C"/>
    <w:rsid w:val="5EC7698C"/>
    <w:rsid w:val="5ED864A3"/>
    <w:rsid w:val="5EDF5A84"/>
    <w:rsid w:val="5EE04EFF"/>
    <w:rsid w:val="5EE65064"/>
    <w:rsid w:val="5EEE3F19"/>
    <w:rsid w:val="5F047298"/>
    <w:rsid w:val="5F1539F4"/>
    <w:rsid w:val="5F1576F7"/>
    <w:rsid w:val="5F17346F"/>
    <w:rsid w:val="5F2B0CC9"/>
    <w:rsid w:val="5F36141C"/>
    <w:rsid w:val="5F4104EC"/>
    <w:rsid w:val="5F530220"/>
    <w:rsid w:val="5F6146EB"/>
    <w:rsid w:val="5F677827"/>
    <w:rsid w:val="5F7523F5"/>
    <w:rsid w:val="5F8328B3"/>
    <w:rsid w:val="5F83527A"/>
    <w:rsid w:val="5F893C41"/>
    <w:rsid w:val="5F947E83"/>
    <w:rsid w:val="5FA62A45"/>
    <w:rsid w:val="5FA840C8"/>
    <w:rsid w:val="5FAC7A1F"/>
    <w:rsid w:val="5FC627A0"/>
    <w:rsid w:val="5FCA7075"/>
    <w:rsid w:val="5FEF619A"/>
    <w:rsid w:val="5FF437B1"/>
    <w:rsid w:val="60031C46"/>
    <w:rsid w:val="600A2FD4"/>
    <w:rsid w:val="600D6620"/>
    <w:rsid w:val="601E25DC"/>
    <w:rsid w:val="602776E2"/>
    <w:rsid w:val="602D281F"/>
    <w:rsid w:val="602F47E9"/>
    <w:rsid w:val="603747E8"/>
    <w:rsid w:val="60395667"/>
    <w:rsid w:val="604007A4"/>
    <w:rsid w:val="60483AFC"/>
    <w:rsid w:val="605D1356"/>
    <w:rsid w:val="60765F74"/>
    <w:rsid w:val="60A26D69"/>
    <w:rsid w:val="60A56743"/>
    <w:rsid w:val="60B30F76"/>
    <w:rsid w:val="60BB7E2A"/>
    <w:rsid w:val="60BC4655"/>
    <w:rsid w:val="60C76BAD"/>
    <w:rsid w:val="60CA62C0"/>
    <w:rsid w:val="60CC028A"/>
    <w:rsid w:val="60DA29A7"/>
    <w:rsid w:val="60EA6962"/>
    <w:rsid w:val="60F129E1"/>
    <w:rsid w:val="61061D24"/>
    <w:rsid w:val="610C4B2A"/>
    <w:rsid w:val="611A6979"/>
    <w:rsid w:val="611B7908"/>
    <w:rsid w:val="6129252B"/>
    <w:rsid w:val="61293DF3"/>
    <w:rsid w:val="6131633F"/>
    <w:rsid w:val="613D4CE3"/>
    <w:rsid w:val="61446072"/>
    <w:rsid w:val="6151078F"/>
    <w:rsid w:val="615A7643"/>
    <w:rsid w:val="615D0EE2"/>
    <w:rsid w:val="616C3E03"/>
    <w:rsid w:val="617032A7"/>
    <w:rsid w:val="618B3CA1"/>
    <w:rsid w:val="61952605"/>
    <w:rsid w:val="6198016C"/>
    <w:rsid w:val="619A4A8B"/>
    <w:rsid w:val="61A43C29"/>
    <w:rsid w:val="61A8755D"/>
    <w:rsid w:val="61AE798F"/>
    <w:rsid w:val="61B8077F"/>
    <w:rsid w:val="61C6117D"/>
    <w:rsid w:val="61D86E23"/>
    <w:rsid w:val="61ED495B"/>
    <w:rsid w:val="61F47A98"/>
    <w:rsid w:val="61F96E5C"/>
    <w:rsid w:val="61FC06FB"/>
    <w:rsid w:val="62053A53"/>
    <w:rsid w:val="621243C2"/>
    <w:rsid w:val="621C0D9D"/>
    <w:rsid w:val="622A170C"/>
    <w:rsid w:val="624125B1"/>
    <w:rsid w:val="624848AC"/>
    <w:rsid w:val="624A76B8"/>
    <w:rsid w:val="62685D90"/>
    <w:rsid w:val="628C4E46"/>
    <w:rsid w:val="62913539"/>
    <w:rsid w:val="62943029"/>
    <w:rsid w:val="62966DA1"/>
    <w:rsid w:val="62976675"/>
    <w:rsid w:val="62A766D6"/>
    <w:rsid w:val="62A82630"/>
    <w:rsid w:val="62AE40EB"/>
    <w:rsid w:val="62B60CD4"/>
    <w:rsid w:val="62B64D4D"/>
    <w:rsid w:val="62C751AC"/>
    <w:rsid w:val="62D90A3C"/>
    <w:rsid w:val="62DE42A4"/>
    <w:rsid w:val="62FA71D7"/>
    <w:rsid w:val="62FB09B2"/>
    <w:rsid w:val="62FE04A2"/>
    <w:rsid w:val="63043D0B"/>
    <w:rsid w:val="63133F4E"/>
    <w:rsid w:val="63180A74"/>
    <w:rsid w:val="631D4DCC"/>
    <w:rsid w:val="631D6B7A"/>
    <w:rsid w:val="6324615B"/>
    <w:rsid w:val="63416D0D"/>
    <w:rsid w:val="63443DB1"/>
    <w:rsid w:val="634467FD"/>
    <w:rsid w:val="635602DE"/>
    <w:rsid w:val="635B76A3"/>
    <w:rsid w:val="636D5D54"/>
    <w:rsid w:val="63715118"/>
    <w:rsid w:val="63972DD1"/>
    <w:rsid w:val="639808F7"/>
    <w:rsid w:val="639926E5"/>
    <w:rsid w:val="63A24205"/>
    <w:rsid w:val="63A4104A"/>
    <w:rsid w:val="63A4729C"/>
    <w:rsid w:val="63A93D81"/>
    <w:rsid w:val="63AC7EFE"/>
    <w:rsid w:val="63E47698"/>
    <w:rsid w:val="63E638BD"/>
    <w:rsid w:val="63FD075A"/>
    <w:rsid w:val="63FE4BFE"/>
    <w:rsid w:val="64061D04"/>
    <w:rsid w:val="640B10C9"/>
    <w:rsid w:val="64130C6A"/>
    <w:rsid w:val="64170550"/>
    <w:rsid w:val="64195DD7"/>
    <w:rsid w:val="641A755E"/>
    <w:rsid w:val="642301C1"/>
    <w:rsid w:val="642D7291"/>
    <w:rsid w:val="643248A8"/>
    <w:rsid w:val="643C74D4"/>
    <w:rsid w:val="64410F8F"/>
    <w:rsid w:val="644A7E43"/>
    <w:rsid w:val="645159F8"/>
    <w:rsid w:val="649C61C5"/>
    <w:rsid w:val="64A2464C"/>
    <w:rsid w:val="64A37553"/>
    <w:rsid w:val="64B11C70"/>
    <w:rsid w:val="64B27796"/>
    <w:rsid w:val="64C0117D"/>
    <w:rsid w:val="64C33752"/>
    <w:rsid w:val="64C53862"/>
    <w:rsid w:val="64CA2D32"/>
    <w:rsid w:val="64CC0858"/>
    <w:rsid w:val="64D616D7"/>
    <w:rsid w:val="64D64FF8"/>
    <w:rsid w:val="64DE2926"/>
    <w:rsid w:val="64E21E2A"/>
    <w:rsid w:val="64E77440"/>
    <w:rsid w:val="64EC0EFA"/>
    <w:rsid w:val="64EE4C72"/>
    <w:rsid w:val="64FA7D9A"/>
    <w:rsid w:val="65000502"/>
    <w:rsid w:val="65053FDE"/>
    <w:rsid w:val="65085608"/>
    <w:rsid w:val="65167D25"/>
    <w:rsid w:val="65257F68"/>
    <w:rsid w:val="652F2B95"/>
    <w:rsid w:val="65387C9C"/>
    <w:rsid w:val="654A5952"/>
    <w:rsid w:val="654E25D6"/>
    <w:rsid w:val="65530F79"/>
    <w:rsid w:val="655874CF"/>
    <w:rsid w:val="655A40B6"/>
    <w:rsid w:val="657A02B4"/>
    <w:rsid w:val="65896749"/>
    <w:rsid w:val="65913850"/>
    <w:rsid w:val="65991AC5"/>
    <w:rsid w:val="65A96DEB"/>
    <w:rsid w:val="65AB4911"/>
    <w:rsid w:val="65C07D27"/>
    <w:rsid w:val="65E47E23"/>
    <w:rsid w:val="65F86A28"/>
    <w:rsid w:val="66081D64"/>
    <w:rsid w:val="663568D1"/>
    <w:rsid w:val="66402691"/>
    <w:rsid w:val="664A412A"/>
    <w:rsid w:val="66560D21"/>
    <w:rsid w:val="6657323F"/>
    <w:rsid w:val="66640DFB"/>
    <w:rsid w:val="667473F9"/>
    <w:rsid w:val="667D5043"/>
    <w:rsid w:val="668A09CB"/>
    <w:rsid w:val="668A0D22"/>
    <w:rsid w:val="668E417E"/>
    <w:rsid w:val="669727D3"/>
    <w:rsid w:val="669E4476"/>
    <w:rsid w:val="66A31A8D"/>
    <w:rsid w:val="66B43C9A"/>
    <w:rsid w:val="66B9305E"/>
    <w:rsid w:val="66BA3EC8"/>
    <w:rsid w:val="66BC66AA"/>
    <w:rsid w:val="66C8504F"/>
    <w:rsid w:val="66D85C74"/>
    <w:rsid w:val="66E83943"/>
    <w:rsid w:val="66FE6CC3"/>
    <w:rsid w:val="66FF570B"/>
    <w:rsid w:val="670755B5"/>
    <w:rsid w:val="670D42A8"/>
    <w:rsid w:val="670D6F2C"/>
    <w:rsid w:val="67270AFC"/>
    <w:rsid w:val="674C7A2E"/>
    <w:rsid w:val="67501217"/>
    <w:rsid w:val="67512EAC"/>
    <w:rsid w:val="676254A4"/>
    <w:rsid w:val="67656598"/>
    <w:rsid w:val="67670D0C"/>
    <w:rsid w:val="677F6056"/>
    <w:rsid w:val="67831B44"/>
    <w:rsid w:val="67A1421E"/>
    <w:rsid w:val="67A41618"/>
    <w:rsid w:val="67B101D9"/>
    <w:rsid w:val="67BC1058"/>
    <w:rsid w:val="67CA4DF7"/>
    <w:rsid w:val="67CB129B"/>
    <w:rsid w:val="67CC5B90"/>
    <w:rsid w:val="67DD5273"/>
    <w:rsid w:val="67F24A7A"/>
    <w:rsid w:val="67F72090"/>
    <w:rsid w:val="67F97282"/>
    <w:rsid w:val="68011532"/>
    <w:rsid w:val="68142C42"/>
    <w:rsid w:val="68324D3D"/>
    <w:rsid w:val="683C06D5"/>
    <w:rsid w:val="683F3A37"/>
    <w:rsid w:val="685327C0"/>
    <w:rsid w:val="686211F7"/>
    <w:rsid w:val="6864524C"/>
    <w:rsid w:val="686D2352"/>
    <w:rsid w:val="686E4E9E"/>
    <w:rsid w:val="6874548F"/>
    <w:rsid w:val="689F0032"/>
    <w:rsid w:val="68AB4C28"/>
    <w:rsid w:val="68B47F81"/>
    <w:rsid w:val="68C87588"/>
    <w:rsid w:val="68D0468F"/>
    <w:rsid w:val="68E32614"/>
    <w:rsid w:val="68E51EE8"/>
    <w:rsid w:val="68E87C2B"/>
    <w:rsid w:val="68F24605"/>
    <w:rsid w:val="68F77E6E"/>
    <w:rsid w:val="68F85BA3"/>
    <w:rsid w:val="68FB170C"/>
    <w:rsid w:val="69020CEC"/>
    <w:rsid w:val="691064AF"/>
    <w:rsid w:val="69130040"/>
    <w:rsid w:val="692F5AF2"/>
    <w:rsid w:val="693C6DF1"/>
    <w:rsid w:val="69643755"/>
    <w:rsid w:val="696574CD"/>
    <w:rsid w:val="69715E72"/>
    <w:rsid w:val="69756720"/>
    <w:rsid w:val="6978240C"/>
    <w:rsid w:val="69A41627"/>
    <w:rsid w:val="69AA3132"/>
    <w:rsid w:val="69AE677E"/>
    <w:rsid w:val="69B813AB"/>
    <w:rsid w:val="69C50226"/>
    <w:rsid w:val="69CA7330"/>
    <w:rsid w:val="69DD542E"/>
    <w:rsid w:val="69EE1271"/>
    <w:rsid w:val="69F34AD9"/>
    <w:rsid w:val="69F54873"/>
    <w:rsid w:val="69FC1BE0"/>
    <w:rsid w:val="69FF347E"/>
    <w:rsid w:val="6A0818EE"/>
    <w:rsid w:val="6A0B1E23"/>
    <w:rsid w:val="6A0B6727"/>
    <w:rsid w:val="6A102F95"/>
    <w:rsid w:val="6A1B6DF7"/>
    <w:rsid w:val="6A356EA0"/>
    <w:rsid w:val="6A4663F4"/>
    <w:rsid w:val="6A4B68EB"/>
    <w:rsid w:val="6A590DE0"/>
    <w:rsid w:val="6A617C95"/>
    <w:rsid w:val="6A740BDF"/>
    <w:rsid w:val="6A7B723E"/>
    <w:rsid w:val="6A8120E5"/>
    <w:rsid w:val="6A9C6F1F"/>
    <w:rsid w:val="6AA67D9D"/>
    <w:rsid w:val="6AA87672"/>
    <w:rsid w:val="6AAE36B0"/>
    <w:rsid w:val="6ABB15B5"/>
    <w:rsid w:val="6AC12A02"/>
    <w:rsid w:val="6AC35F93"/>
    <w:rsid w:val="6AC55E0A"/>
    <w:rsid w:val="6AC65D4A"/>
    <w:rsid w:val="6ACB165E"/>
    <w:rsid w:val="6ACC472E"/>
    <w:rsid w:val="6AEE2803"/>
    <w:rsid w:val="6AF01018"/>
    <w:rsid w:val="6B1116BB"/>
    <w:rsid w:val="6B16219E"/>
    <w:rsid w:val="6B1914C1"/>
    <w:rsid w:val="6B20545A"/>
    <w:rsid w:val="6B2632AB"/>
    <w:rsid w:val="6B451364"/>
    <w:rsid w:val="6B480E55"/>
    <w:rsid w:val="6B551715"/>
    <w:rsid w:val="6B596BBE"/>
    <w:rsid w:val="6B5B0B88"/>
    <w:rsid w:val="6B6D6ED0"/>
    <w:rsid w:val="6B737C7F"/>
    <w:rsid w:val="6B7457A6"/>
    <w:rsid w:val="6B7C465A"/>
    <w:rsid w:val="6B8754D9"/>
    <w:rsid w:val="6B8E2D0B"/>
    <w:rsid w:val="6B9D4848"/>
    <w:rsid w:val="6BC32289"/>
    <w:rsid w:val="6BCF6E80"/>
    <w:rsid w:val="6BDD77EF"/>
    <w:rsid w:val="6BDF3567"/>
    <w:rsid w:val="6BDF70C3"/>
    <w:rsid w:val="6BE20E22"/>
    <w:rsid w:val="6BE40B7D"/>
    <w:rsid w:val="6BF15048"/>
    <w:rsid w:val="6BF81721"/>
    <w:rsid w:val="6C044D7B"/>
    <w:rsid w:val="6C054650"/>
    <w:rsid w:val="6C0905E4"/>
    <w:rsid w:val="6C0C1E82"/>
    <w:rsid w:val="6C240CCC"/>
    <w:rsid w:val="6C24719F"/>
    <w:rsid w:val="6C35427F"/>
    <w:rsid w:val="6C3F7943"/>
    <w:rsid w:val="6C4B29AA"/>
    <w:rsid w:val="6C5572FF"/>
    <w:rsid w:val="6C5F1FB2"/>
    <w:rsid w:val="6C692E30"/>
    <w:rsid w:val="6C6B4DFB"/>
    <w:rsid w:val="6C7A503E"/>
    <w:rsid w:val="6C7C0DB6"/>
    <w:rsid w:val="6C7C2B64"/>
    <w:rsid w:val="6C89702F"/>
    <w:rsid w:val="6C8C747A"/>
    <w:rsid w:val="6CBE13CE"/>
    <w:rsid w:val="6CC10EBE"/>
    <w:rsid w:val="6CC3306C"/>
    <w:rsid w:val="6CDE737B"/>
    <w:rsid w:val="6CDF1345"/>
    <w:rsid w:val="6CF21078"/>
    <w:rsid w:val="6CF43042"/>
    <w:rsid w:val="6CFF5543"/>
    <w:rsid w:val="6D0D4676"/>
    <w:rsid w:val="6D1B3FAB"/>
    <w:rsid w:val="6D350F65"/>
    <w:rsid w:val="6D433682"/>
    <w:rsid w:val="6D5533B5"/>
    <w:rsid w:val="6D5C4743"/>
    <w:rsid w:val="6D6261FE"/>
    <w:rsid w:val="6D657A9C"/>
    <w:rsid w:val="6D6A3304"/>
    <w:rsid w:val="6D7D3037"/>
    <w:rsid w:val="6DA94D8B"/>
    <w:rsid w:val="6DAA54AF"/>
    <w:rsid w:val="6DB92513"/>
    <w:rsid w:val="6DBD0405"/>
    <w:rsid w:val="6DC24EEE"/>
    <w:rsid w:val="6DDC73A2"/>
    <w:rsid w:val="6DEA7FA1"/>
    <w:rsid w:val="6DF31F9A"/>
    <w:rsid w:val="6DF826BE"/>
    <w:rsid w:val="6DFE6BFE"/>
    <w:rsid w:val="6E0D584D"/>
    <w:rsid w:val="6E11552E"/>
    <w:rsid w:val="6E2434B3"/>
    <w:rsid w:val="6E2C2368"/>
    <w:rsid w:val="6E435AAD"/>
    <w:rsid w:val="6E4E22DE"/>
    <w:rsid w:val="6E510020"/>
    <w:rsid w:val="6E526272"/>
    <w:rsid w:val="6E602011"/>
    <w:rsid w:val="6E62222D"/>
    <w:rsid w:val="6E657628"/>
    <w:rsid w:val="6E6733A0"/>
    <w:rsid w:val="6E6E0BD2"/>
    <w:rsid w:val="6E7D5DF0"/>
    <w:rsid w:val="6E801A40"/>
    <w:rsid w:val="6E8E4DD0"/>
    <w:rsid w:val="6E900B48"/>
    <w:rsid w:val="6EAB3EB2"/>
    <w:rsid w:val="6EAC4873"/>
    <w:rsid w:val="6EBE3907"/>
    <w:rsid w:val="6EC32CCC"/>
    <w:rsid w:val="6EC46A44"/>
    <w:rsid w:val="6ED22F0F"/>
    <w:rsid w:val="6ED8429D"/>
    <w:rsid w:val="6EE449F0"/>
    <w:rsid w:val="6EEE3AC1"/>
    <w:rsid w:val="6EF74724"/>
    <w:rsid w:val="6F184237"/>
    <w:rsid w:val="6F1A48B6"/>
    <w:rsid w:val="6F2E031C"/>
    <w:rsid w:val="6F304979"/>
    <w:rsid w:val="6F3F60CB"/>
    <w:rsid w:val="6F4162E7"/>
    <w:rsid w:val="6F487EA1"/>
    <w:rsid w:val="6F6618A9"/>
    <w:rsid w:val="6F6A75EB"/>
    <w:rsid w:val="6F755A7E"/>
    <w:rsid w:val="6F810491"/>
    <w:rsid w:val="6F9401C4"/>
    <w:rsid w:val="6F9B59F7"/>
    <w:rsid w:val="6F9E7295"/>
    <w:rsid w:val="6FAA5C3A"/>
    <w:rsid w:val="6FAB550E"/>
    <w:rsid w:val="6FAC19B2"/>
    <w:rsid w:val="6FB10D76"/>
    <w:rsid w:val="6FB22D40"/>
    <w:rsid w:val="6FB420A1"/>
    <w:rsid w:val="6FEC0000"/>
    <w:rsid w:val="6FEC1DAE"/>
    <w:rsid w:val="6FEC6252"/>
    <w:rsid w:val="6FF02FF0"/>
    <w:rsid w:val="6FF60E7F"/>
    <w:rsid w:val="6FF944CB"/>
    <w:rsid w:val="70031191"/>
    <w:rsid w:val="700A492A"/>
    <w:rsid w:val="70180D6C"/>
    <w:rsid w:val="70186481"/>
    <w:rsid w:val="701B6B38"/>
    <w:rsid w:val="70307576"/>
    <w:rsid w:val="70311A53"/>
    <w:rsid w:val="7034602B"/>
    <w:rsid w:val="70390D6C"/>
    <w:rsid w:val="703B0F88"/>
    <w:rsid w:val="703E3AEF"/>
    <w:rsid w:val="70467D11"/>
    <w:rsid w:val="705067E1"/>
    <w:rsid w:val="70673B2B"/>
    <w:rsid w:val="706A53C9"/>
    <w:rsid w:val="706B361B"/>
    <w:rsid w:val="7070233C"/>
    <w:rsid w:val="707029DF"/>
    <w:rsid w:val="70785D38"/>
    <w:rsid w:val="707D6A8A"/>
    <w:rsid w:val="70875F7B"/>
    <w:rsid w:val="708C3591"/>
    <w:rsid w:val="708E2E66"/>
    <w:rsid w:val="70AE175A"/>
    <w:rsid w:val="70B84386"/>
    <w:rsid w:val="70BB79D3"/>
    <w:rsid w:val="70C8281B"/>
    <w:rsid w:val="70D41E8E"/>
    <w:rsid w:val="70D8038D"/>
    <w:rsid w:val="70DA4916"/>
    <w:rsid w:val="70DC1E23"/>
    <w:rsid w:val="70E84C6C"/>
    <w:rsid w:val="70EE591B"/>
    <w:rsid w:val="70F03B20"/>
    <w:rsid w:val="71175551"/>
    <w:rsid w:val="712832BA"/>
    <w:rsid w:val="713A4D9B"/>
    <w:rsid w:val="713E488C"/>
    <w:rsid w:val="71455837"/>
    <w:rsid w:val="71485438"/>
    <w:rsid w:val="714D4ACF"/>
    <w:rsid w:val="71600CA6"/>
    <w:rsid w:val="717464FF"/>
    <w:rsid w:val="7185070D"/>
    <w:rsid w:val="71AC4222"/>
    <w:rsid w:val="71B81C2B"/>
    <w:rsid w:val="71D60F68"/>
    <w:rsid w:val="71D64AC4"/>
    <w:rsid w:val="71DC40DB"/>
    <w:rsid w:val="71E116BB"/>
    <w:rsid w:val="71EA4A14"/>
    <w:rsid w:val="71F907B3"/>
    <w:rsid w:val="720F7FD6"/>
    <w:rsid w:val="721455EC"/>
    <w:rsid w:val="721B697B"/>
    <w:rsid w:val="722021E3"/>
    <w:rsid w:val="72404633"/>
    <w:rsid w:val="72480C3E"/>
    <w:rsid w:val="724D0AFE"/>
    <w:rsid w:val="72531E58"/>
    <w:rsid w:val="72712A3F"/>
    <w:rsid w:val="727748AE"/>
    <w:rsid w:val="727B1B10"/>
    <w:rsid w:val="727B3360"/>
    <w:rsid w:val="727D3192"/>
    <w:rsid w:val="72850298"/>
    <w:rsid w:val="72874010"/>
    <w:rsid w:val="728C62A4"/>
    <w:rsid w:val="72A723C4"/>
    <w:rsid w:val="72AC7F1B"/>
    <w:rsid w:val="72C25048"/>
    <w:rsid w:val="72DD1E82"/>
    <w:rsid w:val="72F1592E"/>
    <w:rsid w:val="72F571CC"/>
    <w:rsid w:val="72FF44EF"/>
    <w:rsid w:val="73025D8D"/>
    <w:rsid w:val="730D09BA"/>
    <w:rsid w:val="731410BE"/>
    <w:rsid w:val="73357F10"/>
    <w:rsid w:val="733632F4"/>
    <w:rsid w:val="733A1083"/>
    <w:rsid w:val="73440153"/>
    <w:rsid w:val="734819F2"/>
    <w:rsid w:val="734B14E2"/>
    <w:rsid w:val="73552361"/>
    <w:rsid w:val="73685BF0"/>
    <w:rsid w:val="736F184F"/>
    <w:rsid w:val="737C78ED"/>
    <w:rsid w:val="739130AC"/>
    <w:rsid w:val="739764D5"/>
    <w:rsid w:val="73CA7F93"/>
    <w:rsid w:val="73D03795"/>
    <w:rsid w:val="73E57241"/>
    <w:rsid w:val="73EB6821"/>
    <w:rsid w:val="73FE47A6"/>
    <w:rsid w:val="741B0EB4"/>
    <w:rsid w:val="74231984"/>
    <w:rsid w:val="74237D69"/>
    <w:rsid w:val="7424449E"/>
    <w:rsid w:val="742B02D3"/>
    <w:rsid w:val="742F2BB2"/>
    <w:rsid w:val="74404DBF"/>
    <w:rsid w:val="74406B6D"/>
    <w:rsid w:val="744228E5"/>
    <w:rsid w:val="7460720F"/>
    <w:rsid w:val="74726D68"/>
    <w:rsid w:val="747D1B6F"/>
    <w:rsid w:val="74822CE1"/>
    <w:rsid w:val="748C1DB2"/>
    <w:rsid w:val="74942A15"/>
    <w:rsid w:val="749A44CF"/>
    <w:rsid w:val="74A215D5"/>
    <w:rsid w:val="74A569D0"/>
    <w:rsid w:val="74AC1D04"/>
    <w:rsid w:val="74B66E2F"/>
    <w:rsid w:val="74DB6895"/>
    <w:rsid w:val="74F51705"/>
    <w:rsid w:val="74F57957"/>
    <w:rsid w:val="74F6722B"/>
    <w:rsid w:val="750951B1"/>
    <w:rsid w:val="752F269A"/>
    <w:rsid w:val="75377F70"/>
    <w:rsid w:val="754B58AE"/>
    <w:rsid w:val="754E350B"/>
    <w:rsid w:val="755328D0"/>
    <w:rsid w:val="755C79D6"/>
    <w:rsid w:val="75834F63"/>
    <w:rsid w:val="75842A89"/>
    <w:rsid w:val="75976EEA"/>
    <w:rsid w:val="75B50E95"/>
    <w:rsid w:val="75B96BD7"/>
    <w:rsid w:val="75BA64AB"/>
    <w:rsid w:val="75C31803"/>
    <w:rsid w:val="75D05CCE"/>
    <w:rsid w:val="75D237F5"/>
    <w:rsid w:val="75DF5F11"/>
    <w:rsid w:val="75E16795"/>
    <w:rsid w:val="75F54112"/>
    <w:rsid w:val="760F2C9B"/>
    <w:rsid w:val="76120095"/>
    <w:rsid w:val="76157B85"/>
    <w:rsid w:val="76191423"/>
    <w:rsid w:val="762B1157"/>
    <w:rsid w:val="7634625D"/>
    <w:rsid w:val="7640690F"/>
    <w:rsid w:val="76472434"/>
    <w:rsid w:val="768A40CF"/>
    <w:rsid w:val="769136B0"/>
    <w:rsid w:val="76946CFC"/>
    <w:rsid w:val="76A72ED3"/>
    <w:rsid w:val="76B80C3C"/>
    <w:rsid w:val="76C577E3"/>
    <w:rsid w:val="76C577FD"/>
    <w:rsid w:val="76EE28B0"/>
    <w:rsid w:val="76FF4ABD"/>
    <w:rsid w:val="76FF686B"/>
    <w:rsid w:val="770C2D36"/>
    <w:rsid w:val="770D2280"/>
    <w:rsid w:val="770F482D"/>
    <w:rsid w:val="77130569"/>
    <w:rsid w:val="771F0CBB"/>
    <w:rsid w:val="771F5FF7"/>
    <w:rsid w:val="77324E93"/>
    <w:rsid w:val="77456248"/>
    <w:rsid w:val="774C75D7"/>
    <w:rsid w:val="776C1A27"/>
    <w:rsid w:val="776D5ECB"/>
    <w:rsid w:val="776E39F1"/>
    <w:rsid w:val="777A3AF4"/>
    <w:rsid w:val="778D5A00"/>
    <w:rsid w:val="77955421"/>
    <w:rsid w:val="77A47413"/>
    <w:rsid w:val="77B2760C"/>
    <w:rsid w:val="77C83101"/>
    <w:rsid w:val="77D21DDF"/>
    <w:rsid w:val="77D53A70"/>
    <w:rsid w:val="77DB5DA8"/>
    <w:rsid w:val="77EB2CC5"/>
    <w:rsid w:val="77F02658"/>
    <w:rsid w:val="77F75794"/>
    <w:rsid w:val="77FE6B23"/>
    <w:rsid w:val="781635B6"/>
    <w:rsid w:val="78197E01"/>
    <w:rsid w:val="78232389"/>
    <w:rsid w:val="782D11B6"/>
    <w:rsid w:val="782F13D2"/>
    <w:rsid w:val="78324A1E"/>
    <w:rsid w:val="7835388F"/>
    <w:rsid w:val="78356FD9"/>
    <w:rsid w:val="785106A3"/>
    <w:rsid w:val="78656BA2"/>
    <w:rsid w:val="786B4497"/>
    <w:rsid w:val="78782D79"/>
    <w:rsid w:val="7879264D"/>
    <w:rsid w:val="787B48AE"/>
    <w:rsid w:val="78822056"/>
    <w:rsid w:val="78857244"/>
    <w:rsid w:val="788A485A"/>
    <w:rsid w:val="78AF42C1"/>
    <w:rsid w:val="78B10039"/>
    <w:rsid w:val="78D54C2C"/>
    <w:rsid w:val="78D855C6"/>
    <w:rsid w:val="78E0447A"/>
    <w:rsid w:val="78E21FA1"/>
    <w:rsid w:val="78E73A5B"/>
    <w:rsid w:val="78E8332F"/>
    <w:rsid w:val="78EE69F9"/>
    <w:rsid w:val="78FB3062"/>
    <w:rsid w:val="7908577F"/>
    <w:rsid w:val="791B54B2"/>
    <w:rsid w:val="79224A93"/>
    <w:rsid w:val="793D18CD"/>
    <w:rsid w:val="79586707"/>
    <w:rsid w:val="795D4AF4"/>
    <w:rsid w:val="796230E1"/>
    <w:rsid w:val="79627585"/>
    <w:rsid w:val="797D616D"/>
    <w:rsid w:val="798E037A"/>
    <w:rsid w:val="799068BA"/>
    <w:rsid w:val="79921C19"/>
    <w:rsid w:val="79986B03"/>
    <w:rsid w:val="799E680F"/>
    <w:rsid w:val="799F7E92"/>
    <w:rsid w:val="79C02106"/>
    <w:rsid w:val="79C97604"/>
    <w:rsid w:val="79D94DF8"/>
    <w:rsid w:val="79E215C8"/>
    <w:rsid w:val="79F15C6F"/>
    <w:rsid w:val="7A1F7224"/>
    <w:rsid w:val="7A2605B3"/>
    <w:rsid w:val="7A2B7977"/>
    <w:rsid w:val="7A304F8E"/>
    <w:rsid w:val="7A4078C7"/>
    <w:rsid w:val="7A47723D"/>
    <w:rsid w:val="7A48677B"/>
    <w:rsid w:val="7A543372"/>
    <w:rsid w:val="7A5B64AE"/>
    <w:rsid w:val="7A5C3FD5"/>
    <w:rsid w:val="7A5E5F9F"/>
    <w:rsid w:val="7A603AC5"/>
    <w:rsid w:val="7A634DEF"/>
    <w:rsid w:val="7A68361F"/>
    <w:rsid w:val="7A6A66F1"/>
    <w:rsid w:val="7A76726B"/>
    <w:rsid w:val="7A794B87"/>
    <w:rsid w:val="7A811C8D"/>
    <w:rsid w:val="7A8D23E0"/>
    <w:rsid w:val="7AA02113"/>
    <w:rsid w:val="7AB318C3"/>
    <w:rsid w:val="7AC3623D"/>
    <w:rsid w:val="7AC47CB0"/>
    <w:rsid w:val="7ACF29F8"/>
    <w:rsid w:val="7AD149C3"/>
    <w:rsid w:val="7AE53FCA"/>
    <w:rsid w:val="7AF31F44"/>
    <w:rsid w:val="7B136D89"/>
    <w:rsid w:val="7B1C223C"/>
    <w:rsid w:val="7B1D5512"/>
    <w:rsid w:val="7B242D44"/>
    <w:rsid w:val="7B2A5E81"/>
    <w:rsid w:val="7B2A7C2F"/>
    <w:rsid w:val="7B346CFF"/>
    <w:rsid w:val="7B3D5BB4"/>
    <w:rsid w:val="7B4A02D1"/>
    <w:rsid w:val="7B4C246F"/>
    <w:rsid w:val="7B551150"/>
    <w:rsid w:val="7B607AF4"/>
    <w:rsid w:val="7B6273C9"/>
    <w:rsid w:val="7B7443BE"/>
    <w:rsid w:val="7B7A2964"/>
    <w:rsid w:val="7B811F45"/>
    <w:rsid w:val="7B827A6B"/>
    <w:rsid w:val="7B835FAF"/>
    <w:rsid w:val="7B8E4662"/>
    <w:rsid w:val="7B9003DA"/>
    <w:rsid w:val="7BB660FE"/>
    <w:rsid w:val="7BCC0CE6"/>
    <w:rsid w:val="7BCF7EBA"/>
    <w:rsid w:val="7BD34156"/>
    <w:rsid w:val="7BE415E4"/>
    <w:rsid w:val="7C0B7A60"/>
    <w:rsid w:val="7C102615"/>
    <w:rsid w:val="7C1035CA"/>
    <w:rsid w:val="7C174657"/>
    <w:rsid w:val="7C183F2B"/>
    <w:rsid w:val="7C1903CF"/>
    <w:rsid w:val="7C2B5911"/>
    <w:rsid w:val="7C2F7ACB"/>
    <w:rsid w:val="7C4411C4"/>
    <w:rsid w:val="7C484810"/>
    <w:rsid w:val="7C490589"/>
    <w:rsid w:val="7C58515C"/>
    <w:rsid w:val="7C5C650E"/>
    <w:rsid w:val="7C752D98"/>
    <w:rsid w:val="7C7575D0"/>
    <w:rsid w:val="7C833A9B"/>
    <w:rsid w:val="7C8A307B"/>
    <w:rsid w:val="7C8C4FBD"/>
    <w:rsid w:val="7C9061B7"/>
    <w:rsid w:val="7C925CB0"/>
    <w:rsid w:val="7C9E0D5B"/>
    <w:rsid w:val="7CB11CDC"/>
    <w:rsid w:val="7CC0084B"/>
    <w:rsid w:val="7CD9190C"/>
    <w:rsid w:val="7CE704CD"/>
    <w:rsid w:val="7CE7227B"/>
    <w:rsid w:val="7CEF2EDE"/>
    <w:rsid w:val="7CF90201"/>
    <w:rsid w:val="7D0970D9"/>
    <w:rsid w:val="7D0B2034"/>
    <w:rsid w:val="7D11554A"/>
    <w:rsid w:val="7D1B1F25"/>
    <w:rsid w:val="7D346563"/>
    <w:rsid w:val="7D425704"/>
    <w:rsid w:val="7D431C3D"/>
    <w:rsid w:val="7D496A92"/>
    <w:rsid w:val="7D4A45B8"/>
    <w:rsid w:val="7D545437"/>
    <w:rsid w:val="7D5611AF"/>
    <w:rsid w:val="7D5E1E12"/>
    <w:rsid w:val="7D7426FB"/>
    <w:rsid w:val="7D7F0706"/>
    <w:rsid w:val="7D847ACA"/>
    <w:rsid w:val="7D8775BA"/>
    <w:rsid w:val="7D8C70DD"/>
    <w:rsid w:val="7DA97531"/>
    <w:rsid w:val="7DDC0C74"/>
    <w:rsid w:val="7DE06322"/>
    <w:rsid w:val="7DE844FD"/>
    <w:rsid w:val="7DFA0B29"/>
    <w:rsid w:val="7E062BD5"/>
    <w:rsid w:val="7E074257"/>
    <w:rsid w:val="7E0A192A"/>
    <w:rsid w:val="7E156974"/>
    <w:rsid w:val="7E18414C"/>
    <w:rsid w:val="7E2453C6"/>
    <w:rsid w:val="7E274B82"/>
    <w:rsid w:val="7E2E5C88"/>
    <w:rsid w:val="7E396311"/>
    <w:rsid w:val="7E4116E9"/>
    <w:rsid w:val="7E484F9C"/>
    <w:rsid w:val="7E512856"/>
    <w:rsid w:val="7E5576B9"/>
    <w:rsid w:val="7E6006FA"/>
    <w:rsid w:val="7E61605D"/>
    <w:rsid w:val="7E703A13"/>
    <w:rsid w:val="7E865AC4"/>
    <w:rsid w:val="7E906943"/>
    <w:rsid w:val="7E9F0934"/>
    <w:rsid w:val="7EA01097"/>
    <w:rsid w:val="7EB10D93"/>
    <w:rsid w:val="7EBA6943"/>
    <w:rsid w:val="7EC46E34"/>
    <w:rsid w:val="7EC55C1F"/>
    <w:rsid w:val="7ED37BB4"/>
    <w:rsid w:val="7EF931C4"/>
    <w:rsid w:val="7EFE3F33"/>
    <w:rsid w:val="7F1B445E"/>
    <w:rsid w:val="7F1C3D32"/>
    <w:rsid w:val="7F364DF4"/>
    <w:rsid w:val="7F3B68AE"/>
    <w:rsid w:val="7F4A4D43"/>
    <w:rsid w:val="7F5160D2"/>
    <w:rsid w:val="7F54171E"/>
    <w:rsid w:val="7F547E3F"/>
    <w:rsid w:val="7F6D458E"/>
    <w:rsid w:val="7F7122D0"/>
    <w:rsid w:val="7FA20B0C"/>
    <w:rsid w:val="7FAE1070"/>
    <w:rsid w:val="7FAE7080"/>
    <w:rsid w:val="7FB0104A"/>
    <w:rsid w:val="7FB1091F"/>
    <w:rsid w:val="7FB349D3"/>
    <w:rsid w:val="7FC06615"/>
    <w:rsid w:val="7FC20D7E"/>
    <w:rsid w:val="7FC248DA"/>
    <w:rsid w:val="7FDF36DE"/>
    <w:rsid w:val="7FE117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8">
    <w:name w:val="heading 1"/>
    <w:basedOn w:val="1"/>
    <w:next w:val="1"/>
    <w:link w:val="51"/>
    <w:qFormat/>
    <w:uiPriority w:val="99"/>
    <w:pPr>
      <w:keepNext/>
      <w:keepLines/>
      <w:spacing w:line="576" w:lineRule="auto"/>
      <w:outlineLvl w:val="0"/>
    </w:pPr>
    <w:rPr>
      <w:rFonts w:ascii="Calibri" w:hAnsi="Calibri" w:eastAsia="宋体" w:cs="Calibri"/>
      <w:b/>
      <w:bCs/>
      <w:kern w:val="44"/>
      <w:sz w:val="44"/>
      <w:szCs w:val="44"/>
      <w:lang w:val="en-US" w:eastAsia="zh-CN" w:bidi="ar-SA"/>
    </w:rPr>
  </w:style>
  <w:style w:type="paragraph" w:styleId="9">
    <w:name w:val="heading 2"/>
    <w:basedOn w:val="1"/>
    <w:next w:val="10"/>
    <w:link w:val="52"/>
    <w:qFormat/>
    <w:uiPriority w:val="99"/>
    <w:pPr>
      <w:keepNext/>
      <w:spacing w:line="216" w:lineRule="auto"/>
      <w:outlineLvl w:val="1"/>
    </w:pPr>
    <w:rPr>
      <w:rFonts w:ascii="宋体" w:hAnsi="宋体" w:cs="宋体"/>
      <w:b/>
      <w:bCs/>
      <w:sz w:val="24"/>
      <w:szCs w:val="28"/>
    </w:rPr>
  </w:style>
  <w:style w:type="paragraph" w:styleId="11">
    <w:name w:val="heading 3"/>
    <w:basedOn w:val="1"/>
    <w:next w:val="1"/>
    <w:link w:val="53"/>
    <w:qFormat/>
    <w:uiPriority w:val="99"/>
    <w:pPr>
      <w:keepNext/>
      <w:numPr>
        <w:ilvl w:val="0"/>
        <w:numId w:val="1"/>
      </w:numPr>
      <w:spacing w:line="216" w:lineRule="auto"/>
      <w:outlineLvl w:val="2"/>
    </w:pPr>
    <w:rPr>
      <w:rFonts w:ascii="宋体" w:hAnsi="宋体" w:cs="宋体"/>
      <w:b/>
      <w:bCs/>
      <w:sz w:val="24"/>
      <w:szCs w:val="28"/>
    </w:rPr>
  </w:style>
  <w:style w:type="paragraph" w:styleId="12">
    <w:name w:val="heading 4"/>
    <w:basedOn w:val="1"/>
    <w:next w:val="1"/>
    <w:qFormat/>
    <w:uiPriority w:val="0"/>
    <w:pPr>
      <w:keepLines/>
      <w:autoSpaceDE w:val="0"/>
      <w:autoSpaceDN w:val="0"/>
      <w:adjustRightInd w:val="0"/>
      <w:textAlignment w:val="baseline"/>
      <w:outlineLvl w:val="3"/>
    </w:pPr>
    <w:rPr>
      <w:rFonts w:ascii="Times New Roman" w:hAnsi="Times New Roman" w:eastAsia="楷体_GB2312" w:cs="Times New Roman"/>
      <w:b/>
      <w:snapToGrid w:val="0"/>
      <w:sz w:val="24"/>
      <w:lang w:val="en-US" w:eastAsia="zh-CN" w:bidi="ar-SA"/>
    </w:rPr>
  </w:style>
  <w:style w:type="paragraph" w:styleId="13">
    <w:name w:val="heading 6"/>
    <w:basedOn w:val="1"/>
    <w:next w:val="1"/>
    <w:qFormat/>
    <w:uiPriority w:val="0"/>
    <w:pPr>
      <w:numPr>
        <w:ilvl w:val="5"/>
        <w:numId w:val="2"/>
      </w:numPr>
      <w:tabs>
        <w:tab w:val="left" w:pos="0"/>
        <w:tab w:val="left" w:leader="dot" w:pos="420"/>
      </w:tabs>
      <w:adjustRightInd w:val="0"/>
      <w:spacing w:before="64" w:after="64" w:line="317" w:lineRule="auto"/>
      <w:ind w:firstLine="0" w:firstLineChars="0"/>
      <w:outlineLvl w:val="5"/>
    </w:pPr>
    <w:rPr>
      <w:rFonts w:ascii="Arial" w:hAnsi="Arial"/>
      <w:b/>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1"/>
    <w:link w:val="55"/>
    <w:qFormat/>
    <w:uiPriority w:val="99"/>
    <w:pPr>
      <w:adjustRightInd w:val="0"/>
      <w:spacing w:line="360" w:lineRule="auto"/>
      <w:ind w:firstLine="490"/>
    </w:pPr>
    <w:rPr>
      <w:rFonts w:ascii="宋体" w:hAnsi="宋体" w:eastAsia="宋体" w:cs="宋体"/>
      <w:sz w:val="24"/>
      <w:szCs w:val="24"/>
      <w:lang w:val="en-US" w:eastAsia="zh-CN" w:bidi="ar-SA"/>
    </w:rPr>
  </w:style>
  <w:style w:type="paragraph" w:styleId="4">
    <w:name w:val="Body Text First Indent"/>
    <w:basedOn w:val="5"/>
    <w:next w:val="7"/>
    <w:link w:val="61"/>
    <w:qFormat/>
    <w:uiPriority w:val="99"/>
    <w:pPr>
      <w:ind w:firstLine="420" w:firstLineChars="100"/>
    </w:pPr>
  </w:style>
  <w:style w:type="paragraph" w:styleId="5">
    <w:name w:val="Body Text"/>
    <w:basedOn w:val="1"/>
    <w:next w:val="6"/>
    <w:link w:val="54"/>
    <w:qFormat/>
    <w:uiPriority w:val="99"/>
    <w:rPr>
      <w:rFonts w:ascii="Times New Roman" w:hAnsi="Times New Roman" w:eastAsia="宋体" w:cs="Times New Roman"/>
      <w:lang w:val="en-US" w:eastAsia="zh-CN" w:bidi="ar-SA"/>
    </w:rPr>
  </w:style>
  <w:style w:type="paragraph" w:customStyle="1" w:styleId="6">
    <w:name w:val="Body Text First Indent1"/>
    <w:basedOn w:val="5"/>
    <w:qFormat/>
    <w:uiPriority w:val="0"/>
    <w:pPr>
      <w:tabs>
        <w:tab w:val="left" w:pos="1275"/>
      </w:tabs>
      <w:ind w:firstLine="420" w:firstLineChars="100"/>
    </w:pPr>
  </w:style>
  <w:style w:type="paragraph" w:styleId="7">
    <w:name w:val="toc 6"/>
    <w:basedOn w:val="1"/>
    <w:next w:val="1"/>
    <w:qFormat/>
    <w:uiPriority w:val="0"/>
    <w:pPr>
      <w:ind w:left="2100" w:leftChars="1000"/>
    </w:pPr>
    <w:rPr>
      <w:kern w:val="2"/>
      <w:sz w:val="21"/>
      <w:szCs w:val="24"/>
    </w:rPr>
  </w:style>
  <w:style w:type="paragraph" w:styleId="10">
    <w:name w:val="Normal Indent"/>
    <w:basedOn w:val="1"/>
    <w:qFormat/>
    <w:uiPriority w:val="0"/>
    <w:pPr>
      <w:ind w:firstLine="420"/>
    </w:pPr>
    <w:rPr>
      <w:rFonts w:ascii="Times New Roman" w:hAnsi="Times New Roman" w:eastAsia="宋体" w:cs="Times New Roman"/>
      <w:lang w:val="en-US" w:eastAsia="zh-CN" w:bidi="ar-SA"/>
    </w:rPr>
  </w:style>
  <w:style w:type="paragraph" w:styleId="14">
    <w:name w:val="annotation text"/>
    <w:basedOn w:val="1"/>
    <w:qFormat/>
    <w:uiPriority w:val="0"/>
    <w:pPr>
      <w:adjustRightInd/>
      <w:jc w:val="left"/>
    </w:pPr>
  </w:style>
  <w:style w:type="paragraph" w:styleId="15">
    <w:name w:val="toc 3"/>
    <w:next w:val="1"/>
    <w:qFormat/>
    <w:uiPriority w:val="99"/>
    <w:pPr>
      <w:ind w:left="840" w:leftChars="400"/>
    </w:pPr>
    <w:rPr>
      <w:rFonts w:ascii="Times New Roman" w:hAnsi="Times New Roman" w:eastAsia="宋体" w:cs="Times New Roman"/>
      <w:lang w:val="en-US" w:eastAsia="zh-CN" w:bidi="ar-SA"/>
    </w:rPr>
  </w:style>
  <w:style w:type="paragraph" w:styleId="16">
    <w:name w:val="Plain Text"/>
    <w:basedOn w:val="1"/>
    <w:next w:val="17"/>
    <w:link w:val="56"/>
    <w:qFormat/>
    <w:uiPriority w:val="0"/>
    <w:rPr>
      <w:rFonts w:ascii="宋体" w:hAnsi="Courier New" w:eastAsia="宋体" w:cs="宋体"/>
      <w:lang w:val="en-US" w:eastAsia="zh-CN" w:bidi="ar-SA"/>
    </w:rPr>
  </w:style>
  <w:style w:type="paragraph" w:styleId="17">
    <w:name w:val="toc 2"/>
    <w:basedOn w:val="1"/>
    <w:next w:val="1"/>
    <w:qFormat/>
    <w:uiPriority w:val="99"/>
    <w:pPr>
      <w:ind w:left="420" w:leftChars="200"/>
    </w:pPr>
    <w:rPr>
      <w:rFonts w:ascii="Times New Roman" w:hAnsi="Times New Roman" w:eastAsia="宋体" w:cs="Times New Roman"/>
      <w:lang w:val="en-US" w:eastAsia="zh-CN" w:bidi="ar-SA"/>
    </w:rPr>
  </w:style>
  <w:style w:type="paragraph" w:styleId="18">
    <w:name w:val="Date"/>
    <w:basedOn w:val="1"/>
    <w:next w:val="1"/>
    <w:link w:val="57"/>
    <w:qFormat/>
    <w:uiPriority w:val="99"/>
    <w:pPr>
      <w:ind w:left="100" w:leftChars="2500"/>
    </w:pPr>
    <w:rPr>
      <w:rFonts w:ascii="宋体" w:hAnsi="宋体" w:eastAsia="宋体" w:cs="宋体"/>
      <w:color w:val="000000"/>
      <w:sz w:val="24"/>
      <w:szCs w:val="24"/>
      <w:lang w:val="en-US" w:eastAsia="zh-CN" w:bidi="ar-SA"/>
    </w:rPr>
  </w:style>
  <w:style w:type="paragraph" w:styleId="19">
    <w:name w:val="endnote text"/>
    <w:basedOn w:val="1"/>
    <w:qFormat/>
    <w:uiPriority w:val="99"/>
    <w:rPr>
      <w:rFonts w:ascii="Times New Roman" w:hAnsi="Times New Roman"/>
    </w:rPr>
  </w:style>
  <w:style w:type="paragraph" w:styleId="20">
    <w:name w:val="Balloon Text"/>
    <w:link w:val="58"/>
    <w:qFormat/>
    <w:uiPriority w:val="99"/>
    <w:rPr>
      <w:rFonts w:ascii="Times New Roman" w:hAnsi="Times New Roman" w:eastAsia="宋体" w:cs="Times New Roman"/>
      <w:sz w:val="18"/>
      <w:szCs w:val="18"/>
      <w:lang w:val="en-US" w:eastAsia="zh-CN" w:bidi="ar-SA"/>
    </w:rPr>
  </w:style>
  <w:style w:type="paragraph" w:styleId="21">
    <w:name w:val="footer"/>
    <w:basedOn w:val="1"/>
    <w:link w:val="59"/>
    <w:qFormat/>
    <w:uiPriority w:val="99"/>
    <w:pPr>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22">
    <w:name w:val="envelope return"/>
    <w:basedOn w:val="1"/>
    <w:qFormat/>
    <w:uiPriority w:val="0"/>
    <w:pPr>
      <w:snapToGrid w:val="0"/>
    </w:pPr>
    <w:rPr>
      <w:rFonts w:ascii="Arial" w:hAnsi="Arial"/>
    </w:rPr>
  </w:style>
  <w:style w:type="paragraph" w:styleId="23">
    <w:name w:val="header"/>
    <w:basedOn w:val="1"/>
    <w:link w:val="60"/>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hAnsi="Times New Roman" w:eastAsia="宋体" w:cs="宋体"/>
      <w:sz w:val="18"/>
      <w:szCs w:val="18"/>
      <w:lang w:val="en-US" w:eastAsia="zh-CN" w:bidi="ar-SA"/>
    </w:rPr>
  </w:style>
  <w:style w:type="paragraph" w:styleId="24">
    <w:name w:val="toc 1"/>
    <w:basedOn w:val="1"/>
    <w:next w:val="1"/>
    <w:qFormat/>
    <w:uiPriority w:val="99"/>
    <w:rPr>
      <w:rFonts w:ascii="Times New Roman" w:hAnsi="Times New Roman" w:eastAsia="宋体" w:cs="Times New Roman"/>
      <w:lang w:val="en-US" w:eastAsia="zh-CN" w:bidi="ar-SA"/>
    </w:rPr>
  </w:style>
  <w:style w:type="paragraph" w:styleId="25">
    <w:name w:val="toc 4"/>
    <w:basedOn w:val="1"/>
    <w:next w:val="1"/>
    <w:qFormat/>
    <w:uiPriority w:val="39"/>
    <w:pPr>
      <w:ind w:left="1260" w:leftChars="600"/>
    </w:pPr>
    <w:rPr>
      <w:szCs w:val="24"/>
    </w:rPr>
  </w:style>
  <w:style w:type="paragraph" w:styleId="26">
    <w:name w:val="Subtitle"/>
    <w:basedOn w:val="1"/>
    <w:next w:val="1"/>
    <w:link w:val="81"/>
    <w:qFormat/>
    <w:uiPriority w:val="0"/>
    <w:pPr>
      <w:spacing w:before="240" w:after="60" w:line="312" w:lineRule="auto"/>
      <w:jc w:val="center"/>
      <w:outlineLvl w:val="1"/>
    </w:pPr>
    <w:rPr>
      <w:rFonts w:ascii="等线 Light" w:hAnsi="等线 Light"/>
      <w:b/>
      <w:bCs/>
      <w:snapToGrid w:val="0"/>
      <w:kern w:val="28"/>
      <w:sz w:val="32"/>
      <w:szCs w:val="32"/>
    </w:rPr>
  </w:style>
  <w:style w:type="paragraph" w:styleId="27">
    <w:name w:val="Normal (Web)"/>
    <w:basedOn w:val="1"/>
    <w:qFormat/>
    <w:uiPriority w:val="99"/>
    <w:pPr>
      <w:spacing w:before="100" w:beforeAutospacing="1" w:after="100" w:afterAutospacing="1"/>
    </w:pPr>
    <w:rPr>
      <w:rFonts w:ascii="宋体" w:hAnsi="宋体" w:eastAsia="宋体" w:cs="宋体"/>
      <w:sz w:val="24"/>
      <w:szCs w:val="24"/>
      <w:lang w:val="en-US" w:eastAsia="zh-CN" w:bidi="ar-SA"/>
    </w:rPr>
  </w:style>
  <w:style w:type="paragraph" w:styleId="28">
    <w:name w:val="Title"/>
    <w:basedOn w:val="1"/>
    <w:next w:val="1"/>
    <w:qFormat/>
    <w:uiPriority w:val="0"/>
    <w:pPr>
      <w:widowControl/>
      <w:overflowPunct w:val="0"/>
      <w:autoSpaceDE w:val="0"/>
      <w:autoSpaceDN w:val="0"/>
      <w:adjustRightInd w:val="0"/>
      <w:jc w:val="center"/>
      <w:textAlignment w:val="baseline"/>
    </w:pPr>
    <w:rPr>
      <w:b/>
      <w:sz w:val="24"/>
      <w:lang w:val="en-GB"/>
    </w:rPr>
  </w:style>
  <w:style w:type="table" w:styleId="30">
    <w:name w:val="Table Grid"/>
    <w:basedOn w:val="29"/>
    <w:qFormat/>
    <w:uiPriority w:val="3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99"/>
    <w:rPr>
      <w:b/>
      <w:bCs/>
    </w:rPr>
  </w:style>
  <w:style w:type="character" w:styleId="33">
    <w:name w:val="page number"/>
    <w:basedOn w:val="31"/>
    <w:qFormat/>
    <w:uiPriority w:val="99"/>
  </w:style>
  <w:style w:type="character" w:styleId="34">
    <w:name w:val="Emphasis"/>
    <w:basedOn w:val="31"/>
    <w:qFormat/>
    <w:uiPriority w:val="0"/>
    <w:rPr>
      <w:i/>
    </w:rPr>
  </w:style>
  <w:style w:type="character" w:styleId="35">
    <w:name w:val="Hyperlink"/>
    <w:basedOn w:val="31"/>
    <w:qFormat/>
    <w:uiPriority w:val="99"/>
    <w:rPr>
      <w:color w:val="0000FF"/>
      <w:u w:val="single"/>
    </w:rPr>
  </w:style>
  <w:style w:type="paragraph" w:customStyle="1" w:styleId="36">
    <w:name w:val="样式 表格正文 + 两端对齐"/>
    <w:next w:val="37"/>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37">
    <w:name w:val="正文1"/>
    <w:next w:val="38"/>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38">
    <w:name w:val="自动更正"/>
    <w:next w:val="39"/>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9">
    <w:name w:val="xl39"/>
    <w:next w:val="40"/>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40">
    <w:name w:val="分手多日，近况如何？"/>
    <w:next w:val="1"/>
    <w:qFormat/>
    <w:uiPriority w:val="0"/>
    <w:pPr>
      <w:widowControl w:val="0"/>
      <w:jc w:val="both"/>
    </w:pPr>
    <w:rPr>
      <w:rFonts w:ascii="Times New Roman" w:hAnsi="Times New Roman" w:eastAsia="宋体" w:cs="Times New Roman"/>
      <w:sz w:val="21"/>
      <w:szCs w:val="21"/>
      <w:lang w:val="en-US" w:eastAsia="zh-CN" w:bidi="ar-SA"/>
    </w:rPr>
  </w:style>
  <w:style w:type="paragraph" w:customStyle="1" w:styleId="41">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2">
    <w:name w:val="标题 5（有编号）（绿盟科技）"/>
    <w:basedOn w:val="1"/>
    <w:next w:val="43"/>
    <w:qFormat/>
    <w:uiPriority w:val="0"/>
    <w:pPr>
      <w:keepNext/>
      <w:keepLines/>
      <w:numPr>
        <w:ilvl w:val="4"/>
        <w:numId w:val="3"/>
      </w:numPr>
      <w:tabs>
        <w:tab w:val="left" w:pos="0"/>
      </w:tabs>
      <w:spacing w:before="280" w:after="156" w:line="377" w:lineRule="auto"/>
      <w:jc w:val="left"/>
      <w:outlineLvl w:val="4"/>
    </w:pPr>
    <w:rPr>
      <w:rFonts w:ascii="Arial" w:hAnsi="Arial" w:eastAsia="黑体"/>
      <w:b/>
      <w:kern w:val="0"/>
      <w:sz w:val="24"/>
      <w:szCs w:val="28"/>
    </w:rPr>
  </w:style>
  <w:style w:type="paragraph" w:customStyle="1" w:styleId="43">
    <w:name w:val="正文（绿盟科技）"/>
    <w:qFormat/>
    <w:uiPriority w:val="99"/>
    <w:pPr>
      <w:spacing w:line="300" w:lineRule="auto"/>
    </w:pPr>
    <w:rPr>
      <w:rFonts w:ascii="Arial" w:hAnsi="Arial" w:eastAsia="宋体" w:cs="Times New Roman"/>
      <w:sz w:val="21"/>
      <w:szCs w:val="21"/>
      <w:lang w:val="en-US" w:eastAsia="zh-CN" w:bidi="ar-SA"/>
    </w:rPr>
  </w:style>
  <w:style w:type="paragraph" w:customStyle="1" w:styleId="44">
    <w:name w:val="Default"/>
    <w:next w:val="4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46">
    <w:name w:val="List Paragraph"/>
    <w:basedOn w:val="1"/>
    <w:qFormat/>
    <w:uiPriority w:val="99"/>
    <w:pPr>
      <w:ind w:firstLine="420" w:firstLineChars="200"/>
    </w:pPr>
  </w:style>
  <w:style w:type="paragraph" w:customStyle="1" w:styleId="47">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48">
    <w:name w:val="Quote"/>
    <w:basedOn w:val="1"/>
    <w:next w:val="1"/>
    <w:qFormat/>
    <w:uiPriority w:val="0"/>
    <w:pPr>
      <w:wordWrap w:val="0"/>
      <w:spacing w:before="200" w:after="160"/>
      <w:ind w:left="864" w:right="864"/>
      <w:jc w:val="center"/>
    </w:pPr>
    <w:rPr>
      <w:i/>
    </w:rPr>
  </w:style>
  <w:style w:type="paragraph" w:customStyle="1" w:styleId="49">
    <w:name w:val="正文缩进1"/>
    <w:qFormat/>
    <w:uiPriority w:val="0"/>
    <w:pPr>
      <w:ind w:firstLine="420" w:firstLineChars="200"/>
    </w:pPr>
    <w:rPr>
      <w:rFonts w:ascii="Times New Roman" w:hAnsi="Times New Roman" w:eastAsia="宋体" w:cs="Times New Roman"/>
      <w:lang w:val="en-US" w:eastAsia="zh-CN" w:bidi="ar-SA"/>
    </w:rPr>
  </w:style>
  <w:style w:type="paragraph" w:customStyle="1" w:styleId="50">
    <w:name w:val="表格文字"/>
    <w:basedOn w:val="16"/>
    <w:next w:val="5"/>
    <w:qFormat/>
    <w:uiPriority w:val="0"/>
    <w:pPr>
      <w:adjustRightInd w:val="0"/>
      <w:spacing w:line="420" w:lineRule="atLeast"/>
      <w:textAlignment w:val="baseline"/>
    </w:pPr>
    <w:rPr>
      <w:rFonts w:ascii="Times New Roman" w:hAnsi="Times New Roman" w:eastAsia="宋体" w:cs="Times New Roman"/>
      <w:lang w:val="en-US" w:eastAsia="zh-CN" w:bidi="ar-SA"/>
    </w:rPr>
  </w:style>
  <w:style w:type="character" w:customStyle="1" w:styleId="51">
    <w:name w:val="标题 1 字符"/>
    <w:basedOn w:val="31"/>
    <w:link w:val="8"/>
    <w:qFormat/>
    <w:uiPriority w:val="99"/>
    <w:rPr>
      <w:b/>
      <w:bCs/>
      <w:kern w:val="44"/>
      <w:sz w:val="44"/>
      <w:szCs w:val="44"/>
    </w:rPr>
  </w:style>
  <w:style w:type="character" w:customStyle="1" w:styleId="52">
    <w:name w:val="标题 2 字符"/>
    <w:basedOn w:val="31"/>
    <w:link w:val="9"/>
    <w:qFormat/>
    <w:uiPriority w:val="99"/>
    <w:rPr>
      <w:rFonts w:ascii="宋体" w:hAnsi="宋体" w:eastAsia="宋体" w:cs="宋体"/>
      <w:b/>
      <w:bCs/>
      <w:kern w:val="2"/>
      <w:sz w:val="24"/>
      <w:szCs w:val="28"/>
    </w:rPr>
  </w:style>
  <w:style w:type="character" w:customStyle="1" w:styleId="53">
    <w:name w:val="标题 3 字符"/>
    <w:basedOn w:val="31"/>
    <w:link w:val="11"/>
    <w:qFormat/>
    <w:uiPriority w:val="99"/>
    <w:rPr>
      <w:rFonts w:ascii="宋体" w:hAnsi="宋体" w:eastAsia="宋体" w:cs="宋体"/>
      <w:b/>
      <w:bCs/>
      <w:kern w:val="2"/>
      <w:sz w:val="24"/>
      <w:szCs w:val="28"/>
    </w:rPr>
  </w:style>
  <w:style w:type="character" w:customStyle="1" w:styleId="54">
    <w:name w:val="正文文本 字符"/>
    <w:basedOn w:val="31"/>
    <w:link w:val="5"/>
    <w:qFormat/>
    <w:uiPriority w:val="99"/>
    <w:rPr>
      <w:rFonts w:ascii="Times New Roman" w:hAnsi="Times New Roman"/>
      <w:szCs w:val="21"/>
    </w:rPr>
  </w:style>
  <w:style w:type="character" w:customStyle="1" w:styleId="55">
    <w:name w:val="正文文本缩进 字符"/>
    <w:basedOn w:val="31"/>
    <w:link w:val="3"/>
    <w:qFormat/>
    <w:uiPriority w:val="99"/>
    <w:rPr>
      <w:rFonts w:ascii="Times New Roman" w:hAnsi="Times New Roman"/>
      <w:szCs w:val="21"/>
    </w:rPr>
  </w:style>
  <w:style w:type="character" w:customStyle="1" w:styleId="56">
    <w:name w:val="纯文本 字符"/>
    <w:basedOn w:val="31"/>
    <w:link w:val="16"/>
    <w:qFormat/>
    <w:uiPriority w:val="99"/>
    <w:rPr>
      <w:rFonts w:ascii="宋体" w:hAnsi="Courier New" w:cs="Courier New"/>
      <w:szCs w:val="21"/>
    </w:rPr>
  </w:style>
  <w:style w:type="character" w:customStyle="1" w:styleId="57">
    <w:name w:val="日期 字符"/>
    <w:basedOn w:val="31"/>
    <w:link w:val="18"/>
    <w:qFormat/>
    <w:uiPriority w:val="99"/>
    <w:rPr>
      <w:rFonts w:ascii="Times New Roman" w:hAnsi="Times New Roman"/>
      <w:szCs w:val="21"/>
    </w:rPr>
  </w:style>
  <w:style w:type="character" w:customStyle="1" w:styleId="58">
    <w:name w:val="批注框文本 字符"/>
    <w:basedOn w:val="31"/>
    <w:link w:val="20"/>
    <w:qFormat/>
    <w:uiPriority w:val="99"/>
    <w:rPr>
      <w:kern w:val="2"/>
      <w:sz w:val="18"/>
      <w:szCs w:val="18"/>
    </w:rPr>
  </w:style>
  <w:style w:type="character" w:customStyle="1" w:styleId="59">
    <w:name w:val="页脚 字符"/>
    <w:basedOn w:val="31"/>
    <w:link w:val="21"/>
    <w:qFormat/>
    <w:uiPriority w:val="99"/>
    <w:rPr>
      <w:rFonts w:ascii="Times New Roman" w:hAnsi="Times New Roman"/>
      <w:sz w:val="18"/>
      <w:szCs w:val="18"/>
    </w:rPr>
  </w:style>
  <w:style w:type="character" w:customStyle="1" w:styleId="60">
    <w:name w:val="页眉 字符"/>
    <w:basedOn w:val="31"/>
    <w:link w:val="23"/>
    <w:qFormat/>
    <w:uiPriority w:val="99"/>
    <w:rPr>
      <w:rFonts w:ascii="Times New Roman" w:hAnsi="Times New Roman"/>
      <w:sz w:val="18"/>
      <w:szCs w:val="18"/>
    </w:rPr>
  </w:style>
  <w:style w:type="character" w:customStyle="1" w:styleId="61">
    <w:name w:val="正文文本首行缩进 字符"/>
    <w:basedOn w:val="54"/>
    <w:link w:val="4"/>
    <w:qFormat/>
    <w:uiPriority w:val="99"/>
    <w:rPr>
      <w:rFonts w:ascii="Times New Roman" w:hAnsi="Times New Roman"/>
      <w:szCs w:val="21"/>
    </w:rPr>
  </w:style>
  <w:style w:type="paragraph" w:customStyle="1" w:styleId="62">
    <w:name w:val="正文2"/>
    <w:link w:val="84"/>
    <w:qFormat/>
    <w:uiPriority w:val="0"/>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63">
    <w:name w:val="List Paragraph1"/>
    <w:qFormat/>
    <w:uiPriority w:val="99"/>
    <w:pPr>
      <w:ind w:firstLine="420" w:firstLineChars="200"/>
    </w:pPr>
    <w:rPr>
      <w:rFonts w:ascii="Calibri" w:hAnsi="Calibri" w:eastAsia="宋体" w:cs="Calibri"/>
      <w:lang w:val="en-US" w:eastAsia="zh-CN" w:bidi="ar-SA"/>
    </w:rPr>
  </w:style>
  <w:style w:type="character" w:customStyle="1" w:styleId="64">
    <w:name w:val="style81"/>
    <w:qFormat/>
    <w:uiPriority w:val="99"/>
    <w:rPr>
      <w:sz w:val="20"/>
      <w:szCs w:val="20"/>
    </w:rPr>
  </w:style>
  <w:style w:type="paragraph" w:customStyle="1" w:styleId="65">
    <w:name w:val="列出段落1"/>
    <w:qFormat/>
    <w:uiPriority w:val="99"/>
    <w:pPr>
      <w:ind w:firstLine="420"/>
    </w:pPr>
    <w:rPr>
      <w:rFonts w:ascii="Times New Roman" w:hAnsi="Times New Roman" w:eastAsia="宋体" w:cs="Times New Roman"/>
      <w:lang w:val="en-US" w:eastAsia="zh-CN" w:bidi="ar-SA"/>
    </w:rPr>
  </w:style>
  <w:style w:type="paragraph" w:customStyle="1" w:styleId="66">
    <w:name w:val="表格"/>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67">
    <w:name w:val="02 Char"/>
    <w:link w:val="68"/>
    <w:qFormat/>
    <w:uiPriority w:val="99"/>
    <w:rPr>
      <w:rFonts w:ascii="宋体" w:cs="宋体"/>
      <w:b/>
      <w:bCs/>
      <w:color w:val="FF0000"/>
      <w:kern w:val="2"/>
      <w:sz w:val="28"/>
      <w:szCs w:val="28"/>
    </w:rPr>
  </w:style>
  <w:style w:type="paragraph" w:customStyle="1" w:styleId="68">
    <w:name w:val="02"/>
    <w:basedOn w:val="9"/>
    <w:link w:val="67"/>
    <w:qFormat/>
    <w:uiPriority w:val="99"/>
    <w:pPr>
      <w:jc w:val="center"/>
    </w:pPr>
    <w:rPr>
      <w:color w:val="FF0000"/>
    </w:rPr>
  </w:style>
  <w:style w:type="character" w:customStyle="1" w:styleId="69">
    <w:name w:val="03 Char"/>
    <w:link w:val="70"/>
    <w:qFormat/>
    <w:uiPriority w:val="99"/>
    <w:rPr>
      <w:rFonts w:ascii="宋体" w:cs="宋体"/>
      <w:b/>
      <w:bCs/>
      <w:kern w:val="2"/>
      <w:sz w:val="28"/>
      <w:szCs w:val="28"/>
    </w:rPr>
  </w:style>
  <w:style w:type="paragraph" w:customStyle="1" w:styleId="70">
    <w:name w:val="03"/>
    <w:basedOn w:val="11"/>
    <w:link w:val="69"/>
    <w:qFormat/>
    <w:uiPriority w:val="99"/>
    <w:pPr>
      <w:numPr>
        <w:ilvl w:val="0"/>
        <w:numId w:val="0"/>
      </w:numPr>
    </w:pPr>
  </w:style>
  <w:style w:type="character" w:customStyle="1" w:styleId="71">
    <w:name w:val="宋体小四 Char"/>
    <w:link w:val="72"/>
    <w:qFormat/>
    <w:uiPriority w:val="99"/>
    <w:rPr>
      <w:rFonts w:ascii="宋体" w:eastAsia="宋体" w:cs="宋体"/>
      <w:kern w:val="2"/>
      <w:sz w:val="24"/>
      <w:szCs w:val="24"/>
    </w:rPr>
  </w:style>
  <w:style w:type="paragraph" w:customStyle="1" w:styleId="72">
    <w:name w:val="宋体小四"/>
    <w:link w:val="71"/>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73">
    <w:name w:val="fontstyle01"/>
    <w:basedOn w:val="31"/>
    <w:qFormat/>
    <w:uiPriority w:val="99"/>
    <w:rPr>
      <w:rFonts w:ascii="宋体" w:eastAsia="宋体" w:cs="宋体"/>
      <w:color w:val="000000"/>
      <w:sz w:val="22"/>
      <w:szCs w:val="22"/>
    </w:rPr>
  </w:style>
  <w:style w:type="paragraph" w:customStyle="1" w:styleId="74">
    <w:name w:val="正文首行缩进2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75">
    <w:name w:val="居中表格内容标题"/>
    <w:basedOn w:val="76"/>
    <w:qFormat/>
    <w:uiPriority w:val="0"/>
    <w:pPr>
      <w:jc w:val="center"/>
    </w:pPr>
    <w:rPr>
      <w:b/>
    </w:rPr>
  </w:style>
  <w:style w:type="paragraph" w:customStyle="1" w:styleId="76">
    <w:name w:val="居中表格内容"/>
    <w:qFormat/>
    <w:uiPriority w:val="0"/>
    <w:rPr>
      <w:rFonts w:ascii="Times New Roman" w:hAnsi="Times New Roman" w:eastAsia="宋体" w:cs="Times New Roman"/>
      <w:szCs w:val="28"/>
      <w:lang w:val="en-US" w:eastAsia="zh-CN" w:bidi="ar-SA"/>
    </w:rPr>
  </w:style>
  <w:style w:type="paragraph" w:customStyle="1" w:styleId="77">
    <w:name w:val="列表段落1"/>
    <w:link w:val="78"/>
    <w:qFormat/>
    <w:uiPriority w:val="34"/>
    <w:pPr>
      <w:ind w:firstLine="420" w:firstLineChars="200"/>
    </w:pPr>
    <w:rPr>
      <w:rFonts w:ascii="Times New Roman" w:hAnsi="Times New Roman" w:eastAsia="宋体" w:cs="Times New Roman"/>
      <w:lang w:val="en-US" w:eastAsia="zh-CN" w:bidi="ar-SA"/>
    </w:rPr>
  </w:style>
  <w:style w:type="character" w:customStyle="1" w:styleId="78">
    <w:name w:val="列表段落 字符"/>
    <w:basedOn w:val="31"/>
    <w:link w:val="77"/>
    <w:qFormat/>
    <w:uiPriority w:val="34"/>
  </w:style>
  <w:style w:type="table" w:customStyle="1" w:styleId="79">
    <w:name w:val="网格型浅色1"/>
    <w:basedOn w:val="2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80">
    <w:name w:val="正文（首行缩进2字符）"/>
    <w:basedOn w:val="1"/>
    <w:qFormat/>
    <w:uiPriority w:val="0"/>
    <w:pPr>
      <w:spacing w:line="360" w:lineRule="auto"/>
      <w:ind w:firstLine="480" w:firstLineChars="200"/>
    </w:pPr>
    <w:rPr>
      <w:kern w:val="2"/>
      <w:sz w:val="24"/>
    </w:rPr>
  </w:style>
  <w:style w:type="character" w:customStyle="1" w:styleId="81">
    <w:name w:val="副标题 字符"/>
    <w:basedOn w:val="31"/>
    <w:link w:val="26"/>
    <w:qFormat/>
    <w:uiPriority w:val="0"/>
    <w:rPr>
      <w:rFonts w:ascii="等线 Light" w:hAnsi="等线 Light"/>
      <w:b/>
      <w:bCs/>
      <w:snapToGrid w:val="0"/>
      <w:kern w:val="28"/>
      <w:sz w:val="32"/>
      <w:szCs w:val="32"/>
    </w:rPr>
  </w:style>
  <w:style w:type="paragraph" w:customStyle="1" w:styleId="82">
    <w:name w:val="正文小四"/>
    <w:basedOn w:val="1"/>
    <w:qFormat/>
    <w:uiPriority w:val="0"/>
    <w:pPr>
      <w:widowControl/>
      <w:spacing w:line="360" w:lineRule="auto"/>
      <w:ind w:firstLine="200" w:firstLineChars="200"/>
      <w:jc w:val="left"/>
    </w:pPr>
    <w:rPr>
      <w:rFonts w:ascii="Calibri" w:hAnsi="Calibri" w:eastAsia="仿宋"/>
      <w:snapToGrid w:val="0"/>
      <w:sz w:val="24"/>
      <w:szCs w:val="21"/>
    </w:rPr>
  </w:style>
  <w:style w:type="paragraph" w:customStyle="1" w:styleId="83">
    <w:name w:val="样式x"/>
    <w:basedOn w:val="11"/>
    <w:qFormat/>
    <w:uiPriority w:val="0"/>
    <w:pPr>
      <w:widowControl w:val="0"/>
      <w:numPr>
        <w:numId w:val="0"/>
      </w:numPr>
      <w:ind w:left="1275" w:hanging="720"/>
      <w:jc w:val="both"/>
    </w:pPr>
    <w:rPr>
      <w:rFonts w:hAnsi="Times New Roman" w:eastAsia="仿宋" w:cs="Times New Roman"/>
      <w:bCs w:val="0"/>
      <w:snapToGrid w:val="0"/>
      <w:kern w:val="2"/>
      <w:szCs w:val="20"/>
    </w:rPr>
  </w:style>
  <w:style w:type="character" w:customStyle="1" w:styleId="84">
    <w:name w:val="正文2 Char Char"/>
    <w:link w:val="62"/>
    <w:qFormat/>
    <w:uiPriority w:val="0"/>
    <w:rPr>
      <w:sz w:val="24"/>
      <w:szCs w:val="24"/>
    </w:rPr>
  </w:style>
  <w:style w:type="paragraph" w:customStyle="1" w:styleId="85">
    <w:name w:val="WPSOffice手动目录 1"/>
    <w:qFormat/>
    <w:uiPriority w:val="0"/>
    <w:pPr>
      <w:ind w:leftChars="0"/>
    </w:pPr>
    <w:rPr>
      <w:rFonts w:ascii="Times New Roman" w:hAnsi="Times New Roman" w:eastAsia="宋体" w:cs="Times New Roman"/>
      <w:sz w:val="20"/>
      <w:szCs w:val="20"/>
    </w:rPr>
  </w:style>
  <w:style w:type="paragraph" w:customStyle="1" w:styleId="86">
    <w:name w:val="WPSOffice手动目录 2"/>
    <w:qFormat/>
    <w:uiPriority w:val="0"/>
    <w:pPr>
      <w:ind w:leftChars="200"/>
    </w:pPr>
    <w:rPr>
      <w:rFonts w:ascii="Times New Roman" w:hAnsi="Times New Roman" w:eastAsia="宋体" w:cs="Times New Roman"/>
      <w:sz w:val="20"/>
      <w:szCs w:val="20"/>
    </w:rPr>
  </w:style>
  <w:style w:type="character" w:customStyle="1" w:styleId="87">
    <w:name w:val="NormalCharacter"/>
    <w:qFormat/>
    <w:uiPriority w:val="0"/>
    <w:rPr>
      <w:rFonts w:ascii="Tahoma" w:hAnsi="Tahoma"/>
      <w:sz w:val="24"/>
      <w:szCs w:val="20"/>
    </w:rPr>
  </w:style>
  <w:style w:type="paragraph" w:customStyle="1" w:styleId="88">
    <w:name w:val="表格正文"/>
    <w:basedOn w:val="1"/>
    <w:qFormat/>
    <w:uiPriority w:val="0"/>
    <w:pPr>
      <w:spacing w:before="0" w:beforeLines="0" w:line="240" w:lineRule="auto"/>
      <w:ind w:firstLine="0" w:firstLineChars="0"/>
      <w:jc w:val="center"/>
    </w:pPr>
    <w:rPr>
      <w:sz w:val="21"/>
      <w:szCs w:val="24"/>
    </w:rPr>
  </w:style>
  <w:style w:type="table" w:customStyle="1" w:styleId="89">
    <w:name w:val="Table Normal"/>
    <w:semiHidden/>
    <w:unhideWhenUsed/>
    <w:qFormat/>
    <w:uiPriority w:val="0"/>
    <w:tblPr>
      <w:tblCellMar>
        <w:top w:w="0" w:type="dxa"/>
        <w:left w:w="0" w:type="dxa"/>
        <w:bottom w:w="0" w:type="dxa"/>
        <w:right w:w="0" w:type="dxa"/>
      </w:tblCellMar>
    </w:tblPr>
  </w:style>
  <w:style w:type="paragraph" w:customStyle="1" w:styleId="90">
    <w:name w:val="内容"/>
    <w:basedOn w:val="1"/>
    <w:qFormat/>
    <w:uiPriority w:val="0"/>
    <w:pPr>
      <w:spacing w:line="560" w:lineRule="exact"/>
      <w:ind w:left="141" w:leftChars="67" w:firstLine="480" w:firstLineChars="200"/>
    </w:pPr>
    <w:rPr>
      <w:rFonts w:ascii="楷体_GB2312" w:hAnsi="楷体_GB2312" w:eastAsia="楷体_GB2312"/>
      <w:kern w:val="0"/>
      <w:sz w:val="24"/>
    </w:rPr>
  </w:style>
  <w:style w:type="character" w:customStyle="1" w:styleId="91">
    <w:name w:val="font31"/>
    <w:qFormat/>
    <w:uiPriority w:val="0"/>
    <w:rPr>
      <w:rFonts w:ascii="Calibri" w:hAnsi="Calibri" w:cs="Calibri"/>
      <w:color w:val="000000"/>
      <w:sz w:val="24"/>
      <w:szCs w:val="24"/>
      <w:u w:val="none"/>
    </w:rPr>
  </w:style>
  <w:style w:type="character" w:customStyle="1" w:styleId="92">
    <w:name w:val="font01"/>
    <w:qFormat/>
    <w:uiPriority w:val="0"/>
    <w:rPr>
      <w:rFonts w:hint="eastAsia" w:ascii="宋体" w:hAnsi="宋体" w:eastAsia="宋体" w:cs="宋体"/>
      <w:color w:val="000000"/>
      <w:sz w:val="24"/>
      <w:szCs w:val="24"/>
      <w:u w:val="none"/>
    </w:rPr>
  </w:style>
  <w:style w:type="paragraph" w:customStyle="1" w:styleId="93">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94">
    <w:name w:val="font11"/>
    <w:qFormat/>
    <w:uiPriority w:val="0"/>
    <w:rPr>
      <w:rFonts w:hint="eastAsia" w:ascii="宋体" w:hAnsi="宋体" w:eastAsia="宋体" w:cs="宋体"/>
      <w:b/>
      <w:iCs/>
      <w:color w:val="FF0000"/>
      <w:kern w:val="0"/>
      <w:sz w:val="20"/>
      <w:szCs w:val="20"/>
      <w:u w:val="none"/>
      <w:lang w:eastAsia="en-US"/>
    </w:rPr>
  </w:style>
  <w:style w:type="paragraph" w:customStyle="1" w:styleId="95">
    <w:name w:val="BodyText1I2"/>
    <w:basedOn w:val="96"/>
    <w:qFormat/>
    <w:uiPriority w:val="0"/>
    <w:pPr>
      <w:ind w:firstLine="420"/>
    </w:pPr>
    <w:rPr>
      <w:sz w:val="21"/>
    </w:rPr>
  </w:style>
  <w:style w:type="paragraph" w:customStyle="1" w:styleId="96">
    <w:name w:val="BodyTextIndent"/>
    <w:basedOn w:val="1"/>
    <w:next w:val="95"/>
    <w:qFormat/>
    <w:uiPriority w:val="0"/>
    <w:pPr>
      <w:spacing w:line="360" w:lineRule="auto"/>
      <w:ind w:firstLine="490"/>
      <w:jc w:val="left"/>
    </w:pPr>
    <w:rPr>
      <w:rFonts w:ascii="宋体" w:hAnsi="宋体"/>
      <w:sz w:val="24"/>
    </w:rPr>
  </w:style>
  <w:style w:type="paragraph" w:customStyle="1" w:styleId="97">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98">
    <w:name w:val="4正-b"/>
    <w:basedOn w:val="1"/>
    <w:qFormat/>
    <w:uiPriority w:val="0"/>
    <w:pPr>
      <w:adjustRightInd/>
      <w:snapToGrid/>
      <w:spacing w:before="120" w:after="120"/>
      <w:jc w:val="left"/>
    </w:pPr>
    <w:rPr>
      <w:rFonts w:ascii="Arial" w:hAnsi="Arial"/>
      <w:iCs/>
      <w:szCs w:val="24"/>
    </w:rPr>
  </w:style>
  <w:style w:type="paragraph" w:customStyle="1" w:styleId="99">
    <w:name w:val="表格-b"/>
    <w:basedOn w:val="1"/>
    <w:qFormat/>
    <w:uiPriority w:val="6"/>
    <w:pPr>
      <w:spacing w:line="240" w:lineRule="auto"/>
      <w:ind w:firstLine="0" w:firstLineChars="0"/>
      <w:jc w:val="center"/>
      <w:textAlignment w:val="center"/>
    </w:pPr>
    <w:rPr>
      <w:sz w:val="21"/>
    </w:rPr>
  </w:style>
  <w:style w:type="paragraph" w:customStyle="1" w:styleId="100">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customStyle="1" w:styleId="101">
    <w:name w:val="Char Char Char Char1"/>
    <w:basedOn w:val="1"/>
    <w:qFormat/>
    <w:uiPriority w:val="0"/>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57</Pages>
  <Words>1248</Words>
  <Characters>1374</Characters>
  <Lines>243</Lines>
  <Paragraphs>68</Paragraphs>
  <TotalTime>0</TotalTime>
  <ScaleCrop>false</ScaleCrop>
  <LinksUpToDate>false</LinksUpToDate>
  <CharactersWithSpaces>1415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2021-11-22T16:07:00Z</dcterms:created>
  <dc:creator>陈圣楠</dc:creator>
  <cp:lastModifiedBy>张于飞</cp:lastModifiedBy>
  <cp:lastPrinted>2022-08-22T18:21:00Z</cp:lastPrinted>
  <dcterms:modified xsi:type="dcterms:W3CDTF">2025-01-24T05:46:13Z</dcterms:modified>
  <dc:title>浙江绍兴上虞人民调解服务标准化</dc:title>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B09720288F7B4C32849FAF1190EE88F5_13</vt:lpwstr>
  </property>
  <property fmtid="{D5CDD505-2E9C-101B-9397-08002B2CF9AE}" pid="4" name="KSOTemplateDocerSaveRecord">
    <vt:lpwstr>eyJoZGlkIjoiMmRiMDJjNTNlNTc2YzA4MDFhZDc2ZTliMzY5YjA3OTMiLCJ1c2VySWQiOiIxNjQyNTE5MTEwIn0=</vt:lpwstr>
  </property>
</Properties>
</file>