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cs="Times New Roman"/>
          <w:color w:val="auto"/>
          <w:highlight w:val="none"/>
        </w:rPr>
      </w:pPr>
    </w:p>
    <w:p>
      <w:pPr>
        <w:jc w:val="center"/>
        <w:rPr>
          <w:rFonts w:hint="eastAsia" w:ascii="宋体" w:eastAsia="宋体"/>
          <w:b/>
          <w:bCs/>
          <w:color w:val="auto"/>
          <w:sz w:val="44"/>
          <w:szCs w:val="44"/>
          <w:highlight w:val="none"/>
          <w:lang w:eastAsia="zh-CN"/>
        </w:rPr>
      </w:pPr>
      <w:r>
        <w:rPr>
          <w:rFonts w:hint="eastAsia" w:ascii="宋体" w:hAnsi="宋体" w:cs="宋体"/>
          <w:b/>
          <w:bCs/>
          <w:color w:val="auto"/>
          <w:sz w:val="40"/>
          <w:szCs w:val="40"/>
          <w:highlight w:val="none"/>
          <w:lang w:eastAsia="zh-CN"/>
        </w:rPr>
        <w:t>丰惠镇政府和便民中心物业管理服务项目（三年）</w:t>
      </w:r>
    </w:p>
    <w:p>
      <w:pPr>
        <w:pStyle w:val="3"/>
        <w:rPr>
          <w:rFonts w:ascii="宋体"/>
          <w:b/>
          <w:bCs/>
          <w:color w:val="auto"/>
          <w:sz w:val="44"/>
          <w:szCs w:val="44"/>
          <w:highlight w:val="none"/>
        </w:rPr>
      </w:pPr>
    </w:p>
    <w:p>
      <w:pPr>
        <w:pStyle w:val="3"/>
        <w:rPr>
          <w:rFonts w:ascii="宋体"/>
          <w:b/>
          <w:bCs/>
          <w:color w:val="auto"/>
          <w:sz w:val="44"/>
          <w:szCs w:val="44"/>
          <w:highlight w:val="none"/>
        </w:rPr>
      </w:pPr>
    </w:p>
    <w:p>
      <w:pPr>
        <w:pStyle w:val="20"/>
        <w:rPr>
          <w:rFonts w:ascii="宋体"/>
          <w:b/>
          <w:bCs/>
          <w:color w:val="auto"/>
          <w:sz w:val="44"/>
          <w:szCs w:val="44"/>
          <w:highlight w:val="none"/>
        </w:rPr>
      </w:pPr>
    </w:p>
    <w:p>
      <w:pPr>
        <w:rPr>
          <w:color w:val="auto"/>
          <w:highlight w:val="none"/>
        </w:rPr>
      </w:pPr>
    </w:p>
    <w:p>
      <w:pPr>
        <w:pStyle w:val="3"/>
        <w:rPr>
          <w:rFonts w:ascii="宋体"/>
          <w:b/>
          <w:bCs/>
          <w:color w:val="auto"/>
          <w:sz w:val="44"/>
          <w:szCs w:val="44"/>
          <w:highlight w:val="none"/>
        </w:rPr>
      </w:pPr>
    </w:p>
    <w:p>
      <w:pPr>
        <w:pStyle w:val="20"/>
        <w:rPr>
          <w:color w:val="auto"/>
          <w:highlight w:val="none"/>
        </w:rPr>
      </w:pPr>
    </w:p>
    <w:p>
      <w:pPr>
        <w:pStyle w:val="3"/>
        <w:rPr>
          <w:color w:val="auto"/>
          <w:highlight w:val="none"/>
        </w:rPr>
      </w:pPr>
    </w:p>
    <w:p>
      <w:pPr>
        <w:spacing w:line="360" w:lineRule="auto"/>
        <w:jc w:val="center"/>
        <w:rPr>
          <w:rFonts w:ascii="宋体"/>
          <w:b/>
          <w:bCs/>
          <w:color w:val="auto"/>
          <w:sz w:val="24"/>
          <w:szCs w:val="24"/>
          <w:highlight w:val="none"/>
        </w:rPr>
      </w:pPr>
      <w:r>
        <w:rPr>
          <w:rFonts w:hint="eastAsia" w:ascii="宋体" w:hAnsi="宋体" w:cs="宋体"/>
          <w:b/>
          <w:bCs/>
          <w:color w:val="auto"/>
          <w:sz w:val="72"/>
          <w:szCs w:val="72"/>
          <w:highlight w:val="none"/>
        </w:rPr>
        <w:t>竞争性磋商文件</w:t>
      </w:r>
    </w:p>
    <w:p>
      <w:pPr>
        <w:spacing w:line="360" w:lineRule="auto"/>
        <w:jc w:val="center"/>
        <w:rPr>
          <w:rFonts w:ascii="宋体"/>
          <w:b/>
          <w:bCs/>
          <w:color w:val="auto"/>
          <w:sz w:val="24"/>
          <w:szCs w:val="24"/>
          <w:highlight w:val="none"/>
        </w:rPr>
      </w:pPr>
    </w:p>
    <w:p>
      <w:pPr>
        <w:snapToGrid w:val="0"/>
        <w:spacing w:line="360" w:lineRule="auto"/>
        <w:ind w:firstLine="2601" w:firstLineChars="867"/>
        <w:jc w:val="left"/>
        <w:rPr>
          <w:rFonts w:ascii="宋体"/>
          <w:color w:val="auto"/>
          <w:sz w:val="30"/>
          <w:szCs w:val="30"/>
          <w:highlight w:val="none"/>
          <w:u w:val="single"/>
        </w:rPr>
      </w:pPr>
      <w:r>
        <w:rPr>
          <w:rFonts w:hint="eastAsia" w:ascii="宋体" w:hAnsi="宋体" w:cs="宋体"/>
          <w:color w:val="auto"/>
          <w:sz w:val="30"/>
          <w:szCs w:val="30"/>
          <w:highlight w:val="none"/>
        </w:rPr>
        <w:t>项目编号：</w:t>
      </w:r>
      <w:bookmarkStart w:id="0" w:name="OLE_LINK1"/>
      <w:r>
        <w:rPr>
          <w:rFonts w:hint="eastAsia" w:ascii="宋体" w:hAnsi="宋体" w:cs="宋体"/>
          <w:color w:val="auto"/>
          <w:sz w:val="30"/>
          <w:szCs w:val="30"/>
          <w:highlight w:val="none"/>
          <w:u w:val="none"/>
          <w:lang w:val="en-US" w:eastAsia="zh-CN"/>
        </w:rPr>
        <w:t>JZCS2025018</w:t>
      </w:r>
      <w:bookmarkEnd w:id="0"/>
    </w:p>
    <w:p>
      <w:pPr>
        <w:snapToGrid w:val="0"/>
        <w:spacing w:line="360" w:lineRule="auto"/>
        <w:ind w:firstLine="2301" w:firstLineChars="767"/>
        <w:jc w:val="left"/>
        <w:rPr>
          <w:rFonts w:ascii="宋体"/>
          <w:color w:val="auto"/>
          <w:sz w:val="30"/>
          <w:szCs w:val="30"/>
          <w:highlight w:val="none"/>
        </w:rPr>
      </w:pPr>
    </w:p>
    <w:p>
      <w:pPr>
        <w:spacing w:line="360" w:lineRule="auto"/>
        <w:rPr>
          <w:rFonts w:ascii="宋体"/>
          <w:color w:val="auto"/>
          <w:sz w:val="28"/>
          <w:szCs w:val="28"/>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pStyle w:val="2"/>
        <w:rPr>
          <w:rFonts w:ascii="宋体"/>
          <w:color w:val="auto"/>
          <w:sz w:val="24"/>
          <w:szCs w:val="24"/>
          <w:highlight w:val="none"/>
        </w:rPr>
      </w:pPr>
    </w:p>
    <w:p>
      <w:pPr>
        <w:pStyle w:val="3"/>
        <w:rPr>
          <w:rFonts w:ascii="宋体"/>
          <w:color w:val="auto"/>
          <w:sz w:val="24"/>
          <w:szCs w:val="24"/>
          <w:highlight w:val="none"/>
        </w:rPr>
      </w:pPr>
    </w:p>
    <w:p>
      <w:pPr>
        <w:rPr>
          <w:color w:val="auto"/>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napToGrid w:val="0"/>
        <w:spacing w:line="360" w:lineRule="auto"/>
        <w:ind w:firstLine="900" w:firstLineChars="300"/>
        <w:jc w:val="both"/>
        <w:rPr>
          <w:rFonts w:hint="eastAsia" w:ascii="宋体" w:eastAsia="宋体"/>
          <w:color w:val="auto"/>
          <w:highlight w:val="none"/>
          <w:u w:val="single"/>
          <w:lang w:eastAsia="zh-CN"/>
        </w:rPr>
      </w:pPr>
      <w:r>
        <w:rPr>
          <w:rFonts w:hint="eastAsia" w:ascii="宋体" w:hAnsi="宋体" w:cs="宋体"/>
          <w:color w:val="auto"/>
          <w:sz w:val="30"/>
          <w:szCs w:val="30"/>
          <w:highlight w:val="none"/>
        </w:rPr>
        <w:t xml:space="preserve">采 </w:t>
      </w:r>
      <w:r>
        <w:rPr>
          <w:rFonts w:hint="eastAsia" w:ascii="宋体" w:hAnsi="宋体" w:cs="宋体"/>
          <w:color w:val="auto"/>
          <w:sz w:val="30"/>
          <w:szCs w:val="30"/>
          <w:highlight w:val="none"/>
          <w:lang w:val="en-US" w:eastAsia="zh-CN"/>
        </w:rPr>
        <w:t xml:space="preserve">   </w:t>
      </w:r>
      <w:r>
        <w:rPr>
          <w:rFonts w:hint="eastAsia" w:ascii="宋体" w:hAnsi="宋体" w:cs="宋体"/>
          <w:color w:val="auto"/>
          <w:sz w:val="30"/>
          <w:szCs w:val="30"/>
          <w:highlight w:val="none"/>
        </w:rPr>
        <w:t>购</w:t>
      </w:r>
      <w:r>
        <w:rPr>
          <w:rFonts w:hint="eastAsia" w:ascii="宋体" w:hAnsi="宋体" w:cs="宋体"/>
          <w:color w:val="auto"/>
          <w:sz w:val="30"/>
          <w:szCs w:val="30"/>
          <w:highlight w:val="none"/>
          <w:lang w:val="en-US" w:eastAsia="zh-CN"/>
        </w:rPr>
        <w:t xml:space="preserve"> </w:t>
      </w:r>
      <w:r>
        <w:rPr>
          <w:rFonts w:ascii="宋体" w:hAnsi="宋体" w:cs="宋体"/>
          <w:color w:val="auto"/>
          <w:sz w:val="30"/>
          <w:szCs w:val="30"/>
          <w:highlight w:val="none"/>
        </w:rPr>
        <w:t xml:space="preserve"> </w:t>
      </w:r>
      <w:r>
        <w:rPr>
          <w:rFonts w:hint="eastAsia" w:ascii="宋体" w:hAnsi="宋体" w:cs="宋体"/>
          <w:color w:val="auto"/>
          <w:sz w:val="30"/>
          <w:szCs w:val="30"/>
          <w:highlight w:val="none"/>
        </w:rPr>
        <w:t>人：</w:t>
      </w:r>
      <w:r>
        <w:rPr>
          <w:rFonts w:hint="eastAsia" w:ascii="宋体" w:hAnsi="宋体" w:cs="宋体"/>
          <w:color w:val="auto"/>
          <w:sz w:val="30"/>
          <w:szCs w:val="30"/>
          <w:highlight w:val="none"/>
          <w:lang w:eastAsia="zh-CN"/>
        </w:rPr>
        <w:t>上虞区丰惠镇人民政府</w:t>
      </w:r>
    </w:p>
    <w:p>
      <w:pPr>
        <w:snapToGrid w:val="0"/>
        <w:spacing w:line="360" w:lineRule="auto"/>
        <w:ind w:firstLine="900" w:firstLineChars="300"/>
        <w:jc w:val="both"/>
        <w:rPr>
          <w:rFonts w:hint="eastAsia" w:ascii="宋体" w:eastAsia="宋体"/>
          <w:color w:val="auto"/>
          <w:sz w:val="30"/>
          <w:szCs w:val="30"/>
          <w:highlight w:val="none"/>
          <w:lang w:eastAsia="zh-CN"/>
        </w:rPr>
      </w:pPr>
      <w:r>
        <w:rPr>
          <w:rFonts w:hint="eastAsia" w:ascii="宋体" w:hAnsi="宋体" w:cs="宋体"/>
          <w:color w:val="auto"/>
          <w:sz w:val="30"/>
          <w:szCs w:val="30"/>
          <w:highlight w:val="none"/>
        </w:rPr>
        <w:t>采购代理机构：</w:t>
      </w:r>
      <w:r>
        <w:rPr>
          <w:rFonts w:hint="eastAsia" w:ascii="宋体" w:hAnsi="宋体" w:cs="宋体"/>
          <w:color w:val="auto"/>
          <w:sz w:val="30"/>
          <w:szCs w:val="30"/>
          <w:highlight w:val="none"/>
          <w:lang w:eastAsia="zh-CN"/>
        </w:rPr>
        <w:t>绍兴市上虞区公共资源交易中心</w:t>
      </w:r>
    </w:p>
    <w:p>
      <w:pPr>
        <w:jc w:val="center"/>
        <w:rPr>
          <w:rFonts w:ascii="宋体"/>
          <w:color w:val="auto"/>
          <w:sz w:val="30"/>
          <w:szCs w:val="30"/>
          <w:highlight w:val="none"/>
        </w:rPr>
        <w:sectPr>
          <w:pgSz w:w="11906" w:h="16838"/>
          <w:pgMar w:top="1440" w:right="1800" w:bottom="1440" w:left="1800" w:header="851" w:footer="992" w:gutter="0"/>
          <w:cols w:space="425" w:num="1"/>
          <w:docGrid w:type="lines" w:linePitch="312" w:charSpace="0"/>
        </w:sectPr>
      </w:pPr>
      <w:r>
        <w:rPr>
          <w:rFonts w:hint="eastAsia" w:ascii="宋体" w:hAnsi="宋体" w:cs="宋体"/>
          <w:color w:val="auto"/>
          <w:sz w:val="30"/>
          <w:szCs w:val="30"/>
          <w:highlight w:val="none"/>
        </w:rPr>
        <w:t>二〇二</w:t>
      </w:r>
      <w:r>
        <w:rPr>
          <w:rFonts w:hint="eastAsia" w:ascii="宋体" w:hAnsi="宋体" w:cs="宋体"/>
          <w:color w:val="auto"/>
          <w:sz w:val="30"/>
          <w:szCs w:val="30"/>
          <w:highlight w:val="none"/>
          <w:lang w:val="en-US" w:eastAsia="zh-CN"/>
        </w:rPr>
        <w:t>五</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三</w:t>
      </w:r>
      <w:r>
        <w:rPr>
          <w:rFonts w:hint="eastAsia" w:ascii="宋体" w:hAnsi="宋体" w:cs="宋体"/>
          <w:color w:val="auto"/>
          <w:sz w:val="30"/>
          <w:szCs w:val="30"/>
          <w:highlight w:val="none"/>
        </w:rPr>
        <w:t>月</w:t>
      </w:r>
    </w:p>
    <w:p>
      <w:pPr>
        <w:spacing w:line="360" w:lineRule="auto"/>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目 录</w:t>
      </w:r>
    </w:p>
    <w:p>
      <w:pPr>
        <w:pStyle w:val="19"/>
        <w:tabs>
          <w:tab w:val="right" w:leader="dot" w:pos="8306"/>
        </w:tabs>
        <w:spacing w:line="360" w:lineRule="auto"/>
        <w:rPr>
          <w:sz w:val="22"/>
          <w:szCs w:val="22"/>
        </w:rPr>
      </w:pPr>
      <w:r>
        <w:rPr>
          <w:rFonts w:hint="eastAsia" w:ascii="宋体" w:hAnsi="宋体" w:cs="宋体"/>
          <w:color w:val="auto"/>
          <w:sz w:val="60"/>
          <w:szCs w:val="60"/>
          <w:highlight w:val="none"/>
        </w:rPr>
        <w:fldChar w:fldCharType="begin"/>
      </w:r>
      <w:r>
        <w:rPr>
          <w:rFonts w:hint="eastAsia" w:ascii="宋体" w:hAnsi="宋体" w:cs="宋体"/>
          <w:color w:val="auto"/>
          <w:sz w:val="60"/>
          <w:szCs w:val="60"/>
          <w:highlight w:val="none"/>
        </w:rPr>
        <w:instrText xml:space="preserve">TOC \o "1-3" \h \u </w:instrText>
      </w:r>
      <w:r>
        <w:rPr>
          <w:rFonts w:hint="eastAsia" w:ascii="宋体" w:hAnsi="宋体" w:cs="宋体"/>
          <w:color w:val="auto"/>
          <w:sz w:val="60"/>
          <w:szCs w:val="60"/>
          <w:highlight w:val="none"/>
        </w:rPr>
        <w:fldChar w:fldCharType="separate"/>
      </w:r>
      <w:r>
        <w:rPr>
          <w:rFonts w:hint="eastAsia" w:ascii="宋体" w:hAnsi="宋体" w:cs="宋体"/>
          <w:color w:val="auto"/>
          <w:sz w:val="22"/>
          <w:szCs w:val="60"/>
          <w:highlight w:val="none"/>
        </w:rPr>
        <w:fldChar w:fldCharType="begin"/>
      </w:r>
      <w:r>
        <w:rPr>
          <w:rFonts w:hint="eastAsia" w:ascii="宋体" w:hAnsi="宋体" w:cs="宋体"/>
          <w:sz w:val="22"/>
          <w:szCs w:val="60"/>
          <w:highlight w:val="none"/>
        </w:rPr>
        <w:instrText xml:space="preserve"> HYPERLINK \l _Toc30297 </w:instrText>
      </w:r>
      <w:r>
        <w:rPr>
          <w:rFonts w:hint="eastAsia" w:ascii="宋体" w:hAnsi="宋体" w:cs="宋体"/>
          <w:sz w:val="22"/>
          <w:szCs w:val="60"/>
          <w:highlight w:val="none"/>
        </w:rPr>
        <w:fldChar w:fldCharType="separate"/>
      </w:r>
      <w:r>
        <w:rPr>
          <w:rFonts w:hint="eastAsia" w:cs="宋体"/>
          <w:sz w:val="22"/>
          <w:szCs w:val="40"/>
          <w:highlight w:val="none"/>
        </w:rPr>
        <w:t>第一部分</w:t>
      </w:r>
      <w:r>
        <w:rPr>
          <w:sz w:val="22"/>
          <w:szCs w:val="40"/>
          <w:highlight w:val="none"/>
        </w:rPr>
        <w:t xml:space="preserve"> </w:t>
      </w:r>
      <w:r>
        <w:rPr>
          <w:rFonts w:hint="eastAsia" w:cs="宋体"/>
          <w:sz w:val="22"/>
          <w:szCs w:val="40"/>
          <w:highlight w:val="none"/>
        </w:rPr>
        <w:t>磋商公告</w:t>
      </w:r>
      <w:r>
        <w:rPr>
          <w:sz w:val="22"/>
          <w:szCs w:val="22"/>
        </w:rPr>
        <w:tab/>
      </w:r>
      <w:r>
        <w:rPr>
          <w:sz w:val="22"/>
          <w:szCs w:val="22"/>
        </w:rPr>
        <w:fldChar w:fldCharType="begin"/>
      </w:r>
      <w:r>
        <w:rPr>
          <w:sz w:val="22"/>
          <w:szCs w:val="22"/>
        </w:rPr>
        <w:instrText xml:space="preserve"> PAGEREF _Toc30297 \h </w:instrText>
      </w:r>
      <w:r>
        <w:rPr>
          <w:sz w:val="22"/>
          <w:szCs w:val="22"/>
        </w:rPr>
        <w:fldChar w:fldCharType="separate"/>
      </w:r>
      <w:r>
        <w:rPr>
          <w:sz w:val="22"/>
          <w:szCs w:val="22"/>
        </w:rPr>
        <w:t>1</w:t>
      </w:r>
      <w:r>
        <w:rPr>
          <w:sz w:val="22"/>
          <w:szCs w:val="22"/>
        </w:rPr>
        <w:fldChar w:fldCharType="end"/>
      </w:r>
      <w:r>
        <w:rPr>
          <w:rFonts w:hint="eastAsia" w:ascii="宋体" w:hAnsi="宋体" w:cs="宋体"/>
          <w:color w:val="auto"/>
          <w:sz w:val="22"/>
          <w:szCs w:val="60"/>
          <w:highlight w:val="none"/>
        </w:rPr>
        <w:fldChar w:fldCharType="end"/>
      </w:r>
    </w:p>
    <w:p>
      <w:pPr>
        <w:pStyle w:val="19"/>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_Toc24985 </w:instrText>
      </w:r>
      <w:r>
        <w:rPr>
          <w:rFonts w:hint="eastAsia" w:hAnsi="宋体"/>
          <w:sz w:val="22"/>
          <w:szCs w:val="60"/>
          <w:highlight w:val="none"/>
        </w:rPr>
        <w:fldChar w:fldCharType="separate"/>
      </w:r>
      <w:r>
        <w:rPr>
          <w:rFonts w:hint="eastAsia" w:cs="宋体"/>
          <w:sz w:val="22"/>
          <w:szCs w:val="40"/>
          <w:highlight w:val="none"/>
        </w:rPr>
        <w:t>第二部分</w:t>
      </w:r>
      <w:r>
        <w:rPr>
          <w:sz w:val="22"/>
          <w:szCs w:val="40"/>
          <w:highlight w:val="none"/>
        </w:rPr>
        <w:t xml:space="preserve"> </w:t>
      </w:r>
      <w:r>
        <w:rPr>
          <w:rFonts w:hint="eastAsia" w:cs="宋体"/>
          <w:sz w:val="22"/>
          <w:szCs w:val="40"/>
          <w:highlight w:val="none"/>
        </w:rPr>
        <w:t>供应商须知</w:t>
      </w:r>
      <w:r>
        <w:rPr>
          <w:sz w:val="22"/>
          <w:szCs w:val="22"/>
        </w:rPr>
        <w:tab/>
      </w:r>
      <w:r>
        <w:rPr>
          <w:sz w:val="22"/>
          <w:szCs w:val="22"/>
        </w:rPr>
        <w:fldChar w:fldCharType="begin"/>
      </w:r>
      <w:r>
        <w:rPr>
          <w:sz w:val="22"/>
          <w:szCs w:val="22"/>
        </w:rPr>
        <w:instrText xml:space="preserve"> PAGEREF _Toc24985 \h </w:instrText>
      </w:r>
      <w:r>
        <w:rPr>
          <w:sz w:val="22"/>
          <w:szCs w:val="22"/>
        </w:rPr>
        <w:fldChar w:fldCharType="separate"/>
      </w:r>
      <w:r>
        <w:rPr>
          <w:sz w:val="22"/>
          <w:szCs w:val="22"/>
        </w:rPr>
        <w:t>5</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_Toc16700 </w:instrText>
      </w:r>
      <w:r>
        <w:rPr>
          <w:rFonts w:hint="eastAsia" w:hAnsi="宋体"/>
          <w:sz w:val="22"/>
          <w:szCs w:val="60"/>
          <w:highlight w:val="none"/>
        </w:rPr>
        <w:fldChar w:fldCharType="separate"/>
      </w:r>
      <w:r>
        <w:rPr>
          <w:rFonts w:hint="eastAsia" w:hAnsi="宋体" w:cs="Times New Roman"/>
          <w:sz w:val="22"/>
          <w:szCs w:val="22"/>
        </w:rPr>
        <w:t xml:space="preserve">一、 </w:t>
      </w:r>
      <w:r>
        <w:rPr>
          <w:rFonts w:hint="eastAsia" w:hAnsi="宋体"/>
          <w:sz w:val="22"/>
          <w:szCs w:val="22"/>
          <w:highlight w:val="none"/>
        </w:rPr>
        <w:t>总则</w:t>
      </w:r>
      <w:r>
        <w:rPr>
          <w:sz w:val="22"/>
          <w:szCs w:val="22"/>
        </w:rPr>
        <w:tab/>
      </w:r>
      <w:r>
        <w:rPr>
          <w:sz w:val="22"/>
          <w:szCs w:val="22"/>
        </w:rPr>
        <w:fldChar w:fldCharType="begin"/>
      </w:r>
      <w:r>
        <w:rPr>
          <w:sz w:val="22"/>
          <w:szCs w:val="22"/>
        </w:rPr>
        <w:instrText xml:space="preserve"> PAGEREF _Toc16700 \h </w:instrText>
      </w:r>
      <w:r>
        <w:rPr>
          <w:sz w:val="22"/>
          <w:szCs w:val="22"/>
        </w:rPr>
        <w:fldChar w:fldCharType="separate"/>
      </w:r>
      <w:r>
        <w:rPr>
          <w:sz w:val="22"/>
          <w:szCs w:val="22"/>
        </w:rPr>
        <w:t>9</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_Toc5274 </w:instrText>
      </w:r>
      <w:r>
        <w:rPr>
          <w:rFonts w:hint="eastAsia" w:hAnsi="宋体"/>
          <w:sz w:val="22"/>
          <w:szCs w:val="60"/>
          <w:highlight w:val="none"/>
        </w:rPr>
        <w:fldChar w:fldCharType="separate"/>
      </w:r>
      <w:r>
        <w:rPr>
          <w:rFonts w:hint="eastAsia" w:cs="Times New Roman"/>
          <w:sz w:val="22"/>
          <w:szCs w:val="22"/>
        </w:rPr>
        <w:t xml:space="preserve">二、 </w:t>
      </w:r>
      <w:r>
        <w:rPr>
          <w:rFonts w:hint="eastAsia"/>
          <w:sz w:val="22"/>
          <w:szCs w:val="22"/>
          <w:highlight w:val="none"/>
        </w:rPr>
        <w:t>竞争性磋商文件</w:t>
      </w:r>
      <w:r>
        <w:rPr>
          <w:sz w:val="22"/>
          <w:szCs w:val="22"/>
        </w:rPr>
        <w:tab/>
      </w:r>
      <w:r>
        <w:rPr>
          <w:sz w:val="22"/>
          <w:szCs w:val="22"/>
        </w:rPr>
        <w:fldChar w:fldCharType="begin"/>
      </w:r>
      <w:r>
        <w:rPr>
          <w:sz w:val="22"/>
          <w:szCs w:val="22"/>
        </w:rPr>
        <w:instrText xml:space="preserve"> PAGEREF _Toc5274 \h </w:instrText>
      </w:r>
      <w:r>
        <w:rPr>
          <w:sz w:val="22"/>
          <w:szCs w:val="22"/>
        </w:rPr>
        <w:fldChar w:fldCharType="separate"/>
      </w:r>
      <w:r>
        <w:rPr>
          <w:sz w:val="22"/>
          <w:szCs w:val="22"/>
        </w:rPr>
        <w:t>9</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_Toc90 </w:instrText>
      </w:r>
      <w:r>
        <w:rPr>
          <w:rFonts w:hint="eastAsia" w:hAnsi="宋体"/>
          <w:sz w:val="22"/>
          <w:szCs w:val="60"/>
          <w:highlight w:val="none"/>
        </w:rPr>
        <w:fldChar w:fldCharType="separate"/>
      </w:r>
      <w:r>
        <w:rPr>
          <w:rFonts w:hint="eastAsia" w:cs="Times New Roman"/>
          <w:sz w:val="22"/>
          <w:szCs w:val="22"/>
        </w:rPr>
        <w:t xml:space="preserve">三、 </w:t>
      </w:r>
      <w:r>
        <w:rPr>
          <w:rFonts w:hint="eastAsia"/>
          <w:sz w:val="22"/>
          <w:szCs w:val="22"/>
          <w:highlight w:val="none"/>
        </w:rPr>
        <w:t>竞争性磋商响应文件的编写</w:t>
      </w:r>
      <w:r>
        <w:rPr>
          <w:sz w:val="22"/>
          <w:szCs w:val="22"/>
        </w:rPr>
        <w:tab/>
      </w:r>
      <w:r>
        <w:rPr>
          <w:sz w:val="22"/>
          <w:szCs w:val="22"/>
        </w:rPr>
        <w:fldChar w:fldCharType="begin"/>
      </w:r>
      <w:r>
        <w:rPr>
          <w:sz w:val="22"/>
          <w:szCs w:val="22"/>
        </w:rPr>
        <w:instrText xml:space="preserve"> PAGEREF _Toc90 \h </w:instrText>
      </w:r>
      <w:r>
        <w:rPr>
          <w:sz w:val="22"/>
          <w:szCs w:val="22"/>
        </w:rPr>
        <w:fldChar w:fldCharType="separate"/>
      </w:r>
      <w:r>
        <w:rPr>
          <w:sz w:val="22"/>
          <w:szCs w:val="22"/>
        </w:rPr>
        <w:t>10</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_Toc5500 </w:instrText>
      </w:r>
      <w:r>
        <w:rPr>
          <w:rFonts w:hint="eastAsia" w:hAnsi="宋体"/>
          <w:sz w:val="22"/>
          <w:szCs w:val="60"/>
          <w:highlight w:val="none"/>
        </w:rPr>
        <w:fldChar w:fldCharType="separate"/>
      </w:r>
      <w:r>
        <w:rPr>
          <w:rFonts w:hint="eastAsia" w:cs="Times New Roman"/>
          <w:sz w:val="22"/>
          <w:szCs w:val="22"/>
        </w:rPr>
        <w:t xml:space="preserve">四、 </w:t>
      </w:r>
      <w:r>
        <w:rPr>
          <w:rFonts w:hint="eastAsia"/>
          <w:sz w:val="22"/>
          <w:szCs w:val="22"/>
          <w:highlight w:val="none"/>
        </w:rPr>
        <w:t>响应文件的递交</w:t>
      </w:r>
      <w:r>
        <w:rPr>
          <w:sz w:val="22"/>
          <w:szCs w:val="22"/>
        </w:rPr>
        <w:tab/>
      </w:r>
      <w:r>
        <w:rPr>
          <w:sz w:val="22"/>
          <w:szCs w:val="22"/>
        </w:rPr>
        <w:fldChar w:fldCharType="begin"/>
      </w:r>
      <w:r>
        <w:rPr>
          <w:sz w:val="22"/>
          <w:szCs w:val="22"/>
        </w:rPr>
        <w:instrText xml:space="preserve"> PAGEREF _Toc5500 \h </w:instrText>
      </w:r>
      <w:r>
        <w:rPr>
          <w:sz w:val="22"/>
          <w:szCs w:val="22"/>
        </w:rPr>
        <w:fldChar w:fldCharType="separate"/>
      </w:r>
      <w:r>
        <w:rPr>
          <w:sz w:val="22"/>
          <w:szCs w:val="22"/>
        </w:rPr>
        <w:t>14</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_Toc28446 </w:instrText>
      </w:r>
      <w:r>
        <w:rPr>
          <w:rFonts w:hint="eastAsia" w:hAnsi="宋体"/>
          <w:sz w:val="22"/>
          <w:szCs w:val="60"/>
          <w:highlight w:val="none"/>
        </w:rPr>
        <w:fldChar w:fldCharType="separate"/>
      </w:r>
      <w:r>
        <w:rPr>
          <w:rFonts w:hint="eastAsia" w:hAnsi="宋体" w:cs="Times New Roman"/>
          <w:sz w:val="22"/>
          <w:szCs w:val="22"/>
        </w:rPr>
        <w:t xml:space="preserve">五、 </w:t>
      </w:r>
      <w:r>
        <w:rPr>
          <w:rFonts w:hint="eastAsia"/>
          <w:sz w:val="22"/>
          <w:szCs w:val="22"/>
          <w:highlight w:val="none"/>
        </w:rPr>
        <w:t>磋商无效的情形</w:t>
      </w:r>
      <w:r>
        <w:rPr>
          <w:sz w:val="22"/>
          <w:szCs w:val="22"/>
        </w:rPr>
        <w:tab/>
      </w:r>
      <w:r>
        <w:rPr>
          <w:sz w:val="22"/>
          <w:szCs w:val="22"/>
        </w:rPr>
        <w:fldChar w:fldCharType="begin"/>
      </w:r>
      <w:r>
        <w:rPr>
          <w:sz w:val="22"/>
          <w:szCs w:val="22"/>
        </w:rPr>
        <w:instrText xml:space="preserve"> PAGEREF _Toc28446 \h </w:instrText>
      </w:r>
      <w:r>
        <w:rPr>
          <w:sz w:val="22"/>
          <w:szCs w:val="22"/>
        </w:rPr>
        <w:fldChar w:fldCharType="separate"/>
      </w:r>
      <w:r>
        <w:rPr>
          <w:sz w:val="22"/>
          <w:szCs w:val="22"/>
        </w:rPr>
        <w:t>15</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_Toc28819 </w:instrText>
      </w:r>
      <w:r>
        <w:rPr>
          <w:rFonts w:hint="eastAsia" w:hAnsi="宋体"/>
          <w:sz w:val="22"/>
          <w:szCs w:val="60"/>
          <w:highlight w:val="none"/>
        </w:rPr>
        <w:fldChar w:fldCharType="separate"/>
      </w:r>
      <w:r>
        <w:rPr>
          <w:rFonts w:hint="eastAsia" w:cs="Times New Roman"/>
          <w:sz w:val="22"/>
          <w:szCs w:val="22"/>
        </w:rPr>
        <w:t xml:space="preserve">六、 </w:t>
      </w:r>
      <w:r>
        <w:rPr>
          <w:rFonts w:hint="eastAsia"/>
          <w:sz w:val="22"/>
          <w:szCs w:val="22"/>
          <w:highlight w:val="none"/>
        </w:rPr>
        <w:t>采购中止的情形</w:t>
      </w:r>
      <w:r>
        <w:rPr>
          <w:sz w:val="22"/>
          <w:szCs w:val="22"/>
        </w:rPr>
        <w:tab/>
      </w:r>
      <w:r>
        <w:rPr>
          <w:sz w:val="22"/>
          <w:szCs w:val="22"/>
        </w:rPr>
        <w:fldChar w:fldCharType="begin"/>
      </w:r>
      <w:r>
        <w:rPr>
          <w:sz w:val="22"/>
          <w:szCs w:val="22"/>
        </w:rPr>
        <w:instrText xml:space="preserve"> PAGEREF _Toc28819 \h </w:instrText>
      </w:r>
      <w:r>
        <w:rPr>
          <w:sz w:val="22"/>
          <w:szCs w:val="22"/>
        </w:rPr>
        <w:fldChar w:fldCharType="separate"/>
      </w:r>
      <w:r>
        <w:rPr>
          <w:sz w:val="22"/>
          <w:szCs w:val="22"/>
        </w:rPr>
        <w:t>16</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_Toc29913 </w:instrText>
      </w:r>
      <w:r>
        <w:rPr>
          <w:rFonts w:hint="eastAsia" w:hAnsi="宋体"/>
          <w:sz w:val="22"/>
          <w:szCs w:val="60"/>
          <w:highlight w:val="none"/>
        </w:rPr>
        <w:fldChar w:fldCharType="separate"/>
      </w:r>
      <w:r>
        <w:rPr>
          <w:rFonts w:hint="eastAsia" w:cs="Times New Roman"/>
          <w:sz w:val="22"/>
          <w:szCs w:val="22"/>
        </w:rPr>
        <w:t xml:space="preserve">七、 </w:t>
      </w:r>
      <w:r>
        <w:rPr>
          <w:rFonts w:hint="eastAsia"/>
          <w:sz w:val="22"/>
          <w:szCs w:val="22"/>
          <w:highlight w:val="none"/>
        </w:rPr>
        <w:t>确定成交供应商与签订合同</w:t>
      </w:r>
      <w:r>
        <w:rPr>
          <w:sz w:val="22"/>
          <w:szCs w:val="22"/>
        </w:rPr>
        <w:tab/>
      </w:r>
      <w:r>
        <w:rPr>
          <w:sz w:val="22"/>
          <w:szCs w:val="22"/>
        </w:rPr>
        <w:fldChar w:fldCharType="begin"/>
      </w:r>
      <w:r>
        <w:rPr>
          <w:sz w:val="22"/>
          <w:szCs w:val="22"/>
        </w:rPr>
        <w:instrText xml:space="preserve"> PAGEREF _Toc29913 \h </w:instrText>
      </w:r>
      <w:r>
        <w:rPr>
          <w:sz w:val="22"/>
          <w:szCs w:val="22"/>
        </w:rPr>
        <w:fldChar w:fldCharType="separate"/>
      </w:r>
      <w:r>
        <w:rPr>
          <w:sz w:val="22"/>
          <w:szCs w:val="22"/>
        </w:rPr>
        <w:t>16</w:t>
      </w:r>
      <w:r>
        <w:rPr>
          <w:sz w:val="22"/>
          <w:szCs w:val="22"/>
        </w:rPr>
        <w:fldChar w:fldCharType="end"/>
      </w:r>
      <w:r>
        <w:rPr>
          <w:rFonts w:hint="eastAsia" w:hAnsi="宋体"/>
          <w:color w:val="auto"/>
          <w:sz w:val="22"/>
          <w:szCs w:val="60"/>
          <w:highlight w:val="none"/>
        </w:rPr>
        <w:fldChar w:fldCharType="end"/>
      </w:r>
    </w:p>
    <w:p>
      <w:pPr>
        <w:pStyle w:val="19"/>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_Toc29447 </w:instrText>
      </w:r>
      <w:r>
        <w:rPr>
          <w:rFonts w:hint="eastAsia" w:hAnsi="宋体"/>
          <w:sz w:val="22"/>
          <w:szCs w:val="60"/>
          <w:highlight w:val="none"/>
        </w:rPr>
        <w:fldChar w:fldCharType="separate"/>
      </w:r>
      <w:r>
        <w:rPr>
          <w:rFonts w:hint="eastAsia" w:cs="宋体"/>
          <w:sz w:val="22"/>
          <w:szCs w:val="40"/>
        </w:rPr>
        <w:t xml:space="preserve">第三部分 </w:t>
      </w:r>
      <w:r>
        <w:rPr>
          <w:rFonts w:hint="eastAsia" w:cs="宋体"/>
          <w:sz w:val="22"/>
          <w:szCs w:val="40"/>
          <w:highlight w:val="none"/>
        </w:rPr>
        <w:t>采购内容及要求</w:t>
      </w:r>
      <w:r>
        <w:rPr>
          <w:sz w:val="22"/>
          <w:szCs w:val="22"/>
        </w:rPr>
        <w:tab/>
      </w:r>
      <w:r>
        <w:rPr>
          <w:sz w:val="22"/>
          <w:szCs w:val="22"/>
        </w:rPr>
        <w:fldChar w:fldCharType="begin"/>
      </w:r>
      <w:r>
        <w:rPr>
          <w:sz w:val="22"/>
          <w:szCs w:val="22"/>
        </w:rPr>
        <w:instrText xml:space="preserve"> PAGEREF _Toc29447 \h </w:instrText>
      </w:r>
      <w:r>
        <w:rPr>
          <w:sz w:val="22"/>
          <w:szCs w:val="22"/>
        </w:rPr>
        <w:fldChar w:fldCharType="separate"/>
      </w:r>
      <w:r>
        <w:rPr>
          <w:sz w:val="22"/>
          <w:szCs w:val="22"/>
        </w:rPr>
        <w:t>18</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_Toc10406 </w:instrText>
      </w:r>
      <w:r>
        <w:rPr>
          <w:rFonts w:hint="eastAsia" w:hAnsi="宋体"/>
          <w:sz w:val="22"/>
          <w:szCs w:val="60"/>
          <w:highlight w:val="none"/>
        </w:rPr>
        <w:fldChar w:fldCharType="separate"/>
      </w:r>
      <w:r>
        <w:rPr>
          <w:rFonts w:hint="eastAsia"/>
          <w:sz w:val="22"/>
          <w:szCs w:val="22"/>
          <w:highlight w:val="none"/>
        </w:rPr>
        <w:t>第一章 采购内容及要求</w:t>
      </w:r>
      <w:r>
        <w:rPr>
          <w:sz w:val="22"/>
          <w:szCs w:val="22"/>
        </w:rPr>
        <w:tab/>
      </w:r>
      <w:r>
        <w:rPr>
          <w:sz w:val="22"/>
          <w:szCs w:val="22"/>
        </w:rPr>
        <w:fldChar w:fldCharType="begin"/>
      </w:r>
      <w:r>
        <w:rPr>
          <w:sz w:val="22"/>
          <w:szCs w:val="22"/>
        </w:rPr>
        <w:instrText xml:space="preserve"> PAGEREF _Toc10406 \h </w:instrText>
      </w:r>
      <w:r>
        <w:rPr>
          <w:sz w:val="22"/>
          <w:szCs w:val="22"/>
        </w:rPr>
        <w:fldChar w:fldCharType="separate"/>
      </w:r>
      <w:r>
        <w:rPr>
          <w:sz w:val="22"/>
          <w:szCs w:val="22"/>
        </w:rPr>
        <w:t>18</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_Toc17345 </w:instrText>
      </w:r>
      <w:r>
        <w:rPr>
          <w:rFonts w:hint="eastAsia" w:hAnsi="宋体"/>
          <w:sz w:val="22"/>
          <w:szCs w:val="60"/>
          <w:highlight w:val="none"/>
        </w:rPr>
        <w:fldChar w:fldCharType="separate"/>
      </w:r>
      <w:r>
        <w:rPr>
          <w:rFonts w:hint="eastAsia"/>
          <w:sz w:val="22"/>
          <w:szCs w:val="22"/>
          <w:highlight w:val="none"/>
          <w:lang w:val="en-US" w:eastAsia="zh-CN"/>
        </w:rPr>
        <w:t xml:space="preserve">第二章 </w:t>
      </w:r>
      <w:r>
        <w:rPr>
          <w:rFonts w:hint="eastAsia"/>
          <w:sz w:val="22"/>
          <w:szCs w:val="22"/>
          <w:highlight w:val="none"/>
        </w:rPr>
        <w:t>付款方式</w:t>
      </w:r>
      <w:r>
        <w:rPr>
          <w:rFonts w:hint="eastAsia"/>
          <w:sz w:val="22"/>
          <w:szCs w:val="22"/>
          <w:highlight w:val="none"/>
          <w:lang w:val="en-US" w:eastAsia="zh-CN"/>
        </w:rPr>
        <w:t>及要求</w:t>
      </w:r>
      <w:r>
        <w:rPr>
          <w:sz w:val="22"/>
          <w:szCs w:val="22"/>
        </w:rPr>
        <w:tab/>
      </w:r>
      <w:r>
        <w:rPr>
          <w:sz w:val="22"/>
          <w:szCs w:val="22"/>
        </w:rPr>
        <w:fldChar w:fldCharType="begin"/>
      </w:r>
      <w:r>
        <w:rPr>
          <w:sz w:val="22"/>
          <w:szCs w:val="22"/>
        </w:rPr>
        <w:instrText xml:space="preserve"> PAGEREF _Toc17345 \h </w:instrText>
      </w:r>
      <w:r>
        <w:rPr>
          <w:sz w:val="22"/>
          <w:szCs w:val="22"/>
        </w:rPr>
        <w:fldChar w:fldCharType="separate"/>
      </w:r>
      <w:r>
        <w:rPr>
          <w:sz w:val="22"/>
          <w:szCs w:val="22"/>
        </w:rPr>
        <w:t>23</w:t>
      </w:r>
      <w:r>
        <w:rPr>
          <w:sz w:val="22"/>
          <w:szCs w:val="22"/>
        </w:rPr>
        <w:fldChar w:fldCharType="end"/>
      </w:r>
      <w:r>
        <w:rPr>
          <w:rFonts w:hint="eastAsia" w:hAnsi="宋体"/>
          <w:color w:val="auto"/>
          <w:sz w:val="22"/>
          <w:szCs w:val="60"/>
          <w:highlight w:val="none"/>
        </w:rPr>
        <w:fldChar w:fldCharType="end"/>
      </w:r>
    </w:p>
    <w:p>
      <w:pPr>
        <w:pStyle w:val="19"/>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_Toc6461 </w:instrText>
      </w:r>
      <w:r>
        <w:rPr>
          <w:rFonts w:hint="eastAsia" w:hAnsi="宋体"/>
          <w:sz w:val="22"/>
          <w:szCs w:val="60"/>
          <w:highlight w:val="none"/>
        </w:rPr>
        <w:fldChar w:fldCharType="separate"/>
      </w:r>
      <w:r>
        <w:rPr>
          <w:rFonts w:hint="eastAsia" w:cs="宋体"/>
          <w:sz w:val="22"/>
          <w:szCs w:val="40"/>
        </w:rPr>
        <w:t xml:space="preserve">第四部分 </w:t>
      </w:r>
      <w:r>
        <w:rPr>
          <w:rFonts w:hint="eastAsia" w:cs="宋体"/>
          <w:sz w:val="22"/>
          <w:szCs w:val="40"/>
          <w:highlight w:val="none"/>
        </w:rPr>
        <w:t>磋商原则及磋商方法</w:t>
      </w:r>
      <w:r>
        <w:rPr>
          <w:sz w:val="22"/>
          <w:szCs w:val="22"/>
        </w:rPr>
        <w:tab/>
      </w:r>
      <w:r>
        <w:rPr>
          <w:sz w:val="22"/>
          <w:szCs w:val="22"/>
        </w:rPr>
        <w:fldChar w:fldCharType="begin"/>
      </w:r>
      <w:r>
        <w:rPr>
          <w:sz w:val="22"/>
          <w:szCs w:val="22"/>
        </w:rPr>
        <w:instrText xml:space="preserve"> PAGEREF _Toc6461 \h </w:instrText>
      </w:r>
      <w:r>
        <w:rPr>
          <w:sz w:val="22"/>
          <w:szCs w:val="22"/>
        </w:rPr>
        <w:fldChar w:fldCharType="separate"/>
      </w:r>
      <w:r>
        <w:rPr>
          <w:sz w:val="22"/>
          <w:szCs w:val="22"/>
        </w:rPr>
        <w:t>24</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_Toc21591 </w:instrText>
      </w:r>
      <w:r>
        <w:rPr>
          <w:rFonts w:hint="eastAsia" w:hAnsi="宋体"/>
          <w:sz w:val="22"/>
          <w:szCs w:val="60"/>
          <w:highlight w:val="none"/>
        </w:rPr>
        <w:fldChar w:fldCharType="separate"/>
      </w:r>
      <w:r>
        <w:rPr>
          <w:rFonts w:hint="eastAsia" w:cs="Times New Roman"/>
          <w:sz w:val="22"/>
          <w:szCs w:val="22"/>
        </w:rPr>
        <w:t xml:space="preserve">一、 </w:t>
      </w:r>
      <w:r>
        <w:rPr>
          <w:rFonts w:hint="eastAsia"/>
          <w:sz w:val="22"/>
          <w:szCs w:val="22"/>
          <w:highlight w:val="none"/>
        </w:rPr>
        <w:t>磋商原则</w:t>
      </w:r>
      <w:r>
        <w:rPr>
          <w:sz w:val="22"/>
          <w:szCs w:val="22"/>
        </w:rPr>
        <w:tab/>
      </w:r>
      <w:r>
        <w:rPr>
          <w:sz w:val="22"/>
          <w:szCs w:val="22"/>
        </w:rPr>
        <w:fldChar w:fldCharType="begin"/>
      </w:r>
      <w:r>
        <w:rPr>
          <w:sz w:val="22"/>
          <w:szCs w:val="22"/>
        </w:rPr>
        <w:instrText xml:space="preserve"> PAGEREF _Toc21591 \h </w:instrText>
      </w:r>
      <w:r>
        <w:rPr>
          <w:sz w:val="22"/>
          <w:szCs w:val="22"/>
        </w:rPr>
        <w:fldChar w:fldCharType="separate"/>
      </w:r>
      <w:r>
        <w:rPr>
          <w:sz w:val="22"/>
          <w:szCs w:val="22"/>
        </w:rPr>
        <w:t>24</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_Toc8334 </w:instrText>
      </w:r>
      <w:r>
        <w:rPr>
          <w:rFonts w:hint="eastAsia" w:hAnsi="宋体"/>
          <w:sz w:val="22"/>
          <w:szCs w:val="60"/>
          <w:highlight w:val="none"/>
        </w:rPr>
        <w:fldChar w:fldCharType="separate"/>
      </w:r>
      <w:r>
        <w:rPr>
          <w:rFonts w:hint="eastAsia" w:cs="Times New Roman"/>
          <w:sz w:val="22"/>
          <w:szCs w:val="22"/>
        </w:rPr>
        <w:t xml:space="preserve">二、 </w:t>
      </w:r>
      <w:r>
        <w:rPr>
          <w:rFonts w:hint="eastAsia"/>
          <w:sz w:val="22"/>
          <w:szCs w:val="22"/>
          <w:highlight w:val="none"/>
        </w:rPr>
        <w:t>磋商程序</w:t>
      </w:r>
      <w:r>
        <w:rPr>
          <w:sz w:val="22"/>
          <w:szCs w:val="22"/>
        </w:rPr>
        <w:tab/>
      </w:r>
      <w:r>
        <w:rPr>
          <w:sz w:val="22"/>
          <w:szCs w:val="22"/>
        </w:rPr>
        <w:fldChar w:fldCharType="begin"/>
      </w:r>
      <w:r>
        <w:rPr>
          <w:sz w:val="22"/>
          <w:szCs w:val="22"/>
        </w:rPr>
        <w:instrText xml:space="preserve"> PAGEREF _Toc8334 \h </w:instrText>
      </w:r>
      <w:r>
        <w:rPr>
          <w:sz w:val="22"/>
          <w:szCs w:val="22"/>
        </w:rPr>
        <w:fldChar w:fldCharType="separate"/>
      </w:r>
      <w:r>
        <w:rPr>
          <w:sz w:val="22"/>
          <w:szCs w:val="22"/>
        </w:rPr>
        <w:t>25</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_Toc29385 </w:instrText>
      </w:r>
      <w:r>
        <w:rPr>
          <w:rFonts w:hint="eastAsia" w:hAnsi="宋体"/>
          <w:sz w:val="22"/>
          <w:szCs w:val="60"/>
          <w:highlight w:val="none"/>
        </w:rPr>
        <w:fldChar w:fldCharType="separate"/>
      </w:r>
      <w:r>
        <w:rPr>
          <w:rFonts w:hint="eastAsia" w:cs="Times New Roman"/>
          <w:sz w:val="22"/>
          <w:szCs w:val="22"/>
        </w:rPr>
        <w:t xml:space="preserve">三、 </w:t>
      </w:r>
      <w:r>
        <w:rPr>
          <w:rFonts w:hint="eastAsia"/>
          <w:sz w:val="22"/>
          <w:szCs w:val="22"/>
          <w:highlight w:val="none"/>
        </w:rPr>
        <w:t>注意事项</w:t>
      </w:r>
      <w:r>
        <w:rPr>
          <w:sz w:val="22"/>
          <w:szCs w:val="22"/>
        </w:rPr>
        <w:tab/>
      </w:r>
      <w:r>
        <w:rPr>
          <w:sz w:val="22"/>
          <w:szCs w:val="22"/>
        </w:rPr>
        <w:fldChar w:fldCharType="begin"/>
      </w:r>
      <w:r>
        <w:rPr>
          <w:sz w:val="22"/>
          <w:szCs w:val="22"/>
        </w:rPr>
        <w:instrText xml:space="preserve"> PAGEREF _Toc29385 \h </w:instrText>
      </w:r>
      <w:r>
        <w:rPr>
          <w:sz w:val="22"/>
          <w:szCs w:val="22"/>
        </w:rPr>
        <w:fldChar w:fldCharType="separate"/>
      </w:r>
      <w:r>
        <w:rPr>
          <w:sz w:val="22"/>
          <w:szCs w:val="22"/>
        </w:rPr>
        <w:t>29</w:t>
      </w:r>
      <w:r>
        <w:rPr>
          <w:sz w:val="22"/>
          <w:szCs w:val="22"/>
        </w:rPr>
        <w:fldChar w:fldCharType="end"/>
      </w:r>
      <w:r>
        <w:rPr>
          <w:rFonts w:hint="eastAsia" w:hAnsi="宋体"/>
          <w:color w:val="auto"/>
          <w:sz w:val="22"/>
          <w:szCs w:val="60"/>
          <w:highlight w:val="none"/>
        </w:rPr>
        <w:fldChar w:fldCharType="end"/>
      </w:r>
    </w:p>
    <w:p>
      <w:pPr>
        <w:pStyle w:val="22"/>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_Toc2341 </w:instrText>
      </w:r>
      <w:r>
        <w:rPr>
          <w:rFonts w:hint="eastAsia" w:hAnsi="宋体"/>
          <w:sz w:val="22"/>
          <w:szCs w:val="60"/>
          <w:highlight w:val="none"/>
        </w:rPr>
        <w:fldChar w:fldCharType="separate"/>
      </w:r>
      <w:r>
        <w:rPr>
          <w:rFonts w:hint="eastAsia" w:cs="Times New Roman"/>
          <w:sz w:val="22"/>
          <w:szCs w:val="22"/>
        </w:rPr>
        <w:t xml:space="preserve">四、 </w:t>
      </w:r>
      <w:r>
        <w:rPr>
          <w:rFonts w:hint="eastAsia"/>
          <w:sz w:val="22"/>
          <w:szCs w:val="22"/>
          <w:highlight w:val="none"/>
        </w:rPr>
        <w:t>评分细则</w:t>
      </w:r>
      <w:r>
        <w:rPr>
          <w:sz w:val="22"/>
          <w:szCs w:val="22"/>
        </w:rPr>
        <w:tab/>
      </w:r>
      <w:r>
        <w:rPr>
          <w:sz w:val="22"/>
          <w:szCs w:val="22"/>
        </w:rPr>
        <w:fldChar w:fldCharType="begin"/>
      </w:r>
      <w:r>
        <w:rPr>
          <w:sz w:val="22"/>
          <w:szCs w:val="22"/>
        </w:rPr>
        <w:instrText xml:space="preserve"> PAGEREF _Toc2341 \h </w:instrText>
      </w:r>
      <w:r>
        <w:rPr>
          <w:sz w:val="22"/>
          <w:szCs w:val="22"/>
        </w:rPr>
        <w:fldChar w:fldCharType="separate"/>
      </w:r>
      <w:r>
        <w:rPr>
          <w:sz w:val="22"/>
          <w:szCs w:val="22"/>
        </w:rPr>
        <w:t>29</w:t>
      </w:r>
      <w:r>
        <w:rPr>
          <w:sz w:val="22"/>
          <w:szCs w:val="22"/>
        </w:rPr>
        <w:fldChar w:fldCharType="end"/>
      </w:r>
      <w:r>
        <w:rPr>
          <w:rFonts w:hint="eastAsia" w:hAnsi="宋体"/>
          <w:color w:val="auto"/>
          <w:sz w:val="22"/>
          <w:szCs w:val="60"/>
          <w:highlight w:val="none"/>
        </w:rPr>
        <w:fldChar w:fldCharType="end"/>
      </w:r>
    </w:p>
    <w:p>
      <w:pPr>
        <w:pStyle w:val="19"/>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_Toc18905 </w:instrText>
      </w:r>
      <w:r>
        <w:rPr>
          <w:rFonts w:hint="eastAsia" w:hAnsi="宋体"/>
          <w:sz w:val="22"/>
          <w:szCs w:val="60"/>
          <w:highlight w:val="none"/>
        </w:rPr>
        <w:fldChar w:fldCharType="separate"/>
      </w:r>
      <w:r>
        <w:rPr>
          <w:rFonts w:hint="eastAsia" w:cs="宋体"/>
          <w:sz w:val="22"/>
          <w:szCs w:val="40"/>
          <w:highlight w:val="none"/>
          <w:lang w:val="en-US" w:eastAsia="zh-CN"/>
        </w:rPr>
        <w:t xml:space="preserve">第五部分 </w:t>
      </w:r>
      <w:r>
        <w:rPr>
          <w:rFonts w:hint="eastAsia" w:cs="宋体"/>
          <w:sz w:val="22"/>
          <w:szCs w:val="40"/>
          <w:highlight w:val="none"/>
        </w:rPr>
        <w:t>采购合同</w:t>
      </w:r>
      <w:r>
        <w:rPr>
          <w:sz w:val="22"/>
          <w:szCs w:val="22"/>
        </w:rPr>
        <w:tab/>
      </w:r>
      <w:r>
        <w:rPr>
          <w:sz w:val="22"/>
          <w:szCs w:val="22"/>
        </w:rPr>
        <w:fldChar w:fldCharType="begin"/>
      </w:r>
      <w:r>
        <w:rPr>
          <w:sz w:val="22"/>
          <w:szCs w:val="22"/>
        </w:rPr>
        <w:instrText xml:space="preserve"> PAGEREF _Toc18905 \h </w:instrText>
      </w:r>
      <w:r>
        <w:rPr>
          <w:sz w:val="22"/>
          <w:szCs w:val="22"/>
        </w:rPr>
        <w:fldChar w:fldCharType="separate"/>
      </w:r>
      <w:r>
        <w:rPr>
          <w:sz w:val="22"/>
          <w:szCs w:val="22"/>
        </w:rPr>
        <w:t>33</w:t>
      </w:r>
      <w:r>
        <w:rPr>
          <w:sz w:val="22"/>
          <w:szCs w:val="22"/>
        </w:rPr>
        <w:fldChar w:fldCharType="end"/>
      </w:r>
      <w:r>
        <w:rPr>
          <w:rFonts w:hint="eastAsia" w:hAnsi="宋体"/>
          <w:color w:val="auto"/>
          <w:sz w:val="22"/>
          <w:szCs w:val="60"/>
          <w:highlight w:val="none"/>
        </w:rPr>
        <w:fldChar w:fldCharType="end"/>
      </w:r>
    </w:p>
    <w:p>
      <w:pPr>
        <w:pStyle w:val="19"/>
        <w:tabs>
          <w:tab w:val="right" w:leader="dot" w:pos="8306"/>
        </w:tabs>
        <w:spacing w:line="360" w:lineRule="auto"/>
        <w:rPr>
          <w:sz w:val="22"/>
          <w:szCs w:val="22"/>
        </w:rPr>
      </w:pPr>
      <w:r>
        <w:rPr>
          <w:rFonts w:hint="eastAsia" w:hAnsi="宋体"/>
          <w:color w:val="auto"/>
          <w:sz w:val="22"/>
          <w:szCs w:val="60"/>
          <w:highlight w:val="none"/>
        </w:rPr>
        <w:fldChar w:fldCharType="begin"/>
      </w:r>
      <w:r>
        <w:rPr>
          <w:rFonts w:hint="eastAsia" w:hAnsi="宋体"/>
          <w:sz w:val="22"/>
          <w:szCs w:val="60"/>
          <w:highlight w:val="none"/>
        </w:rPr>
        <w:instrText xml:space="preserve"> HYPERLINK \l _Toc15258 </w:instrText>
      </w:r>
      <w:r>
        <w:rPr>
          <w:rFonts w:hint="eastAsia" w:hAnsi="宋体"/>
          <w:sz w:val="22"/>
          <w:szCs w:val="60"/>
          <w:highlight w:val="none"/>
        </w:rPr>
        <w:fldChar w:fldCharType="separate"/>
      </w:r>
      <w:r>
        <w:rPr>
          <w:rFonts w:hint="eastAsia" w:cs="宋体"/>
          <w:sz w:val="22"/>
          <w:szCs w:val="40"/>
        </w:rPr>
        <w:t xml:space="preserve">第五部分 </w:t>
      </w:r>
      <w:r>
        <w:rPr>
          <w:rFonts w:hint="eastAsia" w:cs="宋体"/>
          <w:sz w:val="22"/>
          <w:szCs w:val="40"/>
          <w:highlight w:val="none"/>
        </w:rPr>
        <w:t>应提交的有关格式范例</w:t>
      </w:r>
      <w:r>
        <w:rPr>
          <w:sz w:val="22"/>
          <w:szCs w:val="22"/>
        </w:rPr>
        <w:tab/>
      </w:r>
      <w:r>
        <w:rPr>
          <w:sz w:val="22"/>
          <w:szCs w:val="22"/>
        </w:rPr>
        <w:fldChar w:fldCharType="begin"/>
      </w:r>
      <w:r>
        <w:rPr>
          <w:sz w:val="22"/>
          <w:szCs w:val="22"/>
        </w:rPr>
        <w:instrText xml:space="preserve"> PAGEREF _Toc15258 \h </w:instrText>
      </w:r>
      <w:r>
        <w:rPr>
          <w:sz w:val="22"/>
          <w:szCs w:val="22"/>
        </w:rPr>
        <w:fldChar w:fldCharType="separate"/>
      </w:r>
      <w:r>
        <w:rPr>
          <w:sz w:val="22"/>
          <w:szCs w:val="22"/>
        </w:rPr>
        <w:t>40</w:t>
      </w:r>
      <w:r>
        <w:rPr>
          <w:sz w:val="22"/>
          <w:szCs w:val="22"/>
        </w:rPr>
        <w:fldChar w:fldCharType="end"/>
      </w:r>
      <w:r>
        <w:rPr>
          <w:rFonts w:hint="eastAsia" w:hAnsi="宋体"/>
          <w:color w:val="auto"/>
          <w:sz w:val="22"/>
          <w:szCs w:val="60"/>
          <w:highlight w:val="none"/>
        </w:rPr>
        <w:fldChar w:fldCharType="end"/>
      </w:r>
    </w:p>
    <w:p>
      <w:pPr>
        <w:pStyle w:val="2"/>
        <w:spacing w:line="360" w:lineRule="auto"/>
        <w:rPr>
          <w:color w:val="auto"/>
          <w:highlight w:val="none"/>
        </w:rPr>
      </w:pPr>
      <w:r>
        <w:rPr>
          <w:rFonts w:hint="eastAsia" w:hAnsi="宋体"/>
          <w:color w:val="auto"/>
          <w:sz w:val="32"/>
          <w:szCs w:val="60"/>
          <w:highlight w:val="none"/>
        </w:rPr>
        <w:fldChar w:fldCharType="end"/>
      </w:r>
    </w:p>
    <w:p>
      <w:pPr>
        <w:rPr>
          <w:color w:val="auto"/>
          <w:highlight w:val="none"/>
        </w:rPr>
      </w:pPr>
    </w:p>
    <w:p>
      <w:pPr>
        <w:rPr>
          <w:color w:val="auto"/>
          <w:highlight w:val="none"/>
        </w:rPr>
      </w:pPr>
    </w:p>
    <w:p>
      <w:pPr>
        <w:tabs>
          <w:tab w:val="left" w:pos="3148"/>
        </w:tabs>
        <w:jc w:val="left"/>
        <w:rPr>
          <w:color w:val="auto"/>
          <w:highlight w:val="none"/>
        </w:rPr>
        <w:sectPr>
          <w:footerReference r:id="rId3" w:type="default"/>
          <w:pgSz w:w="11906" w:h="16838"/>
          <w:pgMar w:top="1440" w:right="1800" w:bottom="1440" w:left="1800" w:header="851" w:footer="992" w:gutter="0"/>
          <w:pgNumType w:start="1"/>
          <w:cols w:space="425" w:num="1"/>
          <w:docGrid w:type="lines" w:linePitch="312" w:charSpace="0"/>
        </w:sectPr>
      </w:pPr>
      <w:r>
        <w:rPr>
          <w:color w:val="auto"/>
          <w:highlight w:val="none"/>
        </w:rPr>
        <w:tab/>
      </w:r>
    </w:p>
    <w:p>
      <w:pPr>
        <w:pStyle w:val="4"/>
        <w:jc w:val="center"/>
        <w:rPr>
          <w:rFonts w:ascii="宋体" w:cs="Times New Roman"/>
          <w:color w:val="auto"/>
          <w:highlight w:val="none"/>
        </w:rPr>
      </w:pPr>
      <w:bookmarkStart w:id="1" w:name="_Toc30297"/>
      <w:bookmarkStart w:id="2" w:name="_Toc32199"/>
      <w:bookmarkStart w:id="3" w:name="_Toc31034"/>
      <w:bookmarkStart w:id="4" w:name="第二部分"/>
      <w:bookmarkStart w:id="5" w:name="_Toc91899870"/>
      <w:r>
        <w:rPr>
          <w:rFonts w:hint="eastAsia" w:cs="宋体"/>
          <w:color w:val="auto"/>
          <w:sz w:val="36"/>
          <w:szCs w:val="36"/>
          <w:highlight w:val="none"/>
        </w:rPr>
        <w:t>第一部分</w:t>
      </w:r>
      <w:r>
        <w:rPr>
          <w:color w:val="auto"/>
          <w:sz w:val="36"/>
          <w:szCs w:val="36"/>
          <w:highlight w:val="none"/>
        </w:rPr>
        <w:t xml:space="preserve"> </w:t>
      </w:r>
      <w:r>
        <w:rPr>
          <w:rFonts w:hint="eastAsia" w:cs="宋体"/>
          <w:color w:val="auto"/>
          <w:sz w:val="36"/>
          <w:szCs w:val="36"/>
          <w:highlight w:val="none"/>
        </w:rPr>
        <w:t>磋商公告</w:t>
      </w:r>
      <w:bookmarkEnd w:id="1"/>
      <w:bookmarkEnd w:id="2"/>
      <w:bookmarkEnd w:id="3"/>
    </w:p>
    <w:p>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lang w:eastAsia="zh-CN"/>
        </w:rPr>
        <w:t>绍兴市上虞区公共资源交易中心</w:t>
      </w:r>
      <w:r>
        <w:rPr>
          <w:rFonts w:hint="eastAsia" w:ascii="宋体" w:hAnsi="宋体" w:cs="宋体"/>
          <w:color w:val="auto"/>
          <w:sz w:val="28"/>
          <w:szCs w:val="28"/>
          <w:highlight w:val="none"/>
        </w:rPr>
        <w:t>关于</w:t>
      </w:r>
      <w:r>
        <w:rPr>
          <w:rFonts w:hint="eastAsia" w:ascii="宋体" w:hAnsi="宋体" w:cs="宋体"/>
          <w:color w:val="auto"/>
          <w:sz w:val="28"/>
          <w:szCs w:val="28"/>
          <w:highlight w:val="none"/>
          <w:lang w:eastAsia="zh-CN"/>
        </w:rPr>
        <w:t>丰惠镇政府和便民中心物业管理服务项目（三年）</w:t>
      </w:r>
      <w:r>
        <w:rPr>
          <w:rFonts w:hint="eastAsia" w:ascii="宋体" w:hAnsi="宋体" w:cs="宋体"/>
          <w:color w:val="auto"/>
          <w:sz w:val="28"/>
          <w:szCs w:val="28"/>
          <w:highlight w:val="none"/>
        </w:rPr>
        <w:t>的竞争性磋商公告</w:t>
      </w:r>
    </w:p>
    <w:p>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rPr>
        <w:t>公告日期：</w:t>
      </w:r>
      <w:r>
        <w:rPr>
          <w:rFonts w:hint="eastAsia" w:ascii="宋体" w:hAnsi="宋体" w:cs="宋体"/>
          <w:color w:val="auto"/>
          <w:sz w:val="28"/>
          <w:szCs w:val="28"/>
          <w:highlight w:val="none"/>
          <w:lang w:eastAsia="zh-CN"/>
        </w:rPr>
        <w:t>2025</w:t>
      </w:r>
      <w:r>
        <w:rPr>
          <w:rFonts w:hint="eastAsia" w:ascii="宋体" w:hAnsi="宋体" w:cs="宋体"/>
          <w:color w:val="auto"/>
          <w:sz w:val="28"/>
          <w:szCs w:val="28"/>
          <w:highlight w:val="none"/>
        </w:rPr>
        <w:t>年</w:t>
      </w:r>
      <w:r>
        <w:rPr>
          <w:rFonts w:hint="eastAsia" w:ascii="宋体" w:hAnsi="宋体" w:cs="宋体"/>
          <w:color w:val="auto"/>
          <w:sz w:val="28"/>
          <w:szCs w:val="28"/>
          <w:highlight w:val="none"/>
          <w:lang w:val="en-US" w:eastAsia="zh-CN"/>
        </w:rPr>
        <w:t>3</w:t>
      </w:r>
      <w:r>
        <w:rPr>
          <w:rFonts w:hint="eastAsia" w:ascii="宋体" w:hAnsi="宋体" w:cs="宋体"/>
          <w:color w:val="auto"/>
          <w:sz w:val="28"/>
          <w:szCs w:val="28"/>
          <w:highlight w:val="none"/>
        </w:rPr>
        <w:t>月</w:t>
      </w:r>
      <w:r>
        <w:rPr>
          <w:rFonts w:hint="eastAsia" w:ascii="宋体" w:hAnsi="宋体" w:cs="宋体"/>
          <w:color w:val="auto"/>
          <w:sz w:val="28"/>
          <w:szCs w:val="28"/>
          <w:highlight w:val="none"/>
          <w:lang w:val="en-US" w:eastAsia="zh-CN"/>
        </w:rPr>
        <w:t>19</w:t>
      </w:r>
      <w:r>
        <w:rPr>
          <w:rFonts w:hint="eastAsia" w:ascii="宋体" w:hAnsi="宋体" w:cs="宋体"/>
          <w:color w:val="auto"/>
          <w:sz w:val="28"/>
          <w:szCs w:val="28"/>
          <w:highlight w:val="none"/>
        </w:rPr>
        <w:t>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根据《中华人民共和国政府采购法》等有关规定，</w:t>
      </w:r>
      <w:r>
        <w:rPr>
          <w:rFonts w:hint="eastAsia" w:ascii="宋体" w:hAnsi="宋体" w:cs="宋体"/>
          <w:color w:val="auto"/>
          <w:sz w:val="24"/>
          <w:szCs w:val="24"/>
          <w:highlight w:val="none"/>
          <w:u w:val="single"/>
          <w:lang w:eastAsia="zh-CN"/>
        </w:rPr>
        <w:t>绍兴市上虞区公共资源交易中心</w:t>
      </w:r>
      <w:r>
        <w:rPr>
          <w:rFonts w:hint="eastAsia" w:ascii="宋体" w:hAnsi="宋体" w:cs="宋体"/>
          <w:color w:val="auto"/>
          <w:sz w:val="24"/>
          <w:szCs w:val="24"/>
          <w:highlight w:val="none"/>
        </w:rPr>
        <w:t>受</w:t>
      </w:r>
      <w:r>
        <w:rPr>
          <w:rFonts w:hint="eastAsia" w:ascii="宋体" w:hAnsi="宋体" w:cs="宋体"/>
          <w:color w:val="auto"/>
          <w:sz w:val="24"/>
          <w:szCs w:val="24"/>
          <w:highlight w:val="none"/>
          <w:u w:val="single"/>
          <w:lang w:eastAsia="zh-CN"/>
        </w:rPr>
        <w:t>上虞区丰惠镇人民政府</w:t>
      </w:r>
      <w:r>
        <w:rPr>
          <w:rFonts w:hint="eastAsia" w:ascii="宋体" w:hAnsi="宋体" w:cs="宋体"/>
          <w:color w:val="auto"/>
          <w:sz w:val="24"/>
          <w:szCs w:val="24"/>
          <w:highlight w:val="none"/>
        </w:rPr>
        <w:t>委托，现就</w:t>
      </w:r>
      <w:r>
        <w:rPr>
          <w:rFonts w:hint="eastAsia" w:ascii="宋体" w:hAnsi="宋体" w:cs="宋体"/>
          <w:color w:val="auto"/>
          <w:sz w:val="24"/>
          <w:szCs w:val="24"/>
          <w:highlight w:val="none"/>
          <w:u w:val="single"/>
          <w:lang w:eastAsia="zh-CN"/>
        </w:rPr>
        <w:t>丰惠镇政府和便民中心物业管理服务项目（三年）</w:t>
      </w:r>
      <w:r>
        <w:rPr>
          <w:rFonts w:hint="eastAsia" w:ascii="宋体" w:hAnsi="宋体" w:cs="宋体"/>
          <w:color w:val="auto"/>
          <w:sz w:val="24"/>
          <w:szCs w:val="24"/>
          <w:highlight w:val="none"/>
        </w:rPr>
        <w:t>进行竞争性磋商采购，欢迎国内合格的供应商参加本次采购活动。</w:t>
      </w:r>
    </w:p>
    <w:p>
      <w:pPr>
        <w:adjustRightInd w:val="0"/>
        <w:spacing w:line="360" w:lineRule="auto"/>
        <w:ind w:firstLine="480" w:firstLineChars="200"/>
        <w:rPr>
          <w:rFonts w:ascii="宋体"/>
          <w:color w:val="auto"/>
          <w:sz w:val="24"/>
          <w:szCs w:val="24"/>
          <w:highlight w:val="none"/>
          <w:u w:val="single"/>
        </w:rPr>
      </w:pPr>
      <w:r>
        <w:rPr>
          <w:rFonts w:hint="eastAsia" w:ascii="宋体" w:hAnsi="宋体" w:cs="宋体"/>
          <w:color w:val="auto"/>
          <w:sz w:val="24"/>
          <w:szCs w:val="24"/>
          <w:highlight w:val="none"/>
        </w:rPr>
        <w:t>一．</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磋商项目编号：</w:t>
      </w:r>
      <w:r>
        <w:rPr>
          <w:rFonts w:hint="eastAsia" w:ascii="宋体" w:hAnsi="宋体" w:cs="宋体"/>
          <w:color w:val="auto"/>
          <w:sz w:val="24"/>
          <w:szCs w:val="24"/>
          <w:highlight w:val="none"/>
          <w:lang w:eastAsia="zh-CN"/>
        </w:rPr>
        <w:t>JZCS2025018</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采购组织类型：</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xml:space="preserve"> 集中采购（本级集采）</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磋商项目概况</w:t>
      </w:r>
      <w:r>
        <w:rPr>
          <w:rFonts w:hint="eastAsia" w:ascii="宋体" w:hAnsi="宋体" w:cs="宋体"/>
          <w:color w:val="auto"/>
          <w:sz w:val="24"/>
          <w:szCs w:val="24"/>
          <w:highlight w:val="none"/>
          <w:lang w:eastAsia="zh-CN"/>
        </w:rPr>
        <w:t>：</w:t>
      </w:r>
    </w:p>
    <w:tbl>
      <w:tblPr>
        <w:tblStyle w:val="29"/>
        <w:tblW w:w="9833"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624"/>
        <w:gridCol w:w="1635"/>
        <w:gridCol w:w="705"/>
        <w:gridCol w:w="765"/>
        <w:gridCol w:w="1215"/>
        <w:gridCol w:w="2970"/>
        <w:gridCol w:w="1230"/>
        <w:gridCol w:w="689"/>
      </w:tblGrid>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1223" w:hRule="atLeast"/>
          <w:jc w:val="center"/>
        </w:trPr>
        <w:tc>
          <w:tcPr>
            <w:tcW w:w="624"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635"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项目名称</w:t>
            </w:r>
          </w:p>
        </w:tc>
        <w:tc>
          <w:tcPr>
            <w:tcW w:w="705"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数量</w:t>
            </w:r>
          </w:p>
        </w:tc>
        <w:tc>
          <w:tcPr>
            <w:tcW w:w="765"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单位</w:t>
            </w:r>
          </w:p>
        </w:tc>
        <w:tc>
          <w:tcPr>
            <w:tcW w:w="1215"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预算金额</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万元</w:t>
            </w:r>
            <w:r>
              <w:rPr>
                <w:rFonts w:hint="eastAsia" w:ascii="宋体" w:hAnsi="宋体" w:cs="宋体"/>
                <w:color w:val="auto"/>
                <w:sz w:val="24"/>
                <w:szCs w:val="24"/>
                <w:highlight w:val="none"/>
                <w:lang w:eastAsia="zh-CN"/>
              </w:rPr>
              <w:t>）</w:t>
            </w:r>
          </w:p>
        </w:tc>
        <w:tc>
          <w:tcPr>
            <w:tcW w:w="2970"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简要规格描述或标项基本概况介绍</w:t>
            </w:r>
          </w:p>
        </w:tc>
        <w:tc>
          <w:tcPr>
            <w:tcW w:w="1230"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最高限价</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万元</w:t>
            </w:r>
            <w:r>
              <w:rPr>
                <w:rFonts w:hint="eastAsia" w:ascii="宋体" w:hAnsi="宋体" w:cs="宋体"/>
                <w:color w:val="auto"/>
                <w:sz w:val="24"/>
                <w:szCs w:val="24"/>
                <w:highlight w:val="none"/>
                <w:lang w:eastAsia="zh-CN"/>
              </w:rPr>
              <w:t>）</w:t>
            </w:r>
          </w:p>
        </w:tc>
        <w:tc>
          <w:tcPr>
            <w:tcW w:w="689" w:type="dxa"/>
            <w:tcBorders>
              <w:top w:val="single" w:color="000000" w:sz="4" w:space="0"/>
            </w:tcBorders>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1184" w:hRule="atLeast"/>
          <w:jc w:val="center"/>
        </w:trPr>
        <w:tc>
          <w:tcPr>
            <w:tcW w:w="624" w:type="dxa"/>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1635" w:type="dxa"/>
            <w:vAlign w:val="center"/>
          </w:tcPr>
          <w:p>
            <w:pPr>
              <w:adjustRightIn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丰惠镇政府和便民中心物业管理服务项目（三年）</w:t>
            </w:r>
          </w:p>
        </w:tc>
        <w:tc>
          <w:tcPr>
            <w:tcW w:w="705" w:type="dxa"/>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765" w:type="dxa"/>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项</w:t>
            </w:r>
          </w:p>
        </w:tc>
        <w:tc>
          <w:tcPr>
            <w:tcW w:w="1215" w:type="dxa"/>
            <w:vAlign w:val="center"/>
          </w:tcPr>
          <w:p>
            <w:pPr>
              <w:adjustRightIn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183</w:t>
            </w:r>
          </w:p>
        </w:tc>
        <w:tc>
          <w:tcPr>
            <w:tcW w:w="2970" w:type="dxa"/>
            <w:vAlign w:val="center"/>
          </w:tcPr>
          <w:p>
            <w:pPr>
              <w:keepLines w:val="0"/>
              <w:pageBreakBefore w:val="0"/>
              <w:widowControl w:val="0"/>
              <w:kinsoku/>
              <w:wordWrap/>
              <w:overflowPunct/>
              <w:topLinePunct w:val="0"/>
              <w:autoSpaceDE/>
              <w:autoSpaceDN/>
              <w:bidi w:val="0"/>
              <w:spacing w:line="520" w:lineRule="exact"/>
              <w:jc w:val="center"/>
              <w:textAlignment w:val="auto"/>
              <w:rPr>
                <w:rFonts w:ascii="宋体" w:hAnsi="宋体" w:cs="宋体"/>
                <w:color w:val="auto"/>
                <w:sz w:val="24"/>
                <w:szCs w:val="24"/>
                <w:highlight w:val="none"/>
              </w:rPr>
            </w:pPr>
            <w:bookmarkStart w:id="6" w:name="OLE_LINK3"/>
            <w:r>
              <w:rPr>
                <w:rFonts w:hint="eastAsia" w:ascii="宋体" w:hAnsi="宋体" w:cs="宋体"/>
                <w:color w:val="auto"/>
                <w:sz w:val="24"/>
                <w:highlight w:val="none"/>
              </w:rPr>
              <w:t>主要</w:t>
            </w:r>
            <w:r>
              <w:rPr>
                <w:rFonts w:hint="eastAsia" w:ascii="宋体" w:hAnsi="宋体" w:cs="宋体"/>
                <w:color w:val="auto"/>
                <w:sz w:val="24"/>
                <w:highlight w:val="none"/>
                <w:lang w:val="en-US" w:eastAsia="zh-CN"/>
              </w:rPr>
              <w:t>负责</w:t>
            </w:r>
            <w:r>
              <w:rPr>
                <w:rFonts w:hint="eastAsia" w:ascii="宋体" w:hAnsi="宋体" w:cs="宋体"/>
                <w:color w:val="auto"/>
                <w:sz w:val="24"/>
                <w:highlight w:val="none"/>
              </w:rPr>
              <w:t>丰惠镇政府大楼及便民服务中心范围内的保洁、保安等物业服务</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服务期3年</w:t>
            </w:r>
            <w:r>
              <w:rPr>
                <w:rFonts w:hint="eastAsia" w:hAnsi="宋体"/>
                <w:color w:val="auto"/>
                <w:sz w:val="24"/>
                <w:szCs w:val="24"/>
                <w:highlight w:val="none"/>
              </w:rPr>
              <w:t>。</w:t>
            </w:r>
            <w:bookmarkEnd w:id="6"/>
          </w:p>
        </w:tc>
        <w:tc>
          <w:tcPr>
            <w:tcW w:w="1230" w:type="dxa"/>
            <w:vAlign w:val="center"/>
          </w:tcPr>
          <w:p>
            <w:pPr>
              <w:adjustRightIn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183</w:t>
            </w:r>
          </w:p>
        </w:tc>
        <w:tc>
          <w:tcPr>
            <w:tcW w:w="689" w:type="dxa"/>
            <w:vAlign w:val="center"/>
          </w:tcPr>
          <w:p>
            <w:pPr>
              <w:adjustRightInd w:val="0"/>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w:t>
            </w:r>
          </w:p>
        </w:tc>
      </w:tr>
    </w:tbl>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四．</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合格供应商资格要求</w:t>
      </w:r>
      <w:r>
        <w:rPr>
          <w:rFonts w:hint="eastAsia" w:ascii="宋体" w:hAnsi="宋体" w:cs="宋体"/>
          <w:color w:val="auto"/>
          <w:sz w:val="24"/>
          <w:szCs w:val="24"/>
          <w:highlight w:val="none"/>
          <w:lang w:eastAsia="zh-CN"/>
        </w:rPr>
        <w:t>：</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符合政府采购法第二十二条，且未被“信用中国”（</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）列入失信被执行人、重大税收违法案件当事人名单、政府采购严重违法失信行为记录名单。</w:t>
      </w:r>
      <w:r>
        <w:rPr>
          <w:rFonts w:ascii="宋体"/>
          <w:color w:val="auto"/>
          <w:sz w:val="24"/>
          <w:szCs w:val="24"/>
          <w:highlight w:val="none"/>
        </w:rPr>
        <w:t> </w:t>
      </w:r>
    </w:p>
    <w:p>
      <w:pPr>
        <w:numPr>
          <w:ilvl w:val="0"/>
          <w:numId w:val="3"/>
        </w:num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落实政府采购政策需满足的资格要求：</w:t>
      </w:r>
      <w:bookmarkStart w:id="7" w:name="OLE_LINK4"/>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为中小企业/小微企业</w:t>
      </w:r>
      <w:r>
        <w:rPr>
          <w:rFonts w:hint="eastAsia" w:ascii="宋体" w:hAnsi="宋体" w:cs="宋体"/>
          <w:color w:val="auto"/>
          <w:sz w:val="24"/>
          <w:highlight w:val="none"/>
          <w:lang w:eastAsia="zh-CN"/>
        </w:rPr>
        <w:t>。</w:t>
      </w:r>
      <w:bookmarkEnd w:id="7"/>
    </w:p>
    <w:p>
      <w:pPr>
        <w:numPr>
          <w:ilvl w:val="0"/>
          <w:numId w:val="3"/>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公益一类事业单位不能做为承接主体。</w:t>
      </w:r>
    </w:p>
    <w:p>
      <w:pPr>
        <w:numPr>
          <w:ilvl w:val="0"/>
          <w:numId w:val="3"/>
        </w:num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本次</w:t>
      </w:r>
      <w:r>
        <w:rPr>
          <w:rFonts w:hint="eastAsia" w:ascii="宋体" w:hAnsi="宋体" w:cs="宋体"/>
          <w:color w:val="auto"/>
          <w:sz w:val="24"/>
          <w:highlight w:val="none"/>
          <w:lang w:val="en-US" w:eastAsia="zh-CN"/>
        </w:rPr>
        <w:t>磋商</w:t>
      </w:r>
      <w:r>
        <w:rPr>
          <w:rFonts w:hint="eastAsia" w:ascii="宋体" w:hAnsi="宋体" w:cs="宋体"/>
          <w:color w:val="auto"/>
          <w:sz w:val="24"/>
          <w:highlight w:val="none"/>
          <w:u w:val="single"/>
          <w:lang w:val="en-US" w:eastAsia="zh-CN"/>
        </w:rPr>
        <w:t>不</w:t>
      </w:r>
      <w:r>
        <w:rPr>
          <w:rFonts w:hint="eastAsia" w:ascii="宋体" w:hAnsi="宋体" w:cs="宋体"/>
          <w:color w:val="auto"/>
          <w:sz w:val="24"/>
          <w:highlight w:val="none"/>
          <w:u w:val="single"/>
        </w:rPr>
        <w:t>接受</w:t>
      </w:r>
      <w:r>
        <w:rPr>
          <w:rFonts w:hint="eastAsia" w:ascii="宋体" w:hAnsi="宋体" w:cs="宋体"/>
          <w:color w:val="auto"/>
          <w:sz w:val="24"/>
          <w:highlight w:val="none"/>
        </w:rPr>
        <w:t>联合体投标。</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本项目采用资格后审的审查方式，由磋商小组负责审查。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五．获取磋商文件</w:t>
      </w:r>
    </w:p>
    <w:p>
      <w:pPr>
        <w:numPr>
          <w:ilvl w:val="0"/>
          <w:numId w:val="4"/>
        </w:numPr>
        <w:adjustRightInd w:val="0"/>
        <w:spacing w:line="360" w:lineRule="auto"/>
        <w:ind w:firstLine="480" w:firstLineChars="200"/>
        <w:rPr>
          <w:rFonts w:ascii="宋体"/>
          <w:color w:val="auto"/>
          <w:sz w:val="24"/>
          <w:szCs w:val="24"/>
          <w:highlight w:val="none"/>
        </w:rPr>
      </w:pPr>
      <w:bookmarkStart w:id="8" w:name="报名开始时间1"/>
      <w:r>
        <w:rPr>
          <w:rFonts w:hint="eastAsia" w:ascii="宋体" w:hAnsi="宋体" w:cs="宋体"/>
          <w:color w:val="auto"/>
          <w:sz w:val="24"/>
          <w:szCs w:val="24"/>
          <w:highlight w:val="none"/>
        </w:rPr>
        <w:t>获取磋商文件时间</w:t>
      </w:r>
      <w:r>
        <w:rPr>
          <w:rFonts w:hint="eastAsia" w:ascii="宋体" w:hAnsi="宋体" w:cs="宋体"/>
          <w:color w:val="auto"/>
          <w:sz w:val="24"/>
          <w:szCs w:val="24"/>
          <w:highlight w:val="none"/>
          <w:lang w:eastAsia="zh-CN"/>
        </w:rPr>
        <w:t>：</w:t>
      </w:r>
      <w:bookmarkEnd w:id="8"/>
      <w:r>
        <w:rPr>
          <w:rFonts w:hint="eastAsia" w:ascii="宋体" w:hAnsi="宋体" w:cs="宋体"/>
          <w:color w:val="auto"/>
          <w:sz w:val="24"/>
          <w:szCs w:val="24"/>
          <w:highlight w:val="none"/>
          <w:u w:val="single"/>
          <w:lang w:eastAsia="zh-CN"/>
        </w:rPr>
        <w:t>2025</w:t>
      </w:r>
      <w:r>
        <w:rPr>
          <w:rFonts w:hint="eastAsia" w:ascii="宋体" w:hAnsi="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2</w:t>
      </w:r>
      <w:r>
        <w:rPr>
          <w:rFonts w:hint="eastAsia" w:ascii="宋体" w:hAnsi="宋体" w:cs="宋体"/>
          <w:color w:val="auto"/>
          <w:sz w:val="24"/>
          <w:szCs w:val="24"/>
          <w:highlight w:val="none"/>
          <w:u w:val="single"/>
        </w:rPr>
        <w:t>日 9</w:t>
      </w:r>
      <w:r>
        <w:rPr>
          <w:rFonts w:ascii="宋体" w:hAnsi="宋体" w:cs="宋体"/>
          <w:color w:val="auto"/>
          <w:sz w:val="24"/>
          <w:szCs w:val="24"/>
          <w:highlight w:val="none"/>
          <w:u w:val="single"/>
        </w:rPr>
        <w:t>:</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0</w:t>
      </w:r>
      <w:r>
        <w:rPr>
          <w:rFonts w:hint="eastAsia" w:ascii="宋体" w:hAnsi="宋体" w:cs="宋体"/>
          <w:color w:val="auto"/>
          <w:sz w:val="24"/>
          <w:szCs w:val="24"/>
          <w:highlight w:val="none"/>
        </w:rPr>
        <w:t>之前获取。</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获取磋商文件方式：供应商</w:t>
      </w:r>
      <w:r>
        <w:rPr>
          <w:rFonts w:hint="eastAsia" w:ascii="宋体" w:hAnsi="宋体" w:cs="宋体"/>
          <w:color w:val="auto"/>
          <w:sz w:val="24"/>
          <w:szCs w:val="24"/>
          <w:highlight w:val="none"/>
          <w:lang w:eastAsia="zh-CN"/>
        </w:rPr>
        <w:t>登录</w:t>
      </w:r>
      <w:r>
        <w:rPr>
          <w:rFonts w:hint="eastAsia" w:ascii="宋体" w:hAnsi="宋体" w:cs="宋体"/>
          <w:color w:val="auto"/>
          <w:sz w:val="24"/>
          <w:szCs w:val="24"/>
          <w:highlight w:val="none"/>
        </w:rPr>
        <w:t>政采云平台</w:t>
      </w:r>
      <w:r>
        <w:rPr>
          <w:rFonts w:ascii="宋体" w:hAnsi="宋体" w:cs="宋体"/>
          <w:color w:val="auto"/>
          <w:sz w:val="24"/>
          <w:szCs w:val="24"/>
          <w:highlight w:val="none"/>
        </w:rPr>
        <w:t>http://www.zcygov.cn/</w:t>
      </w:r>
      <w:r>
        <w:rPr>
          <w:rFonts w:hint="eastAsia" w:ascii="宋体" w:hAnsi="宋体" w:cs="宋体"/>
          <w:color w:val="auto"/>
          <w:sz w:val="24"/>
          <w:szCs w:val="24"/>
          <w:highlight w:val="none"/>
        </w:rPr>
        <w:t>，在线申请获取磋商文件（进入“项目采购”应用，在获取采购文件菜单中选择项目，申请获取采购文件）。</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提示：</w:t>
      </w:r>
    </w:p>
    <w:p>
      <w:pPr>
        <w:numPr>
          <w:ilvl w:val="0"/>
          <w:numId w:val="5"/>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将拒绝接受未获取磋商文件供应商的响应文件。</w:t>
      </w:r>
    </w:p>
    <w:p>
      <w:pPr>
        <w:numPr>
          <w:ilvl w:val="0"/>
          <w:numId w:val="5"/>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磋商文件及更正补充公告请自行登录浙江政府采购网或绍兴市上虞区公共资源交易中心网站，在采购公告页面中下载。</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六．投标与开标注意事项：</w:t>
      </w:r>
    </w:p>
    <w:p>
      <w:pPr>
        <w:numPr>
          <w:ilvl w:val="0"/>
          <w:numId w:val="6"/>
        </w:numPr>
        <w:adjustRightInd w:val="0"/>
        <w:spacing w:line="360" w:lineRule="auto"/>
        <w:ind w:firstLine="480" w:firstLineChars="200"/>
        <w:rPr>
          <w:rFonts w:ascii="宋体" w:hAnsi="宋体" w:cs="宋体"/>
          <w:color w:val="auto"/>
          <w:sz w:val="24"/>
          <w:szCs w:val="24"/>
          <w:highlight w:val="none"/>
        </w:rPr>
      </w:pPr>
      <w:bookmarkStart w:id="9" w:name="OLE_LINK5"/>
      <w:r>
        <w:rPr>
          <w:rFonts w:hint="eastAsia" w:ascii="宋体" w:hAnsi="宋体" w:cs="宋体"/>
          <w:color w:val="auto"/>
          <w:sz w:val="24"/>
          <w:szCs w:val="24"/>
          <w:highlight w:val="none"/>
        </w:rPr>
        <w:t>本项目实行</w:t>
      </w:r>
      <w:r>
        <w:rPr>
          <w:rFonts w:hint="eastAsia" w:ascii="宋体" w:hAnsi="宋体" w:cs="宋体"/>
          <w:b/>
          <w:bCs/>
          <w:color w:val="auto"/>
          <w:sz w:val="24"/>
          <w:szCs w:val="24"/>
          <w:highlight w:val="none"/>
        </w:rPr>
        <w:t>网上投标</w:t>
      </w:r>
      <w:r>
        <w:rPr>
          <w:rFonts w:hint="eastAsia" w:ascii="宋体" w:hAnsi="宋体" w:cs="宋体"/>
          <w:color w:val="auto"/>
          <w:sz w:val="24"/>
          <w:szCs w:val="24"/>
          <w:highlight w:val="none"/>
        </w:rPr>
        <w:t>，采用电子投标文件，若供应商参与投标，自行承担投标一切费用。</w:t>
      </w:r>
    </w:p>
    <w:p>
      <w:pPr>
        <w:numPr>
          <w:ilvl w:val="0"/>
          <w:numId w:val="6"/>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供应商将政采云电子交易客户端下载、安装完成后，可通过账号密码或CA登录客户端进行投标文件制作。在使用政采云投标客户端时，建议使用WIN7及以上操作系统。</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注：供应商先要申领CA，取得CA后需要在政采云平台进行绑定，CA相关操作可参考《CA管理学习专题》。完成CA数字证书办理在资料齐全的情况下预计7个工作日左右，建议供应商获取招标文件后立即办理。</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《CA管理学习专题》：</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https://edu.zcygov.cn/luban/ca?utm=web-government-front.380aac0a.0.0.fc2b6aa0b6e211ebbdb0dd007730dd44</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《CA驱动和申领流程》:</w:t>
      </w:r>
    </w:p>
    <w:p>
      <w:pPr>
        <w:adjustRightInd w:val="0"/>
        <w:spacing w:line="360" w:lineRule="auto"/>
        <w:ind w:left="420" w:leftChars="200"/>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"http://zfcg.czt.zj.gov.cn/bidClientTemplate/2019-05-27/12945.html" </w:instrText>
      </w:r>
      <w:r>
        <w:rPr>
          <w:color w:val="auto"/>
          <w:highlight w:val="none"/>
        </w:rPr>
        <w:fldChar w:fldCharType="separate"/>
      </w:r>
      <w:r>
        <w:rPr>
          <w:rFonts w:hint="eastAsia" w:ascii="宋体" w:hAnsi="宋体" w:cs="宋体"/>
          <w:color w:val="auto"/>
          <w:sz w:val="24"/>
          <w:highlight w:val="none"/>
        </w:rPr>
        <w:t>http://zfcg.czt.zj.gov.cn/bidClientTemplate/2019-05-27/12945.html</w:t>
      </w:r>
      <w:r>
        <w:rPr>
          <w:rFonts w:hint="eastAsia" w:ascii="宋体" w:hAnsi="宋体" w:cs="宋体"/>
          <w:color w:val="auto"/>
          <w:sz w:val="24"/>
          <w:highlight w:val="none"/>
        </w:rPr>
        <w:fldChar w:fldCharType="end"/>
      </w:r>
    </w:p>
    <w:p>
      <w:pPr>
        <w:numPr>
          <w:ilvl w:val="0"/>
          <w:numId w:val="6"/>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投标文件制作：</w:t>
      </w:r>
    </w:p>
    <w:p>
      <w:pPr>
        <w:numPr>
          <w:ilvl w:val="0"/>
          <w:numId w:val="7"/>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应按照本项目招标文件和政采云平台的要求编制、加密并递交投标文件。供应商在使用系统进行投标的过程中遇到涉及平台使用的任何问题，可致电政采云平台技术支持热线咨询，联系方式：95763。</w:t>
      </w:r>
    </w:p>
    <w:p>
      <w:pPr>
        <w:numPr>
          <w:ilvl w:val="0"/>
          <w:numId w:val="7"/>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投标人通过“政采云”平台电子投标工具制作投标文件。</w:t>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《电子投标工具》：</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宋体" w:hAnsi="宋体" w:cs="宋体"/>
          <w:color w:val="auto"/>
          <w:sz w:val="24"/>
          <w:szCs w:val="24"/>
          <w:highlight w:val="none"/>
        </w:rPr>
        <w:t>http://zfcg.czt.zj.gov.cn/bidClientTemplate/2019-09-24/12975.html</w:t>
      </w:r>
      <w:r>
        <w:rPr>
          <w:rFonts w:hint="eastAsia" w:ascii="宋体" w:hAnsi="宋体" w:cs="宋体"/>
          <w:color w:val="auto"/>
          <w:sz w:val="24"/>
          <w:szCs w:val="24"/>
          <w:highlight w:val="none"/>
        </w:rPr>
        <w:fldChar w:fldCharType="end"/>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《供应商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政府采购项目电子交易操作指南》：</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需登录账号后查看</w:t>
      </w:r>
      <w:r>
        <w:rPr>
          <w:rFonts w:hint="eastAsia" w:ascii="宋体" w:hAnsi="宋体" w:cs="宋体"/>
          <w:color w:val="auto"/>
          <w:sz w:val="24"/>
          <w:szCs w:val="24"/>
          <w:highlight w:val="none"/>
          <w:lang w:eastAsia="zh-CN"/>
        </w:rPr>
        <w:t>）</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"https://service.zcygov.cn/" \l "/knowledges/tree?tag=AG1DtGwBFdiHxlNdhY0r" </w:instrText>
      </w:r>
      <w:r>
        <w:rPr>
          <w:color w:val="auto"/>
          <w:highlight w:val="none"/>
        </w:rPr>
        <w:fldChar w:fldCharType="separate"/>
      </w:r>
      <w:r>
        <w:rPr>
          <w:rFonts w:hint="eastAsia" w:ascii="宋体" w:hAnsi="宋体" w:cs="宋体"/>
          <w:color w:val="auto"/>
          <w:sz w:val="24"/>
          <w:szCs w:val="24"/>
          <w:highlight w:val="none"/>
        </w:rPr>
        <w:t>https://service.zcygov.cn/#/knowledges/tree?tag=AG1DtGwBFdiHxlNdhY0r</w:t>
      </w:r>
      <w:r>
        <w:rPr>
          <w:rFonts w:hint="eastAsia" w:ascii="宋体" w:hAnsi="宋体" w:cs="宋体"/>
          <w:color w:val="auto"/>
          <w:sz w:val="24"/>
          <w:szCs w:val="24"/>
          <w:highlight w:val="none"/>
        </w:rPr>
        <w:fldChar w:fldCharType="end"/>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4.供应商在法定质疑期内应一次性提出针对同一采购程序环节的质疑。</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5.投标人可指派授权代表递交备份文件，授权代表递交备份文件需携带法定代表人授权书原件，于投标截止时间前到达开标地点递交。</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6.特别提醒</w:t>
      </w:r>
    </w:p>
    <w:p>
      <w:pPr>
        <w:numPr>
          <w:ilvl w:val="0"/>
          <w:numId w:val="8"/>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单位负责人为同一人或者存在直接控股、管理关系的不同供应商，不得参加同一合同项下的政府采购活动。</w:t>
      </w:r>
    </w:p>
    <w:p>
      <w:pPr>
        <w:numPr>
          <w:ilvl w:val="0"/>
          <w:numId w:val="8"/>
        </w:numPr>
        <w:wordWrap w:val="0"/>
        <w:adjustRightInd w:val="0"/>
        <w:spacing w:line="360" w:lineRule="auto"/>
        <w:ind w:firstLine="480" w:firstLineChars="200"/>
        <w:rPr>
          <w:color w:val="auto"/>
          <w:highlight w:val="none"/>
        </w:rPr>
      </w:pPr>
      <w:r>
        <w:rPr>
          <w:rFonts w:hint="eastAsia" w:ascii="宋体" w:hAnsi="宋体" w:cs="宋体"/>
          <w:color w:val="auto"/>
          <w:sz w:val="24"/>
          <w:szCs w:val="24"/>
          <w:highlight w:val="none"/>
        </w:rPr>
        <w:t>除单一来源采购项目外，为采购项目提供整体设计、规范编制或者项目管理、监理、检测等服务的供应商，不得再参加该采购项目的其他采购活动。</w:t>
      </w:r>
    </w:p>
    <w:bookmarkEnd w:id="9"/>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七．磋商响应截止时间及要求：</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2025</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分整</w:t>
      </w:r>
      <w:r>
        <w:rPr>
          <w:rFonts w:hint="eastAsia" w:ascii="宋体" w:hAnsi="宋体" w:cs="宋体"/>
          <w:color w:val="auto"/>
          <w:kern w:val="0"/>
          <w:sz w:val="24"/>
          <w:szCs w:val="24"/>
          <w:highlight w:val="none"/>
        </w:rPr>
        <w:t>之前将电子磋商响应文件上传到“政采云”平台。</w:t>
      </w:r>
    </w:p>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八．递交首次响应文件时间及地点：</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2025</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w:t>
      </w:r>
      <w:bookmarkStart w:id="10" w:name="B30_开标地点"/>
      <w:r>
        <w:rPr>
          <w:rFonts w:hint="eastAsia" w:ascii="宋体" w:hAnsi="宋体" w:cs="宋体"/>
          <w:color w:val="auto"/>
          <w:sz w:val="24"/>
          <w:szCs w:val="24"/>
          <w:highlight w:val="none"/>
        </w:rPr>
        <w:t>整在</w:t>
      </w:r>
      <w:r>
        <w:rPr>
          <w:rFonts w:hint="eastAsia" w:ascii="宋体" w:hAnsi="宋体" w:cs="宋体"/>
          <w:color w:val="auto"/>
          <w:sz w:val="24"/>
          <w:szCs w:val="24"/>
          <w:highlight w:val="none"/>
          <w:lang w:val="en-US" w:eastAsia="zh-CN"/>
        </w:rPr>
        <w:t>绍兴市上虞区公共资源交易中心三楼363</w:t>
      </w:r>
      <w:r>
        <w:rPr>
          <w:rFonts w:hint="eastAsia" w:ascii="宋体" w:hAnsi="宋体" w:cs="宋体"/>
          <w:color w:val="auto"/>
          <w:sz w:val="24"/>
          <w:szCs w:val="24"/>
          <w:highlight w:val="none"/>
        </w:rPr>
        <w:t>开标室开标。</w:t>
      </w:r>
      <w:bookmarkEnd w:id="10"/>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开标时间后</w:t>
      </w:r>
      <w:r>
        <w:rPr>
          <w:rFonts w:ascii="宋体" w:hAnsi="宋体" w:cs="宋体"/>
          <w:color w:val="auto"/>
          <w:sz w:val="24"/>
          <w:szCs w:val="24"/>
          <w:highlight w:val="none"/>
        </w:rPr>
        <w:t>30</w:t>
      </w:r>
      <w:r>
        <w:rPr>
          <w:rFonts w:hint="eastAsia" w:ascii="宋体" w:hAnsi="宋体" w:cs="宋体"/>
          <w:color w:val="auto"/>
          <w:sz w:val="24"/>
          <w:szCs w:val="24"/>
          <w:highlight w:val="none"/>
        </w:rPr>
        <w:t>分钟内（</w:t>
      </w:r>
      <w:r>
        <w:rPr>
          <w:rFonts w:hint="eastAsia" w:ascii="宋体" w:hAnsi="宋体" w:cs="宋体"/>
          <w:color w:val="auto"/>
          <w:sz w:val="24"/>
          <w:szCs w:val="24"/>
          <w:highlight w:val="none"/>
          <w:lang w:val="en-US" w:eastAsia="zh-CN"/>
        </w:rPr>
        <w:t>当日</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前）供应商可以登录“政采云”平台，用“项目采购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开标评标”功能进行解密响应文件。若供应商在规定时间内</w:t>
      </w:r>
      <w:r>
        <w:rPr>
          <w:rFonts w:hint="eastAsia" w:ascii="宋体" w:hAnsi="宋体" w:cs="宋体"/>
          <w:color w:val="auto"/>
          <w:sz w:val="24"/>
          <w:szCs w:val="24"/>
          <w:highlight w:val="none"/>
          <w:lang w:val="en-US" w:eastAsia="zh-CN"/>
        </w:rPr>
        <w:t>当日</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前）解密失败，则由采购代理机构工作人员上传供应商提供的备份文件。备份文件（后缀名为</w:t>
      </w:r>
      <w:r>
        <w:rPr>
          <w:rFonts w:ascii="宋体" w:hAnsi="宋体" w:cs="宋体"/>
          <w:color w:val="auto"/>
          <w:sz w:val="24"/>
          <w:szCs w:val="24"/>
          <w:highlight w:val="none"/>
        </w:rPr>
        <w:t>.bfbs</w:t>
      </w:r>
      <w:r>
        <w:rPr>
          <w:rFonts w:hint="eastAsia" w:ascii="宋体" w:hAnsi="宋体" w:cs="宋体"/>
          <w:color w:val="auto"/>
          <w:sz w:val="24"/>
          <w:szCs w:val="24"/>
          <w:highlight w:val="none"/>
        </w:rPr>
        <w:t>）须存储在</w:t>
      </w:r>
      <w:r>
        <w:rPr>
          <w:rFonts w:ascii="宋体" w:hAnsi="宋体" w:cs="宋体"/>
          <w:color w:val="auto"/>
          <w:sz w:val="24"/>
          <w:szCs w:val="24"/>
          <w:highlight w:val="none"/>
        </w:rPr>
        <w:t>U</w:t>
      </w:r>
      <w:r>
        <w:rPr>
          <w:rFonts w:hint="eastAsia" w:ascii="宋体" w:hAnsi="宋体" w:cs="宋体"/>
          <w:color w:val="auto"/>
          <w:sz w:val="24"/>
          <w:szCs w:val="24"/>
          <w:highlight w:val="none"/>
        </w:rPr>
        <w:t>盘中，与上传的电子磋商响应文件一致，用信封进行密封并盖章</w:t>
      </w:r>
      <w:r>
        <w:rPr>
          <w:rFonts w:hint="eastAsia" w:ascii="宋体" w:hAnsi="宋体" w:cs="宋体"/>
          <w:b/>
          <w:bCs/>
          <w:color w:val="auto"/>
          <w:sz w:val="24"/>
          <w:szCs w:val="24"/>
          <w:highlight w:val="none"/>
        </w:rPr>
        <w:t>（信封内仅需放入存储备份文件的</w:t>
      </w:r>
      <w:r>
        <w:rPr>
          <w:rFonts w:ascii="宋体" w:hAnsi="宋体" w:cs="宋体"/>
          <w:b/>
          <w:bCs/>
          <w:color w:val="auto"/>
          <w:sz w:val="24"/>
          <w:szCs w:val="24"/>
          <w:highlight w:val="none"/>
        </w:rPr>
        <w:t>U</w:t>
      </w:r>
      <w:r>
        <w:rPr>
          <w:rFonts w:hint="eastAsia" w:ascii="宋体" w:hAnsi="宋体" w:cs="宋体"/>
          <w:b/>
          <w:bCs/>
          <w:color w:val="auto"/>
          <w:sz w:val="24"/>
          <w:szCs w:val="24"/>
          <w:highlight w:val="none"/>
        </w:rPr>
        <w:t>盘）</w:t>
      </w:r>
      <w:r>
        <w:rPr>
          <w:rFonts w:hint="eastAsia" w:ascii="宋体" w:hAnsi="宋体" w:cs="宋体"/>
          <w:color w:val="auto"/>
          <w:sz w:val="24"/>
          <w:szCs w:val="24"/>
          <w:highlight w:val="none"/>
        </w:rPr>
        <w:t>，由授权代表在磋商响应截止时间前递交至开标地点。若电子磋商响应文件正常解锁，则</w:t>
      </w:r>
      <w:r>
        <w:rPr>
          <w:rFonts w:ascii="宋体" w:hAnsi="宋体" w:cs="宋体"/>
          <w:color w:val="auto"/>
          <w:sz w:val="24"/>
          <w:szCs w:val="24"/>
          <w:highlight w:val="none"/>
        </w:rPr>
        <w:t>U</w:t>
      </w:r>
      <w:r>
        <w:rPr>
          <w:rFonts w:hint="eastAsia" w:ascii="宋体" w:hAnsi="宋体" w:cs="宋体"/>
          <w:color w:val="auto"/>
          <w:sz w:val="24"/>
          <w:szCs w:val="24"/>
          <w:highlight w:val="none"/>
        </w:rPr>
        <w:t>盘退还给供应商；若解锁失败，则由采购代理机构将</w:t>
      </w:r>
      <w:r>
        <w:rPr>
          <w:rFonts w:ascii="宋体" w:hAnsi="宋体" w:cs="宋体"/>
          <w:color w:val="auto"/>
          <w:sz w:val="24"/>
          <w:szCs w:val="24"/>
          <w:highlight w:val="none"/>
        </w:rPr>
        <w:t>U</w:t>
      </w:r>
      <w:r>
        <w:rPr>
          <w:rFonts w:hint="eastAsia" w:ascii="宋体" w:hAnsi="宋体" w:cs="宋体"/>
          <w:color w:val="auto"/>
          <w:sz w:val="24"/>
          <w:szCs w:val="24"/>
          <w:highlight w:val="none"/>
        </w:rPr>
        <w:t>盘中的备份文件上传，该</w:t>
      </w:r>
      <w:r>
        <w:rPr>
          <w:rFonts w:ascii="宋体" w:hAnsi="宋体" w:cs="宋体"/>
          <w:color w:val="auto"/>
          <w:sz w:val="24"/>
          <w:szCs w:val="24"/>
          <w:highlight w:val="none"/>
        </w:rPr>
        <w:t>U</w:t>
      </w:r>
      <w:r>
        <w:rPr>
          <w:rFonts w:hint="eastAsia" w:ascii="宋体" w:hAnsi="宋体" w:cs="宋体"/>
          <w:color w:val="auto"/>
          <w:sz w:val="24"/>
          <w:szCs w:val="24"/>
          <w:highlight w:val="none"/>
        </w:rPr>
        <w:t>盘将由采购代理机构保存。</w:t>
      </w:r>
    </w:p>
    <w:p>
      <w:pPr>
        <w:adjustRightInd w:val="0"/>
        <w:spacing w:line="360" w:lineRule="auto"/>
        <w:ind w:firstLine="480" w:firstLineChars="200"/>
        <w:rPr>
          <w:rFonts w:ascii="宋体"/>
          <w:color w:val="auto"/>
          <w:kern w:val="0"/>
          <w:sz w:val="24"/>
          <w:szCs w:val="24"/>
          <w:highlight w:val="none"/>
        </w:rPr>
      </w:pPr>
      <w:r>
        <w:rPr>
          <w:rFonts w:hint="eastAsia" w:ascii="宋体" w:hAnsi="宋体" w:cs="宋体"/>
          <w:color w:val="auto"/>
          <w:sz w:val="24"/>
          <w:szCs w:val="24"/>
          <w:highlight w:val="none"/>
        </w:rPr>
        <w:t>本次开标不提供现场视频。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九．磋商保证金：无</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十．公告期限：3个工作日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十一．联系方式：</w:t>
      </w:r>
    </w:p>
    <w:p>
      <w:pPr>
        <w:adjustRightInd w:val="0"/>
        <w:spacing w:line="360" w:lineRule="auto"/>
        <w:ind w:firstLine="480" w:firstLineChars="200"/>
        <w:rPr>
          <w:rFonts w:hint="eastAsia" w:ascii="宋体" w:eastAsia="宋体"/>
          <w:color w:val="auto"/>
          <w:sz w:val="24"/>
          <w:szCs w:val="24"/>
          <w:highlight w:val="none"/>
          <w:lang w:eastAsia="zh-CN"/>
        </w:rPr>
      </w:pPr>
      <w:r>
        <w:rPr>
          <w:rFonts w:ascii="宋体" w:hAnsi="宋体" w:cs="宋体"/>
          <w:color w:val="auto"/>
          <w:sz w:val="24"/>
          <w:szCs w:val="24"/>
          <w:highlight w:val="none"/>
        </w:rPr>
        <w:t>1</w:t>
      </w:r>
      <w:r>
        <w:rPr>
          <w:rFonts w:hint="eastAsia" w:ascii="宋体" w:hAnsi="宋体" w:cs="宋体"/>
          <w:color w:val="auto"/>
          <w:sz w:val="24"/>
          <w:szCs w:val="24"/>
          <w:highlight w:val="none"/>
        </w:rPr>
        <w:t>．采购代理机构名称：</w:t>
      </w:r>
      <w:r>
        <w:rPr>
          <w:rFonts w:hint="eastAsia" w:ascii="宋体" w:hAnsi="宋体" w:cs="宋体"/>
          <w:color w:val="auto"/>
          <w:sz w:val="24"/>
          <w:szCs w:val="24"/>
          <w:highlight w:val="none"/>
          <w:lang w:eastAsia="zh-CN"/>
        </w:rPr>
        <w:t>绍兴市上虞区公共资源交易中心</w:t>
      </w:r>
    </w:p>
    <w:p>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项目联系人（询问）：</w:t>
      </w:r>
      <w:r>
        <w:rPr>
          <w:rFonts w:hint="eastAsia" w:asciiTheme="minorEastAsia" w:hAnsiTheme="minorEastAsia" w:eastAsiaTheme="minorEastAsia" w:cstheme="minorEastAsia"/>
          <w:color w:val="auto"/>
          <w:sz w:val="24"/>
          <w:szCs w:val="24"/>
          <w:lang w:val="en-US" w:eastAsia="zh-CN"/>
        </w:rPr>
        <w:t>贾</w:t>
      </w:r>
      <w:r>
        <w:rPr>
          <w:rFonts w:hint="eastAsia" w:asciiTheme="minorEastAsia" w:hAnsiTheme="minorEastAsia" w:eastAsiaTheme="minorEastAsia" w:cstheme="minorEastAsia"/>
          <w:color w:val="auto"/>
          <w:sz w:val="24"/>
          <w:szCs w:val="24"/>
        </w:rPr>
        <w:t>女士</w:t>
      </w:r>
    </w:p>
    <w:p>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项目联系方式（询问）：0575-82398111</w:t>
      </w:r>
    </w:p>
    <w:p>
      <w:pPr>
        <w:adjustRightInd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质疑联系人：</w:t>
      </w:r>
      <w:r>
        <w:rPr>
          <w:rFonts w:hint="eastAsia" w:asciiTheme="minorEastAsia" w:hAnsiTheme="minorEastAsia" w:eastAsiaTheme="minorEastAsia" w:cstheme="minorEastAsia"/>
          <w:color w:val="auto"/>
          <w:sz w:val="24"/>
          <w:szCs w:val="24"/>
          <w:lang w:val="en-US" w:eastAsia="zh-CN"/>
        </w:rPr>
        <w:t>池</w:t>
      </w:r>
      <w:r>
        <w:rPr>
          <w:rFonts w:hint="eastAsia" w:asciiTheme="minorEastAsia" w:hAnsiTheme="minorEastAsia" w:eastAsiaTheme="minorEastAsia" w:cstheme="minorEastAsia"/>
          <w:color w:val="auto"/>
          <w:sz w:val="24"/>
          <w:szCs w:val="24"/>
        </w:rPr>
        <w:t>女士</w:t>
      </w:r>
      <w:r>
        <w:rPr>
          <w:rFonts w:hint="eastAsia" w:asciiTheme="minorEastAsia" w:hAnsiTheme="minorEastAsia" w:eastAsiaTheme="minorEastAsia" w:cstheme="minorEastAsia"/>
          <w:color w:val="auto"/>
          <w:sz w:val="24"/>
          <w:szCs w:val="24"/>
          <w:lang w:val="en-US" w:eastAsia="zh-CN"/>
        </w:rPr>
        <w:t xml:space="preserve"> </w:t>
      </w:r>
    </w:p>
    <w:p>
      <w:pPr>
        <w:adjustRightInd w:val="0"/>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szCs w:val="24"/>
        </w:rPr>
        <w:t>质疑联系方式：</w:t>
      </w:r>
      <w:bookmarkStart w:id="11" w:name="OLE_LINK6"/>
      <w:r>
        <w:rPr>
          <w:rFonts w:hint="eastAsia" w:asciiTheme="minorEastAsia" w:hAnsiTheme="minorEastAsia" w:eastAsiaTheme="minorEastAsia" w:cstheme="minorEastAsia"/>
          <w:color w:val="auto"/>
          <w:sz w:val="24"/>
          <w:szCs w:val="24"/>
        </w:rPr>
        <w:t>0575-82398112</w:t>
      </w:r>
      <w:bookmarkEnd w:id="11"/>
      <w:r>
        <w:rPr>
          <w:rFonts w:hint="eastAsia" w:asciiTheme="minorEastAsia" w:hAnsiTheme="minorEastAsia" w:eastAsiaTheme="minorEastAsia" w:cstheme="minorEastAsia"/>
          <w:color w:val="auto"/>
          <w:sz w:val="24"/>
        </w:rPr>
        <w:t xml:space="preserve"> </w:t>
      </w:r>
    </w:p>
    <w:p>
      <w:pPr>
        <w:widowControl/>
        <w:spacing w:line="360" w:lineRule="auto"/>
        <w:ind w:firstLine="480" w:firstLineChars="200"/>
        <w:jc w:val="left"/>
        <w:rPr>
          <w:rFonts w:ascii="宋体"/>
          <w:color w:val="auto"/>
          <w:sz w:val="24"/>
          <w:szCs w:val="24"/>
          <w:highlight w:val="none"/>
        </w:rPr>
      </w:pPr>
      <w:r>
        <w:rPr>
          <w:rFonts w:hint="eastAsia" w:asciiTheme="minorEastAsia" w:hAnsiTheme="minorEastAsia" w:eastAsiaTheme="minorEastAsia" w:cstheme="minorEastAsia"/>
          <w:color w:val="auto"/>
          <w:sz w:val="24"/>
        </w:rPr>
        <w:t>地址：浙江省绍兴市上虞区便民服务中心</w:t>
      </w:r>
      <w:r>
        <w:rPr>
          <w:rFonts w:hint="eastAsia" w:asciiTheme="minorEastAsia" w:hAnsiTheme="minorEastAsia" w:eastAsiaTheme="minorEastAsia" w:cstheme="minorEastAsia"/>
          <w:color w:val="auto"/>
          <w:sz w:val="24"/>
          <w:lang w:val="en-US" w:eastAsia="zh-CN"/>
        </w:rPr>
        <w:t>三</w:t>
      </w:r>
      <w:r>
        <w:rPr>
          <w:rFonts w:hint="eastAsia" w:asciiTheme="minorEastAsia" w:hAnsiTheme="minorEastAsia" w:eastAsiaTheme="minorEastAsia" w:cstheme="minorEastAsia"/>
          <w:color w:val="auto"/>
          <w:sz w:val="24"/>
        </w:rPr>
        <w:t>楼</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．采购人名称：</w:t>
      </w:r>
      <w:r>
        <w:rPr>
          <w:rFonts w:hint="eastAsia" w:ascii="宋体" w:hAnsi="宋体" w:cs="宋体"/>
          <w:color w:val="auto"/>
          <w:sz w:val="24"/>
          <w:szCs w:val="24"/>
          <w:highlight w:val="none"/>
          <w:lang w:eastAsia="zh-CN"/>
        </w:rPr>
        <w:t>上虞区丰惠镇人民政府</w:t>
      </w:r>
      <w:r>
        <w:rPr>
          <w:rFonts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val="en-US" w:eastAsia="zh-CN"/>
        </w:rPr>
        <w:t>施先生</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hint="default" w:ascii="宋体" w:hAnsi="宋体" w:cs="宋体"/>
          <w:color w:val="auto"/>
          <w:sz w:val="24"/>
          <w:szCs w:val="24"/>
          <w:highlight w:val="none"/>
          <w:lang w:val="en-US"/>
        </w:rPr>
      </w:pPr>
      <w:r>
        <w:rPr>
          <w:rFonts w:hint="eastAsia" w:ascii="宋体" w:hAnsi="宋体" w:cs="宋体"/>
          <w:color w:val="auto"/>
          <w:sz w:val="24"/>
          <w:szCs w:val="24"/>
          <w:highlight w:val="none"/>
        </w:rPr>
        <w:t>项目联系方式（询问）</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0575-82081020</w:t>
      </w:r>
    </w:p>
    <w:p>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质疑联系人：</w:t>
      </w:r>
      <w:r>
        <w:rPr>
          <w:rFonts w:hint="eastAsia" w:ascii="宋体" w:hAnsi="宋体" w:cs="宋体"/>
          <w:color w:val="auto"/>
          <w:sz w:val="24"/>
          <w:szCs w:val="24"/>
          <w:highlight w:val="none"/>
          <w:lang w:val="en-US" w:eastAsia="zh-CN"/>
        </w:rPr>
        <w:t>李先生</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质疑联系方式：0575-82413273</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地址：绍兴市上虞区丰惠镇环庙路39号</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．同级政府采购监督管理部门名称：上虞区财政局政府采购监管科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联系人：谷先生</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监督投诉电话：</w:t>
      </w:r>
      <w:r>
        <w:rPr>
          <w:rFonts w:ascii="宋体" w:hAnsi="宋体" w:cs="宋体"/>
          <w:color w:val="auto"/>
          <w:sz w:val="24"/>
          <w:szCs w:val="24"/>
          <w:highlight w:val="none"/>
        </w:rPr>
        <w:t>0575-82130212</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传真：0575-82154859</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地址：绍兴市上虞区体育场路</w:t>
      </w:r>
      <w:r>
        <w:rPr>
          <w:rFonts w:ascii="宋体" w:hAnsi="宋体" w:cs="宋体"/>
          <w:color w:val="auto"/>
          <w:sz w:val="24"/>
          <w:szCs w:val="24"/>
          <w:highlight w:val="none"/>
        </w:rPr>
        <w:t>18</w:t>
      </w:r>
      <w:r>
        <w:rPr>
          <w:rFonts w:hint="eastAsia" w:ascii="宋体" w:hAnsi="宋体" w:cs="宋体"/>
          <w:color w:val="auto"/>
          <w:sz w:val="24"/>
          <w:szCs w:val="24"/>
          <w:highlight w:val="none"/>
        </w:rPr>
        <w:t>号</w:t>
      </w:r>
    </w:p>
    <w:p>
      <w:pPr>
        <w:spacing w:line="360" w:lineRule="auto"/>
        <w:jc w:val="center"/>
        <w:outlineLvl w:val="0"/>
        <w:rPr>
          <w:rFonts w:ascii="宋体"/>
          <w:b/>
          <w:bCs/>
          <w:color w:val="auto"/>
          <w:sz w:val="36"/>
          <w:szCs w:val="36"/>
          <w:highlight w:val="none"/>
        </w:rPr>
      </w:pPr>
      <w:r>
        <w:rPr>
          <w:rFonts w:ascii="宋体"/>
          <w:b/>
          <w:bCs/>
          <w:color w:val="auto"/>
          <w:sz w:val="36"/>
          <w:szCs w:val="36"/>
          <w:highlight w:val="none"/>
        </w:rPr>
        <w:br w:type="page"/>
      </w:r>
      <w:bookmarkStart w:id="12" w:name="_Toc29834"/>
      <w:bookmarkStart w:id="13" w:name="_Toc24985"/>
      <w:bookmarkStart w:id="14" w:name="_Toc546"/>
      <w:r>
        <w:rPr>
          <w:rStyle w:val="50"/>
          <w:rFonts w:hint="eastAsia" w:cs="宋体"/>
          <w:color w:val="auto"/>
          <w:sz w:val="36"/>
          <w:szCs w:val="36"/>
          <w:highlight w:val="none"/>
        </w:rPr>
        <w:t>第二部分</w:t>
      </w:r>
      <w:bookmarkEnd w:id="4"/>
      <w:r>
        <w:rPr>
          <w:rStyle w:val="50"/>
          <w:color w:val="auto"/>
          <w:sz w:val="36"/>
          <w:szCs w:val="36"/>
          <w:highlight w:val="none"/>
        </w:rPr>
        <w:t xml:space="preserve"> </w:t>
      </w:r>
      <w:bookmarkEnd w:id="5"/>
      <w:r>
        <w:rPr>
          <w:rStyle w:val="50"/>
          <w:rFonts w:hint="eastAsia" w:cs="宋体"/>
          <w:color w:val="auto"/>
          <w:sz w:val="36"/>
          <w:szCs w:val="36"/>
          <w:highlight w:val="none"/>
        </w:rPr>
        <w:t>供应商须知</w:t>
      </w:r>
      <w:bookmarkEnd w:id="12"/>
      <w:bookmarkEnd w:id="13"/>
      <w:bookmarkEnd w:id="14"/>
    </w:p>
    <w:p>
      <w:pPr>
        <w:widowControl/>
        <w:adjustRightInd w:val="0"/>
        <w:snapToGrid w:val="0"/>
        <w:spacing w:line="360" w:lineRule="auto"/>
        <w:jc w:val="center"/>
        <w:rPr>
          <w:rFonts w:ascii="宋体"/>
          <w:b/>
          <w:bCs/>
          <w:snapToGrid w:val="0"/>
          <w:color w:val="auto"/>
          <w:kern w:val="0"/>
          <w:sz w:val="32"/>
          <w:szCs w:val="32"/>
          <w:highlight w:val="none"/>
        </w:rPr>
      </w:pPr>
      <w:r>
        <w:rPr>
          <w:rFonts w:hint="eastAsia" w:ascii="宋体" w:hAnsi="宋体" w:cs="宋体"/>
          <w:b/>
          <w:bCs/>
          <w:snapToGrid w:val="0"/>
          <w:color w:val="auto"/>
          <w:kern w:val="0"/>
          <w:sz w:val="30"/>
          <w:szCs w:val="30"/>
          <w:highlight w:val="none"/>
        </w:rPr>
        <w:t>前附表</w:t>
      </w:r>
    </w:p>
    <w:tbl>
      <w:tblPr>
        <w:tblStyle w:val="29"/>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17" w:hRule="atLeast"/>
          <w:tblHeader/>
          <w:jc w:val="center"/>
        </w:trPr>
        <w:tc>
          <w:tcPr>
            <w:tcW w:w="648"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序号</w:t>
            </w:r>
          </w:p>
        </w:tc>
        <w:tc>
          <w:tcPr>
            <w:tcW w:w="1800"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项目</w:t>
            </w:r>
          </w:p>
        </w:tc>
        <w:tc>
          <w:tcPr>
            <w:tcW w:w="6682"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项目名称</w:t>
            </w:r>
          </w:p>
        </w:tc>
        <w:tc>
          <w:tcPr>
            <w:tcW w:w="6682" w:type="dxa"/>
            <w:vAlign w:val="center"/>
          </w:tcPr>
          <w:p>
            <w:pPr>
              <w:snapToGrid w:val="0"/>
              <w:ind w:firstLine="420" w:firstLineChars="200"/>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lang w:eastAsia="zh-CN"/>
              </w:rPr>
              <w:t>丰惠镇政府和便民中心物业管理服务项目（三年）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服务周期</w:t>
            </w:r>
          </w:p>
        </w:tc>
        <w:tc>
          <w:tcPr>
            <w:tcW w:w="6682" w:type="dxa"/>
            <w:vAlign w:val="center"/>
          </w:tcPr>
          <w:p>
            <w:pPr>
              <w:ind w:firstLine="422" w:firstLineChars="200"/>
              <w:rPr>
                <w:rFonts w:ascii="宋体"/>
                <w:color w:val="auto"/>
                <w:highlight w:val="none"/>
              </w:rPr>
            </w:pPr>
            <w:bookmarkStart w:id="15" w:name="OLE_LINK2"/>
            <w:r>
              <w:rPr>
                <w:rFonts w:hint="eastAsia" w:ascii="宋体" w:hAnsi="宋体" w:cs="宋体"/>
                <w:b/>
                <w:bCs/>
                <w:snapToGrid w:val="0"/>
                <w:color w:val="auto"/>
                <w:kern w:val="0"/>
                <w:highlight w:val="none"/>
              </w:rPr>
              <w:t>自合同签订之日起</w:t>
            </w:r>
            <w:bookmarkEnd w:id="15"/>
            <w:r>
              <w:rPr>
                <w:rFonts w:hint="eastAsia" w:ascii="宋体" w:hAnsi="宋体" w:cs="宋体"/>
                <w:b/>
                <w:bCs/>
                <w:snapToGrid w:val="0"/>
                <w:color w:val="auto"/>
                <w:kern w:val="0"/>
                <w:highlight w:val="none"/>
              </w:rPr>
              <w:t>至合同履行完毕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3</w:t>
            </w:r>
          </w:p>
        </w:tc>
        <w:tc>
          <w:tcPr>
            <w:tcW w:w="1800" w:type="dxa"/>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最高限价</w:t>
            </w:r>
          </w:p>
        </w:tc>
        <w:tc>
          <w:tcPr>
            <w:tcW w:w="6682" w:type="dxa"/>
            <w:vAlign w:val="center"/>
          </w:tcPr>
          <w:p>
            <w:pPr>
              <w:snapToGrid w:val="0"/>
              <w:ind w:firstLine="420" w:firstLineChars="200"/>
              <w:rPr>
                <w:rFonts w:ascii="宋体"/>
                <w:b/>
                <w:bCs/>
                <w:snapToGrid w:val="0"/>
                <w:color w:val="auto"/>
                <w:kern w:val="0"/>
                <w:highlight w:val="none"/>
              </w:rPr>
            </w:pPr>
            <w:r>
              <w:rPr>
                <w:rFonts w:hint="eastAsia" w:ascii="宋体" w:hAnsi="宋体" w:cs="宋体"/>
                <w:color w:val="auto"/>
                <w:highlight w:val="none"/>
              </w:rPr>
              <w:t>本项目最高限价人民币</w:t>
            </w:r>
            <w:r>
              <w:rPr>
                <w:rFonts w:hint="eastAsia" w:ascii="宋体" w:hAnsi="宋体" w:cs="宋体"/>
                <w:color w:val="auto"/>
                <w:highlight w:val="none"/>
                <w:u w:val="single"/>
                <w:lang w:val="en-US" w:eastAsia="zh-CN"/>
              </w:rPr>
              <w:t>183</w:t>
            </w:r>
            <w:r>
              <w:rPr>
                <w:rFonts w:hint="eastAsia" w:ascii="宋体" w:hAnsi="宋体" w:cs="宋体"/>
                <w:color w:val="auto"/>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 xml:space="preserve">                                                                                                   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资格审查方式</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资格审查是指开标后，磋商小组将依据法律法规和磋商文件的规定对供应商的资格进行审查。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踏勘现场</w:t>
            </w:r>
          </w:p>
        </w:tc>
        <w:tc>
          <w:tcPr>
            <w:tcW w:w="6682" w:type="dxa"/>
            <w:vAlign w:val="center"/>
          </w:tcPr>
          <w:p>
            <w:pPr>
              <w:snapToGrid w:val="0"/>
              <w:ind w:firstLine="422" w:firstLineChars="200"/>
              <w:rPr>
                <w:rFonts w:ascii="宋体"/>
                <w:snapToGrid w:val="0"/>
                <w:color w:val="auto"/>
                <w:kern w:val="0"/>
                <w:highlight w:val="none"/>
              </w:rPr>
            </w:pPr>
            <w:r>
              <w:rPr>
                <w:rFonts w:hint="eastAsia" w:ascii="宋体" w:hAnsi="宋体" w:cs="宋体"/>
                <w:b/>
                <w:bCs/>
                <w:snapToGrid w:val="0"/>
                <w:color w:val="auto"/>
                <w:kern w:val="0"/>
                <w:highlight w:val="none"/>
              </w:rPr>
              <w:t>本项目不组织现场踏勘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询问</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供应商对政府采购活动事项有疑问的，可以向采购机构提出询问，采购人或者招标代理机构应当在</w:t>
            </w:r>
            <w:r>
              <w:rPr>
                <w:rFonts w:ascii="宋体" w:hAnsi="宋体" w:cs="宋体"/>
                <w:snapToGrid w:val="0"/>
                <w:color w:val="auto"/>
                <w:kern w:val="0"/>
                <w:highlight w:val="none"/>
              </w:rPr>
              <w:t>3</w:t>
            </w:r>
            <w:r>
              <w:rPr>
                <w:rFonts w:hint="eastAsia" w:ascii="宋体" w:hAnsi="宋体" w:cs="宋体"/>
                <w:snapToGrid w:val="0"/>
                <w:color w:val="auto"/>
                <w:kern w:val="0"/>
                <w:highlight w:val="none"/>
              </w:rPr>
              <w:t>个工作日内对供应商依法提出的询问作出答复，但答复的内容不得涉及商业秘密。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磋商文件的澄清与修改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采购单位可以对已发出的磋商文件进行必要澄清或者修改，澄清或者修改的内容可能影响响应文件编制的，应当在提交首次响应文件截止时间至少</w:t>
            </w:r>
            <w:r>
              <w:rPr>
                <w:rFonts w:ascii="宋体" w:hAnsi="宋体" w:cs="宋体"/>
                <w:snapToGrid w:val="0"/>
                <w:color w:val="auto"/>
                <w:kern w:val="0"/>
                <w:highlight w:val="none"/>
              </w:rPr>
              <w:t>5</w:t>
            </w:r>
            <w:r>
              <w:rPr>
                <w:rFonts w:hint="eastAsia" w:ascii="宋体" w:hAnsi="宋体" w:cs="宋体"/>
                <w:snapToGrid w:val="0"/>
                <w:color w:val="auto"/>
                <w:kern w:val="0"/>
                <w:highlight w:val="none"/>
              </w:rPr>
              <w:t>日前，在磋商公告发布的媒体上发布更正公告。本项目磋商文件和补充（答疑、澄清）、修改文件等请自行登录浙江政府采购网或绍兴市上虞区公共资源交易中心网站查看。</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8</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磋商响应文件组成</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供应商向采购人递交的响应文件由资格文件、商务技术文件、报价文件三部分组成。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2"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9</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评标办法</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10</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磋商响应文件递交地址及截止时间</w:t>
            </w:r>
          </w:p>
        </w:tc>
        <w:tc>
          <w:tcPr>
            <w:tcW w:w="6682" w:type="dxa"/>
            <w:vAlign w:val="center"/>
          </w:tcPr>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开标时间、地点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开标时间：</w:t>
            </w:r>
            <w:r>
              <w:rPr>
                <w:rFonts w:hint="eastAsia" w:ascii="宋体" w:hAnsi="宋体" w:cs="宋体"/>
                <w:color w:val="auto"/>
                <w:kern w:val="0"/>
                <w:highlight w:val="none"/>
              </w:rPr>
              <w:t>详见磋商公告</w:t>
            </w:r>
          </w:p>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开标地点：</w:t>
            </w:r>
            <w:r>
              <w:rPr>
                <w:rFonts w:hint="eastAsia" w:ascii="宋体" w:hAnsi="宋体" w:cs="宋体"/>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磋商响应文件有效期</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响应文件有效期为从提交响应文件的截止之日起</w:t>
            </w:r>
            <w:r>
              <w:rPr>
                <w:rFonts w:ascii="宋体" w:hAnsi="宋体" w:cs="宋体"/>
                <w:snapToGrid w:val="0"/>
                <w:color w:val="auto"/>
                <w:kern w:val="0"/>
                <w:highlight w:val="none"/>
              </w:rPr>
              <w:t>90</w:t>
            </w:r>
            <w:r>
              <w:rPr>
                <w:rFonts w:hint="eastAsia" w:ascii="宋体" w:hAnsi="宋体" w:cs="宋体"/>
                <w:snapToGrid w:val="0"/>
                <w:color w:val="auto"/>
                <w:kern w:val="0"/>
                <w:highlight w:val="none"/>
              </w:rPr>
              <w:t>天。供应商的响应文件中承诺的响应文件有效期少于磋商文件中载明的响应文件有效期的，磋商无效。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13</w:t>
            </w:r>
          </w:p>
        </w:tc>
        <w:tc>
          <w:tcPr>
            <w:tcW w:w="1800" w:type="dxa"/>
            <w:vAlign w:val="center"/>
          </w:tcPr>
          <w:p>
            <w:pPr>
              <w:snapToGrid w:val="0"/>
              <w:spacing w:line="360" w:lineRule="exact"/>
              <w:jc w:val="center"/>
              <w:rPr>
                <w:rFonts w:ascii="宋体"/>
                <w:snapToGrid w:val="0"/>
                <w:color w:val="auto"/>
                <w:kern w:val="0"/>
                <w:highlight w:val="yellow"/>
              </w:rPr>
            </w:pPr>
            <w:r>
              <w:rPr>
                <w:rFonts w:hint="eastAsia" w:ascii="宋体" w:hAnsi="宋体" w:cs="宋体"/>
                <w:snapToGrid w:val="0"/>
                <w:color w:val="auto"/>
                <w:kern w:val="0"/>
                <w:highlight w:val="none"/>
              </w:rPr>
              <w:t>履约保证金</w:t>
            </w:r>
          </w:p>
        </w:tc>
        <w:tc>
          <w:tcPr>
            <w:tcW w:w="6682" w:type="dxa"/>
            <w:vAlign w:val="center"/>
          </w:tcPr>
          <w:p>
            <w:pPr>
              <w:pStyle w:val="14"/>
              <w:snapToGrid w:val="0"/>
              <w:ind w:firstLine="420" w:firstLineChars="200"/>
              <w:rPr>
                <w:rFonts w:hAnsi="宋体" w:cs="Times New Roman"/>
                <w:color w:val="auto"/>
                <w:kern w:val="0"/>
                <w:highlight w:val="yellow"/>
              </w:rPr>
            </w:pPr>
            <w:r>
              <w:rPr>
                <w:rFonts w:hint="eastAsia" w:hAnsi="宋体"/>
                <w:color w:val="auto"/>
                <w:szCs w:val="21"/>
                <w:lang w:val="en-US" w:eastAsia="zh-CN"/>
              </w:rPr>
              <w:t>不设置履约保证金</w:t>
            </w:r>
            <w:r>
              <w:rPr>
                <w:rFonts w:hint="eastAsia" w:ascii="宋体" w:hAnsi="宋体"/>
                <w:color w:val="auto"/>
                <w:szCs w:val="21"/>
                <w:lang w:val="en-US"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磋商公告及成交结果公告发布媒体</w:t>
            </w:r>
          </w:p>
        </w:tc>
        <w:tc>
          <w:tcPr>
            <w:tcW w:w="6682" w:type="dxa"/>
            <w:vAlign w:val="center"/>
          </w:tcPr>
          <w:p>
            <w:pPr>
              <w:pStyle w:val="14"/>
              <w:snapToGrid w:val="0"/>
              <w:ind w:firstLine="420" w:firstLineChars="200"/>
              <w:jc w:val="left"/>
              <w:rPr>
                <w:rFonts w:hAnsi="宋体" w:cs="Times New Roman"/>
                <w:color w:val="auto"/>
                <w:kern w:val="0"/>
                <w:highlight w:val="none"/>
              </w:rPr>
            </w:pPr>
            <w:r>
              <w:rPr>
                <w:rFonts w:hint="eastAsia" w:hAnsi="宋体"/>
                <w:color w:val="auto"/>
                <w:kern w:val="0"/>
                <w:highlight w:val="none"/>
              </w:rPr>
              <w:t>浙江省政府采购网、</w:t>
            </w:r>
            <w:r>
              <w:rPr>
                <w:rFonts w:hAnsi="宋体"/>
                <w:color w:val="auto"/>
                <w:kern w:val="0"/>
                <w:highlight w:val="none"/>
              </w:rPr>
              <w:t xml:space="preserve"> </w:t>
            </w:r>
            <w:r>
              <w:rPr>
                <w:rFonts w:hint="eastAsia" w:hAnsi="宋体"/>
                <w:color w:val="auto"/>
                <w:kern w:val="0"/>
                <w:highlight w:val="none"/>
              </w:rPr>
              <w:t>绍兴市上虞区公共资源交易中心网站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color w:val="auto"/>
                <w:highlight w:val="none"/>
              </w:rPr>
            </w:pPr>
            <w:r>
              <w:rPr>
                <w:rFonts w:ascii="宋体" w:hAnsi="宋体" w:cs="宋体"/>
                <w:color w:val="auto"/>
                <w:highlight w:val="none"/>
              </w:rPr>
              <w:t>15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质疑</w:t>
            </w:r>
          </w:p>
        </w:tc>
        <w:tc>
          <w:tcPr>
            <w:tcW w:w="6682" w:type="dxa"/>
            <w:vAlign w:val="center"/>
          </w:tcPr>
          <w:p>
            <w:pPr>
              <w:ind w:firstLine="420" w:firstLineChars="200"/>
              <w:jc w:val="left"/>
              <w:rPr>
                <w:rFonts w:ascii="宋体"/>
                <w:color w:val="auto"/>
                <w:highlight w:val="none"/>
              </w:rPr>
            </w:pPr>
            <w:r>
              <w:rPr>
                <w:rFonts w:hint="eastAsia" w:ascii="宋体" w:hAnsi="宋体" w:cs="宋体"/>
                <w:color w:val="auto"/>
                <w:highlight w:val="none"/>
              </w:rPr>
              <w:t>根据《中华人民共和国政府采购法》第五十二条、《中华人民共和国政府采购法实施条例》第五十三条、《浙江省政府采购供应商质疑处理办法》的规定：</w:t>
            </w:r>
          </w:p>
          <w:p>
            <w:pPr>
              <w:ind w:firstLine="420" w:firstLineChars="200"/>
              <w:jc w:val="left"/>
              <w:rPr>
                <w:rFonts w:ascii="宋体" w:hAnsi="宋体" w:cs="宋体"/>
                <w:color w:val="auto"/>
                <w:highlight w:val="none"/>
              </w:rPr>
            </w:pPr>
            <w:r>
              <w:rPr>
                <w:rFonts w:hint="eastAsia"/>
                <w:color w:val="auto"/>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宋体" w:hAnsi="宋体" w:cs="宋体"/>
                <w:color w:val="auto"/>
                <w:highlight w:val="none"/>
              </w:rPr>
              <w:t>供应商在法定质疑期内应一次性提出针对同一采购程序环节的质疑。</w:t>
            </w:r>
          </w:p>
          <w:p>
            <w:pPr>
              <w:ind w:firstLine="420" w:firstLineChars="200"/>
              <w:jc w:val="left"/>
              <w:rPr>
                <w:rFonts w:ascii="宋体"/>
                <w:color w:val="auto"/>
                <w:highlight w:val="none"/>
              </w:rPr>
            </w:pPr>
            <w:r>
              <w:rPr>
                <w:rFonts w:hint="eastAsia" w:ascii="宋体" w:hAnsi="宋体" w:cs="宋体"/>
                <w:color w:val="auto"/>
                <w:highlight w:val="none"/>
              </w:rPr>
              <w:t>供应商如认为采购过程使自身的合法权益受到损害的，应于各采购程序环节结束之日起七个工作日内以书面形式向采购机构提出质疑；</w:t>
            </w:r>
          </w:p>
          <w:p>
            <w:pPr>
              <w:ind w:firstLine="420" w:firstLineChars="200"/>
              <w:jc w:val="left"/>
              <w:rPr>
                <w:rFonts w:ascii="宋体"/>
                <w:color w:val="auto"/>
                <w:highlight w:val="none"/>
              </w:rPr>
            </w:pPr>
            <w:r>
              <w:rPr>
                <w:rFonts w:hint="eastAsia" w:ascii="宋体" w:hAnsi="宋体" w:cs="宋体"/>
                <w:color w:val="auto"/>
                <w:highlight w:val="none"/>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color w:val="auto"/>
                <w:kern w:val="0"/>
                <w:highlight w:val="none"/>
              </w:rPr>
              <w:t>。</w:t>
            </w:r>
            <w:r>
              <w:rPr>
                <w:rFonts w:hint="eastAsia"/>
                <w:color w:val="auto"/>
                <w:highlight w:val="none"/>
              </w:rPr>
              <w:t>质疑函范本请到浙江政府采购网下载专区下载</w:t>
            </w:r>
            <w:r>
              <w:rPr>
                <w:rFonts w:hint="eastAsia" w:ascii="宋体" w:hAnsi="宋体" w:cs="宋体"/>
                <w:color w:val="auto"/>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投诉</w:t>
            </w:r>
          </w:p>
        </w:tc>
        <w:tc>
          <w:tcPr>
            <w:tcW w:w="6682" w:type="dxa"/>
            <w:vAlign w:val="center"/>
          </w:tcPr>
          <w:p>
            <w:pPr>
              <w:snapToGrid w:val="0"/>
              <w:ind w:firstLine="420" w:firstLineChars="200"/>
              <w:jc w:val="left"/>
              <w:rPr>
                <w:rFonts w:ascii="宋体"/>
                <w:snapToGrid w:val="0"/>
                <w:color w:val="auto"/>
                <w:kern w:val="0"/>
                <w:highlight w:val="none"/>
              </w:rPr>
            </w:pPr>
            <w:r>
              <w:rPr>
                <w:rFonts w:hint="eastAsia" w:ascii="宋体" w:hAnsi="宋体" w:cs="宋体"/>
                <w:snapToGrid w:val="0"/>
                <w:color w:val="auto"/>
                <w:kern w:val="0"/>
                <w:highlight w:val="none"/>
              </w:rPr>
              <w:t>根据</w:t>
            </w:r>
            <w:r>
              <w:rPr>
                <w:rFonts w:hint="eastAsia" w:ascii="宋体" w:hAnsi="宋体" w:cs="宋体"/>
                <w:snapToGrid w:val="0"/>
                <w:color w:val="auto"/>
                <w:kern w:val="0"/>
                <w:highlight w:val="none"/>
                <w:lang w:eastAsia="zh-CN"/>
              </w:rPr>
              <w:t>《中华人民共和国政府采购法》</w:t>
            </w:r>
            <w:r>
              <w:rPr>
                <w:rFonts w:hint="eastAsia" w:ascii="宋体" w:hAnsi="宋体" w:cs="宋体"/>
                <w:snapToGrid w:val="0"/>
                <w:color w:val="auto"/>
                <w:kern w:val="0"/>
                <w:highlight w:val="none"/>
              </w:rPr>
              <w:t>第五十五条的规定，质疑供应商对采购人、招标代理机构的答复不满意或者采购人、招标代理机构未在规定的时间内作出答复的，可以在答复期满后十五个工作日内向同级政府采购监督管理部门投诉。</w:t>
            </w:r>
            <w:r>
              <w:rPr>
                <w:rFonts w:hint="eastAsia"/>
                <w:color w:val="auto"/>
                <w:highlight w:val="none"/>
              </w:rPr>
              <w:t>投诉书范本请到浙江政府采购网下载专区下载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特别说明</w:t>
            </w:r>
          </w:p>
        </w:tc>
        <w:tc>
          <w:tcPr>
            <w:tcW w:w="6682" w:type="dxa"/>
            <w:vAlign w:val="center"/>
          </w:tcPr>
          <w:p>
            <w:pPr>
              <w:pStyle w:val="14"/>
              <w:snapToGrid w:val="0"/>
              <w:ind w:firstLine="420" w:firstLineChars="200"/>
              <w:jc w:val="left"/>
              <w:rPr>
                <w:rFonts w:hAnsi="宋体" w:cs="Times New Roman"/>
                <w:color w:val="auto"/>
                <w:kern w:val="0"/>
                <w:highlight w:val="none"/>
              </w:rPr>
            </w:pPr>
            <w:r>
              <w:rPr>
                <w:rFonts w:hint="eastAsia" w:hAnsi="宋体"/>
                <w:color w:val="auto"/>
                <w:kern w:val="0"/>
                <w:highlight w:val="none"/>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pPr>
              <w:pStyle w:val="14"/>
              <w:snapToGrid w:val="0"/>
              <w:ind w:firstLine="420" w:firstLineChars="200"/>
              <w:jc w:val="left"/>
              <w:rPr>
                <w:rFonts w:hAnsi="宋体" w:cs="Times New Roman"/>
                <w:color w:val="auto"/>
                <w:kern w:val="0"/>
                <w:highlight w:val="none"/>
              </w:rPr>
            </w:pPr>
            <w:r>
              <w:rPr>
                <w:rFonts w:hint="eastAsia" w:hAnsi="宋体"/>
                <w:color w:val="auto"/>
                <w:kern w:val="0"/>
                <w:highlight w:val="none"/>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pPr>
              <w:pStyle w:val="14"/>
              <w:snapToGrid w:val="0"/>
              <w:ind w:firstLine="420" w:firstLineChars="200"/>
              <w:jc w:val="left"/>
              <w:rPr>
                <w:rFonts w:hAnsi="宋体" w:cs="Times New Roman"/>
                <w:color w:val="auto"/>
                <w:kern w:val="0"/>
                <w:highlight w:val="none"/>
              </w:rPr>
            </w:pPr>
            <w:r>
              <w:rPr>
                <w:rFonts w:hint="eastAsia" w:hAnsi="宋体"/>
                <w:color w:val="auto"/>
                <w:kern w:val="0"/>
                <w:highlight w:val="none"/>
              </w:rPr>
              <w:t>质疑、投诉人未按前</w:t>
            </w:r>
            <w:r>
              <w:rPr>
                <w:rFonts w:hint="eastAsia" w:hAnsi="宋体"/>
                <w:color w:val="auto"/>
                <w:kern w:val="0"/>
                <w:highlight w:val="none"/>
                <w:lang w:eastAsia="zh-CN"/>
              </w:rPr>
              <w:t>例</w:t>
            </w:r>
            <w:r>
              <w:rPr>
                <w:rFonts w:hint="eastAsia" w:hAnsi="宋体"/>
                <w:color w:val="auto"/>
                <w:kern w:val="0"/>
                <w:highlight w:val="none"/>
              </w:rPr>
              <w:t>进行质疑、投诉（申诉），均属于扰乱政府采购市场不良行为。</w:t>
            </w:r>
          </w:p>
          <w:p>
            <w:pPr>
              <w:pStyle w:val="14"/>
              <w:snapToGrid w:val="0"/>
              <w:ind w:firstLine="420" w:firstLineChars="200"/>
              <w:jc w:val="left"/>
              <w:rPr>
                <w:rFonts w:hAnsi="宋体" w:cs="Times New Roman"/>
                <w:b/>
                <w:bCs/>
                <w:color w:val="auto"/>
                <w:kern w:val="0"/>
                <w:highlight w:val="none"/>
              </w:rPr>
            </w:pPr>
            <w:r>
              <w:rPr>
                <w:rFonts w:hint="eastAsia" w:hAnsi="宋体"/>
                <w:color w:val="auto"/>
                <w:kern w:val="0"/>
                <w:highlight w:val="none"/>
              </w:rPr>
              <w:t>磋商文件中凡标注“</w:t>
            </w:r>
            <w:r>
              <w:rPr>
                <w:rFonts w:hint="eastAsia" w:hAnsi="宋体"/>
                <w:color w:val="auto"/>
                <w:highlight w:val="none"/>
              </w:rPr>
              <w:t>★</w:t>
            </w:r>
            <w:r>
              <w:rPr>
                <w:rFonts w:hint="eastAsia" w:hAnsi="宋体"/>
                <w:color w:val="auto"/>
                <w:kern w:val="0"/>
                <w:highlight w:val="none"/>
              </w:rPr>
              <w:t>”的条款均为实质性要求，不响应的响应文件将作无效标处理。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r>
              <w:rPr>
                <w:rFonts w:hint="eastAsia" w:ascii="宋体" w:hAnsi="宋体" w:cs="宋体"/>
                <w:snapToGrid w:val="0"/>
                <w:color w:val="auto"/>
                <w:kern w:val="0"/>
                <w:highlight w:val="none"/>
              </w:rPr>
              <w:t>8</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支</w:t>
            </w:r>
          </w:p>
          <w:p>
            <w:pPr>
              <w:snapToGrid w:val="0"/>
              <w:jc w:val="center"/>
              <w:rPr>
                <w:rFonts w:ascii="宋体"/>
                <w:color w:val="auto"/>
                <w:highlight w:val="none"/>
              </w:rPr>
            </w:pPr>
            <w:r>
              <w:rPr>
                <w:rFonts w:hint="eastAsia" w:ascii="宋体" w:hAnsi="宋体" w:cs="宋体"/>
                <w:color w:val="auto"/>
                <w:highlight w:val="none"/>
              </w:rPr>
              <w:t>持</w:t>
            </w:r>
          </w:p>
          <w:p>
            <w:pPr>
              <w:snapToGrid w:val="0"/>
              <w:jc w:val="center"/>
              <w:rPr>
                <w:rFonts w:ascii="宋体"/>
                <w:color w:val="auto"/>
                <w:highlight w:val="none"/>
              </w:rPr>
            </w:pPr>
            <w:r>
              <w:rPr>
                <w:rFonts w:hint="eastAsia" w:ascii="宋体" w:hAnsi="宋体" w:cs="宋体"/>
                <w:color w:val="auto"/>
                <w:highlight w:val="none"/>
              </w:rPr>
              <w:t>中</w:t>
            </w:r>
          </w:p>
          <w:p>
            <w:pPr>
              <w:snapToGrid w:val="0"/>
              <w:jc w:val="center"/>
              <w:rPr>
                <w:rFonts w:ascii="宋体"/>
                <w:color w:val="auto"/>
                <w:highlight w:val="none"/>
              </w:rPr>
            </w:pPr>
            <w:r>
              <w:rPr>
                <w:rFonts w:hint="eastAsia" w:ascii="宋体" w:hAnsi="宋体" w:cs="宋体"/>
                <w:color w:val="auto"/>
                <w:highlight w:val="none"/>
              </w:rPr>
              <w:t>小</w:t>
            </w:r>
          </w:p>
          <w:p>
            <w:pPr>
              <w:snapToGrid w:val="0"/>
              <w:jc w:val="center"/>
              <w:rPr>
                <w:rFonts w:ascii="宋体"/>
                <w:color w:val="auto"/>
                <w:highlight w:val="none"/>
              </w:rPr>
            </w:pPr>
            <w:r>
              <w:rPr>
                <w:rFonts w:hint="eastAsia" w:ascii="宋体" w:hAnsi="宋体" w:cs="宋体"/>
                <w:color w:val="auto"/>
                <w:highlight w:val="none"/>
              </w:rPr>
              <w:t>企</w:t>
            </w:r>
          </w:p>
          <w:p>
            <w:pPr>
              <w:snapToGrid w:val="0"/>
              <w:jc w:val="center"/>
              <w:rPr>
                <w:rFonts w:ascii="宋体"/>
                <w:color w:val="auto"/>
                <w:highlight w:val="none"/>
              </w:rPr>
            </w:pPr>
            <w:r>
              <w:rPr>
                <w:rFonts w:hint="eastAsia" w:ascii="宋体" w:hAnsi="宋体" w:cs="宋体"/>
                <w:color w:val="auto"/>
                <w:highlight w:val="none"/>
              </w:rPr>
              <w:t>业</w:t>
            </w:r>
          </w:p>
          <w:p>
            <w:pPr>
              <w:snapToGrid w:val="0"/>
              <w:jc w:val="center"/>
              <w:rPr>
                <w:rFonts w:ascii="宋体"/>
                <w:color w:val="auto"/>
                <w:highlight w:val="none"/>
              </w:rPr>
            </w:pPr>
          </w:p>
        </w:tc>
        <w:tc>
          <w:tcPr>
            <w:tcW w:w="6682" w:type="dxa"/>
            <w:vAlign w:val="center"/>
          </w:tcPr>
          <w:p>
            <w:pPr>
              <w:ind w:firstLine="420" w:firstLineChars="200"/>
              <w:rPr>
                <w:rFonts w:ascii="宋体" w:hAnsi="宋体" w:cs="宋体"/>
                <w:color w:val="auto"/>
                <w:highlight w:val="none"/>
              </w:rPr>
            </w:pPr>
            <w:r>
              <w:rPr>
                <w:rFonts w:hint="eastAsia" w:ascii="宋体" w:hAnsi="宋体" w:cs="宋体"/>
                <w:color w:val="auto"/>
                <w:highlight w:val="none"/>
              </w:rPr>
              <w:t>小微企业是指在中华人民共和国境内依法设立，依据国务院批准的中小企业划分标准确定的小型企业和微型企业，但与大企业的负责人为同一人，或者与大企业存在直接控股、管理关系的除外。</w:t>
            </w:r>
          </w:p>
          <w:p>
            <w:pPr>
              <w:ind w:firstLine="420" w:firstLineChars="200"/>
              <w:rPr>
                <w:rFonts w:ascii="宋体" w:hAnsi="宋体" w:cs="宋体"/>
                <w:color w:val="auto"/>
                <w:highlight w:val="none"/>
              </w:rPr>
            </w:pPr>
            <w:r>
              <w:rPr>
                <w:rFonts w:hint="eastAsia" w:ascii="宋体" w:hAnsi="宋体" w:cs="宋体"/>
                <w:color w:val="auto"/>
                <w:highlight w:val="none"/>
              </w:rPr>
              <w:t>符合中小企业划分标准的个体工商户，在政府采购活动中视同中小企业。</w:t>
            </w:r>
          </w:p>
          <w:p>
            <w:pPr>
              <w:ind w:firstLine="420" w:firstLineChars="200"/>
              <w:rPr>
                <w:rFonts w:ascii="宋体" w:hAnsi="宋体" w:cs="宋体"/>
                <w:color w:val="auto"/>
                <w:highlight w:val="none"/>
              </w:rPr>
            </w:pPr>
            <w:r>
              <w:rPr>
                <w:rFonts w:hint="eastAsia" w:ascii="宋体" w:hAnsi="宋体" w:cs="宋体"/>
                <w:color w:val="auto"/>
                <w:highlight w:val="none"/>
              </w:rPr>
              <w:t>在货物采购项目中，货物由小微企业制造，即货物由小微企业生产且使用该小微企业商号或者注册商标。供应商提供的货物既有中小企业制造货物，也有大型企业制造货物的，不享受中小企业扶持政策。</w:t>
            </w:r>
          </w:p>
          <w:p>
            <w:pPr>
              <w:ind w:firstLine="420" w:firstLineChars="200"/>
              <w:rPr>
                <w:rFonts w:ascii="宋体" w:hAnsi="宋体" w:cs="宋体"/>
                <w:color w:val="auto"/>
                <w:highlight w:val="none"/>
              </w:rPr>
            </w:pPr>
            <w:r>
              <w:rPr>
                <w:rFonts w:hint="eastAsia" w:ascii="宋体" w:hAnsi="宋体" w:cs="宋体"/>
                <w:color w:val="auto"/>
                <w:highlight w:val="none"/>
              </w:rPr>
              <w:t>在服务采购项目中，服务由小微企业承接，即提供服务的人员为小微企业依照《中华人民共和国劳动合同法》订立劳动合同的从业人员。</w:t>
            </w:r>
          </w:p>
          <w:p>
            <w:pPr>
              <w:ind w:firstLine="420" w:firstLineChars="200"/>
              <w:rPr>
                <w:rFonts w:ascii="宋体" w:hAnsi="宋体" w:cs="宋体"/>
                <w:color w:val="auto"/>
                <w:highlight w:val="none"/>
              </w:rPr>
            </w:pPr>
            <w:r>
              <w:rPr>
                <w:rFonts w:hint="eastAsia" w:ascii="宋体" w:hAnsi="宋体" w:cs="宋体"/>
                <w:color w:val="auto"/>
                <w:highlight w:val="none"/>
              </w:rPr>
              <w:t>联合体各方均为小型、微型企业的，联合体视同为小型、微型企业。</w:t>
            </w:r>
          </w:p>
          <w:p>
            <w:pPr>
              <w:ind w:firstLine="420" w:firstLineChars="200"/>
              <w:rPr>
                <w:rFonts w:ascii="宋体" w:hAnsi="宋体" w:cs="宋体"/>
                <w:color w:val="auto"/>
                <w:highlight w:val="none"/>
              </w:rPr>
            </w:pPr>
            <w:r>
              <w:rPr>
                <w:rFonts w:hint="eastAsia" w:ascii="宋体" w:hAnsi="宋体" w:cs="宋体"/>
                <w:color w:val="auto"/>
                <w:highlight w:val="none"/>
              </w:rPr>
              <w:t>符合上述条件的中小微型企业应按照招标文件附件的格式要求提供《中小企业声明函》。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20" w:firstLineChars="200"/>
              <w:rPr>
                <w:rFonts w:ascii="宋体" w:hAnsi="宋体" w:cs="宋体"/>
                <w:color w:val="auto"/>
                <w:highlight w:val="none"/>
              </w:rPr>
            </w:pPr>
            <w:r>
              <w:rPr>
                <w:rFonts w:hint="eastAsia" w:ascii="宋体" w:hAnsi="宋体" w:cs="宋体"/>
                <w:color w:val="auto"/>
                <w:highlight w:val="none"/>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w:t>
            </w:r>
          </w:p>
          <w:p>
            <w:pPr>
              <w:ind w:firstLine="420" w:firstLineChars="200"/>
              <w:rPr>
                <w:rFonts w:ascii="宋体"/>
                <w:color w:val="auto"/>
                <w:highlight w:val="none"/>
              </w:rPr>
            </w:pPr>
            <w:r>
              <w:rPr>
                <w:rFonts w:hint="eastAsia" w:ascii="宋体" w:hAnsi="宋体" w:cs="宋体"/>
                <w:color w:val="auto"/>
                <w:highlight w:val="none"/>
              </w:rPr>
              <w:t>组成联合体或者接受分包的小微企业与联合体内其他企业、分包企业之间存在直接控股、管理关系的，不享受价格扣除优惠政策。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pPr>
              <w:snapToGrid w:val="0"/>
              <w:jc w:val="center"/>
              <w:rPr>
                <w:rFonts w:hint="default" w:ascii="宋体" w:hAnsi="宋体" w:eastAsia="宋体" w:cs="宋体"/>
                <w:snapToGrid w:val="0"/>
                <w:color w:val="auto"/>
                <w:kern w:val="0"/>
                <w:highlight w:val="none"/>
                <w:lang w:val="en-US" w:eastAsia="zh-CN"/>
              </w:rPr>
            </w:pPr>
            <w:r>
              <w:rPr>
                <w:rFonts w:hint="eastAsia" w:ascii="宋体" w:hAnsi="宋体" w:cs="宋体"/>
                <w:snapToGrid w:val="0"/>
                <w:color w:val="auto"/>
                <w:kern w:val="0"/>
                <w:highlight w:val="none"/>
                <w:lang w:val="en-US" w:eastAsia="zh-CN"/>
              </w:rPr>
              <w:t>19</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是否允许分包</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不允许</w:t>
            </w:r>
            <w:r>
              <w:rPr>
                <w:rFonts w:hint="eastAsia" w:ascii="宋体" w:hAnsi="宋体" w:cs="宋体"/>
                <w:color w:val="auto"/>
                <w:highlight w:val="none"/>
              </w:rPr>
              <w:t>分包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pPr>
              <w:snapToGrid w:val="0"/>
              <w:spacing w:line="360" w:lineRule="exact"/>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0</w:t>
            </w:r>
          </w:p>
        </w:tc>
        <w:tc>
          <w:tcPr>
            <w:tcW w:w="1800" w:type="dxa"/>
            <w:tcBorders>
              <w:top w:val="sing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是否提供演示</w:t>
            </w:r>
          </w:p>
        </w:tc>
        <w:tc>
          <w:tcPr>
            <w:tcW w:w="6682" w:type="dxa"/>
            <w:tcBorders>
              <w:top w:val="single" w:color="auto" w:sz="4" w:space="0"/>
            </w:tcBorders>
            <w:vAlign w:val="center"/>
          </w:tcPr>
          <w:p>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不需要</w:t>
            </w:r>
            <w:r>
              <w:rPr>
                <w:rFonts w:hint="eastAsia" w:ascii="宋体" w:hAnsi="宋体" w:cs="宋体"/>
                <w:color w:val="auto"/>
                <w:highlight w:val="none"/>
              </w:rPr>
              <w:t>演示。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Merge w:val="restart"/>
            <w:vAlign w:val="center"/>
          </w:tcPr>
          <w:p>
            <w:pPr>
              <w:snapToGrid w:val="0"/>
              <w:spacing w:line="360" w:lineRule="exact"/>
              <w:jc w:val="center"/>
              <w:rPr>
                <w:rFonts w:hint="eastAsia" w:ascii="宋体" w:hAnsi="宋体" w:eastAsia="宋体" w:cs="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1</w:t>
            </w:r>
          </w:p>
        </w:tc>
        <w:tc>
          <w:tcPr>
            <w:tcW w:w="1800" w:type="dxa"/>
            <w:vMerge w:val="restart"/>
            <w:vAlign w:val="center"/>
          </w:tcPr>
          <w:p>
            <w:pPr>
              <w:snapToGrid w:val="0"/>
              <w:jc w:val="center"/>
              <w:rPr>
                <w:rFonts w:ascii="宋体" w:hAnsi="宋体" w:cs="宋体"/>
                <w:color w:val="auto"/>
                <w:highlight w:val="none"/>
              </w:rPr>
            </w:pPr>
            <w:r>
              <w:rPr>
                <w:rFonts w:hint="eastAsia" w:ascii="宋体" w:hAnsi="宋体" w:cs="宋体"/>
                <w:color w:val="auto"/>
                <w:highlight w:val="none"/>
              </w:rPr>
              <w:t>预付款</w:t>
            </w:r>
          </w:p>
        </w:tc>
        <w:tc>
          <w:tcPr>
            <w:tcW w:w="6682" w:type="dxa"/>
            <w:vAlign w:val="center"/>
          </w:tcPr>
          <w:p>
            <w:pPr>
              <w:ind w:firstLine="420" w:firstLineChars="200"/>
              <w:jc w:val="left"/>
              <w:rPr>
                <w:rFonts w:hint="eastAsia" w:ascii="宋体" w:hAnsi="宋体" w:eastAsia="宋体" w:cs="宋体"/>
                <w:color w:val="auto"/>
                <w:highlight w:val="none"/>
                <w:lang w:eastAsia="zh-CN"/>
              </w:rPr>
            </w:pPr>
            <w:r>
              <w:rPr>
                <w:rFonts w:hint="eastAsia" w:ascii="宋体" w:hAnsi="宋体" w:cs="宋体"/>
                <w:color w:val="auto"/>
                <w:highlight w:val="none"/>
              </w:rPr>
              <w:t>本项目涉及预付款</w:t>
            </w:r>
            <w:r>
              <w:rPr>
                <w:rFonts w:hint="eastAsia" w:ascii="宋体" w:hAnsi="宋体" w:cs="宋体"/>
                <w:color w:val="auto"/>
                <w:highlight w:val="none"/>
                <w:lang w:eastAsia="zh-CN"/>
              </w:rPr>
              <w:t>，</w:t>
            </w:r>
            <w:r>
              <w:rPr>
                <w:rFonts w:hint="eastAsia" w:ascii="宋体" w:hAnsi="宋体" w:cs="宋体"/>
                <w:color w:val="auto"/>
                <w:highlight w:val="none"/>
                <w:lang w:val="en-US" w:eastAsia="zh-CN"/>
              </w:rPr>
              <w:t>预付款为20%</w:t>
            </w:r>
            <w:r>
              <w:rPr>
                <w:rFonts w:hint="eastAsia" w:ascii="宋体" w:hAnsi="宋体" w:cs="宋体"/>
                <w:color w:val="auto"/>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Merge w:val="continue"/>
            <w:vAlign w:val="center"/>
          </w:tcPr>
          <w:p>
            <w:pPr>
              <w:snapToGrid w:val="0"/>
              <w:spacing w:line="360" w:lineRule="exact"/>
              <w:jc w:val="center"/>
              <w:rPr>
                <w:rFonts w:ascii="宋体" w:hAnsi="宋体" w:cs="宋体"/>
                <w:snapToGrid w:val="0"/>
                <w:color w:val="auto"/>
                <w:kern w:val="0"/>
                <w:highlight w:val="none"/>
              </w:rPr>
            </w:pPr>
          </w:p>
        </w:tc>
        <w:tc>
          <w:tcPr>
            <w:tcW w:w="1800" w:type="dxa"/>
            <w:vMerge w:val="continue"/>
            <w:vAlign w:val="center"/>
          </w:tcPr>
          <w:p>
            <w:pPr>
              <w:snapToGrid w:val="0"/>
              <w:jc w:val="center"/>
              <w:rPr>
                <w:rFonts w:ascii="宋体" w:hAnsi="宋体" w:cs="宋体"/>
                <w:color w:val="auto"/>
                <w:highlight w:val="none"/>
              </w:rPr>
            </w:pPr>
          </w:p>
        </w:tc>
        <w:tc>
          <w:tcPr>
            <w:tcW w:w="6682" w:type="dxa"/>
          </w:tcPr>
          <w:p>
            <w:pPr>
              <w:ind w:firstLine="420" w:firstLineChars="200"/>
              <w:rPr>
                <w:rFonts w:ascii="宋体" w:hAnsi="宋体" w:cs="宋体"/>
                <w:color w:val="auto"/>
                <w:highlight w:val="none"/>
              </w:rPr>
            </w:pPr>
            <w:r>
              <w:rPr>
                <w:rFonts w:hint="eastAsia" w:ascii="宋体" w:hAnsi="宋体" w:cs="宋体"/>
                <w:color w:val="auto"/>
                <w:highlight w:val="none"/>
              </w:rPr>
              <w:t>根据《浙江省财政厅关于进一步发挥政府采购政策功能全力推动经济稳进提质的通知》[浙财采监</w:t>
            </w:r>
            <w:r>
              <w:rPr>
                <w:rFonts w:hint="eastAsia" w:ascii="宋体" w:hAnsi="宋体" w:cs="宋体"/>
                <w:color w:val="auto"/>
                <w:highlight w:val="none"/>
                <w:lang w:val="en-US" w:eastAsia="zh-CN"/>
              </w:rPr>
              <w:t>(</w:t>
            </w:r>
            <w:r>
              <w:rPr>
                <w:rFonts w:hint="eastAsia" w:ascii="宋体" w:hAnsi="宋体" w:cs="宋体"/>
                <w:color w:val="auto"/>
                <w:highlight w:val="none"/>
              </w:rPr>
              <w:t>2022）3号]文件第二条第五点关于“进一步提高政府采购预付款比例”的规定：</w:t>
            </w:r>
          </w:p>
          <w:p>
            <w:pPr>
              <w:ind w:firstLine="420" w:firstLineChars="200"/>
              <w:rPr>
                <w:rFonts w:ascii="宋体" w:hAnsi="宋体" w:cs="宋体"/>
                <w:color w:val="auto"/>
                <w:highlight w:val="none"/>
              </w:rPr>
            </w:pPr>
            <w:r>
              <w:rPr>
                <w:rFonts w:hint="eastAsia" w:ascii="宋体" w:hAnsi="宋体" w:cs="宋体"/>
                <w:color w:val="auto"/>
                <w:highlight w:val="none"/>
              </w:rPr>
              <w:t>1、采购单位应当在政府采购合同中约定预付款；</w:t>
            </w:r>
          </w:p>
          <w:p>
            <w:pPr>
              <w:ind w:firstLine="420" w:firstLineChars="200"/>
              <w:rPr>
                <w:rFonts w:ascii="宋体" w:hAnsi="宋体" w:cs="宋体"/>
                <w:color w:val="auto"/>
                <w:highlight w:val="none"/>
              </w:rPr>
            </w:pPr>
            <w:r>
              <w:rPr>
                <w:rFonts w:hint="eastAsia" w:ascii="宋体" w:hAnsi="宋体" w:cs="宋体"/>
                <w:color w:val="auto"/>
                <w:highlight w:val="none"/>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pPr>
              <w:ind w:firstLine="420" w:firstLineChars="200"/>
              <w:rPr>
                <w:rFonts w:ascii="宋体" w:hAnsi="宋体" w:cs="宋体"/>
                <w:color w:val="auto"/>
                <w:highlight w:val="none"/>
              </w:rPr>
            </w:pPr>
            <w:r>
              <w:rPr>
                <w:rFonts w:hint="eastAsia" w:ascii="宋体" w:hAnsi="宋体" w:cs="宋体"/>
                <w:color w:val="auto"/>
                <w:highlight w:val="none"/>
              </w:rPr>
              <w:t>3、本项目涉及投标人为大型企业，或者以人工投入为主且实行按月定期结算支付款项的，预付款可低于上述比例或者不约定预付款（相应字样应在合同中体现）。</w:t>
            </w:r>
          </w:p>
          <w:p>
            <w:pPr>
              <w:ind w:firstLine="420" w:firstLineChars="200"/>
              <w:rPr>
                <w:rFonts w:ascii="宋体" w:hAnsi="宋体" w:cs="宋体"/>
                <w:color w:val="auto"/>
                <w:highlight w:val="none"/>
              </w:rPr>
            </w:pPr>
            <w:r>
              <w:rPr>
                <w:rFonts w:hint="eastAsia" w:ascii="宋体" w:hAnsi="宋体" w:cs="宋体"/>
                <w:color w:val="auto"/>
                <w:highlight w:val="none"/>
              </w:rPr>
              <w:t>4、在签订合同时，中标人明确表示无需预付款或者主动要求降低预付款比例的，应提交相应申请函经采购人确认后，可不适用前述规定。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spacing w:line="360" w:lineRule="exact"/>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2</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供应商信用信息查询渠道及截止时点、信用信息查询记录和证据留存的具体方式、信用信息的使用规则</w:t>
            </w:r>
          </w:p>
        </w:tc>
        <w:tc>
          <w:tcPr>
            <w:tcW w:w="6682" w:type="dxa"/>
            <w:vAlign w:val="center"/>
          </w:tcPr>
          <w:p>
            <w:pPr>
              <w:ind w:firstLine="420" w:firstLineChars="200"/>
              <w:rPr>
                <w:rFonts w:ascii="宋体"/>
                <w:color w:val="auto"/>
                <w:highlight w:val="none"/>
              </w:rPr>
            </w:pPr>
            <w:r>
              <w:rPr>
                <w:rFonts w:ascii="宋体" w:hAnsi="宋体" w:cs="宋体"/>
                <w:color w:val="auto"/>
                <w:highlight w:val="none"/>
              </w:rPr>
              <w:t>1</w:t>
            </w:r>
            <w:r>
              <w:rPr>
                <w:rFonts w:hint="eastAsia" w:ascii="宋体" w:hAnsi="宋体" w:cs="宋体"/>
                <w:color w:val="auto"/>
                <w:highlight w:val="none"/>
              </w:rPr>
              <w:t>、查询渠道：信用中国（网址：</w:t>
            </w:r>
            <w:r>
              <w:rPr>
                <w:rFonts w:ascii="宋体" w:hAnsi="宋体" w:cs="宋体"/>
                <w:color w:val="auto"/>
                <w:highlight w:val="none"/>
              </w:rPr>
              <w:t>http://www.creditchina.gov.cn</w:t>
            </w:r>
            <w:r>
              <w:rPr>
                <w:rFonts w:hint="eastAsia" w:ascii="宋体" w:hAnsi="宋体" w:cs="宋体"/>
                <w:color w:val="auto"/>
                <w:highlight w:val="none"/>
              </w:rPr>
              <w:t>）、中国政府采购网</w:t>
            </w:r>
            <w:r>
              <w:rPr>
                <w:rFonts w:hint="eastAsia" w:ascii="宋体" w:hAnsi="宋体" w:cs="宋体"/>
                <w:color w:val="auto"/>
                <w:highlight w:val="none"/>
                <w:lang w:eastAsia="zh-CN"/>
              </w:rPr>
              <w:t>（</w:t>
            </w:r>
            <w:r>
              <w:rPr>
                <w:rFonts w:hint="eastAsia" w:ascii="宋体" w:hAnsi="宋体" w:cs="宋体"/>
                <w:color w:val="auto"/>
                <w:highlight w:val="none"/>
              </w:rPr>
              <w:t>网址：</w:t>
            </w:r>
            <w:r>
              <w:rPr>
                <w:rFonts w:ascii="宋体" w:hAnsi="宋体" w:cs="宋体"/>
                <w:color w:val="auto"/>
                <w:highlight w:val="none"/>
              </w:rPr>
              <w:t>http://www.ccgp.gov.cn</w:t>
            </w:r>
            <w:r>
              <w:rPr>
                <w:rFonts w:hint="eastAsia" w:ascii="宋体" w:hAnsi="宋体" w:cs="宋体"/>
                <w:color w:val="auto"/>
                <w:highlight w:val="none"/>
              </w:rPr>
              <w:t>）。</w:t>
            </w:r>
          </w:p>
          <w:p>
            <w:pPr>
              <w:ind w:firstLine="420" w:firstLineChars="200"/>
              <w:rPr>
                <w:rFonts w:ascii="宋体"/>
                <w:color w:val="auto"/>
                <w:highlight w:val="none"/>
              </w:rPr>
            </w:pPr>
            <w:r>
              <w:rPr>
                <w:rFonts w:ascii="宋体" w:hAnsi="宋体" w:cs="宋体"/>
                <w:color w:val="auto"/>
                <w:highlight w:val="none"/>
              </w:rPr>
              <w:t>2</w:t>
            </w:r>
            <w:r>
              <w:rPr>
                <w:rFonts w:hint="eastAsia" w:ascii="宋体" w:hAnsi="宋体" w:cs="宋体"/>
                <w:color w:val="auto"/>
                <w:highlight w:val="none"/>
              </w:rPr>
              <w:t>、截止时点：开标后评标前。</w:t>
            </w:r>
          </w:p>
          <w:p>
            <w:pPr>
              <w:ind w:firstLine="420" w:firstLineChars="200"/>
              <w:rPr>
                <w:rFonts w:ascii="宋体"/>
                <w:color w:val="auto"/>
                <w:highlight w:val="none"/>
              </w:rPr>
            </w:pPr>
            <w:r>
              <w:rPr>
                <w:rFonts w:ascii="宋体" w:hAnsi="宋体" w:cs="宋体"/>
                <w:color w:val="auto"/>
                <w:highlight w:val="none"/>
              </w:rPr>
              <w:t>3</w:t>
            </w:r>
            <w:r>
              <w:rPr>
                <w:rFonts w:hint="eastAsia" w:ascii="宋体" w:hAnsi="宋体" w:cs="宋体"/>
                <w:color w:val="auto"/>
                <w:highlight w:val="none"/>
              </w:rPr>
              <w:t>、信用信息查询记录和证据留存的具体方式：由采购组织机构在规定查询时间内打印信用信息查询记录并归入项目档案。</w:t>
            </w:r>
          </w:p>
          <w:p>
            <w:pPr>
              <w:ind w:firstLine="420" w:firstLineChars="200"/>
              <w:rPr>
                <w:rFonts w:ascii="宋体"/>
                <w:color w:val="auto"/>
                <w:highlight w:val="none"/>
              </w:rPr>
            </w:pPr>
            <w:r>
              <w:rPr>
                <w:rFonts w:ascii="宋体" w:hAnsi="宋体" w:cs="宋体"/>
                <w:color w:val="auto"/>
                <w:highlight w:val="none"/>
              </w:rPr>
              <w:t>4</w:t>
            </w:r>
            <w:r>
              <w:rPr>
                <w:rFonts w:hint="eastAsia" w:ascii="宋体" w:hAnsi="宋体" w:cs="宋体"/>
                <w:color w:val="auto"/>
                <w:highlight w:val="none"/>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spacing w:line="360" w:lineRule="exact"/>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3</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金融支持</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为支持和促进中小企业发展，进一步发挥政府采购政策功能，浙江省财政厅出台浙财采监〔</w:t>
            </w:r>
            <w:r>
              <w:rPr>
                <w:rFonts w:ascii="宋体" w:hAnsi="宋体" w:cs="宋体"/>
                <w:color w:val="auto"/>
                <w:highlight w:val="none"/>
              </w:rPr>
              <w:t>2020</w:t>
            </w:r>
            <w:r>
              <w:rPr>
                <w:rFonts w:hint="eastAsia" w:ascii="宋体" w:hAnsi="宋体" w:cs="宋体"/>
                <w:color w:val="auto"/>
                <w:highlight w:val="none"/>
              </w:rPr>
              <w:t>〕</w:t>
            </w:r>
            <w:r>
              <w:rPr>
                <w:rFonts w:ascii="宋体" w:hAnsi="宋体" w:cs="宋体"/>
                <w:color w:val="auto"/>
                <w:highlight w:val="none"/>
              </w:rPr>
              <w:t xml:space="preserve">3 </w:t>
            </w:r>
            <w:r>
              <w:rPr>
                <w:rFonts w:hint="eastAsia" w:ascii="宋体" w:hAnsi="宋体" w:cs="宋体"/>
                <w:color w:val="auto"/>
                <w:highlight w:val="none"/>
              </w:rPr>
              <w:t>号文件，企业若有融资意向，</w:t>
            </w:r>
            <w:r>
              <w:rPr>
                <w:rFonts w:hint="eastAsia" w:ascii="宋体" w:hAnsi="宋体" w:cs="宋体"/>
                <w:color w:val="auto"/>
                <w:highlight w:val="none"/>
                <w:lang w:eastAsia="zh-CN"/>
              </w:rPr>
              <w:t>可登录</w:t>
            </w:r>
            <w:r>
              <w:rPr>
                <w:rFonts w:hint="eastAsia" w:ascii="宋体" w:hAnsi="宋体" w:cs="宋体"/>
                <w:color w:val="auto"/>
                <w:highlight w:val="none"/>
              </w:rPr>
              <w:t>政采云平台融资服务（</w:t>
            </w:r>
            <w:r>
              <w:rPr>
                <w:rFonts w:ascii="宋体" w:hAnsi="宋体" w:cs="宋体"/>
                <w:color w:val="auto"/>
                <w:highlight w:val="none"/>
              </w:rPr>
              <w:t>https://jinrong.zcygov.cn/</w:t>
            </w:r>
            <w:r>
              <w:rPr>
                <w:rFonts w:hint="eastAsia" w:ascii="宋体" w:hAnsi="宋体" w:cs="宋体"/>
                <w:color w:val="auto"/>
                <w:highlight w:val="none"/>
              </w:rPr>
              <w:t>），查看相应融资政策文件及各相关银行服务方案。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pPr>
              <w:snapToGrid w:val="0"/>
              <w:spacing w:line="360" w:lineRule="exact"/>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4</w:t>
            </w:r>
          </w:p>
        </w:tc>
        <w:tc>
          <w:tcPr>
            <w:tcW w:w="1800" w:type="dxa"/>
            <w:tcBorders>
              <w:bottom w:val="doub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其他</w:t>
            </w:r>
          </w:p>
        </w:tc>
        <w:tc>
          <w:tcPr>
            <w:tcW w:w="6682" w:type="dxa"/>
            <w:tcBorders>
              <w:bottom w:val="double" w:color="auto" w:sz="4" w:space="0"/>
            </w:tcBorders>
            <w:vAlign w:val="center"/>
          </w:tcPr>
          <w:p>
            <w:pPr>
              <w:numPr>
                <w:ilvl w:val="0"/>
                <w:numId w:val="9"/>
              </w:numPr>
              <w:ind w:firstLine="422" w:firstLineChars="200"/>
              <w:rPr>
                <w:b/>
                <w:bCs/>
                <w:color w:val="auto"/>
                <w:highlight w:val="none"/>
              </w:rPr>
            </w:pPr>
            <w:r>
              <w:rPr>
                <w:rFonts w:hint="eastAsia"/>
                <w:b/>
                <w:bCs/>
                <w:color w:val="auto"/>
                <w:highlight w:val="none"/>
              </w:rPr>
              <w:t>本磋商文件要求提供的身份证复印件皆需提供正反面，否则按不提供处理。</w:t>
            </w:r>
          </w:p>
          <w:p>
            <w:pPr>
              <w:ind w:firstLine="420" w:firstLineChars="200"/>
              <w:rPr>
                <w:rFonts w:ascii="宋体"/>
                <w:b/>
                <w:bCs/>
                <w:color w:val="auto"/>
                <w:highlight w:val="none"/>
              </w:rPr>
            </w:pPr>
            <w:r>
              <w:rPr>
                <w:rFonts w:hint="eastAsia"/>
                <w:color w:val="auto"/>
                <w:highlight w:val="none"/>
              </w:rPr>
              <w:t>2、本项目货物如涉及柴油动力移动源，柴油动力移动源应当符合低排放要求。</w:t>
            </w:r>
          </w:p>
        </w:tc>
      </w:tr>
    </w:tbl>
    <w:p>
      <w:pPr>
        <w:pStyle w:val="3"/>
        <w:rPr>
          <w:rFonts w:ascii="宋体"/>
          <w:color w:val="auto"/>
          <w:highlight w:val="none"/>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color w:val="auto"/>
          <w:sz w:val="24"/>
          <w:szCs w:val="24"/>
          <w:highlight w:val="none"/>
        </w:rPr>
        <w:t>注：以上内容如有变化将另行通知。如通知其中某一内容发生变化，其余未提及的将不作变动。</w:t>
      </w:r>
    </w:p>
    <w:p>
      <w:pPr>
        <w:pStyle w:val="2"/>
        <w:numPr>
          <w:ilvl w:val="0"/>
          <w:numId w:val="10"/>
        </w:numPr>
        <w:spacing w:line="336" w:lineRule="auto"/>
        <w:jc w:val="center"/>
        <w:rPr>
          <w:rFonts w:hAnsi="宋体" w:cs="Times New Roman"/>
          <w:color w:val="auto"/>
          <w:highlight w:val="none"/>
        </w:rPr>
      </w:pPr>
      <w:r>
        <w:rPr>
          <w:rFonts w:hAnsi="宋体"/>
          <w:color w:val="auto"/>
          <w:highlight w:val="none"/>
        </w:rPr>
        <w:t xml:space="preserve"> </w:t>
      </w:r>
      <w:bookmarkStart w:id="16" w:name="_Toc16700"/>
      <w:bookmarkStart w:id="17" w:name="_Toc25187"/>
      <w:r>
        <w:rPr>
          <w:rFonts w:hint="eastAsia" w:hAnsi="宋体"/>
          <w:color w:val="auto"/>
          <w:highlight w:val="none"/>
        </w:rPr>
        <w:t>总则</w:t>
      </w:r>
      <w:bookmarkEnd w:id="16"/>
      <w:bookmarkEnd w:id="17"/>
    </w:p>
    <w:p>
      <w:pPr>
        <w:spacing w:line="336" w:lineRule="auto"/>
        <w:ind w:firstLine="480" w:firstLineChars="200"/>
        <w:rPr>
          <w:color w:val="auto"/>
          <w:highlight w:val="none"/>
        </w:rPr>
      </w:pPr>
      <w:r>
        <w:rPr>
          <w:rFonts w:hint="eastAsia" w:cs="宋体"/>
          <w:color w:val="auto"/>
          <w:sz w:val="24"/>
          <w:szCs w:val="24"/>
          <w:highlight w:val="none"/>
        </w:rPr>
        <w:t>本次</w:t>
      </w:r>
      <w:r>
        <w:rPr>
          <w:rFonts w:hint="eastAsia" w:cs="宋体"/>
          <w:color w:val="auto"/>
          <w:sz w:val="24"/>
          <w:szCs w:val="24"/>
          <w:highlight w:val="none"/>
          <w:lang w:val="en-US" w:eastAsia="zh-CN"/>
        </w:rPr>
        <w:t>磋商</w:t>
      </w:r>
      <w:r>
        <w:rPr>
          <w:rFonts w:hint="eastAsia" w:cs="宋体"/>
          <w:color w:val="auto"/>
          <w:sz w:val="24"/>
          <w:szCs w:val="24"/>
          <w:highlight w:val="none"/>
        </w:rPr>
        <w:t>工作是按照《中华人民共和国政府采购法</w:t>
      </w:r>
      <w:r>
        <w:rPr>
          <w:rFonts w:hint="eastAsia" w:cs="宋体"/>
          <w:color w:val="auto"/>
          <w:sz w:val="24"/>
          <w:szCs w:val="24"/>
          <w:highlight w:val="none"/>
          <w:lang w:eastAsia="zh-CN"/>
        </w:rPr>
        <w:t>》《</w:t>
      </w:r>
      <w:r>
        <w:rPr>
          <w:rFonts w:hint="eastAsia" w:cs="宋体"/>
          <w:color w:val="auto"/>
          <w:sz w:val="24"/>
          <w:szCs w:val="24"/>
          <w:highlight w:val="none"/>
        </w:rPr>
        <w:t>中华人民共和国政府采购法实施条例》《政府采购竞争性磋商采购方式管理暂行办法》等相关法律、组织和实施，并由政府采购管理部门指导和监督。</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、适用范围</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本次磋商工作仅适用于</w:t>
      </w:r>
      <w:r>
        <w:rPr>
          <w:rFonts w:hint="eastAsia" w:ascii="宋体" w:hAnsi="宋体" w:cs="宋体"/>
          <w:color w:val="auto"/>
          <w:sz w:val="24"/>
          <w:szCs w:val="24"/>
          <w:highlight w:val="none"/>
          <w:u w:val="single"/>
          <w:lang w:eastAsia="zh-CN"/>
        </w:rPr>
        <w:t>丰惠镇政府和便民中心物业管理服务项目（三年）</w:t>
      </w:r>
      <w:r>
        <w:rPr>
          <w:rFonts w:hint="eastAsia" w:ascii="宋体" w:hAnsi="宋体" w:cs="宋体"/>
          <w:color w:val="auto"/>
          <w:sz w:val="24"/>
          <w:szCs w:val="24"/>
          <w:highlight w:val="none"/>
        </w:rPr>
        <w:t>。</w:t>
      </w:r>
    </w:p>
    <w:p>
      <w:pPr>
        <w:spacing w:line="33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1.2本项目采购方式采用竞争性磋商方式。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rPr>
        <w:t>、定义</w:t>
      </w:r>
    </w:p>
    <w:p>
      <w:pPr>
        <w:spacing w:line="336" w:lineRule="auto"/>
        <w:ind w:firstLine="480" w:firstLineChars="200"/>
        <w:rPr>
          <w:rFonts w:ascii="宋体"/>
          <w:color w:val="auto"/>
          <w:sz w:val="24"/>
          <w:szCs w:val="24"/>
          <w:highlight w:val="none"/>
          <w:u w:val="single"/>
        </w:rPr>
      </w:pPr>
      <w:r>
        <w:rPr>
          <w:rFonts w:ascii="宋体" w:hAnsi="宋体" w:cs="宋体"/>
          <w:color w:val="auto"/>
          <w:sz w:val="24"/>
          <w:szCs w:val="24"/>
          <w:highlight w:val="none"/>
        </w:rPr>
        <w:t>2.1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采购人”系指</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上虞区丰惠镇人民政府</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。采购人委托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绍兴市上虞区公共资源交易中心</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为本项目采购代理机构。</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2.2</w:t>
      </w:r>
      <w:r>
        <w:rPr>
          <w:rFonts w:hint="eastAsia" w:ascii="宋体" w:hAnsi="宋体" w:cs="宋体"/>
          <w:color w:val="auto"/>
          <w:sz w:val="24"/>
          <w:szCs w:val="24"/>
          <w:highlight w:val="none"/>
        </w:rPr>
        <w:t>“磋商供应商”系指响应本次采购，参加本次竞争性磋商的供应商。</w:t>
      </w:r>
    </w:p>
    <w:p>
      <w:pPr>
        <w:spacing w:line="336" w:lineRule="auto"/>
        <w:ind w:firstLine="480" w:firstLineChars="200"/>
        <w:rPr>
          <w:rFonts w:ascii="宋体"/>
          <w:color w:val="auto"/>
          <w:sz w:val="24"/>
          <w:szCs w:val="24"/>
          <w:highlight w:val="none"/>
          <w:lang w:val="zh-CN"/>
        </w:rPr>
      </w:pPr>
      <w:r>
        <w:rPr>
          <w:rFonts w:ascii="宋体" w:hAnsi="宋体" w:cs="宋体"/>
          <w:color w:val="auto"/>
          <w:sz w:val="24"/>
          <w:szCs w:val="24"/>
          <w:highlight w:val="none"/>
        </w:rPr>
        <w:t>2.3</w:t>
      </w:r>
      <w:r>
        <w:rPr>
          <w:rFonts w:hint="eastAsia" w:ascii="宋体" w:hAnsi="宋体" w:cs="宋体"/>
          <w:color w:val="auto"/>
          <w:sz w:val="24"/>
          <w:szCs w:val="24"/>
          <w:highlight w:val="none"/>
          <w:lang w:val="zh-CN"/>
        </w:rPr>
        <w:t>“服务”系指</w:t>
      </w:r>
      <w:r>
        <w:rPr>
          <w:rFonts w:hint="eastAsia" w:ascii="宋体" w:hAnsi="宋体" w:cs="宋体"/>
          <w:color w:val="auto"/>
          <w:sz w:val="24"/>
          <w:szCs w:val="24"/>
          <w:highlight w:val="none"/>
        </w:rPr>
        <w:t>磋商供应商按合同规定，须承担的服务的义务</w:t>
      </w:r>
      <w:r>
        <w:rPr>
          <w:rFonts w:hint="eastAsia" w:ascii="宋体" w:hAnsi="宋体" w:cs="宋体"/>
          <w:color w:val="auto"/>
          <w:sz w:val="24"/>
          <w:szCs w:val="24"/>
          <w:highlight w:val="none"/>
          <w:lang w:val="zh-CN"/>
        </w:rPr>
        <w:t>。</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rPr>
        <w:t>、采购项目概况</w:t>
      </w:r>
      <w:r>
        <w:rPr>
          <w:rFonts w:ascii="宋体"/>
          <w:b/>
          <w:bCs/>
          <w:color w:val="auto"/>
          <w:sz w:val="24"/>
          <w:szCs w:val="24"/>
          <w:highlight w:val="none"/>
        </w:rPr>
        <w:tab/>
      </w:r>
      <w:r>
        <w:rPr>
          <w:rFonts w:ascii="宋体"/>
          <w:b/>
          <w:bCs/>
          <w:color w:val="auto"/>
          <w:sz w:val="24"/>
          <w:szCs w:val="24"/>
          <w:highlight w:val="none"/>
        </w:rPr>
        <w:tab/>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详见竞争性磋商公告相关内容，主要要求参见本文件第</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三</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部分。</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、合格的磋商供应商</w:t>
      </w:r>
    </w:p>
    <w:p>
      <w:pPr>
        <w:spacing w:line="336" w:lineRule="auto"/>
        <w:ind w:firstLine="480" w:firstLineChars="200"/>
        <w:rPr>
          <w:rFonts w:ascii="宋体"/>
          <w:color w:val="auto"/>
          <w:sz w:val="24"/>
          <w:szCs w:val="24"/>
          <w:highlight w:val="none"/>
        </w:rPr>
      </w:pPr>
      <w:bookmarkStart w:id="18" w:name="_Toc209504018"/>
      <w:bookmarkStart w:id="19" w:name="_Toc208287611"/>
      <w:bookmarkStart w:id="20" w:name="_Toc197156227"/>
      <w:bookmarkStart w:id="21" w:name="_Toc209520993"/>
      <w:bookmarkStart w:id="22" w:name="_Toc197163261"/>
      <w:bookmarkStart w:id="23" w:name="_Toc197053926"/>
      <w:bookmarkStart w:id="24" w:name="_Toc209435242"/>
      <w:bookmarkStart w:id="25" w:name="_Toc204683265"/>
      <w:bookmarkStart w:id="26" w:name="_Toc208913145"/>
      <w:bookmarkStart w:id="27" w:name="_Toc193538208"/>
      <w:bookmarkStart w:id="28" w:name="_Toc193523219"/>
      <w:bookmarkStart w:id="29" w:name="_Toc211412066"/>
      <w:bookmarkStart w:id="30" w:name="_Toc207946571"/>
      <w:bookmarkStart w:id="31" w:name="_Toc197657950"/>
      <w:r>
        <w:rPr>
          <w:rFonts w:hint="eastAsia" w:ascii="宋体" w:hAnsi="宋体" w:cs="宋体"/>
          <w:color w:val="auto"/>
          <w:sz w:val="24"/>
          <w:szCs w:val="24"/>
          <w:highlight w:val="none"/>
        </w:rPr>
        <w:t>详见竞争性磋商采购公告磋商供应商的资格要求规定。</w:t>
      </w:r>
      <w:bookmarkEnd w:id="18"/>
      <w:bookmarkEnd w:id="19"/>
      <w:bookmarkEnd w:id="20"/>
      <w:bookmarkEnd w:id="21"/>
      <w:bookmarkEnd w:id="22"/>
      <w:bookmarkEnd w:id="23"/>
      <w:bookmarkEnd w:id="24"/>
      <w:bookmarkEnd w:id="25"/>
      <w:bookmarkEnd w:id="26"/>
      <w:bookmarkEnd w:id="27"/>
      <w:bookmarkEnd w:id="28"/>
      <w:bookmarkEnd w:id="29"/>
      <w:bookmarkEnd w:id="30"/>
      <w:bookmarkEnd w:id="31"/>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hint="eastAsia" w:ascii="宋体" w:hAnsi="宋体" w:cs="宋体"/>
          <w:b/>
          <w:bCs/>
          <w:color w:val="auto"/>
          <w:sz w:val="24"/>
          <w:szCs w:val="24"/>
          <w:highlight w:val="none"/>
        </w:rPr>
        <w:t>、磋商费用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磋商供应商应承担其参加磋商所涉及的一切费用，不管结果如何，采购人对上述费用不负任何责任。</w:t>
      </w:r>
    </w:p>
    <w:p>
      <w:pPr>
        <w:pStyle w:val="2"/>
        <w:numPr>
          <w:ilvl w:val="0"/>
          <w:numId w:val="10"/>
        </w:numPr>
        <w:spacing w:line="336" w:lineRule="auto"/>
        <w:jc w:val="center"/>
        <w:rPr>
          <w:rFonts w:cs="Times New Roman"/>
          <w:color w:val="auto"/>
          <w:highlight w:val="none"/>
        </w:rPr>
      </w:pPr>
      <w:bookmarkStart w:id="32" w:name="_Toc32689"/>
      <w:bookmarkStart w:id="33" w:name="_Toc416992151"/>
      <w:bookmarkStart w:id="34" w:name="_Toc25923"/>
      <w:r>
        <w:rPr>
          <w:color w:val="auto"/>
          <w:highlight w:val="none"/>
        </w:rPr>
        <w:t xml:space="preserve"> </w:t>
      </w:r>
      <w:bookmarkStart w:id="35" w:name="_Toc5274"/>
      <w:bookmarkStart w:id="36" w:name="_Toc11814"/>
      <w:r>
        <w:rPr>
          <w:rFonts w:hint="eastAsia"/>
          <w:color w:val="auto"/>
          <w:highlight w:val="none"/>
        </w:rPr>
        <w:t>竞争性磋商文件</w:t>
      </w:r>
      <w:bookmarkEnd w:id="32"/>
      <w:bookmarkEnd w:id="33"/>
      <w:bookmarkEnd w:id="34"/>
      <w:bookmarkEnd w:id="35"/>
      <w:bookmarkEnd w:id="36"/>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6</w:t>
      </w:r>
      <w:r>
        <w:rPr>
          <w:rFonts w:hint="eastAsia" w:ascii="宋体" w:hAnsi="宋体" w:cs="宋体"/>
          <w:b/>
          <w:bCs/>
          <w:color w:val="auto"/>
          <w:sz w:val="24"/>
          <w:szCs w:val="24"/>
          <w:highlight w:val="none"/>
        </w:rPr>
        <w:t>、磋商文件的组成</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6.1</w:t>
      </w:r>
      <w:r>
        <w:rPr>
          <w:rFonts w:hint="eastAsia" w:ascii="宋体" w:hAnsi="宋体" w:cs="宋体"/>
          <w:color w:val="auto"/>
          <w:sz w:val="24"/>
          <w:szCs w:val="24"/>
          <w:highlight w:val="none"/>
        </w:rPr>
        <w:t>本磋商文件包括目录所示内容及所有按本须知发出的补充资料（如果有）。</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6.2</w:t>
      </w:r>
      <w:r>
        <w:rPr>
          <w:rFonts w:hint="eastAsia" w:ascii="宋体" w:hAnsi="宋体" w:cs="宋体"/>
          <w:color w:val="auto"/>
          <w:sz w:val="24"/>
          <w:szCs w:val="24"/>
          <w:highlight w:val="none"/>
        </w:rPr>
        <w:t>除上述所列内容外，采购人及采购代理机构的任何工作人员对磋商供应商所作的任何口头解释、介绍、答复，只能供磋商供应商参考，对采购人和磋商供应商无任何约束力。</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6.3</w:t>
      </w:r>
      <w:r>
        <w:rPr>
          <w:rFonts w:hint="eastAsia" w:ascii="宋体" w:hAnsi="宋体" w:cs="宋体"/>
          <w:color w:val="auto"/>
          <w:sz w:val="24"/>
          <w:szCs w:val="24"/>
          <w:highlight w:val="none"/>
        </w:rPr>
        <w:t>磋商供应商应仔细阅读磋商文件的所有内容，按照文件要求提交响应文件，并保证所提交的全部资料的真实性。不按磋商文件的要求提供的响应文件和资料，可能导致磋商被拒绝。</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6.4</w:t>
      </w:r>
      <w:r>
        <w:rPr>
          <w:rFonts w:hint="eastAsia" w:ascii="宋体" w:hAnsi="宋体" w:cs="宋体"/>
          <w:color w:val="auto"/>
          <w:sz w:val="24"/>
          <w:szCs w:val="24"/>
          <w:highlight w:val="none"/>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pPr>
        <w:adjustRightInd w:val="0"/>
        <w:spacing w:line="336" w:lineRule="auto"/>
        <w:ind w:firstLine="472" w:firstLineChars="196"/>
        <w:rPr>
          <w:rFonts w:ascii="宋体"/>
          <w:b/>
          <w:bCs/>
          <w:color w:val="auto"/>
          <w:sz w:val="24"/>
          <w:szCs w:val="24"/>
          <w:highlight w:val="none"/>
        </w:rPr>
      </w:pPr>
      <w:r>
        <w:rPr>
          <w:rFonts w:ascii="宋体" w:hAnsi="宋体" w:cs="宋体"/>
          <w:b/>
          <w:bCs/>
          <w:color w:val="auto"/>
          <w:sz w:val="24"/>
          <w:szCs w:val="24"/>
          <w:highlight w:val="none"/>
        </w:rPr>
        <w:t>7</w:t>
      </w:r>
      <w:r>
        <w:rPr>
          <w:rFonts w:hint="eastAsia" w:ascii="宋体" w:hAnsi="宋体" w:cs="宋体"/>
          <w:b/>
          <w:bCs/>
          <w:color w:val="auto"/>
          <w:sz w:val="24"/>
          <w:szCs w:val="24"/>
          <w:highlight w:val="none"/>
        </w:rPr>
        <w:t>、磋商文件的澄清与修改</w:t>
      </w:r>
    </w:p>
    <w:p>
      <w:pPr>
        <w:pStyle w:val="12"/>
        <w:spacing w:line="336" w:lineRule="auto"/>
        <w:ind w:firstLine="480" w:firstLineChars="200"/>
        <w:rPr>
          <w:rFonts w:cs="Times New Roman"/>
          <w:color w:val="auto"/>
          <w:highlight w:val="none"/>
        </w:rPr>
      </w:pPr>
      <w:r>
        <w:rPr>
          <w:color w:val="auto"/>
          <w:highlight w:val="none"/>
        </w:rPr>
        <w:t>7.1</w:t>
      </w:r>
      <w:r>
        <w:rPr>
          <w:rFonts w:hint="eastAsia"/>
          <w:color w:val="auto"/>
          <w:highlight w:val="none"/>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pPr>
        <w:pStyle w:val="12"/>
        <w:spacing w:line="336" w:lineRule="auto"/>
        <w:ind w:right="-252" w:rightChars="-120" w:firstLine="480" w:firstLineChars="200"/>
        <w:rPr>
          <w:rFonts w:cs="Times New Roman"/>
          <w:color w:val="auto"/>
          <w:highlight w:val="none"/>
        </w:rPr>
      </w:pPr>
      <w:r>
        <w:rPr>
          <w:color w:val="auto"/>
          <w:highlight w:val="none"/>
        </w:rPr>
        <w:t>7.2</w:t>
      </w:r>
      <w:r>
        <w:rPr>
          <w:rFonts w:hint="eastAsia"/>
          <w:color w:val="auto"/>
          <w:highlight w:val="none"/>
        </w:rPr>
        <w:t>磋商供应商要求解释或澄清的问题应以书面形式，并加盖公章、写明日期。</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7.3</w:t>
      </w:r>
      <w:r>
        <w:rPr>
          <w:rFonts w:hint="eastAsia" w:ascii="宋体" w:hAnsi="宋体" w:cs="宋体"/>
          <w:color w:val="auto"/>
          <w:sz w:val="24"/>
          <w:szCs w:val="24"/>
          <w:highlight w:val="none"/>
        </w:rPr>
        <w:t>提交响应文件截止之日前，采购人、采购代理机构或者磋商小组可以对已发出的磋商文件进行必要的澄清或者修改，澄清或者修改的内容作为磋商文件的组成部分。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7.4</w:t>
      </w:r>
      <w:r>
        <w:rPr>
          <w:rFonts w:hint="eastAsia" w:ascii="宋体" w:hAnsi="宋体" w:cs="宋体"/>
          <w:color w:val="auto"/>
          <w:sz w:val="24"/>
          <w:szCs w:val="24"/>
          <w:highlight w:val="none"/>
        </w:rPr>
        <w:t>竞争性磋商文件的澄清修改文件及更正补充公告，请自行登录浙江政府采购网或绍兴市上虞区公共资源交易中心网站，在采购公告页面中下载。</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7.5</w:t>
      </w:r>
      <w:r>
        <w:rPr>
          <w:rFonts w:hint="eastAsia" w:ascii="宋体" w:hAnsi="宋体" w:cs="宋体"/>
          <w:color w:val="auto"/>
          <w:sz w:val="24"/>
          <w:szCs w:val="24"/>
          <w:highlight w:val="none"/>
        </w:rPr>
        <w:t>澄清或者修改的内容可能影响响应文件编制的，采购人、采购代理机构将在提交响应文件截止时间至少</w:t>
      </w:r>
      <w:r>
        <w:rPr>
          <w:rFonts w:ascii="宋体" w:hAnsi="宋体" w:cs="宋体"/>
          <w:color w:val="auto"/>
          <w:sz w:val="24"/>
          <w:szCs w:val="24"/>
          <w:highlight w:val="none"/>
        </w:rPr>
        <w:t>5</w:t>
      </w:r>
      <w:r>
        <w:rPr>
          <w:rFonts w:hint="eastAsia" w:ascii="宋体" w:hAnsi="宋体" w:cs="宋体"/>
          <w:color w:val="auto"/>
          <w:sz w:val="24"/>
          <w:szCs w:val="24"/>
          <w:highlight w:val="none"/>
        </w:rPr>
        <w:t>日前，以公告形式通知所有获取磋商文件的供应商；不足</w:t>
      </w:r>
      <w:r>
        <w:rPr>
          <w:rFonts w:ascii="宋体" w:hAnsi="宋体" w:cs="宋体"/>
          <w:color w:val="auto"/>
          <w:sz w:val="24"/>
          <w:szCs w:val="24"/>
          <w:highlight w:val="none"/>
        </w:rPr>
        <w:t>5</w:t>
      </w:r>
      <w:r>
        <w:rPr>
          <w:rFonts w:hint="eastAsia" w:ascii="宋体" w:hAnsi="宋体" w:cs="宋体"/>
          <w:color w:val="auto"/>
          <w:sz w:val="24"/>
          <w:szCs w:val="24"/>
          <w:highlight w:val="none"/>
        </w:rPr>
        <w:t>日的，采购人、采购代理机构可能会顺延提交首次响应文件截止时间。澄清或者修改的内容未对原磋商文件作出重大修改或不会影响响应文件编制的，递交首次响应文件截止时间不变。</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7.6</w:t>
      </w:r>
      <w:r>
        <w:rPr>
          <w:rFonts w:hint="eastAsia" w:ascii="宋体" w:hAnsi="宋体" w:cs="宋体"/>
          <w:color w:val="auto"/>
          <w:sz w:val="24"/>
          <w:szCs w:val="24"/>
          <w:highlight w:val="none"/>
        </w:rPr>
        <w:t>竞争性磋商文件澄清、答复、修改、补充的内容为竞争性磋商文件的组成部分。</w:t>
      </w:r>
    </w:p>
    <w:p>
      <w:pPr>
        <w:pStyle w:val="3"/>
        <w:spacing w:line="336" w:lineRule="auto"/>
        <w:rPr>
          <w:rFonts w:ascii="宋体"/>
          <w:color w:val="auto"/>
          <w:sz w:val="24"/>
          <w:szCs w:val="24"/>
          <w:highlight w:val="none"/>
        </w:rPr>
      </w:pPr>
      <w:r>
        <w:rPr>
          <w:rFonts w:ascii="宋体" w:hAnsi="宋体" w:cs="宋体"/>
          <w:color w:val="auto"/>
          <w:sz w:val="24"/>
          <w:szCs w:val="24"/>
          <w:highlight w:val="none"/>
        </w:rPr>
        <w:t>7.7</w:t>
      </w:r>
      <w:r>
        <w:rPr>
          <w:rFonts w:hint="eastAsia" w:ascii="宋体" w:hAnsi="宋体" w:cs="宋体"/>
          <w:color w:val="auto"/>
          <w:sz w:val="24"/>
          <w:szCs w:val="24"/>
          <w:highlight w:val="none"/>
        </w:rPr>
        <w:t>磋商文件发售截止日后，经采购人同意后购买磋商文件的磋商供应商不得对磋商文件和补充文件提出答疑或质疑。</w:t>
      </w:r>
    </w:p>
    <w:p>
      <w:pPr>
        <w:pStyle w:val="2"/>
        <w:numPr>
          <w:ilvl w:val="0"/>
          <w:numId w:val="10"/>
        </w:numPr>
        <w:spacing w:line="336" w:lineRule="auto"/>
        <w:jc w:val="center"/>
        <w:rPr>
          <w:rFonts w:cs="Times New Roman"/>
          <w:color w:val="auto"/>
          <w:highlight w:val="none"/>
        </w:rPr>
      </w:pPr>
      <w:bookmarkStart w:id="37" w:name="_Toc23975"/>
      <w:bookmarkStart w:id="38" w:name="_Toc14650"/>
      <w:bookmarkStart w:id="39" w:name="_Toc26027"/>
      <w:bookmarkStart w:id="40" w:name="_Toc10810"/>
      <w:bookmarkStart w:id="41" w:name="_Toc1729"/>
      <w:bookmarkStart w:id="42" w:name="_Toc1828"/>
      <w:bookmarkStart w:id="43" w:name="_Toc11093"/>
      <w:bookmarkStart w:id="44" w:name="_Toc31748"/>
      <w:bookmarkStart w:id="45" w:name="_Toc11669"/>
      <w:bookmarkStart w:id="46" w:name="_Toc23135"/>
      <w:bookmarkStart w:id="47" w:name="_Toc6457"/>
      <w:bookmarkStart w:id="48" w:name="_Toc7126"/>
      <w:bookmarkStart w:id="49" w:name="_Toc6273"/>
      <w:bookmarkStart w:id="50" w:name="_Toc26603"/>
      <w:bookmarkStart w:id="51" w:name="_Toc1202"/>
      <w:bookmarkStart w:id="52" w:name="_Toc8860"/>
      <w:bookmarkStart w:id="53" w:name="_Toc6079"/>
      <w:bookmarkStart w:id="54" w:name="_Toc11692"/>
      <w:bookmarkStart w:id="55" w:name="_Toc18702"/>
      <w:bookmarkStart w:id="56" w:name="_Toc391298957"/>
      <w:bookmarkStart w:id="57" w:name="_Toc24622"/>
      <w:bookmarkStart w:id="58" w:name="_Toc10669"/>
      <w:r>
        <w:rPr>
          <w:color w:val="auto"/>
          <w:highlight w:val="none"/>
        </w:rPr>
        <w:t xml:space="preserve"> </w:t>
      </w:r>
      <w:bookmarkStart w:id="59" w:name="_Toc90"/>
      <w:bookmarkStart w:id="60" w:name="_Toc11515"/>
      <w:r>
        <w:rPr>
          <w:rFonts w:hint="eastAsia"/>
          <w:color w:val="auto"/>
          <w:highlight w:val="none"/>
        </w:rPr>
        <w:t>竞争性磋商响应文件的编写</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w:t>
      </w:r>
      <w:r>
        <w:rPr>
          <w:rFonts w:hint="eastAsia" w:ascii="宋体" w:hAnsi="宋体" w:cs="宋体"/>
          <w:color w:val="auto"/>
          <w:sz w:val="24"/>
          <w:szCs w:val="24"/>
          <w:highlight w:val="none"/>
        </w:rPr>
        <w:t>、要求</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8.1</w:t>
      </w:r>
      <w:r>
        <w:rPr>
          <w:rFonts w:hint="eastAsia" w:ascii="宋体" w:hAnsi="宋体" w:cs="宋体"/>
          <w:color w:val="auto"/>
          <w:sz w:val="24"/>
          <w:szCs w:val="24"/>
          <w:highlight w:val="none"/>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8.2</w:t>
      </w:r>
      <w:r>
        <w:rPr>
          <w:rFonts w:hint="eastAsia" w:ascii="宋体" w:hAnsi="宋体" w:cs="宋体"/>
          <w:color w:val="auto"/>
          <w:sz w:val="24"/>
          <w:szCs w:val="24"/>
          <w:highlight w:val="none"/>
        </w:rPr>
        <w:t>报价</w:t>
      </w:r>
    </w:p>
    <w:p>
      <w:pPr>
        <w:spacing w:line="336" w:lineRule="auto"/>
        <w:ind w:firstLine="480" w:firstLineChars="200"/>
        <w:rPr>
          <w:rFonts w:ascii="宋体"/>
          <w:b/>
          <w:bCs/>
          <w:color w:val="auto"/>
          <w:sz w:val="24"/>
          <w:szCs w:val="24"/>
          <w:highlight w:val="none"/>
          <w:shd w:val="clear" w:color="FFFFFF" w:fill="D9D9D9"/>
        </w:rPr>
      </w:pPr>
      <w:r>
        <w:rPr>
          <w:rFonts w:ascii="宋体" w:hAnsi="宋体" w:cs="宋体"/>
          <w:color w:val="auto"/>
          <w:sz w:val="24"/>
          <w:szCs w:val="24"/>
          <w:highlight w:val="none"/>
        </w:rPr>
        <w:t>8.2.1</w:t>
      </w:r>
      <w:r>
        <w:rPr>
          <w:rFonts w:hint="eastAsia" w:ascii="宋体" w:hAnsi="宋体" w:cs="宋体"/>
          <w:color w:val="auto"/>
          <w:sz w:val="24"/>
          <w:szCs w:val="24"/>
          <w:highlight w:val="none"/>
        </w:rPr>
        <w:t>本次报价非一次性报价，报价币种为人民币。在磋商后根据磋商情况（包括细化采购方案和要求，增补部分采购内容等），供应商须二次报价（最终报价），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61"/>
        <w:tabs>
          <w:tab w:val="left" w:pos="0"/>
        </w:tabs>
        <w:spacing w:line="336" w:lineRule="auto"/>
        <w:ind w:firstLine="480"/>
        <w:rPr>
          <w:rFonts w:ascii="宋体"/>
          <w:color w:val="auto"/>
          <w:highlight w:val="none"/>
          <w:u w:val="single"/>
        </w:rPr>
      </w:pPr>
      <w:r>
        <w:rPr>
          <w:rFonts w:ascii="宋体" w:hAnsi="宋体" w:cs="宋体"/>
          <w:color w:val="auto"/>
          <w:highlight w:val="none"/>
          <w:u w:val="single"/>
        </w:rPr>
        <w:t>8.2.2</w:t>
      </w:r>
      <w:r>
        <w:rPr>
          <w:rFonts w:hint="eastAsia" w:ascii="宋体" w:hAnsi="宋体" w:cs="宋体"/>
          <w:color w:val="auto"/>
          <w:highlight w:val="none"/>
          <w:u w:val="single"/>
          <w:lang w:val="en-US" w:eastAsia="zh-CN"/>
        </w:rPr>
        <w:t>磋商</w:t>
      </w:r>
      <w:r>
        <w:rPr>
          <w:rFonts w:hint="eastAsia" w:ascii="宋体" w:hAnsi="宋体" w:cs="宋体"/>
          <w:color w:val="auto"/>
          <w:highlight w:val="none"/>
          <w:u w:val="single"/>
        </w:rPr>
        <w:t>报价应包含项目所需全部服务，不得缺漏，是履行合同的最终价格</w:t>
      </w:r>
      <w:r>
        <w:rPr>
          <w:rFonts w:hint="eastAsia" w:ascii="宋体" w:hAnsi="宋体" w:cs="宋体"/>
          <w:color w:val="auto"/>
          <w:highlight w:val="none"/>
          <w:u w:val="single"/>
          <w:lang w:eastAsia="zh-CN"/>
        </w:rPr>
        <w:t>，包括人员的工资福利、</w:t>
      </w:r>
      <w:r>
        <w:rPr>
          <w:rFonts w:hint="eastAsia" w:ascii="宋体" w:hAnsi="宋体" w:cs="宋体"/>
          <w:color w:val="auto"/>
          <w:highlight w:val="none"/>
          <w:u w:val="single"/>
          <w:lang w:val="en-US" w:eastAsia="zh-CN"/>
        </w:rPr>
        <w:t>保险</w:t>
      </w:r>
      <w:r>
        <w:rPr>
          <w:rFonts w:hint="eastAsia" w:ascii="宋体" w:hAnsi="宋体" w:cs="宋体"/>
          <w:color w:val="auto"/>
          <w:highlight w:val="none"/>
          <w:u w:val="single"/>
          <w:lang w:eastAsia="zh-CN"/>
        </w:rPr>
        <w:t>、保洁用品、</w:t>
      </w:r>
      <w:r>
        <w:rPr>
          <w:rFonts w:hint="eastAsia" w:ascii="宋体" w:hAnsi="宋体" w:cs="宋体"/>
          <w:color w:val="auto"/>
          <w:highlight w:val="none"/>
          <w:u w:val="single"/>
          <w:lang w:val="en-US" w:eastAsia="zh-CN"/>
        </w:rPr>
        <w:t>服装设备</w:t>
      </w:r>
      <w:r>
        <w:rPr>
          <w:rFonts w:hint="eastAsia" w:ascii="宋体" w:hAnsi="宋体" w:cs="宋体"/>
          <w:color w:val="auto"/>
          <w:highlight w:val="none"/>
          <w:u w:val="single"/>
          <w:lang w:eastAsia="zh-CN"/>
        </w:rPr>
        <w:t>、通讯</w:t>
      </w:r>
      <w:r>
        <w:rPr>
          <w:rFonts w:hint="eastAsia" w:ascii="宋体" w:hAnsi="宋体" w:cs="宋体"/>
          <w:color w:val="auto"/>
          <w:highlight w:val="none"/>
          <w:u w:val="single"/>
          <w:lang w:val="en-US" w:eastAsia="zh-CN"/>
        </w:rPr>
        <w:t>工具</w:t>
      </w:r>
      <w:r>
        <w:rPr>
          <w:rFonts w:hint="eastAsia" w:ascii="宋体" w:hAnsi="宋体" w:cs="宋体"/>
          <w:color w:val="auto"/>
          <w:highlight w:val="none"/>
          <w:u w:val="single"/>
          <w:lang w:eastAsia="zh-CN"/>
        </w:rPr>
        <w:t>、管理费、税费、</w:t>
      </w:r>
      <w:r>
        <w:rPr>
          <w:rFonts w:hint="eastAsia" w:ascii="宋体" w:hAnsi="宋体" w:cs="宋体"/>
          <w:color w:val="auto"/>
          <w:highlight w:val="none"/>
          <w:u w:val="single"/>
          <w:lang w:val="en-US" w:eastAsia="zh-CN"/>
        </w:rPr>
        <w:t>利润</w:t>
      </w:r>
      <w:r>
        <w:rPr>
          <w:rFonts w:hint="eastAsia" w:ascii="宋体" w:hAnsi="宋体" w:cs="宋体"/>
          <w:color w:val="auto"/>
          <w:highlight w:val="none"/>
          <w:u w:val="single"/>
          <w:lang w:eastAsia="zh-CN"/>
        </w:rPr>
        <w:t>与本项目相关的其他一切费用等</w:t>
      </w:r>
      <w:r>
        <w:rPr>
          <w:rFonts w:hint="eastAsia" w:ascii="宋体" w:hAnsi="宋体" w:cs="宋体"/>
          <w:color w:val="auto"/>
          <w:highlight w:val="none"/>
          <w:u w:val="single"/>
        </w:rPr>
        <w:t>。</w:t>
      </w:r>
      <w:r>
        <w:rPr>
          <w:rFonts w:hint="eastAsia" w:cs="宋体"/>
          <w:color w:val="auto"/>
          <w:highlight w:val="none"/>
          <w:lang w:val="en-US" w:eastAsia="zh-CN"/>
        </w:rPr>
        <w:t>磋商</w:t>
      </w:r>
      <w:r>
        <w:rPr>
          <w:rFonts w:hint="eastAsia" w:cs="宋体"/>
          <w:color w:val="auto"/>
          <w:highlight w:val="none"/>
        </w:rPr>
        <w:t>报价为供应商所能承受的最低、最终报价，供应商不得再要求追加任何费用。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投标报价固定是指供应商所填写的投标报价在合同实施期间不因市场因素而变动，供应商在计算报价时可考虑一定的风险系数（由供应商自行考虑）。</w:t>
      </w:r>
    </w:p>
    <w:p>
      <w:pPr>
        <w:spacing w:line="336" w:lineRule="auto"/>
        <w:ind w:firstLine="480" w:firstLineChars="200"/>
        <w:rPr>
          <w:rFonts w:ascii="宋体"/>
          <w:color w:val="auto"/>
          <w:highlight w:val="none"/>
        </w:rPr>
      </w:pPr>
      <w:r>
        <w:rPr>
          <w:rFonts w:ascii="宋体" w:hAnsi="宋体" w:cs="宋体"/>
          <w:color w:val="auto"/>
          <w:sz w:val="24"/>
          <w:szCs w:val="24"/>
          <w:highlight w:val="none"/>
        </w:rPr>
        <w:t>8.2.3</w:t>
      </w:r>
      <w:r>
        <w:rPr>
          <w:rFonts w:hint="eastAsia" w:ascii="宋体" w:hAnsi="宋体" w:cs="宋体"/>
          <w:color w:val="auto"/>
          <w:sz w:val="24"/>
          <w:szCs w:val="24"/>
          <w:highlight w:val="none"/>
        </w:rPr>
        <w:t>供应商的报价作为供应商计算单价或总价的依据，应是完成技术文件中的所有要求，不得以任何理由予以重复，供应商对报价若有说明应在报价一览表备注处注明。任何有选择的报价方案及价格将不予接受。</w:t>
      </w:r>
    </w:p>
    <w:p>
      <w:pPr>
        <w:pStyle w:val="14"/>
        <w:spacing w:line="336" w:lineRule="auto"/>
        <w:ind w:firstLine="482" w:firstLineChars="200"/>
        <w:rPr>
          <w:rFonts w:hAnsi="宋体" w:cs="Times New Roman"/>
          <w:b/>
          <w:bCs/>
          <w:color w:val="auto"/>
          <w:sz w:val="24"/>
          <w:szCs w:val="24"/>
          <w:highlight w:val="none"/>
          <w:u w:val="single"/>
        </w:rPr>
      </w:pPr>
      <w:r>
        <w:rPr>
          <w:rFonts w:hAnsi="宋体"/>
          <w:b/>
          <w:bCs/>
          <w:color w:val="auto"/>
          <w:sz w:val="24"/>
          <w:szCs w:val="24"/>
          <w:highlight w:val="none"/>
        </w:rPr>
        <w:t>9</w:t>
      </w:r>
      <w:r>
        <w:rPr>
          <w:rFonts w:hint="eastAsia" w:hAnsi="宋体"/>
          <w:b/>
          <w:bCs/>
          <w:color w:val="auto"/>
          <w:sz w:val="24"/>
          <w:szCs w:val="24"/>
          <w:highlight w:val="none"/>
        </w:rPr>
        <w:t>、响应文件的组成</w:t>
      </w:r>
      <w:r>
        <w:rPr>
          <w:rFonts w:hint="eastAsia" w:hAnsi="宋体"/>
          <w:b/>
          <w:bCs/>
          <w:color w:val="auto"/>
          <w:sz w:val="24"/>
          <w:szCs w:val="24"/>
          <w:highlight w:val="none"/>
          <w:u w:val="single"/>
        </w:rPr>
        <w:t>（供应商应根据采购文件的要求提供相应的内容且设置关联定位，供应商可查看《供应商</w:t>
      </w:r>
      <w:r>
        <w:rPr>
          <w:rFonts w:hint="eastAsia" w:hAnsi="宋体"/>
          <w:b/>
          <w:bCs/>
          <w:color w:val="auto"/>
          <w:sz w:val="24"/>
          <w:szCs w:val="24"/>
          <w:highlight w:val="none"/>
          <w:u w:val="single"/>
          <w:lang w:eastAsia="zh-CN"/>
        </w:rPr>
        <w:t>－</w:t>
      </w:r>
      <w:r>
        <w:rPr>
          <w:rFonts w:hint="eastAsia" w:hAnsi="宋体"/>
          <w:b/>
          <w:bCs/>
          <w:color w:val="auto"/>
          <w:sz w:val="24"/>
          <w:szCs w:val="24"/>
          <w:highlight w:val="none"/>
          <w:u w:val="single"/>
        </w:rPr>
        <w:t>政府采购项目电子交易操作指南》进行操作：</w:t>
      </w:r>
      <w:r>
        <w:rPr>
          <w:rFonts w:hAnsi="宋体"/>
          <w:b/>
          <w:bCs/>
          <w:color w:val="auto"/>
          <w:sz w:val="24"/>
          <w:szCs w:val="24"/>
          <w:highlight w:val="none"/>
          <w:u w:val="single"/>
        </w:rPr>
        <w:t>https://help.zcygov.cn/web/site_2/2018/12-28/2573.html</w:t>
      </w:r>
      <w:r>
        <w:rPr>
          <w:rFonts w:hint="eastAsia" w:hAnsi="宋体"/>
          <w:b/>
          <w:bCs/>
          <w:color w:val="auto"/>
          <w:sz w:val="24"/>
          <w:szCs w:val="24"/>
          <w:highlight w:val="none"/>
          <w:u w:val="single"/>
        </w:rPr>
        <w:t>）</w:t>
      </w:r>
    </w:p>
    <w:p>
      <w:pPr>
        <w:pStyle w:val="61"/>
        <w:tabs>
          <w:tab w:val="left" w:pos="0"/>
        </w:tabs>
        <w:spacing w:before="0" w:line="336" w:lineRule="auto"/>
        <w:ind w:firstLine="480"/>
        <w:rPr>
          <w:rFonts w:ascii="宋体"/>
          <w:color w:val="auto"/>
          <w:highlight w:val="none"/>
        </w:rPr>
      </w:pPr>
      <w:r>
        <w:rPr>
          <w:rFonts w:hint="eastAsia" w:ascii="宋体" w:hAnsi="宋体" w:cs="宋体"/>
          <w:color w:val="auto"/>
          <w:highlight w:val="none"/>
        </w:rPr>
        <w:t>响应文件应当包括以下主要内容：资格文件、商务技术文件、报价文件。</w:t>
      </w:r>
    </w:p>
    <w:p>
      <w:pPr>
        <w:pStyle w:val="61"/>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资格文件包括以下内容：</w:t>
      </w:r>
    </w:p>
    <w:p>
      <w:pPr>
        <w:numPr>
          <w:ilvl w:val="0"/>
          <w:numId w:val="12"/>
        </w:num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法定代表人授权书；（格式见附件）</w:t>
      </w:r>
    </w:p>
    <w:p>
      <w:pPr>
        <w:numPr>
          <w:ilvl w:val="0"/>
          <w:numId w:val="12"/>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营业执照</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或事业法人登记证或其他工商等登记证明材料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复印件、税务登记证</w:t>
      </w:r>
      <w:r>
        <w:rPr>
          <w:rFonts w:hint="eastAsia" w:ascii="宋体" w:hAnsi="宋体" w:cs="宋体"/>
          <w:color w:val="auto"/>
          <w:sz w:val="24"/>
          <w:szCs w:val="24"/>
          <w:highlight w:val="none"/>
          <w:lang w:eastAsia="zh-CN"/>
        </w:rPr>
        <w:t>（或其他</w:t>
      </w:r>
      <w:r>
        <w:rPr>
          <w:rFonts w:hint="eastAsia" w:ascii="宋体" w:hAnsi="宋体" w:cs="宋体"/>
          <w:color w:val="auto"/>
          <w:sz w:val="24"/>
          <w:szCs w:val="24"/>
          <w:highlight w:val="none"/>
        </w:rPr>
        <w:t>缴纳证明材料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复印件、社保登记证（</w:t>
      </w:r>
      <w:r>
        <w:rPr>
          <w:rFonts w:hint="eastAsia" w:ascii="宋体" w:hAnsi="宋体" w:cs="宋体"/>
          <w:color w:val="auto"/>
          <w:sz w:val="24"/>
          <w:szCs w:val="24"/>
          <w:highlight w:val="none"/>
          <w:lang w:eastAsia="zh-CN"/>
        </w:rPr>
        <w:t>或其他</w:t>
      </w:r>
      <w:r>
        <w:rPr>
          <w:rFonts w:hint="eastAsia" w:ascii="宋体" w:hAnsi="宋体" w:cs="宋体"/>
          <w:color w:val="auto"/>
          <w:sz w:val="24"/>
          <w:szCs w:val="24"/>
          <w:highlight w:val="none"/>
        </w:rPr>
        <w:t>缴纳证明材料）复印件；实施“五证合一、一照一码”登记制度改革的，只需提供改革后取得的营业执照复印件；事业单位的，则提供有效的《事业单位法人证书》副本复印件并加盖单位公章；</w:t>
      </w:r>
    </w:p>
    <w:p>
      <w:pPr>
        <w:spacing w:line="33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numPr>
          <w:ilvl w:val="0"/>
          <w:numId w:val="12"/>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具有履行合同所必需的产品和专业技术能力的承诺函；</w:t>
      </w:r>
    </w:p>
    <w:p>
      <w:pPr>
        <w:numPr>
          <w:ilvl w:val="0"/>
          <w:numId w:val="12"/>
        </w:num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投标人承诺函（格式见附件）</w:t>
      </w:r>
      <w:r>
        <w:rPr>
          <w:rFonts w:hint="eastAsia" w:ascii="宋体" w:hAnsi="宋体" w:cs="宋体"/>
          <w:color w:val="auto"/>
          <w:sz w:val="24"/>
          <w:szCs w:val="24"/>
          <w:highlight w:val="none"/>
          <w:lang w:eastAsia="zh-CN"/>
        </w:rPr>
        <w:t>；</w:t>
      </w:r>
    </w:p>
    <w:p>
      <w:pPr>
        <w:numPr>
          <w:ilvl w:val="0"/>
          <w:numId w:val="12"/>
        </w:num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中小企业声明函（格式见附件）；</w:t>
      </w:r>
    </w:p>
    <w:p>
      <w:pPr>
        <w:numPr>
          <w:ilvl w:val="0"/>
          <w:numId w:val="12"/>
        </w:num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残疾人福利性单位声明函（如有）（格式见附件）；</w:t>
      </w:r>
    </w:p>
    <w:p>
      <w:pPr>
        <w:numPr>
          <w:ilvl w:val="0"/>
          <w:numId w:val="12"/>
        </w:num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监狱企业证明文件（如有）（格式见附件）。</w:t>
      </w:r>
    </w:p>
    <w:p>
      <w:pPr>
        <w:pStyle w:val="61"/>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商务技术文件，本次磋商需要供应商提供以下项所列的技术文件：</w:t>
      </w:r>
    </w:p>
    <w:p>
      <w:pPr>
        <w:numPr>
          <w:ilvl w:val="0"/>
          <w:numId w:val="13"/>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评分对应表（格式见附件，主要用于评委对应评分内容）</w:t>
      </w:r>
    </w:p>
    <w:p>
      <w:pPr>
        <w:numPr>
          <w:ilvl w:val="0"/>
          <w:numId w:val="13"/>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供应商商务技术文件中资信分自评表（格式见附件）；</w:t>
      </w:r>
    </w:p>
    <w:p>
      <w:pPr>
        <w:numPr>
          <w:ilvl w:val="0"/>
          <w:numId w:val="13"/>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磋商项目明细清单（格式见附件）；</w:t>
      </w:r>
    </w:p>
    <w:p>
      <w:pPr>
        <w:numPr>
          <w:ilvl w:val="0"/>
          <w:numId w:val="13"/>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技术响应及建议表（格式见附件）；</w:t>
      </w:r>
    </w:p>
    <w:p>
      <w:pPr>
        <w:numPr>
          <w:ilvl w:val="0"/>
          <w:numId w:val="13"/>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商务响应表（格式见附件）；</w:t>
      </w:r>
    </w:p>
    <w:p>
      <w:pPr>
        <w:numPr>
          <w:ilvl w:val="0"/>
          <w:numId w:val="13"/>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总体管理方案；</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服务管理制度</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服务方案</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项目组人员清单（格式见附件）；</w:t>
      </w:r>
    </w:p>
    <w:p>
      <w:pPr>
        <w:numPr>
          <w:ilvl w:val="0"/>
          <w:numId w:val="13"/>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人员配置；</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人员稳定措施</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服务承诺</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人员培训方案</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应急保障措施；</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服务响应能力</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认证证书</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供应商荣誉</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人员证书</w:t>
      </w:r>
      <w:r>
        <w:rPr>
          <w:rFonts w:hint="eastAsia" w:ascii="宋体" w:hAnsi="宋体" w:cs="宋体"/>
          <w:color w:val="auto"/>
          <w:sz w:val="24"/>
          <w:szCs w:val="24"/>
          <w:highlight w:val="none"/>
          <w:lang w:eastAsia="zh-CN"/>
        </w:rPr>
        <w:t>；</w:t>
      </w:r>
    </w:p>
    <w:p>
      <w:pPr>
        <w:numPr>
          <w:ilvl w:val="0"/>
          <w:numId w:val="13"/>
        </w:numPr>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供应商</w:t>
      </w:r>
      <w:r>
        <w:rPr>
          <w:rFonts w:hint="eastAsia" w:ascii="宋体" w:hAnsi="宋体" w:cs="宋体"/>
          <w:color w:val="auto"/>
          <w:sz w:val="24"/>
          <w:szCs w:val="24"/>
          <w:highlight w:val="none"/>
          <w:lang w:eastAsia="zh-CN"/>
        </w:rPr>
        <w:t>业绩</w:t>
      </w:r>
      <w:r>
        <w:rPr>
          <w:rFonts w:hint="eastAsia" w:ascii="宋体" w:hAnsi="宋体" w:cs="宋体"/>
          <w:color w:val="auto"/>
          <w:sz w:val="24"/>
          <w:szCs w:val="24"/>
          <w:highlight w:val="none"/>
          <w:lang w:val="en-US" w:eastAsia="zh-CN"/>
        </w:rPr>
        <w:t>；</w:t>
      </w:r>
    </w:p>
    <w:p>
      <w:pPr>
        <w:numPr>
          <w:ilvl w:val="0"/>
          <w:numId w:val="13"/>
        </w:num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供应商认为需要的其他文件资料。</w:t>
      </w:r>
      <w:r>
        <w:rPr>
          <w:rFonts w:hint="eastAsia" w:ascii="宋体"/>
          <w:color w:val="auto"/>
          <w:sz w:val="24"/>
          <w:szCs w:val="24"/>
          <w:highlight w:val="none"/>
        </w:rPr>
        <w:t xml:space="preserve"> </w:t>
      </w:r>
    </w:p>
    <w:p>
      <w:pPr>
        <w:pStyle w:val="61"/>
        <w:tabs>
          <w:tab w:val="left" w:pos="0"/>
        </w:tabs>
        <w:spacing w:before="0" w:line="336" w:lineRule="auto"/>
        <w:ind w:firstLine="480"/>
        <w:rPr>
          <w:rFonts w:ascii="宋体"/>
          <w:color w:val="auto"/>
          <w:highlight w:val="none"/>
        </w:rPr>
      </w:pPr>
      <w:r>
        <w:rPr>
          <w:rFonts w:hint="eastAsia" w:ascii="宋体" w:hAnsi="宋体" w:cs="宋体"/>
          <w:color w:val="auto"/>
          <w:highlight w:val="none"/>
        </w:rPr>
        <w:t>注：以上内容应与评标办</w:t>
      </w:r>
      <w:r>
        <w:rPr>
          <w:rFonts w:hint="eastAsia" w:ascii="宋体" w:hAnsi="宋体" w:eastAsia="宋体" w:cs="宋体"/>
          <w:color w:val="auto"/>
          <w:highlight w:val="none"/>
        </w:rPr>
        <w:t>法</w:t>
      </w:r>
      <w:r>
        <w:rPr>
          <w:rFonts w:hint="eastAsia" w:ascii="宋体" w:hAnsi="宋体" w:cs="宋体"/>
          <w:color w:val="auto"/>
          <w:highlight w:val="none"/>
        </w:rPr>
        <w:t>中内容具有一致性。</w:t>
      </w:r>
    </w:p>
    <w:p>
      <w:pPr>
        <w:pStyle w:val="61"/>
        <w:tabs>
          <w:tab w:val="left" w:pos="0"/>
        </w:tabs>
        <w:spacing w:before="0" w:line="336" w:lineRule="auto"/>
        <w:ind w:firstLine="480"/>
        <w:rPr>
          <w:rFonts w:ascii="宋体" w:hAnsi="宋体" w:cs="宋体"/>
          <w:color w:val="auto"/>
          <w:highlight w:val="none"/>
        </w:rPr>
      </w:pPr>
      <w:r>
        <w:rPr>
          <w:rFonts w:hint="eastAsia" w:ascii="宋体" w:hAnsi="宋体" w:cs="宋体"/>
          <w:color w:val="auto"/>
          <w:highlight w:val="none"/>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pPr>
        <w:pStyle w:val="61"/>
        <w:tabs>
          <w:tab w:val="left" w:pos="0"/>
        </w:tabs>
        <w:spacing w:before="0" w:line="336" w:lineRule="auto"/>
        <w:ind w:firstLine="480"/>
        <w:rPr>
          <w:rFonts w:ascii="宋体"/>
          <w:color w:val="auto"/>
          <w:highlight w:val="none"/>
        </w:rPr>
      </w:pPr>
      <w:r>
        <w:rPr>
          <w:rFonts w:hint="eastAsia" w:ascii="宋体" w:hAnsi="宋体" w:cs="宋体"/>
          <w:color w:val="auto"/>
          <w:highlight w:val="none"/>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color w:val="auto"/>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pPr>
        <w:pStyle w:val="61"/>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报价文件包括以下内容：</w:t>
      </w:r>
    </w:p>
    <w:p>
      <w:pPr>
        <w:pStyle w:val="61"/>
        <w:numPr>
          <w:ilvl w:val="0"/>
          <w:numId w:val="14"/>
        </w:numPr>
        <w:spacing w:before="0" w:line="336" w:lineRule="auto"/>
        <w:ind w:firstLine="480"/>
        <w:rPr>
          <w:rFonts w:ascii="宋体"/>
          <w:color w:val="auto"/>
          <w:highlight w:val="none"/>
        </w:rPr>
      </w:pPr>
      <w:r>
        <w:rPr>
          <w:rFonts w:hint="eastAsia" w:ascii="宋体" w:hAnsi="宋体" w:cs="宋体"/>
          <w:color w:val="auto"/>
          <w:highlight w:val="none"/>
        </w:rPr>
        <w:t>磋商函（格式见附件）；</w:t>
      </w:r>
    </w:p>
    <w:p>
      <w:pPr>
        <w:pStyle w:val="61"/>
        <w:numPr>
          <w:ilvl w:val="0"/>
          <w:numId w:val="14"/>
        </w:numPr>
        <w:spacing w:before="0" w:line="336" w:lineRule="auto"/>
        <w:ind w:firstLine="480"/>
        <w:rPr>
          <w:rFonts w:ascii="宋体"/>
          <w:color w:val="auto"/>
          <w:highlight w:val="none"/>
        </w:rPr>
      </w:pPr>
      <w:r>
        <w:rPr>
          <w:rFonts w:hint="eastAsia" w:ascii="宋体" w:hAnsi="宋体" w:cs="宋体"/>
          <w:color w:val="auto"/>
          <w:highlight w:val="none"/>
        </w:rPr>
        <w:t>报价一览表（格式见附件）；</w:t>
      </w:r>
    </w:p>
    <w:p>
      <w:pPr>
        <w:pStyle w:val="61"/>
        <w:numPr>
          <w:ilvl w:val="0"/>
          <w:numId w:val="14"/>
        </w:numPr>
        <w:spacing w:before="0" w:line="336" w:lineRule="auto"/>
        <w:ind w:firstLine="480"/>
        <w:rPr>
          <w:rFonts w:ascii="宋体" w:hAnsi="宋体" w:cs="宋体"/>
          <w:color w:val="auto"/>
          <w:highlight w:val="none"/>
        </w:rPr>
      </w:pPr>
      <w:r>
        <w:rPr>
          <w:rFonts w:hint="eastAsia" w:ascii="宋体" w:hAnsi="宋体" w:cs="宋体"/>
          <w:color w:val="auto"/>
          <w:highlight w:val="none"/>
        </w:rPr>
        <w:t>磋商报价明细表（格式见附件）</w:t>
      </w:r>
      <w:r>
        <w:rPr>
          <w:rFonts w:hint="eastAsia" w:ascii="宋体" w:hAnsi="宋体" w:cs="宋体"/>
          <w:color w:val="auto"/>
          <w:highlight w:val="none"/>
          <w:lang w:eastAsia="zh-CN"/>
        </w:rPr>
        <w:t>。</w:t>
      </w:r>
    </w:p>
    <w:p>
      <w:pPr>
        <w:pStyle w:val="61"/>
        <w:spacing w:before="0" w:line="336" w:lineRule="auto"/>
        <w:ind w:firstLine="482" w:firstLineChars="200"/>
        <w:rPr>
          <w:rFonts w:ascii="宋体"/>
          <w:b/>
          <w:bCs/>
          <w:color w:val="auto"/>
          <w:highlight w:val="none"/>
          <w:u w:val="single"/>
        </w:rPr>
      </w:pPr>
      <w:r>
        <w:rPr>
          <w:rFonts w:hint="eastAsia" w:ascii="宋体" w:hAnsi="宋体" w:cs="宋体"/>
          <w:b/>
          <w:bCs/>
          <w:color w:val="auto"/>
          <w:highlight w:val="none"/>
          <w:u w:val="single"/>
        </w:rPr>
        <w:t>注：“资格文件</w:t>
      </w:r>
      <w:r>
        <w:rPr>
          <w:rFonts w:hint="eastAsia" w:ascii="宋体" w:hAnsi="宋体" w:cs="宋体"/>
          <w:b/>
          <w:bCs/>
          <w:color w:val="auto"/>
          <w:highlight w:val="none"/>
          <w:u w:val="single"/>
          <w:lang w:eastAsia="zh-CN"/>
        </w:rPr>
        <w:t>”“</w:t>
      </w:r>
      <w:r>
        <w:rPr>
          <w:rFonts w:hint="eastAsia" w:ascii="宋体" w:hAnsi="宋体" w:cs="宋体"/>
          <w:b/>
          <w:bCs/>
          <w:color w:val="auto"/>
          <w:highlight w:val="none"/>
          <w:u w:val="single"/>
        </w:rPr>
        <w:t>商务技术文件</w:t>
      </w:r>
      <w:r>
        <w:rPr>
          <w:rFonts w:hint="eastAsia" w:ascii="宋体" w:hAnsi="宋体" w:cs="宋体"/>
          <w:b/>
          <w:bCs/>
          <w:color w:val="auto"/>
          <w:highlight w:val="none"/>
          <w:u w:val="single"/>
          <w:lang w:eastAsia="zh-CN"/>
        </w:rPr>
        <w:t>”“</w:t>
      </w:r>
      <w:r>
        <w:rPr>
          <w:rFonts w:hint="eastAsia" w:ascii="宋体" w:hAnsi="宋体" w:cs="宋体"/>
          <w:b/>
          <w:bCs/>
          <w:color w:val="auto"/>
          <w:highlight w:val="none"/>
          <w:u w:val="single"/>
        </w:rPr>
        <w:t>报价文件”须分</w:t>
      </w:r>
      <w:r>
        <w:rPr>
          <w:rFonts w:ascii="宋体" w:hAnsi="宋体" w:cs="宋体"/>
          <w:b/>
          <w:bCs/>
          <w:color w:val="auto"/>
          <w:highlight w:val="none"/>
          <w:u w:val="single"/>
        </w:rPr>
        <w:t>3</w:t>
      </w:r>
      <w:r>
        <w:rPr>
          <w:rFonts w:hint="eastAsia" w:ascii="宋体" w:hAnsi="宋体" w:cs="宋体"/>
          <w:b/>
          <w:bCs/>
          <w:color w:val="auto"/>
          <w:highlight w:val="none"/>
          <w:u w:val="single"/>
        </w:rPr>
        <w:t>个</w:t>
      </w:r>
      <w:r>
        <w:rPr>
          <w:rFonts w:ascii="宋体" w:hAnsi="宋体" w:cs="宋体"/>
          <w:b/>
          <w:bCs/>
          <w:color w:val="auto"/>
          <w:highlight w:val="none"/>
          <w:u w:val="single"/>
        </w:rPr>
        <w:t>PDF</w:t>
      </w:r>
      <w:r>
        <w:rPr>
          <w:rFonts w:hint="eastAsia" w:ascii="宋体" w:hAnsi="宋体" w:cs="宋体"/>
          <w:b/>
          <w:bCs/>
          <w:color w:val="auto"/>
          <w:highlight w:val="none"/>
          <w:u w:val="single"/>
        </w:rPr>
        <w:t>格式分别导入。</w:t>
      </w:r>
    </w:p>
    <w:p>
      <w:pPr>
        <w:pStyle w:val="61"/>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10</w:t>
      </w:r>
      <w:r>
        <w:rPr>
          <w:rFonts w:hint="eastAsia" w:ascii="宋体" w:hAnsi="宋体" w:cs="宋体"/>
          <w:b/>
          <w:bCs/>
          <w:color w:val="auto"/>
          <w:highlight w:val="none"/>
        </w:rPr>
        <w:t>、响应文件有效期</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10.1 </w:t>
      </w:r>
      <w:r>
        <w:rPr>
          <w:rFonts w:hint="eastAsia" w:ascii="宋体" w:hAnsi="宋体" w:cs="宋体"/>
          <w:color w:val="auto"/>
          <w:highlight w:val="none"/>
        </w:rPr>
        <w:t>响应文件未在磋商响应截止时间前完成传输的或者未按时解密的，视为放弃磋商；响应文件解密失败后未提供备份文件或者备份文件也出现异常情况无法进行评审的，亦视为放弃磋商。</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10.2 </w:t>
      </w:r>
      <w:r>
        <w:rPr>
          <w:rFonts w:hint="eastAsia" w:ascii="宋体" w:hAnsi="宋体" w:cs="宋体"/>
          <w:color w:val="auto"/>
          <w:highlight w:val="none"/>
        </w:rPr>
        <w:t>响应文件上传后，自磋商响应截止日期起，在前附表所列的磋商响应文件有效期内有效。</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10.3 </w:t>
      </w:r>
      <w:r>
        <w:rPr>
          <w:rFonts w:hint="eastAsia" w:ascii="宋体" w:hAnsi="宋体" w:cs="宋体"/>
          <w:color w:val="auto"/>
          <w:highlight w:val="none"/>
        </w:rPr>
        <w:t>在原定有效期满之前，如果出现特殊情况，采购代理机构可以以书面形式向磋商供应商提出延长磋商有效期的要求，磋商供应商对此须以书面形式予以答复。</w:t>
      </w:r>
    </w:p>
    <w:p>
      <w:pPr>
        <w:pStyle w:val="61"/>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11</w:t>
      </w:r>
      <w:r>
        <w:rPr>
          <w:rFonts w:hint="eastAsia" w:ascii="宋体" w:hAnsi="宋体" w:cs="宋体"/>
          <w:b/>
          <w:bCs/>
          <w:color w:val="auto"/>
          <w:highlight w:val="none"/>
        </w:rPr>
        <w:t>、供应商如有下列情况之一者列入不良行为记录：</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11.1 </w:t>
      </w:r>
      <w:r>
        <w:rPr>
          <w:rFonts w:hint="eastAsia" w:ascii="宋体" w:hAnsi="宋体" w:cs="宋体"/>
          <w:color w:val="auto"/>
          <w:highlight w:val="none"/>
        </w:rPr>
        <w:t>供应商在磋商响应文件有效期内撤回投标的；</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11.2 </w:t>
      </w:r>
      <w:r>
        <w:rPr>
          <w:rFonts w:hint="eastAsia" w:ascii="宋体" w:hAnsi="宋体" w:cs="宋体"/>
          <w:color w:val="auto"/>
          <w:highlight w:val="none"/>
        </w:rPr>
        <w:t>供应商或中标候选人放弃中标或中标候选人资格的；</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11.3 </w:t>
      </w:r>
      <w:r>
        <w:rPr>
          <w:rFonts w:hint="eastAsia" w:ascii="宋体" w:hAnsi="宋体" w:cs="宋体"/>
          <w:color w:val="auto"/>
          <w:highlight w:val="none"/>
        </w:rPr>
        <w:t>擅自修改或拒绝接受已经确认的条款；</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11.4 </w:t>
      </w:r>
      <w:r>
        <w:rPr>
          <w:rFonts w:hint="eastAsia" w:ascii="宋体" w:hAnsi="宋体" w:cs="宋体"/>
          <w:color w:val="auto"/>
          <w:highlight w:val="none"/>
        </w:rPr>
        <w:t>成交供应商未按规定与采购人签订合同；</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5</w:t>
      </w:r>
      <w:r>
        <w:rPr>
          <w:rFonts w:ascii="宋体" w:hAnsi="宋体" w:cs="宋体"/>
          <w:color w:val="auto"/>
          <w:highlight w:val="none"/>
        </w:rPr>
        <w:t xml:space="preserve"> </w:t>
      </w:r>
      <w:r>
        <w:rPr>
          <w:rFonts w:hint="eastAsia" w:ascii="宋体" w:hAnsi="宋体" w:cs="宋体"/>
          <w:color w:val="auto"/>
          <w:highlight w:val="none"/>
        </w:rPr>
        <w:t>供应商采取提供虚假资料等不正当手段的；</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6</w:t>
      </w:r>
      <w:r>
        <w:rPr>
          <w:rFonts w:ascii="宋体" w:hAnsi="宋体" w:cs="宋体"/>
          <w:color w:val="auto"/>
          <w:highlight w:val="none"/>
        </w:rPr>
        <w:t xml:space="preserve"> </w:t>
      </w:r>
      <w:r>
        <w:rPr>
          <w:rFonts w:hint="eastAsia" w:ascii="宋体" w:hAnsi="宋体" w:cs="宋体"/>
          <w:color w:val="auto"/>
          <w:highlight w:val="none"/>
        </w:rPr>
        <w:t>供应商在投标过程中串通投标的。</w:t>
      </w:r>
    </w:p>
    <w:p>
      <w:pPr>
        <w:pStyle w:val="61"/>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12</w:t>
      </w:r>
      <w:r>
        <w:rPr>
          <w:rFonts w:hint="eastAsia" w:ascii="宋体" w:hAnsi="宋体" w:cs="宋体"/>
          <w:b/>
          <w:bCs/>
          <w:color w:val="auto"/>
          <w:highlight w:val="none"/>
        </w:rPr>
        <w:t>、响应文件的编制和签署</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12.1 </w:t>
      </w:r>
      <w:r>
        <w:rPr>
          <w:rFonts w:hint="eastAsia" w:ascii="宋体" w:hAnsi="宋体" w:cs="宋体"/>
          <w:color w:val="auto"/>
          <w:highlight w:val="none"/>
        </w:rPr>
        <w:t>按磋商文件</w:t>
      </w:r>
      <w:r>
        <w:rPr>
          <w:rFonts w:ascii="宋体" w:hAnsi="宋体" w:cs="宋体"/>
          <w:color w:val="auto"/>
          <w:highlight w:val="none"/>
        </w:rPr>
        <w:t>9.1</w:t>
      </w:r>
      <w:r>
        <w:rPr>
          <w:rFonts w:hint="eastAsia" w:ascii="宋体" w:hAnsi="宋体" w:cs="宋体"/>
          <w:color w:val="auto"/>
          <w:highlight w:val="none"/>
        </w:rPr>
        <w:t>条、</w:t>
      </w:r>
      <w:r>
        <w:rPr>
          <w:rFonts w:ascii="宋体" w:hAnsi="宋体" w:cs="宋体"/>
          <w:color w:val="auto"/>
          <w:highlight w:val="none"/>
        </w:rPr>
        <w:t>9.2</w:t>
      </w:r>
      <w:r>
        <w:rPr>
          <w:rFonts w:hint="eastAsia" w:ascii="宋体" w:hAnsi="宋体" w:cs="宋体"/>
          <w:color w:val="auto"/>
          <w:highlight w:val="none"/>
        </w:rPr>
        <w:t>条、</w:t>
      </w:r>
      <w:r>
        <w:rPr>
          <w:rFonts w:ascii="宋体" w:hAnsi="宋体" w:cs="宋体"/>
          <w:color w:val="auto"/>
          <w:highlight w:val="none"/>
        </w:rPr>
        <w:t>9.3</w:t>
      </w:r>
      <w:r>
        <w:rPr>
          <w:rFonts w:hint="eastAsia" w:ascii="宋体" w:hAnsi="宋体" w:cs="宋体"/>
          <w:color w:val="auto"/>
          <w:highlight w:val="none"/>
        </w:rPr>
        <w:t>条要求提供的各种文件，响应文件分为资格文件、商务技术文件和报价文件三部分。</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12.2 </w:t>
      </w:r>
      <w:r>
        <w:rPr>
          <w:rFonts w:hint="eastAsia" w:ascii="宋体" w:hAnsi="宋体" w:cs="宋体"/>
          <w:color w:val="auto"/>
          <w:highlight w:val="none"/>
        </w:rPr>
        <w:t>响应文件须按附件格式要求进行电子签章，供应商应写全称。（电子磋商响应文件中所须加盖公章部分均应采用电子签章）</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12.3 </w:t>
      </w:r>
      <w:r>
        <w:rPr>
          <w:rFonts w:hint="eastAsia" w:ascii="宋体" w:hAnsi="宋体" w:cs="宋体"/>
          <w:color w:val="auto"/>
          <w:highlight w:val="none"/>
        </w:rPr>
        <w:t>全套响应文件应无涂改和行间插字，除非这些删改是根据采购代理机构要求进行，或者是供应商造成的必须修改的错误。所修改处应由法定代表人或其授权代表签字盖章予以确认。</w:t>
      </w:r>
    </w:p>
    <w:p>
      <w:pPr>
        <w:pStyle w:val="61"/>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12.4 </w:t>
      </w:r>
      <w:r>
        <w:rPr>
          <w:rFonts w:hint="eastAsia" w:ascii="宋体" w:hAnsi="宋体" w:cs="宋体"/>
          <w:color w:val="auto"/>
          <w:highlight w:val="none"/>
        </w:rPr>
        <w:t>由于字迹模糊或表达不清引起的后果由供应商负责。</w:t>
      </w:r>
    </w:p>
    <w:p>
      <w:pPr>
        <w:pStyle w:val="61"/>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13</w:t>
      </w:r>
      <w:r>
        <w:rPr>
          <w:rFonts w:hint="eastAsia" w:ascii="宋体" w:hAnsi="宋体" w:cs="宋体"/>
          <w:b/>
          <w:bCs/>
          <w:color w:val="auto"/>
          <w:highlight w:val="none"/>
        </w:rPr>
        <w:t>、响应文件的形式</w:t>
      </w:r>
    </w:p>
    <w:p>
      <w:pPr>
        <w:pStyle w:val="61"/>
        <w:spacing w:before="0" w:line="336" w:lineRule="auto"/>
        <w:ind w:left="420" w:leftChars="200" w:firstLine="0" w:firstLineChars="0"/>
        <w:rPr>
          <w:rFonts w:ascii="宋体"/>
          <w:color w:val="auto"/>
          <w:highlight w:val="none"/>
        </w:rPr>
      </w:pPr>
      <w:r>
        <w:rPr>
          <w:rFonts w:hint="eastAsia" w:ascii="宋体" w:hAnsi="宋体" w:cs="宋体"/>
          <w:color w:val="auto"/>
          <w:highlight w:val="none"/>
        </w:rPr>
        <w:t>响应文件为电子磋商响应文件，电子磋商响应文件按“政采云供应商项目采购</w:t>
      </w:r>
      <w:r>
        <w:rPr>
          <w:rFonts w:hint="eastAsia" w:ascii="宋体" w:hAnsi="宋体" w:cs="宋体"/>
          <w:color w:val="auto"/>
          <w:highlight w:val="none"/>
          <w:lang w:eastAsia="zh-CN"/>
        </w:rPr>
        <w:t>－</w:t>
      </w:r>
      <w:r>
        <w:rPr>
          <w:rFonts w:hint="eastAsia" w:ascii="宋体" w:hAnsi="宋体" w:cs="宋体"/>
          <w:color w:val="auto"/>
          <w:highlight w:val="none"/>
        </w:rPr>
        <w:t>电子招投标操作指南”及本磋商文件要求制作、加密传输。</w:t>
      </w:r>
    </w:p>
    <w:p>
      <w:pPr>
        <w:pStyle w:val="2"/>
        <w:numPr>
          <w:ilvl w:val="0"/>
          <w:numId w:val="10"/>
        </w:numPr>
        <w:spacing w:line="336" w:lineRule="auto"/>
        <w:jc w:val="center"/>
        <w:rPr>
          <w:rFonts w:cs="Times New Roman"/>
          <w:color w:val="auto"/>
          <w:highlight w:val="none"/>
        </w:rPr>
      </w:pPr>
      <w:bookmarkStart w:id="61" w:name="_Toc1420"/>
      <w:r>
        <w:rPr>
          <w:color w:val="auto"/>
          <w:highlight w:val="none"/>
        </w:rPr>
        <w:t xml:space="preserve"> </w:t>
      </w:r>
      <w:bookmarkStart w:id="62" w:name="_Toc5500"/>
      <w:bookmarkStart w:id="63" w:name="_Toc21266"/>
      <w:r>
        <w:rPr>
          <w:rFonts w:hint="eastAsia"/>
          <w:color w:val="auto"/>
          <w:highlight w:val="none"/>
        </w:rPr>
        <w:t>响应文件的递交</w:t>
      </w:r>
      <w:bookmarkEnd w:id="61"/>
      <w:bookmarkEnd w:id="62"/>
      <w:bookmarkEnd w:id="63"/>
    </w:p>
    <w:p>
      <w:pPr>
        <w:pStyle w:val="14"/>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14</w:t>
      </w:r>
      <w:r>
        <w:rPr>
          <w:rFonts w:hint="eastAsia" w:hAnsi="宋体"/>
          <w:b/>
          <w:bCs/>
          <w:color w:val="auto"/>
          <w:sz w:val="24"/>
          <w:szCs w:val="24"/>
          <w:highlight w:val="none"/>
        </w:rPr>
        <w:t>、磋商响应截止期</w:t>
      </w:r>
    </w:p>
    <w:p>
      <w:pPr>
        <w:pStyle w:val="61"/>
        <w:numPr>
          <w:ilvl w:val="0"/>
          <w:numId w:val="15"/>
        </w:numPr>
        <w:spacing w:before="0" w:line="336" w:lineRule="auto"/>
        <w:ind w:firstLine="480"/>
        <w:rPr>
          <w:rFonts w:ascii="宋体"/>
          <w:color w:val="auto"/>
          <w:highlight w:val="none"/>
        </w:rPr>
      </w:pPr>
      <w:r>
        <w:rPr>
          <w:rFonts w:hint="eastAsia" w:ascii="宋体" w:hAnsi="宋体" w:cs="宋体"/>
          <w:color w:val="auto"/>
          <w:highlight w:val="none"/>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pPr>
        <w:pStyle w:val="61"/>
        <w:numPr>
          <w:ilvl w:val="0"/>
          <w:numId w:val="15"/>
        </w:numPr>
        <w:spacing w:before="0" w:line="336" w:lineRule="auto"/>
        <w:ind w:firstLine="480"/>
        <w:rPr>
          <w:rFonts w:ascii="宋体"/>
          <w:color w:val="auto"/>
          <w:highlight w:val="none"/>
        </w:rPr>
      </w:pPr>
      <w:r>
        <w:rPr>
          <w:rFonts w:hint="eastAsia" w:ascii="宋体" w:hAnsi="宋体" w:cs="宋体"/>
          <w:color w:val="auto"/>
          <w:highlight w:val="none"/>
        </w:rPr>
        <w:t>采购人因故推迟磋商响应截止时间，将以公告形式通知。在这种情况下，采购人和供应商的权利和义务将受到新的截止时间的约束。</w:t>
      </w:r>
    </w:p>
    <w:p>
      <w:pPr>
        <w:pStyle w:val="14"/>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15</w:t>
      </w:r>
      <w:r>
        <w:rPr>
          <w:rFonts w:hint="eastAsia" w:hAnsi="宋体"/>
          <w:b/>
          <w:bCs/>
          <w:color w:val="auto"/>
          <w:sz w:val="24"/>
          <w:szCs w:val="24"/>
          <w:highlight w:val="none"/>
        </w:rPr>
        <w:t>、响应文件的修改、撤销</w:t>
      </w:r>
    </w:p>
    <w:p>
      <w:pPr>
        <w:pStyle w:val="14"/>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pPr>
        <w:pStyle w:val="2"/>
        <w:numPr>
          <w:ilvl w:val="0"/>
          <w:numId w:val="10"/>
        </w:numPr>
        <w:spacing w:line="336" w:lineRule="auto"/>
        <w:jc w:val="center"/>
        <w:rPr>
          <w:rFonts w:hAnsi="宋体" w:cs="Times New Roman"/>
          <w:color w:val="auto"/>
          <w:highlight w:val="none"/>
        </w:rPr>
      </w:pPr>
      <w:r>
        <w:rPr>
          <w:color w:val="auto"/>
          <w:highlight w:val="none"/>
        </w:rPr>
        <w:t xml:space="preserve"> </w:t>
      </w:r>
      <w:bookmarkStart w:id="64" w:name="_Toc24120"/>
      <w:bookmarkStart w:id="65" w:name="_Toc28446"/>
      <w:r>
        <w:rPr>
          <w:rFonts w:hint="eastAsia"/>
          <w:color w:val="auto"/>
          <w:highlight w:val="none"/>
        </w:rPr>
        <w:t>磋商无效的情形</w:t>
      </w:r>
      <w:bookmarkEnd w:id="64"/>
      <w:bookmarkEnd w:id="65"/>
    </w:p>
    <w:p>
      <w:pPr>
        <w:pStyle w:val="14"/>
        <w:snapToGrid w:val="0"/>
        <w:spacing w:line="336"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16</w:t>
      </w:r>
      <w:r>
        <w:rPr>
          <w:rFonts w:hint="eastAsia" w:hAnsi="宋体"/>
          <w:b/>
          <w:bCs/>
          <w:color w:val="auto"/>
          <w:sz w:val="24"/>
          <w:szCs w:val="24"/>
          <w:highlight w:val="none"/>
        </w:rPr>
        <w:t>、无效响应</w:t>
      </w:r>
    </w:p>
    <w:p>
      <w:pPr>
        <w:pStyle w:val="14"/>
        <w:snapToGrid w:val="0"/>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经过审查，凡不符合有关规定，不响应磋商文件的实质性条款，存在以下重大偏离之一的，经磋商小组认定，并由采购人报采购办、监督办备案，将因未通过资格性或符合性审查而被作为无效响应处理：</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w:t>
      </w:r>
      <w:r>
        <w:rPr>
          <w:rFonts w:hint="eastAsia" w:ascii="宋体" w:hAnsi="宋体" w:cs="宋体"/>
          <w:b/>
          <w:bCs/>
          <w:color w:val="auto"/>
          <w:sz w:val="24"/>
          <w:szCs w:val="24"/>
          <w:highlight w:val="none"/>
        </w:rPr>
        <w:t>未按照磋商文件规定要求签署、盖章的；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16.2</w:t>
      </w:r>
      <w:r>
        <w:rPr>
          <w:rFonts w:hint="eastAsia" w:ascii="宋体" w:hAnsi="宋体" w:cs="宋体"/>
          <w:b/>
          <w:bCs/>
          <w:color w:val="auto"/>
          <w:sz w:val="24"/>
          <w:szCs w:val="24"/>
          <w:highlight w:val="none"/>
        </w:rPr>
        <w:t>《法定代表人授权书》填写不全、错误、未加盖供应商公章（公章和签字或盖章缺一不可）；</w:t>
      </w:r>
      <w:r>
        <w:rPr>
          <w:rFonts w:ascii="宋体" w:hAnsi="宋体" w:cs="宋体"/>
          <w:b/>
          <w:bCs/>
          <w:color w:val="auto"/>
          <w:sz w:val="24"/>
          <w:szCs w:val="24"/>
          <w:highlight w:val="none"/>
        </w:rPr>
        <w:t xml:space="preserve"> </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16.3</w:t>
      </w:r>
      <w:r>
        <w:rPr>
          <w:rFonts w:hint="eastAsia" w:ascii="宋体" w:hAnsi="宋体" w:cs="宋体"/>
          <w:b/>
          <w:bCs/>
          <w:color w:val="auto"/>
          <w:sz w:val="24"/>
          <w:szCs w:val="24"/>
          <w:highlight w:val="none"/>
        </w:rPr>
        <w:t>个体工商户的身份证明与营业执照不一致的；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16.4</w:t>
      </w:r>
      <w:r>
        <w:rPr>
          <w:rFonts w:hint="eastAsia" w:ascii="宋体" w:hAnsi="宋体" w:cs="宋体"/>
          <w:b/>
          <w:bCs/>
          <w:color w:val="auto"/>
          <w:sz w:val="24"/>
          <w:szCs w:val="24"/>
          <w:highlight w:val="none"/>
        </w:rPr>
        <w:t>响应文件中的磋商函未加盖供应商的企业公章或填写不全的；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16.5</w:t>
      </w:r>
      <w:r>
        <w:rPr>
          <w:rFonts w:hint="eastAsia" w:ascii="宋体" w:hAnsi="宋体" w:cs="宋体"/>
          <w:b/>
          <w:bCs/>
          <w:color w:val="auto"/>
          <w:sz w:val="24"/>
          <w:szCs w:val="24"/>
          <w:highlight w:val="none"/>
        </w:rPr>
        <w:t>报价一经涂改，未在涂改处加盖投标单位公章或者未经法定代表人或其授权代表签字或盖章的；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16.6</w:t>
      </w:r>
      <w:r>
        <w:rPr>
          <w:rFonts w:hint="eastAsia" w:ascii="宋体" w:hAnsi="宋体" w:cs="宋体"/>
          <w:b/>
          <w:bCs/>
          <w:color w:val="auto"/>
          <w:sz w:val="24"/>
          <w:szCs w:val="24"/>
          <w:highlight w:val="none"/>
        </w:rPr>
        <w:t>因未按规定的格式填写，内容不全或主要实质性内容字迹模糊辨认不清</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经评标委员会认定为无法评审的；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16.7</w:t>
      </w:r>
      <w:r>
        <w:rPr>
          <w:rFonts w:hint="eastAsia" w:ascii="宋体" w:hAnsi="宋体" w:cs="宋体"/>
          <w:b/>
          <w:bCs/>
          <w:color w:val="auto"/>
          <w:sz w:val="24"/>
          <w:szCs w:val="24"/>
          <w:highlight w:val="none"/>
        </w:rPr>
        <w:t>出现同一标的物或本次采购产品</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服务</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内的主要产品</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重要组成部分</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出现技术、商务描述不一致或前后描述不一致，经评标委员会认定后为无法评审的；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16.8</w:t>
      </w:r>
      <w:r>
        <w:rPr>
          <w:rFonts w:hint="eastAsia" w:ascii="宋体" w:hAnsi="宋体" w:cs="宋体"/>
          <w:b/>
          <w:bCs/>
          <w:color w:val="auto"/>
          <w:sz w:val="24"/>
          <w:szCs w:val="24"/>
          <w:highlight w:val="none"/>
        </w:rPr>
        <w:t>响应详细配置清单响应表不真实填写或弄虚作假的；改变磋商文件提供的清单中的计量单位、工程数量；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16.9</w:t>
      </w:r>
      <w:r>
        <w:rPr>
          <w:rFonts w:hint="eastAsia" w:ascii="宋体" w:hAnsi="宋体" w:cs="宋体"/>
          <w:b/>
          <w:bCs/>
          <w:color w:val="auto"/>
          <w:sz w:val="24"/>
          <w:szCs w:val="24"/>
          <w:highlight w:val="none"/>
        </w:rPr>
        <w:t>对采购产品技术规格未详细应答，致使其技术文件无法评审的；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16.10</w:t>
      </w:r>
      <w:r>
        <w:rPr>
          <w:rFonts w:hint="eastAsia" w:ascii="宋体" w:hAnsi="宋体" w:cs="宋体"/>
          <w:b/>
          <w:bCs/>
          <w:color w:val="auto"/>
          <w:sz w:val="24"/>
          <w:szCs w:val="24"/>
          <w:highlight w:val="none"/>
        </w:rPr>
        <w:t>响应文件有采购方不能接受的条件；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16.11</w:t>
      </w:r>
      <w:r>
        <w:rPr>
          <w:rFonts w:hint="eastAsia" w:ascii="宋体" w:hAnsi="宋体" w:cs="宋体"/>
          <w:b/>
          <w:bCs/>
          <w:color w:val="auto"/>
          <w:sz w:val="24"/>
          <w:szCs w:val="24"/>
          <w:highlight w:val="none"/>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16.12</w:t>
      </w:r>
      <w:r>
        <w:rPr>
          <w:rFonts w:hint="eastAsia" w:ascii="宋体" w:hAnsi="宋体" w:cs="宋体"/>
          <w:b/>
          <w:bCs/>
          <w:color w:val="auto"/>
          <w:sz w:val="24"/>
          <w:szCs w:val="24"/>
          <w:highlight w:val="none"/>
        </w:rPr>
        <w:t>磋商报价超过预算金额或最高限价的；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16.13</w:t>
      </w:r>
      <w:r>
        <w:rPr>
          <w:rFonts w:hint="eastAsia" w:ascii="宋体" w:hAnsi="宋体" w:cs="宋体"/>
          <w:b/>
          <w:bCs/>
          <w:color w:val="auto"/>
          <w:sz w:val="24"/>
          <w:szCs w:val="24"/>
          <w:highlight w:val="none"/>
        </w:rPr>
        <w:t>响应文件“商务技术文件资料”部分中出现《报价一览表》或《磋商报价明细表》相关内容的；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16.14</w:t>
      </w:r>
      <w:r>
        <w:rPr>
          <w:rFonts w:hint="eastAsia" w:ascii="宋体" w:hAnsi="宋体" w:cs="宋体"/>
          <w:b/>
          <w:bCs/>
          <w:color w:val="auto"/>
          <w:sz w:val="24"/>
          <w:szCs w:val="24"/>
          <w:highlight w:val="none"/>
        </w:rPr>
        <w:t>评标委员会认定有重大偏差或实质性不响应磋商文件要求的，即“★”的关键性指标及技术参数要求负偏离或缺漏；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16.15</w:t>
      </w:r>
      <w:r>
        <w:rPr>
          <w:rFonts w:hint="eastAsia" w:ascii="宋体" w:hAnsi="宋体" w:cs="宋体"/>
          <w:b/>
          <w:bCs/>
          <w:color w:val="auto"/>
          <w:sz w:val="24"/>
          <w:szCs w:val="24"/>
          <w:highlight w:val="none"/>
        </w:rPr>
        <w:t>供应商拒绝按磋商文件规定的修正原则对响应文件进行修改的；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w:t>
      </w:r>
      <w:r>
        <w:rPr>
          <w:rFonts w:hint="eastAsia" w:ascii="宋体" w:hAnsi="宋体" w:cs="宋体"/>
          <w:b/>
          <w:bCs/>
          <w:color w:val="auto"/>
          <w:sz w:val="24"/>
          <w:szCs w:val="24"/>
          <w:highlight w:val="none"/>
        </w:rPr>
        <w:t>有下列情形之一的，视为供应商串通投标，其投标无效：</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16.16.1</w:t>
      </w:r>
      <w:r>
        <w:rPr>
          <w:rFonts w:hint="eastAsia" w:ascii="宋体" w:hAnsi="宋体" w:cs="宋体"/>
          <w:b/>
          <w:bCs/>
          <w:color w:val="auto"/>
          <w:sz w:val="24"/>
          <w:szCs w:val="24"/>
          <w:highlight w:val="none"/>
        </w:rPr>
        <w:t>不同供应商的响应文件由同一单位或者个人编制；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16.16.2</w:t>
      </w:r>
      <w:r>
        <w:rPr>
          <w:rFonts w:hint="eastAsia" w:ascii="宋体" w:hAnsi="宋体" w:cs="宋体"/>
          <w:b/>
          <w:bCs/>
          <w:color w:val="auto"/>
          <w:sz w:val="24"/>
          <w:szCs w:val="24"/>
          <w:highlight w:val="none"/>
        </w:rPr>
        <w:t>不同供应商委托同一单位或者个人办理投标事宜；</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16.16.3</w:t>
      </w:r>
      <w:r>
        <w:rPr>
          <w:rFonts w:hint="eastAsia" w:ascii="宋体" w:hAnsi="宋体" w:cs="宋体"/>
          <w:b/>
          <w:bCs/>
          <w:color w:val="auto"/>
          <w:sz w:val="24"/>
          <w:szCs w:val="24"/>
          <w:highlight w:val="none"/>
        </w:rPr>
        <w:t>不同供应商的响应文件载明的项目管理成员或者联系人员为同一人；</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16.16.4</w:t>
      </w:r>
      <w:r>
        <w:rPr>
          <w:rFonts w:hint="eastAsia" w:ascii="宋体" w:hAnsi="宋体" w:cs="宋体"/>
          <w:b/>
          <w:bCs/>
          <w:color w:val="auto"/>
          <w:sz w:val="24"/>
          <w:szCs w:val="24"/>
          <w:highlight w:val="none"/>
        </w:rPr>
        <w:t>不同供应商的响应文件异常一致或者投标报价呈规律性差异；</w:t>
      </w:r>
    </w:p>
    <w:p>
      <w:pPr>
        <w:spacing w:line="336" w:lineRule="auto"/>
        <w:ind w:firstLine="482" w:firstLineChars="200"/>
        <w:rPr>
          <w:rFonts w:ascii="宋体" w:hAnsi="宋体" w:cs="宋体"/>
          <w:b/>
          <w:bCs/>
          <w:color w:val="auto"/>
          <w:sz w:val="24"/>
          <w:szCs w:val="24"/>
          <w:highlight w:val="none"/>
        </w:rPr>
      </w:pPr>
      <w:r>
        <w:rPr>
          <w:rFonts w:ascii="宋体" w:hAnsi="宋体" w:cs="宋体"/>
          <w:b/>
          <w:bCs/>
          <w:color w:val="auto"/>
          <w:sz w:val="24"/>
          <w:szCs w:val="24"/>
          <w:highlight w:val="none"/>
        </w:rPr>
        <w:t>16.16.5</w:t>
      </w:r>
      <w:r>
        <w:rPr>
          <w:rFonts w:hint="eastAsia" w:ascii="宋体" w:hAnsi="宋体" w:cs="宋体"/>
          <w:b/>
          <w:bCs/>
          <w:color w:val="auto"/>
          <w:sz w:val="24"/>
          <w:szCs w:val="24"/>
          <w:highlight w:val="none"/>
        </w:rPr>
        <w:t>不同供应商提供的响应文件出自同一终端设备的，或在相同</w:t>
      </w:r>
      <w:r>
        <w:rPr>
          <w:rFonts w:ascii="宋体" w:hAnsi="宋体" w:cs="宋体"/>
          <w:b/>
          <w:bCs/>
          <w:color w:val="auto"/>
          <w:sz w:val="24"/>
          <w:szCs w:val="24"/>
          <w:highlight w:val="none"/>
        </w:rPr>
        <w:t>Internet</w:t>
      </w:r>
      <w:r>
        <w:rPr>
          <w:rFonts w:hint="eastAsia" w:ascii="宋体" w:hAnsi="宋体" w:cs="宋体"/>
          <w:b/>
          <w:bCs/>
          <w:color w:val="auto"/>
          <w:sz w:val="24"/>
          <w:szCs w:val="24"/>
          <w:highlight w:val="none"/>
        </w:rPr>
        <w:t>主机分配地址（相同</w:t>
      </w:r>
      <w:r>
        <w:rPr>
          <w:rFonts w:ascii="宋体" w:hAnsi="宋体" w:cs="宋体"/>
          <w:b/>
          <w:bCs/>
          <w:color w:val="auto"/>
          <w:sz w:val="24"/>
          <w:szCs w:val="24"/>
          <w:highlight w:val="none"/>
        </w:rPr>
        <w:t>IP</w:t>
      </w:r>
      <w:r>
        <w:rPr>
          <w:rFonts w:hint="eastAsia" w:ascii="宋体" w:hAnsi="宋体" w:cs="宋体"/>
          <w:b/>
          <w:bCs/>
          <w:color w:val="auto"/>
          <w:sz w:val="24"/>
          <w:szCs w:val="24"/>
          <w:highlight w:val="none"/>
        </w:rPr>
        <w:t>地址）报名或网上投标的，且经询标澄清供应商无令人信服的理由和可靠证据证明其合理性的，经评标委员会半数以上成员确认有串通投标嫌疑的。</w:t>
      </w:r>
    </w:p>
    <w:p>
      <w:pPr>
        <w:tabs>
          <w:tab w:val="left" w:pos="3870"/>
          <w:tab w:val="left" w:pos="4085"/>
        </w:tabs>
        <w:snapToGrid w:val="0"/>
        <w:spacing w:line="336" w:lineRule="auto"/>
        <w:ind w:firstLine="482"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16.17其他违反</w:t>
      </w:r>
      <w:r>
        <w:rPr>
          <w:rFonts w:hint="eastAsia" w:ascii="宋体" w:hAnsi="宋体" w:cs="宋体"/>
          <w:b/>
          <w:bCs/>
          <w:color w:val="auto"/>
          <w:sz w:val="24"/>
          <w:szCs w:val="24"/>
          <w:highlight w:val="none"/>
          <w:lang w:eastAsia="zh-CN"/>
        </w:rPr>
        <w:t>法律法规</w:t>
      </w:r>
      <w:r>
        <w:rPr>
          <w:rFonts w:hint="eastAsia" w:ascii="宋体" w:hAnsi="宋体" w:cs="宋体"/>
          <w:b/>
          <w:bCs/>
          <w:color w:val="auto"/>
          <w:sz w:val="24"/>
          <w:szCs w:val="24"/>
          <w:highlight w:val="none"/>
        </w:rPr>
        <w:t>的情形。</w:t>
      </w:r>
    </w:p>
    <w:p>
      <w:pPr>
        <w:pStyle w:val="2"/>
        <w:numPr>
          <w:ilvl w:val="0"/>
          <w:numId w:val="10"/>
        </w:numPr>
        <w:spacing w:line="336" w:lineRule="auto"/>
        <w:jc w:val="center"/>
        <w:rPr>
          <w:rFonts w:cs="Times New Roman"/>
          <w:color w:val="auto"/>
          <w:highlight w:val="none"/>
        </w:rPr>
      </w:pPr>
      <w:r>
        <w:rPr>
          <w:color w:val="auto"/>
          <w:highlight w:val="none"/>
        </w:rPr>
        <w:t xml:space="preserve"> </w:t>
      </w:r>
      <w:bookmarkStart w:id="66" w:name="_Toc28819"/>
      <w:bookmarkStart w:id="67" w:name="_Toc21752"/>
      <w:r>
        <w:rPr>
          <w:rFonts w:hint="eastAsia"/>
          <w:color w:val="auto"/>
          <w:highlight w:val="none"/>
        </w:rPr>
        <w:t>采购中止的情形</w:t>
      </w:r>
      <w:bookmarkEnd w:id="66"/>
      <w:bookmarkEnd w:id="67"/>
    </w:p>
    <w:p>
      <w:pPr>
        <w:pStyle w:val="14"/>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17</w:t>
      </w:r>
      <w:r>
        <w:rPr>
          <w:rFonts w:hint="eastAsia" w:hAnsi="宋体"/>
          <w:b/>
          <w:bCs/>
          <w:color w:val="auto"/>
          <w:sz w:val="24"/>
          <w:szCs w:val="24"/>
          <w:highlight w:val="none"/>
        </w:rPr>
        <w:t>、</w:t>
      </w:r>
      <w:r>
        <w:rPr>
          <w:rFonts w:hint="eastAsia" w:hAnsi="宋体"/>
          <w:b/>
          <w:bCs/>
          <w:color w:val="auto"/>
          <w:sz w:val="24"/>
          <w:szCs w:val="24"/>
          <w:highlight w:val="none"/>
          <w:lang w:val="zh-CN"/>
        </w:rPr>
        <w:t>中止电子交易活动和</w:t>
      </w:r>
      <w:r>
        <w:rPr>
          <w:rFonts w:hint="eastAsia" w:hAnsi="宋体"/>
          <w:b/>
          <w:bCs/>
          <w:color w:val="auto"/>
          <w:sz w:val="24"/>
          <w:szCs w:val="24"/>
          <w:highlight w:val="none"/>
        </w:rPr>
        <w:t>重新组织采购</w:t>
      </w:r>
    </w:p>
    <w:p>
      <w:pPr>
        <w:pStyle w:val="61"/>
        <w:tabs>
          <w:tab w:val="left" w:pos="0"/>
        </w:tabs>
        <w:spacing w:before="0" w:line="336" w:lineRule="auto"/>
        <w:ind w:left="420" w:leftChars="200" w:firstLine="0" w:firstLineChars="0"/>
        <w:rPr>
          <w:rFonts w:ascii="宋体"/>
          <w:color w:val="auto"/>
          <w:highlight w:val="none"/>
          <w:lang w:val="zh-CN"/>
        </w:rPr>
      </w:pPr>
      <w:r>
        <w:rPr>
          <w:rFonts w:ascii="宋体" w:hAnsi="宋体" w:cs="宋体"/>
          <w:color w:val="auto"/>
          <w:highlight w:val="none"/>
        </w:rPr>
        <w:t>17.1</w:t>
      </w:r>
      <w:r>
        <w:rPr>
          <w:rFonts w:hint="eastAsia" w:ascii="宋体" w:hAnsi="宋体" w:cs="宋体"/>
          <w:color w:val="auto"/>
          <w:highlight w:val="none"/>
          <w:lang w:val="zh-CN"/>
        </w:rPr>
        <w:t>采购过程中出现以下情形，导致电子交易平台无法正常运行，或者无法保证电子交易的公平、公正和安全时，采购组织机构可中止电子交易活动：</w:t>
      </w:r>
    </w:p>
    <w:p>
      <w:pPr>
        <w:numPr>
          <w:ilvl w:val="0"/>
          <w:numId w:val="16"/>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电子交易平台发生故障而无法登录访问的；</w:t>
      </w:r>
      <w:r>
        <w:rPr>
          <w:rFonts w:ascii="宋体" w:hAnsi="宋体" w:cs="宋体"/>
          <w:color w:val="auto"/>
          <w:sz w:val="24"/>
          <w:szCs w:val="24"/>
          <w:highlight w:val="none"/>
        </w:rPr>
        <w:t xml:space="preserve"> </w:t>
      </w:r>
    </w:p>
    <w:p>
      <w:pPr>
        <w:numPr>
          <w:ilvl w:val="0"/>
          <w:numId w:val="16"/>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电子交易平台应用或数据库出现错误，不能进行正常操作的；</w:t>
      </w:r>
    </w:p>
    <w:p>
      <w:pPr>
        <w:numPr>
          <w:ilvl w:val="0"/>
          <w:numId w:val="16"/>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电子交易平台发现严重安全漏洞，有潜在泄密危险的；</w:t>
      </w:r>
    </w:p>
    <w:p>
      <w:pPr>
        <w:numPr>
          <w:ilvl w:val="0"/>
          <w:numId w:val="16"/>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病毒发作导致不能进行正常操作的；</w:t>
      </w:r>
      <w:r>
        <w:rPr>
          <w:rFonts w:ascii="宋体" w:hAnsi="宋体" w:cs="宋体"/>
          <w:color w:val="auto"/>
          <w:sz w:val="24"/>
          <w:szCs w:val="24"/>
          <w:highlight w:val="none"/>
        </w:rPr>
        <w:t xml:space="preserve"> </w:t>
      </w:r>
    </w:p>
    <w:p>
      <w:pPr>
        <w:numPr>
          <w:ilvl w:val="0"/>
          <w:numId w:val="16"/>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其他无法保证电子交易的公平、公正和安全的情况。</w:t>
      </w:r>
    </w:p>
    <w:p>
      <w:pPr>
        <w:pStyle w:val="61"/>
        <w:tabs>
          <w:tab w:val="left" w:pos="0"/>
        </w:tabs>
        <w:spacing w:before="0" w:line="336" w:lineRule="auto"/>
        <w:ind w:firstLine="480"/>
        <w:rPr>
          <w:rFonts w:ascii="宋体"/>
          <w:color w:val="auto"/>
          <w:highlight w:val="none"/>
        </w:rPr>
      </w:pPr>
      <w:r>
        <w:rPr>
          <w:rFonts w:ascii="宋体" w:hAnsi="宋体" w:cs="宋体"/>
          <w:color w:val="auto"/>
          <w:highlight w:val="none"/>
        </w:rPr>
        <w:t>17.2</w:t>
      </w:r>
      <w:r>
        <w:rPr>
          <w:rFonts w:hint="eastAsia" w:ascii="宋体" w:hAnsi="宋体" w:cs="宋体"/>
          <w:color w:val="auto"/>
          <w:highlight w:val="none"/>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pPr>
        <w:pStyle w:val="2"/>
        <w:numPr>
          <w:ilvl w:val="0"/>
          <w:numId w:val="10"/>
        </w:numPr>
        <w:spacing w:line="336" w:lineRule="auto"/>
        <w:jc w:val="center"/>
        <w:rPr>
          <w:rFonts w:cs="Times New Roman"/>
          <w:color w:val="auto"/>
          <w:highlight w:val="none"/>
        </w:rPr>
      </w:pPr>
      <w:r>
        <w:rPr>
          <w:color w:val="auto"/>
          <w:highlight w:val="none"/>
        </w:rPr>
        <w:t xml:space="preserve"> </w:t>
      </w:r>
      <w:bookmarkStart w:id="68" w:name="_Toc29913"/>
      <w:bookmarkStart w:id="69" w:name="_Toc14029"/>
      <w:r>
        <w:rPr>
          <w:rFonts w:hint="eastAsia"/>
          <w:color w:val="auto"/>
          <w:highlight w:val="none"/>
        </w:rPr>
        <w:t>确定成交供应商与签订合同</w:t>
      </w:r>
      <w:bookmarkEnd w:id="68"/>
      <w:bookmarkEnd w:id="69"/>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18</w:t>
      </w:r>
      <w:r>
        <w:rPr>
          <w:rFonts w:hint="eastAsia" w:ascii="宋体" w:hAnsi="宋体" w:cs="宋体"/>
          <w:b/>
          <w:bCs/>
          <w:color w:val="auto"/>
          <w:sz w:val="24"/>
          <w:szCs w:val="24"/>
          <w:highlight w:val="none"/>
        </w:rPr>
        <w:t>、推荐成交候选供应商</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磋商小组应当根据综合评分情况，按照评审得分由高到低顺序推荐</w:t>
      </w:r>
      <w:r>
        <w:rPr>
          <w:rFonts w:ascii="宋体" w:hAnsi="宋体" w:cs="宋体"/>
          <w:color w:val="auto"/>
          <w:sz w:val="24"/>
          <w:szCs w:val="24"/>
          <w:highlight w:val="none"/>
        </w:rPr>
        <w:t>1</w:t>
      </w:r>
      <w:r>
        <w:rPr>
          <w:rFonts w:hint="eastAsia" w:ascii="宋体" w:hAnsi="宋体" w:cs="宋体"/>
          <w:color w:val="auto"/>
          <w:sz w:val="24"/>
          <w:szCs w:val="24"/>
          <w:highlight w:val="none"/>
        </w:rPr>
        <w:t>名或以上成交候选供应商，并编写评审报告。评审得分相同的，按照最后报价由低到高的顺序推荐。评审得分且最后报价相同的，按照技术指标优劣顺序推荐。</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18.2 </w:t>
      </w:r>
      <w:r>
        <w:rPr>
          <w:rFonts w:hint="eastAsia" w:ascii="宋体" w:hAnsi="宋体" w:cs="宋体"/>
          <w:color w:val="auto"/>
          <w:sz w:val="24"/>
          <w:szCs w:val="24"/>
          <w:highlight w:val="none"/>
        </w:rPr>
        <w:t>采购代理机构应当在评审结束后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个工作日内将评审报告送采购人确认。</w:t>
      </w:r>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19</w:t>
      </w:r>
      <w:r>
        <w:rPr>
          <w:rFonts w:hint="eastAsia" w:ascii="宋体" w:hAnsi="宋体" w:cs="宋体"/>
          <w:b/>
          <w:bCs/>
          <w:color w:val="auto"/>
          <w:sz w:val="24"/>
          <w:szCs w:val="24"/>
          <w:highlight w:val="none"/>
        </w:rPr>
        <w:t>、确定成交供应商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19.1</w:t>
      </w:r>
      <w:r>
        <w:rPr>
          <w:rFonts w:hint="eastAsia" w:ascii="宋体" w:hAnsi="宋体" w:cs="宋体"/>
          <w:color w:val="auto"/>
          <w:sz w:val="24"/>
          <w:szCs w:val="24"/>
          <w:highlight w:val="none"/>
        </w:rPr>
        <w:t>采购人应当在收到评审报告后</w:t>
      </w:r>
      <w:r>
        <w:rPr>
          <w:rFonts w:ascii="宋体" w:hAnsi="宋体" w:cs="宋体"/>
          <w:color w:val="auto"/>
          <w:sz w:val="24"/>
          <w:szCs w:val="24"/>
          <w:highlight w:val="none"/>
        </w:rPr>
        <w:t>5</w:t>
      </w:r>
      <w:r>
        <w:rPr>
          <w:rFonts w:hint="eastAsia" w:ascii="宋体" w:hAnsi="宋体" w:cs="宋体"/>
          <w:color w:val="auto"/>
          <w:sz w:val="24"/>
          <w:szCs w:val="24"/>
          <w:highlight w:val="none"/>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19.2</w:t>
      </w:r>
      <w:r>
        <w:rPr>
          <w:rFonts w:hint="eastAsia" w:ascii="宋体" w:hAnsi="宋体" w:cs="宋体"/>
          <w:color w:val="auto"/>
          <w:sz w:val="24"/>
          <w:szCs w:val="24"/>
          <w:highlight w:val="none"/>
        </w:rPr>
        <w:t>采购人或者采购代理机构应当在成交供应商确定后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个工作日内，在省级以上财政部门指定的政府采购信息发布媒体上公告成交结果，同时向成交供应商发出成交通知书。</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20</w:t>
      </w:r>
      <w:r>
        <w:rPr>
          <w:rFonts w:hint="eastAsia" w:ascii="宋体" w:hAnsi="宋体" w:cs="宋体"/>
          <w:b/>
          <w:bCs/>
          <w:color w:val="auto"/>
          <w:sz w:val="24"/>
          <w:szCs w:val="24"/>
          <w:highlight w:val="none"/>
        </w:rPr>
        <w:t>、签订合同</w:t>
      </w:r>
    </w:p>
    <w:p>
      <w:pPr>
        <w:pStyle w:val="61"/>
        <w:snapToGrid w:val="0"/>
        <w:spacing w:before="0" w:line="336" w:lineRule="auto"/>
        <w:ind w:firstLine="480"/>
        <w:rPr>
          <w:rFonts w:ascii="宋体"/>
          <w:color w:val="auto"/>
          <w:highlight w:val="none"/>
        </w:rPr>
      </w:pPr>
      <w:r>
        <w:rPr>
          <w:rFonts w:ascii="宋体" w:hAnsi="宋体" w:cs="宋体"/>
          <w:color w:val="auto"/>
          <w:highlight w:val="none"/>
        </w:rPr>
        <w:t xml:space="preserve">20.1. </w:t>
      </w:r>
      <w:r>
        <w:rPr>
          <w:rFonts w:hint="eastAsia" w:ascii="宋体" w:hAnsi="宋体" w:cs="宋体"/>
          <w:color w:val="auto"/>
          <w:highlight w:val="none"/>
        </w:rPr>
        <w:t>采购人与成交供应商应当在成交通知书发出之日起</w:t>
      </w:r>
      <w:r>
        <w:rPr>
          <w:rFonts w:ascii="宋体" w:hAnsi="宋体" w:cs="宋体"/>
          <w:color w:val="auto"/>
          <w:highlight w:val="none"/>
        </w:rPr>
        <w:t>30</w:t>
      </w:r>
      <w:r>
        <w:rPr>
          <w:rFonts w:hint="eastAsia" w:ascii="宋体" w:hAnsi="宋体" w:cs="宋体"/>
          <w:color w:val="auto"/>
          <w:highlight w:val="none"/>
        </w:rPr>
        <w:t>日内，按照磋商文件确定的合同文本以及采购标的、规格型号、采购金额、采购数量、技术和服务要求等事项签订政府采购合同。</w:t>
      </w:r>
    </w:p>
    <w:p>
      <w:pPr>
        <w:pStyle w:val="61"/>
        <w:snapToGrid w:val="0"/>
        <w:spacing w:before="0" w:line="336" w:lineRule="auto"/>
        <w:ind w:firstLine="480"/>
        <w:rPr>
          <w:rFonts w:ascii="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成交供应商拒绝签订政府采购合同的，采购人可以按照《政府采购竞争性磋商采购方式管理暂行办法》（财库〔</w:t>
      </w:r>
      <w:r>
        <w:rPr>
          <w:rFonts w:ascii="宋体" w:hAnsi="宋体" w:cs="宋体"/>
          <w:color w:val="auto"/>
          <w:highlight w:val="none"/>
        </w:rPr>
        <w:t>2014</w:t>
      </w:r>
      <w:r>
        <w:rPr>
          <w:rFonts w:hint="eastAsia" w:ascii="宋体" w:hAnsi="宋体" w:cs="宋体"/>
          <w:color w:val="auto"/>
          <w:highlight w:val="none"/>
        </w:rPr>
        <w:t>〕</w:t>
      </w:r>
      <w:r>
        <w:rPr>
          <w:rFonts w:ascii="宋体" w:hAnsi="宋体" w:cs="宋体"/>
          <w:color w:val="auto"/>
          <w:highlight w:val="none"/>
        </w:rPr>
        <w:t>214</w:t>
      </w:r>
      <w:r>
        <w:rPr>
          <w:rFonts w:hint="eastAsia" w:ascii="宋体" w:hAnsi="宋体" w:cs="宋体"/>
          <w:color w:val="auto"/>
          <w:highlight w:val="none"/>
        </w:rPr>
        <w:t>号）第二十八条第二款规定的原则确定其他供应商作为成交供应商并签订政府采购合同，也可以重新开展采购活动。拒绝签订政府采购合同的成交供应商不得参加对该项目重新开展的采购活动。</w:t>
      </w:r>
    </w:p>
    <w:p>
      <w:pPr>
        <w:adjustRightInd w:val="0"/>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21</w:t>
      </w:r>
      <w:r>
        <w:rPr>
          <w:rFonts w:hint="eastAsia" w:ascii="宋体" w:hAnsi="宋体" w:cs="宋体"/>
          <w:b/>
          <w:bCs/>
          <w:color w:val="auto"/>
          <w:sz w:val="24"/>
          <w:szCs w:val="24"/>
          <w:highlight w:val="none"/>
        </w:rPr>
        <w:t>、解释权</w:t>
      </w:r>
    </w:p>
    <w:p>
      <w:pPr>
        <w:adjustRightInd w:val="0"/>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磋商文件的解释权均属于</w:t>
      </w:r>
      <w:r>
        <w:rPr>
          <w:rFonts w:hint="eastAsia" w:ascii="宋体" w:hAnsi="宋体" w:cs="宋体"/>
          <w:color w:val="auto"/>
          <w:sz w:val="24"/>
          <w:szCs w:val="24"/>
          <w:highlight w:val="none"/>
          <w:u w:val="single"/>
          <w:lang w:eastAsia="zh-CN"/>
        </w:rPr>
        <w:t>上虞区丰惠镇人民政府</w:t>
      </w:r>
      <w:r>
        <w:rPr>
          <w:rFonts w:hint="eastAsia" w:ascii="宋体" w:hAnsi="宋体" w:cs="宋体"/>
          <w:color w:val="auto"/>
          <w:sz w:val="24"/>
          <w:szCs w:val="24"/>
          <w:highlight w:val="none"/>
        </w:rPr>
        <w:t>和</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绍兴市上虞区公共资源交易中心</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pStyle w:val="12"/>
        <w:rPr>
          <w:rFonts w:cs="Times New Roman"/>
          <w:color w:val="auto"/>
          <w:highlight w:val="none"/>
        </w:rPr>
      </w:pPr>
    </w:p>
    <w:p>
      <w:pPr>
        <w:pStyle w:val="4"/>
        <w:numPr>
          <w:ilvl w:val="0"/>
          <w:numId w:val="17"/>
        </w:numPr>
        <w:jc w:val="center"/>
        <w:rPr>
          <w:rFonts w:cs="宋体"/>
          <w:color w:val="auto"/>
          <w:sz w:val="36"/>
          <w:szCs w:val="36"/>
          <w:highlight w:val="none"/>
        </w:rPr>
      </w:pPr>
      <w:r>
        <w:rPr>
          <w:color w:val="auto"/>
          <w:sz w:val="36"/>
          <w:szCs w:val="36"/>
          <w:highlight w:val="none"/>
        </w:rPr>
        <w:br w:type="page"/>
      </w:r>
      <w:bookmarkStart w:id="70" w:name="_Toc21248"/>
      <w:bookmarkStart w:id="71" w:name="_Toc29447"/>
      <w:r>
        <w:rPr>
          <w:rFonts w:hint="eastAsia" w:cs="宋体"/>
          <w:color w:val="auto"/>
          <w:sz w:val="36"/>
          <w:szCs w:val="36"/>
          <w:highlight w:val="none"/>
        </w:rPr>
        <w:t>采购内容及要求</w:t>
      </w:r>
      <w:bookmarkEnd w:id="70"/>
      <w:bookmarkEnd w:id="71"/>
    </w:p>
    <w:p>
      <w:pPr>
        <w:pStyle w:val="2"/>
        <w:jc w:val="center"/>
        <w:rPr>
          <w:color w:val="auto"/>
          <w:highlight w:val="none"/>
        </w:rPr>
      </w:pPr>
      <w:bookmarkStart w:id="72" w:name="_Toc10406"/>
      <w:r>
        <w:rPr>
          <w:rFonts w:hint="eastAsia"/>
          <w:color w:val="auto"/>
          <w:highlight w:val="none"/>
        </w:rPr>
        <w:t>第一章 采购内容及要求</w:t>
      </w:r>
      <w:bookmarkEnd w:id="72"/>
    </w:p>
    <w:p>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color w:val="auto"/>
          <w:sz w:val="24"/>
          <w:szCs w:val="24"/>
          <w:highlight w:val="none"/>
        </w:rPr>
      </w:pPr>
      <w:bookmarkStart w:id="73" w:name="_Toc20445"/>
      <w:bookmarkStart w:id="74" w:name="_Toc10260"/>
      <w:bookmarkStart w:id="75" w:name="_Toc83283744"/>
      <w:bookmarkStart w:id="76" w:name="_Toc15284"/>
      <w:r>
        <w:rPr>
          <w:rFonts w:hint="eastAsia" w:ascii="宋体" w:hAnsi="宋体" w:eastAsia="宋体" w:cs="宋体"/>
          <w:b/>
          <w:bCs/>
          <w:color w:val="auto"/>
          <w:sz w:val="24"/>
          <w:szCs w:val="24"/>
          <w:highlight w:val="none"/>
        </w:rPr>
        <w:t>项目概况</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丰惠镇政府位于上虞区丰惠镇环庙路39号，全域面积12000平方米，建筑面积10800平方米，丰惠镇便民中心位于丰三路与西南门街叉口西南160米，全域面积3000平方米，建筑面积 2700平方米。本项目主要涉及丰惠镇政府大楼及便民服务中心范围内的保洁、保安等物业服务项目，服务期三年</w:t>
      </w:r>
      <w:r>
        <w:rPr>
          <w:rFonts w:hint="eastAsia" w:ascii="宋体" w:hAnsi="宋体" w:eastAsia="宋体" w:cs="宋体"/>
          <w:color w:val="auto"/>
          <w:sz w:val="24"/>
          <w:szCs w:val="24"/>
          <w:highlight w:val="none"/>
        </w:rPr>
        <w:t>。</w:t>
      </w:r>
    </w:p>
    <w:p>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项目服务内容</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1、安保工作要求</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(1)负责24小时值班、不间断巡逻，对大门口和停车场机动车辆、非机动车辆按规定进行管理。落实各种安全管理规定、制度，维护秩序，及时按规定对各种问题、事件进行处置，保证执法队办公有序。</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(2)做好安全值班记录、报告、处置制度，严格责任，把安防工作落到实处。</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(3)做好重要活动的前期准备工作以及与有关部门的配合工作，活动进行时，要做好消防、安全保卫工作。</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(4)牵头、协调安保应急事件处置。当发生监控报警，应立即前往报警点查明报警原因，及时保护现场并上报；遇到火灾，应立即组织值班人员设法扑救并根据火势情况分别对待，必要时须报119并上报。</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(5)负责邮件、报刊等发放及文件交换箱的管理工作，协助快递公司做好快递收件工作。</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(6)做好在大门口上访人员的劝阻工作，发现有群访人员，立即报告相关部门负责人，并设法劝其到信访接待室反映问题，同时维护好机关大院正常秩序。</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(7)机动车和非机动车有秩序驶入场区，禁止门口车辆乱停放。</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(8)其他属于安全保卫范围内的工作及采购人临时交办的任务。</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2、保洁要求</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(1)公共场所：大门区域干净，无垃圾、枯草落叶；室内垃圾箱、公共卫生间整洁、卫生。</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(2)卫生间及开水间：大小便池保持内外光洁，无污垢，无尿碱，无水垢，无脏物，无积尘，无异味，无积水，定期消毒，放卫生球、清新剂，保持地面干燥。</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(3)楼梯间：每天上班前清扫擦干净扶手，平时随时清扫。栏杆及门窗、楼梯走廊保持无杂物、无灰尘、无蜘蛛网、无污迹、无堆放物品。</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会议室：会议前，做好会前保障工作，会议结束后，及时清理垃圾，并保持会议室整洁。</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default" w:ascii="宋体" w:hAnsi="宋体" w:eastAsia="宋体" w:cs="宋体"/>
          <w:color w:val="0000FF"/>
          <w:sz w:val="24"/>
          <w:szCs w:val="24"/>
          <w:highlight w:val="none"/>
          <w:lang w:val="en-US" w:eastAsia="zh-CN"/>
        </w:rPr>
      </w:pPr>
      <w:r>
        <w:rPr>
          <w:rFonts w:hint="eastAsia" w:ascii="宋体" w:hAnsi="宋体" w:eastAsia="宋体" w:cs="宋体"/>
          <w:color w:val="auto"/>
          <w:sz w:val="24"/>
          <w:szCs w:val="24"/>
          <w:highlight w:val="none"/>
          <w:lang w:val="en-US" w:eastAsia="zh-CN"/>
        </w:rPr>
        <w:t>(5)卫生消杀：消杀包括办公楼内外的公共部位的消杀，夏秋季每月至少六次，春季每月至少二次，冬季每月至少一次，达到无蝇，无蚊，无虫，无鼠害的标准。同时做好特殊（比如上级检查、活动等）期间做好对电梯间、卫生间、会议室等区域的消毒工作。</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工作时间及保洁次数：以不影响正常办公为前提，合理安排工作时间。原则上在上班前半小时完成保洁工作，在机关办公时间内加强卫生巡查，发现杂物及时清除，实行全天候保洁。公共部位每天至少拖洗三次，定期消毒除味；公共场所每天至少清扫二次，早晨、中午各一次，并实行全天候保洁。</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)垃圾分类：做好所有公共区域的垃圾分类及迎检工作，协助</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lang w:val="en-US" w:eastAsia="zh-CN"/>
        </w:rPr>
        <w:t>方做好垃圾分类等相关工作，并每天需将垃圾清运至垃圾集置点并做好台账。</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)保洁用品要求：要求所有卫生间每间都提供充足的檀香、垃圾袋</w:t>
      </w:r>
      <w:r>
        <w:rPr>
          <w:rFonts w:hint="eastAsia" w:ascii="宋体" w:hAnsi="宋体" w:cs="宋体"/>
          <w:color w:val="auto"/>
          <w:sz w:val="24"/>
          <w:szCs w:val="24"/>
          <w:highlight w:val="none"/>
          <w:lang w:val="en-US" w:eastAsia="zh-CN"/>
        </w:rPr>
        <w:t>、卫生纸</w:t>
      </w:r>
      <w:r>
        <w:rPr>
          <w:rFonts w:hint="eastAsia" w:ascii="宋体" w:hAnsi="宋体" w:eastAsia="宋体" w:cs="宋体"/>
          <w:color w:val="auto"/>
          <w:sz w:val="24"/>
          <w:szCs w:val="24"/>
          <w:highlight w:val="none"/>
          <w:lang w:val="en-US" w:eastAsia="zh-CN"/>
        </w:rPr>
        <w:t>等各类耗材物资，所有厕位、所有小便斗都提供充足的香精球（片）。</w:t>
      </w:r>
      <w:r>
        <w:rPr>
          <w:rFonts w:hint="eastAsia" w:ascii="宋体" w:hAnsi="宋体" w:cs="宋体"/>
          <w:color w:val="auto"/>
          <w:sz w:val="24"/>
          <w:szCs w:val="24"/>
          <w:highlight w:val="none"/>
          <w:lang w:val="en-US" w:eastAsia="zh-CN"/>
        </w:rPr>
        <w:t>保洁用品费用由中标单位承担。</w:t>
      </w:r>
    </w:p>
    <w:p>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岗位及人员要求</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1、人员基本要求</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(1)所有物业工作人员应身体健康，形象端正，具有一定的政治文化素养，基本的服务素质和相应的服务技能。所有人员要求政治上可靠，身体素质好，无不良行为记录。</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(2)卫生保洁员：女性，60周岁以下，品貌端正，身体健康，朴实肯干，经培训具保洁员标准操作技能，注重个人仪表，礼貌待人。</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(3)安保人员：男性，60周岁以下，身高 1.70 米以上，初中以上文化，身体健康，责任心强，能适应夜间工作，无不良社会记录和违法犯罪记录。</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保持员工队伍相对稳定，调动技术骨干，须提前告知甲方。按要求配置配足员工，不得擅自减少、变更管理负责人。经抽查，发现员工数减少，且无正当理由，甲方有权按考核办法执行，同时要求供应商补足规定人数。</w:t>
      </w:r>
    </w:p>
    <w:p>
      <w:pPr>
        <w:keepNext w:val="0"/>
        <w:keepLines w:val="0"/>
        <w:pageBreakBefore w:val="0"/>
        <w:widowControl w:val="0"/>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2、岗位配置要求</w:t>
      </w:r>
    </w:p>
    <w:tbl>
      <w:tblPr>
        <w:tblStyle w:val="29"/>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2"/>
        <w:gridCol w:w="4183"/>
        <w:gridCol w:w="2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sz w:val="24"/>
              </w:rPr>
            </w:pPr>
            <w:r>
              <w:rPr>
                <w:rFonts w:hint="eastAsia" w:ascii="宋体" w:hAnsi="宋体" w:cs="宋体"/>
                <w:bCs/>
                <w:sz w:val="24"/>
              </w:rPr>
              <w:t>序号</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sz w:val="24"/>
              </w:rPr>
            </w:pPr>
            <w:r>
              <w:rPr>
                <w:rFonts w:hint="eastAsia" w:ascii="宋体" w:hAnsi="宋体" w:cs="宋体"/>
                <w:bCs/>
                <w:sz w:val="24"/>
              </w:rPr>
              <w:t>岗位</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1</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项目负责人（可兼任）</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2</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color w:val="auto"/>
                <w:sz w:val="24"/>
              </w:rPr>
            </w:pPr>
            <w:r>
              <w:rPr>
                <w:rFonts w:hint="eastAsia" w:ascii="宋体" w:hAnsi="宋体" w:cs="宋体"/>
                <w:bCs/>
                <w:color w:val="auto"/>
                <w:sz w:val="24"/>
                <w:lang w:val="en-US" w:eastAsia="zh-CN"/>
              </w:rPr>
              <w:t>丰惠镇政府</w:t>
            </w:r>
            <w:r>
              <w:rPr>
                <w:rFonts w:hint="eastAsia" w:ascii="宋体" w:hAnsi="宋体" w:cs="宋体"/>
                <w:bCs/>
                <w:color w:val="auto"/>
                <w:sz w:val="24"/>
              </w:rPr>
              <w:t>保洁</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3</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Cs/>
                <w:color w:val="auto"/>
                <w:sz w:val="24"/>
                <w:lang w:val="en-US" w:eastAsia="zh-CN"/>
              </w:rPr>
            </w:pPr>
            <w:r>
              <w:rPr>
                <w:rFonts w:hint="eastAsia" w:ascii="宋体" w:hAnsi="宋体" w:eastAsia="宋体" w:cs="宋体"/>
                <w:bCs/>
                <w:color w:val="auto"/>
                <w:sz w:val="24"/>
                <w:lang w:val="en-US" w:eastAsia="zh-CN"/>
              </w:rPr>
              <w:t>便民中心保洁</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4</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cs="宋体"/>
                <w:bCs/>
                <w:sz w:val="24"/>
                <w:lang w:val="en-US"/>
              </w:rPr>
            </w:pPr>
            <w:r>
              <w:rPr>
                <w:rFonts w:hint="eastAsia" w:ascii="宋体" w:hAnsi="宋体" w:cs="宋体"/>
                <w:bCs/>
                <w:color w:val="auto"/>
                <w:sz w:val="24"/>
                <w:lang w:val="en-US" w:eastAsia="zh-CN"/>
              </w:rPr>
              <w:t>丰惠镇政府保安</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5</w:t>
            </w:r>
          </w:p>
        </w:tc>
        <w:tc>
          <w:tcPr>
            <w:tcW w:w="41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cs="宋体"/>
                <w:bCs/>
                <w:sz w:val="24"/>
                <w:lang w:val="en-US"/>
              </w:rPr>
            </w:pPr>
            <w:r>
              <w:rPr>
                <w:rFonts w:hint="eastAsia" w:ascii="宋体" w:hAnsi="宋体" w:eastAsia="宋体" w:cs="宋体"/>
                <w:bCs/>
                <w:color w:val="auto"/>
                <w:sz w:val="24"/>
                <w:lang w:val="en-US" w:eastAsia="zh-CN"/>
              </w:rPr>
              <w:t>便民中心保安</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65" w:type="dxa"/>
            <w:gridSpan w:val="2"/>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sz w:val="24"/>
              </w:rPr>
            </w:pPr>
            <w:r>
              <w:rPr>
                <w:rFonts w:hint="eastAsia" w:ascii="宋体" w:hAnsi="宋体" w:cs="宋体"/>
                <w:bCs/>
                <w:sz w:val="24"/>
              </w:rPr>
              <w:t>小计</w:t>
            </w:r>
          </w:p>
        </w:tc>
        <w:tc>
          <w:tcPr>
            <w:tcW w:w="2983" w:type="dxa"/>
            <w:noWrap w:val="0"/>
            <w:vAlign w:val="center"/>
          </w:tcPr>
          <w:p>
            <w:pPr>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Cs/>
                <w:sz w:val="24"/>
                <w:lang w:val="en-US" w:eastAsia="zh-CN"/>
              </w:rPr>
            </w:pPr>
            <w:r>
              <w:rPr>
                <w:rFonts w:hint="eastAsia" w:ascii="宋体" w:hAnsi="宋体" w:cs="宋体"/>
                <w:bCs/>
                <w:sz w:val="24"/>
                <w:lang w:val="en-US" w:eastAsia="zh-CN"/>
              </w:rPr>
              <w:t>13</w:t>
            </w:r>
          </w:p>
        </w:tc>
      </w:tr>
    </w:tbl>
    <w:p>
      <w:pPr>
        <w:pStyle w:val="28"/>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textAlignment w:val="auto"/>
        <w:rPr>
          <w:rFonts w:hint="eastAsia" w:ascii="宋体" w:hAnsi="宋体" w:eastAsia="宋体" w:cs="宋体"/>
          <w:color w:val="auto"/>
          <w:sz w:val="24"/>
          <w:szCs w:val="24"/>
          <w:highlight w:val="none"/>
        </w:rPr>
      </w:pPr>
      <w:r>
        <w:rPr>
          <w:rFonts w:hint="eastAsia"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w:t>
      </w:r>
      <w:r>
        <w:rPr>
          <w:rFonts w:hint="eastAsia" w:cs="宋体"/>
          <w:b/>
          <w:bCs/>
          <w:color w:val="auto"/>
          <w:sz w:val="24"/>
          <w:szCs w:val="24"/>
          <w:highlight w:val="none"/>
          <w:lang w:val="en-US" w:eastAsia="zh-CN"/>
        </w:rPr>
        <w:t>考核及其他</w:t>
      </w:r>
      <w:r>
        <w:rPr>
          <w:rFonts w:hint="eastAsia" w:ascii="宋体" w:hAnsi="宋体" w:eastAsia="宋体" w:cs="宋体"/>
          <w:b/>
          <w:bCs/>
          <w:color w:val="auto"/>
          <w:sz w:val="24"/>
          <w:szCs w:val="24"/>
          <w:highlight w:val="none"/>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1、考核时间及评定方法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本考核采用百分制，每</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不定期考核一次，并按以下原则评定考核等级：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①考核分高于90分(含)视为优秀，当期物业管理服务费用可得100%</w:t>
      </w:r>
      <w:r>
        <w:rPr>
          <w:rFonts w:hint="eastAsia" w:ascii="宋体" w:hAnsi="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②考核分高于85分(含)但低于90分(不含)视为良好，按200元/分在当期物业管理服务费用中扣除；</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③考核分低于85分(不含)视为不合格，按</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00元/分在当期物业管理服务费用中扣除；</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④连续三个月低于85分，甲方有权单方面与服务单位终止服务合同。</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2、考核方式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①检查形式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季</w:t>
      </w:r>
      <w:r>
        <w:rPr>
          <w:rFonts w:hint="eastAsia" w:ascii="宋体" w:hAnsi="宋体" w:eastAsia="宋体" w:cs="宋体"/>
          <w:color w:val="auto"/>
          <w:sz w:val="24"/>
          <w:szCs w:val="24"/>
          <w:highlight w:val="none"/>
          <w:lang w:eastAsia="zh-CN"/>
        </w:rPr>
        <w:t>度考核检查以甲方相关人员每</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对现场检查发现的问题为依据进行考核，对工作台账进行抽查，对热点难点解决情况进行督察，对上级主要工作、重大活动安排及有关创建评比活动有针对性地开展检查，对发现的问题进行告知，要求落实整改，并根据相关考核细则进行评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②评分依据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评分依据为考核细则，详见附件《丰惠镇政府和便民中心物业管理服务项目考核细则》。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3、考核结果的运用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lang w:eastAsia="zh-CN"/>
        </w:rPr>
        <w:t>考核成绩将作为</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物业服务费付款依据</w:t>
      </w:r>
      <w:r>
        <w:rPr>
          <w:rFonts w:hint="eastAsia" w:ascii="宋体" w:hAnsi="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附件：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《丰惠镇政府和便民中心物业管理服务项目考核细则》</w:t>
      </w:r>
    </w:p>
    <w:tbl>
      <w:tblPr>
        <w:tblStyle w:val="29"/>
        <w:tblW w:w="95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3950"/>
        <w:gridCol w:w="641"/>
        <w:gridCol w:w="3547"/>
        <w:gridCol w:w="7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noWrap w:val="0"/>
            <w:vAlign w:val="center"/>
          </w:tcPr>
          <w:p>
            <w:pPr>
              <w:spacing w:line="240" w:lineRule="auto"/>
              <w:jc w:val="center"/>
              <w:rPr>
                <w:rFonts w:hint="eastAsia" w:asciiTheme="minorEastAsia" w:hAnsiTheme="minorEastAsia" w:eastAsiaTheme="minorEastAsia" w:cstheme="minorEastAsia"/>
                <w:b/>
                <w:bCs/>
                <w:color w:val="auto"/>
                <w:sz w:val="22"/>
                <w:szCs w:val="22"/>
              </w:rPr>
            </w:pPr>
            <w:r>
              <w:rPr>
                <w:rFonts w:hint="eastAsia" w:asciiTheme="minorEastAsia" w:hAnsiTheme="minorEastAsia" w:eastAsiaTheme="minorEastAsia" w:cstheme="minorEastAsia"/>
                <w:b/>
                <w:bCs/>
                <w:color w:val="auto"/>
                <w:sz w:val="22"/>
                <w:szCs w:val="22"/>
              </w:rPr>
              <w:t>项目</w:t>
            </w:r>
          </w:p>
        </w:tc>
        <w:tc>
          <w:tcPr>
            <w:tcW w:w="3950" w:type="dxa"/>
            <w:noWrap w:val="0"/>
            <w:vAlign w:val="center"/>
          </w:tcPr>
          <w:p>
            <w:pPr>
              <w:spacing w:line="240" w:lineRule="auto"/>
              <w:jc w:val="center"/>
              <w:rPr>
                <w:rFonts w:hint="eastAsia" w:asciiTheme="minorEastAsia" w:hAnsiTheme="minorEastAsia" w:eastAsiaTheme="minorEastAsia" w:cstheme="minorEastAsia"/>
                <w:b/>
                <w:bCs/>
                <w:color w:val="auto"/>
                <w:sz w:val="22"/>
                <w:szCs w:val="22"/>
              </w:rPr>
            </w:pPr>
            <w:r>
              <w:rPr>
                <w:rFonts w:hint="eastAsia" w:asciiTheme="minorEastAsia" w:hAnsiTheme="minorEastAsia" w:eastAsiaTheme="minorEastAsia" w:cstheme="minorEastAsia"/>
                <w:b/>
                <w:bCs/>
                <w:color w:val="auto"/>
                <w:sz w:val="22"/>
                <w:szCs w:val="22"/>
              </w:rPr>
              <w:t>标准</w:t>
            </w:r>
          </w:p>
        </w:tc>
        <w:tc>
          <w:tcPr>
            <w:tcW w:w="641" w:type="dxa"/>
            <w:noWrap w:val="0"/>
            <w:vAlign w:val="center"/>
          </w:tcPr>
          <w:p>
            <w:pPr>
              <w:spacing w:line="240" w:lineRule="auto"/>
              <w:jc w:val="center"/>
              <w:rPr>
                <w:rFonts w:hint="eastAsia" w:asciiTheme="minorEastAsia" w:hAnsiTheme="minorEastAsia" w:eastAsiaTheme="minorEastAsia" w:cstheme="minorEastAsia"/>
                <w:b/>
                <w:bCs/>
                <w:color w:val="auto"/>
                <w:sz w:val="22"/>
                <w:szCs w:val="22"/>
                <w:lang w:val="en-US" w:eastAsia="zh-CN"/>
              </w:rPr>
            </w:pPr>
            <w:r>
              <w:rPr>
                <w:rFonts w:hint="eastAsia" w:asciiTheme="minorEastAsia" w:hAnsiTheme="minorEastAsia" w:eastAsiaTheme="minorEastAsia" w:cstheme="minorEastAsia"/>
                <w:b/>
                <w:bCs/>
                <w:color w:val="auto"/>
                <w:sz w:val="22"/>
                <w:szCs w:val="22"/>
                <w:lang w:val="en-US" w:eastAsia="zh-CN"/>
              </w:rPr>
              <w:t>分值</w:t>
            </w:r>
          </w:p>
        </w:tc>
        <w:tc>
          <w:tcPr>
            <w:tcW w:w="3547" w:type="dxa"/>
            <w:noWrap w:val="0"/>
            <w:vAlign w:val="center"/>
          </w:tcPr>
          <w:p>
            <w:pPr>
              <w:spacing w:line="240" w:lineRule="auto"/>
              <w:jc w:val="center"/>
              <w:rPr>
                <w:rFonts w:hint="eastAsia" w:asciiTheme="minorEastAsia" w:hAnsiTheme="minorEastAsia" w:eastAsiaTheme="minorEastAsia" w:cstheme="minorEastAsia"/>
                <w:b/>
                <w:bCs/>
                <w:color w:val="auto"/>
                <w:sz w:val="22"/>
                <w:szCs w:val="22"/>
              </w:rPr>
            </w:pPr>
            <w:r>
              <w:rPr>
                <w:rFonts w:hint="eastAsia" w:asciiTheme="minorEastAsia" w:hAnsiTheme="minorEastAsia" w:eastAsiaTheme="minorEastAsia" w:cstheme="minorEastAsia"/>
                <w:b/>
                <w:bCs/>
                <w:color w:val="auto"/>
                <w:sz w:val="22"/>
                <w:szCs w:val="22"/>
              </w:rPr>
              <w:t>扣分标准</w:t>
            </w:r>
          </w:p>
        </w:tc>
        <w:tc>
          <w:tcPr>
            <w:tcW w:w="777" w:type="dxa"/>
            <w:noWrap w:val="0"/>
            <w:vAlign w:val="center"/>
          </w:tcPr>
          <w:p>
            <w:pPr>
              <w:spacing w:line="240" w:lineRule="auto"/>
              <w:jc w:val="center"/>
              <w:rPr>
                <w:rFonts w:hint="eastAsia" w:asciiTheme="minorEastAsia" w:hAnsiTheme="minorEastAsia" w:eastAsiaTheme="minorEastAsia" w:cstheme="minorEastAsia"/>
                <w:b/>
                <w:bCs/>
                <w:color w:val="auto"/>
                <w:sz w:val="22"/>
                <w:szCs w:val="22"/>
                <w:lang w:eastAsia="zh-CN"/>
              </w:rPr>
            </w:pPr>
            <w:r>
              <w:rPr>
                <w:rFonts w:hint="eastAsia" w:asciiTheme="minorEastAsia" w:hAnsiTheme="minorEastAsia" w:eastAsiaTheme="minorEastAsia" w:cstheme="minorEastAsia"/>
                <w:b/>
                <w:bCs/>
                <w:color w:val="auto"/>
                <w:sz w:val="22"/>
                <w:szCs w:val="22"/>
                <w:lang w:val="en-US" w:eastAsia="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pPr>
              <w:spacing w:line="240" w:lineRule="auto"/>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员工管理</w:t>
            </w: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在岗时穿戴统一制服，仪容仪表规范整齐。文明工作，训练有素，认真负责。</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6</w:t>
            </w:r>
          </w:p>
        </w:tc>
        <w:tc>
          <w:tcPr>
            <w:tcW w:w="3547" w:type="dxa"/>
            <w:shd w:val="clear" w:color="auto" w:fill="auto"/>
            <w:noWrap w:val="0"/>
            <w:vAlign w:val="center"/>
          </w:tcPr>
          <w:p>
            <w:pPr>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未按规定着装，发现一次扣</w:t>
            </w:r>
            <w:r>
              <w:rPr>
                <w:rFonts w:hint="eastAsia" w:asciiTheme="minorEastAsia" w:hAnsiTheme="minorEastAsia" w:eastAsiaTheme="minorEastAsia" w:cstheme="minorEastAsia"/>
                <w:color w:val="auto"/>
                <w:sz w:val="22"/>
                <w:szCs w:val="22"/>
                <w:lang w:val="en-US" w:eastAsia="zh-CN"/>
              </w:rPr>
              <w:t>2</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遵纪守法,举止</w:t>
            </w:r>
            <w:r>
              <w:rPr>
                <w:rFonts w:hint="eastAsia" w:asciiTheme="minorEastAsia" w:hAnsiTheme="minorEastAsia" w:eastAsiaTheme="minorEastAsia" w:cstheme="minorEastAsia"/>
                <w:color w:val="auto"/>
                <w:sz w:val="22"/>
                <w:szCs w:val="22"/>
                <w:lang w:val="en-US" w:eastAsia="zh-CN"/>
              </w:rPr>
              <w:t>文明</w:t>
            </w:r>
            <w:r>
              <w:rPr>
                <w:rFonts w:hint="eastAsia" w:asciiTheme="minorEastAsia" w:hAnsiTheme="minorEastAsia" w:eastAsiaTheme="minorEastAsia" w:cstheme="minorEastAsia"/>
                <w:color w:val="auto"/>
                <w:kern w:val="2"/>
                <w:sz w:val="22"/>
                <w:szCs w:val="22"/>
                <w:lang w:val="en-US" w:eastAsia="zh-CN" w:bidi="ar-SA"/>
              </w:rPr>
              <w:t>,行为规范,注意维护形象。</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12</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举止不文明,与来</w:t>
            </w:r>
            <w:r>
              <w:rPr>
                <w:rFonts w:hint="eastAsia" w:asciiTheme="minorEastAsia" w:hAnsiTheme="minorEastAsia" w:eastAsiaTheme="minorEastAsia" w:cstheme="minorEastAsia"/>
                <w:color w:val="auto"/>
                <w:sz w:val="22"/>
                <w:szCs w:val="22"/>
                <w:lang w:val="en-US" w:eastAsia="zh-CN"/>
              </w:rPr>
              <w:t>访</w:t>
            </w:r>
            <w:r>
              <w:rPr>
                <w:rFonts w:hint="eastAsia" w:asciiTheme="minorEastAsia" w:hAnsiTheme="minorEastAsia" w:eastAsiaTheme="minorEastAsia" w:cstheme="minorEastAsia"/>
                <w:color w:val="auto"/>
                <w:sz w:val="22"/>
                <w:szCs w:val="22"/>
              </w:rPr>
              <w:t>人员争吵、无故无理冲撞甲方人员或其他有损形象的行为,每次扣3分。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工作积极主动，无迟到、早退、串岗、睡岗、闲坐偷懒、聊天、吃零食、在岗抽烟、玩手机、大声喧哗现象，私自挪用他人工具和财物、私拆他人信件快递、干私活，当班期间喝酒或酒后上岗等行为。</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6</w:t>
            </w:r>
          </w:p>
        </w:tc>
        <w:tc>
          <w:tcPr>
            <w:tcW w:w="3547" w:type="dxa"/>
            <w:shd w:val="clear" w:color="auto" w:fill="auto"/>
            <w:noWrap w:val="0"/>
            <w:vAlign w:val="center"/>
          </w:tcPr>
          <w:p>
            <w:pPr>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每发现一次扣</w:t>
            </w:r>
            <w:r>
              <w:rPr>
                <w:rFonts w:hint="eastAsia" w:asciiTheme="minorEastAsia" w:hAnsiTheme="minorEastAsia" w:eastAsiaTheme="minorEastAsia" w:cstheme="minorEastAsia"/>
                <w:color w:val="auto"/>
                <w:sz w:val="22"/>
                <w:szCs w:val="22"/>
                <w:lang w:val="en-US" w:eastAsia="zh-CN"/>
              </w:rPr>
              <w:t>2</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lang w:eastAsia="zh-CN"/>
              </w:rPr>
            </w:pPr>
            <w:r>
              <w:rPr>
                <w:rFonts w:hint="eastAsia" w:asciiTheme="minorEastAsia" w:hAnsiTheme="minorEastAsia" w:eastAsiaTheme="minorEastAsia" w:cstheme="minorEastAsia"/>
                <w:color w:val="auto"/>
                <w:sz w:val="22"/>
                <w:szCs w:val="22"/>
              </w:rPr>
              <w:t>按要求招录人员,并对</w:t>
            </w:r>
            <w:r>
              <w:rPr>
                <w:rFonts w:hint="eastAsia" w:asciiTheme="minorEastAsia" w:hAnsiTheme="minorEastAsia" w:eastAsiaTheme="minorEastAsia" w:cstheme="minorEastAsia"/>
                <w:color w:val="auto"/>
                <w:sz w:val="22"/>
                <w:szCs w:val="22"/>
                <w:lang w:val="en-US" w:eastAsia="zh-CN"/>
              </w:rPr>
              <w:t>工作</w:t>
            </w:r>
            <w:r>
              <w:rPr>
                <w:rFonts w:hint="eastAsia" w:asciiTheme="minorEastAsia" w:hAnsiTheme="minorEastAsia" w:eastAsiaTheme="minorEastAsia" w:cstheme="minorEastAsia"/>
                <w:color w:val="auto"/>
                <w:sz w:val="22"/>
                <w:szCs w:val="22"/>
              </w:rPr>
              <w:t>人员进行上岗培训和考核,按规定配足工作人员,并及时到岗到位</w:t>
            </w:r>
            <w:r>
              <w:rPr>
                <w:rFonts w:hint="eastAsia" w:asciiTheme="minorEastAsia" w:hAnsiTheme="minorEastAsia" w:eastAsiaTheme="minorEastAsia" w:cstheme="minorEastAsia"/>
                <w:color w:val="auto"/>
                <w:sz w:val="22"/>
                <w:szCs w:val="22"/>
                <w:lang w:eastAsia="zh-CN"/>
              </w:rPr>
              <w:t>。</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8</w:t>
            </w:r>
          </w:p>
        </w:tc>
        <w:tc>
          <w:tcPr>
            <w:tcW w:w="3547" w:type="dxa"/>
            <w:shd w:val="clear" w:color="auto" w:fill="auto"/>
            <w:noWrap w:val="0"/>
            <w:vAlign w:val="center"/>
          </w:tcPr>
          <w:p>
            <w:pPr>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lang w:val="en-US" w:eastAsia="zh-CN"/>
              </w:rPr>
              <w:t>未配备足够人员，没少1人扣2分</w:t>
            </w:r>
            <w:r>
              <w:rPr>
                <w:rFonts w:hint="eastAsia" w:asciiTheme="minorEastAsia" w:hAnsiTheme="minorEastAsia" w:eastAsiaTheme="minorEastAsia" w:cstheme="minorEastAsia"/>
                <w:color w:val="auto"/>
                <w:sz w:val="22"/>
                <w:szCs w:val="22"/>
              </w:rPr>
              <w:t>。</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pPr>
              <w:spacing w:line="240" w:lineRule="auto"/>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安全服务</w:t>
            </w: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lang w:val="en-US" w:eastAsia="zh-CN"/>
              </w:rPr>
              <w:t>保证24小时昼夜专人安保服务值班守护,工作人员要按规定时间地点要求巡查,确保责任区内设施、设备完好。按规定做好消控、安保器材维护及记录。夜间巡查、值班人员不得在工作时间内睡觉及做与工作无关的事情。</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lang w:val="en-US" w:eastAsia="zh-CN"/>
              </w:rPr>
              <w:t>16</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1.未按要求</w:t>
            </w:r>
            <w:r>
              <w:rPr>
                <w:rFonts w:hint="eastAsia" w:asciiTheme="minorEastAsia" w:hAnsiTheme="minorEastAsia" w:eastAsiaTheme="minorEastAsia" w:cstheme="minorEastAsia"/>
                <w:color w:val="auto"/>
                <w:sz w:val="22"/>
                <w:szCs w:val="22"/>
                <w:lang w:val="en-US" w:eastAsia="zh-CN"/>
              </w:rPr>
              <w:t>巡查</w:t>
            </w:r>
            <w:r>
              <w:rPr>
                <w:rFonts w:hint="eastAsia" w:asciiTheme="minorEastAsia" w:hAnsiTheme="minorEastAsia" w:eastAsiaTheme="minorEastAsia" w:cstheme="minorEastAsia"/>
                <w:color w:val="auto"/>
                <w:sz w:val="21"/>
                <w:szCs w:val="21"/>
                <w:lang w:val="en-US" w:eastAsia="zh-CN"/>
              </w:rPr>
              <w:t>和值勤的,每次扣2分。</w:t>
            </w:r>
          </w:p>
          <w:p>
            <w:pPr>
              <w:widowControl/>
              <w:adjustRightInd w:val="0"/>
              <w:snapToGrid w:val="0"/>
              <w:spacing w:line="240" w:lineRule="auto"/>
              <w:jc w:val="lef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2.对不文明行为未及时阻止的,每次扣2分。</w:t>
            </w:r>
          </w:p>
          <w:p>
            <w:pPr>
              <w:spacing w:line="240" w:lineRule="auto"/>
              <w:jc w:val="lef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3安全隐患未及时处置的,每次扣5分。</w:t>
            </w:r>
          </w:p>
          <w:p>
            <w:pPr>
              <w:spacing w:line="240" w:lineRule="auto"/>
              <w:jc w:val="lef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4.由于管理不善造其他设施、设备、被盗、被毁的,</w:t>
            </w:r>
            <w:r>
              <w:rPr>
                <w:rFonts w:hint="eastAsia" w:asciiTheme="minorEastAsia" w:hAnsiTheme="minorEastAsia" w:eastAsiaTheme="minorEastAsia" w:cstheme="minorEastAsia"/>
                <w:color w:val="auto"/>
                <w:sz w:val="22"/>
                <w:szCs w:val="22"/>
                <w:lang w:val="en-US" w:eastAsia="zh-CN"/>
              </w:rPr>
              <w:t>每次</w:t>
            </w:r>
            <w:r>
              <w:rPr>
                <w:rFonts w:hint="eastAsia" w:asciiTheme="minorEastAsia" w:hAnsiTheme="minorEastAsia" w:eastAsiaTheme="minorEastAsia" w:cstheme="minorEastAsia"/>
                <w:color w:val="auto"/>
                <w:sz w:val="21"/>
                <w:szCs w:val="21"/>
                <w:lang w:val="en-US" w:eastAsia="zh-CN"/>
              </w:rPr>
              <w:t xml:space="preserve">扣3分。                                       </w:t>
            </w:r>
          </w:p>
          <w:p>
            <w:pPr>
              <w:widowControl/>
              <w:adjustRightInd w:val="0"/>
              <w:snapToGrid w:val="0"/>
              <w:spacing w:line="240" w:lineRule="auto"/>
              <w:jc w:val="lef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5.未按规定做好消控、安保器材维护及记录的,每次扣3分。</w:t>
            </w:r>
          </w:p>
          <w:p>
            <w:pPr>
              <w:spacing w:line="240" w:lineRule="auto"/>
              <w:jc w:val="left"/>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sz w:val="21"/>
                <w:szCs w:val="21"/>
                <w:lang w:val="en-US" w:eastAsia="zh-CN"/>
              </w:rPr>
              <w:t>6.发生安保事故或消防隐患时未及时报警或处置不力,每次扣10分。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i w:val="0"/>
                <w:iCs w:val="0"/>
                <w:color w:val="000000"/>
                <w:kern w:val="0"/>
                <w:sz w:val="22"/>
                <w:szCs w:val="22"/>
                <w:u w:val="none"/>
                <w:lang w:val="en-US" w:eastAsia="zh-CN" w:bidi="ar"/>
              </w:rPr>
              <w:t>必须保证24</w:t>
            </w:r>
            <w:r>
              <w:rPr>
                <w:rFonts w:hint="eastAsia" w:asciiTheme="minorEastAsia" w:hAnsiTheme="minorEastAsia" w:eastAsiaTheme="minorEastAsia" w:cstheme="minorEastAsia"/>
                <w:color w:val="auto"/>
                <w:sz w:val="22"/>
                <w:szCs w:val="22"/>
                <w:lang w:val="en-US" w:eastAsia="zh-CN"/>
              </w:rPr>
              <w:t>小时</w:t>
            </w:r>
            <w:r>
              <w:rPr>
                <w:rFonts w:hint="eastAsia" w:asciiTheme="minorEastAsia" w:hAnsiTheme="minorEastAsia" w:eastAsiaTheme="minorEastAsia" w:cstheme="minorEastAsia"/>
                <w:i w:val="0"/>
                <w:iCs w:val="0"/>
                <w:color w:val="000000"/>
                <w:kern w:val="0"/>
                <w:sz w:val="22"/>
                <w:szCs w:val="22"/>
                <w:u w:val="none"/>
                <w:lang w:val="en-US" w:eastAsia="zh-CN" w:bidi="ar"/>
              </w:rPr>
              <w:t>昼夜专人安保服务值班守护,按规定及时开闭大门,各防区设防、撤防。</w:t>
            </w:r>
          </w:p>
        </w:tc>
        <w:tc>
          <w:tcPr>
            <w:tcW w:w="641" w:type="dxa"/>
            <w:shd w:val="clear" w:color="auto" w:fill="auto"/>
            <w:noWrap w:val="0"/>
            <w:vAlign w:val="center"/>
          </w:tcPr>
          <w:p>
            <w:pPr>
              <w:spacing w:line="240" w:lineRule="auto"/>
              <w:jc w:val="center"/>
              <w:rPr>
                <w:rFonts w:hint="default"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15</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color w:val="auto"/>
                <w:sz w:val="21"/>
                <w:szCs w:val="21"/>
                <w:lang w:val="en-US" w:eastAsia="zh-CN"/>
              </w:rPr>
              <w:t>1.未按规定开闭大门(门禁门)、展厅卷帘门等每次扣3分。                                             2.由于管理原因发生投诉造成影响的,每次扣3分。</w:t>
            </w:r>
            <w:r>
              <w:rPr>
                <w:rFonts w:hint="eastAsia" w:asciiTheme="minorEastAsia" w:hAnsiTheme="minorEastAsia" w:eastAsiaTheme="minorEastAsia" w:cstheme="minorEastAsia"/>
                <w:color w:val="auto"/>
                <w:sz w:val="21"/>
                <w:szCs w:val="21"/>
                <w:lang w:val="en-US" w:eastAsia="zh-CN"/>
              </w:rPr>
              <w:br w:type="textWrapping"/>
            </w:r>
            <w:r>
              <w:rPr>
                <w:rFonts w:hint="eastAsia" w:asciiTheme="minorEastAsia" w:hAnsiTheme="minorEastAsia" w:eastAsiaTheme="minorEastAsia" w:cstheme="minorEastAsia"/>
                <w:color w:val="auto"/>
                <w:sz w:val="21"/>
                <w:szCs w:val="21"/>
                <w:lang w:val="en-US" w:eastAsia="zh-CN"/>
              </w:rPr>
              <w:t>3.无故缺岗、脱岗、串岗、睡岗、聊天的,每次扣3分。</w:t>
            </w:r>
            <w:r>
              <w:rPr>
                <w:rFonts w:hint="eastAsia" w:asciiTheme="minorEastAsia" w:hAnsiTheme="minorEastAsia" w:eastAsiaTheme="minorEastAsia" w:cstheme="minorEastAsia"/>
                <w:color w:val="auto"/>
                <w:sz w:val="21"/>
                <w:szCs w:val="21"/>
                <w:lang w:val="en-US" w:eastAsia="zh-CN"/>
              </w:rPr>
              <w:br w:type="textWrapping"/>
            </w:r>
            <w:r>
              <w:rPr>
                <w:rFonts w:hint="eastAsia" w:asciiTheme="minorEastAsia" w:hAnsiTheme="minorEastAsia" w:eastAsiaTheme="minorEastAsia" w:cstheme="minorEastAsia"/>
                <w:color w:val="auto"/>
                <w:sz w:val="21"/>
                <w:szCs w:val="21"/>
                <w:lang w:val="en-US" w:eastAsia="zh-CN"/>
              </w:rPr>
              <w:t>4.大楼内清场后未按规定及时布防的,每次扣5分,造成严重影响的每次扣10分。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i w:val="0"/>
                <w:iCs w:val="0"/>
                <w:color w:val="000000"/>
                <w:kern w:val="0"/>
                <w:sz w:val="22"/>
                <w:szCs w:val="22"/>
                <w:u w:val="none"/>
                <w:lang w:val="en-US" w:eastAsia="zh-CN" w:bidi="ar"/>
              </w:rPr>
              <w:t>时刻注意出入大厅人员,谨慎询问和检查可疑人或物,必要时可视情况将可疑人员或物品滞留并上报。禁止各类推销、宣传等闲杂人员进入。</w:t>
            </w:r>
          </w:p>
        </w:tc>
        <w:tc>
          <w:tcPr>
            <w:tcW w:w="641" w:type="dxa"/>
            <w:shd w:val="clear" w:color="auto" w:fill="auto"/>
            <w:noWrap w:val="0"/>
            <w:vAlign w:val="center"/>
          </w:tcPr>
          <w:p>
            <w:pPr>
              <w:spacing w:line="240" w:lineRule="auto"/>
              <w:jc w:val="center"/>
              <w:rPr>
                <w:rFonts w:hint="default"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10</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1"/>
                <w:szCs w:val="21"/>
                <w:lang w:val="en-US" w:eastAsia="zh-CN" w:bidi="ar-SA"/>
              </w:rPr>
            </w:pPr>
            <w:r>
              <w:rPr>
                <w:rFonts w:hint="eastAsia" w:asciiTheme="minorEastAsia" w:hAnsiTheme="minorEastAsia" w:eastAsiaTheme="minorEastAsia" w:cstheme="minorEastAsia"/>
                <w:i w:val="0"/>
                <w:iCs w:val="0"/>
                <w:color w:val="000000"/>
                <w:kern w:val="0"/>
                <w:sz w:val="21"/>
                <w:szCs w:val="21"/>
                <w:u w:val="none"/>
                <w:lang w:val="en-US" w:eastAsia="zh-CN" w:bidi="ar"/>
              </w:rPr>
              <w:t>1.由于管理疏忽未能及时发现可疑的人或物品的,每次扣2分。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2.未将可疑人员或物品进入情况及时上报的,每次扣5分。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3.因对可疑人员或物品发现不及时造成严重后果的,每次扣10分。                                                       4.未能控制导致推销、宣传等闲杂人员进入办公区域的,每次扣2分。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pPr>
              <w:spacing w:line="240" w:lineRule="auto"/>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bCs/>
                <w:color w:val="auto"/>
                <w:sz w:val="22"/>
                <w:szCs w:val="22"/>
              </w:rPr>
              <w:t>保洁服务</w:t>
            </w: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lang w:eastAsia="zh-CN"/>
              </w:rPr>
            </w:pPr>
            <w:r>
              <w:rPr>
                <w:rFonts w:hint="eastAsia" w:asciiTheme="minorEastAsia" w:hAnsiTheme="minorEastAsia" w:eastAsiaTheme="minorEastAsia" w:cstheme="minorEastAsia"/>
                <w:color w:val="auto"/>
                <w:sz w:val="22"/>
                <w:szCs w:val="22"/>
              </w:rPr>
              <w:t>保持服务区域卫生整洁</w:t>
            </w:r>
            <w:r>
              <w:rPr>
                <w:rFonts w:hint="eastAsia" w:asciiTheme="minorEastAsia" w:hAnsiTheme="minorEastAsia" w:eastAsiaTheme="minorEastAsia" w:cstheme="minorEastAsia"/>
                <w:color w:val="auto"/>
                <w:sz w:val="22"/>
                <w:szCs w:val="22"/>
                <w:lang w:eastAsia="zh-CN"/>
              </w:rPr>
              <w:t>。</w:t>
            </w:r>
          </w:p>
        </w:tc>
        <w:tc>
          <w:tcPr>
            <w:tcW w:w="641" w:type="dxa"/>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15</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i w:val="0"/>
                <w:iCs w:val="0"/>
                <w:color w:val="000000"/>
                <w:kern w:val="0"/>
                <w:sz w:val="21"/>
                <w:szCs w:val="21"/>
                <w:u w:val="none"/>
                <w:lang w:val="en-US" w:eastAsia="zh-CN" w:bidi="ar"/>
              </w:rPr>
              <w:t>1.未按规定要求完成保洁工作的,每次扣2分。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2.公共部位或公共场所发现卫生不洁、地面有杂物的,每次扣1分。                                         3.未及时清洁垃圾箱或垃圾桶造成周围环境污染的,每次扣1分。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4.公共卫生间发现成片水迹未及时处理的,每次扣1分。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5.未按规定要求开展除“四害”活动的,扣5分。</w:t>
            </w:r>
            <w:r>
              <w:rPr>
                <w:rFonts w:hint="eastAsia" w:asciiTheme="minorEastAsia" w:hAnsiTheme="minorEastAsia" w:eastAsiaTheme="minorEastAsia" w:cstheme="minorEastAsia"/>
                <w:i w:val="0"/>
                <w:iCs w:val="0"/>
                <w:color w:val="000000"/>
                <w:kern w:val="0"/>
                <w:sz w:val="21"/>
                <w:szCs w:val="21"/>
                <w:u w:val="none"/>
                <w:lang w:val="en-US" w:eastAsia="zh-CN" w:bidi="ar"/>
              </w:rPr>
              <w:br w:type="textWrapping"/>
            </w:r>
            <w:r>
              <w:rPr>
                <w:rFonts w:hint="eastAsia" w:asciiTheme="minorEastAsia" w:hAnsiTheme="minorEastAsia" w:eastAsiaTheme="minorEastAsia" w:cstheme="minorEastAsia"/>
                <w:i w:val="0"/>
                <w:iCs w:val="0"/>
                <w:color w:val="000000"/>
                <w:kern w:val="0"/>
                <w:sz w:val="21"/>
                <w:szCs w:val="21"/>
                <w:u w:val="none"/>
                <w:lang w:val="en-US" w:eastAsia="zh-CN" w:bidi="ar"/>
              </w:rPr>
              <w:t>6.如遇上级卫生检查被上级部门通报的,每次扣10分。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按要求放置洗手液、檀香</w:t>
            </w:r>
            <w:r>
              <w:rPr>
                <w:rFonts w:hint="eastAsia" w:asciiTheme="minorEastAsia" w:hAnsiTheme="minorEastAsia" w:eastAsiaTheme="minorEastAsia" w:cstheme="minorEastAsia"/>
                <w:color w:val="auto"/>
                <w:sz w:val="22"/>
                <w:szCs w:val="22"/>
                <w:lang w:eastAsia="zh-CN"/>
              </w:rPr>
              <w:t>、垃圾袋</w:t>
            </w:r>
            <w:r>
              <w:rPr>
                <w:rFonts w:hint="eastAsia" w:asciiTheme="minorEastAsia" w:hAnsiTheme="minorEastAsia" w:eastAsiaTheme="minorEastAsia" w:cstheme="minorEastAsia"/>
                <w:color w:val="auto"/>
                <w:sz w:val="22"/>
                <w:szCs w:val="22"/>
              </w:rPr>
              <w:t>等保洁耗材，如使用完毕，需立即更换。</w:t>
            </w:r>
          </w:p>
        </w:tc>
        <w:tc>
          <w:tcPr>
            <w:tcW w:w="641" w:type="dxa"/>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6</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未按要求及时放置，发现一次扣</w:t>
            </w:r>
            <w:r>
              <w:rPr>
                <w:rFonts w:hint="eastAsia" w:asciiTheme="minorEastAsia" w:hAnsiTheme="minorEastAsia" w:eastAsiaTheme="minorEastAsia" w:cstheme="minorEastAsia"/>
                <w:color w:val="auto"/>
                <w:sz w:val="22"/>
                <w:szCs w:val="22"/>
                <w:lang w:val="en-US" w:eastAsia="zh-CN"/>
              </w:rPr>
              <w:t>2</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垃圾应按照可回收物、有害垃圾、易腐垃圾和其他垃圾进行分类，对应垃圾桶颜色分别为蓝色、红色、绿色和灰色。</w:t>
            </w:r>
          </w:p>
        </w:tc>
        <w:tc>
          <w:tcPr>
            <w:tcW w:w="641" w:type="dxa"/>
            <w:noWrap w:val="0"/>
            <w:vAlign w:val="center"/>
          </w:tcPr>
          <w:p>
            <w:pPr>
              <w:spacing w:line="240" w:lineRule="auto"/>
              <w:jc w:val="center"/>
              <w:rPr>
                <w:rFonts w:hint="eastAsia" w:asciiTheme="minorEastAsia" w:hAnsiTheme="minorEastAsia" w:eastAsiaTheme="minorEastAsia" w:cstheme="minorEastAsia"/>
                <w:color w:val="auto"/>
                <w:sz w:val="22"/>
                <w:szCs w:val="22"/>
                <w:lang w:val="en-US" w:eastAsia="zh-CN"/>
              </w:rPr>
            </w:pPr>
            <w:r>
              <w:rPr>
                <w:rFonts w:hint="eastAsia" w:asciiTheme="minorEastAsia" w:hAnsiTheme="minorEastAsia" w:eastAsiaTheme="minorEastAsia" w:cstheme="minorEastAsia"/>
                <w:color w:val="auto"/>
                <w:sz w:val="22"/>
                <w:szCs w:val="22"/>
                <w:lang w:val="en-US" w:eastAsia="zh-CN"/>
              </w:rPr>
              <w:t>6</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未按要求进行垃圾分类，发现一次扣</w:t>
            </w:r>
            <w:r>
              <w:rPr>
                <w:rFonts w:hint="eastAsia" w:asciiTheme="minorEastAsia" w:hAnsiTheme="minorEastAsia" w:eastAsiaTheme="minorEastAsia" w:cstheme="minorEastAsia"/>
                <w:color w:val="auto"/>
                <w:sz w:val="22"/>
                <w:szCs w:val="22"/>
                <w:lang w:val="en-US" w:eastAsia="zh-CN"/>
              </w:rPr>
              <w:t>2</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pPr>
              <w:spacing w:line="240" w:lineRule="auto"/>
              <w:jc w:val="center"/>
              <w:rPr>
                <w:rFonts w:hint="eastAsia" w:asciiTheme="minorEastAsia" w:hAnsiTheme="minorEastAsia" w:eastAsiaTheme="minorEastAsia" w:cstheme="minorEastAsia"/>
                <w:color w:val="auto"/>
                <w:sz w:val="22"/>
                <w:szCs w:val="22"/>
                <w:lang w:eastAsia="zh-CN"/>
              </w:rPr>
            </w:pPr>
            <w:r>
              <w:rPr>
                <w:rFonts w:hint="eastAsia" w:asciiTheme="minorEastAsia" w:hAnsiTheme="minorEastAsia" w:eastAsiaTheme="minorEastAsia" w:cstheme="minorEastAsia"/>
                <w:color w:val="auto"/>
                <w:sz w:val="22"/>
                <w:szCs w:val="22"/>
                <w:lang w:val="en-US" w:eastAsia="zh-CN"/>
              </w:rPr>
              <w:t>倒扣分</w:t>
            </w: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不发生新闻曝光、区级以上部门通报批评。</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10</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每通报一起扣</w:t>
            </w:r>
            <w:r>
              <w:rPr>
                <w:rFonts w:hint="eastAsia" w:asciiTheme="minorEastAsia" w:hAnsiTheme="minorEastAsia" w:eastAsiaTheme="minorEastAsia" w:cstheme="minorEastAsia"/>
                <w:color w:val="auto"/>
                <w:sz w:val="22"/>
                <w:szCs w:val="22"/>
                <w:lang w:val="en-US" w:eastAsia="zh-CN"/>
              </w:rPr>
              <w:t>10</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不发生机关办线</w:t>
            </w:r>
            <w:r>
              <w:rPr>
                <w:rFonts w:hint="eastAsia" w:asciiTheme="minorEastAsia" w:hAnsiTheme="minorEastAsia" w:eastAsiaTheme="minorEastAsia" w:cstheme="minorEastAsia"/>
                <w:color w:val="auto"/>
                <w:sz w:val="22"/>
                <w:szCs w:val="22"/>
                <w:lang w:eastAsia="zh-CN"/>
              </w:rPr>
              <w:t>、</w:t>
            </w:r>
            <w:r>
              <w:rPr>
                <w:rFonts w:hint="eastAsia" w:asciiTheme="minorEastAsia" w:hAnsiTheme="minorEastAsia" w:eastAsiaTheme="minorEastAsia" w:cstheme="minorEastAsia"/>
                <w:color w:val="auto"/>
                <w:sz w:val="22"/>
                <w:szCs w:val="22"/>
                <w:lang w:val="en-US" w:eastAsia="zh-CN"/>
              </w:rPr>
              <w:t>群众、员工等</w:t>
            </w:r>
            <w:r>
              <w:rPr>
                <w:rFonts w:hint="eastAsia" w:asciiTheme="minorEastAsia" w:hAnsiTheme="minorEastAsia" w:eastAsiaTheme="minorEastAsia" w:cstheme="minorEastAsia"/>
                <w:color w:val="auto"/>
                <w:sz w:val="22"/>
                <w:szCs w:val="22"/>
              </w:rPr>
              <w:t>投诉事件。</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10</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每通报一起扣</w:t>
            </w:r>
            <w:r>
              <w:rPr>
                <w:rFonts w:hint="eastAsia" w:asciiTheme="minorEastAsia" w:hAnsiTheme="minorEastAsia" w:eastAsiaTheme="minorEastAsia" w:cstheme="minorEastAsia"/>
                <w:color w:val="auto"/>
                <w:sz w:val="22"/>
                <w:szCs w:val="22"/>
                <w:lang w:val="en-US" w:eastAsia="zh-CN"/>
              </w:rPr>
              <w:t>5</w:t>
            </w:r>
            <w:r>
              <w:rPr>
                <w:rFonts w:hint="eastAsia" w:asciiTheme="minorEastAsia" w:hAnsiTheme="minorEastAsia" w:eastAsiaTheme="minorEastAsia" w:cstheme="minorEastAsia"/>
                <w:color w:val="auto"/>
                <w:sz w:val="22"/>
                <w:szCs w:val="22"/>
              </w:rPr>
              <w:t>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pPr>
              <w:spacing w:line="240" w:lineRule="auto"/>
              <w:jc w:val="center"/>
              <w:rPr>
                <w:rFonts w:hint="eastAsia" w:asciiTheme="minorEastAsia" w:hAnsiTheme="minorEastAsia" w:eastAsiaTheme="minorEastAsia" w:cstheme="minorEastAsia"/>
                <w:color w:val="auto"/>
                <w:sz w:val="22"/>
                <w:szCs w:val="22"/>
              </w:rPr>
            </w:pPr>
          </w:p>
        </w:tc>
        <w:tc>
          <w:tcPr>
            <w:tcW w:w="3950"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不发生由物业公司管理不当造成的刑事案件、治安案件、违法犯罪行为和影响社会稳定的群体性事件</w:t>
            </w:r>
            <w:r>
              <w:rPr>
                <w:rFonts w:hint="eastAsia" w:asciiTheme="minorEastAsia" w:hAnsiTheme="minorEastAsia" w:eastAsiaTheme="minorEastAsia" w:cstheme="minorEastAsia"/>
                <w:color w:val="auto"/>
                <w:sz w:val="22"/>
                <w:szCs w:val="22"/>
                <w:lang w:eastAsia="zh-CN"/>
              </w:rPr>
              <w:t>、</w:t>
            </w:r>
            <w:r>
              <w:rPr>
                <w:rFonts w:hint="eastAsia" w:asciiTheme="minorEastAsia" w:hAnsiTheme="minorEastAsia" w:eastAsiaTheme="minorEastAsia" w:cstheme="minorEastAsia"/>
                <w:color w:val="auto"/>
                <w:sz w:val="22"/>
                <w:szCs w:val="22"/>
                <w:lang w:val="en-US" w:eastAsia="zh-CN"/>
              </w:rPr>
              <w:t>安全事故等</w:t>
            </w:r>
            <w:r>
              <w:rPr>
                <w:rFonts w:hint="eastAsia" w:asciiTheme="minorEastAsia" w:hAnsiTheme="minorEastAsia" w:eastAsiaTheme="minorEastAsia" w:cstheme="minorEastAsia"/>
                <w:color w:val="auto"/>
                <w:sz w:val="22"/>
                <w:szCs w:val="22"/>
              </w:rPr>
              <w:t>。</w:t>
            </w:r>
          </w:p>
        </w:tc>
        <w:tc>
          <w:tcPr>
            <w:tcW w:w="641" w:type="dxa"/>
            <w:shd w:val="clear" w:color="auto" w:fill="auto"/>
            <w:noWrap w:val="0"/>
            <w:vAlign w:val="center"/>
          </w:tcPr>
          <w:p>
            <w:pPr>
              <w:spacing w:line="240" w:lineRule="auto"/>
              <w:jc w:val="center"/>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kern w:val="2"/>
                <w:sz w:val="22"/>
                <w:szCs w:val="22"/>
                <w:lang w:val="en-US" w:eastAsia="zh-CN" w:bidi="ar-SA"/>
              </w:rPr>
              <w:t>10</w:t>
            </w:r>
          </w:p>
        </w:tc>
        <w:tc>
          <w:tcPr>
            <w:tcW w:w="3547" w:type="dxa"/>
            <w:shd w:val="clear" w:color="auto" w:fill="auto"/>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2"/>
                <w:sz w:val="22"/>
                <w:szCs w:val="22"/>
                <w:lang w:val="en-US" w:eastAsia="zh-CN" w:bidi="ar-SA"/>
              </w:rPr>
            </w:pPr>
            <w:r>
              <w:rPr>
                <w:rFonts w:hint="eastAsia" w:asciiTheme="minorEastAsia" w:hAnsiTheme="minorEastAsia" w:eastAsiaTheme="minorEastAsia" w:cstheme="minorEastAsia"/>
                <w:color w:val="auto"/>
                <w:sz w:val="22"/>
                <w:szCs w:val="22"/>
              </w:rPr>
              <w:t>每发生一起根据严重程度，扣3-10分</w:t>
            </w: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restart"/>
            <w:noWrap w:val="0"/>
            <w:vAlign w:val="center"/>
          </w:tcPr>
          <w:p>
            <w:pPr>
              <w:spacing w:line="240" w:lineRule="auto"/>
              <w:jc w:val="center"/>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附加分</w:t>
            </w: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sz w:val="22"/>
                <w:szCs w:val="22"/>
              </w:rPr>
              <w:t>凡物业管理科学规范，受到区级及以上有关行业主管部门表彰、表扬的，</w:t>
            </w:r>
            <w:r>
              <w:rPr>
                <w:rFonts w:hint="eastAsia" w:asciiTheme="minorEastAsia" w:hAnsiTheme="minorEastAsia" w:eastAsiaTheme="minorEastAsia" w:cstheme="minorEastAsia"/>
                <w:color w:val="auto"/>
                <w:sz w:val="22"/>
                <w:szCs w:val="22"/>
                <w:lang w:val="en-US" w:eastAsia="zh-CN"/>
              </w:rPr>
              <w:t>每次</w:t>
            </w:r>
            <w:r>
              <w:rPr>
                <w:rFonts w:hint="eastAsia" w:asciiTheme="minorEastAsia" w:hAnsiTheme="minorEastAsia" w:eastAsiaTheme="minorEastAsia" w:cstheme="minorEastAsia"/>
                <w:color w:val="auto"/>
                <w:sz w:val="22"/>
                <w:szCs w:val="22"/>
              </w:rPr>
              <w:t>加</w:t>
            </w:r>
            <w:r>
              <w:rPr>
                <w:rFonts w:hint="eastAsia" w:asciiTheme="minorEastAsia" w:hAnsiTheme="minorEastAsia" w:eastAsiaTheme="minorEastAsia" w:cstheme="minorEastAsia"/>
                <w:color w:val="auto"/>
                <w:kern w:val="0"/>
                <w:sz w:val="22"/>
                <w:szCs w:val="22"/>
              </w:rPr>
              <w:t>5</w:t>
            </w:r>
            <w:r>
              <w:rPr>
                <w:rFonts w:hint="eastAsia" w:asciiTheme="minorEastAsia" w:hAnsiTheme="minorEastAsia" w:eastAsiaTheme="minorEastAsia" w:cstheme="minorEastAsia"/>
                <w:color w:val="auto"/>
                <w:sz w:val="22"/>
                <w:szCs w:val="22"/>
              </w:rPr>
              <w:t>分。</w:t>
            </w:r>
          </w:p>
        </w:tc>
        <w:tc>
          <w:tcPr>
            <w:tcW w:w="641" w:type="dxa"/>
            <w:noWrap w:val="0"/>
            <w:vAlign w:val="center"/>
          </w:tcPr>
          <w:p>
            <w:pPr>
              <w:widowControl/>
              <w:adjustRightInd w:val="0"/>
              <w:snapToGrid w:val="0"/>
              <w:spacing w:line="240" w:lineRule="auto"/>
              <w:jc w:val="center"/>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10</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0"/>
                <w:sz w:val="22"/>
                <w:szCs w:val="22"/>
              </w:rPr>
            </w:pP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配合</w:t>
            </w:r>
            <w:r>
              <w:rPr>
                <w:rFonts w:hint="eastAsia" w:asciiTheme="minorEastAsia" w:hAnsiTheme="minorEastAsia" w:eastAsiaTheme="minorEastAsia" w:cstheme="minorEastAsia"/>
                <w:color w:val="auto"/>
                <w:sz w:val="22"/>
                <w:szCs w:val="22"/>
                <w:lang w:eastAsia="zh-CN"/>
              </w:rPr>
              <w:t>甲方</w:t>
            </w:r>
            <w:r>
              <w:rPr>
                <w:rFonts w:hint="eastAsia" w:asciiTheme="minorEastAsia" w:hAnsiTheme="minorEastAsia" w:eastAsiaTheme="minorEastAsia" w:cstheme="minorEastAsia"/>
                <w:color w:val="auto"/>
                <w:sz w:val="22"/>
                <w:szCs w:val="22"/>
              </w:rPr>
              <w:t>做好上级布置的额外的突击性任务的，可视任务轻重加分。</w:t>
            </w:r>
          </w:p>
        </w:tc>
        <w:tc>
          <w:tcPr>
            <w:tcW w:w="641" w:type="dxa"/>
            <w:noWrap w:val="0"/>
            <w:vAlign w:val="center"/>
          </w:tcPr>
          <w:p>
            <w:pPr>
              <w:widowControl/>
              <w:adjustRightInd w:val="0"/>
              <w:snapToGrid w:val="0"/>
              <w:spacing w:line="240" w:lineRule="auto"/>
              <w:jc w:val="center"/>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10</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0"/>
                <w:sz w:val="22"/>
                <w:szCs w:val="22"/>
              </w:rPr>
            </w:pPr>
          </w:p>
        </w:tc>
        <w:tc>
          <w:tcPr>
            <w:tcW w:w="777" w:type="dxa"/>
            <w:noWrap w:val="0"/>
            <w:vAlign w:val="center"/>
          </w:tcPr>
          <w:p>
            <w:pPr>
              <w:spacing w:line="240" w:lineRule="auto"/>
              <w:jc w:val="center"/>
              <w:rPr>
                <w:rFonts w:hint="eastAsia" w:asciiTheme="minorEastAsia" w:hAnsiTheme="minorEastAsia" w:eastAsiaTheme="minorEastAsia" w:cstheme="minorEastAsia"/>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2" w:type="dxa"/>
            <w:vMerge w:val="continue"/>
            <w:noWrap w:val="0"/>
            <w:vAlign w:val="top"/>
          </w:tcPr>
          <w:p>
            <w:pPr>
              <w:spacing w:line="240" w:lineRule="auto"/>
              <w:jc w:val="center"/>
              <w:rPr>
                <w:rFonts w:hint="eastAsia" w:asciiTheme="minorEastAsia" w:hAnsiTheme="minorEastAsia" w:eastAsiaTheme="minorEastAsia" w:cstheme="minorEastAsia"/>
                <w:color w:val="auto"/>
                <w:sz w:val="22"/>
                <w:szCs w:val="22"/>
              </w:rPr>
            </w:pPr>
          </w:p>
        </w:tc>
        <w:tc>
          <w:tcPr>
            <w:tcW w:w="3950"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0"/>
                <w:sz w:val="22"/>
                <w:szCs w:val="22"/>
              </w:rPr>
            </w:pPr>
            <w:r>
              <w:rPr>
                <w:rFonts w:hint="eastAsia" w:asciiTheme="minorEastAsia" w:hAnsiTheme="minorEastAsia" w:eastAsiaTheme="minorEastAsia" w:cstheme="minorEastAsia"/>
                <w:color w:val="auto"/>
                <w:sz w:val="22"/>
                <w:szCs w:val="22"/>
              </w:rPr>
              <w:t>其他经工作考核小组认定可以加分的事项，按情况予以加分。</w:t>
            </w:r>
          </w:p>
        </w:tc>
        <w:tc>
          <w:tcPr>
            <w:tcW w:w="641" w:type="dxa"/>
            <w:noWrap w:val="0"/>
            <w:vAlign w:val="center"/>
          </w:tcPr>
          <w:p>
            <w:pPr>
              <w:widowControl/>
              <w:adjustRightInd w:val="0"/>
              <w:snapToGrid w:val="0"/>
              <w:spacing w:line="240" w:lineRule="auto"/>
              <w:jc w:val="center"/>
              <w:rPr>
                <w:rFonts w:hint="eastAsia" w:asciiTheme="minorEastAsia" w:hAnsiTheme="minorEastAsia" w:eastAsiaTheme="minorEastAsia" w:cstheme="minorEastAsia"/>
                <w:color w:val="auto"/>
                <w:kern w:val="0"/>
                <w:sz w:val="22"/>
                <w:szCs w:val="22"/>
                <w:lang w:val="en-US" w:eastAsia="zh-CN"/>
              </w:rPr>
            </w:pPr>
            <w:r>
              <w:rPr>
                <w:rFonts w:hint="eastAsia" w:asciiTheme="minorEastAsia" w:hAnsiTheme="minorEastAsia" w:eastAsiaTheme="minorEastAsia" w:cstheme="minorEastAsia"/>
                <w:color w:val="auto"/>
                <w:kern w:val="0"/>
                <w:sz w:val="22"/>
                <w:szCs w:val="22"/>
                <w:lang w:val="en-US" w:eastAsia="zh-CN"/>
              </w:rPr>
              <w:t>10</w:t>
            </w:r>
          </w:p>
        </w:tc>
        <w:tc>
          <w:tcPr>
            <w:tcW w:w="3547" w:type="dxa"/>
            <w:noWrap w:val="0"/>
            <w:vAlign w:val="center"/>
          </w:tcPr>
          <w:p>
            <w:pPr>
              <w:widowControl/>
              <w:adjustRightInd w:val="0"/>
              <w:snapToGrid w:val="0"/>
              <w:spacing w:line="240" w:lineRule="auto"/>
              <w:jc w:val="left"/>
              <w:rPr>
                <w:rFonts w:hint="eastAsia" w:asciiTheme="minorEastAsia" w:hAnsiTheme="minorEastAsia" w:eastAsiaTheme="minorEastAsia" w:cstheme="minorEastAsia"/>
                <w:color w:val="auto"/>
                <w:kern w:val="0"/>
                <w:sz w:val="22"/>
                <w:szCs w:val="22"/>
              </w:rPr>
            </w:pPr>
          </w:p>
        </w:tc>
        <w:tc>
          <w:tcPr>
            <w:tcW w:w="777" w:type="dxa"/>
            <w:noWrap w:val="0"/>
            <w:vAlign w:val="top"/>
          </w:tcPr>
          <w:p>
            <w:pPr>
              <w:spacing w:line="240" w:lineRule="auto"/>
              <w:jc w:val="center"/>
              <w:rPr>
                <w:rFonts w:hint="eastAsia" w:asciiTheme="minorEastAsia" w:hAnsiTheme="minorEastAsia" w:eastAsiaTheme="minorEastAsia" w:cstheme="minorEastAsia"/>
                <w:color w:val="auto"/>
                <w:sz w:val="22"/>
                <w:szCs w:val="22"/>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考核人：                                          考核时间：</w:t>
      </w:r>
    </w:p>
    <w:p>
      <w:pPr>
        <w:keepNext w:val="0"/>
        <w:keepLines w:val="0"/>
        <w:pageBreakBefore w:val="0"/>
        <w:numPr>
          <w:ilvl w:val="0"/>
          <w:numId w:val="0"/>
        </w:numPr>
        <w:kinsoku/>
        <w:wordWrap/>
        <w:overflowPunct/>
        <w:topLinePunct w:val="0"/>
        <w:autoSpaceDE/>
        <w:autoSpaceDN/>
        <w:bidi w:val="0"/>
        <w:adjustRightInd w:val="0"/>
        <w:spacing w:line="460" w:lineRule="exact"/>
        <w:ind w:leftChars="200"/>
        <w:rPr>
          <w:rFonts w:hint="eastAsia" w:ascii="宋体" w:hAnsi="宋体" w:eastAsia="宋体" w:cs="宋体"/>
          <w:color w:val="auto"/>
          <w:sz w:val="24"/>
          <w:lang w:val="en-US" w:eastAsia="zh-CN"/>
        </w:rPr>
      </w:pPr>
    </w:p>
    <w:p>
      <w:pPr>
        <w:pStyle w:val="2"/>
        <w:jc w:val="center"/>
        <w:rPr>
          <w:rFonts w:hint="eastAsia"/>
          <w:color w:val="auto"/>
          <w:highlight w:val="none"/>
        </w:rPr>
      </w:pPr>
    </w:p>
    <w:p>
      <w:pPr>
        <w:pStyle w:val="3"/>
        <w:rPr>
          <w:rFonts w:hint="eastAsia"/>
          <w:color w:val="auto"/>
        </w:rPr>
      </w:pPr>
    </w:p>
    <w:p>
      <w:pPr>
        <w:pStyle w:val="2"/>
        <w:jc w:val="center"/>
        <w:rPr>
          <w:rFonts w:hint="eastAsia"/>
          <w:color w:val="auto"/>
          <w:highlight w:val="none"/>
        </w:rPr>
        <w:sectPr>
          <w:pgSz w:w="11906" w:h="16838"/>
          <w:pgMar w:top="1440" w:right="1800" w:bottom="1440" w:left="1800" w:header="851" w:footer="992" w:gutter="0"/>
          <w:cols w:space="425" w:num="1"/>
          <w:docGrid w:type="lines" w:linePitch="312" w:charSpace="0"/>
        </w:sectPr>
      </w:pPr>
    </w:p>
    <w:p>
      <w:pPr>
        <w:pStyle w:val="2"/>
        <w:jc w:val="center"/>
        <w:rPr>
          <w:rFonts w:hint="default" w:eastAsia="宋体"/>
          <w:color w:val="auto"/>
          <w:highlight w:val="none"/>
          <w:lang w:val="en-US" w:eastAsia="zh-CN"/>
        </w:rPr>
      </w:pPr>
      <w:bookmarkStart w:id="77" w:name="_Toc17345"/>
      <w:r>
        <w:rPr>
          <w:rFonts w:hint="eastAsia"/>
          <w:color w:val="auto"/>
          <w:highlight w:val="none"/>
          <w:lang w:val="en-US" w:eastAsia="zh-CN"/>
        </w:rPr>
        <w:t xml:space="preserve">第二章 </w:t>
      </w:r>
      <w:r>
        <w:rPr>
          <w:rFonts w:hint="eastAsia"/>
          <w:color w:val="auto"/>
          <w:highlight w:val="none"/>
        </w:rPr>
        <w:t>付款方式</w:t>
      </w:r>
      <w:r>
        <w:rPr>
          <w:rFonts w:hint="eastAsia"/>
          <w:color w:val="auto"/>
          <w:highlight w:val="none"/>
          <w:lang w:val="en-US" w:eastAsia="zh-CN"/>
        </w:rPr>
        <w:t>及要求</w:t>
      </w:r>
      <w:bookmarkEnd w:id="77"/>
    </w:p>
    <w:bookmarkEnd w:id="73"/>
    <w:bookmarkEnd w:id="74"/>
    <w:bookmarkEnd w:id="75"/>
    <w:p>
      <w:pPr>
        <w:keepNext w:val="0"/>
        <w:keepLines w:val="0"/>
        <w:pageBreakBefore w:val="0"/>
        <w:widowControl w:val="0"/>
        <w:numPr>
          <w:ilvl w:val="0"/>
          <w:numId w:val="19"/>
        </w:numPr>
        <w:kinsoku/>
        <w:wordWrap/>
        <w:overflowPunct/>
        <w:topLinePunct w:val="0"/>
        <w:autoSpaceDE w:val="0"/>
        <w:autoSpaceDN w:val="0"/>
        <w:bidi w:val="0"/>
        <w:adjustRightInd w:val="0"/>
        <w:snapToGrid/>
        <w:spacing w:line="360" w:lineRule="auto"/>
        <w:ind w:leftChars="0" w:firstLine="482" w:firstLineChars="200"/>
        <w:jc w:val="left"/>
        <w:textAlignment w:val="auto"/>
        <w:rPr>
          <w:rFonts w:ascii="宋体" w:hAnsi="宋体" w:cs="宋体"/>
          <w:b/>
          <w:bCs/>
          <w:color w:val="auto"/>
          <w:sz w:val="24"/>
          <w:highlight w:val="none"/>
          <w:lang w:val="zh-CN"/>
        </w:rPr>
      </w:pPr>
      <w:r>
        <w:rPr>
          <w:rFonts w:hint="eastAsia" w:ascii="宋体" w:hAnsi="宋体" w:cs="宋体"/>
          <w:b/>
          <w:bCs/>
          <w:color w:val="auto"/>
          <w:sz w:val="24"/>
          <w:highlight w:val="none"/>
        </w:rPr>
        <w:t>付款方式</w:t>
      </w:r>
    </w:p>
    <w:p>
      <w:pPr>
        <w:keepNext w:val="0"/>
        <w:keepLines w:val="0"/>
        <w:pageBreakBefore w:val="0"/>
        <w:widowControl w:val="0"/>
        <w:numPr>
          <w:ilvl w:val="0"/>
          <w:numId w:val="0"/>
        </w:numPr>
        <w:kinsoku/>
        <w:wordWrap/>
        <w:overflowPunct/>
        <w:topLinePunct w:val="0"/>
        <w:bidi w:val="0"/>
        <w:snapToGrid/>
        <w:spacing w:line="360" w:lineRule="auto"/>
        <w:ind w:firstLine="480" w:firstLineChars="200"/>
        <w:jc w:val="left"/>
        <w:textAlignment w:val="auto"/>
        <w:rPr>
          <w:rFonts w:hint="eastAsia" w:ascii="宋体" w:hAnsi="宋体" w:cs="宋体"/>
          <w:color w:val="auto"/>
          <w:sz w:val="24"/>
          <w:highlight w:val="none"/>
          <w:lang w:eastAsia="zh-CN"/>
        </w:rPr>
      </w:pPr>
      <w:r>
        <w:rPr>
          <w:rFonts w:hint="eastAsia" w:ascii="宋体" w:hAnsi="宋体" w:cs="宋体"/>
          <w:color w:val="auto"/>
          <w:sz w:val="24"/>
          <w:highlight w:val="none"/>
        </w:rPr>
        <w:t>合同签订且具备实施条件后向乙方支付当年度合同款的20%；并在当年季度款项支付时扣回。当年每个季度经考核后，下一季度第一个月末甲方向乙方支付相应季度合同款。</w:t>
      </w:r>
    </w:p>
    <w:p>
      <w:pPr>
        <w:keepNext w:val="0"/>
        <w:keepLines w:val="0"/>
        <w:pageBreakBefore w:val="0"/>
        <w:widowControl w:val="0"/>
        <w:numPr>
          <w:ilvl w:val="0"/>
          <w:numId w:val="19"/>
        </w:numPr>
        <w:kinsoku/>
        <w:wordWrap/>
        <w:overflowPunct/>
        <w:topLinePunct w:val="0"/>
        <w:autoSpaceDE w:val="0"/>
        <w:autoSpaceDN w:val="0"/>
        <w:bidi w:val="0"/>
        <w:adjustRightInd w:val="0"/>
        <w:snapToGrid/>
        <w:spacing w:line="360" w:lineRule="auto"/>
        <w:ind w:leftChars="0" w:firstLine="482" w:firstLineChars="200"/>
        <w:jc w:val="left"/>
        <w:textAlignment w:val="auto"/>
        <w:rPr>
          <w:rFonts w:ascii="宋体" w:hAnsi="宋体" w:cs="宋体"/>
          <w:b/>
          <w:bCs/>
          <w:color w:val="auto"/>
          <w:sz w:val="24"/>
          <w:highlight w:val="none"/>
          <w:lang w:val="zh-CN"/>
        </w:rPr>
      </w:pPr>
      <w:r>
        <w:rPr>
          <w:rFonts w:hint="eastAsia" w:ascii="宋体" w:hAnsi="宋体" w:cs="宋体"/>
          <w:b/>
          <w:bCs/>
          <w:color w:val="auto"/>
          <w:sz w:val="24"/>
          <w:highlight w:val="none"/>
        </w:rPr>
        <w:t>付款要求</w:t>
      </w:r>
    </w:p>
    <w:p>
      <w:pPr>
        <w:keepNext w:val="0"/>
        <w:keepLines w:val="0"/>
        <w:pageBreakBefore w:val="0"/>
        <w:widowControl w:val="0"/>
        <w:numPr>
          <w:ilvl w:val="0"/>
          <w:numId w:val="0"/>
        </w:numPr>
        <w:kinsoku/>
        <w:wordWrap/>
        <w:overflowPunct/>
        <w:topLinePunct w:val="0"/>
        <w:bidi w:val="0"/>
        <w:snapToGrid/>
        <w:spacing w:line="360" w:lineRule="auto"/>
        <w:ind w:firstLine="480" w:firstLineChars="200"/>
        <w:jc w:val="left"/>
        <w:textAlignment w:val="auto"/>
        <w:rPr>
          <w:rFonts w:ascii="宋体" w:hAnsi="宋体"/>
          <w:color w:val="auto"/>
          <w:kern w:val="0"/>
          <w:sz w:val="24"/>
          <w:szCs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在收款之前，应向采购人提供发票，采购人凭发票付款。如</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未按约定提供发票的，采购人有权拒绝付款，直至收到</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提交的相应发票为止，在此情况下，采购人不承担逾期</w:t>
      </w:r>
      <w:r>
        <w:rPr>
          <w:rFonts w:hint="eastAsia" w:ascii="宋体" w:hAnsi="宋体" w:eastAsia="宋体" w:cs="宋体"/>
          <w:color w:val="auto"/>
          <w:sz w:val="24"/>
          <w:highlight w:val="none"/>
        </w:rPr>
        <w:t>付款</w:t>
      </w:r>
      <w:r>
        <w:rPr>
          <w:rFonts w:hint="eastAsia" w:ascii="宋体" w:hAnsi="宋体" w:cs="宋体"/>
          <w:color w:val="auto"/>
          <w:sz w:val="24"/>
          <w:highlight w:val="none"/>
        </w:rPr>
        <w:t>违约责任。</w:t>
      </w:r>
    </w:p>
    <w:p>
      <w:pPr>
        <w:numPr>
          <w:ilvl w:val="0"/>
          <w:numId w:val="20"/>
        </w:num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br w:type="page"/>
      </w:r>
    </w:p>
    <w:p>
      <w:pPr>
        <w:pStyle w:val="4"/>
        <w:numPr>
          <w:ilvl w:val="0"/>
          <w:numId w:val="17"/>
        </w:numPr>
        <w:jc w:val="center"/>
        <w:rPr>
          <w:rFonts w:cs="宋体"/>
          <w:color w:val="auto"/>
          <w:sz w:val="36"/>
          <w:szCs w:val="36"/>
          <w:highlight w:val="none"/>
        </w:rPr>
      </w:pPr>
      <w:bookmarkStart w:id="78" w:name="_Toc6461"/>
      <w:r>
        <w:rPr>
          <w:rFonts w:hint="eastAsia" w:cs="宋体"/>
          <w:color w:val="auto"/>
          <w:sz w:val="36"/>
          <w:szCs w:val="36"/>
          <w:highlight w:val="none"/>
        </w:rPr>
        <w:t>磋商原则及磋商方法</w:t>
      </w:r>
      <w:bookmarkEnd w:id="76"/>
      <w:bookmarkEnd w:id="78"/>
    </w:p>
    <w:p>
      <w:pPr>
        <w:pStyle w:val="2"/>
        <w:numPr>
          <w:ilvl w:val="0"/>
          <w:numId w:val="21"/>
        </w:numPr>
        <w:jc w:val="center"/>
        <w:rPr>
          <w:rFonts w:cs="Times New Roman"/>
          <w:color w:val="auto"/>
          <w:highlight w:val="none"/>
        </w:rPr>
      </w:pPr>
      <w:bookmarkStart w:id="79" w:name="_Toc1265"/>
      <w:r>
        <w:rPr>
          <w:rFonts w:hint="eastAsia"/>
          <w:color w:val="auto"/>
          <w:highlight w:val="none"/>
        </w:rPr>
        <w:t xml:space="preserve"> </w:t>
      </w:r>
      <w:bookmarkStart w:id="80" w:name="_Toc21591"/>
      <w:r>
        <w:rPr>
          <w:rFonts w:hint="eastAsia"/>
          <w:color w:val="auto"/>
          <w:highlight w:val="none"/>
        </w:rPr>
        <w:t>磋商原则</w:t>
      </w:r>
      <w:bookmarkEnd w:id="79"/>
      <w:bookmarkEnd w:id="80"/>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、本次竞争性磋商本着公平、公正、科学、择优的原则，邀请各磋商方参加报价。</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、磋商小组将严格按照竞争性磋商文件的要求，对供应商的响应性文件进行认真评审；磋商小组对响应性文件的评审仅依据响应性文件本身，而不依据响应性文件以外的任何因素。</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、磋商小组按照统一的磋商原则和磋商方法，用同一标准对所有响应性文件进行评审。</w:t>
      </w:r>
    </w:p>
    <w:p>
      <w:pPr>
        <w:pStyle w:val="14"/>
        <w:spacing w:line="360"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4</w:t>
      </w:r>
      <w:r>
        <w:rPr>
          <w:rFonts w:hint="eastAsia" w:hAnsi="宋体"/>
          <w:b/>
          <w:bCs/>
          <w:color w:val="auto"/>
          <w:sz w:val="24"/>
          <w:szCs w:val="24"/>
          <w:highlight w:val="none"/>
        </w:rPr>
        <w:t>、评审</w:t>
      </w:r>
    </w:p>
    <w:p>
      <w:pPr>
        <w:pStyle w:val="14"/>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4.1</w:t>
      </w:r>
      <w:r>
        <w:rPr>
          <w:rFonts w:hint="eastAsia" w:hAnsi="宋体"/>
          <w:color w:val="auto"/>
          <w:sz w:val="24"/>
          <w:szCs w:val="24"/>
          <w:highlight w:val="none"/>
        </w:rPr>
        <w:t>在磋商响应截止时间前按规定提交响应文件的供应商在三家（含）以上的，由采购人或采购代理机构组织进行开标。</w:t>
      </w:r>
    </w:p>
    <w:p>
      <w:pPr>
        <w:pStyle w:val="14"/>
        <w:spacing w:line="360" w:lineRule="auto"/>
        <w:ind w:firstLine="482" w:firstLineChars="200"/>
        <w:rPr>
          <w:rFonts w:hAnsi="宋体" w:cs="Times New Roman"/>
          <w:color w:val="auto"/>
          <w:sz w:val="24"/>
          <w:szCs w:val="24"/>
          <w:highlight w:val="none"/>
        </w:rPr>
      </w:pPr>
      <w:r>
        <w:rPr>
          <w:rFonts w:hAnsi="宋体"/>
          <w:b/>
          <w:bCs/>
          <w:color w:val="auto"/>
          <w:sz w:val="24"/>
          <w:szCs w:val="24"/>
          <w:highlight w:val="none"/>
        </w:rPr>
        <w:t>4.2</w:t>
      </w:r>
      <w:r>
        <w:rPr>
          <w:rFonts w:hint="eastAsia" w:hAnsi="宋体"/>
          <w:b/>
          <w:bCs/>
          <w:color w:val="auto"/>
          <w:sz w:val="24"/>
          <w:szCs w:val="24"/>
          <w:highlight w:val="none"/>
        </w:rPr>
        <w:t>供应商登录政采云平台，用“项目采购</w:t>
      </w:r>
      <w:r>
        <w:rPr>
          <w:rFonts w:hint="eastAsia" w:hAnsi="宋体"/>
          <w:b/>
          <w:bCs/>
          <w:color w:val="auto"/>
          <w:sz w:val="24"/>
          <w:szCs w:val="24"/>
          <w:highlight w:val="none"/>
          <w:lang w:eastAsia="zh-CN"/>
        </w:rPr>
        <w:t>－</w:t>
      </w:r>
      <w:r>
        <w:rPr>
          <w:rFonts w:hint="eastAsia" w:hAnsi="宋体"/>
          <w:b/>
          <w:bCs/>
          <w:color w:val="auto"/>
          <w:sz w:val="24"/>
          <w:szCs w:val="24"/>
          <w:highlight w:val="none"/>
        </w:rPr>
        <w:t>开标评标”功能对电子磋商响应文件进行在线解密。在线解密电子磋商响应文件时间为开标时间起</w:t>
      </w:r>
      <w:r>
        <w:rPr>
          <w:rFonts w:hAnsi="宋体"/>
          <w:b/>
          <w:bCs/>
          <w:color w:val="auto"/>
          <w:sz w:val="24"/>
          <w:szCs w:val="24"/>
          <w:highlight w:val="none"/>
        </w:rPr>
        <w:t>30</w:t>
      </w:r>
      <w:r>
        <w:rPr>
          <w:rFonts w:hint="eastAsia" w:hAnsi="宋体"/>
          <w:b/>
          <w:bCs/>
          <w:color w:val="auto"/>
          <w:sz w:val="24"/>
          <w:szCs w:val="24"/>
          <w:highlight w:val="none"/>
        </w:rPr>
        <w:t>分钟内。若电子磋商响应文件解密失败，则由采购代理机构工作人员上传供应商提供的备份文件。</w:t>
      </w:r>
      <w:r>
        <w:rPr>
          <w:rFonts w:hint="eastAsia" w:hAnsi="宋体"/>
          <w:color w:val="auto"/>
          <w:sz w:val="24"/>
          <w:szCs w:val="24"/>
          <w:highlight w:val="none"/>
        </w:rPr>
        <w:t>备份文件（后缀名为</w:t>
      </w:r>
      <w:r>
        <w:rPr>
          <w:rFonts w:hAnsi="宋体"/>
          <w:color w:val="auto"/>
          <w:sz w:val="24"/>
          <w:szCs w:val="24"/>
          <w:highlight w:val="none"/>
        </w:rPr>
        <w:t>.bfbs</w:t>
      </w:r>
      <w:r>
        <w:rPr>
          <w:rFonts w:hint="eastAsia" w:hAnsi="宋体"/>
          <w:color w:val="auto"/>
          <w:sz w:val="24"/>
          <w:szCs w:val="24"/>
          <w:highlight w:val="none"/>
        </w:rPr>
        <w:t>）须存储在</w:t>
      </w:r>
      <w:r>
        <w:rPr>
          <w:rFonts w:hAnsi="宋体"/>
          <w:color w:val="auto"/>
          <w:sz w:val="24"/>
          <w:szCs w:val="24"/>
          <w:highlight w:val="none"/>
        </w:rPr>
        <w:t>U</w:t>
      </w:r>
      <w:r>
        <w:rPr>
          <w:rFonts w:hint="eastAsia" w:hAnsi="宋体"/>
          <w:color w:val="auto"/>
          <w:sz w:val="24"/>
          <w:szCs w:val="24"/>
          <w:highlight w:val="none"/>
        </w:rPr>
        <w:t>盘中，与上传的电子磋商响应文件一致，用信封进行密封并盖章</w:t>
      </w:r>
      <w:r>
        <w:rPr>
          <w:rFonts w:hint="eastAsia" w:hAnsi="宋体"/>
          <w:b/>
          <w:bCs/>
          <w:color w:val="auto"/>
          <w:sz w:val="24"/>
          <w:szCs w:val="24"/>
          <w:highlight w:val="none"/>
        </w:rPr>
        <w:t>（信封内仅需放入存储备份文件的</w:t>
      </w:r>
      <w:r>
        <w:rPr>
          <w:rFonts w:hAnsi="宋体"/>
          <w:b/>
          <w:bCs/>
          <w:color w:val="auto"/>
          <w:sz w:val="24"/>
          <w:szCs w:val="24"/>
          <w:highlight w:val="none"/>
        </w:rPr>
        <w:t>U</w:t>
      </w:r>
      <w:r>
        <w:rPr>
          <w:rFonts w:hint="eastAsia" w:hAnsi="宋体"/>
          <w:b/>
          <w:bCs/>
          <w:color w:val="auto"/>
          <w:sz w:val="24"/>
          <w:szCs w:val="24"/>
          <w:highlight w:val="none"/>
        </w:rPr>
        <w:t>盘）</w:t>
      </w:r>
      <w:r>
        <w:rPr>
          <w:rFonts w:hint="eastAsia" w:hAnsi="宋体"/>
          <w:color w:val="auto"/>
          <w:sz w:val="24"/>
          <w:szCs w:val="24"/>
          <w:highlight w:val="none"/>
        </w:rPr>
        <w:t>，由授权代表在磋商响应截止时间前递交至开标地点。</w:t>
      </w:r>
    </w:p>
    <w:p>
      <w:pPr>
        <w:pStyle w:val="14"/>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4.3</w:t>
      </w:r>
      <w:r>
        <w:rPr>
          <w:rFonts w:hint="eastAsia" w:hAnsi="宋体"/>
          <w:color w:val="auto"/>
          <w:sz w:val="24"/>
          <w:szCs w:val="24"/>
          <w:highlight w:val="none"/>
        </w:rPr>
        <w:t>采购人按磋商文件规定的时间、地点公开开标。开标仪式由采购人或采购代理机构主持及有关人员参加。</w:t>
      </w:r>
    </w:p>
    <w:p>
      <w:pPr>
        <w:pStyle w:val="61"/>
        <w:spacing w:before="0"/>
        <w:ind w:firstLine="480"/>
        <w:rPr>
          <w:rFonts w:ascii="宋体"/>
          <w:color w:val="auto"/>
          <w:highlight w:val="none"/>
        </w:rPr>
      </w:pPr>
      <w:r>
        <w:rPr>
          <w:rFonts w:ascii="宋体" w:hAnsi="宋体" w:cs="宋体"/>
          <w:color w:val="auto"/>
          <w:highlight w:val="none"/>
        </w:rPr>
        <w:t>4.4</w:t>
      </w:r>
      <w:r>
        <w:rPr>
          <w:rFonts w:hint="eastAsia" w:ascii="宋体" w:hAnsi="宋体" w:cs="宋体"/>
          <w:color w:val="auto"/>
          <w:highlight w:val="none"/>
        </w:rPr>
        <w:t>本项目为电子投标项目，供应商一般不需要参加现场投标和开标，若供应商需要指派授权代表递交备份文件，则授权代表应随身携带法定代表人授权书原件于</w:t>
      </w:r>
      <w:r>
        <w:rPr>
          <w:rFonts w:hint="eastAsia" w:hAnsi="宋体" w:cs="宋体"/>
          <w:color w:val="auto"/>
          <w:highlight w:val="none"/>
        </w:rPr>
        <w:t>磋商响应</w:t>
      </w:r>
      <w:r>
        <w:rPr>
          <w:rFonts w:hint="eastAsia" w:ascii="宋体" w:hAnsi="宋体" w:cs="宋体"/>
          <w:color w:val="auto"/>
          <w:highlight w:val="none"/>
        </w:rPr>
        <w:t>截止时间前到达开标地点递交备份文件。若电子磋商响应文件正常解锁，则</w:t>
      </w:r>
      <w:r>
        <w:rPr>
          <w:rFonts w:ascii="宋体" w:hAnsi="宋体" w:cs="宋体"/>
          <w:color w:val="auto"/>
          <w:highlight w:val="none"/>
        </w:rPr>
        <w:t>U</w:t>
      </w:r>
      <w:r>
        <w:rPr>
          <w:rFonts w:hint="eastAsia" w:ascii="宋体" w:hAnsi="宋体" w:cs="宋体"/>
          <w:color w:val="auto"/>
          <w:highlight w:val="none"/>
        </w:rPr>
        <w:t>盘退还给供应商；若解锁失败，则由采购代理机构将</w:t>
      </w:r>
      <w:r>
        <w:rPr>
          <w:rFonts w:ascii="宋体" w:hAnsi="宋体" w:cs="宋体"/>
          <w:color w:val="auto"/>
          <w:highlight w:val="none"/>
        </w:rPr>
        <w:t>U</w:t>
      </w:r>
      <w:r>
        <w:rPr>
          <w:rFonts w:hint="eastAsia" w:ascii="宋体" w:hAnsi="宋体" w:cs="宋体"/>
          <w:color w:val="auto"/>
          <w:highlight w:val="none"/>
        </w:rPr>
        <w:t>盘中的备份文件上传，该</w:t>
      </w:r>
      <w:r>
        <w:rPr>
          <w:rFonts w:ascii="宋体" w:hAnsi="宋体" w:cs="宋体"/>
          <w:color w:val="auto"/>
          <w:highlight w:val="none"/>
        </w:rPr>
        <w:t>U</w:t>
      </w:r>
      <w:r>
        <w:rPr>
          <w:rFonts w:hint="eastAsia" w:ascii="宋体" w:hAnsi="宋体" w:cs="宋体"/>
          <w:color w:val="auto"/>
          <w:highlight w:val="none"/>
        </w:rPr>
        <w:t>盘将由采购代理机构保存。</w:t>
      </w:r>
    </w:p>
    <w:p>
      <w:pPr>
        <w:pStyle w:val="61"/>
        <w:spacing w:before="0"/>
        <w:ind w:firstLine="480"/>
        <w:rPr>
          <w:rFonts w:ascii="宋体"/>
          <w:color w:val="auto"/>
          <w:highlight w:val="none"/>
        </w:rPr>
      </w:pPr>
      <w:r>
        <w:rPr>
          <w:rFonts w:ascii="宋体" w:hAnsi="宋体" w:cs="宋体"/>
          <w:color w:val="auto"/>
          <w:highlight w:val="none"/>
        </w:rPr>
        <w:t>4.5</w:t>
      </w:r>
      <w:r>
        <w:rPr>
          <w:rFonts w:hint="eastAsia" w:ascii="宋体" w:hAnsi="宋体" w:cs="宋体"/>
          <w:color w:val="auto"/>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、组建磋商小组</w:t>
      </w:r>
    </w:p>
    <w:p>
      <w:pPr>
        <w:pStyle w:val="61"/>
        <w:spacing w:before="0"/>
        <w:ind w:firstLine="480"/>
        <w:rPr>
          <w:rFonts w:ascii="宋体"/>
          <w:color w:val="auto"/>
          <w:highlight w:val="none"/>
        </w:rPr>
      </w:pPr>
      <w:r>
        <w:rPr>
          <w:rFonts w:ascii="宋体" w:hAnsi="宋体" w:cs="宋体"/>
          <w:color w:val="auto"/>
          <w:highlight w:val="none"/>
        </w:rPr>
        <w:t>5.1</w:t>
      </w:r>
      <w:r>
        <w:rPr>
          <w:rFonts w:hint="eastAsia" w:ascii="宋体" w:hAnsi="宋体" w:cs="宋体"/>
          <w:color w:val="auto"/>
          <w:highlight w:val="none"/>
        </w:rPr>
        <w:t>磋商小组由采购人代表和评审专家共</w:t>
      </w:r>
      <w:r>
        <w:rPr>
          <w:rFonts w:ascii="宋体" w:hAnsi="宋体" w:cs="宋体"/>
          <w:color w:val="auto"/>
          <w:highlight w:val="none"/>
        </w:rPr>
        <w:t>3</w:t>
      </w:r>
      <w:r>
        <w:rPr>
          <w:rFonts w:hint="eastAsia" w:ascii="宋体" w:hAnsi="宋体" w:cs="宋体"/>
          <w:color w:val="auto"/>
          <w:highlight w:val="none"/>
        </w:rPr>
        <w:t>人或以上单数组成，其中评审专家人数不少于磋商小组成员总数的</w:t>
      </w:r>
      <w:r>
        <w:rPr>
          <w:rFonts w:ascii="宋体" w:hAnsi="宋体" w:cs="宋体"/>
          <w:color w:val="auto"/>
          <w:highlight w:val="none"/>
        </w:rPr>
        <w:t>2/3</w:t>
      </w:r>
      <w:r>
        <w:rPr>
          <w:rFonts w:hint="eastAsia" w:ascii="宋体" w:hAnsi="宋体" w:cs="宋体"/>
          <w:color w:val="auto"/>
          <w:highlight w:val="none"/>
        </w:rPr>
        <w:t>。</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5.2</w:t>
      </w:r>
      <w:r>
        <w:rPr>
          <w:rFonts w:hint="eastAsia" w:ascii="宋体" w:hAnsi="宋体" w:cs="宋体"/>
          <w:color w:val="auto"/>
          <w:highlight w:val="none"/>
          <w:lang w:val="zh-CN"/>
        </w:rPr>
        <w:t>评标工作由评标委员会负责，并推选产生的组长主持；</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5.3</w:t>
      </w:r>
      <w:r>
        <w:rPr>
          <w:rFonts w:hint="eastAsia" w:ascii="宋体" w:hAnsi="宋体" w:cs="宋体"/>
          <w:color w:val="auto"/>
          <w:sz w:val="24"/>
          <w:szCs w:val="24"/>
          <w:highlight w:val="none"/>
          <w:lang w:val="zh-CN"/>
        </w:rPr>
        <w:t>本次评标为在线评标。</w:t>
      </w:r>
    </w:p>
    <w:p>
      <w:pPr>
        <w:pStyle w:val="2"/>
        <w:numPr>
          <w:ilvl w:val="0"/>
          <w:numId w:val="21"/>
        </w:numPr>
        <w:jc w:val="center"/>
        <w:rPr>
          <w:rFonts w:cs="Times New Roman"/>
          <w:color w:val="auto"/>
          <w:highlight w:val="none"/>
        </w:rPr>
      </w:pPr>
      <w:r>
        <w:rPr>
          <w:color w:val="auto"/>
          <w:highlight w:val="none"/>
        </w:rPr>
        <w:t xml:space="preserve"> </w:t>
      </w:r>
      <w:bookmarkStart w:id="81" w:name="_Toc10093"/>
      <w:bookmarkStart w:id="82" w:name="_Toc8334"/>
      <w:r>
        <w:rPr>
          <w:rFonts w:hint="eastAsia"/>
          <w:color w:val="auto"/>
          <w:highlight w:val="none"/>
        </w:rPr>
        <w:t>磋商程序</w:t>
      </w:r>
      <w:bookmarkEnd w:id="81"/>
      <w:bookmarkEnd w:id="82"/>
    </w:p>
    <w:p>
      <w:pPr>
        <w:snapToGrid w:val="0"/>
        <w:spacing w:line="360" w:lineRule="auto"/>
        <w:ind w:firstLine="48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、对所有响应文件的初审</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资格审查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）开标后，磋商小组将依法对供应商的资格进行审查。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）磋商小组依据法律法规和磋商文件的规定，对供应商的基本资格条件、特定资格条件进行审查。</w:t>
      </w:r>
    </w:p>
    <w:p>
      <w:pPr>
        <w:adjustRightInd w:val="0"/>
        <w:snapToGrid w:val="0"/>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）供应商未按照磋商文件要求提供与基本资格条件、特定资格条件相应的有效资格证明材料的，视为供应商不具备磋商文件中规定的资格要求，其磋商无效。并将无效</w:t>
      </w:r>
      <w:r>
        <w:rPr>
          <w:rFonts w:hint="eastAsia" w:ascii="宋体" w:hAnsi="宋体" w:cs="宋体"/>
          <w:color w:val="auto"/>
          <w:sz w:val="24"/>
          <w:szCs w:val="24"/>
          <w:highlight w:val="none"/>
          <w:lang w:eastAsia="zh-CN"/>
        </w:rPr>
        <w:t>缘由</w:t>
      </w:r>
      <w:r>
        <w:rPr>
          <w:rFonts w:hint="eastAsia" w:ascii="宋体" w:hAnsi="宋体" w:cs="宋体"/>
          <w:color w:val="auto"/>
          <w:sz w:val="24"/>
          <w:szCs w:val="24"/>
          <w:highlight w:val="none"/>
        </w:rPr>
        <w:t>告知相关供应商</w:t>
      </w:r>
      <w:r>
        <w:rPr>
          <w:rFonts w:ascii="宋体" w:cs="宋体"/>
          <w:color w:val="auto"/>
          <w:sz w:val="24"/>
          <w:szCs w:val="24"/>
          <w:highlight w:val="none"/>
        </w:rPr>
        <w:t>.</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）采购人或采购代理机构将通过“信用中国”网站</w:t>
      </w:r>
      <w:r>
        <w:rPr>
          <w:rFonts w:hint="eastAsia" w:ascii="宋体" w:hAnsi="宋体" w:cs="宋体"/>
          <w:color w:val="auto"/>
          <w:sz w:val="24"/>
          <w:szCs w:val="24"/>
          <w:highlight w:val="none"/>
          <w:lang w:eastAsia="zh-CN"/>
        </w:rPr>
        <w:t>（</w:t>
      </w:r>
      <w:r>
        <w:rPr>
          <w:rFonts w:ascii="宋体" w:hAnsi="宋体" w:cs="宋体"/>
          <w:color w:val="auto"/>
          <w:sz w:val="24"/>
          <w:szCs w:val="24"/>
          <w:highlight w:val="none"/>
        </w:rPr>
        <w:t>www.creditchina.gov.cn</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、中国政府采购网</w:t>
      </w:r>
      <w:r>
        <w:rPr>
          <w:rFonts w:hint="eastAsia" w:ascii="宋体" w:hAnsi="宋体" w:cs="宋体"/>
          <w:color w:val="auto"/>
          <w:sz w:val="24"/>
          <w:szCs w:val="24"/>
          <w:highlight w:val="none"/>
          <w:lang w:eastAsia="zh-CN"/>
        </w:rPr>
        <w:t>（</w:t>
      </w:r>
      <w:r>
        <w:rPr>
          <w:rFonts w:ascii="宋体" w:hAnsi="宋体" w:cs="宋体"/>
          <w:color w:val="auto"/>
          <w:sz w:val="24"/>
          <w:szCs w:val="24"/>
          <w:highlight w:val="none"/>
        </w:rPr>
        <w:t>www.ccgp.gov.cn</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渠道查询供应商磋商开标后评标前的信用记录，经查询供应商列入失信被执行人名单、重大税收违法案件当事人名单、政府采购严重违法失信行为记录名单的，其磋商无效。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）磋商小组出具《供应商资格审查意见表》，供应商未按照磋商文件要求提供与基本资格条件、特定资格条件相应的有效资格证明材料的，视为供应商不具备磋商文件中规定的资格要求，其磋商无效。</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符合性审查：磋商小组依据磋商文件的规定，从响应文件的有效性、完整性和对磋商文件的响应程度进行审查，以确定是否对磋商文件的要求作出实质性响应。出现以下情况的，视为符合性不通过，磋商无效。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）响应文件无法定代表人或其委托授权代表签名或盖章。</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）响应文件内容虚假的。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）响应文件有采购人不能接受的附加条件的。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）磋商有效期、服务期等商务条款不能满足磋商文件要求的。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）投标价格超出预算或最高限价，导致采购单位无法支付的。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6</w:t>
      </w:r>
      <w:r>
        <w:rPr>
          <w:rFonts w:hint="eastAsia" w:ascii="宋体" w:hAnsi="宋体" w:cs="宋体"/>
          <w:color w:val="auto"/>
          <w:sz w:val="24"/>
          <w:szCs w:val="24"/>
          <w:highlight w:val="none"/>
        </w:rPr>
        <w:t>）磋商文件明确规定的其他无效条款的。</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1.3 </w:t>
      </w:r>
      <w:r>
        <w:rPr>
          <w:rFonts w:hint="eastAsia" w:ascii="宋体" w:hAnsi="宋体" w:cs="宋体"/>
          <w:color w:val="auto"/>
          <w:sz w:val="24"/>
          <w:szCs w:val="24"/>
          <w:highlight w:val="none"/>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61"/>
        <w:tabs>
          <w:tab w:val="left" w:pos="0"/>
        </w:tabs>
        <w:spacing w:before="0"/>
        <w:ind w:firstLine="480"/>
        <w:rPr>
          <w:rFonts w:ascii="宋体"/>
          <w:color w:val="auto"/>
          <w:highlight w:val="none"/>
        </w:rPr>
      </w:pPr>
      <w:r>
        <w:rPr>
          <w:rFonts w:ascii="宋体" w:hAnsi="宋体" w:cs="宋体"/>
          <w:color w:val="auto"/>
          <w:highlight w:val="none"/>
        </w:rPr>
        <w:t>1.4</w:t>
      </w:r>
      <w:r>
        <w:rPr>
          <w:rFonts w:hint="eastAsia" w:ascii="宋体" w:hAnsi="宋体" w:cs="宋体"/>
          <w:color w:val="auto"/>
          <w:highlight w:val="none"/>
        </w:rPr>
        <w:t>磋商小组要求供应商澄清、说明或者更正响应文件应当以书面形式发出。供应商的澄清、说明或者更正应当由法定代表人或其授权代表签字或者加盖公章。由授权代表签字的，应当附法定代表人授权书。</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lang w:val="zh-CN"/>
        </w:rPr>
        <w:t>、磋商</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2.1 </w:t>
      </w:r>
      <w:r>
        <w:rPr>
          <w:rFonts w:hint="eastAsia" w:ascii="宋体" w:hAnsi="宋体" w:cs="宋体"/>
          <w:color w:val="auto"/>
          <w:sz w:val="24"/>
          <w:szCs w:val="24"/>
          <w:highlight w:val="none"/>
        </w:rPr>
        <w:t>初审合格的供应商进入下一步的磋商活动。</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磋商小组所有成员应当集中与单一供应商分别进行磋商，并给予所有参加磋商的供应商平等的磋商机会。</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2.3 </w:t>
      </w:r>
      <w:r>
        <w:rPr>
          <w:rFonts w:hint="eastAsia" w:ascii="宋体" w:hAnsi="宋体" w:cs="宋体"/>
          <w:color w:val="auto"/>
          <w:sz w:val="24"/>
          <w:szCs w:val="24"/>
          <w:highlight w:val="none"/>
        </w:rPr>
        <w:t>以递交响应文件的时间先后决定磋商顺序。磋商时先听取由供应商拟派的项目负责人就项目采购的重点内容进行磋商，磋商过程中由磋商小组成员提出相关问题，并由供应商拟派项目负责人进行回复与承诺。</w:t>
      </w:r>
      <w:r>
        <w:rPr>
          <w:rFonts w:ascii="宋体" w:hAnsi="宋体" w:cs="宋体"/>
          <w:color w:val="auto"/>
          <w:sz w:val="24"/>
          <w:szCs w:val="24"/>
          <w:highlight w:val="none"/>
        </w:rPr>
        <w:t xml:space="preserve"> </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2.4 </w:t>
      </w:r>
      <w:r>
        <w:rPr>
          <w:rFonts w:hint="eastAsia" w:ascii="宋体" w:hAnsi="宋体" w:cs="宋体"/>
          <w:color w:val="auto"/>
          <w:sz w:val="24"/>
          <w:szCs w:val="24"/>
          <w:highlight w:val="none"/>
        </w:rPr>
        <w:t>在磋商过程中，磋商小组可以根据磋商文件和磋商情况实质性变动采购需求中的技术、服务要求以及合同草案条款。实质性变动的内容，须经采购人代表确认。</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2.5 </w:t>
      </w:r>
      <w:r>
        <w:rPr>
          <w:rFonts w:hint="eastAsia" w:ascii="宋体" w:hAnsi="宋体" w:cs="宋体"/>
          <w:color w:val="auto"/>
          <w:sz w:val="24"/>
          <w:szCs w:val="24"/>
          <w:highlight w:val="none"/>
        </w:rPr>
        <w:t>磋商文件作出的实质性变动是磋商文件的有效组成部分，磋商小组应当及时以书面形式同时通知所有参加磋商的供应商。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2.6 </w:t>
      </w:r>
      <w:r>
        <w:rPr>
          <w:rFonts w:hint="eastAsia" w:ascii="宋体" w:hAnsi="宋体" w:cs="宋体"/>
          <w:color w:val="auto"/>
          <w:sz w:val="24"/>
          <w:szCs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2.7 </w:t>
      </w:r>
      <w:r>
        <w:rPr>
          <w:rFonts w:hint="eastAsia" w:ascii="宋体" w:hAnsi="宋体" w:cs="宋体"/>
          <w:color w:val="auto"/>
          <w:sz w:val="24"/>
          <w:szCs w:val="24"/>
          <w:highlight w:val="none"/>
        </w:rPr>
        <w:t>符合《政府采购竞争性磋商采购方式管理暂行办法》（财库〔</w:t>
      </w:r>
      <w:r>
        <w:rPr>
          <w:rFonts w:ascii="宋体" w:hAnsi="宋体" w:cs="宋体"/>
          <w:color w:val="auto"/>
          <w:sz w:val="24"/>
          <w:szCs w:val="24"/>
          <w:highlight w:val="none"/>
        </w:rPr>
        <w:t>2014</w:t>
      </w:r>
      <w:r>
        <w:rPr>
          <w:rFonts w:hint="eastAsia" w:ascii="宋体" w:hAnsi="宋体" w:cs="宋体"/>
          <w:color w:val="auto"/>
          <w:sz w:val="24"/>
          <w:szCs w:val="24"/>
          <w:highlight w:val="none"/>
        </w:rPr>
        <w:t>〕</w:t>
      </w:r>
      <w:r>
        <w:rPr>
          <w:rFonts w:ascii="宋体" w:hAnsi="宋体" w:cs="宋体"/>
          <w:color w:val="auto"/>
          <w:sz w:val="24"/>
          <w:szCs w:val="24"/>
          <w:highlight w:val="none"/>
        </w:rPr>
        <w:t>214</w:t>
      </w:r>
      <w:r>
        <w:rPr>
          <w:rFonts w:hint="eastAsia" w:ascii="宋体" w:hAnsi="宋体" w:cs="宋体"/>
          <w:color w:val="auto"/>
          <w:sz w:val="24"/>
          <w:szCs w:val="24"/>
          <w:highlight w:val="none"/>
        </w:rPr>
        <w:t>号）第三条第四项即“市场竞争不充分的科研项目，以及需要扶持的科技成果转化项目”情形的，提交最后报价的供应商可以为</w:t>
      </w:r>
      <w:r>
        <w:rPr>
          <w:rFonts w:ascii="宋体" w:hAnsi="宋体" w:cs="宋体"/>
          <w:color w:val="auto"/>
          <w:sz w:val="24"/>
          <w:szCs w:val="24"/>
          <w:highlight w:val="none"/>
        </w:rPr>
        <w:t>2</w:t>
      </w:r>
      <w:r>
        <w:rPr>
          <w:rFonts w:hint="eastAsia" w:ascii="宋体" w:hAnsi="宋体" w:cs="宋体"/>
          <w:color w:val="auto"/>
          <w:sz w:val="24"/>
          <w:szCs w:val="24"/>
          <w:highlight w:val="none"/>
        </w:rPr>
        <w:t>家。</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2.8 </w:t>
      </w:r>
      <w:r>
        <w:rPr>
          <w:rFonts w:hint="eastAsia" w:ascii="宋体" w:hAnsi="宋体" w:cs="宋体"/>
          <w:color w:val="auto"/>
          <w:sz w:val="24"/>
          <w:szCs w:val="24"/>
          <w:highlight w:val="none"/>
        </w:rPr>
        <w:t>采用竞争性磋商采购方式采购的政府购买服务项目（含政府和社会资本合作项目），在采购过程中符合要求的供应商（社会资本）只有</w:t>
      </w:r>
      <w:r>
        <w:rPr>
          <w:rFonts w:ascii="宋体" w:hAnsi="宋体" w:cs="宋体"/>
          <w:color w:val="auto"/>
          <w:sz w:val="24"/>
          <w:szCs w:val="24"/>
          <w:highlight w:val="none"/>
        </w:rPr>
        <w:t>2</w:t>
      </w:r>
      <w:r>
        <w:rPr>
          <w:rFonts w:hint="eastAsia" w:ascii="宋体" w:hAnsi="宋体" w:cs="宋体"/>
          <w:color w:val="auto"/>
          <w:sz w:val="24"/>
          <w:szCs w:val="24"/>
          <w:highlight w:val="none"/>
        </w:rPr>
        <w:t>家的，竞争性磋商采购活动可以继续进行。采购过程中符合要求的供应商（社会资本）只有</w:t>
      </w:r>
      <w:r>
        <w:rPr>
          <w:rFonts w:ascii="宋体" w:hAnsi="宋体" w:cs="宋体"/>
          <w:color w:val="auto"/>
          <w:sz w:val="24"/>
          <w:szCs w:val="24"/>
          <w:highlight w:val="none"/>
        </w:rPr>
        <w:t>1</w:t>
      </w:r>
      <w:r>
        <w:rPr>
          <w:rFonts w:hint="eastAsia" w:ascii="宋体" w:hAnsi="宋体" w:cs="宋体"/>
          <w:color w:val="auto"/>
          <w:sz w:val="24"/>
          <w:szCs w:val="24"/>
          <w:highlight w:val="none"/>
        </w:rPr>
        <w:t>家的，采购人（项目实施机构）或者采购代理机构应当终止竞争性磋商采购活动，发布项目终止公告并说明原因，重新开展采购活动。</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lang w:val="zh-CN"/>
        </w:rPr>
        <w:t>、最后报价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3.1</w:t>
      </w:r>
      <w:r>
        <w:rPr>
          <w:rFonts w:hint="eastAsia" w:ascii="宋体" w:hAnsi="宋体" w:cs="宋体"/>
          <w:color w:val="auto"/>
          <w:sz w:val="24"/>
          <w:szCs w:val="24"/>
          <w:highlight w:val="none"/>
        </w:rPr>
        <w:t>商务技术汇总后，供应商开启报价文件，磋商小组应当要求所有实质性响应的供应商在规定时间内提交最后报价。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3.2</w:t>
      </w:r>
      <w:r>
        <w:rPr>
          <w:rFonts w:hint="eastAsia" w:ascii="宋体" w:hAnsi="宋体" w:cs="宋体"/>
          <w:color w:val="auto"/>
          <w:sz w:val="24"/>
          <w:szCs w:val="24"/>
          <w:highlight w:val="none"/>
        </w:rPr>
        <w:t>最后报价是供应商响应文件的有效组成部分，若最后报价高于响应文件报价文件报价，则以第一次报价计入评分。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3.3</w:t>
      </w:r>
      <w:r>
        <w:rPr>
          <w:rFonts w:hint="eastAsia" w:ascii="宋体" w:hAnsi="宋体" w:cs="宋体"/>
          <w:color w:val="auto"/>
          <w:sz w:val="24"/>
          <w:szCs w:val="24"/>
          <w:highlight w:val="none"/>
        </w:rPr>
        <w:t>已提交响应文件的供应商，在提交最后报价之前，若因磋商文件实质性变动导致供应商无法满足采购需求的，允许供应商退出磋商。</w:t>
      </w:r>
    </w:p>
    <w:p>
      <w:pPr>
        <w:pStyle w:val="3"/>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、电子评标</w:t>
      </w:r>
    </w:p>
    <w:p>
      <w:pPr>
        <w:pStyle w:val="3"/>
        <w:spacing w:line="360" w:lineRule="auto"/>
        <w:ind w:firstLine="0"/>
        <w:rPr>
          <w:rFonts w:ascii="宋体"/>
          <w:color w:val="auto"/>
          <w:sz w:val="24"/>
          <w:szCs w:val="24"/>
          <w:highlight w:val="none"/>
        </w:rPr>
      </w:pPr>
      <w:r>
        <w:rPr>
          <w:rFonts w:ascii="宋体" w:hAnsi="宋体" w:cs="宋体"/>
          <w:color w:val="auto"/>
          <w:sz w:val="24"/>
          <w:szCs w:val="24"/>
          <w:highlight w:val="none"/>
        </w:rPr>
        <w:t xml:space="preserve">    4.1</w:t>
      </w:r>
      <w:r>
        <w:rPr>
          <w:rFonts w:hint="eastAsia" w:ascii="宋体" w:hAnsi="宋体" w:cs="宋体"/>
          <w:color w:val="auto"/>
          <w:sz w:val="24"/>
          <w:szCs w:val="24"/>
          <w:highlight w:val="none"/>
        </w:rPr>
        <w:t>磋商活动由采购代理机构主持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磋商响应截止时间后</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供应商登录政采云平台对电子响应文件进行在线解密；</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4.2</w:t>
      </w:r>
      <w:r>
        <w:rPr>
          <w:rFonts w:hint="eastAsia" w:ascii="宋体" w:hAnsi="宋体" w:cs="宋体"/>
          <w:color w:val="auto"/>
          <w:sz w:val="24"/>
          <w:szCs w:val="24"/>
          <w:highlight w:val="none"/>
        </w:rPr>
        <w:t>响应文件解密结束</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开启响应文件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磋商小组对资格和商务技术响应文件进行资格审查和符合性审查；</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4.3</w:t>
      </w:r>
      <w:r>
        <w:rPr>
          <w:rFonts w:hint="eastAsia" w:ascii="宋体" w:hAnsi="宋体" w:cs="宋体"/>
          <w:color w:val="auto"/>
          <w:sz w:val="24"/>
          <w:szCs w:val="24"/>
          <w:highlight w:val="none"/>
        </w:rPr>
        <w:t>供应商按递交磋商响应文件的前后顺序决定磋商的顺序</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就价格、服务等认为需要磋商的内容进行磋商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供应商逐家回答磋商小组的提问</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供应商作出最终承诺；</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4.4</w:t>
      </w:r>
      <w:r>
        <w:rPr>
          <w:rFonts w:hint="eastAsia" w:ascii="宋体" w:hAnsi="宋体" w:cs="宋体"/>
          <w:color w:val="auto"/>
          <w:sz w:val="24"/>
          <w:szCs w:val="24"/>
          <w:highlight w:val="none"/>
        </w:rPr>
        <w:t>磋商小组对商务技术响应文件进行评审；</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4.5</w:t>
      </w:r>
      <w:r>
        <w:rPr>
          <w:rFonts w:hint="eastAsia" w:ascii="宋体" w:hAnsi="宋体" w:cs="宋体"/>
          <w:color w:val="auto"/>
          <w:sz w:val="24"/>
          <w:szCs w:val="24"/>
          <w:highlight w:val="none"/>
        </w:rPr>
        <w:t>商务技术汇总后，供应商开启报价文件，进行磋商二次报价（最终报价），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4.6</w:t>
      </w:r>
      <w:r>
        <w:rPr>
          <w:rFonts w:hint="eastAsia" w:ascii="宋体" w:hAnsi="宋体" w:cs="宋体"/>
          <w:color w:val="auto"/>
          <w:sz w:val="24"/>
          <w:szCs w:val="24"/>
          <w:highlight w:val="none"/>
        </w:rPr>
        <w:t>在系统上开启最终报价情况；</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4.7</w:t>
      </w:r>
      <w:r>
        <w:rPr>
          <w:rFonts w:hint="eastAsia" w:ascii="宋体" w:hAnsi="宋体" w:cs="宋体"/>
          <w:color w:val="auto"/>
          <w:sz w:val="24"/>
          <w:szCs w:val="24"/>
          <w:highlight w:val="none"/>
        </w:rPr>
        <w:t>磋商小组对报价情况进行评审；</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4.8</w:t>
      </w:r>
      <w:r>
        <w:rPr>
          <w:rFonts w:hint="eastAsia" w:ascii="宋体" w:hAnsi="宋体" w:cs="宋体"/>
          <w:color w:val="auto"/>
          <w:sz w:val="24"/>
          <w:szCs w:val="24"/>
          <w:highlight w:val="none"/>
        </w:rPr>
        <w:t>在系统上公开资格和商务技术评审结果；</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4.9</w:t>
      </w:r>
      <w:r>
        <w:rPr>
          <w:rFonts w:hint="eastAsia" w:ascii="宋体" w:hAnsi="宋体" w:cs="宋体"/>
          <w:color w:val="auto"/>
          <w:sz w:val="24"/>
          <w:szCs w:val="24"/>
          <w:highlight w:val="none"/>
        </w:rPr>
        <w:t>在系统上公布评审结果。</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4.10</w:t>
      </w:r>
      <w:r>
        <w:rPr>
          <w:rFonts w:hint="eastAsia" w:ascii="宋体" w:hAnsi="宋体" w:cs="宋体"/>
          <w:color w:val="auto"/>
          <w:sz w:val="24"/>
          <w:szCs w:val="24"/>
          <w:highlight w:val="none"/>
        </w:rPr>
        <w:t>开标会结束。</w:t>
      </w:r>
    </w:p>
    <w:p>
      <w:pPr>
        <w:snapToGrid w:val="0"/>
        <w:spacing w:line="360" w:lineRule="auto"/>
        <w:ind w:firstLine="480" w:firstLineChars="200"/>
        <w:rPr>
          <w:rFonts w:ascii="宋体"/>
          <w:b/>
          <w:bCs/>
          <w:color w:val="auto"/>
          <w:sz w:val="24"/>
          <w:szCs w:val="24"/>
          <w:highlight w:val="none"/>
        </w:rPr>
      </w:pPr>
      <w:r>
        <w:rPr>
          <w:rFonts w:hint="eastAsia" w:ascii="宋体" w:hAnsi="宋体" w:cs="宋体"/>
          <w:color w:val="auto"/>
          <w:sz w:val="24"/>
          <w:szCs w:val="24"/>
          <w:highlight w:val="none"/>
        </w:rPr>
        <w:t>特别说明</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政采云如对电子化开标及评审程序有调整的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按调整后的程序操作。</w:t>
      </w:r>
    </w:p>
    <w:p>
      <w:pPr>
        <w:snapToGrid w:val="0"/>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ascii="宋体" w:cs="宋体"/>
          <w:b/>
          <w:bCs/>
          <w:color w:val="auto"/>
          <w:sz w:val="24"/>
          <w:szCs w:val="24"/>
          <w:highlight w:val="none"/>
        </w:rPr>
        <w:t>.</w:t>
      </w:r>
      <w:r>
        <w:rPr>
          <w:rFonts w:hint="eastAsia" w:ascii="宋体" w:hAnsi="宋体" w:cs="宋体"/>
          <w:b/>
          <w:bCs/>
          <w:color w:val="auto"/>
          <w:sz w:val="24"/>
          <w:szCs w:val="24"/>
          <w:highlight w:val="none"/>
        </w:rPr>
        <w:t>综合评分</w:t>
      </w:r>
    </w:p>
    <w:p>
      <w:pPr>
        <w:tabs>
          <w:tab w:val="left" w:pos="-1080"/>
          <w:tab w:val="left" w:pos="180"/>
          <w:tab w:val="left" w:pos="1080"/>
        </w:tabs>
        <w:snapToGrid w:val="0"/>
        <w:spacing w:line="360" w:lineRule="auto"/>
        <w:ind w:firstLine="480"/>
        <w:rPr>
          <w:rFonts w:ascii="宋体"/>
          <w:color w:val="auto"/>
          <w:kern w:val="0"/>
          <w:sz w:val="24"/>
          <w:szCs w:val="24"/>
          <w:highlight w:val="none"/>
        </w:rPr>
      </w:pPr>
      <w:r>
        <w:rPr>
          <w:rFonts w:ascii="宋体" w:hAnsi="宋体" w:cs="宋体"/>
          <w:color w:val="auto"/>
          <w:sz w:val="24"/>
          <w:szCs w:val="24"/>
          <w:highlight w:val="none"/>
        </w:rPr>
        <w:t>5.1</w:t>
      </w:r>
      <w:r>
        <w:rPr>
          <w:rFonts w:hint="eastAsia" w:ascii="宋体" w:hAnsi="宋体" w:cs="宋体"/>
          <w:color w:val="auto"/>
          <w:sz w:val="24"/>
          <w:szCs w:val="24"/>
          <w:highlight w:val="none"/>
        </w:rPr>
        <w:t>本评标办法采用综合评标法，由商务技术分和报价分合计组成，其中商务技术分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7</w:t>
      </w:r>
      <w:r>
        <w:rPr>
          <w:rFonts w:hint="eastAsia" w:ascii="宋体" w:hAnsi="宋体" w:cs="宋体"/>
          <w:color w:val="auto"/>
          <w:sz w:val="24"/>
          <w:szCs w:val="24"/>
          <w:highlight w:val="none"/>
          <w:u w:val="single"/>
        </w:rPr>
        <w:t>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分、报价分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30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分；满分为</w:t>
      </w:r>
      <w:r>
        <w:rPr>
          <w:rFonts w:ascii="宋体" w:hAnsi="宋体" w:cs="宋体"/>
          <w:color w:val="auto"/>
          <w:sz w:val="24"/>
          <w:szCs w:val="24"/>
          <w:highlight w:val="none"/>
        </w:rPr>
        <w:t>100</w:t>
      </w:r>
      <w:r>
        <w:rPr>
          <w:rFonts w:hint="eastAsia" w:ascii="宋体" w:hAnsi="宋体" w:cs="宋体"/>
          <w:color w:val="auto"/>
          <w:sz w:val="24"/>
          <w:szCs w:val="24"/>
          <w:highlight w:val="none"/>
        </w:rPr>
        <w:t>分。</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5.2</w:t>
      </w:r>
      <w:r>
        <w:rPr>
          <w:rFonts w:hint="eastAsia" w:ascii="宋体" w:hAnsi="宋体" w:cs="宋体"/>
          <w:color w:val="auto"/>
          <w:sz w:val="24"/>
          <w:szCs w:val="24"/>
          <w:highlight w:val="none"/>
        </w:rPr>
        <w:t>经初步评审合格的响应文件，磋商小组根据竞争性磋商文件确定的评审标准和方法，对其商务技术部分作进一步评审、比较、打分。</w:t>
      </w:r>
    </w:p>
    <w:p>
      <w:pPr>
        <w:pStyle w:val="14"/>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5.3</w:t>
      </w:r>
      <w:r>
        <w:rPr>
          <w:rFonts w:hint="eastAsia" w:hAnsi="宋体"/>
          <w:color w:val="auto"/>
          <w:sz w:val="24"/>
          <w:szCs w:val="24"/>
          <w:highlight w:val="none"/>
        </w:rPr>
        <w:t>磋商小组成员首先分别对每个供应商商务技术部分进行评审打分，然后计算出算术平均值（保留</w:t>
      </w:r>
      <w:r>
        <w:rPr>
          <w:rFonts w:hAnsi="宋体"/>
          <w:color w:val="auto"/>
          <w:sz w:val="24"/>
          <w:szCs w:val="24"/>
          <w:highlight w:val="none"/>
        </w:rPr>
        <w:t>2</w:t>
      </w:r>
      <w:r>
        <w:rPr>
          <w:rFonts w:hint="eastAsia" w:hAnsi="宋体"/>
          <w:color w:val="auto"/>
          <w:sz w:val="24"/>
          <w:szCs w:val="24"/>
          <w:highlight w:val="none"/>
        </w:rPr>
        <w:t>位小数），即为供应商的商务技术得分，后计算二次报价，计算公式：投标价格分</w:t>
      </w:r>
      <w:r>
        <w:rPr>
          <w:rFonts w:hAnsi="宋体"/>
          <w:color w:val="auto"/>
          <w:sz w:val="24"/>
          <w:szCs w:val="24"/>
          <w:highlight w:val="none"/>
        </w:rPr>
        <w:t>=(</w:t>
      </w:r>
      <w:r>
        <w:rPr>
          <w:rFonts w:hint="eastAsia" w:hAnsi="宋体"/>
          <w:color w:val="auto"/>
          <w:sz w:val="24"/>
          <w:szCs w:val="24"/>
          <w:highlight w:val="none"/>
        </w:rPr>
        <w:t>最佳报价</w:t>
      </w:r>
      <w:r>
        <w:rPr>
          <w:rFonts w:hAnsi="宋体"/>
          <w:color w:val="auto"/>
          <w:sz w:val="24"/>
          <w:szCs w:val="24"/>
          <w:highlight w:val="none"/>
        </w:rPr>
        <w:t>/</w:t>
      </w:r>
      <w:r>
        <w:rPr>
          <w:rFonts w:hint="eastAsia" w:hAnsi="宋体"/>
          <w:color w:val="auto"/>
          <w:sz w:val="24"/>
          <w:szCs w:val="24"/>
          <w:highlight w:val="none"/>
        </w:rPr>
        <w:t>投标报价</w:t>
      </w:r>
      <w:r>
        <w:rPr>
          <w:rFonts w:hAnsi="宋体"/>
          <w:color w:val="auto"/>
          <w:sz w:val="24"/>
          <w:szCs w:val="24"/>
          <w:highlight w:val="none"/>
        </w:rPr>
        <w:t>)*</w:t>
      </w:r>
      <w:r>
        <w:rPr>
          <w:rFonts w:hint="eastAsia" w:hAnsi="宋体"/>
          <w:color w:val="auto"/>
          <w:sz w:val="24"/>
          <w:szCs w:val="24"/>
          <w:highlight w:val="none"/>
        </w:rPr>
        <w:t>价格权值</w:t>
      </w:r>
      <w:r>
        <w:rPr>
          <w:rFonts w:hAnsi="宋体"/>
          <w:color w:val="auto"/>
          <w:sz w:val="24"/>
          <w:szCs w:val="24"/>
          <w:highlight w:val="none"/>
        </w:rPr>
        <w:t>*100</w:t>
      </w:r>
      <w:r>
        <w:rPr>
          <w:rFonts w:hint="eastAsia" w:hAnsi="宋体"/>
          <w:color w:val="auto"/>
          <w:sz w:val="24"/>
          <w:szCs w:val="24"/>
          <w:highlight w:val="none"/>
          <w:lang w:eastAsia="zh-CN"/>
        </w:rPr>
        <w:t>。</w:t>
      </w:r>
      <w:r>
        <w:rPr>
          <w:rFonts w:hint="eastAsia" w:hAnsi="宋体"/>
          <w:color w:val="auto"/>
          <w:sz w:val="24"/>
          <w:szCs w:val="24"/>
          <w:highlight w:val="none"/>
        </w:rPr>
        <w:t>综合得分</w:t>
      </w:r>
      <w:r>
        <w:rPr>
          <w:rFonts w:hAnsi="宋体"/>
          <w:color w:val="auto"/>
          <w:sz w:val="24"/>
          <w:szCs w:val="24"/>
          <w:highlight w:val="none"/>
        </w:rPr>
        <w:t>=</w:t>
      </w:r>
      <w:r>
        <w:rPr>
          <w:rFonts w:hint="eastAsia" w:hAnsi="宋体"/>
          <w:color w:val="auto"/>
          <w:sz w:val="24"/>
          <w:szCs w:val="24"/>
          <w:highlight w:val="none"/>
        </w:rPr>
        <w:t>商务技术分</w:t>
      </w:r>
      <w:r>
        <w:rPr>
          <w:rFonts w:hAnsi="宋体"/>
          <w:color w:val="auto"/>
          <w:sz w:val="24"/>
          <w:szCs w:val="24"/>
          <w:highlight w:val="none"/>
        </w:rPr>
        <w:t>+</w:t>
      </w:r>
      <w:r>
        <w:rPr>
          <w:rFonts w:hint="eastAsia" w:hAnsi="宋体"/>
          <w:color w:val="auto"/>
          <w:sz w:val="24"/>
          <w:szCs w:val="24"/>
          <w:highlight w:val="none"/>
        </w:rPr>
        <w:t>报价分，以综合得分（保留</w:t>
      </w:r>
      <w:r>
        <w:rPr>
          <w:rFonts w:hAnsi="宋体"/>
          <w:color w:val="auto"/>
          <w:sz w:val="24"/>
          <w:szCs w:val="24"/>
          <w:highlight w:val="none"/>
        </w:rPr>
        <w:t>2</w:t>
      </w:r>
      <w:r>
        <w:rPr>
          <w:rFonts w:hint="eastAsia" w:hAnsi="宋体"/>
          <w:color w:val="auto"/>
          <w:sz w:val="24"/>
          <w:szCs w:val="24"/>
          <w:highlight w:val="none"/>
        </w:rPr>
        <w:t>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pPr>
        <w:pStyle w:val="14"/>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6</w:t>
      </w:r>
      <w:r>
        <w:rPr>
          <w:rFonts w:hint="eastAsia" w:hAnsi="宋体"/>
          <w:b/>
          <w:bCs/>
          <w:color w:val="auto"/>
          <w:sz w:val="24"/>
          <w:szCs w:val="24"/>
          <w:highlight w:val="none"/>
        </w:rPr>
        <w:t>、修正原则</w:t>
      </w:r>
    </w:p>
    <w:p>
      <w:pPr>
        <w:pStyle w:val="61"/>
        <w:spacing w:before="0"/>
        <w:ind w:left="420" w:leftChars="200" w:firstLine="0" w:firstLineChars="0"/>
        <w:rPr>
          <w:rFonts w:ascii="宋体"/>
          <w:color w:val="auto"/>
          <w:highlight w:val="none"/>
          <w:lang w:val="zh-CN"/>
        </w:rPr>
      </w:pPr>
      <w:r>
        <w:rPr>
          <w:rFonts w:hint="eastAsia" w:ascii="宋体" w:hAnsi="宋体" w:cs="宋体"/>
          <w:color w:val="auto"/>
          <w:highlight w:val="none"/>
        </w:rPr>
        <w:t>响应</w:t>
      </w:r>
      <w:r>
        <w:rPr>
          <w:rFonts w:hint="eastAsia" w:ascii="宋体" w:hAnsi="宋体" w:cs="宋体"/>
          <w:color w:val="auto"/>
          <w:highlight w:val="none"/>
          <w:lang w:val="zh-CN"/>
        </w:rPr>
        <w:t>文件报价出现前后不一致的，按照下列规定修正：</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6.1</w:t>
      </w:r>
      <w:r>
        <w:rPr>
          <w:rFonts w:hint="eastAsia" w:ascii="宋体" w:hAnsi="宋体" w:cs="宋体"/>
          <w:color w:val="auto"/>
          <w:highlight w:val="none"/>
        </w:rPr>
        <w:t>响应</w:t>
      </w:r>
      <w:r>
        <w:rPr>
          <w:rFonts w:hint="eastAsia" w:ascii="宋体" w:hAnsi="宋体" w:cs="宋体"/>
          <w:color w:val="auto"/>
          <w:highlight w:val="none"/>
          <w:lang w:val="zh-CN"/>
        </w:rPr>
        <w:t>文件中</w:t>
      </w:r>
      <w:r>
        <w:rPr>
          <w:rFonts w:hint="eastAsia" w:ascii="宋体" w:hAnsi="宋体" w:cs="宋体"/>
          <w:color w:val="auto"/>
          <w:highlight w:val="none"/>
        </w:rPr>
        <w:t>报价</w:t>
      </w:r>
      <w:r>
        <w:rPr>
          <w:rFonts w:hint="eastAsia" w:ascii="宋体" w:hAnsi="宋体" w:cs="宋体"/>
          <w:color w:val="auto"/>
          <w:highlight w:val="none"/>
          <w:lang w:val="zh-CN"/>
        </w:rPr>
        <w:t>一览表内容与</w:t>
      </w:r>
      <w:r>
        <w:rPr>
          <w:rFonts w:hint="eastAsia" w:ascii="宋体" w:hAnsi="宋体" w:cs="宋体"/>
          <w:color w:val="auto"/>
          <w:highlight w:val="none"/>
        </w:rPr>
        <w:t>响应</w:t>
      </w:r>
      <w:r>
        <w:rPr>
          <w:rFonts w:hint="eastAsia" w:ascii="宋体" w:hAnsi="宋体" w:cs="宋体"/>
          <w:color w:val="auto"/>
          <w:highlight w:val="none"/>
          <w:lang w:val="zh-CN"/>
        </w:rPr>
        <w:t>文件中相应内容不一致的，以</w:t>
      </w:r>
      <w:r>
        <w:rPr>
          <w:rFonts w:hint="eastAsia" w:ascii="宋体" w:hAnsi="宋体" w:cs="宋体"/>
          <w:color w:val="auto"/>
          <w:highlight w:val="none"/>
        </w:rPr>
        <w:t>报价</w:t>
      </w:r>
      <w:r>
        <w:rPr>
          <w:rFonts w:hint="eastAsia" w:ascii="宋体" w:hAnsi="宋体" w:cs="宋体"/>
          <w:color w:val="auto"/>
          <w:highlight w:val="none"/>
          <w:lang w:val="zh-CN"/>
        </w:rPr>
        <w:t>一览表为准；</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6.2</w:t>
      </w:r>
      <w:r>
        <w:rPr>
          <w:rFonts w:hint="eastAsia" w:ascii="宋体" w:hAnsi="宋体" w:cs="宋体"/>
          <w:color w:val="auto"/>
          <w:highlight w:val="none"/>
          <w:lang w:val="zh-CN"/>
        </w:rPr>
        <w:t>大写金额和小写金额不一致的，以大写金额为准；</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6.3</w:t>
      </w:r>
      <w:r>
        <w:rPr>
          <w:rFonts w:hint="eastAsia" w:ascii="宋体" w:hAnsi="宋体" w:cs="宋体"/>
          <w:color w:val="auto"/>
          <w:highlight w:val="none"/>
          <w:lang w:val="zh-CN"/>
        </w:rPr>
        <w:t>单价金额小数点或者百分比有明显错位的，以</w:t>
      </w:r>
      <w:r>
        <w:rPr>
          <w:rFonts w:hint="eastAsia" w:ascii="宋体" w:hAnsi="宋体" w:cs="宋体"/>
          <w:color w:val="auto"/>
          <w:highlight w:val="none"/>
        </w:rPr>
        <w:t>报价</w:t>
      </w:r>
      <w:r>
        <w:rPr>
          <w:rFonts w:hint="eastAsia" w:ascii="宋体" w:hAnsi="宋体" w:cs="宋体"/>
          <w:color w:val="auto"/>
          <w:highlight w:val="none"/>
          <w:lang w:val="zh-CN"/>
        </w:rPr>
        <w:t>一览表的总价为准，并修改单价；</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6.4</w:t>
      </w:r>
      <w:r>
        <w:rPr>
          <w:rFonts w:hint="eastAsia" w:ascii="宋体" w:hAnsi="宋体" w:cs="宋体"/>
          <w:color w:val="auto"/>
          <w:highlight w:val="none"/>
          <w:lang w:val="zh-CN"/>
        </w:rPr>
        <w:t>总价金额与按单价汇总金额不一致的，以单价金额计算结果为准。</w:t>
      </w:r>
    </w:p>
    <w:p>
      <w:pPr>
        <w:pStyle w:val="61"/>
        <w:spacing w:before="0"/>
        <w:ind w:firstLine="480"/>
        <w:rPr>
          <w:rFonts w:ascii="宋体"/>
          <w:color w:val="auto"/>
          <w:highlight w:val="none"/>
          <w:lang w:val="zh-CN"/>
        </w:rPr>
      </w:pPr>
      <w:r>
        <w:rPr>
          <w:rFonts w:hint="eastAsia" w:ascii="宋体" w:hAnsi="宋体" w:cs="宋体"/>
          <w:color w:val="auto"/>
          <w:highlight w:val="none"/>
          <w:lang w:val="zh-CN"/>
        </w:rPr>
        <w:t>同时出现两种以上不一致的，按照前款规定的顺序修正。修正后的报价按照财政部公布第</w:t>
      </w:r>
      <w:r>
        <w:rPr>
          <w:rFonts w:ascii="宋体" w:hAnsi="宋体" w:cs="宋体"/>
          <w:color w:val="auto"/>
          <w:highlight w:val="none"/>
          <w:lang w:val="zh-CN"/>
        </w:rPr>
        <w:t>87</w:t>
      </w:r>
      <w:r>
        <w:rPr>
          <w:rFonts w:hint="eastAsia" w:ascii="宋体" w:hAnsi="宋体" w:cs="宋体"/>
          <w:color w:val="auto"/>
          <w:highlight w:val="none"/>
          <w:lang w:val="zh-CN"/>
        </w:rPr>
        <w:t>号令</w:t>
      </w:r>
      <w:r>
        <w:rPr>
          <w:rFonts w:ascii="宋体" w:hAnsi="宋体" w:cs="宋体"/>
          <w:color w:val="auto"/>
          <w:highlight w:val="none"/>
          <w:lang w:val="zh-CN"/>
        </w:rPr>
        <w:t xml:space="preserve"> </w:t>
      </w:r>
      <w:r>
        <w:rPr>
          <w:rFonts w:hint="eastAsia" w:ascii="宋体" w:hAnsi="宋体" w:cs="宋体"/>
          <w:color w:val="auto"/>
          <w:highlight w:val="none"/>
          <w:lang w:val="zh-CN"/>
        </w:rPr>
        <w:t>《政府采购</w:t>
      </w:r>
      <w:r>
        <w:rPr>
          <w:rFonts w:hint="eastAsia" w:ascii="宋体" w:hAnsi="宋体" w:cs="宋体"/>
          <w:color w:val="auto"/>
          <w:highlight w:val="none"/>
          <w:lang w:val="en-US" w:eastAsia="zh-CN"/>
        </w:rPr>
        <w:t>货物</w:t>
      </w:r>
      <w:r>
        <w:rPr>
          <w:rFonts w:hint="eastAsia" w:ascii="宋体" w:hAnsi="宋体" w:cs="宋体"/>
          <w:color w:val="auto"/>
          <w:highlight w:val="none"/>
          <w:lang w:val="zh-CN"/>
        </w:rPr>
        <w:t>和服务招标投标管理办法》第五十一条第二款的规定经</w:t>
      </w:r>
      <w:r>
        <w:rPr>
          <w:rFonts w:hint="eastAsia" w:ascii="宋体" w:hAnsi="宋体" w:cs="宋体"/>
          <w:color w:val="auto"/>
          <w:highlight w:val="none"/>
        </w:rPr>
        <w:t>供应商</w:t>
      </w:r>
      <w:r>
        <w:rPr>
          <w:rFonts w:hint="eastAsia" w:ascii="宋体" w:hAnsi="宋体" w:cs="宋体"/>
          <w:color w:val="auto"/>
          <w:highlight w:val="none"/>
          <w:lang w:val="zh-CN"/>
        </w:rPr>
        <w:t>确认后产生约束力，</w:t>
      </w:r>
      <w:r>
        <w:rPr>
          <w:rFonts w:hint="eastAsia" w:ascii="宋体" w:hAnsi="宋体" w:cs="宋体"/>
          <w:color w:val="auto"/>
          <w:highlight w:val="none"/>
        </w:rPr>
        <w:t>供应商</w:t>
      </w:r>
      <w:r>
        <w:rPr>
          <w:rFonts w:hint="eastAsia" w:ascii="宋体" w:hAnsi="宋体" w:cs="宋体"/>
          <w:color w:val="auto"/>
          <w:highlight w:val="none"/>
          <w:lang w:val="zh-CN"/>
        </w:rPr>
        <w:t>不确认的，其</w:t>
      </w:r>
      <w:r>
        <w:rPr>
          <w:rFonts w:hint="eastAsia" w:ascii="宋体" w:hAnsi="宋体" w:cs="宋体"/>
          <w:color w:val="auto"/>
          <w:highlight w:val="none"/>
        </w:rPr>
        <w:t>磋商</w:t>
      </w:r>
      <w:r>
        <w:rPr>
          <w:rFonts w:hint="eastAsia" w:ascii="宋体" w:hAnsi="宋体" w:cs="宋体"/>
          <w:color w:val="auto"/>
          <w:highlight w:val="none"/>
          <w:lang w:val="zh-CN"/>
        </w:rPr>
        <w:t>无效。</w:t>
      </w:r>
    </w:p>
    <w:p>
      <w:pPr>
        <w:pStyle w:val="14"/>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7</w:t>
      </w:r>
      <w:r>
        <w:rPr>
          <w:rFonts w:hint="eastAsia" w:hAnsi="宋体"/>
          <w:b/>
          <w:bCs/>
          <w:color w:val="auto"/>
          <w:sz w:val="24"/>
          <w:szCs w:val="24"/>
          <w:highlight w:val="none"/>
        </w:rPr>
        <w:t>、响应文件的澄清</w:t>
      </w:r>
    </w:p>
    <w:p>
      <w:pPr>
        <w:pStyle w:val="61"/>
        <w:tabs>
          <w:tab w:val="left" w:pos="0"/>
        </w:tabs>
        <w:spacing w:before="0"/>
        <w:ind w:firstLine="480"/>
        <w:rPr>
          <w:rFonts w:ascii="宋体"/>
          <w:color w:val="auto"/>
          <w:highlight w:val="none"/>
          <w:lang w:val="zh-CN"/>
        </w:rPr>
      </w:pPr>
      <w:r>
        <w:rPr>
          <w:rFonts w:ascii="宋体" w:hAnsi="宋体" w:cs="宋体"/>
          <w:color w:val="auto"/>
          <w:highlight w:val="none"/>
        </w:rPr>
        <w:t>7.1</w:t>
      </w:r>
      <w:r>
        <w:rPr>
          <w:rFonts w:hint="eastAsia" w:ascii="宋体" w:hAnsi="宋体" w:cs="宋体"/>
          <w:color w:val="auto"/>
          <w:highlight w:val="none"/>
          <w:lang w:val="zh-CN"/>
        </w:rPr>
        <w:t>评审中因</w:t>
      </w:r>
      <w:r>
        <w:rPr>
          <w:rFonts w:hint="eastAsia" w:ascii="宋体" w:hAnsi="宋体" w:cs="宋体"/>
          <w:color w:val="auto"/>
          <w:highlight w:val="none"/>
        </w:rPr>
        <w:t>响应</w:t>
      </w:r>
      <w:r>
        <w:rPr>
          <w:rFonts w:hint="eastAsia" w:ascii="宋体" w:hAnsi="宋体" w:cs="宋体"/>
          <w:color w:val="auto"/>
          <w:highlight w:val="none"/>
          <w:lang w:val="zh-CN"/>
        </w:rPr>
        <w:t>文件含义不明、表述不一致或有明显计算错误等内容需要供应商作出澄清、说明或者补正的，</w:t>
      </w:r>
      <w:r>
        <w:rPr>
          <w:rFonts w:hint="eastAsia" w:ascii="宋体" w:hAnsi="宋体" w:cs="宋体"/>
          <w:color w:val="auto"/>
          <w:highlight w:val="none"/>
        </w:rPr>
        <w:t>磋商小组</w:t>
      </w:r>
      <w:r>
        <w:rPr>
          <w:rFonts w:hint="eastAsia" w:ascii="宋体" w:hAnsi="宋体" w:cs="宋体"/>
          <w:color w:val="auto"/>
          <w:highlight w:val="none"/>
          <w:lang w:val="zh-CN"/>
        </w:rPr>
        <w:t>和供应商应当通过政采云平台交换数据电文，给予供应商提交澄清说明或补正的时间不少于半小时，供应商已经明确表示澄清说明或补正完毕的除外。</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val="en-US" w:eastAsia="zh-CN"/>
        </w:rPr>
        <w:t>7.2</w:t>
      </w:r>
      <w:r>
        <w:rPr>
          <w:rFonts w:hint="eastAsia" w:ascii="宋体" w:hAnsi="宋体" w:cs="宋体"/>
          <w:color w:val="auto"/>
          <w:sz w:val="24"/>
          <w:szCs w:val="24"/>
          <w:highlight w:val="none"/>
          <w:lang w:val="zh-CN"/>
        </w:rPr>
        <w:t>供应商通过政采云平台交换的数据电文必须进行电子签章。</w:t>
      </w:r>
    </w:p>
    <w:p>
      <w:pPr>
        <w:pStyle w:val="2"/>
        <w:numPr>
          <w:ilvl w:val="0"/>
          <w:numId w:val="21"/>
        </w:numPr>
        <w:jc w:val="center"/>
        <w:rPr>
          <w:rFonts w:cs="Times New Roman"/>
          <w:color w:val="auto"/>
          <w:highlight w:val="none"/>
        </w:rPr>
      </w:pPr>
      <w:r>
        <w:rPr>
          <w:color w:val="auto"/>
          <w:highlight w:val="none"/>
        </w:rPr>
        <w:t xml:space="preserve"> </w:t>
      </w:r>
      <w:bookmarkStart w:id="83" w:name="_Toc29385"/>
      <w:bookmarkStart w:id="84" w:name="_Toc12816"/>
      <w:r>
        <w:rPr>
          <w:rFonts w:hint="eastAsia"/>
          <w:color w:val="auto"/>
          <w:highlight w:val="none"/>
        </w:rPr>
        <w:t>注意事项</w:t>
      </w:r>
      <w:bookmarkEnd w:id="83"/>
      <w:bookmarkEnd w:id="84"/>
    </w:p>
    <w:p>
      <w:pPr>
        <w:pStyle w:val="3"/>
        <w:spacing w:line="360" w:lineRule="auto"/>
        <w:rPr>
          <w:b/>
          <w:bCs/>
          <w:color w:val="auto"/>
          <w:sz w:val="24"/>
          <w:szCs w:val="24"/>
          <w:highlight w:val="none"/>
        </w:rPr>
      </w:pPr>
      <w:r>
        <w:rPr>
          <w:rFonts w:hint="eastAsia" w:cs="宋体"/>
          <w:b/>
          <w:bCs/>
          <w:color w:val="auto"/>
          <w:sz w:val="24"/>
          <w:szCs w:val="24"/>
          <w:highlight w:val="none"/>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pPr>
        <w:pStyle w:val="2"/>
        <w:numPr>
          <w:ilvl w:val="0"/>
          <w:numId w:val="22"/>
        </w:numPr>
        <w:jc w:val="center"/>
        <w:rPr>
          <w:rFonts w:cs="Times New Roman"/>
          <w:color w:val="auto"/>
          <w:highlight w:val="none"/>
        </w:rPr>
      </w:pPr>
      <w:r>
        <w:rPr>
          <w:color w:val="auto"/>
          <w:highlight w:val="none"/>
        </w:rPr>
        <w:t xml:space="preserve"> </w:t>
      </w:r>
      <w:bookmarkStart w:id="85" w:name="_Toc13782"/>
      <w:bookmarkStart w:id="86" w:name="_Toc2341"/>
      <w:r>
        <w:rPr>
          <w:rFonts w:hint="eastAsia"/>
          <w:color w:val="auto"/>
          <w:highlight w:val="none"/>
        </w:rPr>
        <w:t>评分细则</w:t>
      </w:r>
      <w:bookmarkEnd w:id="85"/>
      <w:bookmarkEnd w:id="86"/>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一、报价文件评分标准（</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3</w:t>
      </w:r>
      <w:r>
        <w:rPr>
          <w:rFonts w:hint="eastAsia" w:ascii="宋体" w:hAnsi="宋体" w:cs="宋体"/>
          <w:b/>
          <w:bCs/>
          <w:color w:val="auto"/>
          <w:sz w:val="24"/>
          <w:szCs w:val="24"/>
          <w:highlight w:val="none"/>
          <w:u w:val="single"/>
        </w:rPr>
        <w:t>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报价文件主要是对供应商的有效报价进行评议，其评分标准及分值设置规则如下：</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、本次采购最高限价规定如下：</w:t>
      </w:r>
    </w:p>
    <w:p>
      <w:pPr>
        <w:spacing w:line="360" w:lineRule="auto"/>
        <w:ind w:firstLine="480" w:firstLineChars="200"/>
        <w:rPr>
          <w:rFonts w:ascii="宋体" w:hAnsi="宋体" w:cs="宋体"/>
          <w:b/>
          <w:bCs/>
          <w:color w:val="auto"/>
          <w:sz w:val="24"/>
          <w:szCs w:val="24"/>
          <w:highlight w:val="none"/>
        </w:rPr>
      </w:pPr>
      <w:r>
        <w:rPr>
          <w:rFonts w:hint="eastAsia" w:ascii="宋体" w:hAnsi="宋体" w:cs="宋体"/>
          <w:color w:val="auto"/>
          <w:sz w:val="24"/>
          <w:szCs w:val="24"/>
          <w:highlight w:val="none"/>
        </w:rPr>
        <w:t>本项目投标报价的最高限价</w:t>
      </w:r>
      <w:r>
        <w:rPr>
          <w:rFonts w:hint="eastAsia" w:ascii="宋体" w:hAnsi="宋体" w:cs="宋体"/>
          <w:b/>
          <w:bCs/>
          <w:color w:val="auto"/>
          <w:sz w:val="24"/>
          <w:szCs w:val="24"/>
          <w:highlight w:val="none"/>
        </w:rPr>
        <w:t>为人民币</w:t>
      </w:r>
      <w:r>
        <w:rPr>
          <w:rFonts w:hint="eastAsia" w:ascii="宋体" w:hAnsi="宋体" w:cs="宋体"/>
          <w:b/>
          <w:bCs/>
          <w:color w:val="auto"/>
          <w:sz w:val="24"/>
          <w:szCs w:val="24"/>
          <w:highlight w:val="none"/>
          <w:u w:val="single"/>
        </w:rPr>
        <w:t xml:space="preserve"> </w:t>
      </w:r>
      <w:r>
        <w:rPr>
          <w:rFonts w:hint="eastAsia" w:ascii="宋体" w:hAnsi="宋体" w:cs="宋体"/>
          <w:b/>
          <w:color w:val="auto"/>
          <w:sz w:val="24"/>
          <w:highlight w:val="none"/>
          <w:u w:val="single"/>
          <w:lang w:val="en-US" w:eastAsia="zh-CN"/>
        </w:rPr>
        <w:t>壹佰捌拾叁万</w:t>
      </w:r>
      <w:r>
        <w:rPr>
          <w:rFonts w:hint="eastAsia" w:ascii="宋体" w:hAnsi="宋体" w:cs="宋体"/>
          <w:b/>
          <w:color w:val="auto"/>
          <w:sz w:val="24"/>
          <w:highlight w:val="none"/>
        </w:rPr>
        <w:fldChar w:fldCharType="begin"/>
      </w:r>
      <w:r>
        <w:rPr>
          <w:rFonts w:hint="eastAsia" w:ascii="宋体" w:hAnsi="宋体" w:cs="宋体"/>
          <w:b/>
          <w:color w:val="auto"/>
          <w:sz w:val="24"/>
          <w:highlight w:val="none"/>
        </w:rPr>
        <w:instrText xml:space="preserve"> = 1750000 \* CHINESENUM4 \* MERGEFORMAT </w:instrText>
      </w:r>
      <w:r>
        <w:rPr>
          <w:rFonts w:hint="eastAsia" w:ascii="宋体" w:hAnsi="宋体" w:cs="宋体"/>
          <w:b/>
          <w:color w:val="auto"/>
          <w:sz w:val="24"/>
          <w:highlight w:val="none"/>
        </w:rPr>
        <w:fldChar w:fldCharType="separate"/>
      </w:r>
      <w:r>
        <w:rPr>
          <w:rFonts w:hint="eastAsia" w:ascii="宋体" w:hAnsi="宋体" w:cs="宋体"/>
          <w:b/>
          <w:color w:val="auto"/>
          <w:sz w:val="24"/>
          <w:highlight w:val="none"/>
          <w:u w:val="single"/>
        </w:rPr>
        <w:t>元</w:t>
      </w:r>
      <w:r>
        <w:rPr>
          <w:rFonts w:hint="eastAsia" w:ascii="宋体" w:hAnsi="宋体" w:cs="宋体"/>
          <w:b/>
          <w:color w:val="auto"/>
          <w:sz w:val="24"/>
          <w:highlight w:val="none"/>
        </w:rPr>
        <w:t>整</w:t>
      </w:r>
      <w:r>
        <w:rPr>
          <w:rFonts w:hint="eastAsia" w:ascii="宋体" w:hAnsi="宋体" w:cs="宋体"/>
          <w:b/>
          <w:color w:val="auto"/>
          <w:sz w:val="24"/>
          <w:highlight w:val="none"/>
        </w:rPr>
        <w:fldChar w:fldCharType="end"/>
      </w:r>
      <w:r>
        <w:rPr>
          <w:rFonts w:hint="eastAsia" w:ascii="宋体" w:hAnsi="宋体" w:cs="宋体"/>
          <w:b/>
          <w:color w:val="auto"/>
          <w:sz w:val="24"/>
          <w:highlight w:val="none"/>
        </w:rPr>
        <w:t>（小写</w:t>
      </w:r>
      <w:r>
        <w:rPr>
          <w:rFonts w:hint="eastAsia" w:ascii="宋体" w:hAnsi="宋体" w:cs="宋体"/>
          <w:b/>
          <w:color w:val="auto"/>
          <w:sz w:val="24"/>
          <w:highlight w:val="none"/>
          <w:u w:val="single"/>
          <w:lang w:val="en-US" w:eastAsia="zh-CN"/>
        </w:rPr>
        <w:t>18300</w:t>
      </w:r>
      <w:r>
        <w:rPr>
          <w:rFonts w:hint="eastAsia" w:ascii="宋体" w:hAnsi="宋体" w:cs="宋体"/>
          <w:b/>
          <w:color w:val="auto"/>
          <w:sz w:val="24"/>
          <w:highlight w:val="none"/>
          <w:u w:val="single"/>
        </w:rPr>
        <w:t xml:space="preserve">00.00 </w:t>
      </w:r>
      <w:r>
        <w:rPr>
          <w:rFonts w:hint="eastAsia" w:ascii="宋体" w:hAnsi="宋体" w:cs="宋体"/>
          <w:b/>
          <w:color w:val="auto"/>
          <w:sz w:val="24"/>
          <w:highlight w:val="none"/>
        </w:rPr>
        <w:t>元）</w:t>
      </w:r>
      <w:r>
        <w:rPr>
          <w:rFonts w:hint="eastAsia" w:ascii="宋体" w:hAnsi="宋体" w:cs="宋体"/>
          <w:b/>
          <w:bCs/>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、供应商的报价在最高限价内的，为有效报价。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、本次评标设有最佳报价。最佳报价确定方式：根据所有入围供应商有效报价中的最低报价作为最佳报价。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、最佳报价者的报价分为满分，其他供应商的有效报价与最佳报价相比，按下列方法计算其报价分：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投标价格分</w:t>
      </w:r>
      <w:r>
        <w:rPr>
          <w:rFonts w:ascii="宋体" w:hAnsi="宋体" w:cs="宋体"/>
          <w:color w:val="auto"/>
          <w:sz w:val="24"/>
          <w:szCs w:val="24"/>
          <w:highlight w:val="none"/>
        </w:rPr>
        <w:t>=(</w:t>
      </w:r>
      <w:r>
        <w:rPr>
          <w:rFonts w:hint="eastAsia" w:ascii="宋体" w:hAnsi="宋体" w:cs="宋体"/>
          <w:color w:val="auto"/>
          <w:sz w:val="24"/>
          <w:szCs w:val="24"/>
          <w:highlight w:val="none"/>
        </w:rPr>
        <w:t>最佳报价</w:t>
      </w:r>
      <w:r>
        <w:rPr>
          <w:rFonts w:ascii="宋体" w:hAnsi="宋体" w:cs="宋体"/>
          <w:color w:val="auto"/>
          <w:sz w:val="24"/>
          <w:szCs w:val="24"/>
          <w:highlight w:val="none"/>
        </w:rPr>
        <w:t>/</w:t>
      </w:r>
      <w:r>
        <w:rPr>
          <w:rFonts w:hint="eastAsia" w:ascii="宋体" w:hAnsi="宋体" w:cs="宋体"/>
          <w:color w:val="auto"/>
          <w:sz w:val="24"/>
          <w:szCs w:val="24"/>
          <w:highlight w:val="none"/>
        </w:rPr>
        <w:t>投标报价</w:t>
      </w:r>
      <w:r>
        <w:rPr>
          <w:rFonts w:ascii="宋体" w:hAnsi="宋体" w:cs="宋体"/>
          <w:color w:val="auto"/>
          <w:sz w:val="24"/>
          <w:szCs w:val="24"/>
          <w:highlight w:val="none"/>
        </w:rPr>
        <w:t>)*</w:t>
      </w:r>
      <w:r>
        <w:rPr>
          <w:rFonts w:hint="eastAsia" w:ascii="宋体" w:hAnsi="宋体" w:cs="宋体"/>
          <w:color w:val="auto"/>
          <w:sz w:val="24"/>
          <w:szCs w:val="24"/>
          <w:highlight w:val="none"/>
        </w:rPr>
        <w:t>价格权值</w:t>
      </w:r>
      <w:r>
        <w:rPr>
          <w:rFonts w:ascii="宋体" w:hAnsi="宋体" w:cs="宋体"/>
          <w:color w:val="auto"/>
          <w:sz w:val="24"/>
          <w:szCs w:val="24"/>
          <w:highlight w:val="none"/>
        </w:rPr>
        <w:t>*100</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、当报价一览表与磋商报价明细表报价不一致时，以报价一览表为准，磋商报价明细表报价予以修正并由授权代表签字确认，拒绝修正或确认的，则做无效标处理。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、响应文件只允许有一个报价，磋商报价应按磋商文件中相关附表格式填报，该磋商报价应与明细报价汇总相等，且不允许出现报价优惠、赠送等字样（明细出现“</w:t>
      </w:r>
      <w:r>
        <w:rPr>
          <w:rFonts w:ascii="宋体" w:cs="宋体"/>
          <w:color w:val="auto"/>
          <w:sz w:val="24"/>
          <w:szCs w:val="24"/>
          <w:highlight w:val="none"/>
        </w:rPr>
        <w:t>0</w:t>
      </w:r>
      <w:r>
        <w:rPr>
          <w:rFonts w:hint="eastAsia" w:ascii="宋体" w:hAnsi="宋体" w:cs="宋体"/>
          <w:color w:val="auto"/>
          <w:sz w:val="24"/>
          <w:szCs w:val="24"/>
          <w:highlight w:val="none"/>
        </w:rPr>
        <w:t>”元，视同赠送）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如出现则做</w:t>
      </w:r>
      <w:r>
        <w:rPr>
          <w:rFonts w:hint="eastAsia" w:ascii="宋体" w:hAnsi="宋体" w:cs="宋体"/>
          <w:b/>
          <w:bCs/>
          <w:color w:val="auto"/>
          <w:sz w:val="24"/>
          <w:szCs w:val="24"/>
          <w:highlight w:val="none"/>
        </w:rPr>
        <w:t>无效响应</w:t>
      </w:r>
      <w:r>
        <w:rPr>
          <w:rFonts w:hint="eastAsia" w:ascii="宋体" w:hAnsi="宋体" w:cs="宋体"/>
          <w:color w:val="auto"/>
          <w:sz w:val="24"/>
          <w:szCs w:val="24"/>
          <w:highlight w:val="none"/>
        </w:rPr>
        <w:t>处理。</w:t>
      </w:r>
    </w:p>
    <w:p>
      <w:pPr>
        <w:autoSpaceDE w:val="0"/>
        <w:autoSpaceDN w:val="0"/>
        <w:spacing w:line="360" w:lineRule="auto"/>
        <w:ind w:firstLine="482"/>
        <w:rPr>
          <w:rFonts w:ascii="宋体"/>
          <w:color w:val="auto"/>
          <w:sz w:val="24"/>
          <w:szCs w:val="24"/>
          <w:highlight w:val="none"/>
        </w:rPr>
      </w:pPr>
      <w:r>
        <w:rPr>
          <w:rFonts w:ascii="宋体" w:hAnsi="宋体" w:cs="宋体"/>
          <w:color w:val="auto"/>
          <w:sz w:val="24"/>
          <w:szCs w:val="24"/>
          <w:highlight w:val="none"/>
        </w:rPr>
        <w:t>7</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投标价格的合理性</w:t>
      </w:r>
      <w:r>
        <w:rPr>
          <w:rFonts w:hint="eastAsia" w:ascii="宋体" w:hAnsi="宋体" w:cs="宋体"/>
          <w:color w:val="auto"/>
          <w:sz w:val="24"/>
          <w:szCs w:val="24"/>
          <w:highlight w:val="none"/>
        </w:rPr>
        <w:t>：</w:t>
      </w:r>
      <w:r>
        <w:rPr>
          <w:rFonts w:hint="eastAsia" w:ascii="Arial" w:hAnsi="Arial" w:cs="宋体"/>
          <w:color w:val="auto"/>
          <w:sz w:val="24"/>
          <w:szCs w:val="24"/>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8、价格扣除：</w:t>
      </w:r>
      <w:r>
        <w:rPr>
          <w:rFonts w:hint="eastAsia" w:ascii="宋体" w:hAnsi="宋体"/>
          <w:color w:val="auto"/>
          <w:sz w:val="24"/>
          <w:highlight w:val="none"/>
        </w:rPr>
        <w:t>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w:t>
      </w:r>
      <w:r>
        <w:rPr>
          <w:rFonts w:hint="eastAsia" w:ascii="宋体" w:hAnsi="宋体" w:cs="宋体"/>
          <w:color w:val="auto"/>
          <w:sz w:val="24"/>
          <w:szCs w:val="24"/>
          <w:highlight w:val="none"/>
        </w:rPr>
        <w:t>、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中标价及合同价仍以其投标报价为准）</w:t>
      </w:r>
    </w:p>
    <w:p>
      <w:pPr>
        <w:spacing w:line="360" w:lineRule="auto"/>
        <w:ind w:firstLine="480" w:firstLineChars="200"/>
        <w:rPr>
          <w:rFonts w:ascii="宋体" w:hAnsi="宋体" w:cs="宋体"/>
          <w:b/>
          <w:bCs/>
          <w:color w:val="auto"/>
          <w:sz w:val="24"/>
          <w:szCs w:val="24"/>
          <w:highlight w:val="none"/>
        </w:rPr>
      </w:pPr>
      <w:r>
        <w:rPr>
          <w:rFonts w:hint="eastAsia" w:ascii="宋体" w:hAnsi="宋体" w:cs="宋体"/>
          <w:color w:val="auto"/>
          <w:sz w:val="24"/>
          <w:szCs w:val="24"/>
          <w:highlight w:val="none"/>
        </w:rPr>
        <w:t>组成联合体或者接受分包的小微企业与联合体内其他企业、分包企业之间存在直接控股、管理关系的，不享受价格</w:t>
      </w:r>
      <w:r>
        <w:rPr>
          <w:rFonts w:hint="eastAsia" w:ascii="Arial" w:hAnsi="Arial" w:cs="宋体"/>
          <w:color w:val="auto"/>
          <w:sz w:val="24"/>
          <w:szCs w:val="24"/>
          <w:highlight w:val="none"/>
        </w:rPr>
        <w:t>扣除优惠政策。联合体各方均为小型、微型企业的，联合体视同为小型、微型企业</w:t>
      </w:r>
      <w:r>
        <w:rPr>
          <w:rFonts w:hint="eastAsia" w:ascii="宋体" w:hAnsi="宋体" w:cs="宋体"/>
          <w:color w:val="auto"/>
          <w:sz w:val="24"/>
          <w:szCs w:val="24"/>
          <w:highlight w:val="none"/>
        </w:rPr>
        <w:t>。</w:t>
      </w:r>
    </w:p>
    <w:p>
      <w:pPr>
        <w:numPr>
          <w:ilvl w:val="0"/>
          <w:numId w:val="23"/>
        </w:numPr>
        <w:spacing w:before="156" w:beforeLines="50"/>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商务技术文件评标内容及标准（</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7</w:t>
      </w:r>
      <w:r>
        <w:rPr>
          <w:rFonts w:hint="eastAsia" w:ascii="宋体" w:hAnsi="宋体" w:cs="宋体"/>
          <w:b/>
          <w:bCs/>
          <w:color w:val="auto"/>
          <w:sz w:val="24"/>
          <w:szCs w:val="24"/>
          <w:highlight w:val="none"/>
          <w:u w:val="single"/>
        </w:rPr>
        <w:t>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numPr>
          <w:ilvl w:val="0"/>
          <w:numId w:val="0"/>
        </w:numPr>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1、评分细则</w:t>
      </w:r>
    </w:p>
    <w:tbl>
      <w:tblPr>
        <w:tblStyle w:val="29"/>
        <w:tblW w:w="8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1200"/>
        <w:gridCol w:w="1455"/>
        <w:gridCol w:w="4511"/>
        <w:gridCol w:w="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913" w:type="dxa"/>
            <w:gridSpan w:val="2"/>
            <w:tcBorders>
              <w:top w:val="single" w:color="auto" w:sz="4" w:space="0"/>
              <w:left w:val="single" w:color="auto" w:sz="4" w:space="0"/>
              <w:bottom w:val="single" w:color="auto" w:sz="4" w:space="0"/>
              <w:right w:val="single" w:color="auto" w:sz="4" w:space="0"/>
            </w:tcBorders>
            <w:noWrap/>
            <w:vAlign w:val="center"/>
          </w:tcPr>
          <w:p>
            <w:pPr>
              <w:autoSpaceDE w:val="0"/>
              <w:adjustRightInd w:val="0"/>
              <w:spacing w:beforeLines="50" w:line="360" w:lineRule="auto"/>
              <w:ind w:left="0" w:leftChars="0" w:firstLine="0" w:firstLineChars="0"/>
              <w:jc w:val="center"/>
              <w:rPr>
                <w:rFonts w:ascii="宋体" w:hAnsi="宋体"/>
                <w:b/>
                <w:bCs/>
                <w:color w:val="auto"/>
                <w:sz w:val="24"/>
                <w:highlight w:val="none"/>
              </w:rPr>
            </w:pPr>
            <w:r>
              <w:rPr>
                <w:rFonts w:hint="eastAsia" w:ascii="宋体" w:hAnsi="宋体"/>
                <w:b/>
                <w:bCs/>
                <w:color w:val="auto"/>
                <w:sz w:val="24"/>
                <w:highlight w:val="none"/>
              </w:rPr>
              <w:t>评分项目</w:t>
            </w:r>
          </w:p>
        </w:tc>
        <w:tc>
          <w:tcPr>
            <w:tcW w:w="5966" w:type="dxa"/>
            <w:gridSpan w:val="2"/>
            <w:tcBorders>
              <w:top w:val="single" w:color="auto" w:sz="4" w:space="0"/>
              <w:left w:val="nil"/>
              <w:bottom w:val="single" w:color="auto" w:sz="4" w:space="0"/>
              <w:right w:val="single" w:color="auto" w:sz="4" w:space="0"/>
            </w:tcBorders>
            <w:noWrap/>
            <w:vAlign w:val="center"/>
          </w:tcPr>
          <w:p>
            <w:pPr>
              <w:autoSpaceDE w:val="0"/>
              <w:adjustRightInd w:val="0"/>
              <w:spacing w:beforeLines="50" w:line="360" w:lineRule="auto"/>
              <w:ind w:left="0" w:leftChars="0" w:firstLine="0" w:firstLineChars="0"/>
              <w:jc w:val="center"/>
              <w:rPr>
                <w:rFonts w:hint="eastAsia" w:ascii="宋体" w:hAnsi="宋体"/>
                <w:b/>
                <w:bCs/>
                <w:color w:val="auto"/>
                <w:sz w:val="24"/>
                <w:highlight w:val="none"/>
              </w:rPr>
            </w:pPr>
            <w:r>
              <w:rPr>
                <w:rFonts w:hint="eastAsia" w:ascii="宋体" w:hAnsi="宋体"/>
                <w:b/>
                <w:bCs/>
                <w:color w:val="auto"/>
                <w:sz w:val="24"/>
                <w:highlight w:val="none"/>
              </w:rPr>
              <w:t>评标要点及说明</w:t>
            </w:r>
          </w:p>
        </w:tc>
        <w:tc>
          <w:tcPr>
            <w:tcW w:w="867" w:type="dxa"/>
            <w:tcBorders>
              <w:top w:val="single" w:color="auto" w:sz="4" w:space="0"/>
              <w:left w:val="single" w:color="auto" w:sz="4" w:space="0"/>
              <w:bottom w:val="single" w:color="auto" w:sz="4" w:space="0"/>
              <w:right w:val="single" w:color="auto" w:sz="4" w:space="0"/>
            </w:tcBorders>
            <w:noWrap/>
            <w:vAlign w:val="center"/>
          </w:tcPr>
          <w:p>
            <w:pPr>
              <w:autoSpaceDE w:val="0"/>
              <w:adjustRightInd w:val="0"/>
              <w:spacing w:beforeLines="50" w:line="360" w:lineRule="auto"/>
              <w:ind w:left="0" w:leftChars="0" w:firstLine="0" w:firstLineChars="0"/>
              <w:jc w:val="center"/>
              <w:rPr>
                <w:rFonts w:ascii="宋体" w:hAnsi="宋体"/>
                <w:b/>
                <w:bCs/>
                <w:color w:val="auto"/>
                <w:sz w:val="24"/>
                <w:highlight w:val="none"/>
              </w:rPr>
            </w:pPr>
            <w:r>
              <w:rPr>
                <w:rFonts w:hint="eastAsia" w:ascii="宋体" w:hAnsi="宋体"/>
                <w:b/>
                <w:bCs/>
                <w:color w:val="auto"/>
                <w:sz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restart"/>
            <w:tcBorders>
              <w:left w:val="single" w:color="auto" w:sz="4" w:space="0"/>
              <w:right w:val="single" w:color="auto" w:sz="4" w:space="0"/>
            </w:tcBorders>
            <w:noWrap/>
            <w:vAlign w:val="center"/>
          </w:tcPr>
          <w:p>
            <w:pPr>
              <w:spacing w:line="360" w:lineRule="auto"/>
              <w:ind w:left="0" w:leftChars="0" w:firstLine="0" w:firstLineChars="0"/>
              <w:jc w:val="center"/>
              <w:rPr>
                <w:rFonts w:hint="default" w:eastAsia="宋体"/>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技术分（60分）</w:t>
            </w:r>
          </w:p>
        </w:tc>
        <w:tc>
          <w:tcPr>
            <w:tcW w:w="1200" w:type="dxa"/>
            <w:tcBorders>
              <w:left w:val="single" w:color="auto" w:sz="4" w:space="0"/>
              <w:right w:val="single" w:color="auto" w:sz="4" w:space="0"/>
            </w:tcBorders>
            <w:noWrap/>
            <w:vAlign w:val="center"/>
          </w:tcPr>
          <w:p>
            <w:pPr>
              <w:ind w:left="0" w:leftChars="0" w:firstLine="0" w:firstLineChars="0"/>
              <w:jc w:val="center"/>
              <w:rPr>
                <w:rFonts w:hint="default" w:ascii="宋体" w:hAnsi="宋体" w:eastAsia="宋体"/>
                <w:color w:val="auto"/>
                <w:kern w:val="0"/>
                <w:sz w:val="24"/>
                <w:highlight w:val="none"/>
                <w:lang w:val="en-US" w:eastAsia="zh-CN"/>
              </w:rPr>
            </w:pPr>
            <w:r>
              <w:rPr>
                <w:rFonts w:hint="eastAsia" w:ascii="宋体" w:hAnsi="宋体"/>
                <w:color w:val="auto"/>
                <w:sz w:val="24"/>
                <w:highlight w:val="none"/>
                <w:lang w:val="en-US" w:eastAsia="zh-CN"/>
              </w:rPr>
              <w:t>总体管理方案</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根据</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提供的项目总体管理方案的完整性、科学性、针对性进行打分。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restart"/>
            <w:tcBorders>
              <w:left w:val="single" w:color="auto" w:sz="4" w:space="0"/>
              <w:right w:val="single" w:color="auto" w:sz="4" w:space="0"/>
            </w:tcBorders>
            <w:noWrap/>
            <w:vAlign w:val="center"/>
          </w:tcPr>
          <w:p>
            <w:pPr>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服务管理制度</w:t>
            </w:r>
          </w:p>
        </w:tc>
        <w:tc>
          <w:tcPr>
            <w:tcW w:w="1455" w:type="dxa"/>
            <w:vMerge w:val="restart"/>
            <w:tcBorders>
              <w:top w:val="single" w:color="auto" w:sz="4" w:space="0"/>
              <w:left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管理制度进行打分。</w:t>
            </w:r>
          </w:p>
        </w:tc>
        <w:tc>
          <w:tcPr>
            <w:tcW w:w="451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lang w:val="zh-CN"/>
              </w:rPr>
              <w:t>是否具有健全的保安、保洁服务管理制度进行打分。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continue"/>
            <w:tcBorders>
              <w:left w:val="single" w:color="auto" w:sz="4" w:space="0"/>
              <w:right w:val="single" w:color="auto" w:sz="4" w:space="0"/>
            </w:tcBorders>
            <w:noWrap/>
            <w:vAlign w:val="center"/>
          </w:tcPr>
          <w:p>
            <w:pPr>
              <w:jc w:val="center"/>
              <w:rPr>
                <w:rFonts w:hint="eastAsia" w:ascii="宋体" w:hAnsi="宋体"/>
                <w:color w:val="auto"/>
                <w:sz w:val="24"/>
                <w:highlight w:val="none"/>
                <w:lang w:val="en-US" w:eastAsia="zh-CN"/>
              </w:rPr>
            </w:pPr>
          </w:p>
        </w:tc>
        <w:tc>
          <w:tcPr>
            <w:tcW w:w="1455" w:type="dxa"/>
            <w:vMerge w:val="continue"/>
            <w:tcBorders>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p>
        </w:tc>
        <w:tc>
          <w:tcPr>
            <w:tcW w:w="451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lang w:val="zh-CN"/>
              </w:rPr>
              <w:t>是否具有健全的保安、保洁岗位责任制度进行打分。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restart"/>
            <w:tcBorders>
              <w:left w:val="single" w:color="auto" w:sz="4" w:space="0"/>
              <w:right w:val="single" w:color="auto" w:sz="4" w:space="0"/>
            </w:tcBorders>
            <w:noWrap/>
            <w:vAlign w:val="center"/>
          </w:tcPr>
          <w:p>
            <w:pPr>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服务方案</w:t>
            </w:r>
          </w:p>
        </w:tc>
        <w:tc>
          <w:tcPr>
            <w:tcW w:w="1455" w:type="dxa"/>
            <w:vMerge w:val="restart"/>
            <w:tcBorders>
              <w:left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提供的服务方案进行打分。</w:t>
            </w:r>
          </w:p>
        </w:tc>
        <w:tc>
          <w:tcPr>
            <w:tcW w:w="451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1"/>
                <w:highlight w:val="none"/>
                <w:lang w:val="zh-CN" w:eastAsia="zh-CN" w:bidi="ar-SA"/>
              </w:rPr>
            </w:pPr>
            <w:r>
              <w:rPr>
                <w:rFonts w:hint="eastAsia" w:ascii="宋体" w:hAnsi="宋体" w:eastAsia="宋体" w:cs="宋体"/>
                <w:color w:val="auto"/>
                <w:sz w:val="24"/>
                <w:highlight w:val="none"/>
                <w:lang w:eastAsia="zh-CN"/>
              </w:rPr>
              <w:t>根据保安服务区域内巡逻方案的合理性、可实施性进行打分。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continue"/>
            <w:tcBorders>
              <w:left w:val="single" w:color="auto" w:sz="4" w:space="0"/>
              <w:right w:val="single" w:color="auto" w:sz="4" w:space="0"/>
            </w:tcBorders>
            <w:noWrap/>
            <w:vAlign w:val="center"/>
          </w:tcPr>
          <w:p>
            <w:pPr>
              <w:jc w:val="center"/>
              <w:rPr>
                <w:rFonts w:hint="eastAsia" w:ascii="宋体" w:hAnsi="宋体"/>
                <w:color w:val="auto"/>
                <w:sz w:val="24"/>
                <w:highlight w:val="none"/>
                <w:lang w:val="en-US" w:eastAsia="zh-CN"/>
              </w:rPr>
            </w:pPr>
          </w:p>
        </w:tc>
        <w:tc>
          <w:tcPr>
            <w:tcW w:w="1455" w:type="dxa"/>
            <w:vMerge w:val="continue"/>
            <w:tcBorders>
              <w:left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p>
        </w:tc>
        <w:tc>
          <w:tcPr>
            <w:tcW w:w="451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1"/>
                <w:highlight w:val="none"/>
                <w:lang w:val="zh-CN" w:eastAsia="zh-CN" w:bidi="ar-SA"/>
              </w:rPr>
            </w:pPr>
            <w:r>
              <w:rPr>
                <w:rFonts w:hint="eastAsia" w:ascii="宋体" w:hAnsi="宋体" w:eastAsia="宋体" w:cs="宋体"/>
                <w:color w:val="auto"/>
                <w:sz w:val="24"/>
                <w:highlight w:val="none"/>
                <w:lang w:eastAsia="zh-CN"/>
              </w:rPr>
              <w:t>根据保安服务区域内守护、门卫等安全方案的</w:t>
            </w:r>
            <w:r>
              <w:rPr>
                <w:rFonts w:hint="eastAsia" w:ascii="宋体" w:hAnsi="宋体" w:eastAsia="宋体" w:cs="宋体"/>
                <w:color w:val="auto"/>
                <w:sz w:val="24"/>
                <w:highlight w:val="none"/>
                <w:lang w:val="zh-CN" w:eastAsia="zh-CN"/>
              </w:rPr>
              <w:t>合理性</w:t>
            </w:r>
            <w:r>
              <w:rPr>
                <w:rFonts w:hint="eastAsia" w:ascii="宋体" w:hAnsi="宋体" w:eastAsia="宋体" w:cs="宋体"/>
                <w:color w:val="auto"/>
                <w:sz w:val="24"/>
                <w:highlight w:val="none"/>
                <w:lang w:eastAsia="zh-CN"/>
              </w:rPr>
              <w:t>、可实施性进行打分。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continue"/>
            <w:tcBorders>
              <w:left w:val="single" w:color="auto" w:sz="4" w:space="0"/>
              <w:right w:val="single" w:color="auto" w:sz="4" w:space="0"/>
            </w:tcBorders>
            <w:noWrap/>
            <w:vAlign w:val="center"/>
          </w:tcPr>
          <w:p>
            <w:pPr>
              <w:jc w:val="center"/>
              <w:rPr>
                <w:rFonts w:hint="eastAsia" w:ascii="宋体" w:hAnsi="宋体"/>
                <w:color w:val="auto"/>
                <w:sz w:val="24"/>
                <w:highlight w:val="none"/>
                <w:lang w:val="en-US" w:eastAsia="zh-CN"/>
              </w:rPr>
            </w:pPr>
          </w:p>
        </w:tc>
        <w:tc>
          <w:tcPr>
            <w:tcW w:w="1455" w:type="dxa"/>
            <w:vMerge w:val="continue"/>
            <w:tcBorders>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p>
        </w:tc>
        <w:tc>
          <w:tcPr>
            <w:tcW w:w="451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1"/>
                <w:highlight w:val="none"/>
                <w:lang w:val="zh-CN" w:eastAsia="zh-CN" w:bidi="ar-SA"/>
              </w:rPr>
            </w:pPr>
            <w:r>
              <w:rPr>
                <w:rFonts w:hint="eastAsia" w:ascii="宋体" w:hAnsi="宋体" w:eastAsia="宋体" w:cs="宋体"/>
                <w:color w:val="auto"/>
                <w:sz w:val="24"/>
                <w:highlight w:val="none"/>
                <w:lang w:eastAsia="zh-CN"/>
              </w:rPr>
              <w:t>根据保洁服务区域内的保洁方案的合理性、完整性、可实施性</w:t>
            </w:r>
            <w:r>
              <w:rPr>
                <w:rFonts w:hint="eastAsia" w:ascii="宋体" w:hAnsi="宋体" w:eastAsia="宋体" w:cs="宋体"/>
                <w:color w:val="auto"/>
                <w:sz w:val="24"/>
                <w:highlight w:val="none"/>
                <w:lang w:val="zh-CN" w:eastAsia="zh-CN"/>
              </w:rPr>
              <w:t>进行</w:t>
            </w:r>
            <w:r>
              <w:rPr>
                <w:rFonts w:hint="eastAsia" w:ascii="宋体" w:hAnsi="宋体" w:eastAsia="宋体" w:cs="宋体"/>
                <w:color w:val="auto"/>
                <w:sz w:val="24"/>
                <w:highlight w:val="none"/>
                <w:lang w:eastAsia="zh-CN"/>
              </w:rPr>
              <w:t>打分。</w:t>
            </w:r>
          </w:p>
        </w:tc>
        <w:tc>
          <w:tcPr>
            <w:tcW w:w="867" w:type="dxa"/>
            <w:tcBorders>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restart"/>
            <w:tcBorders>
              <w:left w:val="single" w:color="auto" w:sz="4" w:space="0"/>
              <w:right w:val="single" w:color="auto" w:sz="4" w:space="0"/>
            </w:tcBorders>
            <w:noWrap/>
            <w:vAlign w:val="center"/>
          </w:tcPr>
          <w:p>
            <w:pPr>
              <w:ind w:left="0" w:leftChars="0" w:firstLine="0" w:firstLineChars="0"/>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人员配置</w:t>
            </w: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auto"/>
              <w:jc w:val="left"/>
              <w:rPr>
                <w:rFonts w:hint="default" w:ascii="宋体" w:hAnsi="宋体" w:eastAsia="宋体" w:cs="Times New Roman"/>
                <w:color w:val="auto"/>
                <w:kern w:val="2"/>
                <w:sz w:val="24"/>
                <w:szCs w:val="21"/>
                <w:highlight w:val="none"/>
                <w:lang w:val="en-US" w:eastAsia="zh-CN" w:bidi="ar-SA"/>
              </w:rPr>
            </w:pPr>
            <w:r>
              <w:rPr>
                <w:rFonts w:hint="eastAsia" w:ascii="宋体" w:hAnsi="宋体" w:eastAsia="宋体" w:cs="Times New Roman"/>
                <w:color w:val="auto"/>
                <w:sz w:val="24"/>
                <w:highlight w:val="none"/>
                <w:lang w:val="en-US" w:eastAsia="zh-CN"/>
              </w:rPr>
              <w:t>评委根据拟投入</w:t>
            </w:r>
            <w:r>
              <w:rPr>
                <w:rFonts w:hint="eastAsia" w:ascii="宋体" w:hAnsi="宋体" w:cs="Times New Roman"/>
                <w:color w:val="auto"/>
                <w:sz w:val="24"/>
                <w:highlight w:val="none"/>
                <w:lang w:val="en-US" w:eastAsia="zh-CN"/>
              </w:rPr>
              <w:t>的</w:t>
            </w:r>
            <w:r>
              <w:rPr>
                <w:rFonts w:hint="eastAsia" w:ascii="宋体" w:hAnsi="宋体" w:eastAsia="宋体" w:cs="Times New Roman"/>
                <w:color w:val="auto"/>
                <w:sz w:val="24"/>
                <w:highlight w:val="none"/>
                <w:lang w:val="en-US" w:eastAsia="zh-CN"/>
              </w:rPr>
              <w:t>安保人员综合素质、工作能力、工作经验等进行打分</w:t>
            </w:r>
            <w:r>
              <w:rPr>
                <w:rFonts w:hint="eastAsia" w:ascii="宋体" w:hAnsi="宋体" w:cs="Times New Roman"/>
                <w:color w:val="auto"/>
                <w:sz w:val="24"/>
                <w:highlight w:val="none"/>
                <w:lang w:val="en-US" w:eastAsia="zh-CN"/>
              </w:rPr>
              <w:t>。</w:t>
            </w:r>
          </w:p>
        </w:tc>
        <w:tc>
          <w:tcPr>
            <w:tcW w:w="867" w:type="dxa"/>
            <w:tcBorders>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eastAsia="宋体" w:cs="宋体"/>
                <w:color w:val="auto"/>
                <w:kern w:val="0"/>
                <w:sz w:val="24"/>
                <w:szCs w:val="21"/>
                <w:highlight w:val="none"/>
                <w:lang w:val="en-US" w:eastAsia="zh-CN" w:bidi="ar-SA"/>
              </w:rPr>
            </w:pPr>
            <w:r>
              <w:rPr>
                <w:rFonts w:hint="eastAsia" w:ascii="宋体" w:hAnsi="宋体" w:cs="宋体"/>
                <w:color w:val="auto"/>
                <w:kern w:val="0"/>
                <w:sz w:val="24"/>
                <w:szCs w:val="21"/>
                <w:highlight w:val="none"/>
                <w:lang w:val="en-US" w:eastAsia="zh-CN" w:bidi="ar-S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vMerge w:val="continue"/>
            <w:tcBorders>
              <w:left w:val="single" w:color="auto" w:sz="4" w:space="0"/>
              <w:right w:val="single" w:color="auto" w:sz="4" w:space="0"/>
            </w:tcBorders>
            <w:noWrap/>
            <w:vAlign w:val="center"/>
          </w:tcPr>
          <w:p>
            <w:pPr>
              <w:ind w:left="0" w:leftChars="0" w:firstLine="0" w:firstLineChars="0"/>
              <w:jc w:val="center"/>
              <w:rPr>
                <w:rFonts w:hint="eastAsia" w:ascii="宋体" w:hAnsi="宋体"/>
                <w:color w:val="auto"/>
                <w:sz w:val="24"/>
                <w:highlight w:val="none"/>
                <w:lang w:val="en-US" w:eastAsia="zh-CN"/>
              </w:rPr>
            </w:pP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auto"/>
              <w:jc w:val="left"/>
              <w:rPr>
                <w:rFonts w:hint="eastAsia" w:ascii="宋体" w:hAnsi="宋体" w:eastAsia="宋体" w:cs="Times New Roman"/>
                <w:color w:val="auto"/>
                <w:kern w:val="2"/>
                <w:sz w:val="24"/>
                <w:szCs w:val="21"/>
                <w:highlight w:val="none"/>
                <w:lang w:val="en-US" w:eastAsia="zh-CN" w:bidi="ar-SA"/>
              </w:rPr>
            </w:pPr>
            <w:r>
              <w:rPr>
                <w:rFonts w:hint="eastAsia" w:ascii="宋体" w:hAnsi="宋体" w:eastAsia="宋体" w:cs="Times New Roman"/>
                <w:color w:val="auto"/>
                <w:sz w:val="24"/>
                <w:highlight w:val="none"/>
                <w:lang w:val="en-US" w:eastAsia="zh-CN"/>
              </w:rPr>
              <w:t>评委根据拟投入</w:t>
            </w:r>
            <w:r>
              <w:rPr>
                <w:rFonts w:hint="eastAsia" w:ascii="宋体" w:hAnsi="宋体" w:cs="Times New Roman"/>
                <w:color w:val="auto"/>
                <w:sz w:val="24"/>
                <w:highlight w:val="none"/>
                <w:lang w:val="en-US" w:eastAsia="zh-CN"/>
              </w:rPr>
              <w:t>的</w:t>
            </w:r>
            <w:r>
              <w:rPr>
                <w:rFonts w:hint="eastAsia" w:ascii="宋体" w:hAnsi="宋体" w:eastAsia="宋体" w:cs="宋体"/>
                <w:color w:val="auto"/>
                <w:sz w:val="24"/>
                <w:szCs w:val="21"/>
                <w:highlight w:val="none"/>
                <w:lang w:eastAsia="zh-CN"/>
              </w:rPr>
              <w:t>保洁人员素质、工作能力、工作经验</w:t>
            </w:r>
            <w:r>
              <w:rPr>
                <w:rFonts w:hint="eastAsia" w:ascii="宋体" w:hAnsi="宋体" w:eastAsia="宋体" w:cs="宋体"/>
                <w:color w:val="auto"/>
                <w:sz w:val="24"/>
                <w:szCs w:val="21"/>
                <w:highlight w:val="none"/>
              </w:rPr>
              <w:t>等进行打分。</w:t>
            </w:r>
          </w:p>
        </w:tc>
        <w:tc>
          <w:tcPr>
            <w:tcW w:w="867" w:type="dxa"/>
            <w:tcBorders>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eastAsia="宋体" w:cs="宋体"/>
                <w:color w:val="auto"/>
                <w:kern w:val="0"/>
                <w:sz w:val="24"/>
                <w:szCs w:val="21"/>
                <w:highlight w:val="none"/>
                <w:lang w:val="en-US" w:eastAsia="zh-CN" w:bidi="ar-SA"/>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tcBorders>
              <w:left w:val="single" w:color="auto" w:sz="4" w:space="0"/>
              <w:right w:val="single" w:color="auto" w:sz="4" w:space="0"/>
            </w:tcBorders>
            <w:noWrap/>
            <w:vAlign w:val="center"/>
          </w:tcPr>
          <w:p>
            <w:pPr>
              <w:ind w:left="0" w:leftChars="0" w:firstLine="0" w:firstLineChars="0"/>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人员稳定措施</w:t>
            </w: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auto"/>
              <w:jc w:val="left"/>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评委根据</w:t>
            </w:r>
            <w:r>
              <w:rPr>
                <w:rFonts w:hint="eastAsia" w:ascii="宋体" w:hAnsi="宋体" w:cs="Times New Roman"/>
                <w:color w:val="auto"/>
                <w:sz w:val="24"/>
                <w:highlight w:val="none"/>
                <w:lang w:val="en-US" w:eastAsia="zh-CN"/>
              </w:rPr>
              <w:t>供应商提供的</w:t>
            </w:r>
            <w:r>
              <w:rPr>
                <w:rFonts w:hint="eastAsia" w:ascii="宋体" w:hAnsi="宋体" w:eastAsia="宋体" w:cs="Times New Roman"/>
                <w:color w:val="auto"/>
                <w:sz w:val="24"/>
                <w:highlight w:val="none"/>
                <w:lang w:val="en-US" w:eastAsia="zh-CN"/>
              </w:rPr>
              <w:t>稳定员工队伍措施的可行性等方面进行打分。</w:t>
            </w:r>
          </w:p>
        </w:tc>
        <w:tc>
          <w:tcPr>
            <w:tcW w:w="867" w:type="dxa"/>
            <w:tcBorders>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tcBorders>
              <w:left w:val="single" w:color="auto" w:sz="4" w:space="0"/>
              <w:right w:val="single" w:color="auto" w:sz="4" w:space="0"/>
            </w:tcBorders>
            <w:noWrap/>
            <w:vAlign w:val="center"/>
          </w:tcPr>
          <w:p>
            <w:pPr>
              <w:ind w:left="0" w:leftChars="0" w:firstLine="0" w:firstLineChars="0"/>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服务承诺</w:t>
            </w: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auto"/>
              <w:jc w:val="left"/>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对本项目服务要求、服务效果作出承诺，在满足</w:t>
            </w:r>
            <w:r>
              <w:rPr>
                <w:rFonts w:hint="eastAsia" w:ascii="宋体" w:hAnsi="宋体" w:cs="Times New Roman"/>
                <w:color w:val="auto"/>
                <w:sz w:val="24"/>
                <w:highlight w:val="none"/>
                <w:lang w:val="en-US" w:eastAsia="zh-CN"/>
              </w:rPr>
              <w:t>磋商</w:t>
            </w:r>
            <w:r>
              <w:rPr>
                <w:rFonts w:hint="eastAsia" w:ascii="宋体" w:hAnsi="宋体" w:eastAsia="宋体" w:cs="Times New Roman"/>
                <w:color w:val="auto"/>
                <w:sz w:val="24"/>
                <w:highlight w:val="none"/>
                <w:lang w:val="en-US" w:eastAsia="zh-CN"/>
              </w:rPr>
              <w:t>要求及考核办法的基础上制定保安、保洁服务的效果目标</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对采购方临时提出的其他服务需求作出服务承诺。评委根据效果目标详细、完善等情况打分。</w:t>
            </w:r>
          </w:p>
        </w:tc>
        <w:tc>
          <w:tcPr>
            <w:tcW w:w="867" w:type="dxa"/>
            <w:tcBorders>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13" w:type="dxa"/>
            <w:vMerge w:val="continue"/>
            <w:tcBorders>
              <w:left w:val="single" w:color="auto" w:sz="4" w:space="0"/>
              <w:right w:val="single" w:color="auto" w:sz="4" w:space="0"/>
            </w:tcBorders>
            <w:noWrap/>
            <w:vAlign w:val="center"/>
          </w:tcPr>
          <w:p>
            <w:pPr>
              <w:autoSpaceDE w:val="0"/>
              <w:autoSpaceDN w:val="0"/>
              <w:adjustRightInd w:val="0"/>
              <w:jc w:val="center"/>
              <w:textAlignment w:val="baseline"/>
              <w:rPr>
                <w:color w:val="auto"/>
                <w:highlight w:val="none"/>
              </w:rPr>
            </w:pPr>
          </w:p>
        </w:tc>
        <w:tc>
          <w:tcPr>
            <w:tcW w:w="1200" w:type="dxa"/>
            <w:tcBorders>
              <w:left w:val="single" w:color="auto" w:sz="4" w:space="0"/>
              <w:right w:val="single" w:color="auto" w:sz="4" w:space="0"/>
            </w:tcBorders>
            <w:noWrap/>
            <w:vAlign w:val="center"/>
          </w:tcPr>
          <w:p>
            <w:pPr>
              <w:ind w:left="0" w:leftChars="0" w:firstLine="0" w:firstLineChars="0"/>
              <w:jc w:val="center"/>
              <w:rPr>
                <w:rFonts w:hint="default" w:ascii="宋体" w:hAnsi="宋体"/>
                <w:color w:val="auto"/>
                <w:sz w:val="24"/>
                <w:highlight w:val="none"/>
                <w:lang w:val="en-US" w:eastAsia="zh-CN"/>
              </w:rPr>
            </w:pPr>
            <w:r>
              <w:rPr>
                <w:rFonts w:hint="eastAsia" w:ascii="宋体" w:hAnsi="宋体"/>
                <w:color w:val="auto"/>
                <w:sz w:val="24"/>
                <w:highlight w:val="none"/>
                <w:lang w:val="en-US" w:eastAsia="zh-CN"/>
              </w:rPr>
              <w:t>人员培训方案</w:t>
            </w: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auto"/>
              <w:jc w:val="left"/>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评委根据</w:t>
            </w:r>
            <w:r>
              <w:rPr>
                <w:rFonts w:hint="eastAsia" w:ascii="宋体" w:hAnsi="宋体" w:cs="Times New Roman"/>
                <w:color w:val="auto"/>
                <w:sz w:val="24"/>
                <w:highlight w:val="none"/>
                <w:lang w:val="en-US" w:eastAsia="zh-CN"/>
              </w:rPr>
              <w:t>供应商提供人员岗前培训及工作技能培训方案的科学性、可行性进行打分。</w:t>
            </w:r>
          </w:p>
        </w:tc>
        <w:tc>
          <w:tcPr>
            <w:tcW w:w="867" w:type="dxa"/>
            <w:tcBorders>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713" w:type="dxa"/>
            <w:vMerge w:val="continue"/>
            <w:tcBorders>
              <w:left w:val="single" w:color="auto" w:sz="4" w:space="0"/>
              <w:right w:val="single" w:color="auto" w:sz="4" w:space="0"/>
            </w:tcBorders>
            <w:noWrap/>
            <w:vAlign w:val="center"/>
          </w:tcPr>
          <w:p>
            <w:pPr>
              <w:widowControl/>
              <w:jc w:val="center"/>
              <w:rPr>
                <w:rFonts w:ascii="宋体" w:hAnsi="宋体"/>
                <w:color w:val="auto"/>
                <w:sz w:val="24"/>
                <w:highlight w:val="none"/>
              </w:rPr>
            </w:pPr>
          </w:p>
        </w:tc>
        <w:tc>
          <w:tcPr>
            <w:tcW w:w="1200" w:type="dxa"/>
            <w:tcBorders>
              <w:left w:val="nil"/>
              <w:right w:val="single" w:color="auto" w:sz="4" w:space="0"/>
            </w:tcBorders>
            <w:noWrap/>
            <w:vAlign w:val="center"/>
          </w:tcPr>
          <w:p>
            <w:pPr>
              <w:spacing w:line="312" w:lineRule="auto"/>
              <w:ind w:left="0" w:leftChars="0" w:firstLine="0" w:firstLineChars="0"/>
              <w:jc w:val="center"/>
              <w:rPr>
                <w:rFonts w:hint="eastAsia" w:ascii="宋体" w:hAnsi="宋体"/>
                <w:color w:val="auto"/>
                <w:sz w:val="24"/>
                <w:highlight w:val="none"/>
              </w:rPr>
            </w:pPr>
            <w:r>
              <w:rPr>
                <w:rFonts w:hint="eastAsia" w:ascii="宋体" w:hAnsi="宋体"/>
                <w:color w:val="auto"/>
                <w:sz w:val="24"/>
                <w:highlight w:val="none"/>
              </w:rPr>
              <w:t>应急保障措施</w:t>
            </w:r>
          </w:p>
        </w:tc>
        <w:tc>
          <w:tcPr>
            <w:tcW w:w="5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评委根据供应商提供的针对大型活动、节庆假日、防台防汛期间和临时突击性任务等特殊时期的应急保障措施进行综合打分。</w:t>
            </w:r>
          </w:p>
        </w:tc>
        <w:tc>
          <w:tcPr>
            <w:tcW w:w="867" w:type="dxa"/>
            <w:tcBorders>
              <w:top w:val="single" w:color="auto" w:sz="4" w:space="0"/>
              <w:left w:val="single" w:color="auto" w:sz="4" w:space="0"/>
              <w:bottom w:val="single" w:color="auto" w:sz="4" w:space="0"/>
              <w:right w:val="single" w:color="auto" w:sz="4" w:space="0"/>
            </w:tcBorders>
            <w:shd w:val="clear" w:color="auto" w:fill="auto"/>
            <w:noWrap/>
            <w:vAlign w:val="center"/>
          </w:tcPr>
          <w:p>
            <w:pPr>
              <w:ind w:left="0" w:leftChars="0" w:firstLine="0" w:firstLineChars="0"/>
              <w:jc w:val="center"/>
              <w:rPr>
                <w:rFonts w:hint="default" w:ascii="宋体" w:hAnsi="宋体" w:eastAsia="宋体" w:cs="宋体"/>
                <w:color w:val="auto"/>
                <w:kern w:val="2"/>
                <w:sz w:val="24"/>
                <w:szCs w:val="21"/>
                <w:highlight w:val="none"/>
                <w:lang w:val="en-US" w:eastAsia="zh-CN" w:bidi="ar-SA"/>
              </w:rPr>
            </w:pPr>
            <w:r>
              <w:rPr>
                <w:rFonts w:hint="eastAsia" w:ascii="宋体" w:hAnsi="宋体" w:cs="宋体"/>
                <w:color w:val="auto"/>
                <w:sz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713" w:type="dxa"/>
            <w:vMerge w:val="continue"/>
            <w:tcBorders>
              <w:left w:val="single" w:color="auto" w:sz="4" w:space="0"/>
              <w:right w:val="single" w:color="auto" w:sz="4" w:space="0"/>
            </w:tcBorders>
            <w:noWrap/>
            <w:vAlign w:val="center"/>
          </w:tcPr>
          <w:p>
            <w:pPr>
              <w:widowControl/>
              <w:jc w:val="center"/>
              <w:rPr>
                <w:rFonts w:ascii="宋体" w:hAnsi="宋体"/>
                <w:color w:val="auto"/>
                <w:sz w:val="24"/>
                <w:highlight w:val="none"/>
              </w:rPr>
            </w:pPr>
          </w:p>
        </w:tc>
        <w:tc>
          <w:tcPr>
            <w:tcW w:w="1200" w:type="dxa"/>
            <w:tcBorders>
              <w:left w:val="nil"/>
              <w:right w:val="single" w:color="auto" w:sz="4" w:space="0"/>
            </w:tcBorders>
            <w:noWrap/>
            <w:vAlign w:val="center"/>
          </w:tcPr>
          <w:p>
            <w:pPr>
              <w:spacing w:line="276" w:lineRule="auto"/>
              <w:ind w:left="0" w:leftChars="0" w:firstLine="0" w:firstLineChars="0"/>
              <w:jc w:val="center"/>
              <w:rPr>
                <w:rFonts w:hint="default" w:ascii="Calibri" w:eastAsia="宋体"/>
                <w:color w:val="auto"/>
                <w:sz w:val="24"/>
                <w:highlight w:val="none"/>
                <w:lang w:val="en-US" w:eastAsia="zh-CN"/>
              </w:rPr>
            </w:pPr>
            <w:r>
              <w:rPr>
                <w:rFonts w:hint="eastAsia" w:ascii="Calibri"/>
                <w:color w:val="auto"/>
                <w:sz w:val="24"/>
                <w:highlight w:val="none"/>
                <w:lang w:val="en-US" w:eastAsia="zh-CN"/>
              </w:rPr>
              <w:t>服务响应能力</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hint="default"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根据供应商的服务</w:t>
            </w:r>
            <w:r>
              <w:rPr>
                <w:rFonts w:hint="eastAsia" w:ascii="宋体" w:hAnsi="宋体" w:cs="Times New Roman"/>
                <w:color w:val="auto"/>
                <w:sz w:val="24"/>
                <w:highlight w:val="none"/>
                <w:lang w:val="en-US" w:eastAsia="zh-CN"/>
              </w:rPr>
              <w:t>响应能力进行打分，是否有专业的其他团队人员、技术人员，服务响应时效等情况进行打分</w:t>
            </w:r>
            <w:r>
              <w:rPr>
                <w:rFonts w:hint="eastAsia" w:ascii="宋体" w:hAnsi="宋体" w:eastAsia="宋体" w:cs="Times New Roman"/>
                <w:color w:val="auto"/>
                <w:sz w:val="24"/>
                <w:highlight w:val="none"/>
                <w:lang w:val="en-US" w:eastAsia="zh-CN"/>
              </w:rPr>
              <w:t>。</w:t>
            </w:r>
          </w:p>
        </w:tc>
        <w:tc>
          <w:tcPr>
            <w:tcW w:w="867" w:type="dxa"/>
            <w:tcBorders>
              <w:top w:val="single" w:color="auto" w:sz="4" w:space="0"/>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713" w:type="dxa"/>
            <w:vMerge w:val="restart"/>
            <w:tcBorders>
              <w:top w:val="single" w:color="auto" w:sz="4" w:space="0"/>
              <w:left w:val="single" w:color="auto" w:sz="4" w:space="0"/>
              <w:right w:val="single" w:color="auto" w:sz="4" w:space="0"/>
            </w:tcBorders>
            <w:noWrap/>
            <w:vAlign w:val="center"/>
          </w:tcPr>
          <w:p>
            <w:pPr>
              <w:spacing w:line="360" w:lineRule="auto"/>
              <w:ind w:left="0" w:leftChars="0" w:firstLine="0" w:firstLineChars="0"/>
              <w:jc w:val="center"/>
              <w:rPr>
                <w:rFonts w:ascii="宋体" w:hAnsi="宋体"/>
                <w:color w:val="auto"/>
                <w:sz w:val="24"/>
                <w:highlight w:val="none"/>
              </w:rPr>
            </w:pPr>
            <w:r>
              <w:rPr>
                <w:rFonts w:hint="eastAsia" w:ascii="宋体" w:hAnsi="宋体"/>
                <w:color w:val="auto"/>
                <w:sz w:val="24"/>
                <w:highlight w:val="none"/>
                <w:lang w:val="en-US" w:eastAsia="zh-CN"/>
              </w:rPr>
              <w:t>商务</w:t>
            </w:r>
            <w:r>
              <w:rPr>
                <w:rFonts w:hint="eastAsia" w:ascii="宋体" w:hAnsi="宋体"/>
                <w:color w:val="auto"/>
                <w:sz w:val="24"/>
                <w:highlight w:val="none"/>
              </w:rPr>
              <w:t>资信（</w:t>
            </w:r>
            <w:r>
              <w:rPr>
                <w:rFonts w:hint="eastAsia" w:ascii="宋体" w:hAnsi="宋体"/>
                <w:color w:val="auto"/>
                <w:sz w:val="24"/>
                <w:highlight w:val="none"/>
                <w:lang w:val="en-US" w:eastAsia="zh-CN"/>
              </w:rPr>
              <w:t>10分</w:t>
            </w:r>
            <w:r>
              <w:rPr>
                <w:rFonts w:hint="eastAsia" w:ascii="宋体" w:hAnsi="宋体"/>
                <w:color w:val="auto"/>
                <w:sz w:val="24"/>
                <w:highlight w:val="none"/>
              </w:rPr>
              <w:t>）</w:t>
            </w:r>
          </w:p>
        </w:tc>
        <w:tc>
          <w:tcPr>
            <w:tcW w:w="1200" w:type="dxa"/>
            <w:tcBorders>
              <w:top w:val="single" w:color="auto" w:sz="4" w:space="0"/>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eastAsia="宋体"/>
                <w:color w:val="auto"/>
                <w:sz w:val="24"/>
                <w:highlight w:val="none"/>
                <w:lang w:val="en-US" w:eastAsia="zh-CN"/>
              </w:rPr>
            </w:pPr>
            <w:r>
              <w:rPr>
                <w:rFonts w:hint="eastAsia" w:ascii="宋体" w:hAnsi="宋体" w:cs="宋体"/>
                <w:color w:val="auto"/>
                <w:kern w:val="2"/>
                <w:sz w:val="24"/>
                <w:szCs w:val="24"/>
                <w:highlight w:val="none"/>
                <w:lang w:val="en-US" w:eastAsia="zh-CN" w:bidi="ar-SA"/>
              </w:rPr>
              <w:t>认证证书</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autoSpaceDE w:val="0"/>
              <w:spacing w:line="360" w:lineRule="auto"/>
              <w:rPr>
                <w:rFonts w:ascii="宋体" w:hAnsi="宋体"/>
                <w:color w:val="auto"/>
                <w:sz w:val="24"/>
                <w:highlight w:val="none"/>
              </w:rPr>
            </w:pPr>
            <w:r>
              <w:rPr>
                <w:rFonts w:hint="eastAsia" w:ascii="宋体" w:hAnsi="宋体" w:cs="宋体"/>
                <w:color w:val="auto"/>
                <w:sz w:val="24"/>
                <w:szCs w:val="24"/>
                <w:highlight w:val="none"/>
                <w:lang w:val="en-US" w:eastAsia="zh-CN"/>
              </w:rPr>
              <w:t>认证证书</w:t>
            </w:r>
            <w:r>
              <w:rPr>
                <w:rFonts w:hint="eastAsia" w:ascii="宋体" w:hAnsi="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pPr>
              <w:spacing w:line="360" w:lineRule="auto"/>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13" w:type="dxa"/>
            <w:vMerge w:val="continue"/>
            <w:tcBorders>
              <w:left w:val="single" w:color="auto" w:sz="4" w:space="0"/>
              <w:right w:val="single" w:color="auto" w:sz="4" w:space="0"/>
            </w:tcBorders>
            <w:noWrap/>
            <w:vAlign w:val="center"/>
          </w:tcPr>
          <w:p>
            <w:pPr>
              <w:spacing w:line="360" w:lineRule="auto"/>
              <w:jc w:val="center"/>
              <w:rPr>
                <w:rFonts w:hint="eastAsia" w:ascii="宋体" w:hAnsi="宋体"/>
                <w:color w:val="auto"/>
                <w:sz w:val="24"/>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ign w:val="center"/>
          </w:tcPr>
          <w:p>
            <w:pPr>
              <w:ind w:left="0" w:leftChars="0" w:firstLine="0" w:firstLineChars="0"/>
              <w:jc w:val="center"/>
              <w:rPr>
                <w:rFonts w:hint="default" w:ascii="宋体" w:hAnsi="宋体"/>
                <w:color w:val="auto"/>
                <w:sz w:val="24"/>
                <w:highlight w:val="none"/>
                <w:lang w:val="en-US" w:eastAsia="zh-CN"/>
              </w:rPr>
            </w:pPr>
            <w:r>
              <w:rPr>
                <w:rFonts w:hint="eastAsia" w:ascii="宋体" w:hAnsi="宋体" w:cs="宋体"/>
                <w:color w:val="auto"/>
                <w:sz w:val="24"/>
                <w:szCs w:val="24"/>
                <w:highlight w:val="none"/>
                <w:lang w:val="en-US" w:eastAsia="zh-CN"/>
              </w:rPr>
              <w:t>荣誉</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autoSpaceDE w:val="0"/>
              <w:spacing w:line="360" w:lineRule="auto"/>
              <w:rPr>
                <w:rFonts w:hint="default" w:ascii="宋体" w:hAnsi="宋体"/>
                <w:color w:val="auto"/>
                <w:sz w:val="24"/>
                <w:highlight w:val="none"/>
                <w:lang w:val="en-US" w:eastAsia="zh-CN"/>
              </w:rPr>
            </w:pPr>
            <w:r>
              <w:rPr>
                <w:rFonts w:hint="eastAsia" w:ascii="宋体" w:hAnsi="宋体" w:cs="宋体"/>
                <w:color w:val="auto"/>
                <w:sz w:val="24"/>
                <w:szCs w:val="24"/>
                <w:highlight w:val="none"/>
                <w:lang w:val="en-US" w:eastAsia="zh-CN"/>
              </w:rPr>
              <w:t>供应商荣誉</w:t>
            </w:r>
            <w:r>
              <w:rPr>
                <w:rFonts w:hint="eastAsia" w:ascii="宋体" w:hAnsi="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pPr>
              <w:spacing w:line="360" w:lineRule="auto"/>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713" w:type="dxa"/>
            <w:vMerge w:val="continue"/>
            <w:tcBorders>
              <w:left w:val="single" w:color="auto" w:sz="4" w:space="0"/>
              <w:right w:val="single" w:color="auto" w:sz="4" w:space="0"/>
            </w:tcBorders>
            <w:noWrap/>
            <w:vAlign w:val="center"/>
          </w:tcPr>
          <w:p>
            <w:pPr>
              <w:spacing w:line="360" w:lineRule="auto"/>
              <w:jc w:val="center"/>
              <w:rPr>
                <w:rFonts w:hint="eastAsia" w:ascii="宋体" w:hAnsi="宋体"/>
                <w:color w:val="auto"/>
                <w:sz w:val="24"/>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ign w:val="center"/>
          </w:tcPr>
          <w:p>
            <w:pPr>
              <w:ind w:left="0" w:leftChars="0" w:firstLine="0" w:firstLineChars="0"/>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人员证书</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autoSpaceDE w:val="0"/>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人员证书</w:t>
            </w:r>
            <w:r>
              <w:rPr>
                <w:rFonts w:hint="eastAsia" w:ascii="宋体" w:hAnsi="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pPr>
              <w:spacing w:line="360" w:lineRule="auto"/>
              <w:ind w:left="0" w:leftChars="0" w:firstLine="0" w:firstLineChars="0"/>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713" w:type="dxa"/>
            <w:vMerge w:val="continue"/>
            <w:tcBorders>
              <w:left w:val="single" w:color="auto" w:sz="4" w:space="0"/>
              <w:right w:val="single" w:color="auto" w:sz="4" w:space="0"/>
            </w:tcBorders>
            <w:noWrap/>
            <w:vAlign w:val="center"/>
          </w:tcPr>
          <w:p>
            <w:pPr>
              <w:spacing w:line="360" w:lineRule="auto"/>
              <w:jc w:val="center"/>
              <w:rPr>
                <w:rFonts w:hint="eastAsia"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noWrap/>
            <w:vAlign w:val="center"/>
          </w:tcPr>
          <w:p>
            <w:pPr>
              <w:ind w:left="0" w:leftChars="0" w:firstLine="0" w:firstLineChars="0"/>
              <w:jc w:val="center"/>
              <w:rPr>
                <w:rFonts w:hint="eastAsia" w:ascii="宋体" w:hAnsi="宋体" w:eastAsia="宋体" w:cs="Times New Roman"/>
                <w:color w:val="auto"/>
                <w:kern w:val="2"/>
                <w:sz w:val="24"/>
                <w:szCs w:val="21"/>
                <w:highlight w:val="none"/>
                <w:lang w:val="en-US" w:eastAsia="zh-CN" w:bidi="ar-SA"/>
              </w:rPr>
            </w:pPr>
            <w:r>
              <w:rPr>
                <w:rFonts w:hint="eastAsia" w:ascii="宋体" w:hAnsi="宋体"/>
                <w:color w:val="auto"/>
                <w:sz w:val="24"/>
                <w:highlight w:val="none"/>
              </w:rPr>
              <w:t>业绩</w:t>
            </w:r>
          </w:p>
        </w:tc>
        <w:tc>
          <w:tcPr>
            <w:tcW w:w="5966" w:type="dxa"/>
            <w:gridSpan w:val="2"/>
            <w:tcBorders>
              <w:top w:val="single" w:color="auto" w:sz="4" w:space="0"/>
              <w:left w:val="single" w:color="auto" w:sz="4" w:space="0"/>
              <w:bottom w:val="single" w:color="auto" w:sz="4" w:space="0"/>
              <w:right w:val="single" w:color="auto" w:sz="4" w:space="0"/>
            </w:tcBorders>
            <w:noWrap/>
            <w:vAlign w:val="center"/>
          </w:tcPr>
          <w:p>
            <w:pPr>
              <w:autoSpaceDE w:val="0"/>
              <w:spacing w:line="360" w:lineRule="auto"/>
              <w:rPr>
                <w:rFonts w:hint="eastAsia" w:ascii="宋体" w:hAnsi="宋体" w:eastAsia="宋体" w:cs="Times New Roman"/>
                <w:color w:val="auto"/>
                <w:kern w:val="2"/>
                <w:sz w:val="24"/>
                <w:szCs w:val="21"/>
                <w:highlight w:val="none"/>
                <w:lang w:val="en-US" w:eastAsia="zh-CN" w:bidi="ar-SA"/>
              </w:rPr>
            </w:pPr>
            <w:r>
              <w:rPr>
                <w:rFonts w:hint="eastAsia" w:ascii="宋体" w:hAnsi="宋体"/>
                <w:color w:val="auto"/>
                <w:sz w:val="24"/>
                <w:highlight w:val="none"/>
                <w:lang w:val="en-US" w:eastAsia="zh-CN"/>
              </w:rPr>
              <w:t>供应商</w:t>
            </w:r>
            <w:r>
              <w:rPr>
                <w:rFonts w:hint="eastAsia" w:ascii="宋体" w:hAnsi="宋体"/>
                <w:color w:val="auto"/>
                <w:sz w:val="24"/>
                <w:highlight w:val="none"/>
              </w:rPr>
              <w:t>业绩</w:t>
            </w:r>
            <w:r>
              <w:rPr>
                <w:rFonts w:hint="eastAsia" w:ascii="宋体" w:hAnsi="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pPr>
              <w:spacing w:line="360" w:lineRule="auto"/>
              <w:ind w:left="0" w:leftChars="0" w:firstLine="0" w:firstLineChars="0"/>
              <w:jc w:val="center"/>
              <w:rPr>
                <w:rFonts w:hint="eastAsia" w:ascii="宋体" w:hAnsi="宋体" w:eastAsia="宋体" w:cs="宋体"/>
                <w:color w:val="auto"/>
                <w:kern w:val="2"/>
                <w:sz w:val="24"/>
                <w:szCs w:val="21"/>
                <w:highlight w:val="none"/>
                <w:lang w:val="en-US" w:eastAsia="zh-CN" w:bidi="ar-SA"/>
              </w:rPr>
            </w:pPr>
            <w:r>
              <w:rPr>
                <w:rFonts w:hint="eastAsia" w:ascii="宋体" w:hAnsi="宋体" w:cs="宋体"/>
                <w:color w:val="auto"/>
                <w:sz w:val="24"/>
                <w:highlight w:val="none"/>
                <w:lang w:val="en-US" w:eastAsia="zh-CN"/>
              </w:rPr>
              <w:t>2</w:t>
            </w:r>
          </w:p>
        </w:tc>
      </w:tr>
    </w:tbl>
    <w:p>
      <w:pPr>
        <w:numPr>
          <w:ilvl w:val="0"/>
          <w:numId w:val="0"/>
        </w:numPr>
        <w:ind w:firstLine="482" w:firstLineChars="200"/>
        <w:rPr>
          <w:rFonts w:ascii="宋体"/>
          <w:b/>
          <w:bCs/>
          <w:color w:val="auto"/>
          <w:sz w:val="24"/>
          <w:szCs w:val="24"/>
          <w:highlight w:val="none"/>
        </w:rPr>
      </w:pPr>
    </w:p>
    <w:p>
      <w:pPr>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2、商务</w:t>
      </w:r>
      <w:r>
        <w:rPr>
          <w:rFonts w:hint="eastAsia" w:ascii="宋体" w:hAnsi="宋体" w:cs="宋体"/>
          <w:b/>
          <w:bCs/>
          <w:color w:val="auto"/>
          <w:sz w:val="24"/>
          <w:szCs w:val="24"/>
          <w:highlight w:val="none"/>
          <w:lang w:val="en-US" w:eastAsia="zh-CN"/>
        </w:rPr>
        <w:t>资信</w:t>
      </w:r>
      <w:r>
        <w:rPr>
          <w:rFonts w:hint="eastAsia" w:ascii="宋体" w:hAnsi="宋体" w:cs="宋体"/>
          <w:b/>
          <w:bCs/>
          <w:color w:val="auto"/>
          <w:sz w:val="24"/>
          <w:szCs w:val="24"/>
          <w:highlight w:val="none"/>
        </w:rPr>
        <w:t>要求表</w:t>
      </w:r>
      <w:r>
        <w:rPr>
          <w:rFonts w:hint="eastAsia" w:ascii="宋体" w:hAnsi="宋体" w:cs="宋体"/>
          <w:color w:val="auto"/>
          <w:sz w:val="24"/>
          <w:szCs w:val="24"/>
          <w:highlight w:val="none"/>
        </w:rPr>
        <w:t>（对应评分标准）</w:t>
      </w:r>
    </w:p>
    <w:tbl>
      <w:tblPr>
        <w:tblStyle w:val="29"/>
        <w:tblW w:w="51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1215"/>
        <w:gridCol w:w="5868"/>
        <w:gridCol w:w="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513" w:type="pct"/>
            <w:vMerge w:val="restart"/>
            <w:tcBorders>
              <w:top w:val="single" w:color="auto" w:sz="4" w:space="0"/>
              <w:left w:val="single" w:color="auto" w:sz="4" w:space="0"/>
              <w:right w:val="single" w:color="auto" w:sz="4" w:space="0"/>
            </w:tcBorders>
            <w:noWrap w:val="0"/>
            <w:vAlign w:val="center"/>
          </w:tcPr>
          <w:p>
            <w:pPr>
              <w:ind w:left="0" w:leftChars="0" w:firstLine="0" w:firstLineChars="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商务</w:t>
            </w:r>
            <w:r>
              <w:rPr>
                <w:rFonts w:hint="eastAsia" w:ascii="宋体" w:hAnsi="宋体" w:eastAsia="宋体" w:cs="宋体"/>
                <w:color w:val="auto"/>
                <w:sz w:val="24"/>
                <w:szCs w:val="24"/>
                <w:highlight w:val="none"/>
              </w:rPr>
              <w:t>资信</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p>
          <w:p>
            <w:pPr>
              <w:jc w:val="center"/>
              <w:rPr>
                <w:rFonts w:hint="eastAsia" w:ascii="宋体" w:hAnsi="宋体" w:eastAsia="宋体" w:cs="宋体"/>
                <w:color w:val="auto"/>
                <w:sz w:val="24"/>
                <w:szCs w:val="24"/>
              </w:rPr>
            </w:pPr>
          </w:p>
          <w:p>
            <w:pPr>
              <w:pStyle w:val="6"/>
              <w:rPr>
                <w:rFonts w:hint="eastAsia" w:ascii="宋体" w:hAnsi="宋体" w:eastAsia="宋体" w:cs="宋体"/>
                <w:color w:val="auto"/>
                <w:sz w:val="24"/>
                <w:szCs w:val="24"/>
              </w:rPr>
            </w:pPr>
          </w:p>
        </w:tc>
        <w:tc>
          <w:tcPr>
            <w:tcW w:w="692" w:type="pct"/>
            <w:tcBorders>
              <w:top w:val="single" w:color="auto" w:sz="4" w:space="0"/>
              <w:left w:val="single" w:color="auto" w:sz="4" w:space="0"/>
              <w:bottom w:val="single" w:color="auto" w:sz="4" w:space="0"/>
              <w:right w:val="single" w:color="auto" w:sz="4" w:space="0"/>
            </w:tcBorders>
            <w:noWrap w:val="0"/>
            <w:vAlign w:val="center"/>
          </w:tcPr>
          <w:p>
            <w:pPr>
              <w:spacing w:line="276" w:lineRule="auto"/>
              <w:ind w:left="0" w:leftChars="0"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认证证书</w:t>
            </w:r>
          </w:p>
        </w:tc>
        <w:tc>
          <w:tcPr>
            <w:tcW w:w="3341"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具有有效的</w:t>
            </w:r>
            <w:r>
              <w:rPr>
                <w:rFonts w:hint="eastAsia" w:ascii="宋体" w:hAnsi="宋体" w:cs="宋体"/>
                <w:color w:val="auto"/>
                <w:sz w:val="24"/>
                <w:szCs w:val="24"/>
                <w:highlight w:val="none"/>
                <w:lang w:val="en-US" w:eastAsia="zh-CN"/>
              </w:rPr>
              <w:t>质量管理体系</w:t>
            </w:r>
            <w:r>
              <w:rPr>
                <w:rFonts w:hint="eastAsia" w:ascii="宋体" w:hAnsi="宋体" w:eastAsia="宋体" w:cs="宋体"/>
                <w:color w:val="auto"/>
                <w:sz w:val="24"/>
                <w:szCs w:val="24"/>
                <w:highlight w:val="none"/>
                <w:lang w:val="en-US" w:eastAsia="zh-CN"/>
              </w:rPr>
              <w:t>认证证书、</w:t>
            </w:r>
            <w:r>
              <w:rPr>
                <w:rFonts w:hint="eastAsia" w:ascii="宋体" w:hAnsi="宋体" w:cs="宋体"/>
                <w:color w:val="auto"/>
                <w:sz w:val="24"/>
                <w:szCs w:val="24"/>
                <w:highlight w:val="none"/>
                <w:lang w:val="en-US" w:eastAsia="zh-CN"/>
              </w:rPr>
              <w:t>职业健康管理</w:t>
            </w:r>
            <w:r>
              <w:rPr>
                <w:rFonts w:hint="eastAsia" w:ascii="宋体" w:hAnsi="宋体" w:eastAsia="宋体" w:cs="宋体"/>
                <w:color w:val="auto"/>
                <w:sz w:val="24"/>
                <w:szCs w:val="24"/>
                <w:highlight w:val="none"/>
                <w:lang w:val="en-US" w:eastAsia="zh-CN"/>
              </w:rPr>
              <w:t>体系认证证书、</w:t>
            </w:r>
            <w:r>
              <w:rPr>
                <w:rFonts w:hint="eastAsia" w:ascii="宋体" w:hAnsi="宋体" w:cs="宋体"/>
                <w:color w:val="auto"/>
                <w:sz w:val="24"/>
                <w:szCs w:val="24"/>
                <w:highlight w:val="none"/>
                <w:lang w:val="en-US" w:eastAsia="zh-CN"/>
              </w:rPr>
              <w:t>环境健康管理</w:t>
            </w:r>
            <w:r>
              <w:rPr>
                <w:rFonts w:hint="eastAsia" w:ascii="宋体" w:hAnsi="宋体" w:eastAsia="宋体" w:cs="宋体"/>
                <w:color w:val="auto"/>
                <w:sz w:val="24"/>
                <w:szCs w:val="24"/>
                <w:highlight w:val="none"/>
                <w:lang w:val="en-US" w:eastAsia="zh-CN"/>
              </w:rPr>
              <w:t>体系认证证书</w:t>
            </w:r>
            <w:r>
              <w:rPr>
                <w:rFonts w:hint="eastAsia" w:ascii="宋体" w:hAnsi="宋体" w:cs="宋体"/>
                <w:color w:val="auto"/>
                <w:sz w:val="24"/>
                <w:szCs w:val="24"/>
                <w:highlight w:val="none"/>
                <w:lang w:val="en-US" w:eastAsia="zh-CN"/>
              </w:rPr>
              <w:t>、能源管理体系认证证书、培训管理体系认证证书、生活垃圾分类服务能力认证证书</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，且认证范围覆盖物业管理，</w:t>
            </w:r>
            <w:r>
              <w:rPr>
                <w:rFonts w:hint="eastAsia" w:ascii="宋体" w:hAnsi="宋体" w:eastAsia="宋体" w:cs="宋体"/>
                <w:color w:val="auto"/>
                <w:sz w:val="24"/>
                <w:szCs w:val="24"/>
                <w:highlight w:val="none"/>
                <w:lang w:val="en-US" w:eastAsia="zh-CN"/>
              </w:rPr>
              <w:t>每个得</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分，最高得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分，须</w:t>
            </w:r>
            <w:r>
              <w:rPr>
                <w:rFonts w:hint="eastAsia" w:ascii="宋体" w:hAnsi="宋体" w:cs="宋体"/>
                <w:color w:val="auto"/>
                <w:sz w:val="24"/>
                <w:szCs w:val="24"/>
                <w:highlight w:val="none"/>
                <w:lang w:val="en-US" w:eastAsia="zh-CN"/>
              </w:rPr>
              <w:t>同时</w:t>
            </w:r>
            <w:r>
              <w:rPr>
                <w:rFonts w:hint="eastAsia" w:ascii="宋体" w:hAnsi="宋体" w:eastAsia="宋体" w:cs="宋体"/>
                <w:color w:val="auto"/>
                <w:sz w:val="24"/>
                <w:szCs w:val="24"/>
                <w:highlight w:val="none"/>
                <w:lang w:val="en-US" w:eastAsia="zh-CN"/>
              </w:rPr>
              <w:t>提供证书扫描件</w:t>
            </w:r>
            <w:r>
              <w:rPr>
                <w:rFonts w:hint="eastAsia" w:ascii="宋体" w:hAnsi="宋体" w:cs="宋体"/>
                <w:color w:val="auto"/>
                <w:sz w:val="24"/>
                <w:szCs w:val="24"/>
                <w:highlight w:val="none"/>
                <w:lang w:val="en-US" w:eastAsia="zh-CN"/>
              </w:rPr>
              <w:t>及全国认证认可信息公共服务平台截图</w:t>
            </w:r>
            <w:r>
              <w:rPr>
                <w:rFonts w:hint="eastAsia" w:ascii="宋体" w:hAnsi="宋体" w:eastAsia="宋体" w:cs="宋体"/>
                <w:color w:val="auto"/>
                <w:sz w:val="24"/>
                <w:szCs w:val="24"/>
                <w:highlight w:val="none"/>
                <w:lang w:val="en-US" w:eastAsia="zh-CN"/>
              </w:rPr>
              <w:t>并</w:t>
            </w:r>
            <w:r>
              <w:rPr>
                <w:rFonts w:hint="eastAsia" w:ascii="宋体" w:hAnsi="宋体" w:eastAsia="宋体" w:cs="Times New Roman"/>
                <w:color w:val="auto"/>
                <w:sz w:val="24"/>
                <w:highlight w:val="none"/>
                <w:lang w:val="en-US" w:eastAsia="zh-CN"/>
              </w:rPr>
              <w:t>加盖</w:t>
            </w:r>
            <w:r>
              <w:rPr>
                <w:rFonts w:hint="eastAsia" w:ascii="宋体" w:hAnsi="宋体" w:eastAsia="宋体" w:cs="宋体"/>
                <w:color w:val="auto"/>
                <w:sz w:val="24"/>
                <w:szCs w:val="24"/>
                <w:highlight w:val="none"/>
                <w:lang w:val="en-US" w:eastAsia="zh-CN"/>
              </w:rPr>
              <w:t>投标人公章。</w:t>
            </w:r>
          </w:p>
        </w:tc>
        <w:tc>
          <w:tcPr>
            <w:tcW w:w="452" w:type="pct"/>
            <w:tcBorders>
              <w:top w:val="single" w:color="auto" w:sz="4" w:space="0"/>
              <w:left w:val="single" w:color="auto" w:sz="4" w:space="0"/>
              <w:bottom w:val="single" w:color="auto" w:sz="4" w:space="0"/>
              <w:right w:val="single" w:color="auto" w:sz="4" w:space="0"/>
            </w:tcBorders>
            <w:noWrap w:val="0"/>
            <w:vAlign w:val="center"/>
          </w:tcPr>
          <w:p>
            <w:pPr>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513" w:type="pct"/>
            <w:vMerge w:val="continue"/>
            <w:tcBorders>
              <w:left w:val="single" w:color="auto" w:sz="4" w:space="0"/>
              <w:right w:val="single" w:color="auto" w:sz="4" w:space="0"/>
            </w:tcBorders>
            <w:noWrap w:val="0"/>
            <w:vAlign w:val="center"/>
          </w:tcPr>
          <w:p>
            <w:pPr>
              <w:pStyle w:val="6"/>
              <w:rPr>
                <w:rFonts w:hint="eastAsia" w:ascii="宋体" w:hAnsi="宋体" w:eastAsia="宋体" w:cs="宋体"/>
                <w:color w:val="auto"/>
                <w:sz w:val="24"/>
                <w:szCs w:val="24"/>
              </w:rPr>
            </w:pPr>
          </w:p>
        </w:tc>
        <w:tc>
          <w:tcPr>
            <w:tcW w:w="692" w:type="pct"/>
            <w:tcBorders>
              <w:top w:val="single" w:color="auto" w:sz="4" w:space="0"/>
              <w:left w:val="single" w:color="auto" w:sz="4" w:space="0"/>
              <w:right w:val="single" w:color="auto" w:sz="4" w:space="0"/>
            </w:tcBorders>
            <w:noWrap w:val="0"/>
            <w:vAlign w:val="center"/>
          </w:tcPr>
          <w:p>
            <w:pPr>
              <w:spacing w:line="276" w:lineRule="auto"/>
              <w:ind w:left="0" w:leftChars="0"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供应商荣誉</w:t>
            </w:r>
          </w:p>
        </w:tc>
        <w:tc>
          <w:tcPr>
            <w:tcW w:w="3341"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供应商自2022年1月1日（以荣誉授予时间为准）以来获得区县级行业主管部门颁发荣誉的每个得1分，市级及以上行业主管部门颁发荣誉的每个得2分，最高得2分。</w:t>
            </w:r>
            <w:r>
              <w:rPr>
                <w:rFonts w:hint="eastAsia" w:ascii="宋体" w:hAnsi="宋体" w:cs="宋体"/>
                <w:color w:val="auto"/>
                <w:sz w:val="24"/>
                <w:szCs w:val="24"/>
                <w:highlight w:val="none"/>
                <w:lang w:val="en-US" w:eastAsia="zh-CN"/>
              </w:rPr>
              <w:t>须</w:t>
            </w:r>
            <w:r>
              <w:rPr>
                <w:rFonts w:hint="eastAsia" w:ascii="宋体" w:hAnsi="宋体" w:cs="宋体"/>
                <w:color w:val="auto"/>
                <w:sz w:val="24"/>
                <w:highlight w:val="none"/>
                <w:lang w:val="en-US" w:eastAsia="zh-CN"/>
              </w:rPr>
              <w:t>提供证书或文件扫描件并加盖单位公章。</w:t>
            </w:r>
          </w:p>
        </w:tc>
        <w:tc>
          <w:tcPr>
            <w:tcW w:w="452" w:type="pct"/>
            <w:tcBorders>
              <w:top w:val="single" w:color="auto" w:sz="4" w:space="0"/>
              <w:left w:val="single" w:color="auto" w:sz="4" w:space="0"/>
              <w:bottom w:val="single" w:color="auto" w:sz="4" w:space="0"/>
              <w:right w:val="single" w:color="auto" w:sz="4" w:space="0"/>
            </w:tcBorders>
            <w:noWrap w:val="0"/>
            <w:vAlign w:val="center"/>
          </w:tcPr>
          <w:p>
            <w:pPr>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513" w:type="pct"/>
            <w:vMerge w:val="continue"/>
            <w:tcBorders>
              <w:left w:val="single" w:color="auto" w:sz="4" w:space="0"/>
              <w:right w:val="single" w:color="auto" w:sz="4" w:space="0"/>
            </w:tcBorders>
            <w:noWrap w:val="0"/>
            <w:vAlign w:val="center"/>
          </w:tcPr>
          <w:p>
            <w:pPr>
              <w:pStyle w:val="6"/>
              <w:rPr>
                <w:rFonts w:hint="eastAsia" w:ascii="宋体" w:hAnsi="宋体" w:eastAsia="宋体" w:cs="宋体"/>
                <w:color w:val="auto"/>
                <w:sz w:val="24"/>
                <w:szCs w:val="24"/>
              </w:rPr>
            </w:pPr>
          </w:p>
        </w:tc>
        <w:tc>
          <w:tcPr>
            <w:tcW w:w="692" w:type="pct"/>
            <w:tcBorders>
              <w:top w:val="single" w:color="auto" w:sz="4" w:space="0"/>
              <w:left w:val="single" w:color="auto" w:sz="4" w:space="0"/>
              <w:right w:val="single" w:color="auto" w:sz="4" w:space="0"/>
            </w:tcBorders>
            <w:noWrap w:val="0"/>
            <w:vAlign w:val="center"/>
          </w:tcPr>
          <w:p>
            <w:pPr>
              <w:spacing w:line="276" w:lineRule="auto"/>
              <w:ind w:left="0" w:leftChars="0" w:firstLine="0" w:firstLineChars="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人员证书</w:t>
            </w:r>
          </w:p>
        </w:tc>
        <w:tc>
          <w:tcPr>
            <w:tcW w:w="3341"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供应商拟派项目负责人</w:t>
            </w:r>
            <w:bookmarkStart w:id="117" w:name="_GoBack"/>
            <w:bookmarkEnd w:id="117"/>
            <w:r>
              <w:rPr>
                <w:rFonts w:hint="eastAsia" w:ascii="宋体" w:hAnsi="宋体" w:cs="宋体"/>
                <w:color w:val="auto"/>
                <w:sz w:val="24"/>
                <w:highlight w:val="none"/>
                <w:lang w:val="en-US" w:eastAsia="zh-CN"/>
              </w:rPr>
              <w:t>具有大专及以上学历证书、物业项目经理岗位证书、红十字会颁发的救护员证（有效期内）的每个得1分，本项最高得3分。（</w:t>
            </w:r>
            <w:r>
              <w:rPr>
                <w:rFonts w:hint="eastAsia" w:ascii="宋体" w:hAnsi="宋体" w:cs="宋体"/>
                <w:color w:val="auto"/>
                <w:sz w:val="24"/>
                <w:szCs w:val="24"/>
                <w:highlight w:val="none"/>
                <w:lang w:val="en-US" w:eastAsia="zh-CN"/>
              </w:rPr>
              <w:t>须</w:t>
            </w:r>
            <w:r>
              <w:rPr>
                <w:rFonts w:hint="eastAsia" w:ascii="宋体" w:hAnsi="宋体" w:cs="宋体"/>
                <w:color w:val="auto"/>
                <w:sz w:val="24"/>
                <w:highlight w:val="none"/>
                <w:lang w:val="en-US" w:eastAsia="zh-CN"/>
              </w:rPr>
              <w:t>提供证书扫描件和本单位的社保证明并加盖单位公章，不提供不得分。）</w:t>
            </w:r>
          </w:p>
        </w:tc>
        <w:tc>
          <w:tcPr>
            <w:tcW w:w="452" w:type="pct"/>
            <w:tcBorders>
              <w:top w:val="single" w:color="auto" w:sz="4" w:space="0"/>
              <w:left w:val="single" w:color="auto" w:sz="4" w:space="0"/>
              <w:bottom w:val="single" w:color="auto" w:sz="4" w:space="0"/>
              <w:right w:val="single" w:color="auto" w:sz="4" w:space="0"/>
            </w:tcBorders>
            <w:noWrap w:val="0"/>
            <w:vAlign w:val="center"/>
          </w:tcPr>
          <w:p>
            <w:pPr>
              <w:ind w:left="0" w:leftChars="0" w:firstLine="0" w:firstLineChars="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2" w:hRule="atLeast"/>
          <w:jc w:val="center"/>
        </w:trPr>
        <w:tc>
          <w:tcPr>
            <w:tcW w:w="513" w:type="pct"/>
            <w:vMerge w:val="continue"/>
            <w:tcBorders>
              <w:left w:val="single" w:color="auto" w:sz="4" w:space="0"/>
              <w:right w:val="single" w:color="auto" w:sz="4" w:space="0"/>
            </w:tcBorders>
            <w:noWrap w:val="0"/>
            <w:vAlign w:val="center"/>
          </w:tcPr>
          <w:p>
            <w:pPr>
              <w:pStyle w:val="6"/>
              <w:rPr>
                <w:rFonts w:hint="eastAsia" w:ascii="宋体" w:hAnsi="宋体" w:eastAsia="宋体" w:cs="宋体"/>
                <w:color w:val="auto"/>
                <w:sz w:val="24"/>
                <w:szCs w:val="24"/>
              </w:rPr>
            </w:pPr>
          </w:p>
        </w:tc>
        <w:tc>
          <w:tcPr>
            <w:tcW w:w="692" w:type="pct"/>
            <w:tcBorders>
              <w:top w:val="single" w:color="auto" w:sz="4" w:space="0"/>
              <w:left w:val="single" w:color="auto" w:sz="4" w:space="0"/>
              <w:right w:val="single" w:color="auto" w:sz="4" w:space="0"/>
            </w:tcBorders>
            <w:noWrap w:val="0"/>
            <w:vAlign w:val="center"/>
          </w:tcPr>
          <w:p>
            <w:pPr>
              <w:spacing w:line="276" w:lineRule="auto"/>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业绩</w:t>
            </w:r>
          </w:p>
        </w:tc>
        <w:tc>
          <w:tcPr>
            <w:tcW w:w="3341" w:type="pct"/>
            <w:tcBorders>
              <w:top w:val="single" w:color="auto" w:sz="4" w:space="0"/>
              <w:left w:val="single" w:color="auto" w:sz="4" w:space="0"/>
              <w:right w:val="single" w:color="auto" w:sz="4" w:space="0"/>
            </w:tcBorders>
            <w:noWrap w:val="0"/>
            <w:vAlign w:val="center"/>
          </w:tcPr>
          <w:p>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年1月1日以来（以合同签订时间为准）承担过类似项目</w:t>
            </w:r>
            <w:r>
              <w:rPr>
                <w:rFonts w:hint="eastAsia" w:ascii="宋体" w:hAnsi="宋体" w:cs="宋体"/>
                <w:color w:val="auto"/>
                <w:sz w:val="24"/>
                <w:szCs w:val="24"/>
                <w:highlight w:val="none"/>
                <w:lang w:eastAsia="zh-CN"/>
              </w:rPr>
              <w:t>的</w:t>
            </w:r>
            <w:r>
              <w:rPr>
                <w:rFonts w:hint="eastAsia" w:ascii="宋体" w:hAnsi="宋体" w:eastAsia="宋体" w:cs="宋体"/>
                <w:color w:val="auto"/>
                <w:sz w:val="24"/>
                <w:szCs w:val="24"/>
                <w:highlight w:val="none"/>
              </w:rPr>
              <w:t>每个得</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rPr>
              <w:t>分，本项最</w:t>
            </w:r>
            <w:r>
              <w:rPr>
                <w:rFonts w:hint="eastAsia" w:ascii="宋体" w:hAnsi="宋体" w:cs="宋体"/>
                <w:color w:val="auto"/>
                <w:sz w:val="24"/>
                <w:szCs w:val="24"/>
                <w:highlight w:val="none"/>
                <w:lang w:val="en-US" w:eastAsia="zh-CN"/>
              </w:rPr>
              <w:t>高</w:t>
            </w:r>
            <w:r>
              <w:rPr>
                <w:rFonts w:hint="eastAsia" w:ascii="宋体" w:hAnsi="宋体" w:eastAsia="宋体" w:cs="宋体"/>
                <w:color w:val="auto"/>
                <w:sz w:val="24"/>
                <w:szCs w:val="24"/>
                <w:highlight w:val="none"/>
              </w:rPr>
              <w:t>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val="en-US" w:eastAsia="zh-CN"/>
              </w:rPr>
              <w:t>须同时</w:t>
            </w:r>
            <w:r>
              <w:rPr>
                <w:rFonts w:hint="eastAsia" w:ascii="宋体" w:hAnsi="宋体" w:eastAsia="宋体" w:cs="宋体"/>
                <w:color w:val="auto"/>
                <w:sz w:val="24"/>
                <w:szCs w:val="24"/>
                <w:highlight w:val="none"/>
              </w:rPr>
              <w:t>提供合同</w:t>
            </w:r>
            <w:r>
              <w:rPr>
                <w:rFonts w:hint="eastAsia" w:ascii="宋体" w:hAnsi="宋体" w:cs="宋体"/>
                <w:color w:val="auto"/>
                <w:sz w:val="24"/>
                <w:szCs w:val="24"/>
                <w:highlight w:val="none"/>
                <w:lang w:val="en-US" w:eastAsia="zh-CN"/>
              </w:rPr>
              <w:t>及中标通知书</w:t>
            </w:r>
            <w:r>
              <w:rPr>
                <w:rFonts w:hint="eastAsia" w:ascii="宋体" w:hAnsi="宋体" w:eastAsia="宋体" w:cs="宋体"/>
                <w:color w:val="auto"/>
                <w:kern w:val="0"/>
                <w:sz w:val="24"/>
                <w:szCs w:val="24"/>
                <w:highlight w:val="none"/>
              </w:rPr>
              <w:t>扫描件</w:t>
            </w:r>
            <w:r>
              <w:rPr>
                <w:rFonts w:hint="eastAsia" w:ascii="宋体" w:hAnsi="宋体" w:cs="宋体"/>
                <w:color w:val="auto"/>
                <w:kern w:val="0"/>
                <w:sz w:val="24"/>
                <w:szCs w:val="24"/>
                <w:highlight w:val="none"/>
                <w:lang w:val="en-US" w:eastAsia="zh-CN"/>
              </w:rPr>
              <w:t>并</w:t>
            </w:r>
            <w:r>
              <w:rPr>
                <w:rFonts w:hint="eastAsia" w:ascii="宋体" w:hAnsi="宋体" w:eastAsia="宋体" w:cs="宋体"/>
                <w:color w:val="auto"/>
                <w:sz w:val="24"/>
                <w:szCs w:val="24"/>
                <w:highlight w:val="none"/>
              </w:rPr>
              <w:t>加盖公章，未提供不得分。</w:t>
            </w:r>
          </w:p>
        </w:tc>
        <w:tc>
          <w:tcPr>
            <w:tcW w:w="452" w:type="pct"/>
            <w:tcBorders>
              <w:top w:val="single" w:color="auto" w:sz="4" w:space="0"/>
              <w:left w:val="single" w:color="auto" w:sz="4" w:space="0"/>
              <w:bottom w:val="single" w:color="auto" w:sz="4" w:space="0"/>
              <w:right w:val="single" w:color="auto" w:sz="4" w:space="0"/>
            </w:tcBorders>
            <w:noWrap w:val="0"/>
            <w:vAlign w:val="center"/>
          </w:tcPr>
          <w:p>
            <w:pPr>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r>
    </w:tbl>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、评标委员会各成员应当独立对每个供应商的响应文件进行评价，并汇总每个供应商的得分。资信分为客观分，也需独立进行评价并核对分值，最终分值需一致。</w:t>
      </w:r>
    </w:p>
    <w:p>
      <w:pPr>
        <w:spacing w:line="360" w:lineRule="auto"/>
        <w:ind w:firstLine="480" w:firstLineChars="200"/>
        <w:rPr>
          <w:rFonts w:hAns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、所有文件、合同、证书、资质等需要真实有效。成交供应商在中标后签订合同时需提供以上证明文件原件，若发现资料作假的取消中标资格。</w:t>
      </w:r>
      <w:bookmarkStart w:id="87" w:name="_Toc8033"/>
      <w:bookmarkStart w:id="88" w:name="_Toc4517"/>
      <w:r>
        <w:rPr>
          <w:rFonts w:hint="eastAsia" w:hAnsi="宋体" w:cs="宋体"/>
          <w:color w:val="auto"/>
          <w:sz w:val="24"/>
          <w:szCs w:val="24"/>
          <w:highlight w:val="none"/>
        </w:rPr>
        <w:t xml:space="preserve"> </w:t>
      </w:r>
    </w:p>
    <w:bookmarkEnd w:id="87"/>
    <w:bookmarkEnd w:id="88"/>
    <w:p>
      <w:pPr>
        <w:rPr>
          <w:rFonts w:ascii="宋体" w:hAnsi="宋体" w:cs="宋体"/>
          <w:b/>
          <w:color w:val="auto"/>
          <w:sz w:val="36"/>
          <w:szCs w:val="36"/>
          <w:highlight w:val="none"/>
        </w:rPr>
      </w:pPr>
      <w:bookmarkStart w:id="89" w:name="_Toc7690"/>
      <w:bookmarkStart w:id="90" w:name="_Toc11497"/>
      <w:bookmarkStart w:id="91" w:name="_Toc4669"/>
      <w:r>
        <w:rPr>
          <w:rFonts w:hint="eastAsia" w:ascii="宋体" w:hAnsi="宋体" w:cs="宋体"/>
          <w:b/>
          <w:color w:val="auto"/>
          <w:sz w:val="36"/>
          <w:szCs w:val="36"/>
          <w:highlight w:val="none"/>
        </w:rPr>
        <w:br w:type="page"/>
      </w:r>
    </w:p>
    <w:bookmarkEnd w:id="89"/>
    <w:bookmarkEnd w:id="90"/>
    <w:bookmarkEnd w:id="91"/>
    <w:p>
      <w:pPr>
        <w:pStyle w:val="4"/>
        <w:numPr>
          <w:ilvl w:val="0"/>
          <w:numId w:val="0"/>
        </w:numPr>
        <w:jc w:val="center"/>
        <w:rPr>
          <w:rFonts w:cs="宋体"/>
          <w:color w:val="auto"/>
          <w:sz w:val="36"/>
          <w:szCs w:val="36"/>
          <w:highlight w:val="none"/>
        </w:rPr>
      </w:pPr>
      <w:bookmarkStart w:id="92" w:name="_Toc18905"/>
      <w:r>
        <w:rPr>
          <w:rFonts w:hint="eastAsia" w:cs="宋体"/>
          <w:color w:val="auto"/>
          <w:sz w:val="36"/>
          <w:szCs w:val="36"/>
          <w:highlight w:val="none"/>
          <w:lang w:val="en-US" w:eastAsia="zh-CN"/>
        </w:rPr>
        <w:t xml:space="preserve">第五部分 </w:t>
      </w:r>
      <w:r>
        <w:rPr>
          <w:rFonts w:hint="eastAsia" w:cs="宋体"/>
          <w:color w:val="auto"/>
          <w:sz w:val="36"/>
          <w:szCs w:val="36"/>
          <w:highlight w:val="none"/>
        </w:rPr>
        <w:t>采购合同</w:t>
      </w:r>
      <w:bookmarkEnd w:id="92"/>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合同编号：（</w:t>
      </w:r>
      <w:r>
        <w:rPr>
          <w:rFonts w:hint="eastAsia" w:ascii="宋体" w:hAnsi="宋体" w:cs="宋体"/>
          <w:color w:val="auto"/>
          <w:kern w:val="0"/>
          <w:sz w:val="24"/>
          <w:highlight w:val="none"/>
          <w:lang w:eastAsia="zh-CN"/>
        </w:rPr>
        <w:t>2025</w:t>
      </w:r>
      <w:r>
        <w:rPr>
          <w:rFonts w:hint="eastAsia" w:ascii="宋体" w:hAnsi="宋体" w:cs="宋体"/>
          <w:color w:val="auto"/>
          <w:kern w:val="0"/>
          <w:sz w:val="24"/>
          <w:highlight w:val="none"/>
        </w:rPr>
        <w:t>）第</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号</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签订日期：</w:t>
      </w:r>
      <w:r>
        <w:rPr>
          <w:rFonts w:hint="eastAsia" w:ascii="宋体" w:hAnsi="宋体" w:cs="宋体"/>
          <w:color w:val="auto"/>
          <w:kern w:val="0"/>
          <w:sz w:val="24"/>
          <w:highlight w:val="none"/>
          <w:lang w:eastAsia="zh-CN"/>
        </w:rPr>
        <w:t>2025</w:t>
      </w:r>
      <w:r>
        <w:rPr>
          <w:rFonts w:hint="eastAsia" w:ascii="宋体" w:hAnsi="宋体" w:cs="宋体"/>
          <w:color w:val="auto"/>
          <w:kern w:val="0"/>
          <w:sz w:val="24"/>
          <w:highlight w:val="none"/>
        </w:rPr>
        <w:t>年</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月</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日</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ascii="宋体" w:hAnsi="宋体" w:cs="宋体"/>
          <w:color w:val="auto"/>
          <w:sz w:val="24"/>
          <w:highlight w:val="none"/>
          <w:u w:val="single"/>
        </w:rPr>
      </w:pPr>
      <w:r>
        <w:rPr>
          <w:rFonts w:hint="eastAsia" w:ascii="宋体" w:hAnsi="宋体" w:cs="宋体"/>
          <w:color w:val="auto"/>
          <w:sz w:val="24"/>
          <w:highlight w:val="none"/>
        </w:rPr>
        <w:t>采购单位：</w:t>
      </w:r>
      <w:r>
        <w:rPr>
          <w:rFonts w:hint="eastAsia" w:ascii="宋体" w:hAnsi="宋体" w:cs="宋体"/>
          <w:color w:val="auto"/>
          <w:sz w:val="24"/>
          <w:highlight w:val="none"/>
          <w:u w:val="single"/>
        </w:rPr>
        <w:t>　　　　　　　　　　　　　　　　　　　　　　</w:t>
      </w:r>
      <w:r>
        <w:rPr>
          <w:rFonts w:hint="eastAsia" w:ascii="宋体" w:hAnsi="宋体" w:cs="宋体"/>
          <w:color w:val="auto"/>
          <w:sz w:val="24"/>
          <w:highlight w:val="none"/>
        </w:rPr>
        <w:t>（甲方）</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中标单位：</w:t>
      </w:r>
      <w:r>
        <w:rPr>
          <w:rFonts w:hint="eastAsia" w:ascii="宋体" w:hAnsi="宋体" w:cs="宋体"/>
          <w:color w:val="auto"/>
          <w:sz w:val="24"/>
          <w:highlight w:val="none"/>
          <w:u w:val="single"/>
        </w:rPr>
        <w:t>　　　　　　　　　　　　　　　　　　　　　　</w:t>
      </w:r>
      <w:r>
        <w:rPr>
          <w:rFonts w:hint="eastAsia" w:ascii="宋体" w:hAnsi="宋体" w:cs="宋体"/>
          <w:color w:val="auto"/>
          <w:sz w:val="24"/>
          <w:highlight w:val="none"/>
        </w:rPr>
        <w:t>（乙方）</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根据《中华人民共和国民法典</w:t>
      </w:r>
      <w:r>
        <w:rPr>
          <w:rFonts w:hint="eastAsia" w:ascii="宋体" w:hAnsi="宋体" w:cs="宋体"/>
          <w:color w:val="auto"/>
          <w:kern w:val="0"/>
          <w:sz w:val="24"/>
          <w:highlight w:val="none"/>
          <w:lang w:eastAsia="zh-CN"/>
        </w:rPr>
        <w:t>》《</w:t>
      </w:r>
      <w:r>
        <w:rPr>
          <w:rFonts w:hint="eastAsia" w:ascii="宋体" w:hAnsi="宋体" w:cs="宋体"/>
          <w:color w:val="auto"/>
          <w:sz w:val="24"/>
          <w:highlight w:val="none"/>
        </w:rPr>
        <w:t>中华人民共和国政府采购法》，</w:t>
      </w:r>
      <w:r>
        <w:rPr>
          <w:rFonts w:hint="eastAsia" w:ascii="宋体" w:hAnsi="宋体" w:cs="宋体"/>
          <w:color w:val="auto"/>
          <w:kern w:val="0"/>
          <w:sz w:val="24"/>
          <w:highlight w:val="none"/>
        </w:rPr>
        <w:t>政府采购编号为</w:t>
      </w:r>
      <w:r>
        <w:rPr>
          <w:rFonts w:hint="eastAsia" w:ascii="宋体" w:hAnsi="宋体" w:cs="宋体"/>
          <w:color w:val="auto"/>
          <w:kern w:val="0"/>
          <w:sz w:val="24"/>
          <w:highlight w:val="none"/>
          <w:lang w:val="en-US" w:eastAsia="zh-CN"/>
        </w:rPr>
        <w:t>JZCS2025018</w:t>
      </w:r>
      <w:r>
        <w:rPr>
          <w:rFonts w:hint="eastAsia" w:ascii="宋体" w:hAnsi="宋体" w:cs="宋体"/>
          <w:color w:val="auto"/>
          <w:kern w:val="0"/>
          <w:sz w:val="24"/>
          <w:highlight w:val="none"/>
        </w:rPr>
        <w:t>磋商文件、</w:t>
      </w:r>
      <w:r>
        <w:rPr>
          <w:rFonts w:hint="eastAsia" w:ascii="宋体" w:hAnsi="宋体" w:cs="宋体"/>
          <w:color w:val="auto"/>
          <w:kern w:val="0"/>
          <w:sz w:val="24"/>
          <w:highlight w:val="none"/>
          <w:lang w:val="en-US" w:eastAsia="zh-CN"/>
        </w:rPr>
        <w:t>乙方</w:t>
      </w:r>
      <w:r>
        <w:rPr>
          <w:rFonts w:hint="eastAsia" w:ascii="宋体" w:hAnsi="宋体" w:cs="宋体"/>
          <w:color w:val="auto"/>
          <w:kern w:val="0"/>
          <w:sz w:val="24"/>
          <w:highlight w:val="none"/>
        </w:rPr>
        <w:t>响应文件的规定，经竞争性磋商采购，签订本合同。</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项目概况</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丰惠镇政府位于上虞区丰惠镇环庙路39号，全域面积12000平方米，建筑面积10800平方米，丰惠镇便民中心位于丰三路与西南门街叉口西南160米，全域面积3000平方米，建筑面积 2700平方米。本项目主要涉及丰惠镇政府大楼及便民服务中心范围内的保洁、保安等物业服务项目。</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服务期：自2025年   月  日  至2028年  月   日，</w:t>
      </w:r>
      <w:r>
        <w:rPr>
          <w:rFonts w:hint="eastAsia" w:ascii="宋体" w:hAnsi="宋体" w:cs="宋体"/>
          <w:color w:val="auto"/>
          <w:sz w:val="24"/>
          <w:szCs w:val="24"/>
          <w:highlight w:val="none"/>
          <w:lang w:eastAsia="zh-CN"/>
        </w:rPr>
        <w:t>服务期三年</w:t>
      </w:r>
      <w:r>
        <w:rPr>
          <w:rFonts w:hint="eastAsia" w:ascii="宋体" w:hAnsi="宋体" w:eastAsia="宋体" w:cs="宋体"/>
          <w:color w:val="auto"/>
          <w:sz w:val="24"/>
          <w:szCs w:val="24"/>
          <w:highlight w:val="none"/>
        </w:rPr>
        <w:t>。</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项目服务内容</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1、安保工作要求</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(1)负责24小时值班、不间断巡逻，对大门口和停车场机动车辆、非机动车辆按规定进行管理。落实各种安全管理规定、制度，维护秩序，及时按规定对各种问题、事件进行处置，保证执法队办公有序。</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(2)做好安全值班记录、报告、处置制度，严格责任，把安防工作落到实处。</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(3)做好重要活动的前期准备工作以及与有关部门的配合工作，活动进行时，要做好消防、安全保卫工作。</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(4)牵头、协调安保应急事件处置。当发生监控报警，应立即前往报警点查明报警原因，及时保护现场并上报；遇到火灾，应立即组织值班人员设法扑救并根据火势情况分别对待，必要时须报119并上报。</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(5)负责邮件、报刊等发放及文件交换箱的管理工作，协助快递公司做好快递收件工作。</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(6)做好在大门口上访人员的劝阻工作，发现有群访人员，立即报告相关部门负责人，并设法劝其到信访接待室反映问题，同时维护好机关大院正常秩序。</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(7)机动车和非机动车有秩序驶入场区，禁止门口车辆乱停放。</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(8)其他属于安全保卫范围内的工作及</w:t>
      </w:r>
      <w:r>
        <w:rPr>
          <w:rFonts w:hint="eastAsia" w:ascii="宋体" w:hAnsi="宋体" w:cs="宋体"/>
          <w:color w:val="auto"/>
          <w:sz w:val="24"/>
          <w:szCs w:val="24"/>
          <w:highlight w:val="none"/>
          <w:lang w:val="en-US" w:eastAsia="zh-CN"/>
        </w:rPr>
        <w:t>甲方</w:t>
      </w:r>
      <w:r>
        <w:rPr>
          <w:rFonts w:hint="eastAsia" w:ascii="宋体" w:hAnsi="宋体" w:eastAsia="宋体" w:cs="宋体"/>
          <w:color w:val="auto"/>
          <w:sz w:val="24"/>
          <w:szCs w:val="24"/>
          <w:highlight w:val="none"/>
          <w:lang w:val="en-US" w:eastAsia="zh-CN"/>
        </w:rPr>
        <w:t>临时交办的任务。</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2、保洁要求</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(1)公共场所：大门区域干净，无垃圾、枯草落叶；室内垃圾箱、公共卫生间整洁、卫生。</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(2)卫生间及开水间：大小便池保持内外光洁，无污垢，无尿碱，无水垢，无脏物，无积尘，无异味，无积水，定期消毒，放卫生球、清新剂，保持地面干燥。</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(3)楼梯间：每天上班前清扫擦干净扶手，平时随时清扫。栏杆及门窗、楼梯走廊保持无杂物、无灰尘、无蜘蛛网、无污迹、无堆放物品。</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会议室：会议前，做好会前保障工作，会议结束后，及时清理垃圾，并保持会议室整洁。</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default" w:ascii="宋体" w:hAnsi="宋体" w:eastAsia="宋体" w:cs="宋体"/>
          <w:color w:val="0000FF"/>
          <w:sz w:val="24"/>
          <w:szCs w:val="24"/>
          <w:highlight w:val="none"/>
          <w:lang w:val="en-US" w:eastAsia="zh-CN"/>
        </w:rPr>
      </w:pPr>
      <w:r>
        <w:rPr>
          <w:rFonts w:hint="eastAsia" w:ascii="宋体" w:hAnsi="宋体" w:eastAsia="宋体" w:cs="宋体"/>
          <w:color w:val="auto"/>
          <w:sz w:val="24"/>
          <w:szCs w:val="24"/>
          <w:highlight w:val="none"/>
          <w:lang w:val="en-US" w:eastAsia="zh-CN"/>
        </w:rPr>
        <w:t>(5)卫生消杀：消杀包括办公楼内外的公共部位的消杀，夏秋季每月至少六次，春季每月至少二次，冬季每月至少一次，达到无蝇，无蚊，无虫，无鼠害的标准。同时做好特殊（比如上级检查、活动等）期间做好对电梯间、卫生间、会议室等区域的消毒工作。</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工作时间及保洁次数：以不影响正常办公为前提，合理安排工作时间。原则上在上班前半小时完成保洁工作，在机关办公时间内加强卫生巡查，发现杂物及时清除，实行全天候保洁。公共部位每天至少拖洗三次，定期消毒除味；公共场所每天至少清扫二次，早晨、中午各一次，并实行全天候保洁。</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)垃圾分类：做好所有公共区域的垃圾分类及迎检工作，协助</w:t>
      </w:r>
      <w:r>
        <w:rPr>
          <w:rFonts w:hint="eastAsia" w:ascii="宋体" w:hAnsi="宋体" w:cs="宋体"/>
          <w:color w:val="auto"/>
          <w:sz w:val="24"/>
          <w:szCs w:val="24"/>
          <w:highlight w:val="none"/>
          <w:lang w:val="en-US" w:eastAsia="zh-CN"/>
        </w:rPr>
        <w:t>甲方</w:t>
      </w:r>
      <w:r>
        <w:rPr>
          <w:rFonts w:hint="eastAsia" w:ascii="宋体" w:hAnsi="宋体" w:eastAsia="宋体" w:cs="宋体"/>
          <w:color w:val="auto"/>
          <w:sz w:val="24"/>
          <w:szCs w:val="24"/>
          <w:highlight w:val="none"/>
          <w:lang w:val="en-US" w:eastAsia="zh-CN"/>
        </w:rPr>
        <w:t>做好垃圾分类等相关工作，并每天需将垃圾清运至垃圾集置点并做好台账。</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default" w:ascii="宋体" w:hAnsi="宋体" w:eastAsia="宋体" w:cs="宋体"/>
          <w:color w:val="0000FF"/>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)保洁用品要求：要求所有卫生间每间都提供充足的檀香、垃圾袋</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卫生纸等各类耗材物资，所有厕位、所有小便斗都提供充足的香精球（片）。</w:t>
      </w:r>
      <w:r>
        <w:rPr>
          <w:rFonts w:hint="eastAsia" w:ascii="宋体" w:hAnsi="宋体" w:cs="宋体"/>
          <w:color w:val="auto"/>
          <w:sz w:val="24"/>
          <w:szCs w:val="24"/>
          <w:highlight w:val="none"/>
          <w:lang w:val="en-US" w:eastAsia="zh-CN"/>
        </w:rPr>
        <w:t>保洁用品费用由乙方承担。</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岗位及人员要求</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1、人员基本要求</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(1)所有物业工作人员应身体健康，形象端正，具有一定的政治文化素养，基本的服务素质和相应的服务技能。所有人员要求政治上可靠，身体素质好，无不良行为记录。</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(2)卫生保洁员：女性，60周岁以下，品貌端正，身体健康，朴实肯干，经培训具保洁员标准操作技能，注重个人仪表，礼貌待人。</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(3)安保人员：男性，60周岁以下，身高 1.70 米以上，初中以上文化，身体健康，责任心强，能适应夜间工作，无不良社会记录和违法犯罪记录。</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(4)保持员工队伍相对稳定，调动技术骨干，须提前告知甲方。按要求配置配足员工，不得擅自减少、变更管理负责人。经抽查，发现员工数减少，且无正当理由，甲方有权按考核办法执行，同时要求</w:t>
      </w:r>
      <w:r>
        <w:rPr>
          <w:rFonts w:hint="eastAsia" w:ascii="宋体" w:hAnsi="宋体" w:cs="宋体"/>
          <w:color w:val="auto"/>
          <w:sz w:val="24"/>
          <w:szCs w:val="24"/>
          <w:highlight w:val="none"/>
          <w:lang w:val="en-US" w:eastAsia="zh-CN"/>
        </w:rPr>
        <w:t>乙方</w:t>
      </w:r>
      <w:r>
        <w:rPr>
          <w:rFonts w:hint="eastAsia" w:ascii="宋体" w:hAnsi="宋体" w:eastAsia="宋体" w:cs="宋体"/>
          <w:color w:val="auto"/>
          <w:sz w:val="24"/>
          <w:szCs w:val="24"/>
          <w:highlight w:val="none"/>
          <w:lang w:val="en-US" w:eastAsia="zh-CN"/>
        </w:rPr>
        <w:t>补足规定人数。</w:t>
      </w:r>
    </w:p>
    <w:p>
      <w:pPr>
        <w:keepNext w:val="0"/>
        <w:keepLines w:val="0"/>
        <w:pageBreakBefore w:val="0"/>
        <w:widowControl w:val="0"/>
        <w:kinsoku/>
        <w:wordWrap/>
        <w:overflowPunct/>
        <w:topLinePunct w:val="0"/>
        <w:autoSpaceDE/>
        <w:autoSpaceDN/>
        <w:bidi w:val="0"/>
        <w:adjustRightInd/>
        <w:snapToGrid/>
        <w:spacing w:line="460" w:lineRule="exact"/>
        <w:ind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2、岗位配置要求</w:t>
      </w:r>
    </w:p>
    <w:tbl>
      <w:tblPr>
        <w:tblStyle w:val="29"/>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2"/>
        <w:gridCol w:w="4088"/>
        <w:gridCol w:w="3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sz w:val="24"/>
              </w:rPr>
            </w:pPr>
            <w:r>
              <w:rPr>
                <w:rFonts w:hint="eastAsia" w:ascii="宋体" w:hAnsi="宋体" w:cs="宋体"/>
                <w:bCs/>
                <w:sz w:val="24"/>
              </w:rPr>
              <w:t>序号</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sz w:val="24"/>
              </w:rPr>
            </w:pPr>
            <w:r>
              <w:rPr>
                <w:rFonts w:hint="eastAsia" w:ascii="宋体" w:hAnsi="宋体" w:cs="宋体"/>
                <w:bCs/>
                <w:sz w:val="24"/>
              </w:rPr>
              <w:t>岗位</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r>
              <w:rPr>
                <w:rFonts w:hint="eastAsia" w:ascii="宋体" w:hAnsi="宋体" w:cs="宋体"/>
                <w:bCs/>
                <w:sz w:val="24"/>
                <w:lang w:val="en-US" w:eastAsia="zh-CN"/>
              </w:rPr>
              <w:t>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1</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项目负责人（可兼任）</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2</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cs="宋体"/>
                <w:bCs/>
                <w:color w:val="auto"/>
                <w:sz w:val="24"/>
              </w:rPr>
            </w:pPr>
            <w:r>
              <w:rPr>
                <w:rFonts w:hint="eastAsia" w:ascii="宋体" w:hAnsi="宋体" w:cs="宋体"/>
                <w:bCs/>
                <w:color w:val="auto"/>
                <w:sz w:val="24"/>
                <w:lang w:val="en-US" w:eastAsia="zh-CN"/>
              </w:rPr>
              <w:t>丰惠镇政府</w:t>
            </w:r>
            <w:r>
              <w:rPr>
                <w:rFonts w:hint="eastAsia" w:ascii="宋体" w:hAnsi="宋体" w:cs="宋体"/>
                <w:bCs/>
                <w:color w:val="auto"/>
                <w:sz w:val="24"/>
              </w:rPr>
              <w:t>保洁</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3</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Cs/>
                <w:color w:val="auto"/>
                <w:sz w:val="24"/>
                <w:lang w:val="en-US" w:eastAsia="zh-CN"/>
              </w:rPr>
            </w:pPr>
            <w:r>
              <w:rPr>
                <w:rFonts w:hint="eastAsia" w:ascii="宋体" w:hAnsi="宋体" w:eastAsia="宋体" w:cs="宋体"/>
                <w:bCs/>
                <w:color w:val="auto"/>
                <w:sz w:val="24"/>
                <w:lang w:val="en-US" w:eastAsia="zh-CN"/>
              </w:rPr>
              <w:t>便民中心保洁</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4</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cs="宋体"/>
                <w:bCs/>
                <w:sz w:val="24"/>
                <w:lang w:val="en-US"/>
              </w:rPr>
            </w:pPr>
            <w:r>
              <w:rPr>
                <w:rFonts w:hint="eastAsia" w:ascii="宋体" w:hAnsi="宋体" w:cs="宋体"/>
                <w:bCs/>
                <w:color w:val="auto"/>
                <w:sz w:val="24"/>
                <w:lang w:val="en-US" w:eastAsia="zh-CN"/>
              </w:rPr>
              <w:t>丰惠镇政府保安</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2"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宋体" w:hAnsi="宋体" w:cs="宋体"/>
                <w:bCs/>
                <w:sz w:val="24"/>
              </w:rPr>
            </w:pPr>
            <w:r>
              <w:rPr>
                <w:rFonts w:hint="eastAsia" w:ascii="宋体" w:hAnsi="宋体" w:cs="宋体"/>
                <w:bCs/>
                <w:sz w:val="24"/>
              </w:rPr>
              <w:t>5</w:t>
            </w:r>
          </w:p>
        </w:tc>
        <w:tc>
          <w:tcPr>
            <w:tcW w:w="408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cs="宋体"/>
                <w:bCs/>
                <w:sz w:val="24"/>
                <w:lang w:val="en-US"/>
              </w:rPr>
            </w:pPr>
            <w:r>
              <w:rPr>
                <w:rFonts w:hint="eastAsia" w:ascii="宋体" w:hAnsi="宋体" w:eastAsia="宋体" w:cs="宋体"/>
                <w:bCs/>
                <w:color w:val="auto"/>
                <w:sz w:val="24"/>
                <w:lang w:val="en-US" w:eastAsia="zh-CN"/>
              </w:rPr>
              <w:t>便民中心保安</w:t>
            </w:r>
          </w:p>
        </w:tc>
        <w:tc>
          <w:tcPr>
            <w:tcW w:w="3078" w:type="dxa"/>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sz w:val="24"/>
                <w:lang w:eastAsia="zh-CN"/>
              </w:rPr>
            </w:pPr>
          </w:p>
        </w:tc>
      </w:tr>
    </w:tbl>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color w:val="auto"/>
          <w:sz w:val="24"/>
          <w:szCs w:val="24"/>
          <w:highlight w:val="none"/>
        </w:rPr>
      </w:pPr>
      <w:r>
        <w:rPr>
          <w:rFonts w:hint="eastAsia" w:cs="宋体"/>
          <w:b/>
          <w:bCs/>
          <w:color w:val="auto"/>
          <w:sz w:val="24"/>
          <w:szCs w:val="24"/>
          <w:highlight w:val="none"/>
          <w:lang w:val="en-US" w:eastAsia="zh-CN"/>
        </w:rPr>
        <w:t>考核及其他</w:t>
      </w:r>
      <w:r>
        <w:rPr>
          <w:rFonts w:hint="eastAsia" w:ascii="宋体" w:hAnsi="宋体" w:eastAsia="宋体" w:cs="宋体"/>
          <w:b/>
          <w:bCs/>
          <w:color w:val="auto"/>
          <w:sz w:val="24"/>
          <w:szCs w:val="24"/>
          <w:highlight w:val="none"/>
        </w:rPr>
        <w:t>要求</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1、考核时间及评定方法</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本考核采用百分制，每</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不定期考核一次，并按以下原则评定考核等级：</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①考核分高于90分(含)视为优秀，当期物业管理服务费用可得100%</w:t>
      </w:r>
      <w:r>
        <w:rPr>
          <w:rFonts w:hint="eastAsia" w:ascii="宋体" w:hAnsi="宋体" w:cs="宋体"/>
          <w:color w:val="auto"/>
          <w:sz w:val="24"/>
          <w:szCs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②考核分高于85分(含)但低于90分(不含)视为良好，按200元/分在当期物业管理服务费用中扣除；</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③考核分低于85分(不含)视为不合格，按</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00元/分在当期物业管理服务费用中扣除；</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④连续三个月低于85分，甲方有权单方面与</w:t>
      </w:r>
      <w:r>
        <w:rPr>
          <w:rFonts w:hint="eastAsia" w:ascii="宋体" w:hAnsi="宋体" w:cs="宋体"/>
          <w:color w:val="auto"/>
          <w:sz w:val="24"/>
          <w:szCs w:val="24"/>
          <w:highlight w:val="none"/>
          <w:lang w:val="en-US" w:eastAsia="zh-CN"/>
        </w:rPr>
        <w:t>乙方</w:t>
      </w:r>
      <w:r>
        <w:rPr>
          <w:rFonts w:hint="eastAsia" w:ascii="宋体" w:hAnsi="宋体" w:eastAsia="宋体" w:cs="宋体"/>
          <w:color w:val="auto"/>
          <w:sz w:val="24"/>
          <w:szCs w:val="24"/>
          <w:highlight w:val="none"/>
          <w:lang w:eastAsia="zh-CN"/>
        </w:rPr>
        <w:t>终止服务合同。</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2、考核方式</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①检查形式</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季</w:t>
      </w:r>
      <w:r>
        <w:rPr>
          <w:rFonts w:hint="eastAsia" w:ascii="宋体" w:hAnsi="宋体" w:eastAsia="宋体" w:cs="宋体"/>
          <w:color w:val="auto"/>
          <w:sz w:val="24"/>
          <w:szCs w:val="24"/>
          <w:highlight w:val="none"/>
          <w:lang w:eastAsia="zh-CN"/>
        </w:rPr>
        <w:t>度考核检查以甲方相关人员每</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对现场检查发现的问题为依据进行考核，对工作台账进行抽查，对热点难点解决情况进行督察，对上级主要工作、重大活动安排及有关创建评比活动有针对性地开展检查，对发现的问题进行告知，要求落实整改，并根据相关考核细则进行评分。</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②评分依据</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评分依据为考核细则，详见附件《丰惠镇政府和便民中心物业管理服务项目考核细则》。</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0" w:lef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3、考核结果的运用</w:t>
      </w:r>
    </w:p>
    <w:p>
      <w:pPr>
        <w:keepNext w:val="0"/>
        <w:keepLines w:val="0"/>
        <w:pageBreakBefore w:val="0"/>
        <w:widowControl w:val="0"/>
        <w:kinsoku/>
        <w:wordWrap/>
        <w:overflowPunct/>
        <w:topLinePunct w:val="0"/>
        <w:autoSpaceDE/>
        <w:autoSpaceDN/>
        <w:bidi w:val="0"/>
        <w:snapToGrid/>
        <w:spacing w:line="460" w:lineRule="exact"/>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考核成绩将作为</w:t>
      </w:r>
      <w:r>
        <w:rPr>
          <w:rFonts w:hint="eastAsia" w:ascii="宋体" w:hAnsi="宋体" w:cs="宋体"/>
          <w:color w:val="auto"/>
          <w:sz w:val="24"/>
          <w:szCs w:val="24"/>
          <w:highlight w:val="none"/>
          <w:lang w:val="en-US" w:eastAsia="zh-CN"/>
        </w:rPr>
        <w:t>季度</w:t>
      </w:r>
      <w:r>
        <w:rPr>
          <w:rFonts w:hint="eastAsia" w:ascii="宋体" w:hAnsi="宋体" w:eastAsia="宋体" w:cs="宋体"/>
          <w:color w:val="auto"/>
          <w:sz w:val="24"/>
          <w:szCs w:val="24"/>
          <w:highlight w:val="none"/>
          <w:lang w:eastAsia="zh-CN"/>
        </w:rPr>
        <w:t>物业服务费付款依据</w:t>
      </w:r>
      <w:r>
        <w:rPr>
          <w:rFonts w:hint="eastAsia" w:ascii="宋体" w:hAnsi="宋体" w:cs="宋体"/>
          <w:color w:val="auto"/>
          <w:sz w:val="24"/>
          <w:szCs w:val="24"/>
          <w:highlight w:val="none"/>
          <w:lang w:eastAsia="zh-CN"/>
        </w:rPr>
        <w:t>。</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default" w:ascii="宋体" w:hAnsi="宋体" w:eastAsia="宋体" w:cs="宋体"/>
          <w:b/>
          <w:color w:val="auto"/>
          <w:sz w:val="24"/>
          <w:highlight w:val="none"/>
          <w:lang w:val="en-US" w:eastAsia="zh-CN"/>
        </w:rPr>
      </w:pPr>
      <w:r>
        <w:rPr>
          <w:rFonts w:hint="eastAsia" w:ascii="宋体" w:hAnsi="宋体" w:eastAsia="宋体" w:cs="宋体"/>
          <w:b/>
          <w:bCs/>
          <w:color w:val="auto"/>
          <w:sz w:val="24"/>
          <w:szCs w:val="24"/>
          <w:highlight w:val="none"/>
          <w:lang w:val="en-US" w:eastAsia="zh-CN"/>
        </w:rPr>
        <w:t>合同</w:t>
      </w:r>
      <w:r>
        <w:rPr>
          <w:rFonts w:hint="eastAsia" w:ascii="宋体" w:hAnsi="宋体" w:eastAsia="宋体" w:cs="宋体"/>
          <w:b/>
          <w:color w:val="auto"/>
          <w:sz w:val="24"/>
          <w:highlight w:val="none"/>
          <w:lang w:val="en-US" w:eastAsia="zh-CN"/>
        </w:rPr>
        <w:t>价及付款方式</w:t>
      </w:r>
    </w:p>
    <w:p>
      <w:pPr>
        <w:keepNext w:val="0"/>
        <w:keepLines w:val="0"/>
        <w:pageBreakBefore w:val="0"/>
        <w:widowControl w:val="0"/>
        <w:kinsoku/>
        <w:wordWrap/>
        <w:overflowPunct/>
        <w:topLinePunct w:val="0"/>
        <w:autoSpaceDE/>
        <w:autoSpaceDN/>
        <w:bidi w:val="0"/>
        <w:snapToGrid/>
        <w:spacing w:line="460" w:lineRule="exact"/>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、合同金额：大写：______________小写：_____________</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每</w:t>
      </w:r>
      <w:r>
        <w:rPr>
          <w:rFonts w:hint="eastAsia" w:ascii="宋体" w:hAnsi="宋体" w:cs="宋体"/>
          <w:color w:val="auto"/>
          <w:sz w:val="24"/>
          <w:szCs w:val="24"/>
          <w:highlight w:val="none"/>
          <w:lang w:val="en-US" w:eastAsia="zh-CN"/>
        </w:rPr>
        <w:t>年</w:t>
      </w:r>
      <w:r>
        <w:rPr>
          <w:rFonts w:hint="eastAsia" w:ascii="宋体" w:hAnsi="宋体" w:eastAsia="宋体" w:cs="宋体"/>
          <w:color w:val="auto"/>
          <w:sz w:val="24"/>
          <w:szCs w:val="24"/>
          <w:highlight w:val="none"/>
          <w:lang w:val="en-US" w:eastAsia="zh-CN"/>
        </w:rPr>
        <w:t>服务费：</w:t>
      </w:r>
      <w:r>
        <w:rPr>
          <w:rFonts w:hint="eastAsia" w:ascii="宋体" w:hAnsi="宋体" w:eastAsia="宋体" w:cs="宋体"/>
          <w:color w:val="auto"/>
          <w:sz w:val="24"/>
          <w:szCs w:val="24"/>
          <w:highlight w:val="none"/>
        </w:rPr>
        <w:t>大写：______________小写：_____________</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合同金额</w:t>
      </w:r>
      <w:r>
        <w:rPr>
          <w:rFonts w:hint="eastAsia" w:ascii="宋体" w:hAnsi="宋体" w:eastAsia="宋体" w:cs="宋体"/>
          <w:color w:val="auto"/>
          <w:sz w:val="24"/>
          <w:szCs w:val="24"/>
          <w:highlight w:val="none"/>
          <w:lang w:val="en-US" w:eastAsia="zh-CN"/>
        </w:rPr>
        <w:t>包含项目所需全部服务，不得缺漏，是履行合同的最终价格，包括人员的工资福利、保险、保洁用品、服装设备、通讯工具、管理费、税费、利润与本项目相关的其他一切费用等。</w:t>
      </w:r>
    </w:p>
    <w:p>
      <w:pPr>
        <w:keepNext w:val="0"/>
        <w:keepLines w:val="0"/>
        <w:pageBreakBefore w:val="0"/>
        <w:widowControl w:val="0"/>
        <w:kinsoku/>
        <w:wordWrap/>
        <w:overflowPunct/>
        <w:topLinePunct w:val="0"/>
        <w:autoSpaceDE/>
        <w:autoSpaceDN/>
        <w:bidi w:val="0"/>
        <w:snapToGrid/>
        <w:spacing w:line="460" w:lineRule="exact"/>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、付款方式</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32"/>
          <w:highlight w:val="none"/>
          <w:lang w:val="en-US" w:eastAsia="zh-CN"/>
        </w:rPr>
      </w:pPr>
      <w:bookmarkStart w:id="93" w:name="_Toc277772394"/>
      <w:bookmarkStart w:id="94" w:name="_Toc277772230"/>
      <w:r>
        <w:rPr>
          <w:rFonts w:hint="eastAsia" w:ascii="宋体" w:hAnsi="宋体" w:cs="宋体"/>
          <w:color w:val="auto"/>
          <w:sz w:val="24"/>
          <w:szCs w:val="32"/>
          <w:highlight w:val="none"/>
          <w:lang w:val="en-US" w:eastAsia="zh-CN"/>
        </w:rPr>
        <w:t>合同签订且具备实施条件后向乙方支付当年度合同款的20%；并在当年季度款项支付时扣回。当年每个季度经考核后，下一季度第一个月末甲方向乙方支付相应季度合同款。</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3、付款要求</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bCs/>
          <w:color w:val="auto"/>
          <w:sz w:val="24"/>
          <w:lang w:val="en-US" w:eastAsia="zh-CN"/>
        </w:rPr>
        <w:t>乙方在收款之前，应向甲方提供等额、合法、有效的发票，甲方凭发票付款。如乙方未按约定提供发票的，甲方有权拒绝付款，直至收到乙方提交的相应发票为止，在此情况下，甲方不承担逾期付款违约责任</w:t>
      </w:r>
      <w:r>
        <w:rPr>
          <w:rFonts w:hint="eastAsia" w:ascii="宋体" w:hAnsi="宋体" w:eastAsia="宋体" w:cs="宋体"/>
          <w:color w:val="auto"/>
          <w:sz w:val="24"/>
          <w:szCs w:val="32"/>
          <w:highlight w:val="none"/>
          <w:lang w:val="en-US" w:eastAsia="zh-CN"/>
        </w:rPr>
        <w:t>。</w:t>
      </w:r>
    </w:p>
    <w:bookmarkEnd w:id="93"/>
    <w:bookmarkEnd w:id="94"/>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服务承诺</w:t>
      </w:r>
    </w:p>
    <w:p>
      <w:pPr>
        <w:keepNext w:val="0"/>
        <w:keepLines w:val="0"/>
        <w:pageBreakBefore w:val="0"/>
        <w:widowControl w:val="0"/>
        <w:numPr>
          <w:ilvl w:val="0"/>
          <w:numId w:val="25"/>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人员到岗到位。按规定配足工作人员，工作时间内带班人员必须在岗。</w:t>
      </w:r>
    </w:p>
    <w:p>
      <w:pPr>
        <w:keepNext w:val="0"/>
        <w:keepLines w:val="0"/>
        <w:pageBreakBefore w:val="0"/>
        <w:widowControl w:val="0"/>
        <w:numPr>
          <w:ilvl w:val="0"/>
          <w:numId w:val="25"/>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服务规范有序。各员工应自觉遵守各项规章制度，统一着装，佩证上岗，规范操作。</w:t>
      </w:r>
    </w:p>
    <w:p>
      <w:pPr>
        <w:keepNext w:val="0"/>
        <w:keepLines w:val="0"/>
        <w:pageBreakBefore w:val="0"/>
        <w:widowControl w:val="0"/>
        <w:numPr>
          <w:ilvl w:val="0"/>
          <w:numId w:val="25"/>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工作高质高效。卫生</w:t>
      </w:r>
      <w:r>
        <w:rPr>
          <w:rFonts w:hint="eastAsia" w:ascii="宋体" w:hAnsi="宋体" w:cs="宋体"/>
          <w:color w:val="auto"/>
          <w:sz w:val="24"/>
          <w:lang w:eastAsia="zh-CN"/>
        </w:rPr>
        <w:t>、保安工作需根据甲方要求合理安排各岗位并高效、高质量完成工作。如突发紧急情况的，需在半小时内立即响应</w:t>
      </w:r>
      <w:r>
        <w:rPr>
          <w:rFonts w:hint="eastAsia" w:ascii="宋体" w:hAnsi="宋体" w:cs="宋体"/>
          <w:color w:val="auto"/>
          <w:sz w:val="24"/>
        </w:rPr>
        <w:t>。</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其他责任</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eastAsia="zh-CN"/>
        </w:rPr>
        <w:t>乙方</w:t>
      </w:r>
      <w:r>
        <w:rPr>
          <w:rFonts w:hint="eastAsia" w:ascii="宋体" w:hAnsi="宋体" w:cs="宋体"/>
          <w:color w:val="auto"/>
          <w:sz w:val="24"/>
        </w:rPr>
        <w:t>要加强对员工的培训、教育，爱护公共财物，确保工作和上下班安全，杜绝各类事故。</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eastAsia="zh-CN"/>
        </w:rPr>
        <w:t>乙方</w:t>
      </w:r>
      <w:r>
        <w:rPr>
          <w:rFonts w:hint="eastAsia" w:ascii="宋体" w:hAnsi="宋体" w:cs="宋体"/>
          <w:color w:val="auto"/>
          <w:sz w:val="24"/>
        </w:rPr>
        <w:t>有管理各类设施设备的义务，发现人为损坏，各类费用由</w:t>
      </w:r>
      <w:r>
        <w:rPr>
          <w:rFonts w:hint="eastAsia" w:ascii="宋体" w:hAnsi="宋体" w:cs="宋体"/>
          <w:color w:val="auto"/>
          <w:sz w:val="24"/>
          <w:lang w:eastAsia="zh-CN"/>
        </w:rPr>
        <w:t>乙方</w:t>
      </w:r>
      <w:r>
        <w:rPr>
          <w:rFonts w:hint="eastAsia" w:ascii="宋体" w:hAnsi="宋体" w:cs="宋体"/>
          <w:color w:val="auto"/>
          <w:sz w:val="24"/>
        </w:rPr>
        <w:t>承担。</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征得</w:t>
      </w:r>
      <w:r>
        <w:rPr>
          <w:rFonts w:hint="eastAsia" w:ascii="宋体" w:hAnsi="宋体" w:cs="宋体"/>
          <w:color w:val="auto"/>
          <w:sz w:val="24"/>
          <w:lang w:eastAsia="zh-CN"/>
        </w:rPr>
        <w:t>甲方</w:t>
      </w:r>
      <w:r>
        <w:rPr>
          <w:rFonts w:hint="eastAsia" w:ascii="宋体" w:hAnsi="宋体" w:cs="宋体"/>
          <w:color w:val="auto"/>
          <w:sz w:val="24"/>
        </w:rPr>
        <w:t>同意，</w:t>
      </w:r>
      <w:r>
        <w:rPr>
          <w:rFonts w:hint="eastAsia" w:ascii="宋体" w:hAnsi="宋体" w:cs="宋体"/>
          <w:color w:val="auto"/>
          <w:sz w:val="24"/>
          <w:lang w:eastAsia="zh-CN"/>
        </w:rPr>
        <w:t>乙方</w:t>
      </w:r>
      <w:r>
        <w:rPr>
          <w:rFonts w:hint="eastAsia" w:ascii="宋体" w:hAnsi="宋体" w:cs="宋体"/>
          <w:color w:val="auto"/>
          <w:sz w:val="24"/>
        </w:rPr>
        <w:t>可选聘专业公司承担特殊专项服务，但不得将该物业管理责任转让第三方。</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lang w:val="en-US" w:eastAsia="zh-CN"/>
        </w:rPr>
      </w:pPr>
      <w:r>
        <w:rPr>
          <w:rFonts w:hint="eastAsia" w:ascii="宋体" w:hAnsi="宋体" w:cs="宋体"/>
          <w:color w:val="auto"/>
          <w:sz w:val="24"/>
          <w:lang w:val="en-US" w:eastAsia="zh-CN"/>
        </w:rPr>
        <w:t>乙方的日常管理及人身安全等均由乙方管理和承担，并为所有工作人员购买人身意外险，如发生意外事故，所有责任均有乙方负责。</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eastAsia="zh-CN"/>
        </w:rPr>
        <w:t>乙方</w:t>
      </w:r>
      <w:r>
        <w:rPr>
          <w:rFonts w:hint="eastAsia" w:ascii="宋体" w:hAnsi="宋体" w:cs="宋体"/>
          <w:color w:val="auto"/>
          <w:sz w:val="24"/>
        </w:rPr>
        <w:t>应自觉接受配合</w:t>
      </w:r>
      <w:r>
        <w:rPr>
          <w:rFonts w:hint="eastAsia" w:ascii="宋体" w:hAnsi="宋体" w:cs="宋体"/>
          <w:color w:val="auto"/>
          <w:sz w:val="24"/>
          <w:lang w:eastAsia="zh-CN"/>
        </w:rPr>
        <w:t>甲方</w:t>
      </w:r>
      <w:r>
        <w:rPr>
          <w:rFonts w:hint="eastAsia" w:ascii="宋体" w:hAnsi="宋体" w:cs="宋体"/>
          <w:color w:val="auto"/>
          <w:sz w:val="24"/>
        </w:rPr>
        <w:t>的考核（考核办法后附）。</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eastAsia="zh-CN"/>
        </w:rPr>
        <w:t>乙方</w:t>
      </w:r>
      <w:r>
        <w:rPr>
          <w:rFonts w:hint="eastAsia" w:ascii="宋体" w:hAnsi="宋体" w:cs="宋体"/>
          <w:color w:val="auto"/>
          <w:sz w:val="24"/>
        </w:rPr>
        <w:t>应按投标时提交的物业管理方案，吸纳</w:t>
      </w:r>
      <w:r>
        <w:rPr>
          <w:rFonts w:hint="eastAsia" w:ascii="宋体" w:hAnsi="宋体" w:cs="宋体"/>
          <w:color w:val="auto"/>
          <w:sz w:val="24"/>
          <w:lang w:eastAsia="zh-CN"/>
        </w:rPr>
        <w:t>甲方</w:t>
      </w:r>
      <w:r>
        <w:rPr>
          <w:rFonts w:hint="eastAsia" w:ascii="宋体" w:hAnsi="宋体" w:cs="宋体"/>
          <w:color w:val="auto"/>
          <w:sz w:val="24"/>
        </w:rPr>
        <w:t>提出的相关要求后严格组织实施。</w:t>
      </w:r>
    </w:p>
    <w:p>
      <w:pPr>
        <w:keepNext w:val="0"/>
        <w:keepLines w:val="0"/>
        <w:pageBreakBefore w:val="0"/>
        <w:widowControl w:val="0"/>
        <w:numPr>
          <w:ilvl w:val="0"/>
          <w:numId w:val="26"/>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本项目合同期终止时，</w:t>
      </w:r>
      <w:r>
        <w:rPr>
          <w:rFonts w:hint="eastAsia" w:ascii="宋体" w:hAnsi="宋体" w:cs="宋体"/>
          <w:color w:val="auto"/>
          <w:sz w:val="24"/>
          <w:lang w:eastAsia="zh-CN"/>
        </w:rPr>
        <w:t>乙方</w:t>
      </w:r>
      <w:r>
        <w:rPr>
          <w:rFonts w:hint="eastAsia" w:ascii="宋体" w:hAnsi="宋体" w:cs="宋体"/>
          <w:color w:val="auto"/>
          <w:sz w:val="24"/>
        </w:rPr>
        <w:t>必须向</w:t>
      </w:r>
      <w:r>
        <w:rPr>
          <w:rFonts w:hint="eastAsia" w:ascii="宋体" w:hAnsi="宋体" w:cs="宋体"/>
          <w:color w:val="auto"/>
          <w:sz w:val="24"/>
          <w:lang w:eastAsia="zh-CN"/>
        </w:rPr>
        <w:t>甲方</w:t>
      </w:r>
      <w:r>
        <w:rPr>
          <w:rFonts w:hint="eastAsia" w:ascii="宋体" w:hAnsi="宋体" w:cs="宋体"/>
          <w:color w:val="auto"/>
          <w:sz w:val="24"/>
        </w:rPr>
        <w:t>移交全部管理用房及物业管理的全部档案资料。</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服务质量基础指标</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杜绝火灾责任事故，杜绝刑事案件；</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环境卫生、清洁率达98%；</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消防设备设施完好率100%；</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val="en-US" w:eastAsia="zh-CN"/>
        </w:rPr>
        <w:t>音响、</w:t>
      </w:r>
      <w:r>
        <w:rPr>
          <w:rFonts w:hint="eastAsia" w:ascii="宋体" w:hAnsi="宋体" w:cs="宋体"/>
          <w:color w:val="auto"/>
          <w:sz w:val="24"/>
        </w:rPr>
        <w:t>智能化系统运行正常率98%；</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零修、报修及时率100%，返修率小于1%；</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rPr>
        <w:t xml:space="preserve">服务有效投诉少于1%，处理率100%； </w:t>
      </w:r>
    </w:p>
    <w:p>
      <w:pPr>
        <w:keepNext w:val="0"/>
        <w:keepLines w:val="0"/>
        <w:pageBreakBefore w:val="0"/>
        <w:widowControl w:val="0"/>
        <w:numPr>
          <w:ilvl w:val="0"/>
          <w:numId w:val="27"/>
        </w:numPr>
        <w:kinsoku/>
        <w:wordWrap/>
        <w:overflowPunct/>
        <w:topLinePunct w:val="0"/>
        <w:autoSpaceDE w:val="0"/>
        <w:autoSpaceDN w:val="0"/>
        <w:bidi w:val="0"/>
        <w:adjustRightInd w:val="0"/>
        <w:snapToGrid/>
        <w:spacing w:line="460" w:lineRule="exact"/>
        <w:ind w:firstLine="480" w:firstLineChars="200"/>
        <w:jc w:val="left"/>
        <w:textAlignment w:val="auto"/>
        <w:rPr>
          <w:rFonts w:hint="eastAsia" w:ascii="宋体" w:hAnsi="宋体" w:cs="宋体"/>
          <w:color w:val="auto"/>
          <w:sz w:val="24"/>
        </w:rPr>
      </w:pPr>
      <w:r>
        <w:rPr>
          <w:rFonts w:hint="eastAsia" w:ascii="宋体" w:hAnsi="宋体" w:cs="宋体"/>
          <w:color w:val="auto"/>
          <w:sz w:val="24"/>
          <w:lang w:eastAsia="zh-CN"/>
        </w:rPr>
        <w:t>甲方</w:t>
      </w:r>
      <w:r>
        <w:rPr>
          <w:rFonts w:hint="eastAsia" w:ascii="宋体" w:hAnsi="宋体" w:cs="宋体"/>
          <w:color w:val="auto"/>
          <w:sz w:val="24"/>
        </w:rPr>
        <w:t>满意率（包括较满意率）100%。</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双方的权利和义务</w:t>
      </w:r>
    </w:p>
    <w:p>
      <w:pPr>
        <w:keepNext w:val="0"/>
        <w:keepLines w:val="0"/>
        <w:pageBreakBefore w:val="0"/>
        <w:widowControl w:val="0"/>
        <w:numPr>
          <w:ilvl w:val="0"/>
          <w:numId w:val="28"/>
        </w:numPr>
        <w:kinsoku/>
        <w:wordWrap/>
        <w:overflowPunct/>
        <w:topLinePunct w:val="0"/>
        <w:bidi w:val="0"/>
        <w:snapToGrid/>
        <w:spacing w:line="460" w:lineRule="exact"/>
        <w:ind w:firstLine="482" w:firstLineChars="200"/>
        <w:jc w:val="left"/>
        <w:textAlignment w:val="auto"/>
        <w:rPr>
          <w:rFonts w:hint="eastAsia" w:ascii="宋体"/>
          <w:b/>
          <w:bCs/>
          <w:color w:val="auto"/>
          <w:kern w:val="0"/>
          <w:sz w:val="24"/>
        </w:rPr>
      </w:pPr>
      <w:r>
        <w:rPr>
          <w:rFonts w:hint="eastAsia" w:ascii="宋体"/>
          <w:b/>
          <w:bCs/>
          <w:color w:val="auto"/>
          <w:kern w:val="0"/>
          <w:sz w:val="24"/>
        </w:rPr>
        <w:t>甲方的权利义务</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①　甲方对乙方按合同约定的管理内容和服务标准履行情况实施监督、检查，每月进行一次考核评定。详见考核办法。</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③　甲方有权要求乙方整改不符合合同内容、规章制度和违反程序的操作。</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④　甲方向乙方无条件提供物业管理用房，乙方需保障用房的安全、卫生使用。</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⑤　遇上级检查或较大社会活动等情况，甲方应提前通知乙方，并负责做好业务指导工作。</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⑥　甲方督促乙方抓好安全生产工作，做好安全检查及宣传、教育、培训工作。</w:t>
      </w:r>
    </w:p>
    <w:p>
      <w:pPr>
        <w:keepNext w:val="0"/>
        <w:keepLines w:val="0"/>
        <w:pageBreakBefore w:val="0"/>
        <w:widowControl w:val="0"/>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⑦　甲方应按管理需要向乙方提供各类图纸及相关基础资料。</w:t>
      </w:r>
    </w:p>
    <w:p>
      <w:pPr>
        <w:keepNext w:val="0"/>
        <w:keepLines w:val="0"/>
        <w:pageBreakBefore w:val="0"/>
        <w:widowControl w:val="0"/>
        <w:numPr>
          <w:ilvl w:val="0"/>
          <w:numId w:val="28"/>
        </w:numPr>
        <w:kinsoku/>
        <w:wordWrap/>
        <w:overflowPunct/>
        <w:topLinePunct w:val="0"/>
        <w:bidi w:val="0"/>
        <w:snapToGrid/>
        <w:spacing w:line="460" w:lineRule="exact"/>
        <w:ind w:firstLine="482" w:firstLineChars="200"/>
        <w:jc w:val="left"/>
        <w:textAlignment w:val="auto"/>
        <w:rPr>
          <w:rFonts w:hint="eastAsia" w:ascii="宋体"/>
          <w:b/>
          <w:bCs/>
          <w:color w:val="auto"/>
          <w:kern w:val="0"/>
          <w:sz w:val="24"/>
        </w:rPr>
      </w:pPr>
      <w:r>
        <w:rPr>
          <w:rFonts w:hint="eastAsia" w:ascii="宋体"/>
          <w:b/>
          <w:bCs/>
          <w:color w:val="auto"/>
          <w:kern w:val="0"/>
          <w:sz w:val="24"/>
        </w:rPr>
        <w:t>乙方的权利义务</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① 乙方要加强对工作人员的培训和教育，爱护公共财物，确保安全工作，杜绝各类事故。甲方如</w:t>
      </w:r>
      <w:r>
        <w:rPr>
          <w:rFonts w:hint="eastAsia" w:ascii="宋体"/>
          <w:color w:val="auto"/>
          <w:kern w:val="0"/>
          <w:sz w:val="24"/>
          <w:lang w:val="en-US" w:eastAsia="zh-CN"/>
        </w:rPr>
        <w:t>遇</w:t>
      </w:r>
      <w:r>
        <w:rPr>
          <w:rFonts w:hint="eastAsia" w:ascii="宋体"/>
          <w:color w:val="auto"/>
          <w:kern w:val="0"/>
          <w:sz w:val="24"/>
        </w:rPr>
        <w:t>临时紧急工作任务，乙方必须无条件调动人员，保证完成工作；</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② 按要求配好工作人员，确保工作质量（乙方在签订合同时将人员安排情况报甲方备案），若甲方提出任何需要整改的意见，乙方应立即予以整改，乙方也可向甲方提出合理化意见和建议；乙方在签约之日自行购齐必需的相关设施设备及材料，并自行落实好管理、人员。每天到岗人数不得少于投标承诺人员数。</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③ 乙方工作人员要穿统一工作服装，以示上岗，接受公众监督，遵守甲方各项内部规章制度。</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④ 征得甲方同意，乙方可选聘专业公司承担特殊专项服务，但不得将该物业管理责任转让第三方。</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⑤ 乙方在被委托期间，发生人员伤亡由乙方承担一切费用，甲方概不承担任何责任。乙方用工应签订劳动协议，并办理各种用工手续，如因用工不当，给甲方造成损失由乙方承担一切责任。乙方要落实好安全防范措施，所有工作人员，必须参加意外伤害保险和社会保险。在承包期内的各种伤亡、安全、赔偿事故，无论工伤、非工伤一律自负，甲方均不负任何责任。</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⑦ 根据甲方需要，乙方应配合其它安保、保洁及突发性、公益性任务。</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⑧ 乙方必须健全机构，完备制度，制订详细管理制度和监督考核办法，加强日常监督考核工作。</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⑨ 乙方应自觉接受甲方的管理和指导，服从甲方的检查考核。</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lang w:eastAsia="zh-CN"/>
        </w:rPr>
      </w:pPr>
      <w:r>
        <w:rPr>
          <w:rFonts w:hint="eastAsia" w:ascii="宋体"/>
          <w:color w:val="auto"/>
          <w:kern w:val="0"/>
          <w:sz w:val="24"/>
        </w:rPr>
        <w:t>⑩ 乙方必须按时支付人员工资，所支付的工资不低于上虞市劳动部门发布的最低工资标准，不得克扣或者无故拖欠人员工资</w:t>
      </w:r>
      <w:r>
        <w:rPr>
          <w:rFonts w:hint="eastAsia" w:ascii="宋体"/>
          <w:color w:val="auto"/>
          <w:kern w:val="0"/>
          <w:sz w:val="24"/>
          <w:lang w:eastAsia="zh-CN"/>
        </w:rPr>
        <w:t>。</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⑪ 乙方有合理化的建议，经甲方认可后方可执行。</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宋体"/>
          <w:color w:val="auto"/>
          <w:kern w:val="0"/>
          <w:sz w:val="24"/>
        </w:rPr>
      </w:pPr>
      <w:r>
        <w:rPr>
          <w:rFonts w:hint="eastAsia" w:ascii="宋体"/>
          <w:color w:val="auto"/>
          <w:kern w:val="0"/>
          <w:sz w:val="24"/>
        </w:rPr>
        <w:t>⑫ 本项目合同期终止时，乙方必须向甲方移交全部管理用房及物业管理的全部档案资料。</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违约责任</w:t>
      </w:r>
    </w:p>
    <w:p>
      <w:pPr>
        <w:keepNext w:val="0"/>
        <w:keepLines w:val="0"/>
        <w:pageBreakBefore w:val="0"/>
        <w:widowControl w:val="0"/>
        <w:numPr>
          <w:ilvl w:val="0"/>
          <w:numId w:val="29"/>
        </w:numPr>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如甲方未按合同规定期限向乙方付费，经乙方催讨后</w:t>
      </w:r>
      <w:r>
        <w:rPr>
          <w:rFonts w:hint="eastAsia" w:ascii="宋体"/>
          <w:color w:val="auto"/>
          <w:kern w:val="0"/>
          <w:sz w:val="24"/>
          <w:lang w:val="en-US" w:eastAsia="zh-CN"/>
        </w:rPr>
        <w:t>15个工作日内</w:t>
      </w:r>
      <w:r>
        <w:rPr>
          <w:rFonts w:hint="eastAsia" w:ascii="宋体"/>
          <w:color w:val="auto"/>
          <w:kern w:val="0"/>
          <w:sz w:val="24"/>
        </w:rPr>
        <w:t>仍未支付时，对逾期未付的费用每逾期一天，按应付金额的</w:t>
      </w:r>
      <w:r>
        <w:rPr>
          <w:rFonts w:hint="eastAsia" w:ascii="宋体"/>
          <w:color w:val="auto"/>
          <w:kern w:val="0"/>
          <w:sz w:val="24"/>
          <w:lang w:val="en-US" w:eastAsia="zh-CN"/>
        </w:rPr>
        <w:t>万分之三</w:t>
      </w:r>
      <w:r>
        <w:rPr>
          <w:rFonts w:hint="eastAsia" w:ascii="宋体"/>
          <w:color w:val="auto"/>
          <w:kern w:val="0"/>
          <w:sz w:val="24"/>
        </w:rPr>
        <w:t>支付滞纳金。</w:t>
      </w:r>
    </w:p>
    <w:p>
      <w:pPr>
        <w:keepNext w:val="0"/>
        <w:keepLines w:val="0"/>
        <w:pageBreakBefore w:val="0"/>
        <w:widowControl w:val="0"/>
        <w:numPr>
          <w:ilvl w:val="0"/>
          <w:numId w:val="29"/>
        </w:numPr>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如乙方未能按合同要求进行服务（按考核细则）给甲方造成恶劣影响和损失时，甲方有权向乙方收取剩余合同金额</w:t>
      </w:r>
      <w:r>
        <w:rPr>
          <w:rFonts w:hint="eastAsia" w:ascii="宋体"/>
          <w:color w:val="auto"/>
          <w:kern w:val="0"/>
          <w:sz w:val="24"/>
          <w:lang w:val="en-US" w:eastAsia="zh-CN"/>
        </w:rPr>
        <w:t>万分之三</w:t>
      </w:r>
      <w:r>
        <w:rPr>
          <w:rFonts w:hint="eastAsia" w:ascii="宋体"/>
          <w:color w:val="auto"/>
          <w:kern w:val="0"/>
          <w:sz w:val="24"/>
        </w:rPr>
        <w:t>的违约金</w:t>
      </w:r>
      <w:r>
        <w:rPr>
          <w:rFonts w:hint="eastAsia" w:ascii="宋体"/>
          <w:color w:val="auto"/>
          <w:kern w:val="0"/>
          <w:sz w:val="24"/>
          <w:lang w:eastAsia="zh-CN"/>
        </w:rPr>
        <w:t>。</w:t>
      </w:r>
    </w:p>
    <w:p>
      <w:pPr>
        <w:keepNext w:val="0"/>
        <w:keepLines w:val="0"/>
        <w:pageBreakBefore w:val="0"/>
        <w:widowControl w:val="0"/>
        <w:numPr>
          <w:ilvl w:val="0"/>
          <w:numId w:val="29"/>
        </w:numPr>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乙方未能履行本合同约定，造成甲方直接经济损失的，经司法部门认定后，乙方须承担赔偿责任；若给甲方工作造成严重影响的（包括严重财产损失、严重形象损失、防疫不力、重大安全事故等），甲方有权提前终止合同，由此给甲方带来经济损失的，乙方须承担相应的经济赔偿责任。</w:t>
      </w:r>
    </w:p>
    <w:p>
      <w:pPr>
        <w:keepNext w:val="0"/>
        <w:keepLines w:val="0"/>
        <w:pageBreakBefore w:val="0"/>
        <w:widowControl w:val="0"/>
        <w:numPr>
          <w:ilvl w:val="0"/>
          <w:numId w:val="29"/>
        </w:numPr>
        <w:kinsoku/>
        <w:wordWrap/>
        <w:overflowPunct/>
        <w:topLinePunct w:val="0"/>
        <w:bidi w:val="0"/>
        <w:snapToGrid/>
        <w:spacing w:line="460" w:lineRule="exact"/>
        <w:ind w:firstLine="480" w:firstLineChars="200"/>
        <w:jc w:val="left"/>
        <w:textAlignment w:val="auto"/>
        <w:rPr>
          <w:rFonts w:hint="eastAsia" w:ascii="宋体"/>
          <w:color w:val="auto"/>
          <w:kern w:val="0"/>
          <w:sz w:val="24"/>
        </w:rPr>
      </w:pPr>
      <w:r>
        <w:rPr>
          <w:rFonts w:hint="eastAsia" w:ascii="宋体"/>
          <w:color w:val="auto"/>
          <w:kern w:val="0"/>
          <w:sz w:val="24"/>
        </w:rPr>
        <w:t>乙方未经甲方同意擅自转包，甲方有权终止采购合同</w:t>
      </w:r>
      <w:r>
        <w:rPr>
          <w:rFonts w:hint="eastAsia" w:ascii="宋体"/>
          <w:color w:val="auto"/>
          <w:kern w:val="0"/>
          <w:sz w:val="24"/>
          <w:lang w:eastAsia="zh-CN"/>
        </w:rPr>
        <w:t>。</w:t>
      </w:r>
    </w:p>
    <w:p>
      <w:pPr>
        <w:keepNext w:val="0"/>
        <w:keepLines w:val="0"/>
        <w:pageBreakBefore w:val="0"/>
        <w:widowControl w:val="0"/>
        <w:numPr>
          <w:ilvl w:val="0"/>
          <w:numId w:val="29"/>
        </w:numPr>
        <w:kinsoku/>
        <w:wordWrap/>
        <w:overflowPunct/>
        <w:topLinePunct w:val="0"/>
        <w:bidi w:val="0"/>
        <w:snapToGrid/>
        <w:spacing w:line="46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Times New Roman" w:eastAsia="宋体" w:cs="Times New Roman"/>
          <w:color w:val="auto"/>
          <w:kern w:val="0"/>
          <w:sz w:val="24"/>
        </w:rPr>
        <w:t>由于</w:t>
      </w:r>
      <w:r>
        <w:rPr>
          <w:rFonts w:hint="eastAsia" w:ascii="宋体"/>
          <w:color w:val="auto"/>
          <w:kern w:val="0"/>
          <w:sz w:val="24"/>
        </w:rPr>
        <w:t>政策或不可抗力等因素引起承包中断，甲方终止承包合同应提前30天通知乙方</w:t>
      </w:r>
      <w:r>
        <w:rPr>
          <w:rFonts w:hint="eastAsia" w:ascii="宋体" w:hAnsi="宋体" w:eastAsia="宋体" w:cs="宋体"/>
          <w:color w:val="auto"/>
          <w:sz w:val="24"/>
          <w:szCs w:val="24"/>
          <w:highlight w:val="none"/>
        </w:rPr>
        <w:t>。</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lang w:val="en-US" w:eastAsia="zh-CN"/>
        </w:rPr>
        <w:t>争议</w:t>
      </w:r>
      <w:r>
        <w:rPr>
          <w:rFonts w:hint="eastAsia" w:ascii="宋体" w:hAnsi="宋体" w:eastAsia="宋体" w:cs="宋体"/>
          <w:b/>
          <w:color w:val="auto"/>
          <w:sz w:val="24"/>
          <w:szCs w:val="24"/>
          <w:highlight w:val="none"/>
          <w:lang w:val="en-US" w:eastAsia="zh-CN"/>
        </w:rPr>
        <w:t>解决</w:t>
      </w:r>
    </w:p>
    <w:p>
      <w:pPr>
        <w:keepNext w:val="0"/>
        <w:keepLines w:val="0"/>
        <w:pageBreakBefore w:val="0"/>
        <w:widowControl w:val="0"/>
        <w:numPr>
          <w:ilvl w:val="0"/>
          <w:numId w:val="30"/>
        </w:numPr>
        <w:kinsoku/>
        <w:wordWrap/>
        <w:overflowPunct/>
        <w:topLinePunct w:val="0"/>
        <w:autoSpaceDE/>
        <w:autoSpaceDN/>
        <w:bidi w:val="0"/>
        <w:snapToGrid/>
        <w:spacing w:line="460" w:lineRule="exact"/>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本合同及合同有关事项发生的争议，由甲乙双方友好协商解决。协商不成时，可以向有关组织申请调解。合同一方或双方不愿调解或调解不成的，可以通过向合同履行所在地仲裁机构仲裁或合同履行所在地人民法院诉讼的方式解决争议。</w:t>
      </w:r>
    </w:p>
    <w:p>
      <w:pPr>
        <w:keepNext w:val="0"/>
        <w:keepLines w:val="0"/>
        <w:pageBreakBefore w:val="0"/>
        <w:widowControl w:val="0"/>
        <w:numPr>
          <w:ilvl w:val="0"/>
          <w:numId w:val="30"/>
        </w:numPr>
        <w:kinsoku/>
        <w:wordWrap/>
        <w:overflowPunct/>
        <w:topLinePunct w:val="0"/>
        <w:autoSpaceDE/>
        <w:autoSpaceDN/>
        <w:bidi w:val="0"/>
        <w:snapToGrid/>
        <w:spacing w:line="460" w:lineRule="exact"/>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如甲乙双方有争议的事项不影响合同其他部分的履行，在争议解决期间，合同其他部分应当继续履行。</w:t>
      </w:r>
    </w:p>
    <w:p>
      <w:pPr>
        <w:keepNext w:val="0"/>
        <w:keepLines w:val="0"/>
        <w:pageBreakBefore w:val="0"/>
        <w:widowControl w:val="0"/>
        <w:numPr>
          <w:ilvl w:val="0"/>
          <w:numId w:val="24"/>
        </w:numPr>
        <w:kinsoku/>
        <w:wordWrap/>
        <w:overflowPunct/>
        <w:topLinePunct w:val="0"/>
        <w:autoSpaceDE/>
        <w:autoSpaceDN/>
        <w:bidi w:val="0"/>
        <w:adjustRightInd/>
        <w:snapToGrid/>
        <w:spacing w:line="460" w:lineRule="exact"/>
        <w:ind w:left="0" w:leftChars="0" w:firstLine="482" w:firstLineChars="200"/>
        <w:textAlignment w:val="auto"/>
        <w:rPr>
          <w:rFonts w:hint="eastAsia" w:ascii="宋体" w:hAnsi="宋体"/>
          <w:b/>
          <w:color w:val="auto"/>
          <w:sz w:val="24"/>
          <w:szCs w:val="24"/>
        </w:rPr>
      </w:pPr>
      <w:r>
        <w:rPr>
          <w:rFonts w:hint="eastAsia" w:ascii="宋体" w:hAnsi="宋体"/>
          <w:b/>
          <w:color w:val="auto"/>
          <w:sz w:val="24"/>
          <w:szCs w:val="24"/>
        </w:rPr>
        <w:t>其它事项</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val="en-US" w:eastAsia="zh-CN"/>
        </w:rPr>
        <w:t>.</w:t>
      </w:r>
      <w:r>
        <w:rPr>
          <w:rFonts w:hint="eastAsia" w:ascii="宋体" w:hAnsi="宋体"/>
          <w:color w:val="auto"/>
          <w:sz w:val="24"/>
          <w:szCs w:val="24"/>
        </w:rPr>
        <w:t>本合同</w:t>
      </w:r>
      <w:r>
        <w:rPr>
          <w:rFonts w:hint="eastAsia" w:ascii="宋体" w:hAnsi="宋体" w:eastAsia="宋体" w:cs="宋体"/>
          <w:bCs/>
          <w:color w:val="auto"/>
          <w:sz w:val="24"/>
        </w:rPr>
        <w:t>附件</w:t>
      </w:r>
      <w:r>
        <w:rPr>
          <w:rFonts w:hint="eastAsia" w:ascii="宋体" w:hAnsi="宋体"/>
          <w:color w:val="auto"/>
          <w:sz w:val="24"/>
          <w:szCs w:val="24"/>
        </w:rPr>
        <w:t>属于本合同不可分割部分，具有同等效力。</w:t>
      </w:r>
    </w:p>
    <w:p>
      <w:pPr>
        <w:pStyle w:val="3"/>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color w:val="auto"/>
          <w:sz w:val="24"/>
          <w:szCs w:val="24"/>
        </w:rPr>
      </w:pPr>
      <w:r>
        <w:rPr>
          <w:rFonts w:hint="eastAsia" w:ascii="宋体" w:hAnsi="宋体"/>
          <w:color w:val="auto"/>
          <w:sz w:val="24"/>
          <w:szCs w:val="24"/>
        </w:rPr>
        <w:t>2</w:t>
      </w:r>
      <w:r>
        <w:rPr>
          <w:rFonts w:hint="eastAsia" w:ascii="宋体" w:hAnsi="宋体"/>
          <w:color w:val="auto"/>
          <w:sz w:val="24"/>
          <w:szCs w:val="24"/>
          <w:lang w:val="en-US" w:eastAsia="zh-CN"/>
        </w:rPr>
        <w:t>.</w:t>
      </w:r>
      <w:r>
        <w:rPr>
          <w:rFonts w:hint="eastAsia" w:ascii="宋体" w:hAnsi="宋体"/>
          <w:color w:val="auto"/>
          <w:sz w:val="24"/>
          <w:szCs w:val="24"/>
        </w:rPr>
        <w:t>甲乙双方经协商后，可对本合同的条款进行修订、补充，并以书面形式签订补充协议，补充协议与本合同具有同等法律效力。</w:t>
      </w:r>
    </w:p>
    <w:p>
      <w:pPr>
        <w:pStyle w:val="3"/>
        <w:keepNext w:val="0"/>
        <w:keepLines w:val="0"/>
        <w:pageBreakBefore w:val="0"/>
        <w:widowControl w:val="0"/>
        <w:kinsoku/>
        <w:wordWrap/>
        <w:overflowPunct/>
        <w:topLinePunct w:val="0"/>
        <w:autoSpaceDE/>
        <w:autoSpaceDN/>
        <w:bidi w:val="0"/>
        <w:adjustRightInd/>
        <w:snapToGrid/>
        <w:spacing w:line="460" w:lineRule="exact"/>
        <w:ind w:firstLine="480"/>
        <w:textAlignment w:val="auto"/>
        <w:rPr>
          <w:rFonts w:hint="eastAsia" w:ascii="宋体" w:hAnsi="宋体"/>
          <w:color w:val="auto"/>
          <w:sz w:val="24"/>
          <w:szCs w:val="24"/>
        </w:rPr>
      </w:pPr>
      <w:r>
        <w:rPr>
          <w:rFonts w:hint="eastAsia" w:ascii="宋体" w:hAnsi="宋体"/>
          <w:color w:val="auto"/>
          <w:sz w:val="24"/>
          <w:szCs w:val="24"/>
        </w:rPr>
        <w:t>3</w:t>
      </w:r>
      <w:r>
        <w:rPr>
          <w:rFonts w:hint="eastAsia" w:ascii="宋体" w:hAnsi="宋体"/>
          <w:color w:val="auto"/>
          <w:sz w:val="24"/>
          <w:szCs w:val="24"/>
          <w:lang w:val="en-US" w:eastAsia="zh-CN"/>
        </w:rPr>
        <w:t>.项目结束，费用结算完成后</w:t>
      </w:r>
      <w:r>
        <w:rPr>
          <w:rFonts w:hint="eastAsia" w:ascii="宋体" w:hAnsi="宋体"/>
          <w:color w:val="auto"/>
          <w:sz w:val="24"/>
          <w:szCs w:val="24"/>
        </w:rPr>
        <w:t>，本合同自然终止。</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b w:val="0"/>
          <w:bCs/>
          <w:color w:val="auto"/>
          <w:kern w:val="0"/>
          <w:sz w:val="24"/>
          <w:highlight w:val="none"/>
          <w:lang w:val="en-US" w:eastAsia="zh-CN"/>
        </w:rPr>
      </w:pPr>
      <w:r>
        <w:rPr>
          <w:rFonts w:hint="eastAsia" w:ascii="宋体" w:hAnsi="宋体" w:cs="宋体"/>
          <w:b w:val="0"/>
          <w:bCs/>
          <w:color w:val="auto"/>
          <w:kern w:val="0"/>
          <w:sz w:val="24"/>
          <w:highlight w:val="none"/>
          <w:lang w:val="en-US" w:eastAsia="zh-CN"/>
        </w:rPr>
        <w:t>4</w:t>
      </w:r>
      <w:r>
        <w:rPr>
          <w:rFonts w:hint="eastAsia" w:ascii="宋体" w:hAnsi="宋体" w:eastAsia="宋体" w:cs="宋体"/>
          <w:b w:val="0"/>
          <w:bCs/>
          <w:color w:val="auto"/>
          <w:kern w:val="0"/>
          <w:sz w:val="24"/>
          <w:highlight w:val="none"/>
          <w:lang w:val="en-US" w:eastAsia="zh-CN"/>
        </w:rPr>
        <w:t>.本项目货物如涉及柴油动力移动源，柴油动力移动源应当符合低排放要求</w:t>
      </w:r>
      <w:r>
        <w:rPr>
          <w:rFonts w:hint="eastAsia" w:ascii="宋体" w:hAnsi="宋体" w:cs="宋体"/>
          <w:b w:val="0"/>
          <w:bCs/>
          <w:color w:val="auto"/>
          <w:kern w:val="0"/>
          <w:sz w:val="24"/>
          <w:highlight w:val="none"/>
          <w:lang w:val="en-US" w:eastAsia="zh-CN"/>
        </w:rPr>
        <w:t>。</w:t>
      </w:r>
    </w:p>
    <w:p>
      <w:pPr>
        <w:keepNext w:val="0"/>
        <w:keepLines w:val="0"/>
        <w:pageBreakBefore w:val="0"/>
        <w:widowControl w:val="0"/>
        <w:kinsoku/>
        <w:wordWrap/>
        <w:overflowPunct/>
        <w:topLinePunct w:val="0"/>
        <w:bidi w:val="0"/>
        <w:snapToGrid/>
        <w:spacing w:line="460" w:lineRule="exact"/>
        <w:ind w:firstLine="482"/>
        <w:jc w:val="left"/>
        <w:textAlignment w:val="auto"/>
        <w:rPr>
          <w:rFonts w:ascii="宋体" w:hAnsi="宋体" w:cs="宋体"/>
          <w:color w:val="auto"/>
          <w:kern w:val="0"/>
          <w:sz w:val="24"/>
          <w:highlight w:val="none"/>
        </w:rPr>
      </w:pPr>
      <w:r>
        <w:rPr>
          <w:rFonts w:hint="eastAsia" w:ascii="宋体" w:hAnsi="宋体" w:cs="宋体"/>
          <w:b/>
          <w:color w:val="auto"/>
          <w:kern w:val="0"/>
          <w:sz w:val="24"/>
          <w:highlight w:val="none"/>
          <w:lang w:val="en-US" w:eastAsia="zh-CN"/>
        </w:rPr>
        <w:t>5.</w:t>
      </w:r>
      <w:r>
        <w:rPr>
          <w:rFonts w:hint="eastAsia" w:ascii="宋体" w:hAnsi="宋体" w:eastAsia="宋体" w:cs="宋体"/>
          <w:b/>
          <w:color w:val="auto"/>
          <w:kern w:val="0"/>
          <w:sz w:val="24"/>
          <w:highlight w:val="none"/>
        </w:rPr>
        <w:t>本合同一式</w:t>
      </w:r>
      <w:r>
        <w:rPr>
          <w:rFonts w:hint="eastAsia" w:ascii="宋体" w:hAnsi="宋体" w:eastAsia="宋体" w:cs="宋体"/>
          <w:b/>
          <w:color w:val="auto"/>
          <w:kern w:val="0"/>
          <w:sz w:val="24"/>
          <w:highlight w:val="none"/>
          <w:u w:val="single"/>
        </w:rPr>
        <w:t>　</w:t>
      </w:r>
      <w:r>
        <w:rPr>
          <w:rFonts w:hint="eastAsia" w:ascii="宋体" w:hAnsi="宋体" w:eastAsia="宋体" w:cs="宋体"/>
          <w:b/>
          <w:color w:val="auto"/>
          <w:kern w:val="0"/>
          <w:sz w:val="24"/>
          <w:highlight w:val="none"/>
          <w:u w:val="single"/>
          <w:lang w:val="en-US" w:eastAsia="zh-CN"/>
        </w:rPr>
        <w:t xml:space="preserve"> </w:t>
      </w:r>
      <w:r>
        <w:rPr>
          <w:rFonts w:hint="eastAsia" w:ascii="宋体" w:hAnsi="宋体" w:eastAsia="宋体" w:cs="宋体"/>
          <w:b/>
          <w:color w:val="auto"/>
          <w:kern w:val="0"/>
          <w:sz w:val="24"/>
          <w:highlight w:val="none"/>
          <w:u w:val="single"/>
        </w:rPr>
        <w:t xml:space="preserve"> </w:t>
      </w:r>
      <w:r>
        <w:rPr>
          <w:rFonts w:hint="eastAsia" w:ascii="宋体" w:hAnsi="宋体" w:eastAsia="宋体" w:cs="宋体"/>
          <w:b/>
          <w:color w:val="auto"/>
          <w:kern w:val="0"/>
          <w:sz w:val="24"/>
          <w:highlight w:val="none"/>
        </w:rPr>
        <w:t>份，</w:t>
      </w:r>
      <w:r>
        <w:rPr>
          <w:rFonts w:hint="eastAsia" w:ascii="宋体" w:hAnsi="宋体" w:eastAsia="宋体" w:cs="宋体"/>
          <w:b/>
          <w:color w:val="auto"/>
          <w:kern w:val="0"/>
          <w:sz w:val="24"/>
          <w:highlight w:val="none"/>
          <w:lang w:eastAsia="zh-CN"/>
        </w:rPr>
        <w:t>甲方</w:t>
      </w:r>
      <w:r>
        <w:rPr>
          <w:rFonts w:hint="eastAsia" w:ascii="宋体" w:hAnsi="宋体" w:eastAsia="宋体" w:cs="宋体"/>
          <w:b/>
          <w:color w:val="auto"/>
          <w:kern w:val="0"/>
          <w:sz w:val="24"/>
          <w:highlight w:val="none"/>
        </w:rPr>
        <w:t>和</w:t>
      </w:r>
      <w:r>
        <w:rPr>
          <w:rFonts w:hint="eastAsia" w:ascii="宋体" w:hAnsi="宋体" w:eastAsia="宋体" w:cs="宋体"/>
          <w:b/>
          <w:color w:val="auto"/>
          <w:kern w:val="0"/>
          <w:sz w:val="24"/>
          <w:highlight w:val="none"/>
          <w:lang w:eastAsia="zh-CN"/>
        </w:rPr>
        <w:t>乙方</w:t>
      </w:r>
      <w:r>
        <w:rPr>
          <w:rFonts w:hint="eastAsia" w:ascii="宋体" w:hAnsi="宋体" w:eastAsia="宋体" w:cs="宋体"/>
          <w:b/>
          <w:color w:val="auto"/>
          <w:kern w:val="0"/>
          <w:sz w:val="24"/>
          <w:highlight w:val="none"/>
        </w:rPr>
        <w:t>各执</w:t>
      </w:r>
      <w:r>
        <w:rPr>
          <w:rFonts w:hint="eastAsia" w:ascii="宋体" w:hAnsi="宋体" w:cs="宋体"/>
          <w:b/>
          <w:color w:val="auto"/>
          <w:kern w:val="0"/>
          <w:sz w:val="24"/>
          <w:highlight w:val="none"/>
          <w:u w:val="single"/>
          <w:lang w:val="en-US" w:eastAsia="zh-CN"/>
        </w:rPr>
        <w:t xml:space="preserve">   </w:t>
      </w:r>
      <w:r>
        <w:rPr>
          <w:rFonts w:hint="eastAsia" w:ascii="宋体" w:hAnsi="宋体" w:eastAsia="宋体" w:cs="宋体"/>
          <w:b/>
          <w:color w:val="auto"/>
          <w:kern w:val="0"/>
          <w:sz w:val="24"/>
          <w:highlight w:val="none"/>
        </w:rPr>
        <w:t>份，</w:t>
      </w:r>
      <w:r>
        <w:rPr>
          <w:rFonts w:hint="eastAsia" w:ascii="宋体" w:hAnsi="宋体" w:eastAsia="宋体" w:cs="宋体"/>
          <w:b/>
          <w:color w:val="auto"/>
          <w:kern w:val="0"/>
          <w:sz w:val="24"/>
          <w:highlight w:val="none"/>
          <w:lang w:val="en-US" w:eastAsia="zh-CN"/>
        </w:rPr>
        <w:t>并由甲方在30日内做好政采云平台网上合同创建及备案</w:t>
      </w:r>
      <w:r>
        <w:rPr>
          <w:rFonts w:hint="eastAsia" w:ascii="宋体" w:hAnsi="宋体" w:cs="宋体"/>
          <w:b/>
          <w:color w:val="auto"/>
          <w:kern w:val="0"/>
          <w:sz w:val="24"/>
          <w:szCs w:val="24"/>
          <w:highlight w:val="none"/>
        </w:rPr>
        <w:t>。</w:t>
      </w:r>
    </w:p>
    <w:tbl>
      <w:tblPr>
        <w:tblStyle w:val="29"/>
        <w:tblW w:w="0" w:type="auto"/>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3"/>
        <w:gridCol w:w="2345"/>
        <w:gridCol w:w="1624"/>
        <w:gridCol w:w="2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1443" w:type="dxa"/>
            <w:vAlign w:val="center"/>
          </w:tcPr>
          <w:p>
            <w:pPr>
              <w:snapToGrid w:val="0"/>
              <w:spacing w:line="360" w:lineRule="auto"/>
              <w:jc w:val="center"/>
              <w:rPr>
                <w:rFonts w:ascii="宋体" w:hAnsi="宋体" w:cs="宋体"/>
                <w:snapToGrid w:val="0"/>
                <w:color w:val="auto"/>
                <w:kern w:val="0"/>
                <w:sz w:val="24"/>
                <w:szCs w:val="24"/>
                <w:highlight w:val="none"/>
              </w:rPr>
            </w:pPr>
            <w:r>
              <w:rPr>
                <w:rFonts w:hint="eastAsia" w:ascii="宋体" w:hAnsi="宋体" w:cs="宋体"/>
                <w:snapToGrid w:val="0"/>
                <w:color w:val="auto"/>
                <w:kern w:val="0"/>
                <w:sz w:val="24"/>
                <w:szCs w:val="24"/>
                <w:highlight w:val="none"/>
                <w:lang w:val="en-US" w:eastAsia="zh-CN"/>
              </w:rPr>
              <w:t>甲方</w:t>
            </w:r>
            <w:r>
              <w:rPr>
                <w:rFonts w:ascii="宋体" w:hAnsi="宋体" w:cs="宋体"/>
                <w:snapToGrid w:val="0"/>
                <w:color w:val="auto"/>
                <w:kern w:val="0"/>
                <w:sz w:val="24"/>
                <w:szCs w:val="24"/>
                <w:highlight w:val="none"/>
              </w:rPr>
              <w:t>单位</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（盖章）</w:t>
            </w:r>
          </w:p>
        </w:tc>
        <w:tc>
          <w:tcPr>
            <w:tcW w:w="1624" w:type="dxa"/>
            <w:vAlign w:val="center"/>
          </w:tcPr>
          <w:p>
            <w:pPr>
              <w:snapToGrid w:val="0"/>
              <w:spacing w:line="360" w:lineRule="auto"/>
              <w:jc w:val="center"/>
              <w:rPr>
                <w:rFonts w:ascii="宋体" w:hAnsi="宋体" w:cs="宋体"/>
                <w:snapToGrid w:val="0"/>
                <w:color w:val="auto"/>
                <w:kern w:val="0"/>
                <w:sz w:val="24"/>
                <w:szCs w:val="24"/>
                <w:highlight w:val="none"/>
              </w:rPr>
            </w:pPr>
            <w:r>
              <w:rPr>
                <w:rFonts w:hint="eastAsia" w:ascii="宋体" w:hAnsi="宋体" w:cs="宋体"/>
                <w:snapToGrid w:val="0"/>
                <w:color w:val="auto"/>
                <w:kern w:val="0"/>
                <w:sz w:val="24"/>
                <w:szCs w:val="24"/>
                <w:highlight w:val="none"/>
                <w:lang w:val="en-US" w:eastAsia="zh-CN"/>
              </w:rPr>
              <w:t>乙方</w:t>
            </w:r>
            <w:r>
              <w:rPr>
                <w:rFonts w:ascii="宋体" w:hAnsi="宋体" w:cs="宋体"/>
                <w:snapToGrid w:val="0"/>
                <w:color w:val="auto"/>
                <w:kern w:val="0"/>
                <w:sz w:val="24"/>
                <w:szCs w:val="24"/>
                <w:highlight w:val="none"/>
              </w:rPr>
              <w:t>单位</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1443"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代表签名</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p>
        </w:tc>
        <w:tc>
          <w:tcPr>
            <w:tcW w:w="1624"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代表签名</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1443"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地址</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p>
        </w:tc>
        <w:tc>
          <w:tcPr>
            <w:tcW w:w="1624"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地址</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1443"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电话</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p>
        </w:tc>
        <w:tc>
          <w:tcPr>
            <w:tcW w:w="1624"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电话</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1443"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开户银行</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p>
        </w:tc>
        <w:tc>
          <w:tcPr>
            <w:tcW w:w="1624" w:type="dxa"/>
            <w:vAlign w:val="center"/>
          </w:tcPr>
          <w:p>
            <w:pPr>
              <w:snapToGrid w:val="0"/>
              <w:spacing w:line="360" w:lineRule="auto"/>
              <w:jc w:val="center"/>
              <w:rPr>
                <w:rFonts w:ascii="宋体" w:hAnsi="宋体" w:cs="宋体"/>
                <w:snapToGrid w:val="0"/>
                <w:color w:val="auto"/>
                <w:kern w:val="0"/>
                <w:sz w:val="24"/>
                <w:szCs w:val="24"/>
                <w:highlight w:val="none"/>
              </w:rPr>
            </w:pPr>
            <w:r>
              <w:rPr>
                <w:rFonts w:ascii="宋体" w:hAnsi="宋体" w:cs="宋体"/>
                <w:snapToGrid w:val="0"/>
                <w:color w:val="auto"/>
                <w:kern w:val="0"/>
                <w:sz w:val="24"/>
                <w:szCs w:val="24"/>
                <w:highlight w:val="none"/>
              </w:rPr>
              <w:t>开户银行</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4" w:hRule="atLeast"/>
        </w:trPr>
        <w:tc>
          <w:tcPr>
            <w:tcW w:w="1443" w:type="dxa"/>
            <w:vAlign w:val="center"/>
          </w:tcPr>
          <w:p>
            <w:pPr>
              <w:snapToGrid w:val="0"/>
              <w:spacing w:line="360" w:lineRule="auto"/>
              <w:jc w:val="center"/>
              <w:rPr>
                <w:rFonts w:hint="eastAsia" w:ascii="宋体" w:hAnsi="宋体" w:eastAsia="宋体" w:cs="宋体"/>
                <w:snapToGrid w:val="0"/>
                <w:color w:val="auto"/>
                <w:kern w:val="0"/>
                <w:sz w:val="24"/>
                <w:szCs w:val="24"/>
                <w:highlight w:val="none"/>
                <w:lang w:eastAsia="zh-CN"/>
              </w:rPr>
            </w:pPr>
            <w:r>
              <w:rPr>
                <w:rFonts w:hint="eastAsia" w:ascii="宋体" w:hAnsi="宋体" w:cs="宋体"/>
                <w:snapToGrid w:val="0"/>
                <w:color w:val="auto"/>
                <w:kern w:val="0"/>
                <w:sz w:val="24"/>
                <w:szCs w:val="24"/>
                <w:highlight w:val="none"/>
                <w:lang w:val="en-US" w:eastAsia="zh-CN"/>
              </w:rPr>
              <w:t>账号</w:t>
            </w:r>
          </w:p>
        </w:tc>
        <w:tc>
          <w:tcPr>
            <w:tcW w:w="2345" w:type="dxa"/>
            <w:vAlign w:val="center"/>
          </w:tcPr>
          <w:p>
            <w:pPr>
              <w:snapToGrid w:val="0"/>
              <w:spacing w:line="360" w:lineRule="auto"/>
              <w:jc w:val="center"/>
              <w:rPr>
                <w:rFonts w:ascii="宋体" w:hAnsi="宋体" w:cs="宋体"/>
                <w:snapToGrid w:val="0"/>
                <w:color w:val="auto"/>
                <w:kern w:val="0"/>
                <w:sz w:val="24"/>
                <w:szCs w:val="24"/>
                <w:highlight w:val="none"/>
              </w:rPr>
            </w:pPr>
          </w:p>
        </w:tc>
        <w:tc>
          <w:tcPr>
            <w:tcW w:w="1624" w:type="dxa"/>
            <w:vAlign w:val="center"/>
          </w:tcPr>
          <w:p>
            <w:pPr>
              <w:snapToGrid w:val="0"/>
              <w:spacing w:line="360" w:lineRule="auto"/>
              <w:jc w:val="center"/>
              <w:rPr>
                <w:rFonts w:hint="eastAsia" w:ascii="宋体" w:hAnsi="宋体" w:eastAsia="宋体" w:cs="宋体"/>
                <w:snapToGrid w:val="0"/>
                <w:color w:val="auto"/>
                <w:kern w:val="0"/>
                <w:sz w:val="24"/>
                <w:szCs w:val="24"/>
                <w:highlight w:val="none"/>
                <w:lang w:eastAsia="zh-CN"/>
              </w:rPr>
            </w:pPr>
            <w:r>
              <w:rPr>
                <w:rFonts w:hint="eastAsia" w:ascii="宋体" w:hAnsi="宋体" w:cs="宋体"/>
                <w:snapToGrid w:val="0"/>
                <w:color w:val="auto"/>
                <w:kern w:val="0"/>
                <w:sz w:val="24"/>
                <w:szCs w:val="24"/>
                <w:highlight w:val="none"/>
                <w:lang w:val="en-US" w:eastAsia="zh-CN"/>
              </w:rPr>
              <w:t>账号</w:t>
            </w:r>
          </w:p>
        </w:tc>
        <w:tc>
          <w:tcPr>
            <w:tcW w:w="2706" w:type="dxa"/>
            <w:vAlign w:val="center"/>
          </w:tcPr>
          <w:p>
            <w:pPr>
              <w:snapToGrid w:val="0"/>
              <w:spacing w:line="360" w:lineRule="auto"/>
              <w:jc w:val="center"/>
              <w:rPr>
                <w:rFonts w:ascii="宋体" w:hAnsi="宋体" w:cs="宋体"/>
                <w:snapToGrid w:val="0"/>
                <w:color w:val="auto"/>
                <w:kern w:val="0"/>
                <w:sz w:val="24"/>
                <w:szCs w:val="24"/>
                <w:highlight w:val="none"/>
              </w:rPr>
            </w:pPr>
          </w:p>
        </w:tc>
      </w:tr>
    </w:tbl>
    <w:p>
      <w:pPr>
        <w:pStyle w:val="4"/>
        <w:keepLines w:val="0"/>
        <w:numPr>
          <w:ilvl w:val="0"/>
          <w:numId w:val="17"/>
        </w:numPr>
        <w:jc w:val="center"/>
        <w:rPr>
          <w:rFonts w:cs="宋体"/>
          <w:color w:val="auto"/>
          <w:sz w:val="36"/>
          <w:szCs w:val="36"/>
          <w:highlight w:val="none"/>
        </w:rPr>
      </w:pPr>
      <w:r>
        <w:rPr>
          <w:rFonts w:ascii="宋体"/>
          <w:color w:val="auto"/>
          <w:sz w:val="24"/>
          <w:szCs w:val="24"/>
          <w:highlight w:val="none"/>
        </w:rPr>
        <w:br w:type="page"/>
      </w:r>
      <w:bookmarkStart w:id="95" w:name="_Toc15258"/>
      <w:r>
        <w:rPr>
          <w:rFonts w:hint="eastAsia" w:cs="宋体"/>
          <w:color w:val="auto"/>
          <w:sz w:val="36"/>
          <w:szCs w:val="36"/>
          <w:highlight w:val="none"/>
        </w:rPr>
        <w:t>应提交的有关格式范例</w:t>
      </w:r>
      <w:bookmarkEnd w:id="95"/>
    </w:p>
    <w:p>
      <w:pPr>
        <w:rPr>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供应商按照以下格式编制响应文件，</w:t>
      </w:r>
      <w:r>
        <w:rPr>
          <w:rFonts w:hint="eastAsia" w:ascii="宋体" w:hAnsi="宋体" w:cs="宋体"/>
          <w:b/>
          <w:bCs/>
          <w:color w:val="auto"/>
          <w:sz w:val="24"/>
          <w:szCs w:val="24"/>
          <w:highlight w:val="none"/>
        </w:rPr>
        <w:t>“资格文件</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商务技术文件</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rPr>
        <w:t>报价文件”须分</w:t>
      </w:r>
      <w:r>
        <w:rPr>
          <w:rFonts w:ascii="宋体" w:hAnsi="宋体" w:cs="宋体"/>
          <w:b/>
          <w:bCs/>
          <w:color w:val="auto"/>
          <w:sz w:val="24"/>
          <w:szCs w:val="24"/>
          <w:highlight w:val="none"/>
        </w:rPr>
        <w:t>3</w:t>
      </w:r>
      <w:r>
        <w:rPr>
          <w:rFonts w:hint="eastAsia" w:ascii="宋体" w:hAnsi="宋体" w:cs="宋体"/>
          <w:b/>
          <w:bCs/>
          <w:color w:val="auto"/>
          <w:sz w:val="24"/>
          <w:szCs w:val="24"/>
          <w:highlight w:val="none"/>
        </w:rPr>
        <w:t>个</w:t>
      </w:r>
      <w:r>
        <w:rPr>
          <w:rFonts w:ascii="宋体" w:hAnsi="宋体" w:cs="宋体"/>
          <w:b/>
          <w:bCs/>
          <w:color w:val="auto"/>
          <w:sz w:val="24"/>
          <w:szCs w:val="24"/>
          <w:highlight w:val="none"/>
        </w:rPr>
        <w:t>PDF</w:t>
      </w:r>
      <w:r>
        <w:rPr>
          <w:rFonts w:hint="eastAsia" w:ascii="宋体" w:hAnsi="宋体" w:cs="宋体"/>
          <w:b/>
          <w:bCs/>
          <w:color w:val="auto"/>
          <w:sz w:val="24"/>
          <w:szCs w:val="24"/>
          <w:highlight w:val="none"/>
        </w:rPr>
        <w:t>格式分别导入。</w:t>
      </w:r>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此格式内容仅为参考模板，具体内容供应商应根据磋商文件要求进行调整。未按以下格式编制响应文件或因格式不规范、页码不清等原因引发的一切后果由供应商自行承担。</w:t>
      </w: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hAnsi="宋体" w:cs="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资格文件部分</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）法定代表人授权书；（格式见附件）</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）营业执照</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或事业法人登记证或其他工商等登记证明材料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复印件、税务登记证</w:t>
      </w:r>
      <w:r>
        <w:rPr>
          <w:rFonts w:hint="eastAsia" w:ascii="宋体" w:hAnsi="宋体" w:cs="宋体"/>
          <w:color w:val="auto"/>
          <w:sz w:val="24"/>
          <w:szCs w:val="24"/>
          <w:highlight w:val="none"/>
          <w:lang w:eastAsia="zh-CN"/>
        </w:rPr>
        <w:t>（或其他</w:t>
      </w:r>
      <w:r>
        <w:rPr>
          <w:rFonts w:hint="eastAsia" w:ascii="宋体" w:hAnsi="宋体" w:cs="宋体"/>
          <w:color w:val="auto"/>
          <w:sz w:val="24"/>
          <w:szCs w:val="24"/>
          <w:highlight w:val="none"/>
        </w:rPr>
        <w:t>缴纳证明材料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复印件、社保登记证（</w:t>
      </w:r>
      <w:r>
        <w:rPr>
          <w:rFonts w:hint="eastAsia" w:ascii="宋体" w:hAnsi="宋体" w:cs="宋体"/>
          <w:color w:val="auto"/>
          <w:sz w:val="24"/>
          <w:szCs w:val="24"/>
          <w:highlight w:val="none"/>
          <w:lang w:eastAsia="zh-CN"/>
        </w:rPr>
        <w:t>或其他</w:t>
      </w:r>
      <w:r>
        <w:rPr>
          <w:rFonts w:hint="eastAsia" w:ascii="宋体" w:hAnsi="宋体" w:cs="宋体"/>
          <w:color w:val="auto"/>
          <w:sz w:val="24"/>
          <w:szCs w:val="24"/>
          <w:highlight w:val="none"/>
        </w:rPr>
        <w:t>缴纳证明材料）复印件；实施“五证合一、一照一码”登记制度改革的，只需提供改革后取得的营业执照复印件；事业单位的，则提供有效的《事业单位法人证书》副本复印件并加盖单位公章；</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）具有履行合同所必需的产品和专业技术能力的承诺函；</w:t>
      </w:r>
    </w:p>
    <w:p>
      <w:pPr>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（4）投标人承诺函（格式见附件）</w:t>
      </w:r>
      <w:r>
        <w:rPr>
          <w:rFonts w:hint="eastAsia" w:ascii="宋体" w:hAnsi="宋体" w:cs="宋体"/>
          <w:color w:val="auto"/>
          <w:sz w:val="24"/>
          <w:szCs w:val="24"/>
          <w:highlight w:val="none"/>
          <w:lang w:eastAsia="zh-CN"/>
        </w:rPr>
        <w:t>；</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中小企业声明函（格式见附件）；</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残疾人福利性单位声明函</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如有</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（格式见附件）；</w:t>
      </w:r>
    </w:p>
    <w:p>
      <w:pPr>
        <w:spacing w:line="360" w:lineRule="auto"/>
        <w:ind w:firstLine="480" w:firstLineChars="200"/>
        <w:rPr>
          <w:rFonts w:ascii="宋体"/>
          <w:color w:val="auto"/>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监狱企业证明文件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如有</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（格式见附件）。</w:t>
      </w:r>
      <w:r>
        <w:rPr>
          <w:rFonts w:ascii="宋体"/>
          <w:color w:val="auto"/>
          <w:highlight w:val="none"/>
        </w:rPr>
        <w:br w:type="page"/>
      </w:r>
      <w:bookmarkStart w:id="96" w:name="_Toc24699"/>
    </w:p>
    <w:p>
      <w:pPr>
        <w:rPr>
          <w:b/>
          <w:bCs/>
          <w:color w:val="auto"/>
          <w:sz w:val="24"/>
          <w:szCs w:val="24"/>
          <w:highlight w:val="none"/>
        </w:rPr>
      </w:pPr>
      <w:r>
        <w:rPr>
          <w:rFonts w:hint="eastAsia" w:cs="宋体"/>
          <w:b/>
          <w:bCs/>
          <w:color w:val="auto"/>
          <w:sz w:val="24"/>
          <w:szCs w:val="24"/>
          <w:highlight w:val="none"/>
        </w:rPr>
        <w:t>附件一：</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法定代表人授权书</w:t>
      </w:r>
      <w:bookmarkEnd w:id="96"/>
    </w:p>
    <w:p>
      <w:pPr>
        <w:pStyle w:val="3"/>
        <w:spacing w:line="360" w:lineRule="auto"/>
        <w:rPr>
          <w:rFonts w:ascii="宋体"/>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上虞区丰惠镇人民政府</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绍兴市上虞区公共资源交易中心</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（供应商全称）</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法定代表人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授权</w:t>
      </w:r>
      <w:r>
        <w:rPr>
          <w:rFonts w:hint="eastAsia" w:ascii="宋体" w:hAnsi="宋体" w:cs="宋体"/>
          <w:color w:val="auto"/>
          <w:sz w:val="24"/>
          <w:szCs w:val="24"/>
          <w:highlight w:val="none"/>
          <w:u w:val="single"/>
        </w:rPr>
        <w:t>（授权代表名称）</w:t>
      </w:r>
      <w:r>
        <w:rPr>
          <w:rFonts w:hint="eastAsia" w:ascii="宋体" w:hAnsi="宋体" w:cs="宋体"/>
          <w:color w:val="auto"/>
          <w:sz w:val="24"/>
          <w:szCs w:val="24"/>
          <w:highlight w:val="none"/>
        </w:rPr>
        <w:t>为授权代表，参加贵处组织的</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w:t>
      </w:r>
      <w:r>
        <w:rPr>
          <w:rFonts w:hint="eastAsia" w:ascii="宋体" w:hAnsi="宋体" w:cs="宋体"/>
          <w:color w:val="auto"/>
          <w:sz w:val="24"/>
          <w:szCs w:val="24"/>
          <w:highlight w:val="none"/>
          <w:u w:val="single"/>
        </w:rPr>
        <w:t>（括号内填写招标编号）</w:t>
      </w:r>
      <w:r>
        <w:rPr>
          <w:rFonts w:hint="eastAsia" w:ascii="宋体" w:hAnsi="宋体" w:cs="宋体"/>
          <w:color w:val="auto"/>
          <w:sz w:val="24"/>
          <w:szCs w:val="24"/>
          <w:highlight w:val="none"/>
        </w:rPr>
        <w:t>，授权处理招投标活动中的一切事宜。</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法定代表人签字：</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供应商全称：（盖章）</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日期：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附：</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授权代表姓名：</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职务：</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详细通讯地址：</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电话：</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邮政编码：</w:t>
      </w:r>
    </w:p>
    <w:p>
      <w:pPr>
        <w:pStyle w:val="14"/>
        <w:snapToGrid w:val="0"/>
        <w:spacing w:line="360" w:lineRule="auto"/>
        <w:rPr>
          <w:rFonts w:hAnsi="宋体" w:cs="Times New Roman"/>
          <w:color w:val="auto"/>
          <w:sz w:val="24"/>
          <w:szCs w:val="24"/>
          <w:highlight w:val="none"/>
        </w:rPr>
      </w:pPr>
    </w:p>
    <w:p>
      <w:pPr>
        <w:pStyle w:val="14"/>
        <w:snapToGrid w:val="0"/>
        <w:spacing w:line="360" w:lineRule="auto"/>
        <w:rPr>
          <w:rFonts w:hAnsi="宋体" w:cs="Times New Roman"/>
          <w:color w:val="auto"/>
          <w:sz w:val="24"/>
          <w:szCs w:val="24"/>
          <w:highlight w:val="none"/>
        </w:rPr>
      </w:pPr>
    </w:p>
    <w:p>
      <w:pPr>
        <w:pStyle w:val="14"/>
        <w:snapToGrid w:val="0"/>
        <w:spacing w:line="360" w:lineRule="auto"/>
        <w:rPr>
          <w:rFonts w:hAnsi="宋体" w:cs="Times New Roman"/>
          <w:color w:val="auto"/>
          <w:sz w:val="24"/>
          <w:szCs w:val="24"/>
          <w:highlight w:val="none"/>
        </w:rPr>
      </w:pPr>
    </w:p>
    <w:p>
      <w:pPr>
        <w:spacing w:line="360" w:lineRule="auto"/>
        <w:rPr>
          <w:rFonts w:ascii="宋体"/>
          <w:b/>
          <w:bCs/>
          <w:color w:val="auto"/>
          <w:sz w:val="24"/>
          <w:szCs w:val="24"/>
          <w:highlight w:val="none"/>
        </w:rPr>
      </w:pPr>
      <w:r>
        <w:rPr>
          <w:rFonts w:hint="eastAsia" w:ascii="宋体" w:hAnsi="宋体" w:cs="宋体"/>
          <w:b/>
          <w:bCs/>
          <w:color w:val="auto"/>
          <w:sz w:val="24"/>
          <w:szCs w:val="24"/>
          <w:highlight w:val="none"/>
        </w:rPr>
        <w:t>附：授权代表身份证复印件（正反面）</w:t>
      </w:r>
    </w:p>
    <w:p>
      <w:pPr>
        <w:spacing w:line="360" w:lineRule="auto"/>
        <w:rPr>
          <w:rFonts w:ascii="宋体"/>
          <w:b/>
          <w:bCs/>
          <w:color w:val="auto"/>
          <w:sz w:val="24"/>
          <w:szCs w:val="24"/>
          <w:highlight w:val="none"/>
        </w:rPr>
      </w:pPr>
    </w:p>
    <w:p>
      <w:pPr>
        <w:pStyle w:val="12"/>
        <w:ind w:firstLine="486"/>
        <w:rPr>
          <w:rFonts w:cs="Times New Roman"/>
          <w:color w:val="auto"/>
          <w:highlight w:val="none"/>
        </w:rPr>
      </w:pPr>
    </w:p>
    <w:p>
      <w:pPr>
        <w:snapToGrid w:val="0"/>
        <w:spacing w:before="50" w:after="156" w:afterLines="50"/>
        <w:jc w:val="left"/>
        <w:rPr>
          <w:rFonts w:ascii="宋体" w:hAnsi="宋体" w:cs="宋体"/>
          <w:b/>
          <w:bCs/>
          <w:color w:val="auto"/>
          <w:sz w:val="24"/>
          <w:szCs w:val="24"/>
          <w:highlight w:val="none"/>
          <w:lang w:val="zh-CN"/>
        </w:rPr>
      </w:pPr>
      <w:r>
        <w:rPr>
          <w:rFonts w:ascii="宋体"/>
          <w:b/>
          <w:bCs/>
          <w:color w:val="auto"/>
          <w:sz w:val="24"/>
          <w:szCs w:val="24"/>
          <w:highlight w:val="none"/>
        </w:rPr>
        <w:br w:type="page"/>
      </w:r>
      <w:r>
        <w:rPr>
          <w:rFonts w:hint="eastAsia" w:ascii="宋体" w:hAnsi="宋体" w:cs="宋体"/>
          <w:b/>
          <w:bCs/>
          <w:color w:val="auto"/>
          <w:sz w:val="24"/>
          <w:szCs w:val="24"/>
          <w:highlight w:val="none"/>
          <w:lang w:val="zh-CN"/>
        </w:rPr>
        <w:t>附件二：</w:t>
      </w:r>
    </w:p>
    <w:p>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投 标 人 承 诺 函</w:t>
      </w:r>
    </w:p>
    <w:p>
      <w:pPr>
        <w:pStyle w:val="21"/>
        <w:rPr>
          <w:color w:val="auto"/>
          <w:highlight w:val="none"/>
        </w:rPr>
      </w:pPr>
    </w:p>
    <w:p>
      <w:pPr>
        <w:rPr>
          <w:color w:val="auto"/>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上虞区丰惠镇人民政府</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绍兴市上虞区公共资源交易中心</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（投标人名称）</w:t>
      </w:r>
      <w:r>
        <w:rPr>
          <w:rFonts w:hint="eastAsia" w:ascii="宋体" w:hAnsi="宋体" w:cs="宋体"/>
          <w:color w:val="auto"/>
          <w:sz w:val="24"/>
          <w:highlight w:val="none"/>
        </w:rPr>
        <w:t>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（姓名）</w:t>
      </w:r>
      <w:r>
        <w:rPr>
          <w:rFonts w:hint="eastAsia" w:ascii="宋体" w:hAnsi="宋体" w:cs="宋体"/>
          <w:color w:val="auto"/>
          <w:sz w:val="24"/>
          <w:highlight w:val="none"/>
        </w:rPr>
        <w:t>系</w:t>
      </w:r>
      <w:r>
        <w:rPr>
          <w:rFonts w:hint="eastAsia" w:ascii="宋体" w:hAnsi="宋体" w:cs="宋体"/>
          <w:color w:val="auto"/>
          <w:sz w:val="24"/>
          <w:highlight w:val="none"/>
          <w:u w:val="single"/>
        </w:rPr>
        <w:t>（投标人名称）</w:t>
      </w:r>
      <w:r>
        <w:rPr>
          <w:rFonts w:hint="eastAsia" w:ascii="宋体" w:hAnsi="宋体" w:cs="宋体"/>
          <w:color w:val="auto"/>
          <w:sz w:val="24"/>
          <w:highlight w:val="none"/>
        </w:rPr>
        <w:t>的法定代表人，我方愿意参加贵方组织的</w:t>
      </w:r>
      <w:r>
        <w:rPr>
          <w:rFonts w:hint="eastAsia" w:ascii="宋体" w:hAnsi="宋体" w:cs="宋体"/>
          <w:color w:val="auto"/>
          <w:sz w:val="24"/>
          <w:highlight w:val="none"/>
          <w:u w:val="single"/>
        </w:rPr>
        <w:t>（招标项目名称）（编号为）</w:t>
      </w:r>
      <w:r>
        <w:rPr>
          <w:rFonts w:hint="eastAsia" w:ascii="宋体" w:hAnsi="宋体" w:cs="宋体"/>
          <w:color w:val="auto"/>
          <w:sz w:val="24"/>
          <w:highlight w:val="none"/>
        </w:rPr>
        <w:t>的投标，为此，我方就本次投标有关事项郑重承诺如下：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1、我方已详细审查全部招标文件，同意招标文件的各项要求。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2、我方向贵方提交的所有投标文件、资料都是准确的和真实的。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3、若中标，我方将按招标文件规定履行合同责任和义务。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4、我方不是采购人的附属机构；在获知本项目采购信息后，与采购人聘请的为此项目提供咨询服务的公司及其附属机构没有任何联系。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5、投标文件自开标日起有效期为90天。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6、我方参与本项目前3年内的经营活动中没有重大违法记录；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8、具有良好的商业信誉和健全的财务会计制度；</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9、具有依法缴纳税收和社会保障资金的良好记录；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10、以上事项如有虚假或隐瞒，我方愿意承担一切后果，并不再寻求任何旨在减轻或免除法律责任的辩解。</w:t>
      </w:r>
    </w:p>
    <w:p>
      <w:pPr>
        <w:spacing w:line="360" w:lineRule="auto"/>
        <w:ind w:firstLine="480" w:firstLineChars="200"/>
        <w:rPr>
          <w:rFonts w:ascii="宋体" w:hAnsi="宋体" w:cs="宋体"/>
          <w:color w:val="auto"/>
          <w:sz w:val="24"/>
          <w:highlight w:val="none"/>
        </w:rPr>
      </w:pPr>
    </w:p>
    <w:p>
      <w:pPr>
        <w:pStyle w:val="12"/>
        <w:rPr>
          <w:color w:val="auto"/>
          <w:highlight w:val="none"/>
        </w:rPr>
      </w:pPr>
    </w:p>
    <w:p>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pPr>
        <w:spacing w:line="360" w:lineRule="auto"/>
        <w:ind w:left="3780" w:leftChars="1800" w:firstLine="480" w:firstLineChars="200"/>
        <w:rPr>
          <w:rFonts w:ascii="宋体"/>
          <w:color w:val="auto"/>
          <w:sz w:val="24"/>
          <w:szCs w:val="24"/>
          <w:highlight w:val="none"/>
        </w:rPr>
      </w:pPr>
    </w:p>
    <w:p>
      <w:pPr>
        <w:spacing w:line="360" w:lineRule="auto"/>
        <w:jc w:val="left"/>
        <w:rPr>
          <w:rFonts w:ascii="宋体"/>
          <w:b/>
          <w:bCs/>
          <w:color w:val="auto"/>
          <w:sz w:val="32"/>
          <w:szCs w:val="32"/>
          <w:highlight w:val="none"/>
        </w:rPr>
      </w:pPr>
      <w:r>
        <w:rPr>
          <w:rFonts w:hint="eastAsia" w:ascii="宋体" w:hAnsi="宋体" w:cs="宋体"/>
          <w:b/>
          <w:bCs/>
          <w:color w:val="auto"/>
          <w:kern w:val="0"/>
          <w:sz w:val="36"/>
          <w:szCs w:val="36"/>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三</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中小企业声明函</w:t>
      </w:r>
    </w:p>
    <w:p>
      <w:pPr>
        <w:spacing w:line="288" w:lineRule="auto"/>
        <w:ind w:firstLine="480" w:firstLineChars="200"/>
        <w:jc w:val="left"/>
        <w:rPr>
          <w:rFonts w:hint="eastAsia"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 （财库﹝2020﹞46 号）的规定，本公司（联合体）参加</w:t>
      </w:r>
      <w:r>
        <w:rPr>
          <w:rFonts w:hint="eastAsia" w:ascii="宋体" w:hAnsi="宋体" w:cs="宋体"/>
          <w:color w:val="auto"/>
          <w:sz w:val="24"/>
          <w:szCs w:val="24"/>
          <w:highlight w:val="none"/>
          <w:u w:val="single"/>
        </w:rPr>
        <w:t xml:space="preserve"> （采购人名称） </w:t>
      </w:r>
      <w:r>
        <w:rPr>
          <w:rFonts w:hint="eastAsia" w:ascii="宋体" w:hAnsi="宋体" w:cs="宋体"/>
          <w:color w:val="auto"/>
          <w:sz w:val="24"/>
          <w:szCs w:val="24"/>
          <w:highlight w:val="none"/>
        </w:rPr>
        <w:t>的</w:t>
      </w:r>
      <w:r>
        <w:rPr>
          <w:rFonts w:hint="eastAsia" w:ascii="宋体" w:hAnsi="宋体" w:cs="宋体"/>
          <w:color w:val="auto"/>
          <w:sz w:val="24"/>
          <w:szCs w:val="24"/>
          <w:highlight w:val="none"/>
          <w:u w:val="single"/>
        </w:rPr>
        <w:t xml:space="preserve"> （项目名称）     </w:t>
      </w:r>
      <w:r>
        <w:rPr>
          <w:rFonts w:hint="eastAsia" w:ascii="宋体" w:hAnsi="宋体" w:cs="宋体"/>
          <w:color w:val="auto"/>
          <w:sz w:val="24"/>
          <w:szCs w:val="24"/>
          <w:highlight w:val="none"/>
        </w:rPr>
        <w:t>采购活动，服务全部由符合政策要求的中小企业承接。相关企业（含联合体中的中小企业、签订分包意向协议的中小企业）的具体情况如下：</w:t>
      </w:r>
    </w:p>
    <w:p>
      <w:pPr>
        <w:spacing w:line="288"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u w:val="single"/>
        </w:rPr>
        <w:t xml:space="preserve">  （项目名称）</w:t>
      </w:r>
      <w:r>
        <w:rPr>
          <w:rFonts w:hint="eastAsia" w:ascii="宋体" w:hAnsi="宋体" w:cs="宋体"/>
          <w:color w:val="auto"/>
          <w:sz w:val="24"/>
          <w:szCs w:val="24"/>
          <w:highlight w:val="none"/>
        </w:rPr>
        <w:t>，属于</w:t>
      </w:r>
      <w:r>
        <w:rPr>
          <w:rFonts w:hint="eastAsia" w:ascii="宋体" w:hAnsi="宋体" w:cs="宋体"/>
          <w:color w:val="auto"/>
          <w:sz w:val="24"/>
          <w:szCs w:val="24"/>
          <w:highlight w:val="none"/>
          <w:u w:val="none"/>
        </w:rPr>
        <w:t>物业管理行业</w:t>
      </w:r>
      <w:r>
        <w:rPr>
          <w:rFonts w:hint="eastAsia" w:ascii="宋体" w:hAnsi="宋体" w:cs="宋体"/>
          <w:color w:val="auto"/>
          <w:sz w:val="24"/>
          <w:szCs w:val="24"/>
          <w:highlight w:val="none"/>
        </w:rPr>
        <w:t>；承接企业为</w:t>
      </w:r>
      <w:r>
        <w:rPr>
          <w:rFonts w:hint="eastAsia" w:ascii="宋体" w:hAnsi="宋体" w:cs="宋体"/>
          <w:color w:val="auto"/>
          <w:sz w:val="24"/>
          <w:szCs w:val="24"/>
          <w:highlight w:val="none"/>
          <w:u w:val="single"/>
        </w:rPr>
        <w:t xml:space="preserve">           （企业名称） </w:t>
      </w:r>
      <w:r>
        <w:rPr>
          <w:rFonts w:hint="eastAsia" w:ascii="宋体" w:hAnsi="宋体" w:cs="宋体"/>
          <w:color w:val="auto"/>
          <w:sz w:val="24"/>
          <w:szCs w:val="24"/>
          <w:highlight w:val="none"/>
        </w:rPr>
        <w:t>，从业人员</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 ，属于</w:t>
      </w:r>
      <w:r>
        <w:rPr>
          <w:rFonts w:hint="eastAsia" w:ascii="宋体" w:hAnsi="宋体" w:cs="宋体"/>
          <w:color w:val="auto"/>
          <w:sz w:val="24"/>
          <w:szCs w:val="24"/>
          <w:highlight w:val="none"/>
          <w:u w:val="single"/>
        </w:rPr>
        <w:t xml:space="preserve">       （中型企业、小型企业、微型企业）</w:t>
      </w:r>
      <w:r>
        <w:rPr>
          <w:rFonts w:hint="eastAsia" w:ascii="宋体" w:hAnsi="宋体" w:cs="宋体"/>
          <w:color w:val="auto"/>
          <w:sz w:val="24"/>
          <w:szCs w:val="24"/>
          <w:highlight w:val="none"/>
        </w:rPr>
        <w:t xml:space="preserve"> ；</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800" w:firstLineChars="2000"/>
        <w:rPr>
          <w:rFonts w:ascii="宋体" w:hAnsi="宋体" w:cs="宋体"/>
          <w:color w:val="auto"/>
          <w:sz w:val="24"/>
          <w:szCs w:val="24"/>
          <w:highlight w:val="none"/>
        </w:rPr>
      </w:pPr>
      <w:r>
        <w:rPr>
          <w:rFonts w:hint="eastAsia" w:ascii="宋体" w:hAnsi="宋体" w:cs="宋体"/>
          <w:color w:val="auto"/>
          <w:sz w:val="24"/>
          <w:szCs w:val="24"/>
          <w:highlight w:val="none"/>
        </w:rPr>
        <w:t xml:space="preserve">企业名称（盖章）： </w:t>
      </w:r>
    </w:p>
    <w:p>
      <w:pPr>
        <w:spacing w:line="288" w:lineRule="auto"/>
        <w:ind w:left="3780" w:leftChars="1800"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pStyle w:val="3"/>
        <w:spacing w:line="288" w:lineRule="auto"/>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注：从业人员、营业收入、资产总额填报上一年度数据，无上一年度数据的新成立企业可不填报。</w:t>
      </w:r>
    </w:p>
    <w:p>
      <w:pPr>
        <w:widowControl/>
        <w:snapToGrid w:val="0"/>
        <w:spacing w:line="324" w:lineRule="auto"/>
        <w:ind w:firstLine="480" w:firstLineChars="200"/>
        <w:jc w:val="left"/>
        <w:rPr>
          <w:rFonts w:ascii="宋体"/>
          <w:color w:val="auto"/>
          <w:sz w:val="24"/>
          <w:szCs w:val="24"/>
          <w:highlight w:val="none"/>
        </w:rPr>
      </w:pPr>
    </w:p>
    <w:p>
      <w:pPr>
        <w:pStyle w:val="2"/>
        <w:spacing w:line="360" w:lineRule="auto"/>
        <w:jc w:val="center"/>
        <w:rPr>
          <w:rFonts w:hAnsi="宋体" w:cs="Times New Roman"/>
          <w:color w:val="auto"/>
          <w:sz w:val="24"/>
          <w:szCs w:val="24"/>
          <w:highlight w:val="none"/>
        </w:rPr>
      </w:pPr>
    </w:p>
    <w:p>
      <w:pPr>
        <w:pStyle w:val="2"/>
        <w:spacing w:line="360" w:lineRule="auto"/>
        <w:jc w:val="center"/>
        <w:rPr>
          <w:rFonts w:hAnsi="宋体" w:cs="Times New Roman"/>
          <w:color w:val="auto"/>
          <w:sz w:val="24"/>
          <w:szCs w:val="24"/>
          <w:highlight w:val="none"/>
        </w:rPr>
      </w:pPr>
    </w:p>
    <w:p>
      <w:pPr>
        <w:jc w:val="center"/>
        <w:rPr>
          <w:color w:val="auto"/>
          <w:highlight w:val="none"/>
          <w:lang w:val="zh-CN"/>
        </w:rPr>
      </w:pPr>
      <w:bookmarkStart w:id="97" w:name="_Toc30916"/>
      <w:bookmarkStart w:id="98" w:name="_Toc2071"/>
      <w:bookmarkStart w:id="99" w:name="_Toc3295"/>
      <w:r>
        <w:rPr>
          <w:rFonts w:hAnsi="宋体"/>
          <w:color w:val="auto"/>
          <w:highlight w:val="none"/>
        </w:rPr>
        <w:br w:type="page"/>
      </w:r>
      <w:bookmarkEnd w:id="97"/>
      <w:bookmarkEnd w:id="98"/>
      <w:bookmarkEnd w:id="99"/>
    </w:p>
    <w:p>
      <w:pPr>
        <w:rPr>
          <w:b/>
          <w:bCs/>
          <w:color w:val="auto"/>
          <w:sz w:val="24"/>
          <w:szCs w:val="24"/>
          <w:highlight w:val="none"/>
          <w:lang w:val="zh-CN"/>
        </w:rPr>
      </w:pPr>
      <w:bookmarkStart w:id="100" w:name="_Toc16150"/>
      <w:bookmarkStart w:id="101" w:name="_Toc31472"/>
      <w:bookmarkStart w:id="102" w:name="_Toc25017"/>
      <w:bookmarkStart w:id="103" w:name="_Toc9715"/>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四</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残疾人福利性单位声明函</w:t>
      </w:r>
      <w:bookmarkEnd w:id="100"/>
      <w:bookmarkEnd w:id="101"/>
      <w:bookmarkEnd w:id="102"/>
      <w:bookmarkEnd w:id="103"/>
    </w:p>
    <w:p>
      <w:pPr>
        <w:widowControl/>
        <w:snapToGrid w:val="0"/>
        <w:spacing w:line="324" w:lineRule="auto"/>
        <w:ind w:firstLine="480" w:firstLineChars="200"/>
        <w:jc w:val="center"/>
        <w:rPr>
          <w:rFonts w:ascii="宋体"/>
          <w:color w:val="auto"/>
          <w:kern w:val="0"/>
          <w:sz w:val="24"/>
          <w:szCs w:val="24"/>
          <w:highlight w:val="none"/>
        </w:rPr>
      </w:pPr>
      <w:r>
        <w:rPr>
          <w:rFonts w:hint="eastAsia" w:ascii="宋体" w:hAnsi="宋体" w:cs="宋体"/>
          <w:color w:val="auto"/>
          <w:kern w:val="0"/>
          <w:sz w:val="24"/>
          <w:szCs w:val="24"/>
          <w:highlight w:val="none"/>
        </w:rPr>
        <w:t>【不属于残疾人福利性单位的无需填写、递交】</w:t>
      </w:r>
    </w:p>
    <w:p>
      <w:pPr>
        <w:spacing w:line="588" w:lineRule="exact"/>
        <w:rPr>
          <w:rFonts w:ascii="宋体"/>
          <w:b/>
          <w:bCs/>
          <w:color w:val="auto"/>
          <w:spacing w:val="6"/>
          <w:sz w:val="30"/>
          <w:szCs w:val="30"/>
          <w:highlight w:val="none"/>
        </w:rPr>
      </w:pPr>
    </w:p>
    <w:p>
      <w:pPr>
        <w:spacing w:line="588" w:lineRule="exact"/>
        <w:ind w:firstLine="480" w:firstLineChars="200"/>
        <w:rPr>
          <w:rFonts w:ascii="宋体"/>
          <w:color w:val="auto"/>
          <w:sz w:val="24"/>
          <w:szCs w:val="24"/>
          <w:highlight w:val="none"/>
        </w:rPr>
      </w:pPr>
      <w:r>
        <w:rPr>
          <w:rFonts w:hint="eastAsia" w:ascii="宋体" w:hAnsi="宋体" w:cs="宋体"/>
          <w:color w:val="auto"/>
          <w:sz w:val="24"/>
          <w:szCs w:val="24"/>
          <w:highlight w:val="none"/>
        </w:rPr>
        <w:t>本单位郑重声明，根据《财政部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民政部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中国残疾人联合会关于促进残疾人就业政府采购政策的通知》（财库〔</w:t>
      </w:r>
      <w:r>
        <w:rPr>
          <w:rFonts w:ascii="宋体" w:hAnsi="宋体" w:cs="宋体"/>
          <w:color w:val="auto"/>
          <w:sz w:val="24"/>
          <w:szCs w:val="24"/>
          <w:highlight w:val="none"/>
        </w:rPr>
        <w:t>2017</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 141</w:t>
      </w:r>
      <w:r>
        <w:rPr>
          <w:rFonts w:hint="eastAsia" w:ascii="宋体" w:hAnsi="宋体" w:cs="宋体"/>
          <w:color w:val="auto"/>
          <w:sz w:val="24"/>
          <w:szCs w:val="24"/>
          <w:highlight w:val="none"/>
        </w:rPr>
        <w:t>号）的规定，本单位为符合条件的残疾人福利性单位，且本单位参加</w:t>
      </w:r>
      <w:r>
        <w:rPr>
          <w:rFonts w:ascii="宋体" w:hAnsi="宋体" w:cs="宋体"/>
          <w:color w:val="auto"/>
          <w:sz w:val="24"/>
          <w:szCs w:val="24"/>
          <w:highlight w:val="none"/>
        </w:rPr>
        <w:t>______</w:t>
      </w:r>
      <w:r>
        <w:rPr>
          <w:rFonts w:hint="eastAsia" w:ascii="宋体" w:hAnsi="宋体" w:cs="宋体"/>
          <w:color w:val="auto"/>
          <w:sz w:val="24"/>
          <w:szCs w:val="24"/>
          <w:highlight w:val="none"/>
        </w:rPr>
        <w:t>单位的</w:t>
      </w:r>
      <w:r>
        <w:rPr>
          <w:rFonts w:ascii="宋体" w:hAnsi="宋体" w:cs="宋体"/>
          <w:color w:val="auto"/>
          <w:sz w:val="24"/>
          <w:szCs w:val="24"/>
          <w:highlight w:val="none"/>
        </w:rPr>
        <w:t>______</w:t>
      </w:r>
      <w:r>
        <w:rPr>
          <w:rFonts w:hint="eastAsia" w:ascii="宋体" w:hAnsi="宋体" w:cs="宋体"/>
          <w:color w:val="auto"/>
          <w:sz w:val="24"/>
          <w:szCs w:val="24"/>
          <w:highlight w:val="none"/>
        </w:rPr>
        <w:t>项目采购活动提供本单位服务，或者提供其他残疾人福利性单位提供的服务。本单位对上述声明的真实性负责。如有虚假，将依法承担相应责任。</w:t>
      </w:r>
    </w:p>
    <w:p>
      <w:pPr>
        <w:pStyle w:val="2"/>
        <w:rPr>
          <w:rFonts w:cs="Times New Roman"/>
          <w:color w:val="auto"/>
          <w:highlight w:val="none"/>
        </w:rPr>
      </w:pPr>
    </w:p>
    <w:p>
      <w:pPr>
        <w:pStyle w:val="3"/>
        <w:rPr>
          <w:color w:val="auto"/>
          <w:highlight w:val="none"/>
        </w:rPr>
      </w:pPr>
    </w:p>
    <w:p>
      <w:pPr>
        <w:spacing w:line="588" w:lineRule="exact"/>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b/>
          <w:bCs/>
          <w:color w:val="auto"/>
          <w:sz w:val="24"/>
          <w:szCs w:val="24"/>
          <w:highlight w:val="none"/>
          <w:lang w:val="zh-CN"/>
        </w:rPr>
      </w:pPr>
      <w:bookmarkStart w:id="104" w:name="_Toc24"/>
      <w:bookmarkStart w:id="105" w:name="_Toc5441"/>
      <w:bookmarkStart w:id="106" w:name="_Toc15966"/>
      <w:bookmarkStart w:id="107" w:name="_Toc2386"/>
      <w:r>
        <w:rPr>
          <w:color w:val="auto"/>
          <w:sz w:val="24"/>
          <w:szCs w:val="24"/>
          <w:highlight w:val="none"/>
          <w:lang w:val="zh-CN"/>
        </w:rPr>
        <w:br w:type="page"/>
      </w: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五</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监狱企业证明文件</w:t>
      </w:r>
      <w:bookmarkEnd w:id="104"/>
      <w:bookmarkEnd w:id="105"/>
      <w:bookmarkEnd w:id="106"/>
      <w:bookmarkEnd w:id="107"/>
    </w:p>
    <w:p>
      <w:pPr>
        <w:widowControl/>
        <w:snapToGrid w:val="0"/>
        <w:spacing w:line="360" w:lineRule="auto"/>
        <w:jc w:val="center"/>
        <w:rPr>
          <w:rFonts w:ascii="宋体"/>
          <w:color w:val="auto"/>
          <w:kern w:val="0"/>
          <w:sz w:val="28"/>
          <w:szCs w:val="28"/>
          <w:highlight w:val="none"/>
        </w:rPr>
      </w:pPr>
      <w:r>
        <w:rPr>
          <w:rFonts w:hint="eastAsia" w:ascii="宋体" w:hAnsi="宋体" w:cs="宋体"/>
          <w:color w:val="auto"/>
          <w:kern w:val="0"/>
          <w:sz w:val="28"/>
          <w:szCs w:val="28"/>
          <w:highlight w:val="none"/>
        </w:rPr>
        <w:t>【不属于监狱企业的无需填写、递交】</w:t>
      </w:r>
    </w:p>
    <w:p>
      <w:pPr>
        <w:widowControl/>
        <w:snapToGrid w:val="0"/>
        <w:spacing w:line="324" w:lineRule="auto"/>
        <w:jc w:val="center"/>
        <w:rPr>
          <w:rFonts w:ascii="宋体"/>
          <w:color w:val="auto"/>
          <w:kern w:val="0"/>
          <w:sz w:val="24"/>
          <w:szCs w:val="24"/>
          <w:highlight w:val="none"/>
        </w:rPr>
      </w:pPr>
    </w:p>
    <w:p>
      <w:pPr>
        <w:spacing w:line="588" w:lineRule="exact"/>
        <w:ind w:firstLine="480" w:firstLineChars="200"/>
        <w:rPr>
          <w:rFonts w:ascii="宋体"/>
          <w:color w:val="auto"/>
          <w:sz w:val="24"/>
          <w:szCs w:val="24"/>
          <w:highlight w:val="none"/>
        </w:rPr>
      </w:pPr>
    </w:p>
    <w:p>
      <w:pPr>
        <w:adjustRightInd w:val="0"/>
        <w:snapToGrid w:val="0"/>
        <w:spacing w:before="156"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监狱企业需提供省级以上的监狱管理局、戒毒管理局（含新疆生产建设兵团）出具的属于监狱企业的证明文件。</w:t>
      </w:r>
      <w:r>
        <w:rPr>
          <w:rFonts w:ascii="宋体" w:hAnsi="宋体" w:cs="宋体"/>
          <w:color w:val="auto"/>
          <w:sz w:val="24"/>
          <w:szCs w:val="24"/>
          <w:highlight w:val="none"/>
        </w:rPr>
        <w:t xml:space="preserve">  </w:t>
      </w:r>
    </w:p>
    <w:p>
      <w:pPr>
        <w:pStyle w:val="2"/>
        <w:rPr>
          <w:rFonts w:cs="Times New Roman"/>
          <w:color w:val="auto"/>
          <w:highlight w:val="none"/>
        </w:rPr>
      </w:pPr>
    </w:p>
    <w:p>
      <w:pPr>
        <w:pStyle w:val="3"/>
        <w:rPr>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color w:val="auto"/>
          <w:highlight w:val="none"/>
        </w:rPr>
      </w:pPr>
      <w:r>
        <w:rPr>
          <w:rFonts w:hint="eastAsia" w:ascii="宋体" w:hAnsi="宋体" w:cs="宋体"/>
          <w:color w:val="auto"/>
          <w:sz w:val="24"/>
          <w:szCs w:val="24"/>
          <w:highlight w:val="none"/>
        </w:rPr>
        <w:t>供应商全称（公章）：</w:t>
      </w:r>
    </w:p>
    <w:p>
      <w:pPr>
        <w:rPr>
          <w:color w:val="auto"/>
          <w:highlight w:val="none"/>
        </w:rPr>
      </w:pPr>
    </w:p>
    <w:p>
      <w:pPr>
        <w:rPr>
          <w:rFonts w:hint="eastAsia" w:ascii="宋体" w:hAnsi="宋体" w:cs="宋体"/>
          <w:b/>
          <w:bCs/>
          <w:color w:val="auto"/>
          <w:kern w:val="0"/>
          <w:sz w:val="36"/>
          <w:szCs w:val="36"/>
          <w:highlight w:val="none"/>
        </w:rPr>
      </w:pPr>
    </w:p>
    <w:p>
      <w:pPr>
        <w:rPr>
          <w:rFonts w:hint="eastAsia" w:ascii="宋体" w:hAnsi="宋体" w:cs="宋体"/>
          <w:b/>
          <w:bCs/>
          <w:color w:val="auto"/>
          <w:kern w:val="0"/>
          <w:sz w:val="36"/>
          <w:szCs w:val="36"/>
          <w:highlight w:val="none"/>
        </w:rPr>
      </w:pPr>
    </w:p>
    <w:p>
      <w:pPr>
        <w:spacing w:line="360" w:lineRule="auto"/>
        <w:jc w:val="center"/>
        <w:rPr>
          <w:rFonts w:hint="eastAsia" w:ascii="宋体" w:hAnsi="宋体" w:cs="宋体"/>
          <w:b/>
          <w:bCs/>
          <w:color w:val="auto"/>
          <w:kern w:val="0"/>
          <w:sz w:val="36"/>
          <w:szCs w:val="36"/>
          <w:highlight w:val="none"/>
        </w:rPr>
        <w:sectPr>
          <w:pgSz w:w="11906" w:h="16838"/>
          <w:pgMar w:top="1440" w:right="1800" w:bottom="1440" w:left="1800" w:header="851" w:footer="992" w:gutter="0"/>
          <w:cols w:space="425" w:num="1"/>
          <w:docGrid w:type="lines" w:linePitch="312" w:charSpace="0"/>
        </w:sect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商务技术文件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12"/>
        <w:ind w:left="426" w:firstLine="486"/>
        <w:rPr>
          <w:rFonts w:cs="Times New Roman"/>
          <w:color w:val="auto"/>
          <w:highlight w:val="none"/>
        </w:rPr>
      </w:pPr>
    </w:p>
    <w:p>
      <w:pPr>
        <w:numPr>
          <w:ilvl w:val="0"/>
          <w:numId w:val="31"/>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评分对应表（格式见附件，主要用于评委对应评分内容）</w:t>
      </w:r>
      <w:r>
        <w:rPr>
          <w:rFonts w:hint="eastAsia" w:ascii="宋体" w:hAnsi="宋体" w:cs="宋体"/>
          <w:color w:val="auto"/>
          <w:sz w:val="24"/>
          <w:szCs w:val="24"/>
          <w:highlight w:val="none"/>
          <w:lang w:eastAsia="zh-CN"/>
        </w:rPr>
        <w:t>；</w:t>
      </w:r>
    </w:p>
    <w:p>
      <w:pPr>
        <w:numPr>
          <w:ilvl w:val="0"/>
          <w:numId w:val="31"/>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供应商商务技术文件中资信分自评表（格式见附件）；</w:t>
      </w:r>
    </w:p>
    <w:p>
      <w:pPr>
        <w:numPr>
          <w:ilvl w:val="0"/>
          <w:numId w:val="31"/>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磋商项目明细清单（格式见附件）；</w:t>
      </w:r>
    </w:p>
    <w:p>
      <w:pPr>
        <w:numPr>
          <w:ilvl w:val="0"/>
          <w:numId w:val="31"/>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技术响应及建议表（格式见附件）；</w:t>
      </w:r>
    </w:p>
    <w:p>
      <w:pPr>
        <w:numPr>
          <w:ilvl w:val="0"/>
          <w:numId w:val="31"/>
        </w:num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商务响应表（格式见附件）；</w:t>
      </w:r>
    </w:p>
    <w:p>
      <w:pPr>
        <w:numPr>
          <w:ilvl w:val="0"/>
          <w:numId w:val="31"/>
        </w:num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总体管理方案；</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服务管理制度</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服务方案</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项目组人员清单（格式见附件）；</w:t>
      </w:r>
    </w:p>
    <w:p>
      <w:pPr>
        <w:numPr>
          <w:ilvl w:val="0"/>
          <w:numId w:val="31"/>
        </w:num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人员配置；</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人员稳定措施</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服务承诺</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人员培训方案</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应急保障措施；</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服务响应能力</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认证证书</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供应商荣誉</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人员证书</w:t>
      </w:r>
      <w:r>
        <w:rPr>
          <w:rFonts w:hint="eastAsia" w:ascii="宋体" w:hAnsi="宋体" w:cs="宋体"/>
          <w:color w:val="auto"/>
          <w:sz w:val="24"/>
          <w:szCs w:val="24"/>
          <w:highlight w:val="none"/>
          <w:lang w:eastAsia="zh-CN"/>
        </w:rPr>
        <w:t>；</w:t>
      </w:r>
    </w:p>
    <w:p>
      <w:pPr>
        <w:numPr>
          <w:ilvl w:val="0"/>
          <w:numId w:val="31"/>
        </w:num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供应商</w:t>
      </w:r>
      <w:r>
        <w:rPr>
          <w:rFonts w:hint="eastAsia" w:ascii="宋体" w:hAnsi="宋体" w:cs="宋体"/>
          <w:color w:val="auto"/>
          <w:sz w:val="24"/>
          <w:szCs w:val="24"/>
          <w:highlight w:val="none"/>
          <w:lang w:eastAsia="zh-CN"/>
        </w:rPr>
        <w:t>业绩；</w:t>
      </w:r>
    </w:p>
    <w:p>
      <w:pPr>
        <w:numPr>
          <w:ilvl w:val="0"/>
          <w:numId w:val="31"/>
        </w:numPr>
        <w:spacing w:line="360" w:lineRule="auto"/>
        <w:rPr>
          <w:rFonts w:ascii="宋体"/>
          <w:color w:val="auto"/>
          <w:sz w:val="24"/>
          <w:szCs w:val="24"/>
          <w:highlight w:val="none"/>
        </w:rPr>
      </w:pPr>
      <w:r>
        <w:rPr>
          <w:rFonts w:hint="eastAsia" w:ascii="宋体" w:hAnsi="宋体" w:cs="宋体"/>
          <w:color w:val="auto"/>
          <w:sz w:val="24"/>
          <w:szCs w:val="24"/>
          <w:highlight w:val="none"/>
        </w:rPr>
        <w:t>供应商认为需要的其他文件资料。</w:t>
      </w:r>
      <w:r>
        <w:rPr>
          <w:rFonts w:hint="eastAsia" w:ascii="宋体"/>
          <w:color w:val="auto"/>
          <w:sz w:val="24"/>
          <w:szCs w:val="24"/>
          <w:highlight w:val="none"/>
        </w:rPr>
        <w:t xml:space="preserve"> </w:t>
      </w:r>
    </w:p>
    <w:p>
      <w:pPr>
        <w:spacing w:line="360" w:lineRule="auto"/>
        <w:ind w:firstLine="480" w:firstLineChars="200"/>
        <w:rPr>
          <w:rFonts w:ascii="宋体"/>
          <w:color w:val="auto"/>
          <w:sz w:val="24"/>
          <w:szCs w:val="24"/>
          <w:highlight w:val="none"/>
        </w:rPr>
      </w:pPr>
    </w:p>
    <w:p>
      <w:pPr>
        <w:pStyle w:val="12"/>
        <w:ind w:firstLine="566"/>
        <w:rPr>
          <w:rFonts w:cs="Times New Roman"/>
          <w:color w:val="auto"/>
          <w:sz w:val="28"/>
          <w:szCs w:val="28"/>
          <w:highlight w:val="none"/>
        </w:rPr>
      </w:pPr>
    </w:p>
    <w:p>
      <w:pPr>
        <w:pStyle w:val="12"/>
        <w:ind w:firstLine="566"/>
        <w:rPr>
          <w:rFonts w:cs="Times New Roman"/>
          <w:color w:val="auto"/>
          <w:sz w:val="28"/>
          <w:szCs w:val="28"/>
          <w:highlight w:val="none"/>
        </w:rPr>
      </w:pPr>
    </w:p>
    <w:p>
      <w:pPr>
        <w:rPr>
          <w:rFonts w:ascii="宋体"/>
          <w:color w:val="auto"/>
          <w:sz w:val="28"/>
          <w:szCs w:val="28"/>
          <w:highlight w:val="none"/>
        </w:rPr>
      </w:pPr>
      <w:r>
        <w:rPr>
          <w:rFonts w:ascii="宋体"/>
          <w:color w:val="auto"/>
          <w:sz w:val="28"/>
          <w:szCs w:val="28"/>
          <w:highlight w:val="none"/>
        </w:rPr>
        <w:br w:type="page"/>
      </w:r>
    </w:p>
    <w:p>
      <w:pPr>
        <w:snapToGrid w:val="0"/>
        <w:spacing w:before="50" w:after="50"/>
        <w:jc w:val="left"/>
        <w:rPr>
          <w:rFonts w:ascii="宋体"/>
          <w:b/>
          <w:bCs/>
          <w:color w:val="auto"/>
          <w:sz w:val="24"/>
          <w:szCs w:val="24"/>
          <w:highlight w:val="none"/>
          <w:lang w:val="zh-CN"/>
        </w:rPr>
      </w:pPr>
      <w:bookmarkStart w:id="108" w:name="_Toc10131"/>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六</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评分对应表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对应评分办法及评分标准</w:t>
            </w:r>
          </w:p>
          <w:p>
            <w:pPr>
              <w:jc w:val="center"/>
              <w:rPr>
                <w:rFonts w:ascii="宋体"/>
                <w:color w:val="auto"/>
                <w:sz w:val="24"/>
                <w:szCs w:val="24"/>
                <w:highlight w:val="none"/>
              </w:rPr>
            </w:pPr>
            <w:r>
              <w:rPr>
                <w:rFonts w:hint="eastAsia" w:ascii="宋体" w:hAnsi="宋体" w:cs="宋体"/>
                <w:color w:val="auto"/>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highlight w:val="none"/>
          <w:lang w:val="zh-CN"/>
        </w:rPr>
      </w:pPr>
    </w:p>
    <w:p>
      <w:pPr>
        <w:rPr>
          <w:b/>
          <w:bCs/>
          <w:color w:val="auto"/>
          <w:sz w:val="24"/>
          <w:szCs w:val="24"/>
          <w:highlight w:val="none"/>
          <w:lang w:val="zh-CN"/>
        </w:rPr>
      </w:pP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七</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供应商商务技术文件中资信分自评表</w:t>
      </w:r>
      <w:bookmarkEnd w:id="108"/>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387"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资信分内容</w:t>
            </w:r>
          </w:p>
        </w:tc>
        <w:tc>
          <w:tcPr>
            <w:tcW w:w="146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自评得分</w:t>
            </w:r>
          </w:p>
        </w:tc>
        <w:tc>
          <w:tcPr>
            <w:tcW w:w="2415" w:type="dxa"/>
            <w:tcBorders>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746" w:type="dxa"/>
            <w:tcBorders>
              <w:lef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1</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2</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3</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4</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5</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6</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7</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8</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合计</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156" w:afterLines="50"/>
        <w:jc w:val="left"/>
        <w:rPr>
          <w:rFonts w:ascii="宋体"/>
          <w:b/>
          <w:bCs/>
          <w:color w:val="auto"/>
          <w:sz w:val="24"/>
          <w:szCs w:val="24"/>
          <w:highlight w:val="none"/>
          <w:lang w:val="zh-CN"/>
        </w:rPr>
      </w:pPr>
      <w:r>
        <w:rPr>
          <w:rFonts w:ascii="宋体"/>
          <w:b/>
          <w:bCs/>
          <w:color w:val="auto"/>
          <w:sz w:val="30"/>
          <w:szCs w:val="30"/>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八</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投标项目明细清单</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服务人员数量</w:t>
            </w: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napToGrid w:val="0"/>
        <w:spacing w:before="156"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注：在填写时，如上表不适合本项目的实际情况，可在确保投标明细内容完整的情况下，根据上表格式自行划表填写。</w:t>
      </w:r>
    </w:p>
    <w:p>
      <w:pPr>
        <w:pStyle w:val="12"/>
        <w:rPr>
          <w:rFonts w:cs="Times New Roman"/>
          <w:color w:val="auto"/>
          <w:highlight w:val="none"/>
        </w:rPr>
      </w:pPr>
    </w:p>
    <w:p>
      <w:pPr>
        <w:pStyle w:val="12"/>
        <w:rPr>
          <w:rFonts w:cs="Times New Roman"/>
          <w:color w:val="auto"/>
          <w:highlight w:val="none"/>
        </w:rPr>
      </w:pPr>
    </w:p>
    <w:p>
      <w:pPr>
        <w:pStyle w:val="12"/>
        <w:rPr>
          <w:rFonts w:cs="Times New Roman"/>
          <w:color w:val="auto"/>
          <w:highlight w:val="none"/>
        </w:rPr>
      </w:pPr>
    </w:p>
    <w:p>
      <w:pPr>
        <w:snapToGrid w:val="0"/>
        <w:spacing w:before="156" w:beforeLines="5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color w:val="auto"/>
          <w:spacing w:val="20"/>
          <w:sz w:val="24"/>
          <w:szCs w:val="24"/>
          <w:highlight w:val="none"/>
        </w:rPr>
      </w:pPr>
    </w:p>
    <w:p>
      <w:pPr>
        <w:snapToGrid w:val="0"/>
        <w:spacing w:before="50" w:after="50"/>
        <w:rPr>
          <w:rFonts w:ascii="宋体"/>
          <w:color w:val="auto"/>
          <w:spacing w:val="20"/>
          <w:sz w:val="30"/>
          <w:szCs w:val="30"/>
          <w:highlight w:val="none"/>
        </w:rPr>
      </w:pPr>
    </w:p>
    <w:p>
      <w:pPr>
        <w:pStyle w:val="12"/>
        <w:ind w:firstLine="686"/>
        <w:rPr>
          <w:rFonts w:cs="Times New Roman"/>
          <w:color w:val="auto"/>
          <w:spacing w:val="20"/>
          <w:sz w:val="30"/>
          <w:szCs w:val="30"/>
          <w:highlight w:val="none"/>
        </w:rPr>
      </w:pPr>
    </w:p>
    <w:p>
      <w:pPr>
        <w:pStyle w:val="12"/>
        <w:ind w:firstLine="686"/>
        <w:rPr>
          <w:rFonts w:cs="Times New Roman"/>
          <w:color w:val="auto"/>
          <w:spacing w:val="20"/>
          <w:sz w:val="30"/>
          <w:szCs w:val="30"/>
          <w:highlight w:val="none"/>
        </w:rPr>
        <w:sectPr>
          <w:pgSz w:w="11906" w:h="16838"/>
          <w:pgMar w:top="1440" w:right="1800" w:bottom="1440" w:left="1800" w:header="851" w:footer="992" w:gutter="0"/>
          <w:cols w:space="425" w:num="1"/>
          <w:docGrid w:type="lines" w:linePitch="312" w:charSpace="0"/>
        </w:sectPr>
      </w:pPr>
    </w:p>
    <w:p>
      <w:pPr>
        <w:rPr>
          <w:b/>
          <w:bCs/>
          <w:color w:val="auto"/>
          <w:sz w:val="24"/>
          <w:szCs w:val="24"/>
          <w:highlight w:val="none"/>
        </w:rPr>
      </w:pPr>
      <w:bookmarkStart w:id="109" w:name="_Toc2823"/>
      <w:r>
        <w:rPr>
          <w:rFonts w:hint="eastAsia" w:cs="宋体"/>
          <w:b/>
          <w:bCs/>
          <w:color w:val="auto"/>
          <w:sz w:val="24"/>
          <w:szCs w:val="24"/>
          <w:highlight w:val="none"/>
        </w:rPr>
        <w:t>附件</w:t>
      </w:r>
      <w:r>
        <w:rPr>
          <w:rFonts w:hint="eastAsia" w:cs="宋体"/>
          <w:b/>
          <w:bCs/>
          <w:color w:val="auto"/>
          <w:sz w:val="24"/>
          <w:szCs w:val="24"/>
          <w:highlight w:val="none"/>
          <w:lang w:val="en-US" w:eastAsia="zh-CN"/>
        </w:rPr>
        <w:t>九</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技术响应及建议表</w:t>
      </w:r>
      <w:bookmarkEnd w:id="109"/>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44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名称</w:t>
            </w:r>
          </w:p>
        </w:tc>
        <w:tc>
          <w:tcPr>
            <w:tcW w:w="198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25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响应文件响应</w:t>
            </w:r>
          </w:p>
        </w:tc>
        <w:tc>
          <w:tcPr>
            <w:tcW w:w="1953"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投标建议</w:t>
            </w:r>
          </w:p>
        </w:tc>
        <w:tc>
          <w:tcPr>
            <w:tcW w:w="6453" w:type="dxa"/>
            <w:gridSpan w:val="3"/>
            <w:vAlign w:val="center"/>
          </w:tcPr>
          <w:p>
            <w:pPr>
              <w:spacing w:line="360" w:lineRule="auto"/>
              <w:jc w:val="center"/>
              <w:rPr>
                <w:rFonts w:ascii="宋体"/>
                <w:color w:val="auto"/>
                <w:sz w:val="24"/>
                <w:szCs w:val="24"/>
                <w:highlight w:val="none"/>
              </w:rPr>
            </w:pPr>
          </w:p>
        </w:tc>
      </w:tr>
    </w:tbl>
    <w:p>
      <w:pPr>
        <w:snapToGrid w:val="0"/>
        <w:spacing w:line="360" w:lineRule="auto"/>
        <w:rPr>
          <w:rFonts w:ascii="宋体"/>
          <w:color w:val="auto"/>
          <w:sz w:val="24"/>
          <w:szCs w:val="24"/>
          <w:highlight w:val="none"/>
        </w:rPr>
      </w:pPr>
    </w:p>
    <w:p>
      <w:pPr>
        <w:pStyle w:val="14"/>
        <w:spacing w:line="360" w:lineRule="auto"/>
        <w:rPr>
          <w:rFonts w:hAnsi="宋体" w:cs="Times New Roman"/>
          <w:color w:val="auto"/>
          <w:sz w:val="24"/>
          <w:szCs w:val="24"/>
          <w:highlight w:val="none"/>
        </w:rPr>
      </w:pPr>
      <w:r>
        <w:rPr>
          <w:rFonts w:hint="eastAsia" w:hAnsi="宋体"/>
          <w:color w:val="auto"/>
          <w:sz w:val="24"/>
          <w:szCs w:val="24"/>
          <w:highlight w:val="none"/>
        </w:rPr>
        <w:t>注：名称可基于项目清单根据供应商实际情况调整。</w:t>
      </w:r>
    </w:p>
    <w:p>
      <w:pPr>
        <w:rPr>
          <w:rFonts w:ascii="宋体"/>
          <w:color w:val="auto"/>
          <w:sz w:val="24"/>
          <w:szCs w:val="24"/>
          <w:highlight w:val="none"/>
        </w:rPr>
      </w:pPr>
    </w:p>
    <w:p>
      <w:pPr>
        <w:pStyle w:val="12"/>
        <w:rPr>
          <w:rFonts w:cs="Times New Roman"/>
          <w:color w:val="auto"/>
          <w:highlight w:val="none"/>
        </w:rPr>
      </w:pPr>
    </w:p>
    <w:p>
      <w:pPr>
        <w:snapToGrid w:val="0"/>
        <w:spacing w:line="360" w:lineRule="auto"/>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sz w:val="24"/>
          <w:szCs w:val="24"/>
          <w:highlight w:val="none"/>
        </w:rPr>
      </w:pPr>
      <w:r>
        <w:rPr>
          <w:color w:val="auto"/>
          <w:sz w:val="24"/>
          <w:szCs w:val="24"/>
          <w:highlight w:val="none"/>
        </w:rPr>
        <w:br w:type="page"/>
      </w:r>
    </w:p>
    <w:p>
      <w:pPr>
        <w:rPr>
          <w:b/>
          <w:bCs/>
          <w:color w:val="auto"/>
          <w:sz w:val="24"/>
          <w:szCs w:val="24"/>
          <w:highlight w:val="none"/>
        </w:rPr>
      </w:pPr>
      <w:r>
        <w:rPr>
          <w:rFonts w:hint="eastAsia" w:cs="宋体"/>
          <w:b/>
          <w:bCs/>
          <w:color w:val="auto"/>
          <w:sz w:val="24"/>
          <w:szCs w:val="24"/>
          <w:highlight w:val="none"/>
        </w:rPr>
        <w:t>附件</w:t>
      </w:r>
      <w:r>
        <w:rPr>
          <w:rFonts w:hint="eastAsia" w:cs="宋体"/>
          <w:b/>
          <w:bCs/>
          <w:color w:val="auto"/>
          <w:sz w:val="24"/>
          <w:szCs w:val="24"/>
          <w:highlight w:val="none"/>
          <w:lang w:val="en-US" w:eastAsia="zh-CN"/>
        </w:rPr>
        <w:t>十</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商务响应表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是否</w:t>
            </w:r>
          </w:p>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w:t>
            </w: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b/>
          <w:bCs/>
          <w:color w:val="auto"/>
          <w:sz w:val="24"/>
          <w:szCs w:val="24"/>
          <w:highlight w:val="none"/>
          <w:lang w:val="zh-CN"/>
        </w:rPr>
      </w:pPr>
      <w:r>
        <w:rPr>
          <w:rFonts w:ascii="宋体"/>
          <w:color w:val="auto"/>
          <w:sz w:val="24"/>
          <w:szCs w:val="24"/>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十一</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项目组人员清单</w:t>
      </w:r>
    </w:p>
    <w:p>
      <w:pPr>
        <w:snapToGrid w:val="0"/>
        <w:spacing w:before="156" w:beforeLines="50" w:after="50"/>
        <w:jc w:val="center"/>
        <w:rPr>
          <w:rFonts w:ascii="宋体"/>
          <w:b/>
          <w:bCs/>
          <w:color w:val="auto"/>
          <w:sz w:val="30"/>
          <w:szCs w:val="30"/>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9"/>
        <w:tblW w:w="85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参加本单位工作时间</w:t>
            </w:r>
          </w:p>
        </w:tc>
        <w:tc>
          <w:tcPr>
            <w:tcW w:w="180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pStyle w:val="15"/>
              <w:snapToGrid w:val="0"/>
              <w:spacing w:before="156" w:beforeLines="50" w:after="50" w:line="460" w:lineRule="exact"/>
              <w:ind w:left="5250"/>
              <w:rPr>
                <w:rFonts w:cs="Times New Roman"/>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bl>
    <w:p>
      <w:pPr>
        <w:adjustRightInd w:val="0"/>
        <w:snapToGrid w:val="0"/>
        <w:spacing w:line="360" w:lineRule="auto"/>
        <w:jc w:val="left"/>
        <w:rPr>
          <w:rFonts w:ascii="宋体"/>
          <w:color w:val="auto"/>
          <w:sz w:val="24"/>
          <w:szCs w:val="24"/>
          <w:highlight w:val="none"/>
        </w:rPr>
      </w:pPr>
    </w:p>
    <w:p>
      <w:pPr>
        <w:adjustRightInd w:val="0"/>
        <w:snapToGrid w:val="0"/>
        <w:spacing w:line="360" w:lineRule="auto"/>
        <w:ind w:firstLine="480" w:firstLineChars="200"/>
        <w:jc w:val="left"/>
        <w:rPr>
          <w:rFonts w:ascii="宋体"/>
          <w:color w:val="auto"/>
          <w:sz w:val="24"/>
          <w:szCs w:val="24"/>
          <w:highlight w:val="none"/>
        </w:rPr>
      </w:pPr>
      <w:r>
        <w:rPr>
          <w:rFonts w:hint="eastAsia" w:ascii="宋体" w:hAnsi="宋体" w:cs="宋体"/>
          <w:color w:val="auto"/>
          <w:sz w:val="24"/>
          <w:szCs w:val="24"/>
          <w:highlight w:val="none"/>
        </w:rPr>
        <w:t>注：在填写时，如本表格不适合投标单位的实际情况，可根据本表格式自行划表填写。</w:t>
      </w:r>
      <w:r>
        <w:rPr>
          <w:rFonts w:ascii="宋体" w:hAnsi="宋体" w:cs="宋体"/>
          <w:color w:val="auto"/>
          <w:sz w:val="24"/>
          <w:szCs w:val="24"/>
          <w:highlight w:val="none"/>
        </w:rPr>
        <w:t xml:space="preserve"> </w:t>
      </w:r>
    </w:p>
    <w:p>
      <w:pPr>
        <w:snapToGrid w:val="0"/>
        <w:spacing w:before="50" w:after="156" w:afterLines="50" w:line="460" w:lineRule="exact"/>
        <w:jc w:val="left"/>
        <w:rPr>
          <w:rFonts w:ascii="宋体"/>
          <w:color w:val="auto"/>
          <w:sz w:val="24"/>
          <w:szCs w:val="24"/>
          <w:highlight w:val="none"/>
        </w:rPr>
      </w:pPr>
    </w:p>
    <w:p>
      <w:pPr>
        <w:pStyle w:val="12"/>
        <w:rPr>
          <w:rFonts w:cs="Times New Roman"/>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pacing w:line="360" w:lineRule="auto"/>
        <w:jc w:val="center"/>
        <w:rPr>
          <w:rFonts w:ascii="宋体"/>
          <w:b/>
          <w:bCs/>
          <w:color w:val="auto"/>
          <w:kern w:val="0"/>
          <w:sz w:val="36"/>
          <w:szCs w:val="36"/>
          <w:highlight w:val="none"/>
        </w:rPr>
      </w:pPr>
      <w:r>
        <w:rPr>
          <w:rFonts w:ascii="宋体"/>
          <w:color w:val="auto"/>
          <w:spacing w:val="20"/>
          <w:sz w:val="30"/>
          <w:szCs w:val="30"/>
          <w:highlight w:val="none"/>
        </w:rPr>
        <w:br w:type="page"/>
      </w:r>
      <w:r>
        <w:rPr>
          <w:rFonts w:hint="eastAsia" w:ascii="宋体" w:hAnsi="宋体" w:cs="宋体"/>
          <w:b/>
          <w:bCs/>
          <w:color w:val="auto"/>
          <w:kern w:val="0"/>
          <w:sz w:val="36"/>
          <w:szCs w:val="36"/>
          <w:highlight w:val="none"/>
        </w:rPr>
        <w:t>报价文件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12"/>
        <w:ind w:firstLine="723"/>
        <w:rPr>
          <w:rFonts w:cs="Times New Roman"/>
          <w:b/>
          <w:bCs/>
          <w:color w:val="auto"/>
          <w:kern w:val="0"/>
          <w:sz w:val="36"/>
          <w:szCs w:val="36"/>
          <w:highlight w:val="none"/>
        </w:rPr>
      </w:pP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）磋商函（格式见附件）；</w:t>
      </w: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）报价一览表（格式见附件）；</w:t>
      </w:r>
    </w:p>
    <w:p>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）磋商报价明细表（格式见附件）。</w:t>
      </w:r>
    </w:p>
    <w:p>
      <w:pPr>
        <w:pStyle w:val="12"/>
        <w:rPr>
          <w:color w:val="auto"/>
          <w:highlight w:val="none"/>
        </w:rPr>
      </w:pPr>
      <w:r>
        <w:rPr>
          <w:color w:val="auto"/>
          <w:highlight w:val="none"/>
        </w:rPr>
        <w:br w:type="page"/>
      </w:r>
    </w:p>
    <w:p>
      <w:pPr>
        <w:rPr>
          <w:rFonts w:ascii="宋体"/>
          <w:b/>
          <w:bCs/>
          <w:color w:val="auto"/>
          <w:highlight w:val="none"/>
          <w:lang w:val="zh-CN"/>
        </w:rPr>
      </w:pPr>
      <w:bookmarkStart w:id="110" w:name="_Toc3094"/>
      <w:r>
        <w:rPr>
          <w:rFonts w:hint="eastAsia" w:cs="宋体"/>
          <w:b/>
          <w:bCs/>
          <w:color w:val="auto"/>
          <w:sz w:val="24"/>
          <w:szCs w:val="24"/>
          <w:highlight w:val="none"/>
          <w:lang w:val="zh-CN"/>
        </w:rPr>
        <w:t>附件</w:t>
      </w:r>
      <w:bookmarkStart w:id="111" w:name="_Toc98731770"/>
      <w:bookmarkStart w:id="112" w:name="_Toc130094924"/>
      <w:r>
        <w:rPr>
          <w:rFonts w:hint="eastAsia" w:cs="宋体"/>
          <w:b/>
          <w:bCs/>
          <w:color w:val="auto"/>
          <w:sz w:val="24"/>
          <w:szCs w:val="24"/>
          <w:highlight w:val="none"/>
          <w:lang w:val="en-US" w:eastAsia="zh-CN"/>
        </w:rPr>
        <w:t>十二</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商</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函</w:t>
      </w:r>
      <w:bookmarkEnd w:id="110"/>
      <w:bookmarkEnd w:id="111"/>
      <w:bookmarkEnd w:id="112"/>
    </w:p>
    <w:p>
      <w:pPr>
        <w:spacing w:line="360" w:lineRule="auto"/>
        <w:ind w:firstLine="480" w:firstLineChars="200"/>
        <w:rPr>
          <w:rFonts w:ascii="宋体"/>
          <w:color w:val="auto"/>
          <w:sz w:val="24"/>
          <w:szCs w:val="24"/>
          <w:highlight w:val="none"/>
          <w:u w:val="singl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上虞区丰惠镇人民政府</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绍兴市上虞区公共资源交易中心</w:t>
      </w:r>
      <w:r>
        <w:rPr>
          <w:rFonts w:hint="eastAsia" w:ascii="宋体" w:hAnsi="宋体" w:cs="宋体"/>
          <w:color w:val="auto"/>
          <w:sz w:val="24"/>
          <w:szCs w:val="24"/>
          <w:highlight w:val="none"/>
        </w:rPr>
        <w:t>：</w:t>
      </w:r>
    </w:p>
    <w:p>
      <w:pPr>
        <w:spacing w:line="360" w:lineRule="auto"/>
        <w:ind w:firstLine="480"/>
        <w:jc w:val="left"/>
        <w:rPr>
          <w:rFonts w:ascii="宋体"/>
          <w:color w:val="auto"/>
          <w:sz w:val="24"/>
          <w:szCs w:val="24"/>
          <w:highlight w:val="none"/>
        </w:rPr>
      </w:pPr>
      <w:r>
        <w:rPr>
          <w:rFonts w:hint="eastAsia" w:ascii="宋体" w:hAnsi="宋体" w:cs="宋体"/>
          <w:color w:val="auto"/>
          <w:sz w:val="24"/>
          <w:szCs w:val="24"/>
          <w:highlight w:val="none"/>
        </w:rPr>
        <w:t>我单位认真研究了关于</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pPr>
        <w:spacing w:line="360" w:lineRule="auto"/>
        <w:ind w:firstLine="504" w:firstLineChars="240"/>
        <w:rPr>
          <w:rFonts w:ascii="宋体"/>
          <w:color w:val="auto"/>
          <w:sz w:val="24"/>
          <w:szCs w:val="24"/>
          <w:highlight w:val="none"/>
        </w:rPr>
      </w:pPr>
      <w:r>
        <w:rPr>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1" name="直线 3"/>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3"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6T0kGtIAAAAHAQAADwAAAAAA&#10;AAABACAAAAAiAAAAZHJzL2Rvd25yZXYueG1sUEsBAhQAFAAAAAgAh07iQJF8yb/gAQAA2QMAAA4A&#10;AAAAAAAAAQAgAAAAIQEAAGRycy9lMm9Eb2MueG1sUEsFBgAAAAAGAAYAWQEAAHMFAAAAAA==&#10;">
                <v:fill on="f" focussize="0,0"/>
                <v:stroke color="#000000" joinstyle="round"/>
                <v:imagedata o:title=""/>
                <o:lock v:ext="edit" aspectratio="f"/>
              </v:line>
            </w:pict>
          </mc:Fallback>
        </mc:AlternateContent>
      </w:r>
      <w:r>
        <w:rPr>
          <w:rFonts w:ascii="宋体" w:hAnsi="宋体" w:cs="宋体"/>
          <w:color w:val="auto"/>
          <w:sz w:val="24"/>
          <w:szCs w:val="24"/>
          <w:highlight w:val="none"/>
        </w:rPr>
        <w:t>1</w:t>
      </w:r>
      <w:r>
        <w:rPr>
          <w:rFonts w:hint="eastAsia" w:ascii="宋体" w:hAnsi="宋体" w:cs="宋体"/>
          <w:color w:val="auto"/>
          <w:sz w:val="24"/>
          <w:szCs w:val="24"/>
          <w:highlight w:val="none"/>
        </w:rPr>
        <w:t>、一旦我单位中标，我单位愿意承接报价一览表中所列的技术服务，服务期为：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、我单位同意提供按照采购人的可能要求与其投标有关的一切数据和资料，完全理解采购人不一定要接受最低价者作为成交供应商。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、一旦我单位中标，我们保证按照磋商文件的要求，完成服务。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、如果我单位中标，我方将按照要求严格履行合同义务。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、除非另行达成协议并生效，你方的成交通知书和本磋商函将构成约束你我双方的合同。</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、我单位承诺，一旦发生磋商文件第二部分第</w:t>
      </w:r>
      <w:r>
        <w:rPr>
          <w:rFonts w:ascii="宋体" w:hAnsi="宋体" w:cs="宋体"/>
          <w:color w:val="auto"/>
          <w:sz w:val="24"/>
          <w:szCs w:val="24"/>
          <w:highlight w:val="none"/>
        </w:rPr>
        <w:t>11</w:t>
      </w:r>
      <w:r>
        <w:rPr>
          <w:rFonts w:hint="eastAsia" w:ascii="宋体" w:hAnsi="宋体" w:cs="宋体"/>
          <w:color w:val="auto"/>
          <w:sz w:val="24"/>
          <w:szCs w:val="24"/>
          <w:highlight w:val="none"/>
        </w:rPr>
        <w:t>条规定情形之一的，承担该条款约定的责任。</w:t>
      </w:r>
    </w:p>
    <w:p>
      <w:pPr>
        <w:pStyle w:val="14"/>
        <w:snapToGrid w:val="0"/>
        <w:spacing w:line="360" w:lineRule="auto"/>
        <w:ind w:left="480"/>
        <w:jc w:val="left"/>
        <w:rPr>
          <w:rFonts w:hAnsi="宋体"/>
          <w:color w:val="auto"/>
          <w:sz w:val="24"/>
          <w:szCs w:val="24"/>
          <w:highlight w:val="none"/>
        </w:rPr>
      </w:pPr>
      <w:r>
        <w:rPr>
          <w:rFonts w:hAnsi="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邮编：</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u w:val="single"/>
        </w:rPr>
      </w:pPr>
      <w:r>
        <w:rPr>
          <w:rFonts w:hint="eastAsia" w:ascii="宋体" w:hAnsi="宋体" w:cs="宋体"/>
          <w:color w:val="auto"/>
          <w:sz w:val="24"/>
          <w:szCs w:val="24"/>
          <w:highlight w:val="none"/>
        </w:rPr>
        <w:t>电话：</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传真：</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供应商代表姓名：</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职务：</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供应商名称</w:t>
      </w:r>
      <w:r>
        <w:rPr>
          <w:rFonts w:hint="eastAsia" w:ascii="宋体" w:hAnsi="宋体" w:cs="宋体"/>
          <w:color w:val="auto"/>
          <w:sz w:val="24"/>
          <w:szCs w:val="24"/>
          <w:highlight w:val="none"/>
          <w:u w:val="single"/>
        </w:rPr>
        <w:t>：</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（公章）：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firstLine="5280" w:firstLineChars="2200"/>
        <w:rPr>
          <w:rFonts w:ascii="宋体"/>
          <w:color w:val="auto"/>
          <w:sz w:val="24"/>
          <w:szCs w:val="24"/>
          <w:highlight w:val="none"/>
        </w:rPr>
      </w:pPr>
    </w:p>
    <w:p>
      <w:pPr>
        <w:rPr>
          <w:color w:val="auto"/>
          <w:sz w:val="24"/>
          <w:szCs w:val="24"/>
          <w:highlight w:val="none"/>
          <w:lang w:val="zh-CN"/>
        </w:rPr>
      </w:pPr>
      <w:bookmarkStart w:id="113" w:name="_Toc12011"/>
      <w:r>
        <w:rPr>
          <w:color w:val="auto"/>
          <w:sz w:val="24"/>
          <w:szCs w:val="24"/>
          <w:highlight w:val="none"/>
          <w:lang w:val="zh-CN"/>
        </w:rPr>
        <w:br w:type="page"/>
      </w:r>
    </w:p>
    <w:p>
      <w:pPr>
        <w:rPr>
          <w:b/>
          <w:bCs/>
          <w:color w:val="auto"/>
          <w:sz w:val="24"/>
          <w:szCs w:val="24"/>
          <w:highlight w:val="none"/>
          <w:lang w:val="zh-CN"/>
        </w:rPr>
      </w:pPr>
      <w:r>
        <w:rPr>
          <w:rFonts w:hint="eastAsia" w:cs="宋体"/>
          <w:b/>
          <w:bCs/>
          <w:color w:val="auto"/>
          <w:sz w:val="24"/>
          <w:szCs w:val="24"/>
          <w:highlight w:val="none"/>
          <w:lang w:val="zh-CN"/>
        </w:rPr>
        <w:t>附件</w:t>
      </w:r>
      <w:bookmarkStart w:id="114" w:name="_Toc130094925"/>
      <w:bookmarkStart w:id="115" w:name="_Toc98731771"/>
      <w:r>
        <w:rPr>
          <w:rFonts w:hint="eastAsia" w:cs="宋体"/>
          <w:b/>
          <w:bCs/>
          <w:color w:val="auto"/>
          <w:sz w:val="24"/>
          <w:szCs w:val="24"/>
          <w:highlight w:val="none"/>
        </w:rPr>
        <w:t>十</w:t>
      </w:r>
      <w:r>
        <w:rPr>
          <w:rFonts w:hint="eastAsia" w:cs="宋体"/>
          <w:b/>
          <w:bCs/>
          <w:color w:val="auto"/>
          <w:sz w:val="24"/>
          <w:szCs w:val="24"/>
          <w:highlight w:val="none"/>
          <w:lang w:val="en-US" w:eastAsia="zh-CN"/>
        </w:rPr>
        <w:t>三</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报价一览表</w:t>
      </w:r>
      <w:bookmarkEnd w:id="113"/>
      <w:bookmarkEnd w:id="114"/>
      <w:bookmarkEnd w:id="115"/>
    </w:p>
    <w:p>
      <w:pPr>
        <w:pStyle w:val="14"/>
        <w:spacing w:line="360" w:lineRule="auto"/>
        <w:rPr>
          <w:rFonts w:hAnsi="宋体" w:cs="Times New Roman"/>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9"/>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86" w:hRule="atLeast"/>
          <w:jc w:val="center"/>
        </w:trPr>
        <w:tc>
          <w:tcPr>
            <w:tcW w:w="2089" w:type="dxa"/>
            <w:vAlign w:val="center"/>
          </w:tcPr>
          <w:p>
            <w:pPr>
              <w:pStyle w:val="14"/>
              <w:spacing w:line="360" w:lineRule="auto"/>
              <w:jc w:val="center"/>
              <w:rPr>
                <w:rFonts w:hAnsi="宋体" w:cs="Times New Roman"/>
                <w:b/>
                <w:bCs/>
                <w:color w:val="auto"/>
                <w:sz w:val="24"/>
                <w:szCs w:val="24"/>
                <w:highlight w:val="none"/>
              </w:rPr>
            </w:pPr>
            <w:r>
              <w:rPr>
                <w:rFonts w:hint="eastAsia" w:hAnsi="宋体"/>
                <w:b/>
                <w:bCs/>
                <w:color w:val="auto"/>
                <w:sz w:val="24"/>
                <w:szCs w:val="24"/>
                <w:highlight w:val="none"/>
                <w:lang w:val="en-US" w:eastAsia="zh-CN"/>
              </w:rPr>
              <w:t>磋商</w:t>
            </w:r>
            <w:r>
              <w:rPr>
                <w:rFonts w:hint="eastAsia" w:hAnsi="宋体"/>
                <w:b/>
                <w:bCs/>
                <w:color w:val="auto"/>
                <w:sz w:val="24"/>
                <w:szCs w:val="24"/>
                <w:highlight w:val="none"/>
              </w:rPr>
              <w:t>总价</w:t>
            </w:r>
          </w:p>
        </w:tc>
        <w:tc>
          <w:tcPr>
            <w:tcW w:w="6707" w:type="dxa"/>
            <w:vAlign w:val="center"/>
          </w:tcPr>
          <w:p>
            <w:pPr>
              <w:pStyle w:val="14"/>
              <w:spacing w:line="360" w:lineRule="auto"/>
              <w:jc w:val="center"/>
              <w:rPr>
                <w:rFonts w:hAnsi="宋体" w:cs="Times New Roman"/>
                <w:b/>
                <w:bCs/>
                <w:color w:val="auto"/>
                <w:sz w:val="24"/>
                <w:szCs w:val="24"/>
                <w:highlight w:val="none"/>
              </w:rPr>
            </w:pPr>
            <w:r>
              <w:rPr>
                <w:rFonts w:hint="eastAsia" w:hAnsi="宋体"/>
                <w:b/>
                <w:bCs/>
                <w:color w:val="auto"/>
                <w:sz w:val="24"/>
                <w:szCs w:val="24"/>
                <w:highlight w:val="none"/>
              </w:rPr>
              <w:t>大写：</w:t>
            </w:r>
            <w:r>
              <w:rPr>
                <w:rFonts w:hint="eastAsia" w:hAnsi="宋体"/>
                <w:b/>
                <w:bCs/>
                <w:color w:val="auto"/>
                <w:sz w:val="24"/>
                <w:szCs w:val="24"/>
                <w:highlight w:val="none"/>
                <w:u w:val="single"/>
              </w:rPr>
              <w:t>　　　　</w:t>
            </w:r>
            <w:r>
              <w:rPr>
                <w:rFonts w:hAnsi="宋体"/>
                <w:b/>
                <w:bCs/>
                <w:color w:val="auto"/>
                <w:sz w:val="24"/>
                <w:szCs w:val="24"/>
                <w:highlight w:val="none"/>
                <w:u w:val="single"/>
              </w:rPr>
              <w:t xml:space="preserve">            </w:t>
            </w:r>
            <w:r>
              <w:rPr>
                <w:rFonts w:hint="eastAsia" w:hAnsi="宋体"/>
                <w:b/>
                <w:bCs/>
                <w:color w:val="auto"/>
                <w:sz w:val="24"/>
                <w:szCs w:val="24"/>
                <w:highlight w:val="none"/>
              </w:rPr>
              <w:t>元（小写：</w:t>
            </w:r>
            <w:r>
              <w:rPr>
                <w:rFonts w:hint="eastAsia" w:hAnsi="宋体"/>
                <w:b/>
                <w:bCs/>
                <w:color w:val="auto"/>
                <w:sz w:val="24"/>
                <w:szCs w:val="24"/>
                <w:highlight w:val="none"/>
                <w:u w:val="single"/>
              </w:rPr>
              <w:t>　　　　</w:t>
            </w:r>
            <w:r>
              <w:rPr>
                <w:rFonts w:hAnsi="宋体"/>
                <w:b/>
                <w:bCs/>
                <w:color w:val="auto"/>
                <w:sz w:val="24"/>
                <w:szCs w:val="24"/>
                <w:highlight w:val="none"/>
                <w:u w:val="single"/>
              </w:rPr>
              <w:t xml:space="preserve"> </w:t>
            </w:r>
            <w:r>
              <w:rPr>
                <w:rFonts w:hint="eastAsia" w:hAnsi="宋体"/>
                <w:b/>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49" w:hRule="atLeast"/>
          <w:jc w:val="center"/>
        </w:trPr>
        <w:tc>
          <w:tcPr>
            <w:tcW w:w="8796" w:type="dxa"/>
            <w:gridSpan w:val="2"/>
            <w:vAlign w:val="center"/>
          </w:tcPr>
          <w:p>
            <w:pPr>
              <w:pStyle w:val="14"/>
              <w:spacing w:line="360" w:lineRule="auto"/>
              <w:ind w:firstLine="482" w:firstLineChars="200"/>
              <w:rPr>
                <w:rFonts w:hint="eastAsia" w:hAnsi="宋体" w:eastAsia="宋体" w:cs="Times New Roman"/>
                <w:b/>
                <w:bCs/>
                <w:color w:val="auto"/>
                <w:sz w:val="24"/>
                <w:szCs w:val="24"/>
                <w:highlight w:val="none"/>
                <w:lang w:eastAsia="zh-CN"/>
              </w:rPr>
            </w:pPr>
            <w:r>
              <w:rPr>
                <w:rFonts w:hint="eastAsia" w:hAnsi="宋体" w:cs="Times New Roman"/>
                <w:b/>
                <w:bCs/>
                <w:color w:val="auto"/>
                <w:sz w:val="24"/>
                <w:szCs w:val="24"/>
                <w:highlight w:val="none"/>
              </w:rPr>
              <w:t>本次报价应包含项目所需全部服务，不得缺漏，是履行合同的最终价格，包括人员的工资福利、保险、保洁用品、服装设备、通讯工具、管理费、税费、利润与本项目相关的其他一切费用等。磋商报价为供应商所能承受的最低、最终报价，供应商不得再要求追加任何费用</w:t>
            </w:r>
            <w:r>
              <w:rPr>
                <w:rFonts w:hint="eastAsia" w:hAnsi="宋体" w:cs="Times New Roman"/>
                <w:b/>
                <w:bCs/>
                <w:color w:val="auto"/>
                <w:sz w:val="24"/>
                <w:szCs w:val="24"/>
                <w:highlight w:val="none"/>
                <w:lang w:eastAsia="zh-CN"/>
              </w:rPr>
              <w:t>。</w:t>
            </w:r>
          </w:p>
        </w:tc>
      </w:tr>
    </w:tbl>
    <w:p>
      <w:pPr>
        <w:pStyle w:val="14"/>
        <w:spacing w:line="360" w:lineRule="auto"/>
        <w:rPr>
          <w:rFonts w:hAnsi="宋体" w:cs="Times New Roman"/>
          <w:color w:val="auto"/>
          <w:sz w:val="24"/>
          <w:szCs w:val="24"/>
          <w:highlight w:val="none"/>
        </w:rPr>
      </w:pPr>
    </w:p>
    <w:p>
      <w:pPr>
        <w:pStyle w:val="14"/>
        <w:spacing w:line="360" w:lineRule="auto"/>
        <w:rPr>
          <w:rFonts w:hAnsi="宋体" w:cs="Times New Roman"/>
          <w:color w:val="auto"/>
          <w:sz w:val="24"/>
          <w:szCs w:val="24"/>
          <w:highlight w:val="none"/>
        </w:rPr>
      </w:pPr>
    </w:p>
    <w:p>
      <w:pPr>
        <w:pStyle w:val="14"/>
        <w:spacing w:line="360" w:lineRule="auto"/>
        <w:rPr>
          <w:rFonts w:hAnsi="宋体" w:cs="Times New Roman"/>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pacing w:line="360" w:lineRule="auto"/>
        <w:jc w:val="left"/>
        <w:rPr>
          <w:rFonts w:ascii="宋体"/>
          <w:b/>
          <w:bCs/>
          <w:color w:val="auto"/>
          <w:sz w:val="24"/>
          <w:szCs w:val="24"/>
          <w:highlight w:val="none"/>
          <w:lang w:val="zh-CN"/>
        </w:rPr>
      </w:pPr>
      <w:r>
        <w:rPr>
          <w:rFonts w:ascii="宋体"/>
          <w:color w:val="auto"/>
          <w:highlight w:val="none"/>
        </w:rPr>
        <w:br w:type="page"/>
      </w:r>
      <w:bookmarkStart w:id="116" w:name="_Toc7196"/>
      <w:r>
        <w:rPr>
          <w:rFonts w:hint="eastAsia" w:ascii="宋体" w:hAnsi="宋体" w:cs="宋体"/>
          <w:b/>
          <w:bCs/>
          <w:color w:val="auto"/>
          <w:sz w:val="24"/>
          <w:szCs w:val="24"/>
          <w:highlight w:val="none"/>
          <w:lang w:val="zh-CN"/>
        </w:rPr>
        <w:t>附件十</w:t>
      </w:r>
      <w:r>
        <w:rPr>
          <w:rFonts w:hint="eastAsia" w:ascii="宋体" w:hAnsi="宋体" w:cs="宋体"/>
          <w:b/>
          <w:bCs/>
          <w:color w:val="auto"/>
          <w:sz w:val="24"/>
          <w:szCs w:val="24"/>
          <w:highlight w:val="none"/>
          <w:lang w:val="en-US" w:eastAsia="zh-CN"/>
        </w:rPr>
        <w:t>四</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磋商报价明细表</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9"/>
        <w:tblW w:w="9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2492"/>
        <w:gridCol w:w="915"/>
        <w:gridCol w:w="1876"/>
        <w:gridCol w:w="495"/>
        <w:gridCol w:w="498"/>
        <w:gridCol w:w="1148"/>
        <w:gridCol w:w="1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w:t>
            </w:r>
          </w:p>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号</w:t>
            </w:r>
          </w:p>
        </w:tc>
        <w:tc>
          <w:tcPr>
            <w:tcW w:w="2492"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名称</w:t>
            </w:r>
          </w:p>
        </w:tc>
        <w:tc>
          <w:tcPr>
            <w:tcW w:w="915"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内容</w:t>
            </w:r>
          </w:p>
        </w:tc>
        <w:tc>
          <w:tcPr>
            <w:tcW w:w="1876"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其他</w:t>
            </w:r>
          </w:p>
        </w:tc>
        <w:tc>
          <w:tcPr>
            <w:tcW w:w="495"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w:t>
            </w:r>
          </w:p>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位</w:t>
            </w:r>
          </w:p>
        </w:tc>
        <w:tc>
          <w:tcPr>
            <w:tcW w:w="498" w:type="dxa"/>
            <w:vMerge w:val="restart"/>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2272" w:type="dxa"/>
            <w:gridSpan w:val="2"/>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2492"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915"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1876"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495"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498" w:type="dxa"/>
            <w:vMerge w:val="continue"/>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1148"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单价</w:t>
            </w:r>
          </w:p>
        </w:tc>
        <w:tc>
          <w:tcPr>
            <w:tcW w:w="1124"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49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color w:val="auto"/>
                <w:kern w:val="2"/>
                <w:sz w:val="24"/>
                <w:szCs w:val="21"/>
                <w:lang w:val="en-US" w:eastAsia="zh-CN" w:bidi="ar-SA"/>
              </w:rPr>
            </w:pPr>
            <w:r>
              <w:rPr>
                <w:rFonts w:hint="eastAsia" w:ascii="宋体" w:hAnsi="宋体" w:cs="宋体"/>
                <w:bCs/>
                <w:color w:val="auto"/>
                <w:sz w:val="24"/>
                <w:lang w:val="en-US" w:eastAsia="zh-CN"/>
              </w:rPr>
              <w:t>项目负责人（可兼任）</w:t>
            </w:r>
          </w:p>
        </w:tc>
        <w:tc>
          <w:tcPr>
            <w:tcW w:w="91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876"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lang w:val="en-US" w:eastAsia="zh-CN"/>
              </w:rPr>
            </w:pPr>
          </w:p>
        </w:tc>
        <w:tc>
          <w:tcPr>
            <w:tcW w:w="498"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148" w:type="dxa"/>
          </w:tcPr>
          <w:p>
            <w:pPr>
              <w:pStyle w:val="14"/>
              <w:spacing w:line="360" w:lineRule="auto"/>
              <w:rPr>
                <w:rFonts w:hint="eastAsia" w:asciiTheme="minorEastAsia" w:hAnsiTheme="minorEastAsia" w:eastAsiaTheme="minorEastAsia" w:cstheme="minorEastAsia"/>
                <w:color w:val="auto"/>
                <w:sz w:val="24"/>
                <w:szCs w:val="24"/>
                <w:highlight w:val="none"/>
              </w:rPr>
            </w:pPr>
          </w:p>
        </w:tc>
        <w:tc>
          <w:tcPr>
            <w:tcW w:w="1124" w:type="dxa"/>
          </w:tcPr>
          <w:p>
            <w:pPr>
              <w:pStyle w:val="14"/>
              <w:spacing w:line="360" w:lineRule="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249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color w:val="auto"/>
                <w:kern w:val="2"/>
                <w:sz w:val="24"/>
                <w:szCs w:val="21"/>
                <w:lang w:val="en-US" w:eastAsia="zh-CN" w:bidi="ar-SA"/>
              </w:rPr>
            </w:pPr>
            <w:r>
              <w:rPr>
                <w:rFonts w:hint="eastAsia" w:ascii="宋体" w:hAnsi="宋体" w:cs="宋体"/>
                <w:bCs/>
                <w:color w:val="auto"/>
                <w:sz w:val="24"/>
                <w:lang w:val="en-US" w:eastAsia="zh-CN"/>
              </w:rPr>
              <w:t>丰惠镇政府</w:t>
            </w:r>
            <w:r>
              <w:rPr>
                <w:rFonts w:hint="eastAsia" w:ascii="宋体" w:hAnsi="宋体" w:cs="宋体"/>
                <w:bCs/>
                <w:color w:val="auto"/>
                <w:sz w:val="24"/>
              </w:rPr>
              <w:t>保洁</w:t>
            </w:r>
          </w:p>
        </w:tc>
        <w:tc>
          <w:tcPr>
            <w:tcW w:w="91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876"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498"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148" w:type="dxa"/>
          </w:tcPr>
          <w:p>
            <w:pPr>
              <w:pStyle w:val="14"/>
              <w:spacing w:line="360" w:lineRule="auto"/>
              <w:rPr>
                <w:rFonts w:hint="eastAsia" w:asciiTheme="minorEastAsia" w:hAnsiTheme="minorEastAsia" w:eastAsiaTheme="minorEastAsia" w:cstheme="minorEastAsia"/>
                <w:color w:val="auto"/>
                <w:sz w:val="24"/>
                <w:szCs w:val="24"/>
                <w:highlight w:val="none"/>
              </w:rPr>
            </w:pPr>
          </w:p>
        </w:tc>
        <w:tc>
          <w:tcPr>
            <w:tcW w:w="1124" w:type="dxa"/>
          </w:tcPr>
          <w:p>
            <w:pPr>
              <w:pStyle w:val="14"/>
              <w:spacing w:line="360" w:lineRule="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249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color w:val="auto"/>
                <w:kern w:val="2"/>
                <w:sz w:val="24"/>
                <w:szCs w:val="21"/>
                <w:lang w:val="en-US" w:eastAsia="zh-CN" w:bidi="ar-SA"/>
              </w:rPr>
            </w:pPr>
            <w:r>
              <w:rPr>
                <w:rFonts w:hint="eastAsia" w:ascii="宋体" w:hAnsi="宋体" w:eastAsia="宋体" w:cs="宋体"/>
                <w:bCs/>
                <w:color w:val="auto"/>
                <w:sz w:val="24"/>
                <w:lang w:val="en-US" w:eastAsia="zh-CN"/>
              </w:rPr>
              <w:t>便民中心保洁</w:t>
            </w:r>
          </w:p>
        </w:tc>
        <w:tc>
          <w:tcPr>
            <w:tcW w:w="91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876"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498" w:type="dxa"/>
            <w:vAlign w:val="center"/>
          </w:tcPr>
          <w:p>
            <w:pPr>
              <w:pStyle w:val="14"/>
              <w:spacing w:line="360" w:lineRule="auto"/>
              <w:rPr>
                <w:rFonts w:hint="eastAsia" w:asciiTheme="minorEastAsia" w:hAnsiTheme="minorEastAsia" w:eastAsiaTheme="minorEastAsia" w:cstheme="minorEastAsia"/>
                <w:b/>
                <w:bCs/>
                <w:color w:val="auto"/>
                <w:sz w:val="24"/>
                <w:szCs w:val="24"/>
                <w:highlight w:val="none"/>
              </w:rPr>
            </w:pPr>
          </w:p>
        </w:tc>
        <w:tc>
          <w:tcPr>
            <w:tcW w:w="1148" w:type="dxa"/>
          </w:tcPr>
          <w:p>
            <w:pPr>
              <w:pStyle w:val="14"/>
              <w:spacing w:line="360" w:lineRule="auto"/>
              <w:rPr>
                <w:rFonts w:hint="eastAsia" w:asciiTheme="minorEastAsia" w:hAnsiTheme="minorEastAsia" w:eastAsiaTheme="minorEastAsia" w:cstheme="minorEastAsia"/>
                <w:color w:val="auto"/>
                <w:sz w:val="24"/>
                <w:szCs w:val="24"/>
                <w:highlight w:val="none"/>
              </w:rPr>
            </w:pPr>
          </w:p>
        </w:tc>
        <w:tc>
          <w:tcPr>
            <w:tcW w:w="1124" w:type="dxa"/>
          </w:tcPr>
          <w:p>
            <w:pPr>
              <w:pStyle w:val="14"/>
              <w:spacing w:line="360" w:lineRule="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489" w:type="dxa"/>
            <w:vAlign w:val="center"/>
          </w:tcPr>
          <w:p>
            <w:pPr>
              <w:pStyle w:val="1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p>
        </w:tc>
        <w:tc>
          <w:tcPr>
            <w:tcW w:w="249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kern w:val="2"/>
                <w:sz w:val="24"/>
                <w:szCs w:val="21"/>
                <w:lang w:val="en-US" w:eastAsia="zh-CN" w:bidi="ar-SA"/>
              </w:rPr>
            </w:pPr>
            <w:r>
              <w:rPr>
                <w:rFonts w:hint="eastAsia" w:ascii="宋体" w:hAnsi="宋体" w:cs="宋体"/>
                <w:bCs/>
                <w:color w:val="auto"/>
                <w:sz w:val="24"/>
                <w:lang w:val="en-US" w:eastAsia="zh-CN"/>
              </w:rPr>
              <w:t>丰惠镇政府保安</w:t>
            </w:r>
          </w:p>
        </w:tc>
        <w:tc>
          <w:tcPr>
            <w:tcW w:w="915"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1876"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495"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498"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1148" w:type="dxa"/>
          </w:tcPr>
          <w:p>
            <w:pPr>
              <w:pStyle w:val="14"/>
              <w:spacing w:line="360" w:lineRule="auto"/>
              <w:rPr>
                <w:rFonts w:hint="eastAsia" w:asciiTheme="minorEastAsia" w:hAnsiTheme="minorEastAsia" w:eastAsiaTheme="minorEastAsia" w:cstheme="minorEastAsia"/>
                <w:color w:val="auto"/>
                <w:sz w:val="24"/>
                <w:szCs w:val="24"/>
                <w:highlight w:val="none"/>
              </w:rPr>
            </w:pPr>
          </w:p>
        </w:tc>
        <w:tc>
          <w:tcPr>
            <w:tcW w:w="1124" w:type="dxa"/>
          </w:tcPr>
          <w:p>
            <w:pPr>
              <w:pStyle w:val="14"/>
              <w:spacing w:line="360" w:lineRule="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2492"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Cs/>
                <w:kern w:val="2"/>
                <w:sz w:val="24"/>
                <w:szCs w:val="21"/>
                <w:lang w:val="en-US" w:eastAsia="zh-CN" w:bidi="ar-SA"/>
              </w:rPr>
            </w:pPr>
            <w:r>
              <w:rPr>
                <w:rFonts w:hint="eastAsia" w:ascii="宋体" w:hAnsi="宋体" w:eastAsia="宋体" w:cs="宋体"/>
                <w:bCs/>
                <w:color w:val="auto"/>
                <w:sz w:val="24"/>
                <w:lang w:val="en-US" w:eastAsia="zh-CN"/>
              </w:rPr>
              <w:t>便民中心保安</w:t>
            </w:r>
          </w:p>
        </w:tc>
        <w:tc>
          <w:tcPr>
            <w:tcW w:w="915"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1876"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49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4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24"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2492" w:type="dxa"/>
            <w:vAlign w:val="center"/>
          </w:tcPr>
          <w:p>
            <w:pPr>
              <w:keepNext w:val="0"/>
              <w:keepLines w:val="0"/>
              <w:pageBreakBefore w:val="0"/>
              <w:kinsoku/>
              <w:wordWrap/>
              <w:overflowPunct/>
              <w:topLinePunct w:val="0"/>
              <w:autoSpaceDE/>
              <w:autoSpaceDN/>
              <w:bidi w:val="0"/>
              <w:adjustRightInd/>
              <w:snapToGrid/>
              <w:spacing w:line="288" w:lineRule="auto"/>
              <w:jc w:val="center"/>
              <w:rPr>
                <w:rFonts w:hint="eastAsia" w:ascii="宋体" w:hAnsi="宋体" w:eastAsia="宋体" w:cs="宋体"/>
                <w:color w:val="auto"/>
                <w:kern w:val="2"/>
                <w:sz w:val="24"/>
                <w:szCs w:val="24"/>
                <w:vertAlign w:val="baseline"/>
                <w:lang w:val="en-US" w:eastAsia="zh-CN" w:bidi="ar-SA"/>
              </w:rPr>
            </w:pPr>
          </w:p>
        </w:tc>
        <w:tc>
          <w:tcPr>
            <w:tcW w:w="915"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1876"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49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4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24"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2492" w:type="dxa"/>
            <w:vAlign w:val="center"/>
          </w:tcPr>
          <w:p>
            <w:pPr>
              <w:keepNext w:val="0"/>
              <w:keepLines w:val="0"/>
              <w:pageBreakBefore w:val="0"/>
              <w:kinsoku/>
              <w:wordWrap/>
              <w:overflowPunct/>
              <w:topLinePunct w:val="0"/>
              <w:autoSpaceDE/>
              <w:autoSpaceDN/>
              <w:bidi w:val="0"/>
              <w:adjustRightInd/>
              <w:snapToGrid/>
              <w:spacing w:line="288" w:lineRule="auto"/>
              <w:jc w:val="center"/>
              <w:rPr>
                <w:rFonts w:hint="eastAsia" w:ascii="宋体" w:hAnsi="宋体" w:eastAsia="宋体" w:cs="宋体"/>
                <w:color w:val="auto"/>
                <w:kern w:val="2"/>
                <w:sz w:val="24"/>
                <w:szCs w:val="24"/>
                <w:vertAlign w:val="baseline"/>
                <w:lang w:val="en-US" w:eastAsia="zh-CN" w:bidi="ar-SA"/>
              </w:rPr>
            </w:pPr>
          </w:p>
        </w:tc>
        <w:tc>
          <w:tcPr>
            <w:tcW w:w="915"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1876"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49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4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24"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4"/>
              <w:spacing w:line="360"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2492" w:type="dxa"/>
            <w:vAlign w:val="center"/>
          </w:tcPr>
          <w:p>
            <w:pPr>
              <w:keepNext w:val="0"/>
              <w:keepLines w:val="0"/>
              <w:pageBreakBefore w:val="0"/>
              <w:kinsoku/>
              <w:wordWrap/>
              <w:overflowPunct/>
              <w:topLinePunct w:val="0"/>
              <w:autoSpaceDE/>
              <w:autoSpaceDN/>
              <w:bidi w:val="0"/>
              <w:adjustRightInd/>
              <w:snapToGrid/>
              <w:spacing w:line="288" w:lineRule="auto"/>
              <w:jc w:val="center"/>
              <w:rPr>
                <w:rFonts w:hint="eastAsia" w:ascii="宋体" w:hAnsi="宋体" w:cs="宋体"/>
                <w:color w:val="auto"/>
                <w:sz w:val="24"/>
                <w:szCs w:val="24"/>
                <w:vertAlign w:val="baseline"/>
                <w:lang w:eastAsia="zh-CN"/>
              </w:rPr>
            </w:pPr>
          </w:p>
        </w:tc>
        <w:tc>
          <w:tcPr>
            <w:tcW w:w="915"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1876" w:type="dxa"/>
            <w:vAlign w:val="center"/>
          </w:tcPr>
          <w:p>
            <w:pPr>
              <w:jc w:val="center"/>
              <w:rPr>
                <w:rFonts w:hint="eastAsia" w:asciiTheme="minorEastAsia" w:hAnsiTheme="minorEastAsia" w:eastAsiaTheme="minorEastAsia" w:cstheme="minorEastAsia"/>
                <w:b/>
                <w:bCs/>
                <w:color w:val="auto"/>
                <w:sz w:val="24"/>
                <w:szCs w:val="24"/>
                <w:highlight w:val="none"/>
              </w:rPr>
            </w:pPr>
          </w:p>
        </w:tc>
        <w:tc>
          <w:tcPr>
            <w:tcW w:w="495" w:type="dxa"/>
            <w:vAlign w:val="center"/>
          </w:tcPr>
          <w:p>
            <w:pPr>
              <w:pStyle w:val="14"/>
              <w:spacing w:line="360" w:lineRule="auto"/>
              <w:jc w:val="center"/>
              <w:rPr>
                <w:rFonts w:hint="default" w:asciiTheme="minorEastAsia" w:hAnsiTheme="minorEastAsia" w:eastAsiaTheme="minorEastAsia" w:cstheme="minorEastAsia"/>
                <w:b w:val="0"/>
                <w:bCs w:val="0"/>
                <w:color w:val="auto"/>
                <w:sz w:val="24"/>
                <w:szCs w:val="24"/>
                <w:highlight w:val="none"/>
                <w:lang w:val="en-US" w:eastAsia="zh-CN"/>
              </w:rPr>
            </w:pPr>
          </w:p>
        </w:tc>
        <w:tc>
          <w:tcPr>
            <w:tcW w:w="49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48"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c>
          <w:tcPr>
            <w:tcW w:w="1124" w:type="dxa"/>
            <w:vAlign w:val="center"/>
          </w:tcPr>
          <w:p>
            <w:pPr>
              <w:pStyle w:val="14"/>
              <w:spacing w:line="360" w:lineRule="auto"/>
              <w:jc w:val="center"/>
              <w:rPr>
                <w:rFonts w:hint="eastAsia" w:asciiTheme="minorEastAsia" w:hAnsiTheme="minorEastAsia" w:eastAsiaTheme="minorEastAsia" w:cstheme="minorEastAsia"/>
                <w:b/>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tcPr>
          <w:p>
            <w:pPr>
              <w:pStyle w:val="14"/>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492"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915" w:type="dxa"/>
            <w:vAlign w:val="center"/>
          </w:tcPr>
          <w:p>
            <w:pPr>
              <w:jc w:val="center"/>
              <w:rPr>
                <w:rFonts w:hint="eastAsia" w:asciiTheme="minorEastAsia" w:hAnsiTheme="minorEastAsia" w:eastAsiaTheme="minorEastAsia" w:cstheme="minorEastAsia"/>
                <w:color w:val="auto"/>
                <w:sz w:val="24"/>
                <w:szCs w:val="24"/>
                <w:highlight w:val="none"/>
              </w:rPr>
            </w:pPr>
          </w:p>
        </w:tc>
        <w:tc>
          <w:tcPr>
            <w:tcW w:w="1876" w:type="dxa"/>
            <w:vAlign w:val="center"/>
          </w:tcPr>
          <w:p>
            <w:pPr>
              <w:jc w:val="center"/>
              <w:rPr>
                <w:rFonts w:hint="eastAsia" w:asciiTheme="minorEastAsia" w:hAnsiTheme="minorEastAsia" w:eastAsiaTheme="minorEastAsia" w:cstheme="minorEastAsia"/>
                <w:color w:val="auto"/>
                <w:sz w:val="24"/>
                <w:szCs w:val="24"/>
                <w:highlight w:val="none"/>
              </w:rPr>
            </w:pPr>
          </w:p>
        </w:tc>
        <w:tc>
          <w:tcPr>
            <w:tcW w:w="495"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498" w:type="dxa"/>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p>
        </w:tc>
        <w:tc>
          <w:tcPr>
            <w:tcW w:w="1148" w:type="dxa"/>
          </w:tcPr>
          <w:p>
            <w:pPr>
              <w:pStyle w:val="14"/>
              <w:spacing w:line="360" w:lineRule="auto"/>
              <w:rPr>
                <w:rFonts w:hint="eastAsia" w:asciiTheme="minorEastAsia" w:hAnsiTheme="minorEastAsia" w:eastAsiaTheme="minorEastAsia" w:cstheme="minorEastAsia"/>
                <w:color w:val="auto"/>
                <w:sz w:val="24"/>
                <w:szCs w:val="24"/>
                <w:highlight w:val="none"/>
              </w:rPr>
            </w:pPr>
          </w:p>
        </w:tc>
        <w:tc>
          <w:tcPr>
            <w:tcW w:w="1124" w:type="dxa"/>
          </w:tcPr>
          <w:p>
            <w:pPr>
              <w:pStyle w:val="14"/>
              <w:spacing w:line="360" w:lineRule="auto"/>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2981" w:type="dxa"/>
            <w:gridSpan w:val="2"/>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总价</w:t>
            </w:r>
          </w:p>
        </w:tc>
        <w:tc>
          <w:tcPr>
            <w:tcW w:w="6056" w:type="dxa"/>
            <w:gridSpan w:val="6"/>
            <w:vAlign w:val="center"/>
          </w:tcPr>
          <w:p>
            <w:pPr>
              <w:pStyle w:val="14"/>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大写：　　　　                元（小写：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5" w:hRule="atLeast"/>
          <w:jc w:val="center"/>
        </w:trPr>
        <w:tc>
          <w:tcPr>
            <w:tcW w:w="9037" w:type="dxa"/>
            <w:gridSpan w:val="8"/>
            <w:vAlign w:val="center"/>
          </w:tcPr>
          <w:p>
            <w:pPr>
              <w:pStyle w:val="14"/>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次报价应包含项目所需全部服务，不得缺漏，是履行合同的最终价格，包括人员的工资福利、保险、保洁用品、服装设备、通讯工具、管理费、税费、利润与本项目相关的其他一切费用等。磋商报价为供应商所能承受的最低、最终报价，供应商不得再要求追加任何费用。</w:t>
            </w:r>
          </w:p>
        </w:tc>
      </w:tr>
    </w:tbl>
    <w:p>
      <w:pPr>
        <w:pStyle w:val="3"/>
        <w:tabs>
          <w:tab w:val="left" w:pos="1965"/>
        </w:tabs>
        <w:rPr>
          <w:color w:val="auto"/>
          <w:highlight w:val="none"/>
        </w:rPr>
      </w:pPr>
    </w:p>
    <w:p>
      <w:pPr>
        <w:pStyle w:val="3"/>
        <w:tabs>
          <w:tab w:val="left" w:pos="1965"/>
        </w:tabs>
        <w:rPr>
          <w:rFonts w:ascii="宋体"/>
          <w:color w:val="auto"/>
          <w:sz w:val="24"/>
          <w:szCs w:val="24"/>
          <w:highlight w:val="none"/>
        </w:rPr>
      </w:pPr>
      <w:r>
        <w:rPr>
          <w:color w:val="auto"/>
          <w:highlight w:val="none"/>
        </w:rPr>
        <w:tab/>
      </w:r>
      <w:r>
        <w:rPr>
          <w:rFonts w:hint="eastAsia"/>
          <w:color w:val="auto"/>
          <w:highlight w:val="none"/>
          <w:lang w:val="en-US" w:eastAsia="zh-CN"/>
        </w:rPr>
        <w:t xml:space="preserve">                      </w:t>
      </w: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供应商全称（公章）：</w:t>
      </w:r>
    </w:p>
    <w:bookmarkEnd w:id="116"/>
    <w:p>
      <w:pPr>
        <w:spacing w:line="360" w:lineRule="auto"/>
        <w:jc w:val="left"/>
        <w:rPr>
          <w:rFonts w:hint="eastAsia" w:ascii="宋体" w:hAnsi="宋体" w:cs="宋体"/>
          <w:b/>
          <w:bCs/>
          <w:color w:val="auto"/>
          <w:sz w:val="24"/>
          <w:szCs w:val="24"/>
          <w:highlight w:val="none"/>
          <w:lang w:val="zh-CN"/>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TimesNewRomanPSMT">
    <w:altName w:val="Times New Roman"/>
    <w:panose1 w:val="00000000000000000000"/>
    <w:charset w:val="00"/>
    <w:family w:val="roma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CS?o｡ﾀ?">
    <w:altName w:val="MS PGothic"/>
    <w:panose1 w:val="00000000000000000000"/>
    <w:charset w:val="80"/>
    <w:family w:val="roman"/>
    <w:pitch w:val="default"/>
    <w:sig w:usb0="00000000" w:usb1="00000000" w:usb2="00000010" w:usb3="00000000" w:csb0="00020000" w:csb1="00000000"/>
  </w:font>
  <w:font w:name="MS PGothic">
    <w:panose1 w:val="020B0600070205080204"/>
    <w:charset w:val="80"/>
    <w:family w:val="auto"/>
    <w:pitch w:val="default"/>
    <w:sig w:usb0="E00002FF" w:usb1="6AC7FDFB" w:usb2="00000012" w:usb3="00000000" w:csb0="4002009F" w:csb1="DFD70000"/>
  </w:font>
  <w:font w:name="Helvetica">
    <w:altName w:val="Arial"/>
    <w:panose1 w:val="020B0604020002020204"/>
    <w:charset w:val="00"/>
    <w:family w:val="swiss"/>
    <w:pitch w:val="default"/>
    <w:sig w:usb0="00000000" w:usb1="00000000" w:usb2="00000008" w:usb3="00000000" w:csb0="000001FF" w:csb1="00000000"/>
  </w:font>
  <w:font w:name="CIDFo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7"/>
                          </w:pPr>
                          <w:r>
                            <w:fldChar w:fldCharType="begin"/>
                          </w:r>
                          <w:r>
                            <w:instrText xml:space="preserve"> PAGE  \* MERGEFORMAT </w:instrText>
                          </w:r>
                          <w:r>
                            <w:fldChar w:fldCharType="separate"/>
                          </w:r>
                          <w:r>
                            <w:t>19</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NJWO7QAAAABQEAAA8AAAAAAAAAAQAgAAAAIgAA&#10;AGRycy9kb3ducmV2LnhtbFBLAQIUABQAAAAIAIdO4kCazfJM1wEAALADAAAOAAAAAAAAAAEAIAAA&#10;AB8BAABkcnMvZTJvRG9jLnhtbFBLBQYAAAAABgAGAFkBAABo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rPr>
        <w:rStyle w:val="33"/>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620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a:effectLst/>
                    </wps:spPr>
                    <wps:txbx>
                      <w:txbxContent>
                        <w:p>
                          <w:pPr>
                            <w:pStyle w:val="17"/>
                          </w:pPr>
                          <w:r>
                            <w:fldChar w:fldCharType="begin"/>
                          </w:r>
                          <w:r>
                            <w:instrText xml:space="preserve"> PAGE  \* MERGEFORMAT </w:instrText>
                          </w:r>
                          <w:r>
                            <w:fldChar w:fldCharType="separate"/>
                          </w:r>
                          <w:r>
                            <w:t>58</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9.15pt;mso-position-horizontal:center;mso-position-horizontal-relative:margin;mso-wrap-style:none;z-index:251661312;mso-width-relative:page;mso-height-relative:page;" filled="f" stroked="f" coordsize="21600,21600"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&#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uNj1nRAAAAAwEAAA8AAAAAAAAAAQAgAAAAIgAAAGRy&#10;cy9kb3ducmV2LnhtbFBLAQIUABQAAAAIAIdO4kArpkT20wEAAKUDAAAOAAAAAAAAAAEAIAAAACAB&#10;AABkcnMvZTJvRG9jLnhtbFBLBQYAAAAABgAGAFkBAABlBQAAAAA=&#10;">
              <v:fill on="f" focussize="0,0"/>
              <v:stroke on="f"/>
              <v:imagedata o:title=""/>
              <o:lock v:ext="edit" aspectratio="f"/>
              <v:textbox inset="0mm,0mm,0mm,0mm" style="mso-fit-shape-to-text:t;">
                <w:txbxContent>
                  <w:p>
                    <w:pPr>
                      <w:pStyle w:val="17"/>
                    </w:pPr>
                    <w:r>
                      <w:fldChar w:fldCharType="begin"/>
                    </w:r>
                    <w:r>
                      <w:instrText xml:space="preserve"> PAGE  \* MERGEFORMAT </w:instrText>
                    </w:r>
                    <w:r>
                      <w:fldChar w:fldCharType="separate"/>
                    </w:r>
                    <w:r>
                      <w:t>58</w:t>
                    </w:r>
                    <w:r>
                      <w:fldChar w:fldCharType="end"/>
                    </w:r>
                  </w:p>
                </w:txbxContent>
              </v:textbox>
            </v:shape>
          </w:pict>
        </mc:Fallback>
      </mc:AlternateContent>
    </w:r>
  </w:p>
  <w:p>
    <w:pPr>
      <w:pStyle w:val="17"/>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99C87"/>
    <w:multiLevelType w:val="singleLevel"/>
    <w:tmpl w:val="91799C87"/>
    <w:lvl w:ilvl="0" w:tentative="0">
      <w:start w:val="1"/>
      <w:numFmt w:val="decimal"/>
      <w:suff w:val="nothing"/>
      <w:lvlText w:val="（%1）"/>
      <w:lvlJc w:val="left"/>
    </w:lvl>
  </w:abstractNum>
  <w:abstractNum w:abstractNumId="1">
    <w:nsid w:val="94F0F9AD"/>
    <w:multiLevelType w:val="singleLevel"/>
    <w:tmpl w:val="94F0F9AD"/>
    <w:lvl w:ilvl="0" w:tentative="0">
      <w:start w:val="1"/>
      <w:numFmt w:val="decimalEnclosedCircleChinese"/>
      <w:suff w:val="nothing"/>
      <w:lvlText w:val="%1　"/>
      <w:lvlJc w:val="left"/>
      <w:pPr>
        <w:ind w:left="0" w:firstLine="400"/>
      </w:pPr>
      <w:rPr>
        <w:rFonts w:hint="eastAsia"/>
      </w:rPr>
    </w:lvl>
  </w:abstractNum>
  <w:abstractNum w:abstractNumId="2">
    <w:nsid w:val="960C84E7"/>
    <w:multiLevelType w:val="singleLevel"/>
    <w:tmpl w:val="960C84E7"/>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3">
    <w:nsid w:val="9E7D436F"/>
    <w:multiLevelType w:val="singleLevel"/>
    <w:tmpl w:val="9E7D436F"/>
    <w:lvl w:ilvl="0" w:tentative="0">
      <w:start w:val="1"/>
      <w:numFmt w:val="chineseCounting"/>
      <w:suff w:val="nothing"/>
      <w:lvlText w:val="%1、"/>
      <w:lvlJc w:val="left"/>
      <w:rPr>
        <w:rFonts w:hint="eastAsia"/>
      </w:rPr>
    </w:lvl>
  </w:abstractNum>
  <w:abstractNum w:abstractNumId="4">
    <w:nsid w:val="A5BD8144"/>
    <w:multiLevelType w:val="singleLevel"/>
    <w:tmpl w:val="A5BD8144"/>
    <w:lvl w:ilvl="0" w:tentative="0">
      <w:start w:val="1"/>
      <w:numFmt w:val="chineseCounting"/>
      <w:suff w:val="nothing"/>
      <w:lvlText w:val="%1、"/>
      <w:lvlJc w:val="left"/>
      <w:pPr>
        <w:ind w:left="0" w:firstLine="420"/>
      </w:pPr>
      <w:rPr>
        <w:rFonts w:hint="eastAsia"/>
      </w:rPr>
    </w:lvl>
  </w:abstractNum>
  <w:abstractNum w:abstractNumId="5">
    <w:nsid w:val="BFE5E7DA"/>
    <w:multiLevelType w:val="singleLevel"/>
    <w:tmpl w:val="BFE5E7DA"/>
    <w:lvl w:ilvl="0" w:tentative="0">
      <w:start w:val="1"/>
      <w:numFmt w:val="decimal"/>
      <w:suff w:val="nothing"/>
      <w:lvlText w:val="%1．"/>
      <w:lvlJc w:val="left"/>
      <w:pPr>
        <w:ind w:left="0" w:firstLine="400"/>
      </w:pPr>
      <w:rPr>
        <w:rFonts w:hint="default"/>
      </w:rPr>
    </w:lvl>
  </w:abstractNum>
  <w:abstractNum w:abstractNumId="6">
    <w:nsid w:val="D5C663A9"/>
    <w:multiLevelType w:val="singleLevel"/>
    <w:tmpl w:val="D5C663A9"/>
    <w:lvl w:ilvl="0" w:tentative="0">
      <w:start w:val="1"/>
      <w:numFmt w:val="decimalEnclosedCircleChinese"/>
      <w:suff w:val="nothing"/>
      <w:lvlText w:val="%1　"/>
      <w:lvlJc w:val="left"/>
      <w:pPr>
        <w:ind w:firstLine="1134"/>
      </w:pPr>
      <w:rPr>
        <w:rFonts w:hint="eastAsia"/>
      </w:rPr>
    </w:lvl>
  </w:abstractNum>
  <w:abstractNum w:abstractNumId="7">
    <w:nsid w:val="E0D90A45"/>
    <w:multiLevelType w:val="singleLevel"/>
    <w:tmpl w:val="E0D90A45"/>
    <w:lvl w:ilvl="0" w:tentative="0">
      <w:start w:val="1"/>
      <w:numFmt w:val="decimal"/>
      <w:lvlText w:val="%1."/>
      <w:lvlJc w:val="left"/>
      <w:pPr>
        <w:tabs>
          <w:tab w:val="left" w:pos="312"/>
        </w:tabs>
      </w:pPr>
    </w:lvl>
  </w:abstractNum>
  <w:abstractNum w:abstractNumId="8">
    <w:nsid w:val="F4396F3A"/>
    <w:multiLevelType w:val="singleLevel"/>
    <w:tmpl w:val="F4396F3A"/>
    <w:lvl w:ilvl="0" w:tentative="0">
      <w:start w:val="2"/>
      <w:numFmt w:val="chineseCounting"/>
      <w:suff w:val="nothing"/>
      <w:lvlText w:val="%1、"/>
      <w:lvlJc w:val="left"/>
      <w:rPr>
        <w:rFonts w:hint="eastAsia"/>
      </w:rPr>
    </w:lvl>
  </w:abstractNum>
  <w:abstractNum w:abstractNumId="9">
    <w:nsid w:val="F8EFB8DC"/>
    <w:multiLevelType w:val="singleLevel"/>
    <w:tmpl w:val="F8EFB8DC"/>
    <w:lvl w:ilvl="0" w:tentative="0">
      <w:start w:val="1"/>
      <w:numFmt w:val="decimalEnclosedCircleChinese"/>
      <w:suff w:val="nothing"/>
      <w:lvlText w:val="%1　"/>
      <w:lvlJc w:val="left"/>
      <w:pPr>
        <w:ind w:left="0" w:firstLine="400"/>
      </w:pPr>
      <w:rPr>
        <w:rFonts w:hint="eastAsia"/>
      </w:rPr>
    </w:lvl>
  </w:abstractNum>
  <w:abstractNum w:abstractNumId="10">
    <w:nsid w:val="FF8E5FC9"/>
    <w:multiLevelType w:val="singleLevel"/>
    <w:tmpl w:val="FF8E5FC9"/>
    <w:lvl w:ilvl="0" w:tentative="0">
      <w:start w:val="1"/>
      <w:numFmt w:val="decimal"/>
      <w:suff w:val="nothing"/>
      <w:lvlText w:val="%1．"/>
      <w:lvlJc w:val="left"/>
      <w:pPr>
        <w:ind w:firstLine="397"/>
      </w:pPr>
      <w:rPr>
        <w:rFonts w:hint="default"/>
      </w:rPr>
    </w:lvl>
  </w:abstractNum>
  <w:abstractNum w:abstractNumId="11">
    <w:nsid w:val="00000005"/>
    <w:multiLevelType w:val="singleLevel"/>
    <w:tmpl w:val="00000005"/>
    <w:lvl w:ilvl="0" w:tentative="0">
      <w:start w:val="1"/>
      <w:numFmt w:val="decimal"/>
      <w:suff w:val="nothing"/>
      <w:lvlText w:val="%1．"/>
      <w:lvlJc w:val="left"/>
      <w:pPr>
        <w:ind w:left="0" w:firstLine="400"/>
      </w:pPr>
      <w:rPr>
        <w:rFonts w:hint="default"/>
      </w:rPr>
    </w:lvl>
  </w:abstractNum>
  <w:abstractNum w:abstractNumId="12">
    <w:nsid w:val="00000007"/>
    <w:multiLevelType w:val="multilevel"/>
    <w:tmpl w:val="00000007"/>
    <w:lvl w:ilvl="0" w:tentative="0">
      <w:start w:val="1"/>
      <w:numFmt w:val="bullet"/>
      <w:pStyle w:val="3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3">
    <w:nsid w:val="00000037"/>
    <w:multiLevelType w:val="singleLevel"/>
    <w:tmpl w:val="00000037"/>
    <w:lvl w:ilvl="0" w:tentative="0">
      <w:start w:val="1"/>
      <w:numFmt w:val="decimal"/>
      <w:suff w:val="nothing"/>
      <w:lvlText w:val="%1．"/>
      <w:lvlJc w:val="left"/>
      <w:pPr>
        <w:ind w:left="0" w:firstLine="400"/>
      </w:pPr>
      <w:rPr>
        <w:rFonts w:hint="default"/>
      </w:rPr>
    </w:lvl>
  </w:abstractNum>
  <w:abstractNum w:abstractNumId="14">
    <w:nsid w:val="057C6353"/>
    <w:multiLevelType w:val="singleLevel"/>
    <w:tmpl w:val="057C6353"/>
    <w:lvl w:ilvl="0" w:tentative="0">
      <w:start w:val="1"/>
      <w:numFmt w:val="chineseCounting"/>
      <w:suff w:val="nothing"/>
      <w:lvlText w:val="%1、"/>
      <w:lvlJc w:val="left"/>
      <w:pPr>
        <w:ind w:left="0" w:firstLine="420"/>
      </w:pPr>
      <w:rPr>
        <w:rFonts w:hint="eastAsia"/>
        <w:b/>
        <w:bCs/>
      </w:rPr>
    </w:lvl>
  </w:abstractNum>
  <w:abstractNum w:abstractNumId="15">
    <w:nsid w:val="0598AD6B"/>
    <w:multiLevelType w:val="singleLevel"/>
    <w:tmpl w:val="0598AD6B"/>
    <w:lvl w:ilvl="0" w:tentative="0">
      <w:start w:val="1"/>
      <w:numFmt w:val="decimal"/>
      <w:suff w:val="nothing"/>
      <w:lvlText w:val="%1．"/>
      <w:lvlJc w:val="left"/>
      <w:pPr>
        <w:ind w:left="0" w:firstLine="400"/>
      </w:pPr>
      <w:rPr>
        <w:rFonts w:hint="default"/>
      </w:rPr>
    </w:lvl>
  </w:abstractNum>
  <w:abstractNum w:abstractNumId="16">
    <w:nsid w:val="0AAB4FCB"/>
    <w:multiLevelType w:val="singleLevel"/>
    <w:tmpl w:val="0AAB4FCB"/>
    <w:lvl w:ilvl="0" w:tentative="0">
      <w:start w:val="1"/>
      <w:numFmt w:val="decimal"/>
      <w:suff w:val="nothing"/>
      <w:lvlText w:val="（%1）"/>
      <w:lvlJc w:val="left"/>
      <w:rPr>
        <w:b w:val="0"/>
      </w:rPr>
    </w:lvl>
  </w:abstractNum>
  <w:abstractNum w:abstractNumId="17">
    <w:nsid w:val="12F353C5"/>
    <w:multiLevelType w:val="singleLevel"/>
    <w:tmpl w:val="12F353C5"/>
    <w:lvl w:ilvl="0" w:tentative="0">
      <w:start w:val="1"/>
      <w:numFmt w:val="chineseCounting"/>
      <w:suff w:val="nothing"/>
      <w:lvlText w:val="%1、"/>
      <w:lvlJc w:val="left"/>
      <w:rPr>
        <w:rFonts w:hint="eastAsia"/>
      </w:rPr>
    </w:lvl>
  </w:abstractNum>
  <w:abstractNum w:abstractNumId="18">
    <w:nsid w:val="139B6DF6"/>
    <w:multiLevelType w:val="singleLevel"/>
    <w:tmpl w:val="139B6DF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19">
    <w:nsid w:val="1DBCF645"/>
    <w:multiLevelType w:val="singleLevel"/>
    <w:tmpl w:val="1DBCF645"/>
    <w:lvl w:ilvl="0" w:tentative="0">
      <w:start w:val="1"/>
      <w:numFmt w:val="decimalEnclosedCircleChinese"/>
      <w:suff w:val="nothing"/>
      <w:lvlText w:val="%1　"/>
      <w:lvlJc w:val="left"/>
      <w:pPr>
        <w:ind w:firstLine="397"/>
      </w:pPr>
      <w:rPr>
        <w:rFonts w:hint="eastAsia"/>
      </w:rPr>
    </w:lvl>
  </w:abstractNum>
  <w:abstractNum w:abstractNumId="20">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21">
    <w:nsid w:val="25F33ADD"/>
    <w:multiLevelType w:val="singleLevel"/>
    <w:tmpl w:val="25F33ADD"/>
    <w:lvl w:ilvl="0" w:tentative="0">
      <w:start w:val="1"/>
      <w:numFmt w:val="decimalEnclosedCircleChinese"/>
      <w:suff w:val="nothing"/>
      <w:lvlText w:val="%1　"/>
      <w:lvlJc w:val="left"/>
      <w:pPr>
        <w:ind w:firstLine="1134"/>
      </w:pPr>
      <w:rPr>
        <w:rFonts w:hint="eastAsia"/>
      </w:rPr>
    </w:lvl>
  </w:abstractNum>
  <w:abstractNum w:abstractNumId="22">
    <w:nsid w:val="2B77E1A4"/>
    <w:multiLevelType w:val="singleLevel"/>
    <w:tmpl w:val="2B77E1A4"/>
    <w:lvl w:ilvl="0" w:tentative="0">
      <w:start w:val="1"/>
      <w:numFmt w:val="decimal"/>
      <w:suff w:val="nothing"/>
      <w:lvlText w:val="%1．"/>
      <w:lvlJc w:val="left"/>
      <w:pPr>
        <w:ind w:left="0" w:firstLine="400"/>
      </w:pPr>
      <w:rPr>
        <w:rFonts w:hint="default"/>
      </w:rPr>
    </w:lvl>
  </w:abstractNum>
  <w:abstractNum w:abstractNumId="23">
    <w:nsid w:val="31213A5A"/>
    <w:multiLevelType w:val="singleLevel"/>
    <w:tmpl w:val="31213A5A"/>
    <w:lvl w:ilvl="0" w:tentative="0">
      <w:start w:val="4"/>
      <w:numFmt w:val="chineseCounting"/>
      <w:suff w:val="nothing"/>
      <w:lvlText w:val="%1、"/>
      <w:lvlJc w:val="left"/>
      <w:rPr>
        <w:rFonts w:hint="eastAsia"/>
      </w:rPr>
    </w:lvl>
  </w:abstractNum>
  <w:abstractNum w:abstractNumId="24">
    <w:nsid w:val="396BDA90"/>
    <w:multiLevelType w:val="singleLevel"/>
    <w:tmpl w:val="396BDA90"/>
    <w:lvl w:ilvl="0" w:tentative="0">
      <w:start w:val="1"/>
      <w:numFmt w:val="decimal"/>
      <w:suff w:val="nothing"/>
      <w:lvlText w:val="%1、"/>
      <w:lvlJc w:val="left"/>
    </w:lvl>
  </w:abstractNum>
  <w:abstractNum w:abstractNumId="25">
    <w:nsid w:val="3BD6E39C"/>
    <w:multiLevelType w:val="singleLevel"/>
    <w:tmpl w:val="3BD6E39C"/>
    <w:lvl w:ilvl="0" w:tentative="0">
      <w:start w:val="1"/>
      <w:numFmt w:val="chineseCounting"/>
      <w:suff w:val="nothing"/>
      <w:lvlText w:val="%1、"/>
      <w:lvlJc w:val="left"/>
      <w:pPr>
        <w:ind w:left="0" w:firstLine="397"/>
      </w:pPr>
      <w:rPr>
        <w:rFonts w:hint="eastAsia"/>
      </w:rPr>
    </w:lvl>
  </w:abstractNum>
  <w:abstractNum w:abstractNumId="26">
    <w:nsid w:val="44893A8C"/>
    <w:multiLevelType w:val="singleLevel"/>
    <w:tmpl w:val="44893A8C"/>
    <w:lvl w:ilvl="0" w:tentative="0">
      <w:start w:val="3"/>
      <w:numFmt w:val="chineseCounting"/>
      <w:suff w:val="space"/>
      <w:lvlText w:val="第%1部分"/>
      <w:lvlJc w:val="left"/>
      <w:rPr>
        <w:rFonts w:hint="eastAsia"/>
      </w:rPr>
    </w:lvl>
  </w:abstractNum>
  <w:abstractNum w:abstractNumId="27">
    <w:nsid w:val="466C6E1F"/>
    <w:multiLevelType w:val="multilevel"/>
    <w:tmpl w:val="466C6E1F"/>
    <w:lvl w:ilvl="0" w:tentative="0">
      <w:start w:val="1"/>
      <w:numFmt w:val="upperLetter"/>
      <w:pStyle w:val="5"/>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28">
    <w:nsid w:val="4D4A2151"/>
    <w:multiLevelType w:val="singleLevel"/>
    <w:tmpl w:val="4D4A2151"/>
    <w:lvl w:ilvl="0" w:tentative="0">
      <w:start w:val="1"/>
      <w:numFmt w:val="decimal"/>
      <w:suff w:val="nothing"/>
      <w:lvlText w:val="%1．"/>
      <w:lvlJc w:val="left"/>
      <w:pPr>
        <w:ind w:firstLine="397"/>
      </w:pPr>
      <w:rPr>
        <w:rFonts w:hint="default"/>
      </w:rPr>
    </w:lvl>
  </w:abstractNum>
  <w:abstractNum w:abstractNumId="29">
    <w:nsid w:val="62705028"/>
    <w:multiLevelType w:val="singleLevel"/>
    <w:tmpl w:val="62705028"/>
    <w:lvl w:ilvl="0" w:tentative="0">
      <w:start w:val="1"/>
      <w:numFmt w:val="decimalEnclosedCircleChinese"/>
      <w:suff w:val="nothing"/>
      <w:lvlText w:val="%1　"/>
      <w:lvlJc w:val="left"/>
      <w:pPr>
        <w:ind w:firstLine="397"/>
      </w:pPr>
      <w:rPr>
        <w:rFonts w:hint="eastAsia"/>
      </w:rPr>
    </w:lvl>
  </w:abstractNum>
  <w:abstractNum w:abstractNumId="30">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27"/>
  </w:num>
  <w:num w:numId="2">
    <w:abstractNumId w:val="12"/>
  </w:num>
  <w:num w:numId="3">
    <w:abstractNumId w:val="10"/>
  </w:num>
  <w:num w:numId="4">
    <w:abstractNumId w:val="28"/>
  </w:num>
  <w:num w:numId="5">
    <w:abstractNumId w:val="19"/>
  </w:num>
  <w:num w:numId="6">
    <w:abstractNumId w:val="30"/>
  </w:num>
  <w:num w:numId="7">
    <w:abstractNumId w:val="20"/>
  </w:num>
  <w:num w:numId="8">
    <w:abstractNumId w:val="29"/>
  </w:num>
  <w:num w:numId="9">
    <w:abstractNumId w:val="24"/>
  </w:num>
  <w:num w:numId="10">
    <w:abstractNumId w:val="17"/>
  </w:num>
  <w:num w:numId="11">
    <w:abstractNumId w:val="18"/>
  </w:num>
  <w:num w:numId="12">
    <w:abstractNumId w:val="1"/>
  </w:num>
  <w:num w:numId="13">
    <w:abstractNumId w:val="9"/>
  </w:num>
  <w:num w:numId="14">
    <w:abstractNumId w:val="6"/>
  </w:num>
  <w:num w:numId="15">
    <w:abstractNumId w:val="2"/>
  </w:num>
  <w:num w:numId="16">
    <w:abstractNumId w:val="21"/>
  </w:num>
  <w:num w:numId="17">
    <w:abstractNumId w:val="26"/>
  </w:num>
  <w:num w:numId="18">
    <w:abstractNumId w:val="4"/>
  </w:num>
  <w:num w:numId="19">
    <w:abstractNumId w:val="25"/>
  </w:num>
  <w:num w:numId="20">
    <w:abstractNumId w:val="16"/>
  </w:num>
  <w:num w:numId="21">
    <w:abstractNumId w:val="3"/>
  </w:num>
  <w:num w:numId="22">
    <w:abstractNumId w:val="23"/>
  </w:num>
  <w:num w:numId="23">
    <w:abstractNumId w:val="8"/>
  </w:num>
  <w:num w:numId="24">
    <w:abstractNumId w:val="14"/>
  </w:num>
  <w:num w:numId="25">
    <w:abstractNumId w:val="15"/>
  </w:num>
  <w:num w:numId="26">
    <w:abstractNumId w:val="22"/>
  </w:num>
  <w:num w:numId="27">
    <w:abstractNumId w:val="5"/>
  </w:num>
  <w:num w:numId="28">
    <w:abstractNumId w:val="13"/>
  </w:num>
  <w:num w:numId="29">
    <w:abstractNumId w:val="11"/>
  </w:num>
  <w:num w:numId="30">
    <w:abstractNumId w:val="7"/>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1YWU2ZTk2MGU1NDNlZGY5MzE0NzM2ODJlNDA4NTkifQ=="/>
  </w:docVars>
  <w:rsids>
    <w:rsidRoot w:val="5AA412FE"/>
    <w:rsid w:val="000016F3"/>
    <w:rsid w:val="000023F9"/>
    <w:rsid w:val="00003EF7"/>
    <w:rsid w:val="000122B4"/>
    <w:rsid w:val="00020034"/>
    <w:rsid w:val="00023C45"/>
    <w:rsid w:val="00027C5B"/>
    <w:rsid w:val="00043EEC"/>
    <w:rsid w:val="00046957"/>
    <w:rsid w:val="0005045A"/>
    <w:rsid w:val="00084F39"/>
    <w:rsid w:val="00085ECB"/>
    <w:rsid w:val="000B3BC7"/>
    <w:rsid w:val="000C287F"/>
    <w:rsid w:val="000C3872"/>
    <w:rsid w:val="000D30BB"/>
    <w:rsid w:val="000F06EE"/>
    <w:rsid w:val="001039CA"/>
    <w:rsid w:val="00112242"/>
    <w:rsid w:val="0012684B"/>
    <w:rsid w:val="001339E2"/>
    <w:rsid w:val="001514AE"/>
    <w:rsid w:val="001521A7"/>
    <w:rsid w:val="00161E6F"/>
    <w:rsid w:val="00170927"/>
    <w:rsid w:val="001C7972"/>
    <w:rsid w:val="00221416"/>
    <w:rsid w:val="00223E24"/>
    <w:rsid w:val="00234866"/>
    <w:rsid w:val="00234D57"/>
    <w:rsid w:val="00255FD2"/>
    <w:rsid w:val="00264C08"/>
    <w:rsid w:val="0027178A"/>
    <w:rsid w:val="00273F1A"/>
    <w:rsid w:val="0027526D"/>
    <w:rsid w:val="00284949"/>
    <w:rsid w:val="00297FF4"/>
    <w:rsid w:val="002C487B"/>
    <w:rsid w:val="002D3BB8"/>
    <w:rsid w:val="002F6EC0"/>
    <w:rsid w:val="00302915"/>
    <w:rsid w:val="0030570F"/>
    <w:rsid w:val="0031138A"/>
    <w:rsid w:val="003470DA"/>
    <w:rsid w:val="00375530"/>
    <w:rsid w:val="00377674"/>
    <w:rsid w:val="003914B1"/>
    <w:rsid w:val="00392B4C"/>
    <w:rsid w:val="00393BC9"/>
    <w:rsid w:val="00393C1C"/>
    <w:rsid w:val="003A0D36"/>
    <w:rsid w:val="003A2883"/>
    <w:rsid w:val="003D07BA"/>
    <w:rsid w:val="0040061B"/>
    <w:rsid w:val="00402FF9"/>
    <w:rsid w:val="00403685"/>
    <w:rsid w:val="004047AC"/>
    <w:rsid w:val="00405339"/>
    <w:rsid w:val="004113C5"/>
    <w:rsid w:val="00424708"/>
    <w:rsid w:val="004277E5"/>
    <w:rsid w:val="0043140B"/>
    <w:rsid w:val="00433A31"/>
    <w:rsid w:val="00434E53"/>
    <w:rsid w:val="00462829"/>
    <w:rsid w:val="00462D7E"/>
    <w:rsid w:val="00463C96"/>
    <w:rsid w:val="00476057"/>
    <w:rsid w:val="0048104F"/>
    <w:rsid w:val="00485852"/>
    <w:rsid w:val="00486150"/>
    <w:rsid w:val="004861B0"/>
    <w:rsid w:val="00486E14"/>
    <w:rsid w:val="00497B50"/>
    <w:rsid w:val="004A7DA8"/>
    <w:rsid w:val="004E63AF"/>
    <w:rsid w:val="004E7DB7"/>
    <w:rsid w:val="0050158C"/>
    <w:rsid w:val="00542925"/>
    <w:rsid w:val="005456AD"/>
    <w:rsid w:val="00550AE1"/>
    <w:rsid w:val="005617C4"/>
    <w:rsid w:val="0057288D"/>
    <w:rsid w:val="005747A4"/>
    <w:rsid w:val="0057775B"/>
    <w:rsid w:val="005F4C64"/>
    <w:rsid w:val="00601069"/>
    <w:rsid w:val="00603A33"/>
    <w:rsid w:val="0060407F"/>
    <w:rsid w:val="00624CA0"/>
    <w:rsid w:val="0064613C"/>
    <w:rsid w:val="006545B6"/>
    <w:rsid w:val="006803A0"/>
    <w:rsid w:val="006B56AA"/>
    <w:rsid w:val="006D4031"/>
    <w:rsid w:val="006E3901"/>
    <w:rsid w:val="006E4D94"/>
    <w:rsid w:val="006E5F17"/>
    <w:rsid w:val="006E7DD6"/>
    <w:rsid w:val="00701A10"/>
    <w:rsid w:val="00726B0B"/>
    <w:rsid w:val="00741B88"/>
    <w:rsid w:val="0074647B"/>
    <w:rsid w:val="00761CC5"/>
    <w:rsid w:val="007675AE"/>
    <w:rsid w:val="007C1988"/>
    <w:rsid w:val="007C36F2"/>
    <w:rsid w:val="007D1674"/>
    <w:rsid w:val="007F23B1"/>
    <w:rsid w:val="007F6163"/>
    <w:rsid w:val="00804A32"/>
    <w:rsid w:val="00816086"/>
    <w:rsid w:val="0083513B"/>
    <w:rsid w:val="00846EE7"/>
    <w:rsid w:val="008638CD"/>
    <w:rsid w:val="008651FF"/>
    <w:rsid w:val="008A2209"/>
    <w:rsid w:val="008B2FE6"/>
    <w:rsid w:val="008C2439"/>
    <w:rsid w:val="008D53B1"/>
    <w:rsid w:val="008E3963"/>
    <w:rsid w:val="00913BA9"/>
    <w:rsid w:val="00913DF5"/>
    <w:rsid w:val="00922646"/>
    <w:rsid w:val="009241BF"/>
    <w:rsid w:val="00945D04"/>
    <w:rsid w:val="00960934"/>
    <w:rsid w:val="00992B51"/>
    <w:rsid w:val="009A6381"/>
    <w:rsid w:val="009A687F"/>
    <w:rsid w:val="009B5145"/>
    <w:rsid w:val="009B698E"/>
    <w:rsid w:val="009C14AC"/>
    <w:rsid w:val="009E0C00"/>
    <w:rsid w:val="00A06FE3"/>
    <w:rsid w:val="00A254C1"/>
    <w:rsid w:val="00A5469A"/>
    <w:rsid w:val="00A60C7C"/>
    <w:rsid w:val="00A82FE1"/>
    <w:rsid w:val="00A832EF"/>
    <w:rsid w:val="00AC176A"/>
    <w:rsid w:val="00AC415C"/>
    <w:rsid w:val="00AC51A3"/>
    <w:rsid w:val="00AE721D"/>
    <w:rsid w:val="00AF0608"/>
    <w:rsid w:val="00AF40FC"/>
    <w:rsid w:val="00AF7CF9"/>
    <w:rsid w:val="00B007B7"/>
    <w:rsid w:val="00B043F4"/>
    <w:rsid w:val="00B1386B"/>
    <w:rsid w:val="00B1531C"/>
    <w:rsid w:val="00B26DD6"/>
    <w:rsid w:val="00B34795"/>
    <w:rsid w:val="00B45AAD"/>
    <w:rsid w:val="00B47103"/>
    <w:rsid w:val="00B574D4"/>
    <w:rsid w:val="00B616A8"/>
    <w:rsid w:val="00B631F1"/>
    <w:rsid w:val="00B651EF"/>
    <w:rsid w:val="00B70E65"/>
    <w:rsid w:val="00B7632C"/>
    <w:rsid w:val="00BC25F6"/>
    <w:rsid w:val="00BC554A"/>
    <w:rsid w:val="00BD53A4"/>
    <w:rsid w:val="00C03AE4"/>
    <w:rsid w:val="00C0415D"/>
    <w:rsid w:val="00C144DF"/>
    <w:rsid w:val="00C15659"/>
    <w:rsid w:val="00C32FC8"/>
    <w:rsid w:val="00C4588E"/>
    <w:rsid w:val="00C46A85"/>
    <w:rsid w:val="00C64BA7"/>
    <w:rsid w:val="00C70180"/>
    <w:rsid w:val="00C755F3"/>
    <w:rsid w:val="00C93598"/>
    <w:rsid w:val="00C94384"/>
    <w:rsid w:val="00C97640"/>
    <w:rsid w:val="00CA29A3"/>
    <w:rsid w:val="00CA75C3"/>
    <w:rsid w:val="00CB58F4"/>
    <w:rsid w:val="00CB75F1"/>
    <w:rsid w:val="00CC3A61"/>
    <w:rsid w:val="00CD1E65"/>
    <w:rsid w:val="00CD31BD"/>
    <w:rsid w:val="00CD606F"/>
    <w:rsid w:val="00CE2482"/>
    <w:rsid w:val="00CF226E"/>
    <w:rsid w:val="00CF62E0"/>
    <w:rsid w:val="00D12E9A"/>
    <w:rsid w:val="00D208F6"/>
    <w:rsid w:val="00D33839"/>
    <w:rsid w:val="00D40761"/>
    <w:rsid w:val="00D46536"/>
    <w:rsid w:val="00D5715C"/>
    <w:rsid w:val="00D64C89"/>
    <w:rsid w:val="00D73BB8"/>
    <w:rsid w:val="00D84927"/>
    <w:rsid w:val="00D84F46"/>
    <w:rsid w:val="00D92191"/>
    <w:rsid w:val="00DB44DD"/>
    <w:rsid w:val="00DB5952"/>
    <w:rsid w:val="00DB66E9"/>
    <w:rsid w:val="00DD3B00"/>
    <w:rsid w:val="00DE0951"/>
    <w:rsid w:val="00DE7CF8"/>
    <w:rsid w:val="00E07553"/>
    <w:rsid w:val="00E109DA"/>
    <w:rsid w:val="00E2569F"/>
    <w:rsid w:val="00E30080"/>
    <w:rsid w:val="00E43F5F"/>
    <w:rsid w:val="00E53562"/>
    <w:rsid w:val="00E666D2"/>
    <w:rsid w:val="00EC2A8A"/>
    <w:rsid w:val="00F37030"/>
    <w:rsid w:val="00F40A50"/>
    <w:rsid w:val="00F47432"/>
    <w:rsid w:val="00F66202"/>
    <w:rsid w:val="00F673E5"/>
    <w:rsid w:val="00F826D3"/>
    <w:rsid w:val="00F84387"/>
    <w:rsid w:val="00FB2B88"/>
    <w:rsid w:val="00FD3C5B"/>
    <w:rsid w:val="00FD77B5"/>
    <w:rsid w:val="01052C2F"/>
    <w:rsid w:val="010D15DE"/>
    <w:rsid w:val="0149271B"/>
    <w:rsid w:val="01721769"/>
    <w:rsid w:val="01BE5DEA"/>
    <w:rsid w:val="02710CE9"/>
    <w:rsid w:val="02D80132"/>
    <w:rsid w:val="02FB0AA9"/>
    <w:rsid w:val="02FB1EF4"/>
    <w:rsid w:val="031F33BA"/>
    <w:rsid w:val="03DB240E"/>
    <w:rsid w:val="03DB7A13"/>
    <w:rsid w:val="044134E4"/>
    <w:rsid w:val="04EB5EC8"/>
    <w:rsid w:val="04F76A9A"/>
    <w:rsid w:val="057832C8"/>
    <w:rsid w:val="05E77161"/>
    <w:rsid w:val="06082700"/>
    <w:rsid w:val="06685FD6"/>
    <w:rsid w:val="06823672"/>
    <w:rsid w:val="068F128E"/>
    <w:rsid w:val="075524D7"/>
    <w:rsid w:val="09814B3B"/>
    <w:rsid w:val="09A27D61"/>
    <w:rsid w:val="09F96047"/>
    <w:rsid w:val="0A7A442C"/>
    <w:rsid w:val="0A7A58B9"/>
    <w:rsid w:val="0AA25A34"/>
    <w:rsid w:val="0B4A624A"/>
    <w:rsid w:val="0B9A00C8"/>
    <w:rsid w:val="0BBC051D"/>
    <w:rsid w:val="0C6653AE"/>
    <w:rsid w:val="0C985BD7"/>
    <w:rsid w:val="0CB10488"/>
    <w:rsid w:val="0D295948"/>
    <w:rsid w:val="0E296B84"/>
    <w:rsid w:val="0E2D1637"/>
    <w:rsid w:val="0F9E5390"/>
    <w:rsid w:val="101D0522"/>
    <w:rsid w:val="10234BA2"/>
    <w:rsid w:val="104145F9"/>
    <w:rsid w:val="10B64C1C"/>
    <w:rsid w:val="10BA6CED"/>
    <w:rsid w:val="113C27FB"/>
    <w:rsid w:val="11AF1066"/>
    <w:rsid w:val="11CF6577"/>
    <w:rsid w:val="11D57014"/>
    <w:rsid w:val="11EF074D"/>
    <w:rsid w:val="12031145"/>
    <w:rsid w:val="127437DF"/>
    <w:rsid w:val="129F37E3"/>
    <w:rsid w:val="12E30368"/>
    <w:rsid w:val="12FC45DD"/>
    <w:rsid w:val="13495BED"/>
    <w:rsid w:val="13A15D0B"/>
    <w:rsid w:val="148059C2"/>
    <w:rsid w:val="15011CEA"/>
    <w:rsid w:val="15570601"/>
    <w:rsid w:val="155D552F"/>
    <w:rsid w:val="15703332"/>
    <w:rsid w:val="157D7686"/>
    <w:rsid w:val="15830AE2"/>
    <w:rsid w:val="15A07E8D"/>
    <w:rsid w:val="15BC6282"/>
    <w:rsid w:val="1648774C"/>
    <w:rsid w:val="16EB43B2"/>
    <w:rsid w:val="16F84267"/>
    <w:rsid w:val="17033CFE"/>
    <w:rsid w:val="17FC6FC7"/>
    <w:rsid w:val="180A7E69"/>
    <w:rsid w:val="19061AA7"/>
    <w:rsid w:val="190E4D85"/>
    <w:rsid w:val="19996254"/>
    <w:rsid w:val="19F86049"/>
    <w:rsid w:val="1A621DE4"/>
    <w:rsid w:val="1A6D3E6A"/>
    <w:rsid w:val="1A9E0B86"/>
    <w:rsid w:val="1ABB06B8"/>
    <w:rsid w:val="1B155261"/>
    <w:rsid w:val="1B241C20"/>
    <w:rsid w:val="1B4A7538"/>
    <w:rsid w:val="1BB936AC"/>
    <w:rsid w:val="1BDB27A5"/>
    <w:rsid w:val="1BED3814"/>
    <w:rsid w:val="1CB92C23"/>
    <w:rsid w:val="1CC874BD"/>
    <w:rsid w:val="1CED2400"/>
    <w:rsid w:val="1CFF0A9F"/>
    <w:rsid w:val="1D377FD0"/>
    <w:rsid w:val="1D3C5874"/>
    <w:rsid w:val="1DC74A1D"/>
    <w:rsid w:val="1E157011"/>
    <w:rsid w:val="1E8C459E"/>
    <w:rsid w:val="1E934307"/>
    <w:rsid w:val="1E987E0F"/>
    <w:rsid w:val="1EDA1EFB"/>
    <w:rsid w:val="1F2B0346"/>
    <w:rsid w:val="1F431821"/>
    <w:rsid w:val="1F823622"/>
    <w:rsid w:val="1F890C4B"/>
    <w:rsid w:val="1FB500F7"/>
    <w:rsid w:val="1FDA3069"/>
    <w:rsid w:val="205B73C3"/>
    <w:rsid w:val="20D34487"/>
    <w:rsid w:val="20EB4820"/>
    <w:rsid w:val="215A3622"/>
    <w:rsid w:val="219416B8"/>
    <w:rsid w:val="21FF3D3B"/>
    <w:rsid w:val="2231339B"/>
    <w:rsid w:val="22514430"/>
    <w:rsid w:val="22B46BAD"/>
    <w:rsid w:val="22D66067"/>
    <w:rsid w:val="22D7095E"/>
    <w:rsid w:val="230764C7"/>
    <w:rsid w:val="234B0952"/>
    <w:rsid w:val="237E1C4B"/>
    <w:rsid w:val="23A07E81"/>
    <w:rsid w:val="23B07249"/>
    <w:rsid w:val="23E23038"/>
    <w:rsid w:val="24320767"/>
    <w:rsid w:val="248E2E3A"/>
    <w:rsid w:val="249921EF"/>
    <w:rsid w:val="24E5549D"/>
    <w:rsid w:val="24F21DAE"/>
    <w:rsid w:val="263573D3"/>
    <w:rsid w:val="26451EEA"/>
    <w:rsid w:val="26704F2E"/>
    <w:rsid w:val="26CB60BD"/>
    <w:rsid w:val="272543FE"/>
    <w:rsid w:val="27272C9F"/>
    <w:rsid w:val="27860FFF"/>
    <w:rsid w:val="27DC3878"/>
    <w:rsid w:val="28C62F56"/>
    <w:rsid w:val="28DA203A"/>
    <w:rsid w:val="28F0407A"/>
    <w:rsid w:val="291A79D3"/>
    <w:rsid w:val="291A7D32"/>
    <w:rsid w:val="29655706"/>
    <w:rsid w:val="29785B88"/>
    <w:rsid w:val="29837904"/>
    <w:rsid w:val="29B517BC"/>
    <w:rsid w:val="2AB94A57"/>
    <w:rsid w:val="2AD17C4D"/>
    <w:rsid w:val="2BBB3F1C"/>
    <w:rsid w:val="2BD035EC"/>
    <w:rsid w:val="2BF7A349"/>
    <w:rsid w:val="2C2B380D"/>
    <w:rsid w:val="2C902017"/>
    <w:rsid w:val="2D346E5C"/>
    <w:rsid w:val="2D8B0D9B"/>
    <w:rsid w:val="2E0A6195"/>
    <w:rsid w:val="2E1A37CE"/>
    <w:rsid w:val="2E664953"/>
    <w:rsid w:val="2EC94FE8"/>
    <w:rsid w:val="2EF11A34"/>
    <w:rsid w:val="2FAE5FF0"/>
    <w:rsid w:val="2FD1771E"/>
    <w:rsid w:val="30F0386D"/>
    <w:rsid w:val="30FB7A19"/>
    <w:rsid w:val="310261A7"/>
    <w:rsid w:val="318D0B53"/>
    <w:rsid w:val="3200303F"/>
    <w:rsid w:val="323641B4"/>
    <w:rsid w:val="325718D8"/>
    <w:rsid w:val="32763CAE"/>
    <w:rsid w:val="32A75185"/>
    <w:rsid w:val="33340B4D"/>
    <w:rsid w:val="33407DC8"/>
    <w:rsid w:val="335F41BA"/>
    <w:rsid w:val="33BA34B0"/>
    <w:rsid w:val="34367DA9"/>
    <w:rsid w:val="344A4A0F"/>
    <w:rsid w:val="3477488D"/>
    <w:rsid w:val="349413EA"/>
    <w:rsid w:val="34B33411"/>
    <w:rsid w:val="34B41EFE"/>
    <w:rsid w:val="34C54BE3"/>
    <w:rsid w:val="35516EEC"/>
    <w:rsid w:val="356815AA"/>
    <w:rsid w:val="364E29EA"/>
    <w:rsid w:val="367C4935"/>
    <w:rsid w:val="368F17F0"/>
    <w:rsid w:val="36CE34E8"/>
    <w:rsid w:val="37020770"/>
    <w:rsid w:val="37B838EA"/>
    <w:rsid w:val="38800A94"/>
    <w:rsid w:val="388A382F"/>
    <w:rsid w:val="38C12A5F"/>
    <w:rsid w:val="38EC3C14"/>
    <w:rsid w:val="38F7490F"/>
    <w:rsid w:val="3904514B"/>
    <w:rsid w:val="39352CB6"/>
    <w:rsid w:val="39FC282B"/>
    <w:rsid w:val="3A164E28"/>
    <w:rsid w:val="3AB44C9D"/>
    <w:rsid w:val="3B07518F"/>
    <w:rsid w:val="3B1064BD"/>
    <w:rsid w:val="3B2C33D8"/>
    <w:rsid w:val="3B7D5779"/>
    <w:rsid w:val="3BE04637"/>
    <w:rsid w:val="3C191B07"/>
    <w:rsid w:val="3C8E3EEE"/>
    <w:rsid w:val="3CB768E7"/>
    <w:rsid w:val="3CFC3762"/>
    <w:rsid w:val="3D235915"/>
    <w:rsid w:val="3D390470"/>
    <w:rsid w:val="3DCE50EF"/>
    <w:rsid w:val="3E1918E3"/>
    <w:rsid w:val="3E3759DF"/>
    <w:rsid w:val="3E562874"/>
    <w:rsid w:val="3E5F76A7"/>
    <w:rsid w:val="3E98229E"/>
    <w:rsid w:val="3F894898"/>
    <w:rsid w:val="40E80A95"/>
    <w:rsid w:val="410D0E2C"/>
    <w:rsid w:val="41131941"/>
    <w:rsid w:val="41431AF4"/>
    <w:rsid w:val="41C06677"/>
    <w:rsid w:val="41C50CBF"/>
    <w:rsid w:val="41E41EB2"/>
    <w:rsid w:val="42234900"/>
    <w:rsid w:val="42310D45"/>
    <w:rsid w:val="428651E5"/>
    <w:rsid w:val="42914373"/>
    <w:rsid w:val="4297507F"/>
    <w:rsid w:val="42A44E8B"/>
    <w:rsid w:val="42A967D2"/>
    <w:rsid w:val="43495ACF"/>
    <w:rsid w:val="436C497E"/>
    <w:rsid w:val="43922E81"/>
    <w:rsid w:val="43A55671"/>
    <w:rsid w:val="43B109C9"/>
    <w:rsid w:val="43C139F5"/>
    <w:rsid w:val="43F54CF5"/>
    <w:rsid w:val="43FA21E7"/>
    <w:rsid w:val="44150D3C"/>
    <w:rsid w:val="441A2678"/>
    <w:rsid w:val="445157F9"/>
    <w:rsid w:val="448C0DBC"/>
    <w:rsid w:val="448D6A38"/>
    <w:rsid w:val="44B22E48"/>
    <w:rsid w:val="44B82F3B"/>
    <w:rsid w:val="456256C8"/>
    <w:rsid w:val="45B34E08"/>
    <w:rsid w:val="45D77D33"/>
    <w:rsid w:val="45EF61BA"/>
    <w:rsid w:val="46562959"/>
    <w:rsid w:val="466734BB"/>
    <w:rsid w:val="467F690A"/>
    <w:rsid w:val="46B85F59"/>
    <w:rsid w:val="46BA49E8"/>
    <w:rsid w:val="46DC3CBA"/>
    <w:rsid w:val="47EF50CB"/>
    <w:rsid w:val="48621071"/>
    <w:rsid w:val="489A4CD9"/>
    <w:rsid w:val="492D7C31"/>
    <w:rsid w:val="498B48F2"/>
    <w:rsid w:val="499D0869"/>
    <w:rsid w:val="49A50688"/>
    <w:rsid w:val="49C134CC"/>
    <w:rsid w:val="4A195057"/>
    <w:rsid w:val="4A396CAF"/>
    <w:rsid w:val="4A8C7948"/>
    <w:rsid w:val="4AD245F0"/>
    <w:rsid w:val="4B5C045F"/>
    <w:rsid w:val="4BE44EED"/>
    <w:rsid w:val="4C347AA3"/>
    <w:rsid w:val="4C720088"/>
    <w:rsid w:val="4CDE39A2"/>
    <w:rsid w:val="4D14513A"/>
    <w:rsid w:val="4D355CB8"/>
    <w:rsid w:val="4D782815"/>
    <w:rsid w:val="4DBE4790"/>
    <w:rsid w:val="4DC62AC2"/>
    <w:rsid w:val="4E614CA7"/>
    <w:rsid w:val="4EF549D4"/>
    <w:rsid w:val="4F993043"/>
    <w:rsid w:val="4FFC17B4"/>
    <w:rsid w:val="504836AE"/>
    <w:rsid w:val="50D80053"/>
    <w:rsid w:val="51544073"/>
    <w:rsid w:val="51B1557F"/>
    <w:rsid w:val="51C668B3"/>
    <w:rsid w:val="523B3742"/>
    <w:rsid w:val="526241AF"/>
    <w:rsid w:val="52D84C01"/>
    <w:rsid w:val="533A7549"/>
    <w:rsid w:val="535E1FC4"/>
    <w:rsid w:val="537E3111"/>
    <w:rsid w:val="53E87428"/>
    <w:rsid w:val="541B4B52"/>
    <w:rsid w:val="5447281C"/>
    <w:rsid w:val="54A90D98"/>
    <w:rsid w:val="54C41B3E"/>
    <w:rsid w:val="54E51EA2"/>
    <w:rsid w:val="54F65EBA"/>
    <w:rsid w:val="55D27624"/>
    <w:rsid w:val="55EF15CA"/>
    <w:rsid w:val="567A6E51"/>
    <w:rsid w:val="56F203B4"/>
    <w:rsid w:val="57FC55AA"/>
    <w:rsid w:val="580928E7"/>
    <w:rsid w:val="58551F7D"/>
    <w:rsid w:val="58671E79"/>
    <w:rsid w:val="58820374"/>
    <w:rsid w:val="58FC71A2"/>
    <w:rsid w:val="591B49CD"/>
    <w:rsid w:val="59D7482D"/>
    <w:rsid w:val="5A3612BD"/>
    <w:rsid w:val="5A362B00"/>
    <w:rsid w:val="5AA412FE"/>
    <w:rsid w:val="5AB139D8"/>
    <w:rsid w:val="5ABA7A19"/>
    <w:rsid w:val="5AC72F10"/>
    <w:rsid w:val="5AFF1CCD"/>
    <w:rsid w:val="5B136F0D"/>
    <w:rsid w:val="5B19774B"/>
    <w:rsid w:val="5B56778E"/>
    <w:rsid w:val="5B6C47B3"/>
    <w:rsid w:val="5B840C5F"/>
    <w:rsid w:val="5B865975"/>
    <w:rsid w:val="5BA504AD"/>
    <w:rsid w:val="5BA54009"/>
    <w:rsid w:val="5BC44F00"/>
    <w:rsid w:val="5CF6099B"/>
    <w:rsid w:val="5D1E0218"/>
    <w:rsid w:val="5D217374"/>
    <w:rsid w:val="5D703CFC"/>
    <w:rsid w:val="5D9B704B"/>
    <w:rsid w:val="5DC75655"/>
    <w:rsid w:val="5DE81AA6"/>
    <w:rsid w:val="5DE943DE"/>
    <w:rsid w:val="5E061B6A"/>
    <w:rsid w:val="5E2A2E8B"/>
    <w:rsid w:val="5E2B51A2"/>
    <w:rsid w:val="5E6E2795"/>
    <w:rsid w:val="5EB62375"/>
    <w:rsid w:val="5EF724E5"/>
    <w:rsid w:val="5F436DCC"/>
    <w:rsid w:val="5F5B667A"/>
    <w:rsid w:val="5F6067D6"/>
    <w:rsid w:val="5F7F4806"/>
    <w:rsid w:val="5FD125EC"/>
    <w:rsid w:val="5FED1054"/>
    <w:rsid w:val="600202C1"/>
    <w:rsid w:val="603D2D4A"/>
    <w:rsid w:val="60693990"/>
    <w:rsid w:val="60B151FE"/>
    <w:rsid w:val="60D51B08"/>
    <w:rsid w:val="60FE7C04"/>
    <w:rsid w:val="610552EA"/>
    <w:rsid w:val="61162C50"/>
    <w:rsid w:val="613C7C1B"/>
    <w:rsid w:val="617203D0"/>
    <w:rsid w:val="620B41F3"/>
    <w:rsid w:val="62D302D9"/>
    <w:rsid w:val="62F7205C"/>
    <w:rsid w:val="634B16C2"/>
    <w:rsid w:val="638717D9"/>
    <w:rsid w:val="63CE2B2C"/>
    <w:rsid w:val="63D1035D"/>
    <w:rsid w:val="646E65B0"/>
    <w:rsid w:val="64744EC0"/>
    <w:rsid w:val="64981C38"/>
    <w:rsid w:val="64A14715"/>
    <w:rsid w:val="64AE2EEE"/>
    <w:rsid w:val="64AF6403"/>
    <w:rsid w:val="64C06F6A"/>
    <w:rsid w:val="64D95319"/>
    <w:rsid w:val="64F70EA9"/>
    <w:rsid w:val="6559389C"/>
    <w:rsid w:val="66610F24"/>
    <w:rsid w:val="666554AA"/>
    <w:rsid w:val="666B40A1"/>
    <w:rsid w:val="667248C7"/>
    <w:rsid w:val="668307A1"/>
    <w:rsid w:val="6694584B"/>
    <w:rsid w:val="66CB249B"/>
    <w:rsid w:val="67034A0D"/>
    <w:rsid w:val="6706797F"/>
    <w:rsid w:val="671B6AB8"/>
    <w:rsid w:val="67664333"/>
    <w:rsid w:val="67691968"/>
    <w:rsid w:val="678A727A"/>
    <w:rsid w:val="67996221"/>
    <w:rsid w:val="681E7F53"/>
    <w:rsid w:val="685E4F68"/>
    <w:rsid w:val="68797B9E"/>
    <w:rsid w:val="69610B03"/>
    <w:rsid w:val="69A14E77"/>
    <w:rsid w:val="69C40C23"/>
    <w:rsid w:val="6A1F7162"/>
    <w:rsid w:val="6A7B2DC6"/>
    <w:rsid w:val="6ACC5B2B"/>
    <w:rsid w:val="6B10228E"/>
    <w:rsid w:val="6B335388"/>
    <w:rsid w:val="6B59453E"/>
    <w:rsid w:val="6B88040B"/>
    <w:rsid w:val="6BA77EC0"/>
    <w:rsid w:val="6BE66EA4"/>
    <w:rsid w:val="6C503C07"/>
    <w:rsid w:val="6C512A7A"/>
    <w:rsid w:val="6CDD534C"/>
    <w:rsid w:val="6D291D0D"/>
    <w:rsid w:val="6D5B777B"/>
    <w:rsid w:val="6D88336F"/>
    <w:rsid w:val="6E4826E1"/>
    <w:rsid w:val="6E5A7ED1"/>
    <w:rsid w:val="6E627A21"/>
    <w:rsid w:val="6E71687F"/>
    <w:rsid w:val="6E957640"/>
    <w:rsid w:val="6EE33674"/>
    <w:rsid w:val="6EE442D1"/>
    <w:rsid w:val="6EE914DF"/>
    <w:rsid w:val="7019413A"/>
    <w:rsid w:val="703E7A4B"/>
    <w:rsid w:val="70761A11"/>
    <w:rsid w:val="70BA3726"/>
    <w:rsid w:val="715747DA"/>
    <w:rsid w:val="717639AE"/>
    <w:rsid w:val="71A16495"/>
    <w:rsid w:val="71EB529B"/>
    <w:rsid w:val="72D164C5"/>
    <w:rsid w:val="72EA0AEA"/>
    <w:rsid w:val="73767D80"/>
    <w:rsid w:val="7386076C"/>
    <w:rsid w:val="73EB3D22"/>
    <w:rsid w:val="745B39A7"/>
    <w:rsid w:val="74711863"/>
    <w:rsid w:val="747948CE"/>
    <w:rsid w:val="749850D8"/>
    <w:rsid w:val="74A5183E"/>
    <w:rsid w:val="74FF4359"/>
    <w:rsid w:val="75126D7A"/>
    <w:rsid w:val="75227679"/>
    <w:rsid w:val="756B75C2"/>
    <w:rsid w:val="75821CCB"/>
    <w:rsid w:val="75BA5477"/>
    <w:rsid w:val="75BE27CD"/>
    <w:rsid w:val="760610C6"/>
    <w:rsid w:val="7643534A"/>
    <w:rsid w:val="76BFAF13"/>
    <w:rsid w:val="77537603"/>
    <w:rsid w:val="780326FC"/>
    <w:rsid w:val="786F6151"/>
    <w:rsid w:val="78937CF7"/>
    <w:rsid w:val="78CD0595"/>
    <w:rsid w:val="78FBF684"/>
    <w:rsid w:val="790E0FE8"/>
    <w:rsid w:val="79132AA2"/>
    <w:rsid w:val="798071ED"/>
    <w:rsid w:val="79D92B12"/>
    <w:rsid w:val="79ED6971"/>
    <w:rsid w:val="79FE2D83"/>
    <w:rsid w:val="7A263419"/>
    <w:rsid w:val="7A911B5F"/>
    <w:rsid w:val="7AA33536"/>
    <w:rsid w:val="7AA339B1"/>
    <w:rsid w:val="7AE8472F"/>
    <w:rsid w:val="7B2533E0"/>
    <w:rsid w:val="7B701A0B"/>
    <w:rsid w:val="7B7D91F1"/>
    <w:rsid w:val="7BED0CD8"/>
    <w:rsid w:val="7BF88BF8"/>
    <w:rsid w:val="7BFB54D7"/>
    <w:rsid w:val="7BFE1E83"/>
    <w:rsid w:val="7C8D15E4"/>
    <w:rsid w:val="7CAF19B3"/>
    <w:rsid w:val="7CB7F70C"/>
    <w:rsid w:val="7CCD0D0D"/>
    <w:rsid w:val="7D673C72"/>
    <w:rsid w:val="7D6FFF83"/>
    <w:rsid w:val="7D71438E"/>
    <w:rsid w:val="7DA15BCA"/>
    <w:rsid w:val="7DBF21A5"/>
    <w:rsid w:val="7DE93C59"/>
    <w:rsid w:val="7DED2295"/>
    <w:rsid w:val="7DFBF8B8"/>
    <w:rsid w:val="7E72183B"/>
    <w:rsid w:val="7F3F6140"/>
    <w:rsid w:val="7F4734A5"/>
    <w:rsid w:val="7FA55E2D"/>
    <w:rsid w:val="B69FF366"/>
    <w:rsid w:val="B7BE0BB5"/>
    <w:rsid w:val="D15D4F91"/>
    <w:rsid w:val="D1D7919C"/>
    <w:rsid w:val="DE7FF3CC"/>
    <w:rsid w:val="F3FBBAEA"/>
    <w:rsid w:val="FEF185FD"/>
    <w:rsid w:val="FF9FEFB3"/>
    <w:rsid w:val="FFAC0321"/>
    <w:rsid w:val="FFBD4E78"/>
    <w:rsid w:val="FFFF4AC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qFormat="1" w:unhideWhenUsed="0" w:uiPriority="39" w:semiHidden="0" w:name="toc 4"/>
    <w:lsdException w:uiPriority="39" w:name="toc 5"/>
    <w:lsdException w:qFormat="1" w:unhideWhenUsed="0" w:uiPriority="0"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iPriority="99" w:semiHidden="0"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50"/>
    <w:qFormat/>
    <w:uiPriority w:val="99"/>
    <w:pPr>
      <w:keepNext/>
      <w:keepLines/>
      <w:spacing w:line="576" w:lineRule="auto"/>
      <w:outlineLvl w:val="0"/>
    </w:pPr>
    <w:rPr>
      <w:rFonts w:ascii="Calibri" w:hAnsi="Calibri" w:cs="Calibri"/>
      <w:b/>
      <w:bCs/>
      <w:kern w:val="44"/>
      <w:sz w:val="44"/>
      <w:szCs w:val="44"/>
    </w:rPr>
  </w:style>
  <w:style w:type="paragraph" w:styleId="2">
    <w:name w:val="heading 2"/>
    <w:basedOn w:val="1"/>
    <w:next w:val="3"/>
    <w:link w:val="51"/>
    <w:qFormat/>
    <w:uiPriority w:val="99"/>
    <w:pPr>
      <w:keepNext/>
      <w:spacing w:line="216" w:lineRule="auto"/>
      <w:outlineLvl w:val="1"/>
    </w:pPr>
    <w:rPr>
      <w:rFonts w:ascii="宋体" w:hAnsi="Calibri" w:cs="宋体"/>
      <w:b/>
      <w:bCs/>
      <w:sz w:val="28"/>
      <w:szCs w:val="28"/>
    </w:rPr>
  </w:style>
  <w:style w:type="paragraph" w:styleId="5">
    <w:name w:val="heading 3"/>
    <w:basedOn w:val="2"/>
    <w:next w:val="6"/>
    <w:link w:val="52"/>
    <w:qFormat/>
    <w:uiPriority w:val="99"/>
    <w:pPr>
      <w:numPr>
        <w:ilvl w:val="0"/>
        <w:numId w:val="1"/>
      </w:numPr>
      <w:outlineLvl w:val="2"/>
    </w:pPr>
  </w:style>
  <w:style w:type="paragraph" w:styleId="8">
    <w:name w:val="heading 4"/>
    <w:basedOn w:val="1"/>
    <w:next w:val="1"/>
    <w:qFormat/>
    <w:locked/>
    <w:uiPriority w:val="0"/>
    <w:pPr>
      <w:keepLines/>
      <w:widowControl/>
      <w:autoSpaceDE w:val="0"/>
      <w:autoSpaceDN w:val="0"/>
      <w:adjustRightInd w:val="0"/>
      <w:jc w:val="left"/>
      <w:textAlignment w:val="baseline"/>
      <w:outlineLvl w:val="3"/>
    </w:pPr>
    <w:rPr>
      <w:rFonts w:eastAsia="楷体_GB2312"/>
      <w:b/>
      <w:snapToGrid w:val="0"/>
      <w:kern w:val="0"/>
      <w:sz w:val="24"/>
      <w:szCs w:val="20"/>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3">
    <w:name w:val="Normal Indent"/>
    <w:basedOn w:val="1"/>
    <w:next w:val="1"/>
    <w:qFormat/>
    <w:uiPriority w:val="99"/>
    <w:pPr>
      <w:ind w:firstLine="420"/>
    </w:pPr>
  </w:style>
  <w:style w:type="paragraph" w:styleId="6">
    <w:name w:val="Body Text"/>
    <w:basedOn w:val="1"/>
    <w:next w:val="7"/>
    <w:link w:val="53"/>
    <w:qFormat/>
    <w:uiPriority w:val="99"/>
    <w:pPr>
      <w:tabs>
        <w:tab w:val="left" w:pos="1275"/>
      </w:tabs>
    </w:pPr>
  </w:style>
  <w:style w:type="paragraph" w:customStyle="1" w:styleId="7">
    <w:name w:val="正文首行缩进1"/>
    <w:basedOn w:val="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styleId="9">
    <w:name w:val="caption"/>
    <w:basedOn w:val="1"/>
    <w:next w:val="1"/>
    <w:qFormat/>
    <w:locked/>
    <w:uiPriority w:val="0"/>
    <w:rPr>
      <w:rFonts w:ascii="Arial" w:hAnsi="Arial" w:eastAsia="黑体"/>
      <w:sz w:val="20"/>
    </w:rPr>
  </w:style>
  <w:style w:type="paragraph" w:styleId="10">
    <w:name w:val="annotation text"/>
    <w:basedOn w:val="1"/>
    <w:link w:val="100"/>
    <w:qFormat/>
    <w:uiPriority w:val="0"/>
    <w:pPr>
      <w:jc w:val="left"/>
    </w:pPr>
  </w:style>
  <w:style w:type="paragraph" w:styleId="11">
    <w:name w:val="Body Text 3"/>
    <w:basedOn w:val="1"/>
    <w:unhideWhenUsed/>
    <w:qFormat/>
    <w:uiPriority w:val="99"/>
    <w:pPr>
      <w:spacing w:after="120"/>
    </w:pPr>
    <w:rPr>
      <w:sz w:val="16"/>
      <w:szCs w:val="16"/>
    </w:rPr>
  </w:style>
  <w:style w:type="paragraph" w:styleId="12">
    <w:name w:val="Body Text Indent"/>
    <w:basedOn w:val="1"/>
    <w:link w:val="54"/>
    <w:qFormat/>
    <w:uiPriority w:val="99"/>
    <w:pPr>
      <w:adjustRightInd w:val="0"/>
      <w:spacing w:line="360" w:lineRule="auto"/>
      <w:ind w:firstLine="490"/>
      <w:jc w:val="left"/>
    </w:pPr>
    <w:rPr>
      <w:rFonts w:ascii="宋体" w:hAnsi="宋体" w:cs="宋体"/>
      <w:sz w:val="24"/>
      <w:szCs w:val="24"/>
    </w:rPr>
  </w:style>
  <w:style w:type="paragraph" w:styleId="13">
    <w:name w:val="toc 3"/>
    <w:basedOn w:val="1"/>
    <w:next w:val="1"/>
    <w:semiHidden/>
    <w:qFormat/>
    <w:uiPriority w:val="99"/>
    <w:pPr>
      <w:ind w:left="840" w:leftChars="400"/>
    </w:pPr>
  </w:style>
  <w:style w:type="paragraph" w:styleId="14">
    <w:name w:val="Plain Text"/>
    <w:basedOn w:val="1"/>
    <w:next w:val="1"/>
    <w:link w:val="55"/>
    <w:qFormat/>
    <w:uiPriority w:val="0"/>
    <w:rPr>
      <w:rFonts w:ascii="宋体" w:hAnsi="Courier New" w:cs="宋体"/>
    </w:rPr>
  </w:style>
  <w:style w:type="paragraph" w:styleId="15">
    <w:name w:val="Date"/>
    <w:basedOn w:val="1"/>
    <w:next w:val="1"/>
    <w:link w:val="56"/>
    <w:qFormat/>
    <w:uiPriority w:val="99"/>
    <w:pPr>
      <w:ind w:left="100" w:leftChars="2500"/>
    </w:pPr>
    <w:rPr>
      <w:rFonts w:ascii="宋体" w:hAnsi="宋体" w:cs="宋体"/>
      <w:color w:val="000000"/>
      <w:sz w:val="24"/>
      <w:szCs w:val="24"/>
    </w:rPr>
  </w:style>
  <w:style w:type="paragraph" w:styleId="16">
    <w:name w:val="Balloon Text"/>
    <w:basedOn w:val="1"/>
    <w:link w:val="57"/>
    <w:semiHidden/>
    <w:qFormat/>
    <w:uiPriority w:val="99"/>
    <w:rPr>
      <w:sz w:val="18"/>
      <w:szCs w:val="18"/>
    </w:rPr>
  </w:style>
  <w:style w:type="paragraph" w:styleId="17">
    <w:name w:val="footer"/>
    <w:basedOn w:val="1"/>
    <w:link w:val="58"/>
    <w:qFormat/>
    <w:uiPriority w:val="99"/>
    <w:pPr>
      <w:tabs>
        <w:tab w:val="center" w:pos="4153"/>
        <w:tab w:val="right" w:pos="8306"/>
      </w:tabs>
      <w:snapToGrid w:val="0"/>
      <w:jc w:val="left"/>
    </w:pPr>
    <w:rPr>
      <w:sz w:val="18"/>
      <w:szCs w:val="18"/>
    </w:rPr>
  </w:style>
  <w:style w:type="paragraph" w:styleId="18">
    <w:name w:val="header"/>
    <w:basedOn w:val="1"/>
    <w:link w:val="59"/>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cs="宋体"/>
      <w:kern w:val="0"/>
      <w:sz w:val="18"/>
      <w:szCs w:val="18"/>
    </w:rPr>
  </w:style>
  <w:style w:type="paragraph" w:styleId="19">
    <w:name w:val="toc 1"/>
    <w:basedOn w:val="1"/>
    <w:next w:val="1"/>
    <w:semiHidden/>
    <w:qFormat/>
    <w:uiPriority w:val="99"/>
  </w:style>
  <w:style w:type="paragraph" w:styleId="20">
    <w:name w:val="toc 4"/>
    <w:basedOn w:val="1"/>
    <w:next w:val="1"/>
    <w:qFormat/>
    <w:uiPriority w:val="39"/>
    <w:pPr>
      <w:ind w:left="1260" w:leftChars="600"/>
    </w:pPr>
    <w:rPr>
      <w:szCs w:val="24"/>
    </w:rPr>
  </w:style>
  <w:style w:type="paragraph" w:styleId="21">
    <w:name w:val="toc 6"/>
    <w:basedOn w:val="1"/>
    <w:next w:val="1"/>
    <w:semiHidden/>
    <w:qFormat/>
    <w:uiPriority w:val="0"/>
    <w:pPr>
      <w:ind w:left="2100" w:leftChars="1000"/>
    </w:pPr>
  </w:style>
  <w:style w:type="paragraph" w:styleId="22">
    <w:name w:val="toc 2"/>
    <w:basedOn w:val="1"/>
    <w:next w:val="1"/>
    <w:semiHidden/>
    <w:qFormat/>
    <w:uiPriority w:val="99"/>
    <w:pPr>
      <w:ind w:left="420" w:leftChars="200"/>
    </w:pPr>
  </w:style>
  <w:style w:type="paragraph" w:styleId="23">
    <w:name w:val="Body Text 2"/>
    <w:basedOn w:val="1"/>
    <w:qFormat/>
    <w:uiPriority w:val="0"/>
    <w:pPr>
      <w:spacing w:after="120" w:line="480" w:lineRule="auto"/>
    </w:pPr>
    <w:rPr>
      <w:szCs w:val="20"/>
    </w:rPr>
  </w:style>
  <w:style w:type="paragraph" w:styleId="24">
    <w:name w:val="HTML Preformatted"/>
    <w:basedOn w:val="1"/>
    <w:link w:val="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5">
    <w:name w:val="Normal (Web)"/>
    <w:basedOn w:val="1"/>
    <w:next w:val="1"/>
    <w:qFormat/>
    <w:uiPriority w:val="99"/>
    <w:pPr>
      <w:widowControl/>
      <w:spacing w:before="100" w:beforeAutospacing="1" w:after="100" w:afterAutospacing="1"/>
      <w:jc w:val="left"/>
    </w:pPr>
    <w:rPr>
      <w:rFonts w:ascii="宋体" w:hAnsi="宋体" w:cs="宋体"/>
      <w:sz w:val="24"/>
      <w:szCs w:val="24"/>
    </w:rPr>
  </w:style>
  <w:style w:type="paragraph" w:styleId="26">
    <w:name w:val="Title"/>
    <w:basedOn w:val="1"/>
    <w:next w:val="1"/>
    <w:qFormat/>
    <w:locked/>
    <w:uiPriority w:val="0"/>
    <w:pPr>
      <w:spacing w:before="240" w:after="60"/>
      <w:jc w:val="center"/>
      <w:outlineLvl w:val="0"/>
    </w:pPr>
    <w:rPr>
      <w:rFonts w:ascii="Arial" w:hAnsi="Arial" w:cs="Arial"/>
      <w:sz w:val="32"/>
      <w:szCs w:val="32"/>
    </w:rPr>
  </w:style>
  <w:style w:type="paragraph" w:styleId="27">
    <w:name w:val="Body Text First Indent"/>
    <w:basedOn w:val="6"/>
    <w:link w:val="60"/>
    <w:qFormat/>
    <w:uiPriority w:val="99"/>
    <w:pPr>
      <w:ind w:firstLine="420" w:firstLineChars="100"/>
    </w:pPr>
  </w:style>
  <w:style w:type="paragraph" w:styleId="28">
    <w:name w:val="Body Text First Indent 2"/>
    <w:basedOn w:val="12"/>
    <w:qFormat/>
    <w:uiPriority w:val="0"/>
    <w:pPr>
      <w:ind w:firstLine="420"/>
    </w:pPr>
  </w:style>
  <w:style w:type="table" w:styleId="30">
    <w:name w:val="Table Grid"/>
    <w:basedOn w:val="29"/>
    <w:qFormat/>
    <w:uiPriority w:val="5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99"/>
    <w:rPr>
      <w:b/>
      <w:bCs/>
    </w:rPr>
  </w:style>
  <w:style w:type="character" w:styleId="33">
    <w:name w:val="page number"/>
    <w:basedOn w:val="31"/>
    <w:qFormat/>
    <w:uiPriority w:val="99"/>
  </w:style>
  <w:style w:type="character" w:styleId="34">
    <w:name w:val="FollowedHyperlink"/>
    <w:basedOn w:val="31"/>
    <w:semiHidden/>
    <w:unhideWhenUsed/>
    <w:qFormat/>
    <w:uiPriority w:val="99"/>
    <w:rPr>
      <w:color w:val="333333"/>
      <w:u w:val="none"/>
    </w:rPr>
  </w:style>
  <w:style w:type="character" w:styleId="35">
    <w:name w:val="Hyperlink"/>
    <w:basedOn w:val="31"/>
    <w:qFormat/>
    <w:uiPriority w:val="99"/>
    <w:rPr>
      <w:color w:val="0000FF"/>
      <w:u w:val="single"/>
    </w:rPr>
  </w:style>
  <w:style w:type="paragraph" w:customStyle="1" w:styleId="36">
    <w:name w:val="样式 正文文本缩进 + 左  0 字符"/>
    <w:basedOn w:val="1"/>
    <w:next w:val="37"/>
    <w:qFormat/>
    <w:uiPriority w:val="0"/>
    <w:pPr>
      <w:ind w:firstLine="645"/>
    </w:pPr>
    <w:rPr>
      <w:rFonts w:ascii="楷体_GB2312" w:eastAsia="楷体_GB2312"/>
      <w:sz w:val="24"/>
      <w:szCs w:val="20"/>
    </w:rPr>
  </w:style>
  <w:style w:type="paragraph" w:customStyle="1" w:styleId="37">
    <w:name w:val="MM Topic 4"/>
    <w:basedOn w:val="8"/>
    <w:qFormat/>
    <w:uiPriority w:val="0"/>
    <w:pPr>
      <w:numPr>
        <w:ilvl w:val="0"/>
        <w:numId w:val="2"/>
      </w:numPr>
      <w:tabs>
        <w:tab w:val="left" w:pos="2100"/>
      </w:tabs>
      <w:adjustRightInd/>
    </w:pPr>
    <w:rPr>
      <w:lang w:val="en-US"/>
    </w:rPr>
  </w:style>
  <w:style w:type="paragraph" w:styleId="38">
    <w:name w:val="Quote"/>
    <w:basedOn w:val="1"/>
    <w:next w:val="1"/>
    <w:qFormat/>
    <w:uiPriority w:val="0"/>
    <w:pPr>
      <w:wordWrap w:val="0"/>
      <w:spacing w:before="200" w:after="160"/>
      <w:ind w:left="864" w:right="864"/>
      <w:jc w:val="center"/>
    </w:pPr>
    <w:rPr>
      <w:i/>
    </w:rPr>
  </w:style>
  <w:style w:type="paragraph" w:customStyle="1" w:styleId="39">
    <w:name w:val="正文首行缩进2字符"/>
    <w:basedOn w:val="1"/>
    <w:qFormat/>
    <w:uiPriority w:val="99"/>
    <w:pPr>
      <w:spacing w:line="360" w:lineRule="auto"/>
      <w:ind w:firstLine="200" w:firstLineChars="200"/>
    </w:pPr>
  </w:style>
  <w:style w:type="paragraph" w:customStyle="1" w:styleId="40">
    <w:name w:val="样式 表格正文 + 两端对齐"/>
    <w:basedOn w:val="1"/>
    <w:next w:val="41"/>
    <w:qFormat/>
    <w:uiPriority w:val="99"/>
    <w:pPr>
      <w:spacing w:line="300" w:lineRule="auto"/>
    </w:pPr>
    <w:rPr>
      <w:sz w:val="24"/>
      <w:szCs w:val="24"/>
    </w:rPr>
  </w:style>
  <w:style w:type="paragraph" w:customStyle="1" w:styleId="41">
    <w:name w:val="正文1"/>
    <w:basedOn w:val="1"/>
    <w:next w:val="42"/>
    <w:qFormat/>
    <w:uiPriority w:val="99"/>
    <w:pPr>
      <w:widowControl/>
      <w:snapToGrid w:val="0"/>
      <w:spacing w:line="500" w:lineRule="exact"/>
      <w:ind w:firstLine="567"/>
    </w:pPr>
    <w:rPr>
      <w:rFonts w:ascii="楷体_GB2312" w:eastAsia="楷体_GB2312" w:cs="楷体_GB2312"/>
      <w:kern w:val="0"/>
      <w:sz w:val="28"/>
      <w:szCs w:val="28"/>
    </w:rPr>
  </w:style>
  <w:style w:type="paragraph" w:customStyle="1" w:styleId="42">
    <w:name w:val="自动更正"/>
    <w:next w:val="43"/>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3">
    <w:name w:val="xl39"/>
    <w:basedOn w:val="1"/>
    <w:next w:val="44"/>
    <w:qFormat/>
    <w:uiPriority w:val="99"/>
    <w:pPr>
      <w:widowControl/>
      <w:pBdr>
        <w:top w:val="single" w:color="auto" w:sz="4" w:space="0"/>
        <w:bottom w:val="single" w:color="auto" w:sz="4" w:space="0"/>
        <w:right w:val="single" w:color="auto" w:sz="4" w:space="0"/>
      </w:pBdr>
      <w:spacing w:before="100" w:after="100"/>
      <w:jc w:val="left"/>
      <w:textAlignment w:val="center"/>
    </w:pPr>
    <w:rPr>
      <w:kern w:val="0"/>
    </w:rPr>
  </w:style>
  <w:style w:type="paragraph" w:customStyle="1" w:styleId="44">
    <w:name w:val="分手多日，近况如何？"/>
    <w:next w:val="1"/>
    <w:qFormat/>
    <w:uiPriority w:val="99"/>
    <w:pPr>
      <w:widowControl w:val="0"/>
      <w:jc w:val="both"/>
    </w:pPr>
    <w:rPr>
      <w:rFonts w:ascii="Times New Roman" w:hAnsi="Times New Roman" w:eastAsia="宋体" w:cs="Times New Roman"/>
      <w:sz w:val="21"/>
      <w:szCs w:val="21"/>
      <w:lang w:val="en-US" w:eastAsia="zh-CN" w:bidi="ar-SA"/>
    </w:rPr>
  </w:style>
  <w:style w:type="paragraph" w:customStyle="1" w:styleId="45">
    <w:name w:val="表格文字"/>
    <w:basedOn w:val="1"/>
    <w:next w:val="6"/>
    <w:qFormat/>
    <w:uiPriority w:val="0"/>
    <w:pPr>
      <w:adjustRightInd w:val="0"/>
      <w:spacing w:line="420" w:lineRule="atLeast"/>
      <w:textAlignment w:val="baseline"/>
    </w:pPr>
  </w:style>
  <w:style w:type="paragraph" w:customStyle="1" w:styleId="46">
    <w:name w:val="正文模板"/>
    <w:basedOn w:val="1"/>
    <w:qFormat/>
    <w:uiPriority w:val="0"/>
    <w:pPr>
      <w:spacing w:line="360" w:lineRule="auto"/>
      <w:ind w:firstLine="200" w:firstLineChars="200"/>
    </w:pPr>
    <w:rPr>
      <w:rFonts w:eastAsia="仿宋"/>
      <w:sz w:val="24"/>
    </w:rPr>
  </w:style>
  <w:style w:type="paragraph" w:customStyle="1" w:styleId="47">
    <w:name w:val="Body Text First Indent1"/>
    <w:basedOn w:val="6"/>
    <w:qFormat/>
    <w:uiPriority w:val="0"/>
    <w:pPr>
      <w:ind w:firstLine="420" w:firstLineChars="100"/>
    </w:pPr>
  </w:style>
  <w:style w:type="paragraph" w:customStyle="1" w:styleId="48">
    <w:name w:val="正文缩进1"/>
    <w:basedOn w:val="1"/>
    <w:next w:val="12"/>
    <w:qFormat/>
    <w:uiPriority w:val="0"/>
    <w:pPr>
      <w:ind w:firstLine="420" w:firstLineChars="200"/>
    </w:pPr>
  </w:style>
  <w:style w:type="paragraph" w:customStyle="1" w:styleId="49">
    <w:name w:val="正文（首行缩进2字符）"/>
    <w:basedOn w:val="1"/>
    <w:qFormat/>
    <w:uiPriority w:val="0"/>
    <w:pPr>
      <w:spacing w:line="360" w:lineRule="auto"/>
      <w:ind w:firstLine="480" w:firstLineChars="200"/>
    </w:pPr>
    <w:rPr>
      <w:sz w:val="24"/>
      <w:szCs w:val="20"/>
    </w:rPr>
  </w:style>
  <w:style w:type="character" w:customStyle="1" w:styleId="50">
    <w:name w:val="标题 1 Char"/>
    <w:basedOn w:val="31"/>
    <w:link w:val="4"/>
    <w:qFormat/>
    <w:locked/>
    <w:uiPriority w:val="99"/>
    <w:rPr>
      <w:b/>
      <w:bCs/>
      <w:kern w:val="44"/>
      <w:sz w:val="44"/>
      <w:szCs w:val="44"/>
    </w:rPr>
  </w:style>
  <w:style w:type="character" w:customStyle="1" w:styleId="51">
    <w:name w:val="标题 2 Char"/>
    <w:basedOn w:val="31"/>
    <w:link w:val="2"/>
    <w:qFormat/>
    <w:locked/>
    <w:uiPriority w:val="99"/>
    <w:rPr>
      <w:rFonts w:ascii="宋体" w:cs="宋体"/>
      <w:b/>
      <w:bCs/>
      <w:kern w:val="2"/>
      <w:sz w:val="28"/>
      <w:szCs w:val="28"/>
    </w:rPr>
  </w:style>
  <w:style w:type="character" w:customStyle="1" w:styleId="52">
    <w:name w:val="标题 3 Char"/>
    <w:basedOn w:val="31"/>
    <w:link w:val="5"/>
    <w:qFormat/>
    <w:locked/>
    <w:uiPriority w:val="99"/>
    <w:rPr>
      <w:rFonts w:ascii="宋体" w:cs="宋体"/>
      <w:b/>
      <w:bCs/>
      <w:kern w:val="2"/>
      <w:sz w:val="28"/>
      <w:szCs w:val="28"/>
    </w:rPr>
  </w:style>
  <w:style w:type="character" w:customStyle="1" w:styleId="53">
    <w:name w:val="正文文本 Char"/>
    <w:basedOn w:val="31"/>
    <w:link w:val="6"/>
    <w:semiHidden/>
    <w:qFormat/>
    <w:uiPriority w:val="99"/>
    <w:rPr>
      <w:rFonts w:ascii="Times New Roman" w:hAnsi="Times New Roman"/>
      <w:szCs w:val="21"/>
    </w:rPr>
  </w:style>
  <w:style w:type="character" w:customStyle="1" w:styleId="54">
    <w:name w:val="正文文本缩进 Char"/>
    <w:basedOn w:val="31"/>
    <w:link w:val="12"/>
    <w:semiHidden/>
    <w:qFormat/>
    <w:uiPriority w:val="99"/>
    <w:rPr>
      <w:rFonts w:ascii="Times New Roman" w:hAnsi="Times New Roman"/>
      <w:szCs w:val="21"/>
    </w:rPr>
  </w:style>
  <w:style w:type="character" w:customStyle="1" w:styleId="55">
    <w:name w:val="纯文本 Char"/>
    <w:basedOn w:val="31"/>
    <w:link w:val="14"/>
    <w:qFormat/>
    <w:uiPriority w:val="0"/>
    <w:rPr>
      <w:rFonts w:ascii="宋体" w:hAnsi="Courier New" w:cs="Courier New"/>
      <w:szCs w:val="21"/>
    </w:rPr>
  </w:style>
  <w:style w:type="character" w:customStyle="1" w:styleId="56">
    <w:name w:val="日期 Char"/>
    <w:basedOn w:val="31"/>
    <w:link w:val="15"/>
    <w:semiHidden/>
    <w:qFormat/>
    <w:uiPriority w:val="99"/>
    <w:rPr>
      <w:rFonts w:ascii="Times New Roman" w:hAnsi="Times New Roman"/>
      <w:szCs w:val="21"/>
    </w:rPr>
  </w:style>
  <w:style w:type="character" w:customStyle="1" w:styleId="57">
    <w:name w:val="批注框文本 Char"/>
    <w:basedOn w:val="31"/>
    <w:link w:val="16"/>
    <w:qFormat/>
    <w:locked/>
    <w:uiPriority w:val="99"/>
    <w:rPr>
      <w:kern w:val="2"/>
      <w:sz w:val="18"/>
      <w:szCs w:val="18"/>
    </w:rPr>
  </w:style>
  <w:style w:type="character" w:customStyle="1" w:styleId="58">
    <w:name w:val="页脚 Char"/>
    <w:basedOn w:val="31"/>
    <w:link w:val="17"/>
    <w:semiHidden/>
    <w:qFormat/>
    <w:uiPriority w:val="99"/>
    <w:rPr>
      <w:rFonts w:ascii="Times New Roman" w:hAnsi="Times New Roman"/>
      <w:sz w:val="18"/>
      <w:szCs w:val="18"/>
    </w:rPr>
  </w:style>
  <w:style w:type="character" w:customStyle="1" w:styleId="59">
    <w:name w:val="页眉 Char"/>
    <w:basedOn w:val="31"/>
    <w:link w:val="18"/>
    <w:semiHidden/>
    <w:qFormat/>
    <w:uiPriority w:val="99"/>
    <w:rPr>
      <w:rFonts w:ascii="Times New Roman" w:hAnsi="Times New Roman"/>
      <w:sz w:val="18"/>
      <w:szCs w:val="18"/>
    </w:rPr>
  </w:style>
  <w:style w:type="character" w:customStyle="1" w:styleId="60">
    <w:name w:val="正文首行缩进 Char"/>
    <w:basedOn w:val="53"/>
    <w:link w:val="27"/>
    <w:semiHidden/>
    <w:qFormat/>
    <w:uiPriority w:val="99"/>
    <w:rPr>
      <w:rFonts w:ascii="Times New Roman" w:hAnsi="Times New Roman"/>
      <w:szCs w:val="21"/>
    </w:rPr>
  </w:style>
  <w:style w:type="paragraph" w:customStyle="1" w:styleId="61">
    <w:name w:val="正文2"/>
    <w:basedOn w:val="23"/>
    <w:qFormat/>
    <w:uiPriority w:val="99"/>
    <w:pPr>
      <w:adjustRightInd w:val="0"/>
      <w:spacing w:before="156" w:line="360" w:lineRule="auto"/>
      <w:ind w:firstLine="510" w:firstLineChars="200"/>
    </w:pPr>
    <w:rPr>
      <w:sz w:val="24"/>
      <w:szCs w:val="24"/>
    </w:rPr>
  </w:style>
  <w:style w:type="paragraph" w:customStyle="1" w:styleId="62">
    <w:name w:val="List Paragraph1"/>
    <w:basedOn w:val="1"/>
    <w:qFormat/>
    <w:uiPriority w:val="99"/>
    <w:pPr>
      <w:widowControl/>
      <w:ind w:firstLine="420" w:firstLineChars="200"/>
      <w:jc w:val="left"/>
    </w:pPr>
    <w:rPr>
      <w:rFonts w:ascii="Calibri" w:hAnsi="Calibri" w:cs="Calibri"/>
    </w:rPr>
  </w:style>
  <w:style w:type="character" w:customStyle="1" w:styleId="63">
    <w:name w:val="style81"/>
    <w:qFormat/>
    <w:uiPriority w:val="99"/>
    <w:rPr>
      <w:sz w:val="20"/>
      <w:szCs w:val="20"/>
    </w:rPr>
  </w:style>
  <w:style w:type="paragraph" w:customStyle="1" w:styleId="64">
    <w:name w:val="列出段落1"/>
    <w:basedOn w:val="1"/>
    <w:qFormat/>
    <w:uiPriority w:val="99"/>
    <w:pPr>
      <w:ind w:firstLine="420"/>
      <w:jc w:val="left"/>
    </w:pPr>
  </w:style>
  <w:style w:type="paragraph" w:customStyle="1" w:styleId="65">
    <w:name w:val="表格"/>
    <w:basedOn w:val="1"/>
    <w:qFormat/>
    <w:uiPriority w:val="99"/>
    <w:pPr>
      <w:autoSpaceDE w:val="0"/>
      <w:autoSpaceDN w:val="0"/>
      <w:jc w:val="center"/>
      <w:textAlignment w:val="baseline"/>
    </w:pPr>
    <w:rPr>
      <w:color w:val="000000"/>
      <w:kern w:val="0"/>
    </w:rPr>
  </w:style>
  <w:style w:type="character" w:customStyle="1" w:styleId="66">
    <w:name w:val="02 Char"/>
    <w:link w:val="67"/>
    <w:qFormat/>
    <w:locked/>
    <w:uiPriority w:val="99"/>
    <w:rPr>
      <w:rFonts w:ascii="宋体" w:cs="宋体"/>
      <w:b/>
      <w:bCs/>
      <w:color w:val="FF0000"/>
      <w:kern w:val="2"/>
      <w:sz w:val="28"/>
      <w:szCs w:val="28"/>
    </w:rPr>
  </w:style>
  <w:style w:type="paragraph" w:customStyle="1" w:styleId="67">
    <w:name w:val="02"/>
    <w:basedOn w:val="2"/>
    <w:link w:val="66"/>
    <w:qFormat/>
    <w:uiPriority w:val="99"/>
    <w:pPr>
      <w:jc w:val="center"/>
    </w:pPr>
    <w:rPr>
      <w:color w:val="FF0000"/>
    </w:rPr>
  </w:style>
  <w:style w:type="character" w:customStyle="1" w:styleId="68">
    <w:name w:val="03 Char"/>
    <w:link w:val="69"/>
    <w:qFormat/>
    <w:locked/>
    <w:uiPriority w:val="99"/>
    <w:rPr>
      <w:rFonts w:ascii="宋体" w:cs="宋体"/>
      <w:b/>
      <w:bCs/>
      <w:kern w:val="2"/>
      <w:sz w:val="28"/>
      <w:szCs w:val="28"/>
    </w:rPr>
  </w:style>
  <w:style w:type="paragraph" w:customStyle="1" w:styleId="69">
    <w:name w:val="03"/>
    <w:basedOn w:val="5"/>
    <w:link w:val="68"/>
    <w:qFormat/>
    <w:uiPriority w:val="99"/>
    <w:pPr>
      <w:numPr>
        <w:ilvl w:val="0"/>
        <w:numId w:val="0"/>
      </w:numPr>
    </w:pPr>
  </w:style>
  <w:style w:type="character" w:customStyle="1" w:styleId="70">
    <w:name w:val="宋体小四 Char"/>
    <w:link w:val="71"/>
    <w:qFormat/>
    <w:locked/>
    <w:uiPriority w:val="99"/>
    <w:rPr>
      <w:rFonts w:ascii="宋体" w:eastAsia="宋体" w:cs="宋体"/>
      <w:kern w:val="2"/>
      <w:sz w:val="24"/>
      <w:szCs w:val="24"/>
    </w:rPr>
  </w:style>
  <w:style w:type="paragraph" w:customStyle="1" w:styleId="71">
    <w:name w:val="宋体小四"/>
    <w:basedOn w:val="1"/>
    <w:link w:val="70"/>
    <w:qFormat/>
    <w:uiPriority w:val="99"/>
    <w:pPr>
      <w:spacing w:line="360" w:lineRule="auto"/>
      <w:ind w:firstLine="480" w:firstLineChars="200"/>
    </w:pPr>
    <w:rPr>
      <w:rFonts w:ascii="宋体" w:hAnsi="宋体" w:cs="宋体"/>
      <w:sz w:val="24"/>
      <w:szCs w:val="24"/>
    </w:rPr>
  </w:style>
  <w:style w:type="character" w:customStyle="1" w:styleId="72">
    <w:name w:val="fontstyle01"/>
    <w:basedOn w:val="31"/>
    <w:qFormat/>
    <w:uiPriority w:val="99"/>
    <w:rPr>
      <w:rFonts w:ascii="宋体" w:eastAsia="宋体" w:cs="宋体"/>
      <w:color w:val="000000"/>
      <w:sz w:val="22"/>
      <w:szCs w:val="22"/>
    </w:rPr>
  </w:style>
  <w:style w:type="paragraph" w:customStyle="1" w:styleId="73">
    <w:name w:val="居中表格内容标题"/>
    <w:basedOn w:val="74"/>
    <w:qFormat/>
    <w:uiPriority w:val="0"/>
    <w:pPr>
      <w:jc w:val="center"/>
    </w:pPr>
    <w:rPr>
      <w:b/>
    </w:rPr>
  </w:style>
  <w:style w:type="paragraph" w:customStyle="1" w:styleId="74">
    <w:name w:val="居中表格内容"/>
    <w:basedOn w:val="1"/>
    <w:next w:val="1"/>
    <w:qFormat/>
    <w:uiPriority w:val="0"/>
    <w:pPr>
      <w:jc w:val="left"/>
    </w:pPr>
    <w:rPr>
      <w:szCs w:val="28"/>
    </w:rPr>
  </w:style>
  <w:style w:type="paragraph" w:customStyle="1" w:styleId="75">
    <w:name w:val="Body text|1"/>
    <w:basedOn w:val="1"/>
    <w:qFormat/>
    <w:uiPriority w:val="0"/>
    <w:pPr>
      <w:spacing w:line="374" w:lineRule="auto"/>
      <w:ind w:firstLine="400"/>
    </w:pPr>
    <w:rPr>
      <w:rFonts w:ascii="宋体" w:hAnsi="宋体" w:cs="宋体"/>
      <w:sz w:val="30"/>
      <w:szCs w:val="30"/>
      <w:lang w:val="zh-TW" w:eastAsia="zh-TW" w:bidi="zh-TW"/>
    </w:rPr>
  </w:style>
  <w:style w:type="paragraph" w:customStyle="1" w:styleId="76">
    <w:name w:val="Body text|2"/>
    <w:basedOn w:val="1"/>
    <w:qFormat/>
    <w:uiPriority w:val="0"/>
    <w:pPr>
      <w:spacing w:line="360" w:lineRule="auto"/>
      <w:ind w:firstLine="660"/>
    </w:pPr>
    <w:rPr>
      <w:sz w:val="32"/>
      <w:szCs w:val="32"/>
      <w:lang w:val="zh-TW" w:eastAsia="zh-TW" w:bidi="zh-TW"/>
    </w:rPr>
  </w:style>
  <w:style w:type="character" w:customStyle="1" w:styleId="77">
    <w:name w:val="NormalCharacter"/>
    <w:semiHidden/>
    <w:qFormat/>
    <w:uiPriority w:val="0"/>
  </w:style>
  <w:style w:type="paragraph" w:customStyle="1" w:styleId="78">
    <w:name w:val="CM26"/>
    <w:basedOn w:val="1"/>
    <w:next w:val="1"/>
    <w:qFormat/>
    <w:uiPriority w:val="0"/>
    <w:pPr>
      <w:autoSpaceDE w:val="0"/>
      <w:autoSpaceDN w:val="0"/>
      <w:adjustRightInd w:val="0"/>
      <w:spacing w:line="400" w:lineRule="atLeast"/>
      <w:jc w:val="left"/>
    </w:pPr>
    <w:rPr>
      <w:rFonts w:ascii="宋体" w:hAnsi="宋体"/>
      <w:kern w:val="0"/>
      <w:sz w:val="24"/>
    </w:rPr>
  </w:style>
  <w:style w:type="paragraph" w:customStyle="1" w:styleId="79">
    <w:name w:val="xc正文"/>
    <w:basedOn w:val="1"/>
    <w:qFormat/>
    <w:uiPriority w:val="0"/>
    <w:pPr>
      <w:ind w:firstLine="200" w:firstLineChars="200"/>
    </w:pPr>
    <w:rPr>
      <w:szCs w:val="24"/>
    </w:rPr>
  </w:style>
  <w:style w:type="paragraph" w:styleId="80">
    <w:name w:val="List Paragraph"/>
    <w:basedOn w:val="1"/>
    <w:qFormat/>
    <w:uiPriority w:val="1"/>
    <w:pPr>
      <w:ind w:firstLine="420" w:firstLineChars="200"/>
    </w:pPr>
    <w:rPr>
      <w:szCs w:val="24"/>
    </w:rPr>
  </w:style>
  <w:style w:type="character" w:customStyle="1" w:styleId="81">
    <w:name w:val="fontstyle21"/>
    <w:qFormat/>
    <w:uiPriority w:val="0"/>
    <w:rPr>
      <w:rFonts w:hint="default" w:ascii="TimesNewRomanPSMT" w:hAnsi="TimesNewRomanPSMT"/>
      <w:color w:val="000000"/>
      <w:sz w:val="32"/>
      <w:szCs w:val="32"/>
    </w:rPr>
  </w:style>
  <w:style w:type="paragraph" w:customStyle="1" w:styleId="82">
    <w:name w:val="_Style 16"/>
    <w:next w:val="1"/>
    <w:qFormat/>
    <w:uiPriority w:val="39"/>
    <w:pPr>
      <w:widowControl w:val="0"/>
      <w:tabs>
        <w:tab w:val="left" w:pos="540"/>
        <w:tab w:val="right" w:leader="dot" w:pos="8890"/>
      </w:tabs>
      <w:spacing w:beforeLines="15" w:afterLines="15" w:line="560" w:lineRule="exact"/>
    </w:pPr>
    <w:rPr>
      <w:rFonts w:ascii="Times New Roman" w:hAnsi="Times New Roman" w:eastAsia="黑体" w:cs="Times New Roman"/>
      <w:b/>
      <w:bCs/>
      <w:caps/>
      <w:kern w:val="2"/>
      <w:sz w:val="28"/>
      <w:szCs w:val="28"/>
      <w:lang w:val="en-US" w:eastAsia="zh-CN" w:bidi="ar-SA"/>
    </w:rPr>
  </w:style>
  <w:style w:type="paragraph" w:customStyle="1" w:styleId="83">
    <w:name w:val="_Style 76"/>
    <w:basedOn w:val="1"/>
    <w:next w:val="80"/>
    <w:qFormat/>
    <w:uiPriority w:val="34"/>
    <w:pPr>
      <w:ind w:firstLine="420" w:firstLineChars="200"/>
    </w:pPr>
    <w:rPr>
      <w:szCs w:val="24"/>
    </w:rPr>
  </w:style>
  <w:style w:type="paragraph" w:customStyle="1" w:styleId="84">
    <w:name w:val="纯文本1"/>
    <w:basedOn w:val="1"/>
    <w:qFormat/>
    <w:uiPriority w:val="0"/>
    <w:pPr>
      <w:ind w:firstLine="280" w:firstLineChars="100"/>
    </w:pPr>
    <w:rPr>
      <w:rFonts w:hAnsi="宋体" w:cs="Courier New"/>
    </w:rPr>
  </w:style>
  <w:style w:type="paragraph" w:customStyle="1" w:styleId="85">
    <w:name w:val="居中表名"/>
    <w:basedOn w:val="1"/>
    <w:next w:val="1"/>
    <w:qFormat/>
    <w:uiPriority w:val="0"/>
    <w:pPr>
      <w:jc w:val="center"/>
    </w:pPr>
    <w:rPr>
      <w:rFonts w:eastAsia="黑体"/>
      <w:b/>
      <w:szCs w:val="28"/>
    </w:rPr>
  </w:style>
  <w:style w:type="paragraph" w:customStyle="1" w:styleId="86">
    <w:name w:val="列表段落1"/>
    <w:basedOn w:val="1"/>
    <w:qFormat/>
    <w:uiPriority w:val="0"/>
    <w:pPr>
      <w:ind w:firstLine="420"/>
    </w:pPr>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列出段落2"/>
    <w:basedOn w:val="1"/>
    <w:qFormat/>
    <w:uiPriority w:val="1"/>
    <w:pPr>
      <w:ind w:firstLine="420" w:firstLineChars="200"/>
    </w:pPr>
    <w:rPr>
      <w:szCs w:val="24"/>
    </w:rPr>
  </w:style>
  <w:style w:type="character" w:customStyle="1" w:styleId="89">
    <w:name w:val="font21"/>
    <w:qFormat/>
    <w:uiPriority w:val="0"/>
    <w:rPr>
      <w:rFonts w:hint="eastAsia" w:ascii="宋体" w:hAnsi="宋体" w:eastAsia="宋体" w:cs="宋体"/>
      <w:b/>
      <w:color w:val="FF0000"/>
      <w:sz w:val="24"/>
      <w:szCs w:val="24"/>
      <w:u w:val="none"/>
    </w:rPr>
  </w:style>
  <w:style w:type="paragraph" w:customStyle="1" w:styleId="90">
    <w:name w:val="样式6"/>
    <w:basedOn w:val="14"/>
    <w:qFormat/>
    <w:uiPriority w:val="0"/>
    <w:pPr>
      <w:adjustRightInd w:val="0"/>
      <w:spacing w:line="460" w:lineRule="exact"/>
      <w:outlineLvl w:val="2"/>
    </w:pPr>
    <w:rPr>
      <w:rFonts w:ascii="仿宋_GB2312" w:hAnsi="宋体" w:eastAsia="仿宋_GB2312" w:cs="Times New Roman"/>
      <w:b/>
      <w:bCs/>
      <w:sz w:val="24"/>
      <w:szCs w:val="24"/>
    </w:rPr>
  </w:style>
  <w:style w:type="paragraph" w:customStyle="1" w:styleId="91">
    <w:name w:val="我的正文"/>
    <w:basedOn w:val="1"/>
    <w:qFormat/>
    <w:uiPriority w:val="0"/>
    <w:pPr>
      <w:spacing w:line="360" w:lineRule="auto"/>
      <w:ind w:firstLine="200" w:firstLineChars="200"/>
    </w:pPr>
    <w:rPr>
      <w:sz w:val="24"/>
    </w:rPr>
  </w:style>
  <w:style w:type="paragraph" w:styleId="92">
    <w:name w:val="No Spacing"/>
    <w:qFormat/>
    <w:uiPriority w:val="1"/>
    <w:pPr>
      <w:widowControl w:val="0"/>
      <w:ind w:firstLine="200" w:firstLineChars="200"/>
      <w:jc w:val="both"/>
    </w:pPr>
    <w:rPr>
      <w:rFonts w:ascii="等线" w:hAnsi="等线" w:eastAsia="仿宋" w:cs="Times New Roman"/>
      <w:kern w:val="2"/>
      <w:sz w:val="24"/>
      <w:szCs w:val="22"/>
      <w:lang w:val="en-US" w:eastAsia="zh-CN" w:bidi="ar-SA"/>
    </w:rPr>
  </w:style>
  <w:style w:type="paragraph" w:customStyle="1" w:styleId="93">
    <w:name w:val="Table Paragraph"/>
    <w:basedOn w:val="1"/>
    <w:qFormat/>
    <w:uiPriority w:val="1"/>
    <w:pPr>
      <w:jc w:val="left"/>
    </w:pPr>
    <w:rPr>
      <w:rFonts w:ascii="Calibri" w:hAnsi="Calibri" w:eastAsia="Calibri"/>
      <w:kern w:val="0"/>
      <w:sz w:val="22"/>
      <w:szCs w:val="20"/>
      <w:lang w:eastAsia="en-US"/>
    </w:rPr>
  </w:style>
  <w:style w:type="paragraph" w:customStyle="1" w:styleId="94">
    <w:name w:val="__正文"/>
    <w:basedOn w:val="1"/>
    <w:qFormat/>
    <w:uiPriority w:val="0"/>
    <w:pPr>
      <w:spacing w:line="360" w:lineRule="auto"/>
      <w:ind w:firstLine="560" w:firstLineChars="200"/>
    </w:pPr>
    <w:rPr>
      <w:sz w:val="28"/>
      <w:szCs w:val="28"/>
    </w:rPr>
  </w:style>
  <w:style w:type="paragraph" w:customStyle="1" w:styleId="95">
    <w:name w:val="正文带缩进"/>
    <w:next w:val="1"/>
    <w:qFormat/>
    <w:uiPriority w:val="0"/>
    <w:pPr>
      <w:spacing w:line="600" w:lineRule="exact"/>
      <w:ind w:firstLine="200" w:firstLineChars="200"/>
      <w:jc w:val="both"/>
    </w:pPr>
    <w:rPr>
      <w:rFonts w:ascii="仿宋_GB2312" w:hAnsi="Calibri" w:eastAsia="仿宋_GB2312" w:cs="Times New Roman"/>
      <w:kern w:val="2"/>
      <w:sz w:val="28"/>
      <w:szCs w:val="22"/>
      <w:lang w:val="en-US" w:eastAsia="zh-CN" w:bidi="ar-SA"/>
    </w:rPr>
  </w:style>
  <w:style w:type="paragraph" w:customStyle="1" w:styleId="96">
    <w:name w:val="正文不带缩进"/>
    <w:qFormat/>
    <w:uiPriority w:val="0"/>
    <w:pPr>
      <w:spacing w:line="360" w:lineRule="auto"/>
      <w:jc w:val="both"/>
    </w:pPr>
    <w:rPr>
      <w:rFonts w:ascii="仿宋_GB2312" w:hAnsi="Calibri" w:eastAsia="仿宋_GB2312" w:cs="Times New Roman"/>
      <w:kern w:val="2"/>
      <w:sz w:val="28"/>
      <w:szCs w:val="32"/>
      <w:lang w:val="en-US" w:eastAsia="zh-CN" w:bidi="ar-SA"/>
    </w:rPr>
  </w:style>
  <w:style w:type="paragraph" w:customStyle="1" w:styleId="97">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8">
    <w:name w:val="Default"/>
    <w:qFormat/>
    <w:uiPriority w:val="0"/>
    <w:pPr>
      <w:widowControl w:val="0"/>
      <w:autoSpaceDE w:val="0"/>
      <w:autoSpaceDN w:val="0"/>
      <w:adjustRightInd w:val="0"/>
    </w:pPr>
    <w:rPr>
      <w:rFonts w:ascii="宋体" w:hAnsi="等线" w:eastAsia="宋体" w:cs="Times New Roman"/>
      <w:color w:val="000000"/>
      <w:sz w:val="24"/>
      <w:lang w:val="en-US" w:eastAsia="zh-CN" w:bidi="ar-SA"/>
    </w:rPr>
  </w:style>
  <w:style w:type="character" w:customStyle="1" w:styleId="99">
    <w:name w:val="HTML 预设格式 Char"/>
    <w:basedOn w:val="31"/>
    <w:link w:val="24"/>
    <w:qFormat/>
    <w:uiPriority w:val="0"/>
    <w:rPr>
      <w:rFonts w:ascii="宋体" w:hAnsi="宋体" w:cs="宋体"/>
      <w:sz w:val="24"/>
      <w:szCs w:val="24"/>
    </w:rPr>
  </w:style>
  <w:style w:type="character" w:customStyle="1" w:styleId="100">
    <w:name w:val="批注文字 Char"/>
    <w:basedOn w:val="31"/>
    <w:link w:val="10"/>
    <w:qFormat/>
    <w:uiPriority w:val="0"/>
    <w:rPr>
      <w:kern w:val="2"/>
      <w:sz w:val="21"/>
      <w:szCs w:val="21"/>
    </w:rPr>
  </w:style>
  <w:style w:type="character" w:customStyle="1" w:styleId="101">
    <w:name w:val="Subtle Emphasis"/>
    <w:qFormat/>
    <w:uiPriority w:val="19"/>
    <w:rPr>
      <w:rFonts w:eastAsiaTheme="minorEastAsia"/>
      <w:iCs/>
      <w:color w:val="auto"/>
      <w:sz w:val="21"/>
    </w:rPr>
  </w:style>
  <w:style w:type="paragraph" w:customStyle="1" w:styleId="102">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03">
    <w:name w:val="章正文"/>
    <w:basedOn w:val="1"/>
    <w:qFormat/>
    <w:uiPriority w:val="99"/>
    <w:pPr>
      <w:spacing w:beforeLines="50" w:after="120" w:line="300" w:lineRule="auto"/>
      <w:ind w:firstLine="480"/>
    </w:pPr>
    <w:rPr>
      <w:rFonts w:ascii="Helvetica" w:hAnsi="Helvetic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59</Pages>
  <Words>16051</Words>
  <Characters>17168</Characters>
  <Lines>246</Lines>
  <Paragraphs>69</Paragraphs>
  <TotalTime>19</TotalTime>
  <ScaleCrop>false</ScaleCrop>
  <LinksUpToDate>false</LinksUpToDate>
  <CharactersWithSpaces>17639</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2021-12-06T19:03:00Z</dcterms:created>
  <dc:creator>陈圣楠</dc:creator>
  <cp:lastModifiedBy>Administrator</cp:lastModifiedBy>
  <cp:lastPrinted>2024-02-19T08:49:00Z</cp:lastPrinted>
  <dcterms:modified xsi:type="dcterms:W3CDTF">2025-03-19T07:05:57Z</dcterms:modified>
  <dc:title>上虞区自然资源变更监测项目</dc:title>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7EC47621DB7942B38838D9A67D06B615</vt:lpwstr>
  </property>
  <property fmtid="{D5CDD505-2E9C-101B-9397-08002B2CF9AE}" pid="4" name="KSOTemplateDocerSaveRecord">
    <vt:lpwstr>eyJoZGlkIjoiNjY1YWU2ZTk2MGU1NDNlZGY5MzE0NzM2ODJlNDA4NTkiLCJ1c2VySWQiOiI0ODQwNDM5OTQifQ==</vt:lpwstr>
  </property>
</Properties>
</file>