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33F031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14:paraId="194B5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r>
        <w:rPr>
          <w:rFonts w:hint="eastAsia" w:ascii="宋体" w:hAnsi="宋体" w:cs="宋体"/>
          <w:b/>
          <w:bCs/>
          <w:sz w:val="52"/>
          <w:szCs w:val="52"/>
          <w:lang w:val="en-US" w:eastAsia="zh-CN"/>
        </w:rPr>
        <w:t>2024-2026年度暨南街道乡村道路、桥涵、天然气、道路照明灯公共设施等巡查服务采购项目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诸正开2024-12-04</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5"/>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人）：诸暨市人民政府暨南街道办事处</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月</w:t>
      </w:r>
    </w:p>
    <w:p w14:paraId="44B4AAA7">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4AFD1D63">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2024-2026年度暨南街道乡村道路、桥涵、天然气、道路照明灯公共设施等巡查服务采购项目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7E9619B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诸正开2024-12-04</w:t>
      </w:r>
    </w:p>
    <w:p w14:paraId="47E3F68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2024-2026年度暨南街道乡村道路、桥涵、天然气、道路照明灯公共设施等巡查服务采购项目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3000000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3000000</w:t>
      </w:r>
    </w:p>
    <w:p w14:paraId="0DE72C9F">
      <w:pPr>
        <w:pStyle w:val="59"/>
        <w:spacing w:beforeLines="50" w:beforeAutospacing="0" w:afterLines="50" w:afterAutospacing="0" w:line="240" w:lineRule="auto"/>
        <w:ind w:firstLine="482" w:firstLineChars="200"/>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采购需求：</w:t>
      </w:r>
      <w:r>
        <w:rPr>
          <w:rFonts w:hint="eastAsia" w:ascii="仿宋" w:hAnsi="仿宋" w:eastAsia="仿宋" w:cs="仿宋"/>
          <w:bCs/>
          <w:sz w:val="24"/>
          <w:lang w:eastAsia="zh-CN"/>
        </w:rPr>
        <w:t>2024-2026年度暨南街道乡村道路、桥涵、天然气、道路照明灯公共设施等巡查服务采购项目</w:t>
      </w:r>
      <w:r>
        <w:rPr>
          <w:rFonts w:hint="eastAsia" w:ascii="仿宋" w:hAnsi="仿宋" w:eastAsia="仿宋" w:cs="仿宋"/>
          <w:sz w:val="24"/>
        </w:rPr>
        <w:t>，采购预算金额为</w:t>
      </w:r>
      <w:r>
        <w:rPr>
          <w:rFonts w:hint="eastAsia" w:ascii="仿宋" w:hAnsi="仿宋" w:eastAsia="仿宋" w:cs="仿宋"/>
          <w:sz w:val="24"/>
          <w:lang w:val="en-US" w:eastAsia="zh-CN"/>
        </w:rPr>
        <w:t>300</w:t>
      </w:r>
      <w:r>
        <w:rPr>
          <w:rFonts w:hint="eastAsia" w:ascii="仿宋" w:hAnsi="仿宋" w:eastAsia="仿宋" w:cs="仿宋"/>
          <w:sz w:val="24"/>
        </w:rPr>
        <w:t>万元。</w:t>
      </w:r>
    </w:p>
    <w:p w14:paraId="355ACDA4">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Times New Roman" w:hAnsi="Times New Roman" w:eastAsia="仿宋" w:cs="Times New Roman"/>
          <w:color w:val="auto"/>
          <w:kern w:val="2"/>
          <w:sz w:val="24"/>
          <w:szCs w:val="24"/>
          <w:lang w:val="en-US" w:eastAsia="zh-CN" w:bidi="ar-SA"/>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Times New Roman" w:eastAsia="仿宋" w:cs="Times New Roman"/>
          <w:color w:val="auto"/>
          <w:kern w:val="2"/>
          <w:sz w:val="24"/>
          <w:szCs w:val="24"/>
          <w:lang w:val="en-US" w:eastAsia="zh-CN" w:bidi="ar-SA"/>
        </w:rPr>
        <w:t>详见采购需求</w:t>
      </w:r>
      <w:r>
        <w:rPr>
          <w:rFonts w:hint="eastAsia" w:ascii="Times New Roman" w:hAnsi="Times New Roman" w:eastAsia="仿宋" w:cs="Times New Roman"/>
          <w:color w:val="auto"/>
          <w:kern w:val="2"/>
          <w:sz w:val="24"/>
          <w:szCs w:val="24"/>
          <w:lang w:val="en-US" w:eastAsia="zh-CN" w:bidi="ar-SA"/>
        </w:rPr>
        <w:t>。</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10B50A4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符合政府采购法第二十二条之供应商资格规定；未被“信用中国”（www.creditchina.gov.cn）、中国政府采购网（www.ccgp.gov.cn）列入失信被执行人、重大税收违法案件当事人名单、政府采购严重违法失信行为记录名单；</w:t>
      </w:r>
    </w:p>
    <w:p w14:paraId="4184FADB">
      <w:pPr>
        <w:spacing w:line="420" w:lineRule="exact"/>
        <w:ind w:firstLine="480"/>
        <w:rPr>
          <w:rFonts w:hint="eastAsia" w:ascii="仿宋" w:hAnsi="仿宋" w:eastAsia="仿宋" w:cs="仿宋"/>
          <w:sz w:val="24"/>
          <w:highlight w:val="yellow"/>
          <w:lang w:val="en-US" w:eastAsia="zh-CN"/>
        </w:rPr>
      </w:pPr>
      <w:r>
        <w:rPr>
          <w:rFonts w:hint="eastAsia" w:ascii="仿宋" w:hAnsi="仿宋" w:eastAsia="仿宋" w:cs="仿宋"/>
          <w:sz w:val="24"/>
          <w:highlight w:val="none"/>
        </w:rPr>
        <w:t>2.落实政府采购政策需满足的资格要求：</w:t>
      </w:r>
      <w:r>
        <w:rPr>
          <w:rFonts w:hint="eastAsia" w:ascii="仿宋" w:hAnsi="仿宋" w:eastAsia="仿宋" w:cs="仿宋"/>
          <w:bCs/>
          <w:sz w:val="24"/>
          <w:highlight w:val="none"/>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r>
        <w:rPr>
          <w:rFonts w:hint="eastAsia" w:ascii="仿宋" w:hAnsi="仿宋" w:eastAsia="仿宋" w:cs="仿宋"/>
          <w:bCs/>
          <w:color w:val="auto"/>
          <w:sz w:val="24"/>
          <w:szCs w:val="24"/>
          <w:highlight w:val="none"/>
        </w:rPr>
        <w:t>；</w:t>
      </w:r>
    </w:p>
    <w:p w14:paraId="7F6213A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3.本项目的特定资格要求：</w:t>
      </w:r>
      <w:r>
        <w:rPr>
          <w:rFonts w:hint="eastAsia" w:ascii="仿宋" w:hAnsi="仿宋" w:eastAsia="仿宋" w:cs="仿宋"/>
          <w:sz w:val="24"/>
          <w:lang w:val="en-US" w:eastAsia="zh-CN"/>
        </w:rPr>
        <w:t>无</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b w:val="0"/>
          <w:bCs/>
          <w:color w:val="auto"/>
          <w:sz w:val="24"/>
          <w:highlight w:val="none"/>
          <w:u w:val="single"/>
          <w:lang w:val="en-US" w:eastAsia="zh-CN"/>
        </w:rPr>
        <w:t>月30</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诸暨市人民政府暨南街道办事处</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地    址：诸暨市</w:t>
      </w:r>
      <w:r>
        <w:rPr>
          <w:rFonts w:hint="eastAsia" w:ascii="仿宋" w:hAnsi="仿宋" w:eastAsia="仿宋" w:cs="仿宋"/>
          <w:b w:val="0"/>
          <w:bCs/>
          <w:kern w:val="2"/>
          <w:sz w:val="24"/>
          <w:szCs w:val="21"/>
          <w:lang w:val="en-US" w:eastAsia="zh-CN" w:bidi="ar-SA"/>
        </w:rPr>
        <w:t>暨南街道办事处</w:t>
      </w:r>
    </w:p>
    <w:p w14:paraId="7E0C72B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项目联系人（询问）：</w:t>
      </w:r>
      <w:r>
        <w:rPr>
          <w:rFonts w:hint="eastAsia" w:ascii="仿宋" w:hAnsi="仿宋" w:eastAsia="仿宋" w:cs="仿宋"/>
          <w:b w:val="0"/>
          <w:bCs/>
          <w:kern w:val="2"/>
          <w:sz w:val="24"/>
          <w:szCs w:val="21"/>
          <w:lang w:val="en-US" w:eastAsia="zh-CN" w:bidi="ar-SA"/>
        </w:rPr>
        <w:t>周杰</w:t>
      </w:r>
    </w:p>
    <w:p w14:paraId="7BE753A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b w:val="0"/>
          <w:bCs/>
          <w:kern w:val="2"/>
          <w:sz w:val="24"/>
          <w:szCs w:val="21"/>
          <w:lang w:val="en-US" w:eastAsia="zh-CN" w:bidi="ar-SA"/>
        </w:rPr>
        <w:t>：13758578989</w:t>
      </w:r>
    </w:p>
    <w:p w14:paraId="0D9C313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质疑联系人：周主任</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质疑联系人工作电话：</w:t>
      </w:r>
      <w:r>
        <w:rPr>
          <w:rFonts w:hint="eastAsia" w:ascii="仿宋" w:hAnsi="仿宋" w:eastAsia="仿宋" w:cs="仿宋"/>
          <w:b w:val="0"/>
          <w:bCs/>
          <w:kern w:val="2"/>
          <w:sz w:val="24"/>
          <w:szCs w:val="21"/>
          <w:lang w:val="en-US" w:eastAsia="zh-CN" w:bidi="ar-SA"/>
        </w:rPr>
        <w:t>13758578989</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bookmarkStart w:id="394" w:name="_GoBack"/>
      <w:bookmarkEnd w:id="394"/>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73"/>
        <w:gridCol w:w="7465"/>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65"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65"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65"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4"/>
              <w:keepNext w:val="0"/>
              <w:keepLines w:val="0"/>
              <w:pageBreakBefore w:val="0"/>
              <w:widowControl w:val="0"/>
              <w:numPr>
                <w:ilvl w:val="0"/>
                <w:numId w:val="1"/>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4"/>
              <w:keepNext w:val="0"/>
              <w:keepLines w:val="0"/>
              <w:pageBreakBefore w:val="0"/>
              <w:widowControl w:val="0"/>
              <w:numPr>
                <w:ilvl w:val="0"/>
                <w:numId w:val="1"/>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65" w:type="dxa"/>
            <w:tcBorders>
              <w:top w:val="single" w:color="000000" w:sz="8" w:space="0"/>
              <w:left w:val="single" w:color="000000" w:sz="2" w:space="0"/>
              <w:bottom w:val="single" w:color="000000" w:sz="8" w:space="0"/>
              <w:right w:val="single" w:color="000000" w:sz="8" w:space="0"/>
            </w:tcBorders>
            <w:vAlign w:val="center"/>
          </w:tcPr>
          <w:p w14:paraId="0D57051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3BEBE94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73"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65" w:type="dxa"/>
            <w:tcBorders>
              <w:top w:val="single" w:color="000000" w:sz="8" w:space="0"/>
              <w:left w:val="single" w:color="000000" w:sz="2" w:space="0"/>
              <w:right w:val="single" w:color="000000" w:sz="8" w:space="0"/>
            </w:tcBorders>
            <w:vAlign w:val="center"/>
          </w:tcPr>
          <w:p w14:paraId="5F4CE3E3">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0F983C62">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43AD7B3F">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0DAEB03D">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color w:val="auto"/>
                <w:sz w:val="24"/>
                <w:szCs w:val="24"/>
                <w:lang w:val="en-US" w:eastAsia="zh-CN"/>
              </w:rPr>
              <w:t>无</w:t>
            </w:r>
            <w:r>
              <w:rPr>
                <w:rFonts w:hint="eastAsia" w:ascii="仿宋" w:hAnsi="仿宋" w:eastAsia="仿宋" w:cs="仿宋"/>
                <w:lang w:val="en-US" w:eastAsia="zh-CN"/>
              </w:rPr>
              <w:t>。</w:t>
            </w:r>
          </w:p>
          <w:p w14:paraId="14FBC0CA">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73"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65" w:type="dxa"/>
            <w:tcBorders>
              <w:top w:val="single" w:color="000000" w:sz="8" w:space="0"/>
              <w:left w:val="single" w:color="000000" w:sz="2" w:space="0"/>
              <w:right w:val="single" w:color="000000" w:sz="8" w:space="0"/>
            </w:tcBorders>
            <w:vAlign w:val="center"/>
          </w:tcPr>
          <w:p w14:paraId="13D39DBE">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73"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65" w:type="dxa"/>
            <w:tcBorders>
              <w:top w:val="single" w:color="000000" w:sz="8" w:space="0"/>
              <w:left w:val="single" w:color="000000" w:sz="2" w:space="0"/>
              <w:right w:val="single" w:color="000000" w:sz="8" w:space="0"/>
            </w:tcBorders>
            <w:vAlign w:val="center"/>
          </w:tcPr>
          <w:p w14:paraId="6C5DCF23">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65"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73"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65"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65"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8DACEF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39D7D0E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758701D2">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65"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73"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65"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65"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0A36E6C1">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65" w:type="dxa"/>
            <w:tcBorders>
              <w:top w:val="single" w:color="000000" w:sz="8" w:space="0"/>
              <w:left w:val="single" w:color="000000" w:sz="2" w:space="0"/>
              <w:bottom w:val="single" w:color="000000" w:sz="8" w:space="0"/>
              <w:right w:val="single" w:color="000000" w:sz="8" w:space="0"/>
            </w:tcBorders>
            <w:vAlign w:val="center"/>
          </w:tcPr>
          <w:p w14:paraId="5B1866D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rPr>
              <w:t>标</w:t>
            </w:r>
            <w:r>
              <w:rPr>
                <w:rFonts w:hint="eastAsia" w:ascii="仿宋" w:hAnsi="仿宋" w:eastAsia="仿宋" w:cs="仿宋"/>
                <w:kern w:val="0"/>
                <w:sz w:val="24"/>
                <w:lang w:val="en-US" w:eastAsia="zh-CN"/>
              </w:rPr>
              <w:t>项:</w:t>
            </w:r>
            <w:r>
              <w:rPr>
                <w:rFonts w:hint="eastAsia" w:ascii="仿宋" w:hAnsi="仿宋" w:eastAsia="仿宋" w:cs="仿宋"/>
                <w:b w:val="0"/>
                <w:bCs/>
                <w:sz w:val="24"/>
                <w:u w:val="single"/>
                <w:lang w:eastAsia="zh-CN"/>
              </w:rPr>
              <w:t>2024-2026年度暨南街道乡村道路、桥涵、天然气、道路照明灯公共设施等巡查服务采购项目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73"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65"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73"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465"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73"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65"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：本项目招标代理服务费由项目中标单位支付,具体收费根据项目的中标金额，采用差额定率累进法进行计算，具体费率标准如下：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977"/>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2"/>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822E79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E935164">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C705C5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1696D24">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9A4BA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82F0C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05384C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74F2C5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4"/>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4"/>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4"/>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4"/>
        <w:keepNext w:val="0"/>
        <w:keepLines w:val="0"/>
        <w:pageBreakBefore w:val="0"/>
        <w:widowControl w:val="0"/>
        <w:kinsoku/>
        <w:wordWrap/>
        <w:overflowPunct/>
        <w:topLinePunct w:val="0"/>
        <w:autoSpaceDE/>
        <w:autoSpaceDN/>
        <w:bidi w:val="0"/>
        <w:adjustRightInd w:val="0"/>
        <w:snapToGrid/>
        <w:spacing w:before="0" w:line="336"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4"/>
        <w:keepNext w:val="0"/>
        <w:keepLines w:val="0"/>
        <w:pageBreakBefore w:val="0"/>
        <w:widowControl w:val="0"/>
        <w:kinsoku/>
        <w:wordWrap/>
        <w:overflowPunct/>
        <w:topLinePunct w:val="0"/>
        <w:autoSpaceDE/>
        <w:autoSpaceDN/>
        <w:bidi w:val="0"/>
        <w:adjustRightInd w:val="0"/>
        <w:snapToGrid/>
        <w:spacing w:before="0" w:line="336"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4"/>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336" w:lineRule="auto"/>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4"/>
        <w:keepNext w:val="0"/>
        <w:keepLines w:val="0"/>
        <w:pageBreakBefore w:val="0"/>
        <w:widowControl w:val="0"/>
        <w:kinsoku/>
        <w:wordWrap/>
        <w:overflowPunct/>
        <w:topLinePunct w:val="0"/>
        <w:autoSpaceDE/>
        <w:autoSpaceDN/>
        <w:bidi w:val="0"/>
        <w:adjustRightInd w:val="0"/>
        <w:snapToGrid/>
        <w:spacing w:before="0" w:line="336" w:lineRule="auto"/>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336" w:lineRule="auto"/>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336" w:lineRule="auto"/>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4"/>
        <w:keepNext w:val="0"/>
        <w:keepLines w:val="0"/>
        <w:pageBreakBefore w:val="0"/>
        <w:kinsoku/>
        <w:wordWrap/>
        <w:overflowPunct/>
        <w:topLinePunct w:val="0"/>
        <w:autoSpaceDE/>
        <w:autoSpaceDN/>
        <w:bidi w:val="0"/>
        <w:adjustRightInd w:val="0"/>
        <w:snapToGrid w:val="0"/>
        <w:spacing w:before="0" w:line="336" w:lineRule="auto"/>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4"/>
        <w:keepNext w:val="0"/>
        <w:keepLines w:val="0"/>
        <w:pageBreakBefore w:val="0"/>
        <w:shd w:val="clear"/>
        <w:kinsoku/>
        <w:wordWrap/>
        <w:overflowPunct/>
        <w:topLinePunct w:val="0"/>
        <w:autoSpaceDE/>
        <w:autoSpaceDN/>
        <w:bidi w:val="0"/>
        <w:adjustRightInd w:val="0"/>
        <w:snapToGrid w:val="0"/>
        <w:spacing w:before="0" w:line="336"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336"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336"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336" w:lineRule="auto"/>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336" w:lineRule="auto"/>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336" w:lineRule="auto"/>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336" w:lineRule="auto"/>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40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40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40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4"/>
        <w:keepNext w:val="0"/>
        <w:keepLines w:val="0"/>
        <w:pageBreakBefore w:val="0"/>
        <w:widowControl w:val="0"/>
        <w:kinsoku/>
        <w:wordWrap/>
        <w:overflowPunct/>
        <w:topLinePunct w:val="0"/>
        <w:autoSpaceDE/>
        <w:autoSpaceDN/>
        <w:bidi w:val="0"/>
        <w:adjustRightInd w:val="0"/>
        <w:snapToGrid w:val="0"/>
        <w:spacing w:before="0" w:line="40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40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40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1DF3961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68072990"/>
      <w:bookmarkEnd w:id="12"/>
      <w:bookmarkStart w:id="13" w:name="_Hlt74730295"/>
      <w:bookmarkEnd w:id="13"/>
      <w:bookmarkStart w:id="14" w:name="_Hlt75236011"/>
      <w:bookmarkEnd w:id="14"/>
      <w:bookmarkStart w:id="15" w:name="_Hlt68072998"/>
      <w:bookmarkEnd w:id="15"/>
      <w:bookmarkStart w:id="16" w:name="_Hlt75236101"/>
      <w:bookmarkEnd w:id="16"/>
      <w:bookmarkStart w:id="17" w:name="_Hlt68073093"/>
      <w:bookmarkEnd w:id="17"/>
      <w:bookmarkStart w:id="18" w:name="_Hlt74729768"/>
      <w:bookmarkEnd w:id="18"/>
      <w:bookmarkStart w:id="19" w:name="_Hlt74714665"/>
      <w:bookmarkEnd w:id="19"/>
      <w:bookmarkStart w:id="20" w:name="_Hlt74707468"/>
      <w:bookmarkEnd w:id="20"/>
      <w:bookmarkStart w:id="21" w:name="_Hlt68403820"/>
      <w:bookmarkEnd w:id="21"/>
      <w:bookmarkStart w:id="22" w:name="_Hlt75236290"/>
      <w:bookmarkEnd w:id="22"/>
      <w:bookmarkStart w:id="23" w:name="_Hlt68057669"/>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639C0808">
      <w:pPr>
        <w:pStyle w:val="977"/>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（一）总体说明</w:t>
      </w:r>
    </w:p>
    <w:p w14:paraId="0D4ADBB4">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暨南街道地域面积广、区域大，地域范围包括王家井镇、街亭镇和暨阳街道开化江以南部分区域，街道面积140.9平方公里，共有37个村社。暨南街道辖区内共有省县镇村各级道路113条，平时道路交通繁忙，巡查力量薄弱；同时境内有石油、天然气等管道穿街道而过，也需要进行日常巡查。</w:t>
      </w:r>
    </w:p>
    <w:p w14:paraId="65B0AFB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为了更好地管护道路、桥涵、天然气管道、道路照明等基础设施,保障群众生产生活安全,暨南街道拟向社会力量购买暨南街道乡村道路、桥涵、天然气、道路照明等公共设施的维护服务。</w:t>
      </w:r>
    </w:p>
    <w:p w14:paraId="480D4C24">
      <w:pPr>
        <w:pStyle w:val="977"/>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（二）服务期限</w:t>
      </w:r>
    </w:p>
    <w:p w14:paraId="52F0A42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服务期限为</w:t>
      </w:r>
      <w:r>
        <w:rPr>
          <w:rFonts w:hint="eastAsia" w:ascii="仿宋" w:hAnsi="仿宋" w:eastAsia="仿宋" w:cs="仿宋"/>
          <w:bCs/>
          <w:sz w:val="24"/>
          <w:lang w:val="en-US" w:eastAsia="zh-CN"/>
        </w:rPr>
        <w:t>合同签订之日起至2026年11月30日</w:t>
      </w:r>
      <w:r>
        <w:rPr>
          <w:rFonts w:hint="eastAsia" w:ascii="仿宋" w:hAnsi="仿宋" w:eastAsia="仿宋" w:cs="仿宋"/>
          <w:bCs/>
          <w:sz w:val="24"/>
        </w:rPr>
        <w:t>。</w:t>
      </w:r>
    </w:p>
    <w:p w14:paraId="4F7A106D">
      <w:pPr>
        <w:pStyle w:val="977"/>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（三）工作范围及服务要求</w:t>
      </w:r>
    </w:p>
    <w:p w14:paraId="4BCB860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1、维护内容及范围：</w:t>
      </w:r>
    </w:p>
    <w:p w14:paraId="034D37AB">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（1）在服务期限内维护内容包括现有及新增乡村道路、桥涵、天然气、道路照明等公共设施等，主要是对服务范围内标的内容的巡查及简单维护服务，损坏情况的及时发现及上报。 </w:t>
      </w:r>
    </w:p>
    <w:p w14:paraId="2393DBA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（2）凡影响正常运转的都在维护范围内。</w:t>
      </w:r>
    </w:p>
    <w:p w14:paraId="1CC96D2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（3）设备因交通事故、他人施工、故意破坏及盗窃等因素导致损坏的，属于简单维护范围的应先行修复，其修复费用由行为人承担，行为人未支付的，列入维护范围内。</w:t>
      </w:r>
    </w:p>
    <w:p w14:paraId="65D379D3">
      <w:pPr>
        <w:pStyle w:val="62"/>
        <w:keepNext w:val="0"/>
        <w:keepLines w:val="0"/>
        <w:pageBreakBefore w:val="0"/>
        <w:kinsoku/>
        <w:wordWrap/>
        <w:overflowPunct/>
        <w:topLinePunct w:val="0"/>
        <w:bidi w:val="0"/>
        <w:spacing w:after="0" w:line="312" w:lineRule="auto"/>
        <w:ind w:firstLine="240"/>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 xml:space="preserve"> （4）需要专业维护的项目不在本次招标范围内。</w:t>
      </w:r>
    </w:p>
    <w:p w14:paraId="7373961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2、中标供应商须在诸暨范围内设立服务机构，配备专职人员，及时完成采购人交代的本次采购范围内的工作。拟派本项目的项目负责人原则上每月出勤率应达到60%。</w:t>
      </w:r>
    </w:p>
    <w:p w14:paraId="0333411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3、日常维护内容要求</w:t>
      </w:r>
    </w:p>
    <w:p w14:paraId="3E18A0D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3.1日常维护内容要求：</w:t>
      </w:r>
    </w:p>
    <w:p w14:paraId="3E87F4D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1)保障招标范围内维护设施7×24小时正常运行。</w:t>
      </w:r>
    </w:p>
    <w:p w14:paraId="3FF1DD34">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2)招标范围内每周至少巡检一次，并建立巡检台帐，每周上报一次，供采购人随时检查。巡检内容包括但不限于以下内容：</w:t>
      </w:r>
    </w:p>
    <w:p w14:paraId="41DB776D">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a)安全检查，检查设施的完整性和牢固性，消除人为或自然原因影响安全和功能使用的隐患。</w:t>
      </w:r>
    </w:p>
    <w:p w14:paraId="4D9FB1D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b)做好基础资料编辑修改工作,编写基础资料。</w:t>
      </w:r>
    </w:p>
    <w:p w14:paraId="2202ECF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3)遇灾害天气，应提前检查加固外场设备，确保外场设备的安全。</w:t>
      </w:r>
    </w:p>
    <w:p w14:paraId="69B9790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3.2日常维护制度要求：</w:t>
      </w:r>
    </w:p>
    <w:p w14:paraId="0F78522C">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1)巡检方式：现场巡检；</w:t>
      </w:r>
    </w:p>
    <w:p w14:paraId="27720EFC">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2)巡检责任人：维保单位明确固定的巡检责任人；</w:t>
      </w:r>
    </w:p>
    <w:p w14:paraId="3143880C">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3)巡检时间：周一至周五必须根据维护区域开展巡检，发现问题，应将现场照片、存在的问题、地点等马上报采购人，每周五将下一周巡检计划书面报采购人，采购人有权对巡检安排进行调整；</w:t>
      </w:r>
    </w:p>
    <w:p w14:paraId="0A78ECF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3.3重大事件报告制度要求：</w:t>
      </w:r>
    </w:p>
    <w:p w14:paraId="075DA2C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若在巡检及维护中，发现重大事件必须第一时间同时以电话和书面邮件的形式上报，维保单位负责人应迅速赶往突发事件现场，立即对现场进行处理并判断该事件为一般突发事件或重大突发事件，要求20分钟内给出相应应对的措施，杜绝事态发展的扩大，以最大的程度降低损失。</w:t>
      </w:r>
    </w:p>
    <w:p w14:paraId="41B16CF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3.4重大事件报告范围</w:t>
      </w:r>
    </w:p>
    <w:p w14:paraId="40E7156B">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1)出现影响重大活动任务正常进行的，无法及时修复； </w:t>
      </w:r>
    </w:p>
    <w:p w14:paraId="6C07CB2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2)因道路施工、无备品备件替换等各种原因无法及时修复的；</w:t>
      </w:r>
    </w:p>
    <w:p w14:paraId="4909762F">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3)出现危及人身安全、设施安全的问题或出现事故征兆等异常情况；</w:t>
      </w:r>
    </w:p>
    <w:p w14:paraId="0782EE3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4)发生设施、工程车辆以及人身安全事故；</w:t>
      </w:r>
    </w:p>
    <w:p w14:paraId="433E41D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5)上级部门、上级领导下达的指示、要求、处置后的情况；</w:t>
      </w:r>
    </w:p>
    <w:p w14:paraId="6518BA9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6)其他需要报告的事件。</w:t>
      </w:r>
    </w:p>
    <w:p w14:paraId="54494180">
      <w:pPr>
        <w:keepNext w:val="0"/>
        <w:keepLines w:val="0"/>
        <w:pageBreakBefore w:val="0"/>
        <w:kinsoku/>
        <w:wordWrap/>
        <w:overflowPunct/>
        <w:topLinePunct w:val="0"/>
        <w:bidi w:val="0"/>
        <w:spacing w:line="312" w:lineRule="auto"/>
        <w:textAlignment w:val="auto"/>
        <w:rPr>
          <w:rFonts w:hint="eastAsia" w:ascii="仿宋" w:hAnsi="仿宋" w:eastAsia="仿宋" w:cs="仿宋"/>
          <w:bCs/>
          <w:sz w:val="24"/>
        </w:rPr>
      </w:pPr>
      <w:r>
        <w:rPr>
          <w:rFonts w:hint="eastAsia" w:ascii="仿宋" w:hAnsi="仿宋" w:eastAsia="仿宋" w:cs="仿宋"/>
          <w:b/>
          <w:bCs/>
          <w:sz w:val="24"/>
        </w:rPr>
        <w:t>（四）培训指导</w:t>
      </w:r>
      <w:r>
        <w:rPr>
          <w:rFonts w:hint="eastAsia" w:ascii="仿宋" w:hAnsi="仿宋" w:eastAsia="仿宋" w:cs="仿宋"/>
          <w:bCs/>
          <w:sz w:val="24"/>
        </w:rPr>
        <w:t>：由中标单位根据工作性质负责岗前培训。</w:t>
      </w:r>
    </w:p>
    <w:p w14:paraId="5676CEE3">
      <w:pPr>
        <w:keepNext w:val="0"/>
        <w:keepLines w:val="0"/>
        <w:pageBreakBefore w:val="0"/>
        <w:kinsoku/>
        <w:wordWrap/>
        <w:overflowPunct/>
        <w:topLinePunct w:val="0"/>
        <w:bidi w:val="0"/>
        <w:spacing w:line="312" w:lineRule="auto"/>
        <w:textAlignment w:val="auto"/>
        <w:rPr>
          <w:rFonts w:hint="eastAsia" w:ascii="仿宋" w:hAnsi="仿宋" w:eastAsia="仿宋" w:cs="仿宋"/>
        </w:rPr>
      </w:pPr>
      <w:r>
        <w:rPr>
          <w:rFonts w:hint="eastAsia" w:ascii="仿宋" w:hAnsi="仿宋" w:eastAsia="仿宋" w:cs="仿宋"/>
          <w:b/>
          <w:bCs/>
          <w:sz w:val="24"/>
        </w:rPr>
        <w:t>（五）人员要求：</w:t>
      </w:r>
      <w:r>
        <w:rPr>
          <w:rFonts w:hint="eastAsia" w:ascii="仿宋" w:hAnsi="仿宋" w:eastAsia="仿宋" w:cs="仿宋"/>
          <w:bCs/>
          <w:sz w:val="24"/>
        </w:rPr>
        <w:t>工作人员数量必须根据工作实际需要及业主单位要求随时调整，人员年龄20－48周岁，大专及以上文化程度，身体健康，能熟练掌握智能手机及电脑操作，退役军人及有相关工作经验者可适当放宽年龄限制。</w:t>
      </w:r>
    </w:p>
    <w:p w14:paraId="77F7EAC7">
      <w:pPr>
        <w:pStyle w:val="977"/>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（六）考核要求</w:t>
      </w:r>
    </w:p>
    <w:p w14:paraId="023FFCA9">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中标方每有一次下列行为之一的，采购单位有权要求中标方立即更换相关工作人员并可每次扣减中标方500—5000元的费用。</w:t>
      </w:r>
    </w:p>
    <w:p w14:paraId="231B862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（1）中标方员工因工作失误，或违反工作纪律，导致采购单位被上级通报批评等不良影响的，或其本人被采购单位通报批评两次以上的情况；</w:t>
      </w:r>
    </w:p>
    <w:p w14:paraId="0CAF9EDF">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（2）中标方工作人员严重违反采购单位规章制度的行为；</w:t>
      </w:r>
    </w:p>
    <w:p w14:paraId="18AFEDA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（3）中标方员工不能提供真实有效的健康证明、身份证明的，或提供虚假的健康证明、身份证明的情况；</w:t>
      </w:r>
    </w:p>
    <w:p w14:paraId="730EA123">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（4）中标方员工在工作中谩骂他人或斗殴或以肢体、拳脚相击的行为；</w:t>
      </w:r>
    </w:p>
    <w:p w14:paraId="136C0D8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（5）严格执行考勤制度。考勤不及时，考勤不真实，出勤未打卡的行为；</w:t>
      </w:r>
    </w:p>
    <w:p w14:paraId="0C3B7559">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（6）职员请休假未按规定要求履行报批手续的行为；</w:t>
      </w:r>
    </w:p>
    <w:p w14:paraId="2B64A45A">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（7）服务人员因工作原因辞职，新员工无法及时对接的的情况；</w:t>
      </w:r>
    </w:p>
    <w:p w14:paraId="59369164">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（8）职员岗位变动、人员异动未按人事管理权限要求及时报行政人事部（处）审批的的情况；</w:t>
      </w:r>
    </w:p>
    <w:p w14:paraId="345FE09D">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（9）工作时间内在办公区域或操作平台玩游戏、聚众赌博的的行为；</w:t>
      </w:r>
    </w:p>
    <w:p w14:paraId="179BC8D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（10）工作时间内存在擅离职守或玩忽职守等行为的行为；</w:t>
      </w:r>
    </w:p>
    <w:p w14:paraId="284CEC7F">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（11）接到投诉、举报服务人员服务不到位，态度恶劣或服务水平低下的的情况；</w:t>
      </w:r>
    </w:p>
    <w:p w14:paraId="555616C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（12）未及时提供服务或接到投诉通知后未及时响应的的情况；</w:t>
      </w:r>
    </w:p>
    <w:p w14:paraId="6A7C7A2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（13）未严格遵守安全操作规程，发现存在安全隐患的的情况；</w:t>
      </w:r>
    </w:p>
    <w:p w14:paraId="393F038B">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（14）按规定参加采购单位召开的工作例会、考核会、各专项例会等会议的的情况；</w:t>
      </w:r>
    </w:p>
    <w:p w14:paraId="0B0C174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（15）其他违反服务原则性情况或接到群众投诉的情况。</w:t>
      </w:r>
    </w:p>
    <w:p w14:paraId="790AAA4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一经发现上述情况，采购单位有权要求中标方退回或更换服务工作人员，同时中标方必须保证出勤人数，不影响采购单位的正常工作的进展；对于中标方支付员工的工资低于当地政府最低工资标准的，采购单位有权要求其立即改正。</w:t>
      </w:r>
    </w:p>
    <w:p w14:paraId="09DD1D8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若合同期间累计发生3次上述行为的，采购单位有权解除合同并要求中标方承担外包合同总金额10%。</w:t>
      </w:r>
    </w:p>
    <w:p w14:paraId="593D7A68">
      <w:pPr>
        <w:keepNext w:val="0"/>
        <w:keepLines w:val="0"/>
        <w:pageBreakBefore w:val="0"/>
        <w:kinsoku/>
        <w:wordWrap/>
        <w:overflowPunct/>
        <w:topLinePunct w:val="0"/>
        <w:bidi w:val="0"/>
        <w:spacing w:line="312" w:lineRule="auto"/>
        <w:ind w:firstLine="540" w:firstLineChars="224"/>
        <w:textAlignment w:val="auto"/>
        <w:rPr>
          <w:rFonts w:hint="eastAsia" w:ascii="仿宋" w:hAnsi="仿宋" w:eastAsia="仿宋" w:cs="仿宋"/>
          <w:b/>
          <w:bCs/>
          <w:sz w:val="24"/>
        </w:rPr>
      </w:pPr>
      <w:r>
        <w:rPr>
          <w:rFonts w:hint="eastAsia" w:ascii="仿宋" w:hAnsi="仿宋" w:eastAsia="仿宋" w:cs="仿宋"/>
          <w:b/>
          <w:bCs/>
          <w:sz w:val="24"/>
        </w:rPr>
        <w:t>（七）服务响应。</w:t>
      </w:r>
    </w:p>
    <w:p w14:paraId="3D8811E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要求提供24小时的实时支持响应服务。未经采购人许可，本项目投入人员不得擅自更换，工作期间，保证随叫随到。要求在12小时内响应招标单位提出的疑问并及时提交修改意见。</w:t>
      </w:r>
    </w:p>
    <w:p w14:paraId="216DAB97">
      <w:pPr>
        <w:keepNext w:val="0"/>
        <w:keepLines w:val="0"/>
        <w:pageBreakBefore w:val="0"/>
        <w:tabs>
          <w:tab w:val="left" w:pos="360"/>
          <w:tab w:val="left" w:pos="540"/>
        </w:tabs>
        <w:kinsoku/>
        <w:wordWrap/>
        <w:overflowPunct/>
        <w:topLinePunct w:val="0"/>
        <w:bidi w:val="0"/>
        <w:snapToGrid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（八）履约保证金</w:t>
      </w:r>
    </w:p>
    <w:p w14:paraId="45939A1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中标单位须向采购单位缴纳</w:t>
      </w:r>
      <w:r>
        <w:rPr>
          <w:rFonts w:hint="eastAsia" w:ascii="仿宋" w:hAnsi="仿宋" w:eastAsia="仿宋" w:cs="仿宋"/>
          <w:bCs/>
          <w:sz w:val="24"/>
          <w:lang w:val="en-US" w:eastAsia="zh-CN"/>
        </w:rPr>
        <w:t>合同</w:t>
      </w:r>
      <w:r>
        <w:rPr>
          <w:rFonts w:hint="eastAsia" w:ascii="仿宋" w:hAnsi="仿宋" w:eastAsia="仿宋" w:cs="仿宋"/>
          <w:bCs/>
          <w:sz w:val="24"/>
        </w:rPr>
        <w:t>金额1%的履约保证金，项目</w:t>
      </w:r>
      <w:r>
        <w:rPr>
          <w:rFonts w:hint="eastAsia" w:ascii="仿宋" w:hAnsi="仿宋" w:eastAsia="仿宋" w:cs="仿宋"/>
          <w:bCs/>
          <w:sz w:val="24"/>
          <w:lang w:val="en-US" w:eastAsia="zh-CN"/>
        </w:rPr>
        <w:t>按合同要求履约</w:t>
      </w:r>
      <w:r>
        <w:rPr>
          <w:rFonts w:hint="eastAsia" w:ascii="仿宋" w:hAnsi="仿宋" w:eastAsia="仿宋" w:cs="仿宋"/>
          <w:bCs/>
          <w:sz w:val="24"/>
        </w:rPr>
        <w:t>完成后十天内无息退还。</w:t>
      </w:r>
    </w:p>
    <w:p w14:paraId="663332A3">
      <w:pPr>
        <w:keepNext w:val="0"/>
        <w:keepLines w:val="0"/>
        <w:pageBreakBefore w:val="0"/>
        <w:kinsoku/>
        <w:wordWrap/>
        <w:overflowPunct/>
        <w:topLinePunct w:val="0"/>
        <w:bidi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（九）支付方式</w:t>
      </w:r>
    </w:p>
    <w:p w14:paraId="2411679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合同生效以及具备实施条件后7个工作日内</w:t>
      </w:r>
      <w:r>
        <w:rPr>
          <w:rFonts w:hint="eastAsia" w:ascii="仿宋" w:hAnsi="仿宋" w:eastAsia="仿宋" w:cs="仿宋"/>
          <w:bCs/>
          <w:color w:val="000000"/>
          <w:kern w:val="0"/>
          <w:sz w:val="24"/>
          <w:szCs w:val="24"/>
          <w:lang w:val="en-US" w:eastAsia="zh-CN"/>
        </w:rPr>
        <w:t>采购单位</w:t>
      </w:r>
      <w:r>
        <w:rPr>
          <w:rFonts w:hint="eastAsia" w:ascii="仿宋" w:hAnsi="仿宋" w:eastAsia="仿宋" w:cs="仿宋"/>
          <w:bCs/>
          <w:color w:val="000000"/>
          <w:kern w:val="0"/>
          <w:sz w:val="24"/>
          <w:szCs w:val="24"/>
        </w:rPr>
        <w:t>向中标方支付合同金额</w:t>
      </w:r>
      <w:r>
        <w:rPr>
          <w:rFonts w:hint="eastAsia" w:ascii="仿宋" w:hAnsi="仿宋" w:eastAsia="仿宋" w:cs="仿宋"/>
          <w:bCs/>
          <w:color w:val="000000"/>
          <w:kern w:val="0"/>
          <w:sz w:val="24"/>
          <w:szCs w:val="24"/>
          <w:lang w:val="en-US" w:eastAsia="zh-CN"/>
        </w:rPr>
        <w:t>20</w:t>
      </w:r>
      <w:r>
        <w:rPr>
          <w:rFonts w:hint="eastAsia" w:ascii="仿宋" w:hAnsi="仿宋" w:eastAsia="仿宋" w:cs="仿宋"/>
          <w:bCs/>
          <w:color w:val="000000"/>
          <w:kern w:val="0"/>
          <w:sz w:val="24"/>
          <w:szCs w:val="24"/>
        </w:rPr>
        <w:t>%的预付款（支付条件：签订合同时中标方明确表示无需预付款或者主动要求降低预付款比例的可不适用前述规定）</w:t>
      </w:r>
      <w:r>
        <w:rPr>
          <w:rFonts w:hint="eastAsia" w:ascii="仿宋" w:hAnsi="仿宋" w:eastAsia="仿宋" w:cs="仿宋"/>
          <w:bCs/>
          <w:color w:val="000000"/>
          <w:kern w:val="0"/>
          <w:sz w:val="24"/>
          <w:szCs w:val="24"/>
          <w:lang w:eastAsia="zh-CN"/>
        </w:rPr>
        <w:t>。</w:t>
      </w:r>
    </w:p>
    <w:p w14:paraId="13CAD0B3">
      <w:pPr>
        <w:pStyle w:val="59"/>
        <w:keepNext w:val="0"/>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本项目每半年结算一次，先服务后支付，每半年结束后20天内支付通过采购单位验收考核的实际服务费</w:t>
      </w:r>
      <w:r>
        <w:rPr>
          <w:rFonts w:hint="eastAsia" w:ascii="仿宋" w:hAnsi="仿宋" w:eastAsia="仿宋" w:cs="仿宋"/>
          <w:lang w:eastAsia="zh-CN"/>
        </w:rPr>
        <w:t>（</w:t>
      </w:r>
      <w:r>
        <w:rPr>
          <w:rFonts w:hint="eastAsia" w:ascii="仿宋" w:hAnsi="仿宋" w:eastAsia="仿宋" w:cs="仿宋"/>
          <w:lang w:val="en-US" w:eastAsia="zh-CN"/>
        </w:rPr>
        <w:t>按比例扣除预付款）</w:t>
      </w:r>
      <w:r>
        <w:rPr>
          <w:rFonts w:hint="eastAsia" w:ascii="仿宋" w:hAnsi="仿宋" w:eastAsia="仿宋" w:cs="仿宋"/>
        </w:rPr>
        <w:t>。付款前</w:t>
      </w:r>
      <w:r>
        <w:rPr>
          <w:rFonts w:hint="eastAsia" w:ascii="仿宋" w:hAnsi="仿宋" w:eastAsia="仿宋" w:cs="仿宋"/>
          <w:color w:val="333333"/>
          <w:shd w:val="clear" w:color="auto" w:fill="FFFFFF"/>
        </w:rPr>
        <w:t>中标单位</w:t>
      </w:r>
      <w:r>
        <w:rPr>
          <w:rFonts w:hint="eastAsia" w:ascii="仿宋" w:hAnsi="仿宋" w:eastAsia="仿宋" w:cs="仿宋"/>
        </w:rPr>
        <w:t>须提供符合采购单位财务要求的正规税务发票。</w:t>
      </w:r>
    </w:p>
    <w:p w14:paraId="5AC8184F">
      <w:pPr>
        <w:keepNext w:val="0"/>
        <w:keepLines w:val="0"/>
        <w:pageBreakBefore w:val="0"/>
        <w:tabs>
          <w:tab w:val="left" w:pos="360"/>
          <w:tab w:val="left" w:pos="540"/>
        </w:tabs>
        <w:kinsoku/>
        <w:wordWrap/>
        <w:overflowPunct/>
        <w:topLinePunct w:val="0"/>
        <w:bidi w:val="0"/>
        <w:snapToGrid w:val="0"/>
        <w:spacing w:line="312" w:lineRule="auto"/>
        <w:ind w:firstLine="482" w:firstLineChars="200"/>
        <w:textAlignment w:val="auto"/>
        <w:rPr>
          <w:rFonts w:hint="eastAsia" w:ascii="仿宋" w:hAnsi="仿宋" w:eastAsia="仿宋" w:cs="仿宋"/>
          <w:bCs/>
          <w:sz w:val="24"/>
        </w:rPr>
      </w:pPr>
      <w:r>
        <w:rPr>
          <w:rFonts w:hint="eastAsia" w:ascii="仿宋" w:hAnsi="仿宋" w:eastAsia="仿宋" w:cs="仿宋"/>
          <w:b/>
          <w:bCs/>
          <w:sz w:val="24"/>
        </w:rPr>
        <w:t>（十）</w:t>
      </w:r>
      <w:r>
        <w:rPr>
          <w:rFonts w:hint="eastAsia" w:ascii="仿宋" w:hAnsi="仿宋" w:eastAsia="仿宋" w:cs="仿宋"/>
          <w:b/>
          <w:sz w:val="24"/>
        </w:rPr>
        <w:t>最高限价</w:t>
      </w:r>
    </w:p>
    <w:p w14:paraId="540FB5E2">
      <w:pPr>
        <w:keepNext w:val="0"/>
        <w:keepLines w:val="0"/>
        <w:pageBreakBefore w:val="0"/>
        <w:kinsoku/>
        <w:wordWrap/>
        <w:overflowPunct/>
        <w:topLinePunct w:val="0"/>
        <w:bidi w:val="0"/>
        <w:spacing w:line="312" w:lineRule="auto"/>
        <w:ind w:firstLine="480" w:firstLineChars="200"/>
        <w:textAlignment w:val="auto"/>
        <w:rPr>
          <w:rFonts w:ascii="宋体" w:hAnsi="宋体"/>
          <w:bCs/>
        </w:rPr>
      </w:pPr>
      <w:r>
        <w:rPr>
          <w:rFonts w:hint="eastAsia" w:ascii="仿宋" w:hAnsi="仿宋" w:eastAsia="仿宋" w:cs="仿宋"/>
          <w:bCs/>
          <w:sz w:val="24"/>
        </w:rPr>
        <w:t>本次采购最高限价人民币</w:t>
      </w:r>
      <w:r>
        <w:rPr>
          <w:rFonts w:hint="eastAsia" w:ascii="仿宋" w:hAnsi="仿宋" w:eastAsia="仿宋" w:cs="仿宋"/>
          <w:bCs/>
          <w:sz w:val="24"/>
          <w:lang w:val="en-US" w:eastAsia="zh-CN"/>
        </w:rPr>
        <w:t>叁</w:t>
      </w:r>
      <w:r>
        <w:rPr>
          <w:rFonts w:hint="eastAsia" w:ascii="仿宋" w:hAnsi="仿宋" w:eastAsia="仿宋" w:cs="仿宋"/>
          <w:bCs/>
          <w:sz w:val="24"/>
        </w:rPr>
        <w:t>佰万元（￥</w:t>
      </w:r>
      <w:r>
        <w:rPr>
          <w:rFonts w:hint="eastAsia" w:ascii="仿宋" w:hAnsi="仿宋" w:eastAsia="仿宋" w:cs="仿宋"/>
          <w:bCs/>
          <w:sz w:val="24"/>
          <w:lang w:val="en-US" w:eastAsia="zh-CN"/>
        </w:rPr>
        <w:t>30</w:t>
      </w:r>
      <w:r>
        <w:rPr>
          <w:rFonts w:hint="eastAsia" w:ascii="仿宋" w:hAnsi="仿宋" w:eastAsia="仿宋" w:cs="仿宋"/>
          <w:bCs/>
          <w:sz w:val="24"/>
        </w:rPr>
        <w:t>00000.00）整，任何超过最高限价的报价将被认定为无效报价。</w:t>
      </w:r>
    </w:p>
    <w:p w14:paraId="24BAEABD">
      <w:pPr>
        <w:pStyle w:val="63"/>
        <w:keepNext w:val="0"/>
        <w:keepLines w:val="0"/>
        <w:pageBreakBefore w:val="0"/>
        <w:kinsoku/>
        <w:wordWrap/>
        <w:overflowPunct/>
        <w:topLinePunct w:val="0"/>
        <w:bidi w:val="0"/>
        <w:spacing w:line="312" w:lineRule="auto"/>
        <w:textAlignment w:val="auto"/>
        <w:rPr>
          <w:rFonts w:hint="eastAsia" w:ascii="仿宋" w:hAnsi="仿宋" w:eastAsia="仿宋" w:cs="仿宋"/>
          <w:color w:val="auto"/>
          <w:highlight w:val="none"/>
        </w:rPr>
      </w:pPr>
    </w:p>
    <w:p w14:paraId="2F6C39B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495D07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BE76CC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BDC847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65BD6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413EBB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3C1B9C2">
      <w:pPr>
        <w:rPr>
          <w:rFonts w:hint="eastAsia"/>
          <w:lang w:val="en-US" w:eastAsia="zh-CN"/>
        </w:rPr>
      </w:pPr>
    </w:p>
    <w:p w14:paraId="47F402D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86"/>
      <w:bookmarkEnd w:id="25"/>
      <w:bookmarkStart w:id="26" w:name="_Toc184310326"/>
      <w:bookmarkEnd w:id="26"/>
      <w:bookmarkStart w:id="27" w:name="_Toc184312071"/>
      <w:bookmarkEnd w:id="27"/>
      <w:bookmarkStart w:id="28" w:name="_Toc184310275"/>
      <w:bookmarkEnd w:id="28"/>
      <w:bookmarkStart w:id="29" w:name="_Toc184308038"/>
      <w:bookmarkEnd w:id="29"/>
      <w:bookmarkStart w:id="30" w:name="_Toc184314452"/>
      <w:bookmarkEnd w:id="30"/>
      <w:bookmarkStart w:id="31" w:name="_Toc184308059"/>
      <w:bookmarkEnd w:id="31"/>
      <w:bookmarkStart w:id="32" w:name="_Toc184312079"/>
      <w:bookmarkEnd w:id="32"/>
      <w:bookmarkStart w:id="33" w:name="_Toc184310298"/>
      <w:bookmarkEnd w:id="33"/>
      <w:bookmarkStart w:id="34" w:name="_Toc184312084"/>
      <w:bookmarkEnd w:id="34"/>
      <w:bookmarkStart w:id="35" w:name="_Toc184313287"/>
      <w:bookmarkEnd w:id="35"/>
      <w:bookmarkStart w:id="36" w:name="_Toc184313306"/>
      <w:bookmarkEnd w:id="36"/>
      <w:bookmarkStart w:id="37" w:name="_Toc184312112"/>
      <w:bookmarkEnd w:id="37"/>
      <w:bookmarkStart w:id="38" w:name="_Toc184308067"/>
      <w:bookmarkEnd w:id="38"/>
      <w:bookmarkStart w:id="39" w:name="_Toc184312128"/>
      <w:bookmarkEnd w:id="39"/>
      <w:bookmarkStart w:id="40" w:name="_Toc184313250"/>
      <w:bookmarkEnd w:id="40"/>
      <w:bookmarkStart w:id="41" w:name="_Toc184308088"/>
      <w:bookmarkEnd w:id="41"/>
      <w:bookmarkStart w:id="42" w:name="_Toc184312123"/>
      <w:bookmarkEnd w:id="42"/>
      <w:bookmarkStart w:id="43" w:name="_Toc184310324"/>
      <w:bookmarkEnd w:id="43"/>
      <w:bookmarkStart w:id="44" w:name="_Toc184314436"/>
      <w:bookmarkEnd w:id="44"/>
      <w:bookmarkStart w:id="45" w:name="_Toc184314435"/>
      <w:bookmarkEnd w:id="45"/>
      <w:bookmarkStart w:id="46" w:name="_Toc184313258"/>
      <w:bookmarkEnd w:id="46"/>
      <w:bookmarkStart w:id="47" w:name="_Toc184313302"/>
      <w:bookmarkEnd w:id="47"/>
      <w:bookmarkStart w:id="48" w:name="_Toc184314437"/>
      <w:bookmarkEnd w:id="48"/>
      <w:bookmarkStart w:id="49" w:name="_Toc184314425"/>
      <w:bookmarkEnd w:id="49"/>
      <w:bookmarkStart w:id="50" w:name="_Toc184310302"/>
      <w:bookmarkEnd w:id="50"/>
      <w:bookmarkStart w:id="51" w:name="_Toc184308080"/>
      <w:bookmarkEnd w:id="51"/>
      <w:bookmarkStart w:id="52" w:name="_Toc184314465"/>
      <w:bookmarkEnd w:id="52"/>
      <w:bookmarkStart w:id="53" w:name="_Toc184313241"/>
      <w:bookmarkEnd w:id="53"/>
      <w:bookmarkStart w:id="54" w:name="_Toc184308103"/>
      <w:bookmarkEnd w:id="54"/>
      <w:bookmarkStart w:id="55" w:name="_Toc184312094"/>
      <w:bookmarkEnd w:id="55"/>
      <w:bookmarkStart w:id="56" w:name="_Toc184310320"/>
      <w:bookmarkEnd w:id="56"/>
      <w:bookmarkStart w:id="57" w:name="_Toc184308075"/>
      <w:bookmarkEnd w:id="57"/>
      <w:bookmarkStart w:id="58" w:name="_Toc184308096"/>
      <w:bookmarkEnd w:id="58"/>
      <w:bookmarkStart w:id="59" w:name="_Toc184314463"/>
      <w:bookmarkEnd w:id="59"/>
      <w:bookmarkStart w:id="60" w:name="_Toc184313251"/>
      <w:bookmarkEnd w:id="60"/>
      <w:bookmarkStart w:id="61" w:name="_Toc184312082"/>
      <w:bookmarkEnd w:id="61"/>
      <w:bookmarkStart w:id="62" w:name="_Toc184313305"/>
      <w:bookmarkEnd w:id="62"/>
      <w:bookmarkStart w:id="63" w:name="_Toc184308087"/>
      <w:bookmarkEnd w:id="63"/>
      <w:bookmarkStart w:id="64" w:name="_Toc184308043"/>
      <w:bookmarkEnd w:id="64"/>
      <w:bookmarkStart w:id="65" w:name="_Toc184310308"/>
      <w:bookmarkEnd w:id="65"/>
      <w:bookmarkStart w:id="66" w:name="_Toc184312139"/>
      <w:bookmarkEnd w:id="66"/>
      <w:bookmarkStart w:id="67" w:name="_Toc184308083"/>
      <w:bookmarkEnd w:id="67"/>
      <w:bookmarkStart w:id="68" w:name="_Toc184314461"/>
      <w:bookmarkEnd w:id="68"/>
      <w:bookmarkStart w:id="69" w:name="_Toc184310313"/>
      <w:bookmarkEnd w:id="69"/>
      <w:bookmarkStart w:id="70" w:name="_Toc184310286"/>
      <w:bookmarkEnd w:id="70"/>
      <w:bookmarkStart w:id="71" w:name="_Toc184308036"/>
      <w:bookmarkEnd w:id="71"/>
      <w:bookmarkStart w:id="72" w:name="_Toc184312132"/>
      <w:bookmarkEnd w:id="72"/>
      <w:bookmarkStart w:id="73" w:name="_Toc184313299"/>
      <w:bookmarkEnd w:id="73"/>
      <w:bookmarkStart w:id="74" w:name="_Toc184314410"/>
      <w:bookmarkEnd w:id="74"/>
      <w:bookmarkStart w:id="75" w:name="_Toc184308065"/>
      <w:bookmarkEnd w:id="75"/>
      <w:bookmarkStart w:id="76" w:name="_Toc184312129"/>
      <w:bookmarkEnd w:id="76"/>
      <w:bookmarkStart w:id="77" w:name="_Toc184310282"/>
      <w:bookmarkEnd w:id="77"/>
      <w:bookmarkStart w:id="78" w:name="_Toc184312121"/>
      <w:bookmarkEnd w:id="78"/>
      <w:bookmarkStart w:id="79" w:name="_Toc184314434"/>
      <w:bookmarkEnd w:id="79"/>
      <w:bookmarkStart w:id="80" w:name="_Toc184308042"/>
      <w:bookmarkEnd w:id="80"/>
      <w:bookmarkStart w:id="81" w:name="_Toc184308102"/>
      <w:bookmarkEnd w:id="81"/>
      <w:bookmarkStart w:id="82" w:name="_Toc184310341"/>
      <w:bookmarkEnd w:id="82"/>
      <w:bookmarkStart w:id="83" w:name="_Toc184313263"/>
      <w:bookmarkEnd w:id="83"/>
      <w:bookmarkStart w:id="84" w:name="_Toc184313293"/>
      <w:bookmarkEnd w:id="84"/>
      <w:bookmarkStart w:id="85" w:name="_Toc184310322"/>
      <w:bookmarkEnd w:id="85"/>
      <w:bookmarkStart w:id="86" w:name="_Toc184313259"/>
      <w:bookmarkEnd w:id="86"/>
      <w:bookmarkStart w:id="87" w:name="_Toc184310340"/>
      <w:bookmarkEnd w:id="87"/>
      <w:bookmarkStart w:id="88" w:name="_Toc184313266"/>
      <w:bookmarkEnd w:id="88"/>
      <w:bookmarkStart w:id="89" w:name="_Toc184313267"/>
      <w:bookmarkEnd w:id="89"/>
      <w:bookmarkStart w:id="90" w:name="_Toc184310307"/>
      <w:bookmarkEnd w:id="90"/>
      <w:bookmarkStart w:id="91" w:name="_Toc184312089"/>
      <w:bookmarkEnd w:id="91"/>
      <w:bookmarkStart w:id="92" w:name="_Toc184310323"/>
      <w:bookmarkEnd w:id="92"/>
      <w:bookmarkStart w:id="93" w:name="_Toc184312072"/>
      <w:bookmarkEnd w:id="93"/>
      <w:bookmarkStart w:id="94" w:name="_Toc184314472"/>
      <w:bookmarkEnd w:id="94"/>
      <w:bookmarkStart w:id="95" w:name="_Toc184310332"/>
      <w:bookmarkEnd w:id="95"/>
      <w:bookmarkStart w:id="96" w:name="_Toc184308073"/>
      <w:bookmarkEnd w:id="96"/>
      <w:bookmarkStart w:id="97" w:name="_Toc184313288"/>
      <w:bookmarkEnd w:id="97"/>
      <w:bookmarkStart w:id="98" w:name="_Toc184310337"/>
      <w:bookmarkEnd w:id="98"/>
      <w:bookmarkStart w:id="99" w:name="_Toc184314421"/>
      <w:bookmarkEnd w:id="99"/>
      <w:bookmarkStart w:id="100" w:name="_Toc184310330"/>
      <w:bookmarkEnd w:id="100"/>
      <w:bookmarkStart w:id="101" w:name="_Toc184314414"/>
      <w:bookmarkEnd w:id="101"/>
      <w:bookmarkStart w:id="102" w:name="_Toc184314481"/>
      <w:bookmarkEnd w:id="102"/>
      <w:bookmarkStart w:id="103" w:name="_Toc184313274"/>
      <w:bookmarkEnd w:id="103"/>
      <w:bookmarkStart w:id="104" w:name="_Toc184314470"/>
      <w:bookmarkEnd w:id="104"/>
      <w:bookmarkStart w:id="105" w:name="_Toc184312093"/>
      <w:bookmarkEnd w:id="105"/>
      <w:bookmarkStart w:id="106" w:name="_Toc184308052"/>
      <w:bookmarkEnd w:id="106"/>
      <w:bookmarkStart w:id="107" w:name="_Toc184314428"/>
      <w:bookmarkEnd w:id="107"/>
      <w:bookmarkStart w:id="108" w:name="_Toc184314432"/>
      <w:bookmarkEnd w:id="108"/>
      <w:bookmarkStart w:id="109" w:name="_Toc184312116"/>
      <w:bookmarkEnd w:id="109"/>
      <w:bookmarkStart w:id="110" w:name="_Toc184313257"/>
      <w:bookmarkEnd w:id="110"/>
      <w:bookmarkStart w:id="111" w:name="_Toc184308060"/>
      <w:bookmarkEnd w:id="111"/>
      <w:bookmarkStart w:id="112" w:name="_Toc184308108"/>
      <w:bookmarkEnd w:id="112"/>
      <w:bookmarkStart w:id="113" w:name="_Toc184314476"/>
      <w:bookmarkEnd w:id="113"/>
      <w:bookmarkStart w:id="114" w:name="_Toc184313289"/>
      <w:bookmarkEnd w:id="114"/>
      <w:bookmarkStart w:id="115" w:name="_Toc184308050"/>
      <w:bookmarkEnd w:id="115"/>
      <w:bookmarkStart w:id="116" w:name="_Toc184310285"/>
      <w:bookmarkEnd w:id="116"/>
      <w:bookmarkStart w:id="117" w:name="_Toc184310288"/>
      <w:bookmarkEnd w:id="117"/>
      <w:bookmarkStart w:id="118" w:name="_Toc184308056"/>
      <w:bookmarkEnd w:id="118"/>
      <w:bookmarkStart w:id="119" w:name="_Toc184314411"/>
      <w:bookmarkEnd w:id="119"/>
      <w:bookmarkStart w:id="120" w:name="_Toc184313272"/>
      <w:bookmarkEnd w:id="120"/>
      <w:bookmarkStart w:id="121" w:name="_Toc184314462"/>
      <w:bookmarkEnd w:id="121"/>
      <w:bookmarkStart w:id="122" w:name="_Toc184308040"/>
      <w:bookmarkEnd w:id="122"/>
      <w:bookmarkStart w:id="123" w:name="_Toc184313308"/>
      <w:bookmarkEnd w:id="123"/>
      <w:bookmarkStart w:id="124" w:name="_Toc184310335"/>
      <w:bookmarkEnd w:id="124"/>
      <w:bookmarkStart w:id="125" w:name="_Toc184314448"/>
      <w:bookmarkEnd w:id="125"/>
      <w:bookmarkStart w:id="126" w:name="_Toc184310276"/>
      <w:bookmarkEnd w:id="126"/>
      <w:bookmarkStart w:id="127" w:name="_Toc184314433"/>
      <w:bookmarkEnd w:id="127"/>
      <w:bookmarkStart w:id="128" w:name="_Toc184313252"/>
      <w:bookmarkEnd w:id="128"/>
      <w:bookmarkStart w:id="129" w:name="_Toc184310321"/>
      <w:bookmarkEnd w:id="129"/>
      <w:bookmarkStart w:id="130" w:name="_Toc184312131"/>
      <w:bookmarkEnd w:id="130"/>
      <w:bookmarkStart w:id="131" w:name="_Toc184308097"/>
      <w:bookmarkEnd w:id="131"/>
      <w:bookmarkStart w:id="132" w:name="_Toc184314419"/>
      <w:bookmarkEnd w:id="132"/>
      <w:bookmarkStart w:id="133" w:name="_Toc184312127"/>
      <w:bookmarkEnd w:id="133"/>
      <w:bookmarkStart w:id="134" w:name="_Toc184312100"/>
      <w:bookmarkEnd w:id="134"/>
      <w:bookmarkStart w:id="135" w:name="_Toc184310336"/>
      <w:bookmarkEnd w:id="135"/>
      <w:bookmarkStart w:id="136" w:name="_Toc184314427"/>
      <w:bookmarkEnd w:id="136"/>
      <w:bookmarkStart w:id="137" w:name="_Toc184310277"/>
      <w:bookmarkEnd w:id="137"/>
      <w:bookmarkStart w:id="138" w:name="_Toc184310314"/>
      <w:bookmarkEnd w:id="138"/>
      <w:bookmarkStart w:id="139" w:name="_Toc184312088"/>
      <w:bookmarkEnd w:id="139"/>
      <w:bookmarkStart w:id="140" w:name="_Toc184308044"/>
      <w:bookmarkEnd w:id="140"/>
      <w:bookmarkStart w:id="141" w:name="_Toc184314438"/>
      <w:bookmarkEnd w:id="141"/>
      <w:bookmarkStart w:id="142" w:name="_Toc184313247"/>
      <w:bookmarkEnd w:id="142"/>
      <w:bookmarkStart w:id="143" w:name="_Toc184312106"/>
      <w:bookmarkEnd w:id="143"/>
      <w:bookmarkStart w:id="144" w:name="_Toc184312068"/>
      <w:bookmarkEnd w:id="144"/>
      <w:bookmarkStart w:id="145" w:name="_Toc184313269"/>
      <w:bookmarkEnd w:id="145"/>
      <w:bookmarkStart w:id="146" w:name="_Toc184312124"/>
      <w:bookmarkEnd w:id="146"/>
      <w:bookmarkStart w:id="147" w:name="_Toc184308095"/>
      <w:bookmarkEnd w:id="147"/>
      <w:bookmarkStart w:id="148" w:name="_Toc184314450"/>
      <w:bookmarkEnd w:id="148"/>
      <w:bookmarkStart w:id="149" w:name="_Toc184308046"/>
      <w:bookmarkEnd w:id="149"/>
      <w:bookmarkStart w:id="150" w:name="_Toc184312134"/>
      <w:bookmarkEnd w:id="150"/>
      <w:bookmarkStart w:id="151" w:name="_Toc184313265"/>
      <w:bookmarkEnd w:id="151"/>
      <w:bookmarkStart w:id="152" w:name="_Toc184308051"/>
      <w:bookmarkEnd w:id="152"/>
      <w:bookmarkStart w:id="153" w:name="_Toc184308105"/>
      <w:bookmarkEnd w:id="153"/>
      <w:bookmarkStart w:id="154" w:name="_Toc184314420"/>
      <w:bookmarkEnd w:id="154"/>
      <w:bookmarkStart w:id="155" w:name="_Toc184314471"/>
      <w:bookmarkEnd w:id="155"/>
      <w:bookmarkStart w:id="156" w:name="_Toc184314431"/>
      <w:bookmarkEnd w:id="156"/>
      <w:bookmarkStart w:id="157" w:name="_Toc184308092"/>
      <w:bookmarkEnd w:id="157"/>
      <w:bookmarkStart w:id="158" w:name="_Toc184313278"/>
      <w:bookmarkEnd w:id="158"/>
      <w:bookmarkStart w:id="159" w:name="_Toc184308091"/>
      <w:bookmarkEnd w:id="159"/>
      <w:bookmarkStart w:id="160" w:name="_Toc184314479"/>
      <w:bookmarkEnd w:id="160"/>
      <w:bookmarkStart w:id="161" w:name="_Toc184314454"/>
      <w:bookmarkEnd w:id="161"/>
      <w:bookmarkStart w:id="162" w:name="_Toc184312104"/>
      <w:bookmarkEnd w:id="162"/>
      <w:bookmarkStart w:id="163" w:name="_Toc184314474"/>
      <w:bookmarkEnd w:id="163"/>
      <w:bookmarkStart w:id="164" w:name="_Toc184313254"/>
      <w:bookmarkEnd w:id="164"/>
      <w:bookmarkStart w:id="165" w:name="_Toc184314440"/>
      <w:bookmarkEnd w:id="165"/>
      <w:bookmarkStart w:id="166" w:name="_Toc184312117"/>
      <w:bookmarkEnd w:id="166"/>
      <w:bookmarkStart w:id="167" w:name="_Toc184313264"/>
      <w:bookmarkEnd w:id="167"/>
      <w:bookmarkStart w:id="168" w:name="_Toc184308100"/>
      <w:bookmarkEnd w:id="168"/>
      <w:bookmarkStart w:id="169" w:name="_Toc184312095"/>
      <w:bookmarkEnd w:id="169"/>
      <w:bookmarkStart w:id="170" w:name="_Toc184313268"/>
      <w:bookmarkEnd w:id="170"/>
      <w:bookmarkStart w:id="171" w:name="_Toc184310310"/>
      <w:bookmarkEnd w:id="171"/>
      <w:bookmarkStart w:id="172" w:name="_Toc184310293"/>
      <w:bookmarkEnd w:id="172"/>
      <w:bookmarkStart w:id="173" w:name="_Toc184310331"/>
      <w:bookmarkEnd w:id="173"/>
      <w:bookmarkStart w:id="174" w:name="_Toc184313279"/>
      <w:bookmarkEnd w:id="174"/>
      <w:bookmarkStart w:id="175" w:name="_Toc184314417"/>
      <w:bookmarkEnd w:id="175"/>
      <w:bookmarkStart w:id="176" w:name="_Toc184312109"/>
      <w:bookmarkEnd w:id="176"/>
      <w:bookmarkStart w:id="177" w:name="_Toc184313242"/>
      <w:bookmarkEnd w:id="177"/>
      <w:bookmarkStart w:id="178" w:name="_Toc184312126"/>
      <w:bookmarkEnd w:id="178"/>
      <w:bookmarkStart w:id="179" w:name="_Toc184308054"/>
      <w:bookmarkEnd w:id="179"/>
      <w:bookmarkStart w:id="180" w:name="_Toc184314445"/>
      <w:bookmarkEnd w:id="180"/>
      <w:bookmarkStart w:id="181" w:name="_Toc184313238"/>
      <w:bookmarkEnd w:id="181"/>
      <w:bookmarkStart w:id="182" w:name="_Toc184310300"/>
      <w:bookmarkEnd w:id="182"/>
      <w:bookmarkStart w:id="183" w:name="_Toc184314478"/>
      <w:bookmarkEnd w:id="183"/>
      <w:bookmarkStart w:id="184" w:name="_Toc184312092"/>
      <w:bookmarkEnd w:id="184"/>
      <w:bookmarkStart w:id="185" w:name="_Toc184308104"/>
      <w:bookmarkEnd w:id="185"/>
      <w:bookmarkStart w:id="186" w:name="_Toc184308093"/>
      <w:bookmarkEnd w:id="186"/>
      <w:bookmarkStart w:id="187" w:name="_Toc184308066"/>
      <w:bookmarkEnd w:id="187"/>
      <w:bookmarkStart w:id="188" w:name="_Toc184314482"/>
      <w:bookmarkEnd w:id="188"/>
      <w:bookmarkStart w:id="189" w:name="_Toc184313290"/>
      <w:bookmarkEnd w:id="189"/>
      <w:bookmarkStart w:id="190" w:name="_Toc184310325"/>
      <w:bookmarkEnd w:id="190"/>
      <w:bookmarkStart w:id="191" w:name="_Toc184314455"/>
      <w:bookmarkEnd w:id="191"/>
      <w:bookmarkStart w:id="192" w:name="_Toc184310287"/>
      <w:bookmarkEnd w:id="192"/>
      <w:bookmarkStart w:id="193" w:name="_Toc184314413"/>
      <w:bookmarkEnd w:id="193"/>
      <w:bookmarkStart w:id="194" w:name="_Toc184312074"/>
      <w:bookmarkEnd w:id="194"/>
      <w:bookmarkStart w:id="195" w:name="_Toc184308058"/>
      <w:bookmarkEnd w:id="195"/>
      <w:bookmarkStart w:id="196" w:name="_Toc184313255"/>
      <w:bookmarkEnd w:id="196"/>
      <w:bookmarkStart w:id="197" w:name="_Toc184308098"/>
      <w:bookmarkEnd w:id="197"/>
      <w:bookmarkStart w:id="198" w:name="_Toc184314429"/>
      <w:bookmarkEnd w:id="198"/>
      <w:bookmarkStart w:id="199" w:name="_Toc184308081"/>
      <w:bookmarkEnd w:id="199"/>
      <w:bookmarkStart w:id="200" w:name="_Toc184312080"/>
      <w:bookmarkEnd w:id="200"/>
      <w:bookmarkStart w:id="201" w:name="_Toc184313307"/>
      <w:bookmarkEnd w:id="201"/>
      <w:bookmarkStart w:id="202" w:name="_Toc184312122"/>
      <w:bookmarkEnd w:id="202"/>
      <w:bookmarkStart w:id="203" w:name="_Toc184308079"/>
      <w:bookmarkEnd w:id="203"/>
      <w:bookmarkStart w:id="204" w:name="_Toc184312103"/>
      <w:bookmarkEnd w:id="204"/>
      <w:bookmarkStart w:id="205" w:name="_Toc184312099"/>
      <w:bookmarkEnd w:id="205"/>
      <w:bookmarkStart w:id="206" w:name="_Toc184312138"/>
      <w:bookmarkEnd w:id="206"/>
      <w:bookmarkStart w:id="207" w:name="_Toc184308061"/>
      <w:bookmarkEnd w:id="207"/>
      <w:bookmarkStart w:id="208" w:name="_Toc184314453"/>
      <w:bookmarkEnd w:id="208"/>
      <w:bookmarkStart w:id="209" w:name="_Toc184313301"/>
      <w:bookmarkEnd w:id="209"/>
      <w:bookmarkStart w:id="210" w:name="_Toc184312136"/>
      <w:bookmarkEnd w:id="210"/>
      <w:bookmarkStart w:id="211" w:name="_Toc184313253"/>
      <w:bookmarkEnd w:id="211"/>
      <w:bookmarkStart w:id="212" w:name="_Toc184310295"/>
      <w:bookmarkEnd w:id="212"/>
      <w:bookmarkStart w:id="213" w:name="_Toc184308064"/>
      <w:bookmarkEnd w:id="213"/>
      <w:bookmarkStart w:id="214" w:name="_Toc184312130"/>
      <w:bookmarkEnd w:id="214"/>
      <w:bookmarkStart w:id="215" w:name="_Toc184310343"/>
      <w:bookmarkEnd w:id="215"/>
      <w:bookmarkStart w:id="216" w:name="_Toc184313298"/>
      <w:bookmarkEnd w:id="216"/>
      <w:bookmarkStart w:id="217" w:name="_Toc184308037"/>
      <w:bookmarkEnd w:id="217"/>
      <w:bookmarkStart w:id="218" w:name="_Toc184313294"/>
      <w:bookmarkEnd w:id="218"/>
      <w:bookmarkStart w:id="219" w:name="_Toc184312075"/>
      <w:bookmarkEnd w:id="219"/>
      <w:bookmarkStart w:id="220" w:name="_Toc184314449"/>
      <w:bookmarkEnd w:id="220"/>
      <w:bookmarkStart w:id="221" w:name="_Toc184310297"/>
      <w:bookmarkEnd w:id="221"/>
      <w:bookmarkStart w:id="222" w:name="_Toc184314430"/>
      <w:bookmarkEnd w:id="222"/>
      <w:bookmarkStart w:id="223" w:name="_Toc184314459"/>
      <w:bookmarkEnd w:id="223"/>
      <w:bookmarkStart w:id="224" w:name="_Toc184310290"/>
      <w:bookmarkEnd w:id="224"/>
      <w:bookmarkStart w:id="225" w:name="_Toc184313240"/>
      <w:bookmarkEnd w:id="225"/>
      <w:bookmarkStart w:id="226" w:name="_Toc184312133"/>
      <w:bookmarkEnd w:id="226"/>
      <w:bookmarkStart w:id="227" w:name="_Toc184312101"/>
      <w:bookmarkEnd w:id="227"/>
      <w:bookmarkStart w:id="228" w:name="_Toc184308068"/>
      <w:bookmarkEnd w:id="228"/>
      <w:bookmarkStart w:id="229" w:name="_Toc184310292"/>
      <w:bookmarkEnd w:id="229"/>
      <w:bookmarkStart w:id="230" w:name="_Toc184308055"/>
      <w:bookmarkEnd w:id="230"/>
      <w:bookmarkStart w:id="231" w:name="_Toc184314443"/>
      <w:bookmarkEnd w:id="231"/>
      <w:bookmarkStart w:id="232" w:name="_Toc184312118"/>
      <w:bookmarkEnd w:id="232"/>
      <w:bookmarkStart w:id="233" w:name="_Toc184310306"/>
      <w:bookmarkEnd w:id="233"/>
      <w:bookmarkStart w:id="234" w:name="_Toc184314468"/>
      <w:bookmarkEnd w:id="234"/>
      <w:bookmarkStart w:id="235" w:name="_Toc184312069"/>
      <w:bookmarkEnd w:id="235"/>
      <w:bookmarkStart w:id="236" w:name="_Toc184310294"/>
      <w:bookmarkEnd w:id="236"/>
      <w:bookmarkStart w:id="237" w:name="_Toc184314467"/>
      <w:bookmarkEnd w:id="237"/>
      <w:bookmarkStart w:id="238" w:name="_Toc184312125"/>
      <w:bookmarkEnd w:id="238"/>
      <w:bookmarkStart w:id="239" w:name="_Toc184312107"/>
      <w:bookmarkEnd w:id="239"/>
      <w:bookmarkStart w:id="240" w:name="_Toc184310305"/>
      <w:bookmarkEnd w:id="240"/>
      <w:bookmarkStart w:id="241" w:name="_Toc184313260"/>
      <w:bookmarkEnd w:id="241"/>
      <w:bookmarkStart w:id="242" w:name="_Toc184308070"/>
      <w:bookmarkEnd w:id="242"/>
      <w:bookmarkStart w:id="243" w:name="_Toc184310279"/>
      <w:bookmarkEnd w:id="243"/>
      <w:bookmarkStart w:id="244" w:name="_Toc184314446"/>
      <w:bookmarkEnd w:id="244"/>
      <w:bookmarkStart w:id="245" w:name="_Toc184310342"/>
      <w:bookmarkEnd w:id="245"/>
      <w:bookmarkStart w:id="246" w:name="_Toc184312113"/>
      <w:bookmarkEnd w:id="246"/>
      <w:bookmarkStart w:id="247" w:name="_Toc184313262"/>
      <w:bookmarkEnd w:id="247"/>
      <w:bookmarkStart w:id="248" w:name="_Toc184308062"/>
      <w:bookmarkEnd w:id="248"/>
      <w:bookmarkStart w:id="249" w:name="_Toc184314422"/>
      <w:bookmarkEnd w:id="249"/>
      <w:bookmarkStart w:id="250" w:name="_Toc184314441"/>
      <w:bookmarkEnd w:id="250"/>
      <w:bookmarkStart w:id="251" w:name="_Toc184312091"/>
      <w:bookmarkEnd w:id="251"/>
      <w:bookmarkStart w:id="252" w:name="_Toc184308072"/>
      <w:bookmarkEnd w:id="252"/>
      <w:bookmarkStart w:id="253" w:name="_Toc184308077"/>
      <w:bookmarkEnd w:id="253"/>
      <w:bookmarkStart w:id="254" w:name="_Toc184308048"/>
      <w:bookmarkEnd w:id="254"/>
      <w:bookmarkStart w:id="255" w:name="_Toc184314418"/>
      <w:bookmarkEnd w:id="255"/>
      <w:bookmarkStart w:id="256" w:name="_Toc184312081"/>
      <w:bookmarkEnd w:id="256"/>
      <w:bookmarkStart w:id="257" w:name="_Toc184312076"/>
      <w:bookmarkEnd w:id="257"/>
      <w:bookmarkStart w:id="258" w:name="_Toc184313276"/>
      <w:bookmarkEnd w:id="258"/>
      <w:bookmarkStart w:id="259" w:name="_Toc184310278"/>
      <w:bookmarkEnd w:id="259"/>
      <w:bookmarkStart w:id="260" w:name="_Toc184310312"/>
      <w:bookmarkEnd w:id="260"/>
      <w:bookmarkStart w:id="261" w:name="_Toc184314464"/>
      <w:bookmarkEnd w:id="261"/>
      <w:bookmarkStart w:id="262" w:name="_Toc184312087"/>
      <w:bookmarkEnd w:id="262"/>
      <w:bookmarkStart w:id="263" w:name="_Toc184308078"/>
      <w:bookmarkEnd w:id="263"/>
      <w:bookmarkStart w:id="264" w:name="_Toc184308049"/>
      <w:bookmarkEnd w:id="264"/>
      <w:bookmarkStart w:id="265" w:name="_Toc184310274"/>
      <w:bookmarkEnd w:id="265"/>
      <w:bookmarkStart w:id="266" w:name="_Toc184313277"/>
      <w:bookmarkEnd w:id="266"/>
      <w:bookmarkStart w:id="267" w:name="_Toc184308053"/>
      <w:bookmarkEnd w:id="267"/>
      <w:bookmarkStart w:id="268" w:name="_Toc184310316"/>
      <w:bookmarkEnd w:id="268"/>
      <w:bookmarkStart w:id="269" w:name="_Toc184308063"/>
      <w:bookmarkEnd w:id="269"/>
      <w:bookmarkStart w:id="270" w:name="_Toc184308045"/>
      <w:bookmarkEnd w:id="270"/>
      <w:bookmarkStart w:id="271" w:name="_Toc184313286"/>
      <w:bookmarkEnd w:id="271"/>
      <w:bookmarkStart w:id="272" w:name="_Toc184308085"/>
      <w:bookmarkEnd w:id="272"/>
      <w:bookmarkStart w:id="273" w:name="_Toc184314466"/>
      <w:bookmarkEnd w:id="273"/>
      <w:bookmarkStart w:id="274" w:name="_Toc184308057"/>
      <w:bookmarkEnd w:id="274"/>
      <w:bookmarkStart w:id="275" w:name="_Toc184313243"/>
      <w:bookmarkEnd w:id="275"/>
      <w:bookmarkStart w:id="276" w:name="_Toc184312114"/>
      <w:bookmarkEnd w:id="276"/>
      <w:bookmarkStart w:id="277" w:name="_Toc184310281"/>
      <w:bookmarkEnd w:id="277"/>
      <w:bookmarkStart w:id="278" w:name="_Toc184313283"/>
      <w:bookmarkEnd w:id="278"/>
      <w:bookmarkStart w:id="279" w:name="_Toc184310283"/>
      <w:bookmarkEnd w:id="279"/>
      <w:bookmarkStart w:id="280" w:name="_Toc184314442"/>
      <w:bookmarkEnd w:id="280"/>
      <w:bookmarkStart w:id="281" w:name="_Toc184308090"/>
      <w:bookmarkEnd w:id="281"/>
      <w:bookmarkStart w:id="282" w:name="_Toc184313303"/>
      <w:bookmarkEnd w:id="282"/>
      <w:bookmarkStart w:id="283" w:name="_Toc184313249"/>
      <w:bookmarkEnd w:id="283"/>
      <w:bookmarkStart w:id="284" w:name="_Toc184314475"/>
      <w:bookmarkEnd w:id="284"/>
      <w:bookmarkStart w:id="285" w:name="_Toc184308094"/>
      <w:bookmarkEnd w:id="285"/>
      <w:bookmarkStart w:id="286" w:name="_Toc184310318"/>
      <w:bookmarkEnd w:id="286"/>
      <w:bookmarkStart w:id="287" w:name="_Toc184313300"/>
      <w:bookmarkEnd w:id="287"/>
      <w:bookmarkStart w:id="288" w:name="_Toc184313304"/>
      <w:bookmarkEnd w:id="288"/>
      <w:bookmarkStart w:id="289" w:name="_Toc184310303"/>
      <w:bookmarkEnd w:id="289"/>
      <w:bookmarkStart w:id="290" w:name="_Toc184314444"/>
      <w:bookmarkEnd w:id="290"/>
      <w:bookmarkStart w:id="291" w:name="_Toc184310299"/>
      <w:bookmarkEnd w:id="291"/>
      <w:bookmarkStart w:id="292" w:name="_Toc184313280"/>
      <w:bookmarkEnd w:id="292"/>
      <w:bookmarkStart w:id="293" w:name="_Toc184312090"/>
      <w:bookmarkEnd w:id="293"/>
      <w:bookmarkStart w:id="294" w:name="_Toc184314460"/>
      <w:bookmarkEnd w:id="294"/>
      <w:bookmarkStart w:id="295" w:name="_Toc184313309"/>
      <w:bookmarkEnd w:id="295"/>
      <w:bookmarkStart w:id="296" w:name="_Toc184314412"/>
      <w:bookmarkEnd w:id="296"/>
      <w:bookmarkStart w:id="297" w:name="_Toc184308101"/>
      <w:bookmarkEnd w:id="297"/>
      <w:bookmarkStart w:id="298" w:name="_Toc184313275"/>
      <w:bookmarkEnd w:id="298"/>
      <w:bookmarkStart w:id="299" w:name="_Toc184310280"/>
      <w:bookmarkEnd w:id="299"/>
      <w:bookmarkStart w:id="300" w:name="_Toc184308076"/>
      <w:bookmarkEnd w:id="300"/>
      <w:bookmarkStart w:id="301" w:name="_Toc184312135"/>
      <w:bookmarkEnd w:id="301"/>
      <w:bookmarkStart w:id="302" w:name="_Toc184310344"/>
      <w:bookmarkEnd w:id="302"/>
      <w:bookmarkStart w:id="303" w:name="_Toc184310291"/>
      <w:bookmarkEnd w:id="303"/>
      <w:bookmarkStart w:id="304" w:name="_Toc184308082"/>
      <w:bookmarkEnd w:id="304"/>
      <w:bookmarkStart w:id="305" w:name="_Toc184313245"/>
      <w:bookmarkEnd w:id="305"/>
      <w:bookmarkStart w:id="306" w:name="_Toc184313291"/>
      <w:bookmarkEnd w:id="306"/>
      <w:bookmarkStart w:id="307" w:name="_Toc184312108"/>
      <w:bookmarkEnd w:id="307"/>
      <w:bookmarkStart w:id="308" w:name="_Toc184313239"/>
      <w:bookmarkEnd w:id="308"/>
      <w:bookmarkStart w:id="309" w:name="_Toc184314473"/>
      <w:bookmarkEnd w:id="309"/>
      <w:bookmarkStart w:id="310" w:name="_Toc184313282"/>
      <w:bookmarkEnd w:id="310"/>
      <w:bookmarkStart w:id="311" w:name="_Toc184314415"/>
      <w:bookmarkEnd w:id="311"/>
      <w:bookmarkStart w:id="312" w:name="_Toc184310339"/>
      <w:bookmarkEnd w:id="312"/>
      <w:bookmarkStart w:id="313" w:name="_Toc184313296"/>
      <w:bookmarkEnd w:id="313"/>
      <w:bookmarkStart w:id="314" w:name="_Toc184314456"/>
      <w:bookmarkEnd w:id="314"/>
      <w:bookmarkStart w:id="315" w:name="_Toc184310273"/>
      <w:bookmarkEnd w:id="315"/>
      <w:bookmarkStart w:id="316" w:name="_Toc184313248"/>
      <w:bookmarkEnd w:id="316"/>
      <w:bookmarkStart w:id="317" w:name="_Toc184314424"/>
      <w:bookmarkEnd w:id="317"/>
      <w:bookmarkStart w:id="318" w:name="_Toc184313256"/>
      <w:bookmarkEnd w:id="318"/>
      <w:bookmarkStart w:id="319" w:name="_Toc184312085"/>
      <w:bookmarkEnd w:id="319"/>
      <w:bookmarkStart w:id="320" w:name="_Toc184313292"/>
      <w:bookmarkEnd w:id="320"/>
      <w:bookmarkStart w:id="321" w:name="_Toc184308107"/>
      <w:bookmarkEnd w:id="321"/>
      <w:bookmarkStart w:id="322" w:name="_Toc184312067"/>
      <w:bookmarkEnd w:id="322"/>
      <w:bookmarkStart w:id="323" w:name="_Toc184308039"/>
      <w:bookmarkEnd w:id="323"/>
      <w:bookmarkStart w:id="324" w:name="_Toc184308041"/>
      <w:bookmarkEnd w:id="324"/>
      <w:bookmarkStart w:id="325" w:name="_Toc184310315"/>
      <w:bookmarkEnd w:id="325"/>
      <w:bookmarkStart w:id="326" w:name="_Toc184312077"/>
      <w:bookmarkEnd w:id="326"/>
      <w:bookmarkStart w:id="327" w:name="_Toc184312102"/>
      <w:bookmarkEnd w:id="327"/>
      <w:bookmarkStart w:id="328" w:name="_Toc184312098"/>
      <w:bookmarkEnd w:id="328"/>
      <w:bookmarkStart w:id="329" w:name="_Toc184310296"/>
      <w:bookmarkEnd w:id="329"/>
      <w:bookmarkStart w:id="330" w:name="_Toc184312119"/>
      <w:bookmarkEnd w:id="330"/>
      <w:bookmarkStart w:id="331" w:name="_Toc184310319"/>
      <w:bookmarkEnd w:id="331"/>
      <w:bookmarkStart w:id="332" w:name="_Toc184312070"/>
      <w:bookmarkEnd w:id="332"/>
      <w:bookmarkStart w:id="333" w:name="_Toc184310328"/>
      <w:bookmarkEnd w:id="333"/>
      <w:bookmarkStart w:id="334" w:name="_Toc184310272"/>
      <w:bookmarkEnd w:id="334"/>
      <w:bookmarkStart w:id="335" w:name="_Toc184312105"/>
      <w:bookmarkEnd w:id="335"/>
      <w:bookmarkStart w:id="336" w:name="_Toc184308106"/>
      <w:bookmarkEnd w:id="336"/>
      <w:bookmarkStart w:id="337" w:name="_Toc184314426"/>
      <w:bookmarkEnd w:id="337"/>
      <w:bookmarkStart w:id="338" w:name="_Toc184310329"/>
      <w:bookmarkEnd w:id="338"/>
      <w:bookmarkStart w:id="339" w:name="_Toc184310338"/>
      <w:bookmarkEnd w:id="339"/>
      <w:bookmarkStart w:id="340" w:name="_Toc184314457"/>
      <w:bookmarkEnd w:id="340"/>
      <w:bookmarkStart w:id="341" w:name="_Toc184310333"/>
      <w:bookmarkEnd w:id="341"/>
      <w:bookmarkStart w:id="342" w:name="_Toc184314477"/>
      <w:bookmarkEnd w:id="342"/>
      <w:bookmarkStart w:id="343" w:name="_Toc184312120"/>
      <w:bookmarkEnd w:id="343"/>
      <w:bookmarkStart w:id="344" w:name="_Toc184314447"/>
      <w:bookmarkEnd w:id="344"/>
      <w:bookmarkStart w:id="345" w:name="_Toc184310334"/>
      <w:bookmarkEnd w:id="345"/>
      <w:bookmarkStart w:id="346" w:name="_Toc184312096"/>
      <w:bookmarkEnd w:id="346"/>
      <w:bookmarkStart w:id="347" w:name="_Toc184314423"/>
      <w:bookmarkEnd w:id="347"/>
      <w:bookmarkStart w:id="348" w:name="_Toc184313273"/>
      <w:bookmarkEnd w:id="348"/>
      <w:bookmarkStart w:id="349" w:name="_Toc184313285"/>
      <w:bookmarkEnd w:id="349"/>
      <w:bookmarkStart w:id="350" w:name="_Toc184308071"/>
      <w:bookmarkEnd w:id="350"/>
      <w:bookmarkStart w:id="351" w:name="_Toc184313295"/>
      <w:bookmarkEnd w:id="351"/>
      <w:bookmarkStart w:id="352" w:name="_Toc184308047"/>
      <w:bookmarkEnd w:id="352"/>
      <w:bookmarkStart w:id="353" w:name="_Toc184313246"/>
      <w:bookmarkEnd w:id="353"/>
      <w:bookmarkStart w:id="354" w:name="_Toc184312073"/>
      <w:bookmarkEnd w:id="354"/>
      <w:bookmarkStart w:id="355" w:name="_Toc184313297"/>
      <w:bookmarkEnd w:id="355"/>
      <w:bookmarkStart w:id="356" w:name="_Toc184314416"/>
      <w:bookmarkEnd w:id="356"/>
      <w:bookmarkStart w:id="357" w:name="_Toc184310317"/>
      <w:bookmarkEnd w:id="357"/>
      <w:bookmarkStart w:id="358" w:name="_Toc184310301"/>
      <w:bookmarkEnd w:id="358"/>
      <w:bookmarkStart w:id="359" w:name="_Toc184313270"/>
      <w:bookmarkEnd w:id="359"/>
      <w:bookmarkStart w:id="360" w:name="_Toc184308084"/>
      <w:bookmarkEnd w:id="360"/>
      <w:bookmarkStart w:id="361" w:name="_Toc184308074"/>
      <w:bookmarkEnd w:id="361"/>
      <w:bookmarkStart w:id="362" w:name="_Toc184314439"/>
      <w:bookmarkEnd w:id="362"/>
      <w:bookmarkStart w:id="363" w:name="_Toc184312115"/>
      <w:bookmarkEnd w:id="363"/>
      <w:bookmarkStart w:id="364" w:name="_Toc184310309"/>
      <w:bookmarkEnd w:id="364"/>
      <w:bookmarkStart w:id="365" w:name="_Toc184313244"/>
      <w:bookmarkEnd w:id="365"/>
      <w:bookmarkStart w:id="366" w:name="_Toc184312078"/>
      <w:bookmarkEnd w:id="366"/>
      <w:bookmarkStart w:id="367" w:name="_Toc184313310"/>
      <w:bookmarkEnd w:id="367"/>
      <w:bookmarkStart w:id="368" w:name="_Toc184312083"/>
      <w:bookmarkEnd w:id="368"/>
      <w:bookmarkStart w:id="369" w:name="_Toc184308089"/>
      <w:bookmarkEnd w:id="369"/>
      <w:bookmarkStart w:id="370" w:name="_Toc184314451"/>
      <w:bookmarkEnd w:id="370"/>
      <w:bookmarkStart w:id="371" w:name="_Toc184308099"/>
      <w:bookmarkEnd w:id="371"/>
      <w:bookmarkStart w:id="372" w:name="_Toc184313284"/>
      <w:bookmarkEnd w:id="372"/>
      <w:bookmarkStart w:id="373" w:name="_Toc184310284"/>
      <w:bookmarkEnd w:id="373"/>
      <w:bookmarkStart w:id="374" w:name="_Toc184312110"/>
      <w:bookmarkEnd w:id="374"/>
      <w:bookmarkStart w:id="375" w:name="_Toc184310304"/>
      <w:bookmarkEnd w:id="375"/>
      <w:bookmarkStart w:id="376" w:name="_Toc184308069"/>
      <w:bookmarkEnd w:id="376"/>
      <w:bookmarkStart w:id="377" w:name="_Toc184313281"/>
      <w:bookmarkEnd w:id="377"/>
      <w:bookmarkStart w:id="378" w:name="_Toc184312086"/>
      <w:bookmarkEnd w:id="378"/>
      <w:bookmarkStart w:id="379" w:name="_Toc184313261"/>
      <w:bookmarkEnd w:id="379"/>
      <w:bookmarkStart w:id="380" w:name="_Toc184314469"/>
      <w:bookmarkEnd w:id="380"/>
      <w:bookmarkStart w:id="381" w:name="_Toc184310289"/>
      <w:bookmarkEnd w:id="381"/>
      <w:bookmarkStart w:id="382" w:name="_Toc184312111"/>
      <w:bookmarkEnd w:id="382"/>
      <w:bookmarkStart w:id="383" w:name="_Toc184314458"/>
      <w:bookmarkEnd w:id="383"/>
      <w:bookmarkStart w:id="384" w:name="_Toc184310311"/>
      <w:bookmarkEnd w:id="384"/>
      <w:bookmarkStart w:id="385" w:name="_Toc184312097"/>
      <w:bookmarkEnd w:id="385"/>
      <w:bookmarkStart w:id="386" w:name="_Toc184314480"/>
      <w:bookmarkEnd w:id="386"/>
      <w:bookmarkStart w:id="387" w:name="_Toc184312137"/>
      <w:bookmarkEnd w:id="387"/>
      <w:bookmarkStart w:id="388" w:name="_Toc184313271"/>
      <w:bookmarkEnd w:id="388"/>
      <w:bookmarkStart w:id="389" w:name="_Toc184310327"/>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eastAsia="zh-CN"/>
        </w:rPr>
        <w:t>标项</w:t>
      </w: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65"/>
        <w:tblW w:w="9884" w:type="dxa"/>
        <w:jc w:val="center"/>
        <w:tblLayout w:type="fixed"/>
        <w:tblCellMar>
          <w:top w:w="0" w:type="dxa"/>
          <w:left w:w="108" w:type="dxa"/>
          <w:bottom w:w="0" w:type="dxa"/>
          <w:right w:w="108" w:type="dxa"/>
        </w:tblCellMar>
      </w:tblPr>
      <w:tblGrid>
        <w:gridCol w:w="715"/>
        <w:gridCol w:w="1000"/>
        <w:gridCol w:w="7340"/>
        <w:gridCol w:w="829"/>
      </w:tblGrid>
      <w:tr w14:paraId="51840A29">
        <w:tblPrEx>
          <w:tblCellMar>
            <w:top w:w="0" w:type="dxa"/>
            <w:left w:w="108" w:type="dxa"/>
            <w:bottom w:w="0" w:type="dxa"/>
            <w:right w:w="108" w:type="dxa"/>
          </w:tblCellMar>
        </w:tblPrEx>
        <w:trPr>
          <w:trHeight w:val="323"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F640646">
            <w:pPr>
              <w:jc w:val="center"/>
              <w:rPr>
                <w:rFonts w:hint="eastAsia" w:ascii="仿宋" w:hAnsi="仿宋" w:eastAsia="仿宋" w:cs="仿宋"/>
                <w:b/>
                <w:bCs/>
                <w:sz w:val="24"/>
                <w:szCs w:val="24"/>
              </w:rPr>
            </w:pPr>
            <w:r>
              <w:rPr>
                <w:rFonts w:hint="eastAsia" w:ascii="仿宋" w:hAnsi="仿宋" w:eastAsia="仿宋" w:cs="仿宋"/>
                <w:b/>
                <w:bCs/>
                <w:color w:val="auto"/>
                <w:sz w:val="24"/>
                <w:szCs w:val="24"/>
              </w:rPr>
              <w:t>序号</w:t>
            </w:r>
          </w:p>
        </w:tc>
        <w:tc>
          <w:tcPr>
            <w:tcW w:w="1000" w:type="dxa"/>
            <w:tcBorders>
              <w:top w:val="single" w:color="auto" w:sz="4" w:space="0"/>
              <w:left w:val="nil"/>
              <w:bottom w:val="single" w:color="auto" w:sz="4" w:space="0"/>
              <w:right w:val="single" w:color="auto" w:sz="4" w:space="0"/>
            </w:tcBorders>
            <w:noWrap w:val="0"/>
            <w:vAlign w:val="center"/>
          </w:tcPr>
          <w:p w14:paraId="337883C1">
            <w:pPr>
              <w:jc w:val="center"/>
              <w:rPr>
                <w:rFonts w:hint="eastAsia" w:ascii="仿宋" w:hAnsi="仿宋" w:eastAsia="仿宋" w:cs="仿宋"/>
                <w:b/>
                <w:bCs/>
                <w:sz w:val="24"/>
                <w:szCs w:val="24"/>
              </w:rPr>
            </w:pPr>
            <w:r>
              <w:rPr>
                <w:rFonts w:hint="eastAsia" w:ascii="仿宋" w:hAnsi="仿宋" w:eastAsia="仿宋" w:cs="仿宋"/>
                <w:b/>
                <w:bCs/>
                <w:color w:val="auto"/>
                <w:sz w:val="24"/>
                <w:szCs w:val="24"/>
              </w:rPr>
              <w:t>项目</w:t>
            </w:r>
          </w:p>
        </w:tc>
        <w:tc>
          <w:tcPr>
            <w:tcW w:w="7340" w:type="dxa"/>
            <w:tcBorders>
              <w:top w:val="single" w:color="auto" w:sz="4" w:space="0"/>
              <w:left w:val="nil"/>
              <w:bottom w:val="single" w:color="auto" w:sz="4" w:space="0"/>
              <w:right w:val="single" w:color="auto" w:sz="4" w:space="0"/>
            </w:tcBorders>
            <w:noWrap w:val="0"/>
            <w:vAlign w:val="center"/>
          </w:tcPr>
          <w:p w14:paraId="683A8B1C">
            <w:pPr>
              <w:jc w:val="center"/>
              <w:rPr>
                <w:rFonts w:hint="eastAsia" w:ascii="仿宋" w:hAnsi="仿宋" w:eastAsia="仿宋" w:cs="仿宋"/>
                <w:b/>
                <w:bCs/>
                <w:sz w:val="24"/>
                <w:szCs w:val="24"/>
              </w:rPr>
            </w:pPr>
            <w:r>
              <w:rPr>
                <w:rFonts w:hint="eastAsia" w:ascii="仿宋" w:hAnsi="仿宋" w:eastAsia="仿宋" w:cs="仿宋"/>
                <w:b/>
                <w:bCs/>
                <w:color w:val="auto"/>
                <w:sz w:val="24"/>
                <w:szCs w:val="24"/>
              </w:rPr>
              <w:t>评分标准</w:t>
            </w:r>
          </w:p>
        </w:tc>
        <w:tc>
          <w:tcPr>
            <w:tcW w:w="829" w:type="dxa"/>
            <w:tcBorders>
              <w:top w:val="single" w:color="auto" w:sz="4" w:space="0"/>
              <w:left w:val="nil"/>
              <w:bottom w:val="single" w:color="auto" w:sz="4" w:space="0"/>
              <w:right w:val="single" w:color="auto" w:sz="4" w:space="0"/>
            </w:tcBorders>
            <w:noWrap w:val="0"/>
            <w:vAlign w:val="center"/>
          </w:tcPr>
          <w:p w14:paraId="2931947D">
            <w:pPr>
              <w:jc w:val="center"/>
              <w:rPr>
                <w:rFonts w:hint="eastAsia" w:ascii="仿宋" w:hAnsi="仿宋" w:eastAsia="仿宋" w:cs="仿宋"/>
                <w:b/>
                <w:bCs/>
                <w:sz w:val="24"/>
                <w:szCs w:val="24"/>
              </w:rPr>
            </w:pPr>
            <w:r>
              <w:rPr>
                <w:rFonts w:hint="eastAsia" w:ascii="仿宋" w:hAnsi="仿宋" w:eastAsia="仿宋" w:cs="仿宋"/>
                <w:b/>
                <w:bCs/>
                <w:color w:val="auto"/>
                <w:sz w:val="24"/>
                <w:szCs w:val="24"/>
              </w:rPr>
              <w:t>分值</w:t>
            </w:r>
          </w:p>
        </w:tc>
      </w:tr>
      <w:tr w14:paraId="710D2B4B">
        <w:tblPrEx>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E4A385B">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p>
        </w:tc>
        <w:tc>
          <w:tcPr>
            <w:tcW w:w="1000" w:type="dxa"/>
            <w:tcBorders>
              <w:top w:val="single" w:color="auto" w:sz="4" w:space="0"/>
              <w:left w:val="nil"/>
              <w:bottom w:val="single" w:color="auto" w:sz="4" w:space="0"/>
              <w:right w:val="single" w:color="auto" w:sz="4" w:space="0"/>
            </w:tcBorders>
            <w:noWrap w:val="0"/>
            <w:vAlign w:val="center"/>
          </w:tcPr>
          <w:p w14:paraId="0E303C9B">
            <w:pPr>
              <w:keepNext w:val="0"/>
              <w:keepLines w:val="0"/>
              <w:pageBreakBefore w:val="0"/>
              <w:kinsoku/>
              <w:wordWrap/>
              <w:overflowPunct/>
              <w:topLinePunct w:val="0"/>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认证证书</w:t>
            </w:r>
          </w:p>
        </w:tc>
        <w:tc>
          <w:tcPr>
            <w:tcW w:w="7340" w:type="dxa"/>
            <w:tcBorders>
              <w:top w:val="single" w:color="auto" w:sz="4" w:space="0"/>
              <w:left w:val="nil"/>
              <w:bottom w:val="single" w:color="auto" w:sz="4" w:space="0"/>
              <w:right w:val="single" w:color="auto" w:sz="4" w:space="0"/>
            </w:tcBorders>
            <w:noWrap w:val="0"/>
            <w:vAlign w:val="center"/>
          </w:tcPr>
          <w:p w14:paraId="0113DD48">
            <w:pPr>
              <w:keepNext w:val="0"/>
              <w:keepLines w:val="0"/>
              <w:pageBreakBefore w:val="0"/>
              <w:kinsoku/>
              <w:wordWrap/>
              <w:overflowPunct/>
              <w:topLinePunct w:val="0"/>
              <w:bidi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投标人提供ISO9001的质量管理体系认证、</w:t>
            </w:r>
            <w:r>
              <w:rPr>
                <w:rFonts w:hint="eastAsia" w:ascii="仿宋" w:hAnsi="仿宋" w:eastAsia="仿宋" w:cs="仿宋"/>
                <w:color w:val="auto"/>
                <w:sz w:val="24"/>
                <w:szCs w:val="24"/>
                <w:lang w:val="en-US" w:eastAsia="zh-CN"/>
              </w:rPr>
              <w:t>ISO45001</w:t>
            </w:r>
            <w:r>
              <w:rPr>
                <w:rFonts w:hint="eastAsia" w:ascii="仿宋" w:hAnsi="仿宋" w:eastAsia="仿宋" w:cs="仿宋"/>
                <w:sz w:val="24"/>
                <w:szCs w:val="24"/>
              </w:rPr>
              <w:t>职业健康安全管理体系认证标准、ISO14001环境管理体系认证标准，每提供一个证书得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b/>
                <w:bCs/>
                <w:sz w:val="24"/>
                <w:szCs w:val="24"/>
              </w:rPr>
              <w:t>(以上证书须在有效期内，提供证书复印件</w:t>
            </w:r>
            <w:r>
              <w:rPr>
                <w:rFonts w:hint="eastAsia" w:ascii="仿宋" w:hAnsi="仿宋" w:eastAsia="仿宋" w:cs="仿宋"/>
                <w:b/>
                <w:bCs/>
                <w:kern w:val="2"/>
                <w:sz w:val="24"/>
                <w:szCs w:val="24"/>
                <w:lang w:val="en-US" w:eastAsia="zh-CN" w:bidi="ar-SA"/>
              </w:rPr>
              <w:t>加盖投标人CA签章</w:t>
            </w:r>
            <w:r>
              <w:rPr>
                <w:rFonts w:hint="eastAsia" w:ascii="仿宋" w:hAnsi="仿宋" w:eastAsia="仿宋" w:cs="仿宋"/>
                <w:b/>
                <w:bCs/>
                <w:sz w:val="24"/>
                <w:szCs w:val="24"/>
              </w:rPr>
              <w:t>以及国家认证认可监督管理委员会网站查询截图证明材料，缺一不得分。)</w:t>
            </w:r>
          </w:p>
        </w:tc>
        <w:tc>
          <w:tcPr>
            <w:tcW w:w="829" w:type="dxa"/>
            <w:tcBorders>
              <w:top w:val="single" w:color="auto" w:sz="4" w:space="0"/>
              <w:left w:val="nil"/>
              <w:bottom w:val="single" w:color="auto" w:sz="4" w:space="0"/>
              <w:right w:val="single" w:color="auto" w:sz="4" w:space="0"/>
            </w:tcBorders>
            <w:noWrap w:val="0"/>
            <w:vAlign w:val="center"/>
          </w:tcPr>
          <w:p w14:paraId="57A3549D">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3分</w:t>
            </w:r>
          </w:p>
        </w:tc>
      </w:tr>
      <w:tr w14:paraId="44A421B4">
        <w:tblPrEx>
          <w:tblCellMar>
            <w:top w:w="0" w:type="dxa"/>
            <w:left w:w="108" w:type="dxa"/>
            <w:bottom w:w="0" w:type="dxa"/>
            <w:right w:w="108" w:type="dxa"/>
          </w:tblCellMar>
        </w:tblPrEx>
        <w:trPr>
          <w:trHeight w:val="93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1D43AC8D">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p>
        </w:tc>
        <w:tc>
          <w:tcPr>
            <w:tcW w:w="1000" w:type="dxa"/>
            <w:tcBorders>
              <w:top w:val="single" w:color="auto" w:sz="4" w:space="0"/>
              <w:left w:val="nil"/>
              <w:bottom w:val="single" w:color="auto" w:sz="4" w:space="0"/>
              <w:right w:val="single" w:color="auto" w:sz="4" w:space="0"/>
            </w:tcBorders>
            <w:noWrap w:val="0"/>
            <w:vAlign w:val="center"/>
          </w:tcPr>
          <w:p w14:paraId="1DFEFC54">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业绩</w:t>
            </w:r>
          </w:p>
        </w:tc>
        <w:tc>
          <w:tcPr>
            <w:tcW w:w="7340" w:type="dxa"/>
            <w:tcBorders>
              <w:top w:val="single" w:color="auto" w:sz="4" w:space="0"/>
              <w:left w:val="nil"/>
              <w:bottom w:val="single" w:color="auto" w:sz="4" w:space="0"/>
              <w:right w:val="single" w:color="auto" w:sz="4" w:space="0"/>
            </w:tcBorders>
            <w:noWrap w:val="0"/>
            <w:vAlign w:val="center"/>
          </w:tcPr>
          <w:p w14:paraId="5ECCB25B">
            <w:pPr>
              <w:keepNext w:val="0"/>
              <w:keepLines w:val="0"/>
              <w:pageBreakBefore w:val="0"/>
              <w:kinsoku/>
              <w:wordWrap/>
              <w:overflowPunct/>
              <w:topLinePunct w:val="0"/>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年1月1日后，</w:t>
            </w:r>
            <w:r>
              <w:rPr>
                <w:rFonts w:hint="eastAsia" w:ascii="仿宋" w:hAnsi="仿宋" w:eastAsia="仿宋" w:cs="仿宋"/>
                <w:sz w:val="24"/>
                <w:szCs w:val="24"/>
                <w:lang w:val="en-US" w:eastAsia="zh-CN"/>
              </w:rPr>
              <w:t>投标人</w:t>
            </w:r>
            <w:r>
              <w:rPr>
                <w:rFonts w:hint="eastAsia" w:ascii="仿宋" w:hAnsi="仿宋" w:eastAsia="仿宋" w:cs="仿宋"/>
                <w:sz w:val="24"/>
                <w:szCs w:val="24"/>
              </w:rPr>
              <w:t>具有</w:t>
            </w:r>
            <w:r>
              <w:rPr>
                <w:rFonts w:hint="eastAsia" w:ascii="仿宋" w:hAnsi="仿宋" w:eastAsia="仿宋" w:cs="仿宋"/>
                <w:sz w:val="24"/>
                <w:szCs w:val="24"/>
                <w:lang w:val="en-US" w:eastAsia="zh-CN"/>
              </w:rPr>
              <w:t>类似业绩的得2</w:t>
            </w:r>
            <w:r>
              <w:rPr>
                <w:rFonts w:hint="eastAsia" w:ascii="仿宋" w:hAnsi="仿宋" w:eastAsia="仿宋" w:cs="仿宋"/>
                <w:sz w:val="24"/>
                <w:szCs w:val="24"/>
              </w:rPr>
              <w:t>分。</w:t>
            </w:r>
            <w:r>
              <w:rPr>
                <w:rFonts w:hint="eastAsia" w:ascii="仿宋" w:hAnsi="仿宋" w:eastAsia="仿宋" w:cs="仿宋"/>
                <w:b/>
                <w:bCs/>
                <w:sz w:val="24"/>
                <w:szCs w:val="24"/>
                <w:lang w:eastAsia="zh-CN"/>
              </w:rPr>
              <w:t>（</w:t>
            </w:r>
            <w:r>
              <w:rPr>
                <w:rFonts w:hint="eastAsia" w:ascii="仿宋" w:hAnsi="仿宋" w:eastAsia="仿宋" w:cs="仿宋"/>
                <w:b/>
                <w:bCs/>
                <w:sz w:val="24"/>
                <w:szCs w:val="24"/>
              </w:rPr>
              <w:t>业绩证明材料包括</w:t>
            </w:r>
            <w:r>
              <w:rPr>
                <w:rFonts w:hint="eastAsia" w:ascii="仿宋" w:hAnsi="仿宋" w:eastAsia="仿宋" w:cs="仿宋"/>
                <w:b/>
                <w:bCs/>
                <w:sz w:val="24"/>
                <w:szCs w:val="24"/>
                <w:lang w:val="en-US" w:eastAsia="zh-CN"/>
              </w:rPr>
              <w:t>中标通书、</w:t>
            </w:r>
            <w:r>
              <w:rPr>
                <w:rFonts w:hint="eastAsia" w:ascii="仿宋" w:hAnsi="仿宋" w:eastAsia="仿宋" w:cs="仿宋"/>
                <w:b/>
                <w:bCs/>
                <w:sz w:val="24"/>
                <w:szCs w:val="24"/>
              </w:rPr>
              <w:t>合同复印件和政府采购网或公共资源交易网（官网）中标公告截图证明材料</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缺一不得分。）</w:t>
            </w:r>
          </w:p>
        </w:tc>
        <w:tc>
          <w:tcPr>
            <w:tcW w:w="829" w:type="dxa"/>
            <w:tcBorders>
              <w:top w:val="single" w:color="auto" w:sz="4" w:space="0"/>
              <w:left w:val="nil"/>
              <w:bottom w:val="single" w:color="auto" w:sz="4" w:space="0"/>
              <w:right w:val="single" w:color="auto" w:sz="4" w:space="0"/>
            </w:tcBorders>
            <w:noWrap w:val="0"/>
            <w:vAlign w:val="center"/>
          </w:tcPr>
          <w:p w14:paraId="4D87A2E7">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2分</w:t>
            </w:r>
          </w:p>
        </w:tc>
      </w:tr>
      <w:tr w14:paraId="07F61100">
        <w:tblPrEx>
          <w:tblCellMar>
            <w:top w:w="0" w:type="dxa"/>
            <w:left w:w="108" w:type="dxa"/>
            <w:bottom w:w="0" w:type="dxa"/>
            <w:right w:w="108" w:type="dxa"/>
          </w:tblCellMar>
        </w:tblPrEx>
        <w:trPr>
          <w:trHeight w:val="102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351716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p>
        </w:tc>
        <w:tc>
          <w:tcPr>
            <w:tcW w:w="1000" w:type="dxa"/>
            <w:tcBorders>
              <w:top w:val="single" w:color="auto" w:sz="4" w:space="0"/>
              <w:left w:val="nil"/>
              <w:bottom w:val="single" w:color="auto" w:sz="4" w:space="0"/>
              <w:right w:val="single" w:color="auto" w:sz="4" w:space="0"/>
            </w:tcBorders>
            <w:noWrap w:val="0"/>
            <w:vAlign w:val="center"/>
          </w:tcPr>
          <w:p w14:paraId="35DA415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项目调研</w:t>
            </w:r>
          </w:p>
        </w:tc>
        <w:tc>
          <w:tcPr>
            <w:tcW w:w="7340" w:type="dxa"/>
            <w:tcBorders>
              <w:top w:val="single" w:color="auto" w:sz="4" w:space="0"/>
              <w:left w:val="nil"/>
              <w:bottom w:val="single" w:color="auto" w:sz="4" w:space="0"/>
              <w:right w:val="single" w:color="auto" w:sz="4" w:space="0"/>
            </w:tcBorders>
            <w:noWrap w:val="0"/>
            <w:vAlign w:val="center"/>
          </w:tcPr>
          <w:p w14:paraId="5DEB5502">
            <w:pPr>
              <w:keepNext w:val="0"/>
              <w:keepLines w:val="0"/>
              <w:pageBreakBefore w:val="0"/>
              <w:kinsoku/>
              <w:wordWrap/>
              <w:overflowPunct/>
              <w:topLinePunct w:val="0"/>
              <w:bidi w:val="0"/>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对本项目服务地道路情况、天然气设施设备、道路照明等</w:t>
            </w:r>
            <w:r>
              <w:rPr>
                <w:rFonts w:hint="eastAsia" w:ascii="仿宋" w:hAnsi="仿宋" w:eastAsia="仿宋" w:cs="仿宋"/>
                <w:sz w:val="24"/>
                <w:szCs w:val="24"/>
                <w:lang w:val="en-US" w:eastAsia="zh-CN"/>
              </w:rPr>
              <w:t>进行</w:t>
            </w:r>
            <w:r>
              <w:rPr>
                <w:rFonts w:hint="eastAsia" w:ascii="仿宋" w:hAnsi="仿宋" w:eastAsia="仿宋" w:cs="仿宋"/>
                <w:sz w:val="24"/>
                <w:szCs w:val="24"/>
              </w:rPr>
              <w:t>详细调研，并</w:t>
            </w:r>
            <w:r>
              <w:rPr>
                <w:rFonts w:hint="eastAsia" w:ascii="仿宋" w:hAnsi="仿宋" w:eastAsia="仿宋" w:cs="仿宋"/>
                <w:sz w:val="24"/>
                <w:szCs w:val="24"/>
                <w:lang w:val="en-US" w:eastAsia="zh-CN"/>
              </w:rPr>
              <w:t>出具调研报告，评委</w:t>
            </w:r>
            <w:r>
              <w:rPr>
                <w:rFonts w:hint="eastAsia" w:ascii="仿宋" w:hAnsi="仿宋" w:eastAsia="仿宋" w:cs="仿宋"/>
                <w:sz w:val="24"/>
                <w:szCs w:val="24"/>
              </w:rPr>
              <w:t>根据调研报告打分（0～</w:t>
            </w:r>
            <w:r>
              <w:rPr>
                <w:rFonts w:hint="eastAsia" w:ascii="仿宋" w:hAnsi="仿宋" w:eastAsia="仿宋" w:cs="仿宋"/>
                <w:sz w:val="24"/>
                <w:szCs w:val="24"/>
                <w:lang w:val="en-US" w:eastAsia="zh-CN"/>
              </w:rPr>
              <w:t>7</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829" w:type="dxa"/>
            <w:tcBorders>
              <w:top w:val="single" w:color="auto" w:sz="4" w:space="0"/>
              <w:left w:val="nil"/>
              <w:bottom w:val="single" w:color="auto" w:sz="4" w:space="0"/>
              <w:right w:val="single" w:color="auto" w:sz="4" w:space="0"/>
            </w:tcBorders>
            <w:noWrap w:val="0"/>
            <w:vAlign w:val="center"/>
          </w:tcPr>
          <w:p w14:paraId="70BB499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7分</w:t>
            </w:r>
          </w:p>
        </w:tc>
      </w:tr>
      <w:tr w14:paraId="063203F0">
        <w:tblPrEx>
          <w:tblCellMar>
            <w:top w:w="0" w:type="dxa"/>
            <w:left w:w="108" w:type="dxa"/>
            <w:bottom w:w="0" w:type="dxa"/>
            <w:right w:w="108" w:type="dxa"/>
          </w:tblCellMar>
        </w:tblPrEx>
        <w:trPr>
          <w:trHeight w:val="23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5FECCA1B">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4</w:t>
            </w:r>
          </w:p>
        </w:tc>
        <w:tc>
          <w:tcPr>
            <w:tcW w:w="1000" w:type="dxa"/>
            <w:tcBorders>
              <w:top w:val="single" w:color="auto" w:sz="4" w:space="0"/>
              <w:left w:val="nil"/>
              <w:bottom w:val="single" w:color="auto" w:sz="4" w:space="0"/>
              <w:right w:val="single" w:color="auto" w:sz="4" w:space="0"/>
            </w:tcBorders>
            <w:noWrap w:val="0"/>
            <w:vAlign w:val="center"/>
          </w:tcPr>
          <w:p w14:paraId="12419901">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color w:val="auto"/>
                <w:sz w:val="24"/>
                <w:szCs w:val="24"/>
                <w:lang w:val="en-US" w:eastAsia="zh-CN"/>
              </w:rPr>
              <w:t>拟投入</w:t>
            </w:r>
            <w:r>
              <w:rPr>
                <w:rFonts w:hint="eastAsia" w:ascii="仿宋" w:hAnsi="仿宋" w:eastAsia="仿宋" w:cs="仿宋"/>
                <w:b/>
                <w:bCs/>
                <w:color w:val="auto"/>
                <w:sz w:val="24"/>
                <w:szCs w:val="24"/>
              </w:rPr>
              <w:t>人员配置情况</w:t>
            </w:r>
          </w:p>
          <w:p w14:paraId="153CED82">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仿宋" w:hAnsi="仿宋" w:eastAsia="仿宋" w:cs="仿宋"/>
                <w:b/>
                <w:bCs/>
                <w:sz w:val="24"/>
                <w:szCs w:val="24"/>
              </w:rPr>
            </w:pPr>
          </w:p>
        </w:tc>
        <w:tc>
          <w:tcPr>
            <w:tcW w:w="7340" w:type="dxa"/>
            <w:tcBorders>
              <w:top w:val="single" w:color="auto" w:sz="4" w:space="0"/>
              <w:left w:val="nil"/>
              <w:bottom w:val="single" w:color="auto" w:sz="4" w:space="0"/>
              <w:right w:val="single" w:color="auto" w:sz="4" w:space="0"/>
            </w:tcBorders>
            <w:noWrap w:val="0"/>
            <w:vAlign w:val="center"/>
          </w:tcPr>
          <w:p w14:paraId="629B7D0B">
            <w:pPr>
              <w:keepNext w:val="0"/>
              <w:keepLines w:val="0"/>
              <w:pageBreakBefore w:val="0"/>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人员保证：</w:t>
            </w:r>
          </w:p>
          <w:p w14:paraId="0577FF10">
            <w:pPr>
              <w:keepNext w:val="0"/>
              <w:keepLines w:val="0"/>
              <w:pageBreakBefore w:val="0"/>
              <w:numPr>
                <w:ilvl w:val="0"/>
                <w:numId w:val="5"/>
              </w:numPr>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人员配置满足采购文件要求情况进行打分（0～4分）：提供详细的岗位人员配备表且人员配备和人员配备年龄结构完全满足招标文件要求，并承诺所有岗位不缺编，全部符合者得满分，其余情况由评委综合评定。</w:t>
            </w:r>
          </w:p>
          <w:p w14:paraId="3DB6F1C0">
            <w:pPr>
              <w:keepNext w:val="0"/>
              <w:keepLines w:val="0"/>
              <w:pageBreakBefore w:val="0"/>
              <w:numPr>
                <w:ilvl w:val="0"/>
                <w:numId w:val="5"/>
              </w:numPr>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根据投标人所提供的进退场交接方案完善情况以及确保服务平稳交接过渡方案，由评委综合打分（0～4分）。</w:t>
            </w:r>
          </w:p>
          <w:p w14:paraId="54024A71">
            <w:pPr>
              <w:keepNext w:val="0"/>
              <w:keepLines w:val="0"/>
              <w:pageBreakBefore w:val="0"/>
              <w:numPr>
                <w:ilvl w:val="0"/>
                <w:numId w:val="5"/>
              </w:numPr>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稳定员工队伍措施（0～</w:t>
            </w:r>
            <w:r>
              <w:rPr>
                <w:rFonts w:hint="eastAsia" w:ascii="仿宋" w:hAnsi="仿宋" w:eastAsia="仿宋" w:cs="仿宋"/>
                <w:sz w:val="24"/>
                <w:szCs w:val="24"/>
                <w:lang w:val="en-US" w:eastAsia="zh-CN"/>
              </w:rPr>
              <w:t>4</w:t>
            </w:r>
            <w:r>
              <w:rPr>
                <w:rFonts w:hint="eastAsia" w:ascii="仿宋" w:hAnsi="仿宋" w:eastAsia="仿宋" w:cs="仿宋"/>
                <w:sz w:val="24"/>
                <w:szCs w:val="24"/>
              </w:rPr>
              <w:t>分）：根据稳定员工队伍的措施的可行性等方面，由评委进行分析比较、评议，独立打分。</w:t>
            </w:r>
          </w:p>
          <w:p w14:paraId="1F4A42BC">
            <w:pPr>
              <w:keepNext w:val="0"/>
              <w:keepLines w:val="0"/>
              <w:pageBreakBefore w:val="0"/>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b/>
                <w:bCs/>
                <w:sz w:val="24"/>
                <w:szCs w:val="24"/>
              </w:rPr>
              <w:t>（注：投标时提供项目配置的岗位人员，需投标人为其缴纳的近3个月社保证明复印件，</w:t>
            </w:r>
            <w:r>
              <w:rPr>
                <w:rFonts w:hint="eastAsia" w:ascii="仿宋" w:hAnsi="仿宋" w:eastAsia="仿宋" w:cs="仿宋"/>
                <w:b/>
                <w:bCs/>
                <w:kern w:val="2"/>
                <w:sz w:val="24"/>
                <w:szCs w:val="24"/>
                <w:lang w:val="en-US" w:eastAsia="zh-CN" w:bidi="ar-SA"/>
              </w:rPr>
              <w:t>加盖投标人CA签章</w:t>
            </w:r>
            <w:r>
              <w:rPr>
                <w:rFonts w:hint="eastAsia" w:ascii="仿宋" w:hAnsi="仿宋" w:eastAsia="仿宋" w:cs="仿宋"/>
                <w:b/>
                <w:bCs/>
                <w:sz w:val="24"/>
                <w:szCs w:val="24"/>
              </w:rPr>
              <w:t>，否则不得分。）</w:t>
            </w:r>
          </w:p>
        </w:tc>
        <w:tc>
          <w:tcPr>
            <w:tcW w:w="829" w:type="dxa"/>
            <w:tcBorders>
              <w:top w:val="single" w:color="auto" w:sz="4" w:space="0"/>
              <w:left w:val="nil"/>
              <w:bottom w:val="single" w:color="auto" w:sz="4" w:space="0"/>
              <w:right w:val="single" w:color="auto" w:sz="4" w:space="0"/>
            </w:tcBorders>
            <w:noWrap w:val="0"/>
            <w:vAlign w:val="center"/>
          </w:tcPr>
          <w:p w14:paraId="4E1E8DE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12分</w:t>
            </w:r>
          </w:p>
        </w:tc>
      </w:tr>
      <w:tr w14:paraId="6280BE56">
        <w:tblPrEx>
          <w:tblCellMar>
            <w:top w:w="0" w:type="dxa"/>
            <w:left w:w="108" w:type="dxa"/>
            <w:bottom w:w="0" w:type="dxa"/>
            <w:right w:w="108" w:type="dxa"/>
          </w:tblCellMar>
        </w:tblPrEx>
        <w:trPr>
          <w:trHeight w:val="46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4E439281">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5</w:t>
            </w:r>
          </w:p>
        </w:tc>
        <w:tc>
          <w:tcPr>
            <w:tcW w:w="1000" w:type="dxa"/>
            <w:tcBorders>
              <w:top w:val="single" w:color="auto" w:sz="4" w:space="0"/>
              <w:left w:val="nil"/>
              <w:bottom w:val="single" w:color="auto" w:sz="4" w:space="0"/>
              <w:right w:val="single" w:color="auto" w:sz="4" w:space="0"/>
            </w:tcBorders>
            <w:noWrap w:val="0"/>
            <w:vAlign w:val="center"/>
          </w:tcPr>
          <w:p w14:paraId="7EA3859B">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color w:val="auto"/>
                <w:sz w:val="24"/>
                <w:szCs w:val="24"/>
              </w:rPr>
              <w:t>拟投</w:t>
            </w:r>
            <w:r>
              <w:rPr>
                <w:rFonts w:hint="eastAsia" w:ascii="仿宋" w:hAnsi="仿宋" w:eastAsia="仿宋" w:cs="仿宋"/>
                <w:b/>
                <w:bCs/>
                <w:color w:val="auto"/>
                <w:sz w:val="24"/>
                <w:szCs w:val="24"/>
                <w:lang w:val="en-US" w:eastAsia="zh-CN"/>
              </w:rPr>
              <w:t>作业车辆</w:t>
            </w:r>
            <w:r>
              <w:rPr>
                <w:rFonts w:hint="eastAsia" w:ascii="仿宋" w:hAnsi="仿宋" w:eastAsia="仿宋" w:cs="仿宋"/>
                <w:b/>
                <w:bCs/>
                <w:color w:val="auto"/>
                <w:sz w:val="24"/>
                <w:szCs w:val="24"/>
              </w:rPr>
              <w:t>设备配置</w:t>
            </w:r>
            <w:r>
              <w:rPr>
                <w:rFonts w:hint="eastAsia" w:ascii="仿宋" w:hAnsi="仿宋" w:eastAsia="仿宋" w:cs="仿宋"/>
                <w:b/>
                <w:bCs/>
                <w:color w:val="auto"/>
                <w:sz w:val="24"/>
                <w:szCs w:val="24"/>
                <w:lang w:eastAsia="zh-CN"/>
              </w:rPr>
              <w:t>情况</w:t>
            </w:r>
          </w:p>
        </w:tc>
        <w:tc>
          <w:tcPr>
            <w:tcW w:w="7340" w:type="dxa"/>
            <w:tcBorders>
              <w:top w:val="single" w:color="auto" w:sz="4" w:space="0"/>
              <w:left w:val="nil"/>
              <w:bottom w:val="single" w:color="auto" w:sz="4" w:space="0"/>
              <w:right w:val="single" w:color="auto" w:sz="4" w:space="0"/>
            </w:tcBorders>
            <w:noWrap w:val="0"/>
            <w:vAlign w:val="center"/>
          </w:tcPr>
          <w:p w14:paraId="4702183B">
            <w:pPr>
              <w:pStyle w:val="62"/>
              <w:keepNext w:val="0"/>
              <w:keepLines w:val="0"/>
              <w:pageBreakBefore w:val="0"/>
              <w:widowControl w:val="0"/>
              <w:kinsoku/>
              <w:wordWrap/>
              <w:overflowPunct/>
              <w:topLinePunct w:val="0"/>
              <w:autoSpaceDE w:val="0"/>
              <w:autoSpaceDN w:val="0"/>
              <w:bidi w:val="0"/>
              <w:adjustRightInd w:val="0"/>
              <w:snapToGrid/>
              <w:spacing w:after="0" w:line="36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（1）供应商</w:t>
            </w:r>
            <w:r>
              <w:rPr>
                <w:rFonts w:hint="eastAsia" w:ascii="仿宋" w:hAnsi="仿宋" w:eastAsia="仿宋" w:cs="仿宋"/>
                <w:bCs/>
                <w:color w:val="auto"/>
                <w:sz w:val="24"/>
                <w:szCs w:val="24"/>
              </w:rPr>
              <w:t>具有登高作业车2辆及以上的得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分（改装车不得分）。</w:t>
            </w:r>
          </w:p>
          <w:p w14:paraId="1FE3B8AF">
            <w:pPr>
              <w:keepNext w:val="0"/>
              <w:keepLines w:val="0"/>
              <w:pageBreakBefore w:val="0"/>
              <w:kinsoku/>
              <w:wordWrap/>
              <w:overflowPunct/>
              <w:topLinePunct w:val="0"/>
              <w:bidi w:val="0"/>
              <w:adjustRightInd w:val="0"/>
              <w:snapToGrid w:val="0"/>
              <w:spacing w:line="360" w:lineRule="exact"/>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（2）投标人能提供应急服务车辆（9座及以上）3辆的得2分，5辆及以上的得3分。</w:t>
            </w:r>
          </w:p>
          <w:p w14:paraId="30F3C1FC">
            <w:pPr>
              <w:keepNext w:val="0"/>
              <w:keepLines w:val="0"/>
              <w:pageBreakBefore w:val="0"/>
              <w:kinsoku/>
              <w:wordWrap/>
              <w:overflowPunct/>
              <w:topLinePunct w:val="0"/>
              <w:bidi w:val="0"/>
              <w:adjustRightInd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b/>
                <w:bCs w:val="0"/>
                <w:color w:val="auto"/>
                <w:sz w:val="24"/>
                <w:szCs w:val="24"/>
                <w:lang w:val="en-US" w:eastAsia="zh-CN"/>
              </w:rPr>
              <w:t>（注：</w:t>
            </w:r>
            <w:r>
              <w:rPr>
                <w:rFonts w:hint="eastAsia" w:ascii="仿宋" w:hAnsi="仿宋" w:eastAsia="仿宋" w:cs="仿宋"/>
                <w:b/>
                <w:bCs w:val="0"/>
                <w:color w:val="auto"/>
                <w:sz w:val="24"/>
                <w:highlight w:val="none"/>
                <w:lang w:val="en-US" w:eastAsia="zh-CN"/>
              </w:rPr>
              <w:t>投</w:t>
            </w:r>
            <w:r>
              <w:rPr>
                <w:rFonts w:hint="eastAsia" w:ascii="仿宋" w:hAnsi="仿宋" w:eastAsia="仿宋" w:cs="仿宋"/>
                <w:b/>
                <w:bCs w:val="0"/>
                <w:color w:val="auto"/>
                <w:sz w:val="24"/>
                <w:highlight w:val="none"/>
              </w:rPr>
              <w:t>标</w:t>
            </w:r>
            <w:r>
              <w:rPr>
                <w:rFonts w:hint="eastAsia" w:ascii="仿宋" w:hAnsi="仿宋" w:eastAsia="仿宋" w:cs="仿宋"/>
                <w:b/>
                <w:bCs w:val="0"/>
                <w:color w:val="auto"/>
                <w:sz w:val="24"/>
                <w:highlight w:val="none"/>
                <w:lang w:val="en-US" w:eastAsia="zh-CN"/>
              </w:rPr>
              <w:t>时</w:t>
            </w:r>
            <w:r>
              <w:rPr>
                <w:rFonts w:hint="eastAsia" w:ascii="仿宋" w:hAnsi="仿宋" w:eastAsia="仿宋" w:cs="仿宋"/>
                <w:b/>
                <w:bCs w:val="0"/>
                <w:color w:val="auto"/>
                <w:sz w:val="24"/>
                <w:highlight w:val="none"/>
              </w:rPr>
              <w:t>提供车管部门颁发的车辆行驶证复印件，行驶证单位需和投标人一致，未提供复印件不得分。</w:t>
            </w:r>
            <w:r>
              <w:rPr>
                <w:rFonts w:hint="eastAsia" w:ascii="仿宋" w:hAnsi="仿宋" w:eastAsia="仿宋" w:cs="仿宋"/>
                <w:b/>
                <w:bCs w:val="0"/>
                <w:color w:val="auto"/>
                <w:sz w:val="24"/>
                <w:highlight w:val="none"/>
                <w:lang w:val="en-US" w:eastAsia="zh-CN"/>
              </w:rPr>
              <w:t>若为中标后全新购置</w:t>
            </w:r>
            <w:r>
              <w:rPr>
                <w:rFonts w:hint="eastAsia" w:ascii="仿宋" w:hAnsi="仿宋" w:eastAsia="仿宋" w:cs="仿宋"/>
                <w:b/>
                <w:bCs w:val="0"/>
                <w:color w:val="auto"/>
                <w:sz w:val="24"/>
                <w:highlight w:val="none"/>
              </w:rPr>
              <w:t>投标人需在中标后一个月之内完成上述车辆配置，并将车辆行驶证提交招标人审核备案，行驶证单位需和投标人一致，投标时提供承诺函，</w:t>
            </w:r>
            <w:r>
              <w:rPr>
                <w:rFonts w:hint="eastAsia" w:ascii="仿宋" w:hAnsi="仿宋" w:eastAsia="仿宋" w:cs="仿宋"/>
                <w:b/>
                <w:bCs w:val="0"/>
                <w:color w:val="auto"/>
                <w:sz w:val="24"/>
                <w:highlight w:val="none"/>
                <w:lang w:eastAsia="zh-Hans"/>
              </w:rPr>
              <w:t>不</w:t>
            </w:r>
            <w:r>
              <w:rPr>
                <w:rFonts w:hint="eastAsia" w:ascii="仿宋" w:hAnsi="仿宋" w:eastAsia="仿宋" w:cs="仿宋"/>
                <w:b/>
                <w:bCs w:val="0"/>
                <w:color w:val="auto"/>
                <w:sz w:val="24"/>
                <w:highlight w:val="none"/>
                <w:lang w:val="en-US" w:eastAsia="zh-CN"/>
              </w:rPr>
              <w:t>提</w:t>
            </w:r>
            <w:r>
              <w:rPr>
                <w:rFonts w:hint="eastAsia" w:ascii="仿宋" w:hAnsi="仿宋" w:eastAsia="仿宋" w:cs="仿宋"/>
                <w:b/>
                <w:bCs w:val="0"/>
                <w:color w:val="auto"/>
                <w:sz w:val="24"/>
                <w:highlight w:val="none"/>
                <w:lang w:eastAsia="zh-Hans"/>
              </w:rPr>
              <w:t>供</w:t>
            </w:r>
            <w:r>
              <w:rPr>
                <w:rFonts w:hint="eastAsia" w:ascii="仿宋" w:hAnsi="仿宋" w:eastAsia="仿宋" w:cs="仿宋"/>
                <w:b/>
                <w:bCs w:val="0"/>
                <w:color w:val="auto"/>
                <w:sz w:val="24"/>
                <w:highlight w:val="none"/>
                <w:lang w:val="en-US" w:eastAsia="zh-CN"/>
              </w:rPr>
              <w:t>或承诺不到位</w:t>
            </w:r>
            <w:r>
              <w:rPr>
                <w:rFonts w:hint="eastAsia" w:ascii="仿宋" w:hAnsi="仿宋" w:eastAsia="仿宋" w:cs="仿宋"/>
                <w:b/>
                <w:bCs w:val="0"/>
                <w:color w:val="auto"/>
                <w:sz w:val="24"/>
                <w:highlight w:val="none"/>
                <w:lang w:eastAsia="zh-Hans"/>
              </w:rPr>
              <w:t>不得分</w:t>
            </w: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szCs w:val="24"/>
                <w:lang w:val="en-US" w:eastAsia="zh-CN"/>
              </w:rPr>
              <w:t>）</w:t>
            </w:r>
          </w:p>
        </w:tc>
        <w:tc>
          <w:tcPr>
            <w:tcW w:w="829" w:type="dxa"/>
            <w:tcBorders>
              <w:top w:val="single" w:color="auto" w:sz="4" w:space="0"/>
              <w:left w:val="nil"/>
              <w:bottom w:val="single" w:color="auto" w:sz="4" w:space="0"/>
              <w:right w:val="single" w:color="auto" w:sz="4" w:space="0"/>
            </w:tcBorders>
            <w:noWrap w:val="0"/>
            <w:vAlign w:val="center"/>
          </w:tcPr>
          <w:p w14:paraId="0333EDF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721652C3">
        <w:tblPrEx>
          <w:tblCellMar>
            <w:top w:w="0" w:type="dxa"/>
            <w:left w:w="108" w:type="dxa"/>
            <w:bottom w:w="0" w:type="dxa"/>
            <w:right w:w="108" w:type="dxa"/>
          </w:tblCellMar>
        </w:tblPrEx>
        <w:trPr>
          <w:trHeight w:val="842" w:hRule="atLeast"/>
          <w:jc w:val="center"/>
        </w:trPr>
        <w:tc>
          <w:tcPr>
            <w:tcW w:w="715" w:type="dxa"/>
            <w:vMerge w:val="restart"/>
            <w:tcBorders>
              <w:top w:val="single" w:color="auto" w:sz="4" w:space="0"/>
              <w:left w:val="single" w:color="auto" w:sz="4" w:space="0"/>
              <w:right w:val="single" w:color="auto" w:sz="4" w:space="0"/>
            </w:tcBorders>
            <w:noWrap w:val="0"/>
            <w:vAlign w:val="center"/>
          </w:tcPr>
          <w:p w14:paraId="1345ECDF">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6</w:t>
            </w:r>
          </w:p>
        </w:tc>
        <w:tc>
          <w:tcPr>
            <w:tcW w:w="1000" w:type="dxa"/>
            <w:vMerge w:val="restart"/>
            <w:tcBorders>
              <w:top w:val="single" w:color="auto" w:sz="4" w:space="0"/>
              <w:left w:val="nil"/>
              <w:right w:val="single" w:color="auto" w:sz="4" w:space="0"/>
            </w:tcBorders>
            <w:noWrap w:val="0"/>
            <w:vAlign w:val="center"/>
          </w:tcPr>
          <w:p w14:paraId="52060B1D">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服务方案</w:t>
            </w:r>
          </w:p>
        </w:tc>
        <w:tc>
          <w:tcPr>
            <w:tcW w:w="7340" w:type="dxa"/>
            <w:tcBorders>
              <w:top w:val="single" w:color="auto" w:sz="4" w:space="0"/>
              <w:left w:val="nil"/>
              <w:bottom w:val="single" w:color="auto" w:sz="4" w:space="0"/>
              <w:right w:val="single" w:color="auto" w:sz="4" w:space="0"/>
            </w:tcBorders>
            <w:noWrap w:val="0"/>
            <w:vAlign w:val="center"/>
          </w:tcPr>
          <w:p w14:paraId="0990E5CE">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根据供应商提供的</w:t>
            </w:r>
            <w:r>
              <w:rPr>
                <w:rFonts w:hint="eastAsia" w:ascii="仿宋" w:hAnsi="仿宋" w:eastAsia="仿宋" w:cs="仿宋"/>
                <w:bCs/>
                <w:sz w:val="24"/>
                <w:szCs w:val="24"/>
              </w:rPr>
              <w:t>企业内部管理制度</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科学性、合理性：包含公司组织管理职能制度、行政管理制度、薪酬管理制度</w:t>
            </w:r>
            <w:r>
              <w:rPr>
                <w:rFonts w:hint="eastAsia" w:ascii="仿宋" w:hAnsi="仿宋" w:eastAsia="仿宋" w:cs="仿宋"/>
                <w:bCs/>
                <w:sz w:val="24"/>
                <w:szCs w:val="24"/>
                <w:lang w:val="en-US" w:eastAsia="zh-CN"/>
              </w:rPr>
              <w:t>等内容由评委进行综合打分，（0-6分）。</w:t>
            </w:r>
          </w:p>
        </w:tc>
        <w:tc>
          <w:tcPr>
            <w:tcW w:w="829" w:type="dxa"/>
            <w:tcBorders>
              <w:top w:val="single" w:color="auto" w:sz="4" w:space="0"/>
              <w:left w:val="nil"/>
              <w:bottom w:val="single" w:color="auto" w:sz="4" w:space="0"/>
              <w:right w:val="single" w:color="auto" w:sz="4" w:space="0"/>
            </w:tcBorders>
            <w:noWrap w:val="0"/>
            <w:vAlign w:val="center"/>
          </w:tcPr>
          <w:p w14:paraId="2F0981B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31AF43D8">
        <w:tblPrEx>
          <w:tblCellMar>
            <w:top w:w="0" w:type="dxa"/>
            <w:left w:w="108" w:type="dxa"/>
            <w:bottom w:w="0" w:type="dxa"/>
            <w:right w:w="108" w:type="dxa"/>
          </w:tblCellMar>
        </w:tblPrEx>
        <w:trPr>
          <w:trHeight w:val="842" w:hRule="atLeast"/>
          <w:jc w:val="center"/>
        </w:trPr>
        <w:tc>
          <w:tcPr>
            <w:tcW w:w="715" w:type="dxa"/>
            <w:vMerge w:val="continue"/>
            <w:tcBorders>
              <w:left w:val="single" w:color="auto" w:sz="4" w:space="0"/>
              <w:right w:val="single" w:color="auto" w:sz="4" w:space="0"/>
            </w:tcBorders>
            <w:noWrap w:val="0"/>
            <w:vAlign w:val="center"/>
          </w:tcPr>
          <w:p w14:paraId="00565B57">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b/>
                <w:bCs/>
              </w:rPr>
            </w:pPr>
          </w:p>
        </w:tc>
        <w:tc>
          <w:tcPr>
            <w:tcW w:w="1000" w:type="dxa"/>
            <w:vMerge w:val="continue"/>
            <w:tcBorders>
              <w:left w:val="nil"/>
              <w:right w:val="single" w:color="auto" w:sz="4" w:space="0"/>
            </w:tcBorders>
            <w:noWrap w:val="0"/>
            <w:vAlign w:val="center"/>
          </w:tcPr>
          <w:p w14:paraId="4008E2E3">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p>
        </w:tc>
        <w:tc>
          <w:tcPr>
            <w:tcW w:w="7340" w:type="dxa"/>
            <w:tcBorders>
              <w:top w:val="single" w:color="auto" w:sz="4" w:space="0"/>
              <w:left w:val="nil"/>
              <w:bottom w:val="single" w:color="auto" w:sz="4" w:space="0"/>
              <w:right w:val="single" w:color="auto" w:sz="4" w:space="0"/>
            </w:tcBorders>
            <w:noWrap w:val="0"/>
            <w:vAlign w:val="center"/>
          </w:tcPr>
          <w:p w14:paraId="7C409104">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根据供应商针对本项目提供的</w:t>
            </w:r>
            <w:r>
              <w:rPr>
                <w:rFonts w:hint="eastAsia" w:ascii="仿宋" w:hAnsi="仿宋" w:eastAsia="仿宋" w:cs="仿宋"/>
                <w:bCs/>
                <w:sz w:val="24"/>
                <w:szCs w:val="24"/>
              </w:rPr>
              <w:t>服务人员管理制度</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科学性、合理性：人员招聘与选拔、详细人员调度方案、服务人员保障方案</w:t>
            </w:r>
            <w:r>
              <w:rPr>
                <w:rFonts w:hint="eastAsia" w:ascii="仿宋" w:hAnsi="仿宋" w:eastAsia="仿宋" w:cs="仿宋"/>
                <w:bCs/>
                <w:sz w:val="24"/>
                <w:szCs w:val="24"/>
                <w:lang w:val="en-US" w:eastAsia="zh-CN"/>
              </w:rPr>
              <w:t>等内容由评委进行综合</w:t>
            </w:r>
            <w:r>
              <w:rPr>
                <w:rFonts w:hint="eastAsia" w:ascii="仿宋" w:hAnsi="仿宋" w:eastAsia="仿宋" w:cs="仿宋"/>
                <w:sz w:val="24"/>
                <w:szCs w:val="24"/>
              </w:rPr>
              <w:t>比较与评价</w:t>
            </w:r>
            <w:r>
              <w:rPr>
                <w:rFonts w:hint="eastAsia" w:ascii="仿宋" w:hAnsi="仿宋" w:eastAsia="仿宋" w:cs="仿宋"/>
                <w:bCs/>
                <w:sz w:val="24"/>
                <w:szCs w:val="24"/>
                <w:lang w:val="en-US" w:eastAsia="zh-CN"/>
              </w:rPr>
              <w:t>，（0-6分）。</w:t>
            </w:r>
          </w:p>
        </w:tc>
        <w:tc>
          <w:tcPr>
            <w:tcW w:w="829" w:type="dxa"/>
            <w:tcBorders>
              <w:top w:val="single" w:color="auto" w:sz="4" w:space="0"/>
              <w:left w:val="nil"/>
              <w:bottom w:val="single" w:color="auto" w:sz="4" w:space="0"/>
              <w:right w:val="single" w:color="auto" w:sz="4" w:space="0"/>
            </w:tcBorders>
            <w:noWrap w:val="0"/>
            <w:vAlign w:val="center"/>
          </w:tcPr>
          <w:p w14:paraId="4DB1B97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1DEAF0B9">
        <w:tblPrEx>
          <w:tblCellMar>
            <w:top w:w="0" w:type="dxa"/>
            <w:left w:w="108" w:type="dxa"/>
            <w:bottom w:w="0" w:type="dxa"/>
            <w:right w:w="108" w:type="dxa"/>
          </w:tblCellMar>
        </w:tblPrEx>
        <w:trPr>
          <w:trHeight w:val="842" w:hRule="atLeast"/>
          <w:jc w:val="center"/>
        </w:trPr>
        <w:tc>
          <w:tcPr>
            <w:tcW w:w="715" w:type="dxa"/>
            <w:vMerge w:val="continue"/>
            <w:tcBorders>
              <w:left w:val="single" w:color="auto" w:sz="4" w:space="0"/>
              <w:right w:val="single" w:color="auto" w:sz="4" w:space="0"/>
            </w:tcBorders>
            <w:noWrap w:val="0"/>
            <w:vAlign w:val="center"/>
          </w:tcPr>
          <w:p w14:paraId="3C21D4C8">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rPr>
            </w:pPr>
          </w:p>
        </w:tc>
        <w:tc>
          <w:tcPr>
            <w:tcW w:w="1000" w:type="dxa"/>
            <w:vMerge w:val="continue"/>
            <w:tcBorders>
              <w:left w:val="nil"/>
              <w:right w:val="single" w:color="auto" w:sz="4" w:space="0"/>
            </w:tcBorders>
            <w:noWrap w:val="0"/>
            <w:vAlign w:val="center"/>
          </w:tcPr>
          <w:p w14:paraId="011516B6">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p>
        </w:tc>
        <w:tc>
          <w:tcPr>
            <w:tcW w:w="7340" w:type="dxa"/>
            <w:tcBorders>
              <w:top w:val="single" w:color="auto" w:sz="4" w:space="0"/>
              <w:left w:val="nil"/>
              <w:bottom w:val="single" w:color="auto" w:sz="4" w:space="0"/>
              <w:right w:val="single" w:color="auto" w:sz="4" w:space="0"/>
            </w:tcBorders>
            <w:noWrap w:val="0"/>
            <w:vAlign w:val="center"/>
          </w:tcPr>
          <w:p w14:paraId="63171D3F">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根据供应商针对本项目提供的</w:t>
            </w:r>
            <w:r>
              <w:rPr>
                <w:rFonts w:hint="eastAsia" w:ascii="仿宋" w:hAnsi="仿宋" w:eastAsia="仿宋" w:cs="仿宋"/>
                <w:bCs/>
                <w:sz w:val="24"/>
                <w:szCs w:val="24"/>
              </w:rPr>
              <w:t>考核办法与服务方案</w:t>
            </w:r>
            <w:r>
              <w:rPr>
                <w:rFonts w:hint="eastAsia" w:ascii="仿宋" w:hAnsi="仿宋" w:eastAsia="仿宋" w:cs="仿宋"/>
                <w:bCs/>
                <w:sz w:val="24"/>
                <w:szCs w:val="24"/>
                <w:lang w:val="en-US" w:eastAsia="zh-CN"/>
              </w:rPr>
              <w:t>是否</w:t>
            </w:r>
            <w:r>
              <w:rPr>
                <w:rFonts w:hint="eastAsia" w:ascii="仿宋" w:hAnsi="仿宋" w:eastAsia="仿宋" w:cs="仿宋"/>
                <w:bCs/>
                <w:sz w:val="24"/>
                <w:szCs w:val="24"/>
              </w:rPr>
              <w:t>详细、设置</w:t>
            </w:r>
            <w:r>
              <w:rPr>
                <w:rFonts w:hint="eastAsia" w:ascii="仿宋" w:hAnsi="仿宋" w:eastAsia="仿宋" w:cs="仿宋"/>
                <w:bCs/>
                <w:sz w:val="24"/>
                <w:szCs w:val="24"/>
                <w:lang w:val="en-US" w:eastAsia="zh-CN"/>
              </w:rPr>
              <w:t>是否</w:t>
            </w:r>
            <w:r>
              <w:rPr>
                <w:rFonts w:hint="eastAsia" w:ascii="仿宋" w:hAnsi="仿宋" w:eastAsia="仿宋" w:cs="仿宋"/>
                <w:bCs/>
                <w:sz w:val="24"/>
                <w:szCs w:val="24"/>
              </w:rPr>
              <w:t>科学、合理</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比较与评价</w:t>
            </w:r>
            <w:r>
              <w:rPr>
                <w:rFonts w:hint="eastAsia" w:ascii="仿宋" w:hAnsi="仿宋" w:eastAsia="仿宋" w:cs="仿宋"/>
                <w:bCs/>
                <w:sz w:val="24"/>
                <w:szCs w:val="24"/>
                <w:lang w:val="en-US" w:eastAsia="zh-CN"/>
              </w:rPr>
              <w:t>，（0-6分）。</w:t>
            </w:r>
          </w:p>
        </w:tc>
        <w:tc>
          <w:tcPr>
            <w:tcW w:w="829" w:type="dxa"/>
            <w:tcBorders>
              <w:top w:val="single" w:color="auto" w:sz="4" w:space="0"/>
              <w:left w:val="nil"/>
              <w:bottom w:val="single" w:color="auto" w:sz="4" w:space="0"/>
              <w:right w:val="single" w:color="auto" w:sz="4" w:space="0"/>
            </w:tcBorders>
            <w:noWrap w:val="0"/>
            <w:vAlign w:val="center"/>
          </w:tcPr>
          <w:p w14:paraId="32381D1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4EEFE423">
        <w:tblPrEx>
          <w:tblCellMar>
            <w:top w:w="0" w:type="dxa"/>
            <w:left w:w="108" w:type="dxa"/>
            <w:bottom w:w="0" w:type="dxa"/>
            <w:right w:w="108" w:type="dxa"/>
          </w:tblCellMar>
        </w:tblPrEx>
        <w:trPr>
          <w:trHeight w:val="460" w:hRule="atLeast"/>
          <w:jc w:val="center"/>
        </w:trPr>
        <w:tc>
          <w:tcPr>
            <w:tcW w:w="715" w:type="dxa"/>
            <w:vMerge w:val="continue"/>
            <w:tcBorders>
              <w:left w:val="single" w:color="auto" w:sz="4" w:space="0"/>
              <w:bottom w:val="single" w:color="auto" w:sz="4" w:space="0"/>
              <w:right w:val="single" w:color="auto" w:sz="4" w:space="0"/>
            </w:tcBorders>
            <w:noWrap w:val="0"/>
            <w:vAlign w:val="center"/>
          </w:tcPr>
          <w:p w14:paraId="58D259FD">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rPr>
            </w:pPr>
          </w:p>
        </w:tc>
        <w:tc>
          <w:tcPr>
            <w:tcW w:w="1000" w:type="dxa"/>
            <w:vMerge w:val="continue"/>
            <w:tcBorders>
              <w:left w:val="nil"/>
              <w:bottom w:val="single" w:color="auto" w:sz="4" w:space="0"/>
              <w:right w:val="single" w:color="auto" w:sz="4" w:space="0"/>
            </w:tcBorders>
            <w:noWrap w:val="0"/>
            <w:vAlign w:val="center"/>
          </w:tcPr>
          <w:p w14:paraId="7AFAA16E">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p>
        </w:tc>
        <w:tc>
          <w:tcPr>
            <w:tcW w:w="7340" w:type="dxa"/>
            <w:tcBorders>
              <w:top w:val="single" w:color="auto" w:sz="4" w:space="0"/>
              <w:left w:val="nil"/>
              <w:bottom w:val="single" w:color="auto" w:sz="4" w:space="0"/>
              <w:right w:val="single" w:color="auto" w:sz="4" w:space="0"/>
            </w:tcBorders>
            <w:noWrap w:val="0"/>
            <w:vAlign w:val="center"/>
          </w:tcPr>
          <w:p w14:paraId="0C624D30">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根据供应商提供的</w:t>
            </w:r>
            <w:r>
              <w:rPr>
                <w:rFonts w:hint="eastAsia" w:ascii="仿宋" w:hAnsi="仿宋" w:eastAsia="仿宋" w:cs="仿宋"/>
                <w:bCs/>
                <w:sz w:val="24"/>
                <w:szCs w:val="24"/>
              </w:rPr>
              <w:t>保障本项目服务质量方案的合理性及突发应急情况处理方式的可行性</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比较与评价</w:t>
            </w:r>
            <w:r>
              <w:rPr>
                <w:rFonts w:hint="eastAsia" w:ascii="仿宋" w:hAnsi="仿宋" w:eastAsia="仿宋" w:cs="仿宋"/>
                <w:bCs/>
                <w:sz w:val="24"/>
                <w:szCs w:val="24"/>
                <w:lang w:val="en-US" w:eastAsia="zh-CN"/>
              </w:rPr>
              <w:t>，（0-6分）。</w:t>
            </w:r>
          </w:p>
        </w:tc>
        <w:tc>
          <w:tcPr>
            <w:tcW w:w="829" w:type="dxa"/>
            <w:tcBorders>
              <w:top w:val="single" w:color="auto" w:sz="4" w:space="0"/>
              <w:left w:val="nil"/>
              <w:bottom w:val="single" w:color="auto" w:sz="4" w:space="0"/>
              <w:right w:val="single" w:color="auto" w:sz="4" w:space="0"/>
            </w:tcBorders>
            <w:noWrap w:val="0"/>
            <w:vAlign w:val="center"/>
          </w:tcPr>
          <w:p w14:paraId="638EE0B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15D008CE">
        <w:tblPrEx>
          <w:tblCellMar>
            <w:top w:w="0" w:type="dxa"/>
            <w:left w:w="108" w:type="dxa"/>
            <w:bottom w:w="0" w:type="dxa"/>
            <w:right w:w="108" w:type="dxa"/>
          </w:tblCellMar>
        </w:tblPrEx>
        <w:trPr>
          <w:trHeight w:val="460" w:hRule="atLeast"/>
          <w:jc w:val="center"/>
        </w:trPr>
        <w:tc>
          <w:tcPr>
            <w:tcW w:w="715" w:type="dxa"/>
            <w:vMerge w:val="continue"/>
            <w:tcBorders>
              <w:left w:val="single" w:color="auto" w:sz="4" w:space="0"/>
              <w:bottom w:val="single" w:color="auto" w:sz="4" w:space="0"/>
              <w:right w:val="single" w:color="auto" w:sz="4" w:space="0"/>
            </w:tcBorders>
            <w:noWrap w:val="0"/>
            <w:vAlign w:val="center"/>
          </w:tcPr>
          <w:p w14:paraId="453A20A7">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b/>
                <w:bCs/>
              </w:rPr>
            </w:pPr>
          </w:p>
        </w:tc>
        <w:tc>
          <w:tcPr>
            <w:tcW w:w="1000" w:type="dxa"/>
            <w:vMerge w:val="continue"/>
            <w:tcBorders>
              <w:left w:val="nil"/>
              <w:bottom w:val="single" w:color="auto" w:sz="4" w:space="0"/>
              <w:right w:val="single" w:color="auto" w:sz="4" w:space="0"/>
            </w:tcBorders>
            <w:noWrap w:val="0"/>
            <w:vAlign w:val="center"/>
          </w:tcPr>
          <w:p w14:paraId="6574C54C">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b/>
                <w:bCs/>
              </w:rPr>
            </w:pPr>
          </w:p>
        </w:tc>
        <w:tc>
          <w:tcPr>
            <w:tcW w:w="7340" w:type="dxa"/>
            <w:tcBorders>
              <w:top w:val="single" w:color="auto" w:sz="4" w:space="0"/>
              <w:left w:val="nil"/>
              <w:bottom w:val="single" w:color="auto" w:sz="4" w:space="0"/>
              <w:right w:val="single" w:color="auto" w:sz="4" w:space="0"/>
            </w:tcBorders>
            <w:noWrap w:val="0"/>
            <w:vAlign w:val="center"/>
          </w:tcPr>
          <w:p w14:paraId="2622E6EA">
            <w:pPr>
              <w:keepNext w:val="0"/>
              <w:keepLines w:val="0"/>
              <w:pageBreakBefore w:val="0"/>
              <w:kinsoku/>
              <w:wordWrap/>
              <w:overflowPunct/>
              <w:topLinePunct w:val="0"/>
              <w:autoSpaceDE w:val="0"/>
              <w:autoSpaceDN w:val="0"/>
              <w:bidi w:val="0"/>
              <w:adjustRightInd w:val="0"/>
              <w:spacing w:beforeAutospacing="1" w:afterAutospacing="1" w:line="360" w:lineRule="exact"/>
              <w:jc w:val="both"/>
              <w:textAlignment w:val="auto"/>
              <w:rPr>
                <w:rFonts w:hint="eastAsia" w:ascii="仿宋" w:hAnsi="仿宋" w:eastAsia="仿宋" w:cs="仿宋"/>
                <w:bCs/>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优惠承诺和特色服务情况</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比较与评价</w:t>
            </w:r>
            <w:r>
              <w:rPr>
                <w:rFonts w:hint="eastAsia" w:ascii="仿宋" w:hAnsi="仿宋" w:eastAsia="仿宋" w:cs="仿宋"/>
                <w:bCs/>
                <w:sz w:val="24"/>
                <w:szCs w:val="24"/>
                <w:lang w:val="en-US" w:eastAsia="zh-CN"/>
              </w:rPr>
              <w:t>，</w:t>
            </w:r>
            <w:r>
              <w:rPr>
                <w:rFonts w:hint="eastAsia" w:ascii="仿宋" w:hAnsi="仿宋" w:eastAsia="仿宋" w:cs="仿宋"/>
                <w:bCs/>
                <w:color w:val="auto"/>
                <w:sz w:val="24"/>
                <w:szCs w:val="24"/>
                <w:lang w:val="en-US" w:eastAsia="zh-CN"/>
              </w:rPr>
              <w:t>（0-4分）</w:t>
            </w:r>
          </w:p>
        </w:tc>
        <w:tc>
          <w:tcPr>
            <w:tcW w:w="829" w:type="dxa"/>
            <w:tcBorders>
              <w:top w:val="single" w:color="auto" w:sz="4" w:space="0"/>
              <w:left w:val="nil"/>
              <w:bottom w:val="single" w:color="auto" w:sz="4" w:space="0"/>
              <w:right w:val="single" w:color="auto" w:sz="4" w:space="0"/>
            </w:tcBorders>
            <w:noWrap w:val="0"/>
            <w:vAlign w:val="center"/>
          </w:tcPr>
          <w:p w14:paraId="6C09E5DC">
            <w:pPr>
              <w:keepNext w:val="0"/>
              <w:keepLines w:val="0"/>
              <w:pageBreakBefore w:val="0"/>
              <w:kinsoku/>
              <w:wordWrap/>
              <w:overflowPunct/>
              <w:topLinePunct w:val="0"/>
              <w:bidi w:val="0"/>
              <w:spacing w:line="360" w:lineRule="exact"/>
              <w:jc w:val="center"/>
              <w:textAlignment w:val="auto"/>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4分</w:t>
            </w:r>
          </w:p>
        </w:tc>
      </w:tr>
      <w:tr w14:paraId="1AC87530">
        <w:tblPrEx>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0D55F6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w:t>
            </w:r>
          </w:p>
        </w:tc>
        <w:tc>
          <w:tcPr>
            <w:tcW w:w="1000" w:type="dxa"/>
            <w:tcBorders>
              <w:top w:val="single" w:color="auto" w:sz="4" w:space="0"/>
              <w:left w:val="nil"/>
              <w:bottom w:val="single" w:color="auto" w:sz="4" w:space="0"/>
              <w:right w:val="single" w:color="auto" w:sz="4" w:space="0"/>
            </w:tcBorders>
            <w:noWrap w:val="0"/>
            <w:vAlign w:val="center"/>
          </w:tcPr>
          <w:p w14:paraId="5F2180D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风险防控措施</w:t>
            </w:r>
          </w:p>
          <w:p w14:paraId="0B85E41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rPr>
            </w:pPr>
          </w:p>
        </w:tc>
        <w:tc>
          <w:tcPr>
            <w:tcW w:w="7340" w:type="dxa"/>
            <w:tcBorders>
              <w:top w:val="single" w:color="auto" w:sz="4" w:space="0"/>
              <w:left w:val="nil"/>
              <w:bottom w:val="single" w:color="auto" w:sz="4" w:space="0"/>
              <w:right w:val="single" w:color="auto" w:sz="4" w:space="0"/>
            </w:tcBorders>
            <w:noWrap w:val="0"/>
            <w:vAlign w:val="center"/>
          </w:tcPr>
          <w:p w14:paraId="014AD1B2">
            <w:pPr>
              <w:keepNext w:val="0"/>
              <w:keepLines w:val="0"/>
              <w:pageBreakBefore w:val="0"/>
              <w:kinsoku/>
              <w:wordWrap/>
              <w:overflowPunct/>
              <w:topLinePunct w:val="0"/>
              <w:bidi w:val="0"/>
              <w:spacing w:line="36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对实施过程中可能出现的风险事先判断是否具备针对性、完备性；针对本项目制定的风险规避防控措施是否具备合理性、可行性、有效性；相应的人力及物力的投入安排是否能够有效避免风险或出现风险时是否能够及时有效处理等情况，根据投标人项目实施中风险说明及风险规避防控措施由评</w:t>
            </w:r>
            <w:r>
              <w:rPr>
                <w:rFonts w:hint="eastAsia" w:ascii="仿宋" w:hAnsi="仿宋" w:eastAsia="仿宋" w:cs="仿宋"/>
                <w:sz w:val="24"/>
                <w:szCs w:val="24"/>
                <w:lang w:val="en-US" w:eastAsia="zh-CN"/>
              </w:rPr>
              <w:t>委</w:t>
            </w:r>
            <w:r>
              <w:rPr>
                <w:rFonts w:hint="eastAsia" w:ascii="仿宋" w:hAnsi="仿宋" w:eastAsia="仿宋" w:cs="仿宋"/>
                <w:sz w:val="24"/>
                <w:szCs w:val="24"/>
              </w:rPr>
              <w:t>进行综合比较与评价，</w:t>
            </w:r>
            <w:r>
              <w:rPr>
                <w:rFonts w:hint="eastAsia" w:ascii="仿宋" w:hAnsi="仿宋" w:eastAsia="仿宋" w:cs="仿宋"/>
                <w:sz w:val="24"/>
                <w:szCs w:val="24"/>
                <w:lang w:val="en-US" w:eastAsia="zh-CN"/>
              </w:rPr>
              <w:t>（0-8分）</w:t>
            </w:r>
            <w:r>
              <w:rPr>
                <w:rFonts w:hint="eastAsia" w:ascii="仿宋" w:hAnsi="仿宋" w:eastAsia="仿宋" w:cs="仿宋"/>
                <w:sz w:val="24"/>
                <w:szCs w:val="24"/>
              </w:rPr>
              <w:t>。</w:t>
            </w:r>
          </w:p>
        </w:tc>
        <w:tc>
          <w:tcPr>
            <w:tcW w:w="829" w:type="dxa"/>
            <w:tcBorders>
              <w:top w:val="single" w:color="auto" w:sz="4" w:space="0"/>
              <w:left w:val="nil"/>
              <w:bottom w:val="single" w:color="auto" w:sz="4" w:space="0"/>
              <w:right w:val="single" w:color="auto" w:sz="4" w:space="0"/>
            </w:tcBorders>
            <w:noWrap w:val="0"/>
            <w:vAlign w:val="center"/>
          </w:tcPr>
          <w:p w14:paraId="54231B44">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8分</w:t>
            </w:r>
          </w:p>
        </w:tc>
      </w:tr>
      <w:tr w14:paraId="52969189">
        <w:tblPrEx>
          <w:tblCellMar>
            <w:top w:w="0" w:type="dxa"/>
            <w:left w:w="108" w:type="dxa"/>
            <w:bottom w:w="0" w:type="dxa"/>
            <w:right w:w="108" w:type="dxa"/>
          </w:tblCellMar>
        </w:tblPrEx>
        <w:trPr>
          <w:trHeight w:val="936"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0B2D7092">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w:t>
            </w:r>
          </w:p>
        </w:tc>
        <w:tc>
          <w:tcPr>
            <w:tcW w:w="1000" w:type="dxa"/>
            <w:tcBorders>
              <w:top w:val="single" w:color="auto" w:sz="4" w:space="0"/>
              <w:left w:val="nil"/>
              <w:bottom w:val="single" w:color="auto" w:sz="4" w:space="0"/>
              <w:right w:val="single" w:color="auto" w:sz="4" w:space="0"/>
            </w:tcBorders>
            <w:noWrap w:val="0"/>
            <w:vAlign w:val="center"/>
          </w:tcPr>
          <w:p w14:paraId="053D597E">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SA"/>
              </w:rPr>
              <w:t>培训</w:t>
            </w:r>
          </w:p>
        </w:tc>
        <w:tc>
          <w:tcPr>
            <w:tcW w:w="7340" w:type="dxa"/>
            <w:tcBorders>
              <w:top w:val="single" w:color="auto" w:sz="4" w:space="0"/>
              <w:left w:val="nil"/>
              <w:bottom w:val="single" w:color="auto" w:sz="4" w:space="0"/>
              <w:right w:val="single" w:color="auto" w:sz="4" w:space="0"/>
            </w:tcBorders>
            <w:noWrap w:val="0"/>
            <w:vAlign w:val="center"/>
          </w:tcPr>
          <w:p w14:paraId="3C431861">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根据供应商提供的</w:t>
            </w:r>
            <w:r>
              <w:rPr>
                <w:rFonts w:hint="eastAsia" w:ascii="仿宋" w:hAnsi="仿宋" w:eastAsia="仿宋" w:cs="仿宋"/>
                <w:color w:val="000000"/>
                <w:kern w:val="0"/>
                <w:sz w:val="24"/>
                <w:szCs w:val="24"/>
                <w:lang w:val="en-US" w:eastAsia="zh-CN" w:bidi="ar-SA"/>
              </w:rPr>
              <w:t>培训方案和计划</w:t>
            </w:r>
            <w:r>
              <w:rPr>
                <w:rFonts w:hint="eastAsia" w:ascii="仿宋" w:hAnsi="仿宋" w:eastAsia="仿宋" w:cs="仿宋"/>
                <w:bCs/>
                <w:sz w:val="24"/>
                <w:szCs w:val="24"/>
              </w:rPr>
              <w:t>的</w:t>
            </w:r>
            <w:r>
              <w:rPr>
                <w:rFonts w:hint="eastAsia" w:ascii="仿宋" w:hAnsi="仿宋" w:eastAsia="仿宋" w:cs="仿宋"/>
                <w:color w:val="000000"/>
                <w:kern w:val="0"/>
                <w:sz w:val="24"/>
                <w:szCs w:val="24"/>
                <w:lang w:val="en-US" w:eastAsia="zh-CN" w:bidi="ar-SA"/>
              </w:rPr>
              <w:t>缜密性、</w:t>
            </w:r>
            <w:r>
              <w:rPr>
                <w:rFonts w:hint="eastAsia" w:ascii="仿宋" w:hAnsi="仿宋" w:eastAsia="仿宋" w:cs="仿宋"/>
                <w:bCs/>
                <w:sz w:val="24"/>
                <w:szCs w:val="24"/>
              </w:rPr>
              <w:t>可行性</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比较与评价</w:t>
            </w:r>
            <w:r>
              <w:rPr>
                <w:rFonts w:hint="eastAsia" w:ascii="仿宋" w:hAnsi="仿宋" w:eastAsia="仿宋" w:cs="仿宋"/>
                <w:bCs/>
                <w:sz w:val="24"/>
                <w:szCs w:val="24"/>
                <w:lang w:val="en-US" w:eastAsia="zh-CN"/>
              </w:rPr>
              <w:t>，（0-8分）。</w:t>
            </w:r>
          </w:p>
        </w:tc>
        <w:tc>
          <w:tcPr>
            <w:tcW w:w="829" w:type="dxa"/>
            <w:tcBorders>
              <w:top w:val="single" w:color="auto" w:sz="4" w:space="0"/>
              <w:left w:val="nil"/>
              <w:bottom w:val="single" w:color="auto" w:sz="4" w:space="0"/>
              <w:right w:val="single" w:color="auto" w:sz="4" w:space="0"/>
            </w:tcBorders>
            <w:noWrap w:val="0"/>
            <w:vAlign w:val="center"/>
          </w:tcPr>
          <w:p w14:paraId="2489966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8分</w:t>
            </w:r>
          </w:p>
        </w:tc>
      </w:tr>
      <w:tr w14:paraId="4BD5FFF7">
        <w:tblPrEx>
          <w:tblCellMar>
            <w:top w:w="0" w:type="dxa"/>
            <w:left w:w="108" w:type="dxa"/>
            <w:bottom w:w="0" w:type="dxa"/>
            <w:right w:w="108" w:type="dxa"/>
          </w:tblCellMar>
        </w:tblPrEx>
        <w:trPr>
          <w:trHeight w:val="54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47A7292F">
            <w:pPr>
              <w:keepNext w:val="0"/>
              <w:keepLines w:val="0"/>
              <w:pageBreakBefore w:val="0"/>
              <w:kinsoku/>
              <w:wordWrap/>
              <w:overflowPunct/>
              <w:topLinePunct w:val="0"/>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9</w:t>
            </w:r>
          </w:p>
        </w:tc>
        <w:tc>
          <w:tcPr>
            <w:tcW w:w="1000" w:type="dxa"/>
            <w:tcBorders>
              <w:top w:val="single" w:color="auto" w:sz="4" w:space="0"/>
              <w:left w:val="nil"/>
              <w:bottom w:val="single" w:color="auto" w:sz="4" w:space="0"/>
              <w:right w:val="single" w:color="auto" w:sz="4" w:space="0"/>
            </w:tcBorders>
            <w:noWrap w:val="0"/>
            <w:vAlign w:val="center"/>
          </w:tcPr>
          <w:p w14:paraId="57240A20">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sz w:val="24"/>
                <w:szCs w:val="24"/>
              </w:rPr>
              <w:t>服务能力</w:t>
            </w:r>
          </w:p>
        </w:tc>
        <w:tc>
          <w:tcPr>
            <w:tcW w:w="7340" w:type="dxa"/>
            <w:tcBorders>
              <w:top w:val="single" w:color="auto" w:sz="4" w:space="0"/>
              <w:left w:val="nil"/>
              <w:bottom w:val="single" w:color="auto" w:sz="4" w:space="0"/>
              <w:right w:val="single" w:color="auto" w:sz="4" w:space="0"/>
            </w:tcBorders>
            <w:noWrap w:val="0"/>
            <w:vAlign w:val="center"/>
          </w:tcPr>
          <w:p w14:paraId="6C7B7441">
            <w:pPr>
              <w:keepNext w:val="0"/>
              <w:keepLines w:val="0"/>
              <w:pageBreakBefore w:val="0"/>
              <w:kinsoku/>
              <w:wordWrap/>
              <w:overflowPunct/>
              <w:topLinePunct w:val="0"/>
              <w:bidi w:val="0"/>
              <w:spacing w:line="360" w:lineRule="exact"/>
              <w:textAlignment w:val="auto"/>
              <w:rPr>
                <w:rFonts w:hint="eastAsia" w:ascii="仿宋" w:hAnsi="仿宋" w:eastAsia="仿宋" w:cs="仿宋"/>
                <w:bCs/>
                <w:sz w:val="24"/>
                <w:szCs w:val="24"/>
              </w:rPr>
            </w:pPr>
            <w:r>
              <w:rPr>
                <w:rFonts w:hint="eastAsia" w:ascii="仿宋" w:hAnsi="仿宋" w:eastAsia="仿宋" w:cs="仿宋"/>
                <w:bCs/>
                <w:kern w:val="0"/>
                <w:sz w:val="24"/>
                <w:szCs w:val="24"/>
              </w:rPr>
              <w:t>根据投标人</w:t>
            </w:r>
            <w:r>
              <w:rPr>
                <w:rFonts w:hint="eastAsia" w:ascii="仿宋" w:hAnsi="仿宋" w:eastAsia="仿宋" w:cs="仿宋"/>
                <w:bCs/>
                <w:kern w:val="0"/>
                <w:sz w:val="24"/>
                <w:szCs w:val="24"/>
                <w:lang w:val="en-US" w:eastAsia="zh-CN"/>
              </w:rPr>
              <w:t>的</w:t>
            </w:r>
            <w:r>
              <w:rPr>
                <w:rFonts w:hint="eastAsia" w:ascii="仿宋" w:hAnsi="仿宋" w:eastAsia="仿宋" w:cs="仿宋"/>
                <w:bCs/>
                <w:kern w:val="0"/>
                <w:sz w:val="24"/>
                <w:szCs w:val="24"/>
              </w:rPr>
              <w:t>服务能力、服务水平、服务机构设置的合理性、真实可靠性等方面进行</w:t>
            </w:r>
            <w:r>
              <w:rPr>
                <w:rFonts w:hint="eastAsia" w:ascii="仿宋" w:hAnsi="仿宋" w:eastAsia="仿宋" w:cs="仿宋"/>
                <w:bCs/>
                <w:sz w:val="24"/>
                <w:szCs w:val="24"/>
                <w:lang w:val="en-US" w:eastAsia="zh-CN"/>
              </w:rPr>
              <w:t>综合</w:t>
            </w:r>
            <w:r>
              <w:rPr>
                <w:rFonts w:hint="eastAsia" w:ascii="仿宋" w:hAnsi="仿宋" w:eastAsia="仿宋" w:cs="仿宋"/>
                <w:sz w:val="24"/>
                <w:szCs w:val="24"/>
              </w:rPr>
              <w:t>比较与评价</w:t>
            </w:r>
            <w:r>
              <w:rPr>
                <w:rFonts w:hint="eastAsia" w:ascii="仿宋" w:hAnsi="仿宋" w:eastAsia="仿宋" w:cs="仿宋"/>
                <w:bCs/>
                <w:kern w:val="0"/>
                <w:sz w:val="24"/>
                <w:szCs w:val="24"/>
              </w:rPr>
              <w:t>，</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0-6分</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w:t>
            </w:r>
          </w:p>
        </w:tc>
        <w:tc>
          <w:tcPr>
            <w:tcW w:w="829" w:type="dxa"/>
            <w:tcBorders>
              <w:top w:val="single" w:color="auto" w:sz="4" w:space="0"/>
              <w:left w:val="nil"/>
              <w:bottom w:val="single" w:color="auto" w:sz="4" w:space="0"/>
              <w:right w:val="single" w:color="auto" w:sz="4" w:space="0"/>
            </w:tcBorders>
            <w:noWrap w:val="0"/>
            <w:vAlign w:val="center"/>
          </w:tcPr>
          <w:p w14:paraId="1053DD5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bl>
    <w:p w14:paraId="6DBFBE06">
      <w:pPr>
        <w:snapToGrid w:val="0"/>
        <w:spacing w:line="360" w:lineRule="auto"/>
        <w:ind w:firstLine="482" w:firstLineChars="200"/>
        <w:jc w:val="left"/>
        <w:rPr>
          <w:rFonts w:hint="eastAsia" w:ascii="仿宋" w:hAnsi="仿宋" w:eastAsia="仿宋"/>
          <w:b/>
          <w:bCs/>
          <w:color w:val="auto"/>
          <w:sz w:val="24"/>
        </w:rPr>
      </w:pPr>
      <w:r>
        <w:rPr>
          <w:rFonts w:hint="eastAsia" w:ascii="仿宋" w:hAnsi="仿宋" w:eastAsia="仿宋" w:cs="仿宋"/>
          <w:b/>
          <w:bCs/>
          <w:sz w:val="24"/>
        </w:rPr>
        <w:t>备注：</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.上述评审细则中要求提供的相关资质、证书等证明材料均需加盖投标人公章，否则视同未提供，对应项不得分；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0954AC5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2C038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4"/>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F619D26">
      <w:pPr>
        <w:rPr>
          <w:rFonts w:hint="eastAsia"/>
        </w:rPr>
      </w:pPr>
    </w:p>
    <w:p w14:paraId="2542636D">
      <w:pPr>
        <w:spacing w:line="360" w:lineRule="auto"/>
        <w:outlineLvl w:val="0"/>
        <w:rPr>
          <w:rFonts w:hint="eastAsia" w:ascii="仿宋" w:hAnsi="仿宋" w:eastAsia="仿宋" w:cs="仿宋"/>
          <w:b/>
          <w:sz w:val="36"/>
          <w:szCs w:val="36"/>
        </w:rPr>
      </w:pPr>
    </w:p>
    <w:p w14:paraId="382FB75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C50D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22A60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EDBAAC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AE4025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B243F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91EF53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D85699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31FF910E">
      <w:pPr>
        <w:rPr>
          <w:rFonts w:hint="eastAsia" w:ascii="仿宋" w:hAnsi="仿宋" w:eastAsia="仿宋" w:cs="仿宋"/>
          <w:sz w:val="21"/>
          <w:szCs w:val="21"/>
          <w:u w:val="single"/>
        </w:rPr>
      </w:pPr>
    </w:p>
    <w:p w14:paraId="24F8F33F">
      <w:pPr>
        <w:rPr>
          <w:rFonts w:hint="eastAsia"/>
        </w:rPr>
      </w:pPr>
    </w:p>
    <w:p w14:paraId="69A4C5C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3573C41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003789D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55CF428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3"/>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F33E6FC">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2"/>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6"/>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2"/>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2"/>
        <w:rPr>
          <w:rFonts w:hint="eastAsia" w:ascii="仿宋" w:hAnsi="仿宋" w:eastAsia="仿宋" w:cs="仿宋"/>
          <w:lang w:val="en-US"/>
        </w:rPr>
      </w:pPr>
    </w:p>
    <w:p w14:paraId="2FF3788B">
      <w:pPr>
        <w:rPr>
          <w:rFonts w:hint="eastAsia" w:ascii="仿宋" w:hAnsi="仿宋" w:eastAsia="仿宋" w:cs="仿宋"/>
        </w:rPr>
      </w:pPr>
    </w:p>
    <w:p w14:paraId="5BCFCE03">
      <w:pPr>
        <w:pStyle w:val="2"/>
        <w:rPr>
          <w:rFonts w:hint="eastAsia" w:ascii="仿宋" w:hAnsi="仿宋" w:eastAsia="仿宋" w:cs="仿宋"/>
          <w:lang w:val="en-US"/>
        </w:rPr>
      </w:pPr>
    </w:p>
    <w:p w14:paraId="669429A0">
      <w:pPr>
        <w:rPr>
          <w:rFonts w:hint="eastAsia" w:ascii="仿宋" w:hAnsi="仿宋" w:eastAsia="仿宋" w:cs="仿宋"/>
        </w:rPr>
      </w:pPr>
    </w:p>
    <w:p w14:paraId="182088A4">
      <w:pPr>
        <w:pStyle w:val="2"/>
        <w:rPr>
          <w:rFonts w:hint="eastAsia" w:ascii="仿宋" w:hAnsi="仿宋" w:eastAsia="仿宋" w:cs="仿宋"/>
          <w:lang w:val="en-US"/>
        </w:rPr>
      </w:pPr>
    </w:p>
    <w:p w14:paraId="214C8E38">
      <w:pPr>
        <w:rPr>
          <w:rFonts w:hint="eastAsia" w:ascii="仿宋" w:hAnsi="仿宋" w:eastAsia="仿宋" w:cs="仿宋"/>
        </w:rPr>
      </w:pPr>
    </w:p>
    <w:p w14:paraId="05F8D958">
      <w:pPr>
        <w:pStyle w:val="2"/>
        <w:rPr>
          <w:rFonts w:hint="eastAsia" w:ascii="仿宋" w:hAnsi="仿宋" w:eastAsia="仿宋" w:cs="仿宋"/>
          <w:lang w:val="en-US"/>
        </w:rPr>
      </w:pPr>
    </w:p>
    <w:p w14:paraId="5579CA10">
      <w:pPr>
        <w:rPr>
          <w:rFonts w:hint="eastAsia" w:ascii="仿宋" w:hAnsi="仿宋" w:eastAsia="仿宋" w:cs="仿宋"/>
        </w:rPr>
      </w:pPr>
    </w:p>
    <w:p w14:paraId="45BD8AB1">
      <w:pPr>
        <w:pStyle w:val="2"/>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6C586416">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4CECCEDD">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7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79"/>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79"/>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772DCF7">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2"/>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242BD30C">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14:paraId="53DBB1A7">
      <w:pPr>
        <w:spacing w:line="360" w:lineRule="auto"/>
        <w:rPr>
          <w:rFonts w:hint="eastAsia" w:ascii="仿宋" w:hAnsi="仿宋" w:eastAsia="仿宋"/>
          <w:b/>
          <w:bCs w:val="0"/>
          <w:color w:val="auto"/>
          <w:sz w:val="28"/>
          <w:szCs w:val="28"/>
          <w:lang w:eastAsia="zh-CN"/>
        </w:rPr>
      </w:pPr>
      <w:r>
        <w:rPr>
          <w:rFonts w:hint="eastAsia" w:ascii="仿宋" w:hAnsi="仿宋" w:eastAsia="仿宋"/>
          <w:b/>
          <w:bCs w:val="0"/>
          <w:color w:val="auto"/>
          <w:sz w:val="28"/>
          <w:szCs w:val="28"/>
        </w:rPr>
        <w:t>项目名称：</w:t>
      </w:r>
      <w:r>
        <w:rPr>
          <w:rFonts w:hint="eastAsia" w:ascii="仿宋" w:hAnsi="仿宋" w:eastAsia="仿宋"/>
          <w:b/>
          <w:bCs w:val="0"/>
          <w:color w:val="auto"/>
          <w:sz w:val="28"/>
          <w:szCs w:val="28"/>
          <w:lang w:eastAsia="zh-CN"/>
        </w:rPr>
        <w:t>2024-2026年度暨南街道乡村道路、桥涵、天然气、道路照明灯公共设施等巡查服务采购项目</w:t>
      </w:r>
    </w:p>
    <w:p w14:paraId="5EA6C0CA">
      <w:pPr>
        <w:rPr>
          <w:rFonts w:hint="eastAsia" w:ascii="仿宋" w:hAnsi="仿宋" w:eastAsia="仿宋" w:cs="仿宋"/>
          <w:color w:val="auto"/>
          <w:sz w:val="28"/>
          <w:lang w:eastAsia="zh-CN"/>
        </w:rPr>
      </w:pPr>
      <w:r>
        <w:rPr>
          <w:rFonts w:hint="eastAsia" w:ascii="仿宋" w:hAnsi="仿宋" w:eastAsia="仿宋"/>
          <w:b/>
          <w:bCs w:val="0"/>
          <w:color w:val="auto"/>
          <w:sz w:val="28"/>
          <w:szCs w:val="28"/>
        </w:rPr>
        <w:t>项目编号：</w:t>
      </w:r>
      <w:r>
        <w:rPr>
          <w:rFonts w:hint="eastAsia" w:ascii="仿宋" w:hAnsi="仿宋" w:eastAsia="仿宋"/>
          <w:b/>
          <w:bCs w:val="0"/>
          <w:color w:val="auto"/>
          <w:sz w:val="28"/>
          <w:szCs w:val="28"/>
          <w:lang w:val="en-US" w:eastAsia="zh-CN"/>
        </w:rPr>
        <w:t>诸正开2024-12-04</w:t>
      </w:r>
    </w:p>
    <w:p w14:paraId="2B57ECF6">
      <w:pPr>
        <w:pStyle w:val="63"/>
        <w:rPr>
          <w:rFonts w:hint="eastAsia" w:ascii="仿宋" w:hAnsi="仿宋" w:eastAsia="仿宋" w:cs="仿宋"/>
        </w:rPr>
      </w:pPr>
    </w:p>
    <w:tbl>
      <w:tblPr>
        <w:tblStyle w:val="65"/>
        <w:tblpPr w:leftFromText="180" w:rightFromText="180" w:vertAnchor="page" w:horzAnchor="page" w:tblpX="1744" w:tblpY="4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5EA6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396D66C3">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37180F7A">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投标</w:t>
            </w:r>
            <w:r>
              <w:rPr>
                <w:rFonts w:hint="eastAsia" w:ascii="仿宋" w:hAnsi="仿宋" w:eastAsia="仿宋" w:cs="仿宋"/>
                <w:b/>
                <w:sz w:val="28"/>
                <w:szCs w:val="28"/>
                <w:lang w:val="en-US" w:eastAsia="zh-CN"/>
              </w:rPr>
              <w:t>报价</w:t>
            </w:r>
          </w:p>
        </w:tc>
      </w:tr>
      <w:tr w14:paraId="6738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5F8ACD59">
            <w:pPr>
              <w:jc w:val="center"/>
              <w:rPr>
                <w:rFonts w:hint="eastAsia" w:ascii="仿宋" w:hAnsi="仿宋" w:eastAsia="仿宋" w:cs="仿宋"/>
                <w:b/>
                <w:sz w:val="28"/>
                <w:szCs w:val="28"/>
              </w:rPr>
            </w:pPr>
          </w:p>
        </w:tc>
        <w:tc>
          <w:tcPr>
            <w:tcW w:w="2057" w:type="dxa"/>
            <w:noWrap w:val="0"/>
            <w:vAlign w:val="center"/>
          </w:tcPr>
          <w:p w14:paraId="7ABE95C9">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5AD67E4A">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2C3E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2D639259">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2A8FC494">
            <w:pPr>
              <w:spacing w:line="400" w:lineRule="exact"/>
              <w:jc w:val="center"/>
              <w:rPr>
                <w:rFonts w:hint="eastAsia" w:ascii="仿宋" w:hAnsi="仿宋" w:eastAsia="仿宋" w:cs="仿宋"/>
                <w:bCs/>
                <w:sz w:val="24"/>
                <w:szCs w:val="24"/>
              </w:rPr>
            </w:pPr>
          </w:p>
        </w:tc>
        <w:tc>
          <w:tcPr>
            <w:tcW w:w="2057" w:type="dxa"/>
            <w:noWrap w:val="0"/>
            <w:vAlign w:val="center"/>
          </w:tcPr>
          <w:p w14:paraId="2B2A847F">
            <w:pPr>
              <w:spacing w:line="700" w:lineRule="exact"/>
              <w:jc w:val="center"/>
              <w:rPr>
                <w:rFonts w:hint="eastAsia" w:ascii="仿宋" w:hAnsi="仿宋" w:eastAsia="仿宋" w:cs="仿宋"/>
                <w:sz w:val="24"/>
                <w:szCs w:val="24"/>
                <w:lang w:val="en-US" w:eastAsia="zh-CN"/>
              </w:rPr>
            </w:pPr>
          </w:p>
        </w:tc>
        <w:tc>
          <w:tcPr>
            <w:tcW w:w="3088" w:type="dxa"/>
            <w:noWrap w:val="0"/>
            <w:vAlign w:val="center"/>
          </w:tcPr>
          <w:p w14:paraId="641D07EC">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人民币</w:t>
            </w:r>
            <w:r>
              <w:rPr>
                <w:rFonts w:hint="eastAsia" w:ascii="仿宋" w:hAnsi="仿宋" w:eastAsia="仿宋" w:cs="仿宋"/>
                <w:sz w:val="24"/>
                <w:szCs w:val="24"/>
                <w:u w:val="single"/>
                <w:lang w:val="en-US" w:eastAsia="zh-CN"/>
              </w:rPr>
              <w:t xml:space="preserve">      </w:t>
            </w:r>
          </w:p>
        </w:tc>
      </w:tr>
    </w:tbl>
    <w:p w14:paraId="7FA533FC">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386B8DDE">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5D478CC3">
      <w:pPr>
        <w:spacing w:line="340" w:lineRule="exact"/>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5C98CED8">
      <w:pPr>
        <w:pStyle w:val="86"/>
        <w:spacing w:line="240" w:lineRule="auto"/>
        <w:rPr>
          <w:rFonts w:hint="eastAsia" w:ascii="仿宋" w:hAnsi="仿宋" w:eastAsia="仿宋" w:cs="仿宋"/>
          <w:b/>
          <w:color w:val="auto"/>
          <w:kern w:val="0"/>
          <w:sz w:val="24"/>
          <w:highlight w:val="none"/>
          <w:lang w:val="zh-CN"/>
        </w:rPr>
      </w:pPr>
    </w:p>
    <w:p w14:paraId="0ACC6C5D">
      <w:pPr>
        <w:keepNext w:val="0"/>
        <w:keepLines w:val="0"/>
        <w:pageBreakBefore w:val="0"/>
        <w:widowControl w:val="0"/>
        <w:numPr>
          <w:ilvl w:val="0"/>
          <w:numId w:val="8"/>
        </w:numPr>
        <w:kinsoku/>
        <w:wordWrap/>
        <w:overflowPunct/>
        <w:topLinePunct w:val="0"/>
        <w:autoSpaceDE/>
        <w:autoSpaceDN/>
        <w:bidi w:val="0"/>
        <w:adjustRightInd w:val="0"/>
        <w:spacing w:line="420" w:lineRule="exact"/>
        <w:ind w:left="479" w:leftChars="228" w:firstLine="0" w:firstLineChars="0"/>
        <w:textAlignment w:val="auto"/>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此表在不改变格式要求的情况下，投标人可根据项目实际情况自行调整。</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w:t>
      </w:r>
    </w:p>
    <w:p w14:paraId="29E92C25">
      <w:pPr>
        <w:keepNext w:val="0"/>
        <w:keepLines w:val="0"/>
        <w:pageBreakBefore w:val="0"/>
        <w:widowControl w:val="0"/>
        <w:numPr>
          <w:ilvl w:val="0"/>
          <w:numId w:val="0"/>
        </w:numPr>
        <w:kinsoku/>
        <w:wordWrap/>
        <w:overflowPunct/>
        <w:topLinePunct w:val="0"/>
        <w:autoSpaceDE/>
        <w:autoSpaceDN/>
        <w:bidi w:val="0"/>
        <w:adjustRightInd w:val="0"/>
        <w:spacing w:line="420" w:lineRule="exac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7F56631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5337E5C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E8BB09">
      <w:pPr>
        <w:pStyle w:val="701"/>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2806DD29">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1"/>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55D974FF">
      <w:pPr>
        <w:spacing w:line="360" w:lineRule="auto"/>
        <w:rPr>
          <w:rFonts w:hint="eastAsia" w:ascii="仿宋" w:hAnsi="仿宋" w:eastAsia="仿宋" w:cs="仿宋"/>
          <w:b/>
          <w:spacing w:val="6"/>
          <w:sz w:val="32"/>
          <w:szCs w:val="32"/>
        </w:rPr>
      </w:pPr>
    </w:p>
    <w:p w14:paraId="7E180A77">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0B3468AF">
      <w:pPr>
        <w:autoSpaceDE w:val="0"/>
        <w:autoSpaceDN w:val="0"/>
        <w:jc w:val="center"/>
        <w:rPr>
          <w:rFonts w:hint="eastAsia" w:ascii="仿宋" w:hAnsi="仿宋" w:eastAsia="仿宋" w:cs="仿宋"/>
          <w:b/>
          <w:spacing w:val="6"/>
          <w:sz w:val="32"/>
          <w:szCs w:val="32"/>
        </w:rPr>
      </w:pPr>
    </w:p>
    <w:p w14:paraId="162392E6">
      <w:pPr>
        <w:autoSpaceDE w:val="0"/>
        <w:autoSpaceDN w:val="0"/>
        <w:jc w:val="center"/>
        <w:rPr>
          <w:rFonts w:hint="eastAsia" w:ascii="仿宋" w:hAnsi="仿宋" w:eastAsia="仿宋" w:cs="仿宋"/>
          <w:b/>
          <w:spacing w:val="6"/>
          <w:sz w:val="32"/>
          <w:szCs w:val="32"/>
        </w:rPr>
      </w:pPr>
    </w:p>
    <w:p w14:paraId="6B685FDC">
      <w:pPr>
        <w:autoSpaceDE w:val="0"/>
        <w:autoSpaceDN w:val="0"/>
        <w:jc w:val="center"/>
        <w:rPr>
          <w:rFonts w:hint="eastAsia" w:ascii="仿宋" w:hAnsi="仿宋" w:eastAsia="仿宋" w:cs="仿宋"/>
          <w:b/>
          <w:spacing w:val="6"/>
          <w:sz w:val="32"/>
          <w:szCs w:val="32"/>
        </w:rPr>
      </w:pPr>
    </w:p>
    <w:p w14:paraId="231EC748">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1ACCE10">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0ABDCEA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w:t>
      </w:r>
      <w:r>
        <w:rPr>
          <w:rFonts w:hint="eastAsia" w:ascii="仿宋" w:hAnsi="仿宋" w:eastAsia="仿宋" w:cs="仿宋"/>
          <w:color w:val="auto"/>
          <w:sz w:val="24"/>
          <w:lang w:val="en-US" w:eastAsia="zh-CN"/>
        </w:rPr>
        <w:t>2020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采购活动，提供的</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w:t>
      </w:r>
      <w:r>
        <w:rPr>
          <w:rFonts w:hint="eastAsia" w:ascii="仿宋" w:hAnsi="仿宋" w:eastAsia="仿宋" w:cs="仿宋"/>
          <w:color w:val="auto"/>
          <w:sz w:val="24"/>
          <w:lang w:val="en-US" w:eastAsia="zh-CN"/>
        </w:rPr>
        <w:t>承接</w:t>
      </w:r>
      <w:r>
        <w:rPr>
          <w:rFonts w:hint="eastAsia" w:ascii="仿宋" w:hAnsi="仿宋" w:eastAsia="仿宋" w:cs="仿宋"/>
          <w:color w:val="auto"/>
          <w:sz w:val="24"/>
        </w:rPr>
        <w:t>。相关企业（含联合体中的中小企业、签订分包意向协议的中小企业）的具体情况如下：</w:t>
      </w:r>
    </w:p>
    <w:p w14:paraId="048089C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w:t>
      </w:r>
      <w:r>
        <w:rPr>
          <w:rFonts w:hint="eastAsia" w:ascii="仿宋" w:hAnsi="仿宋" w:eastAsia="仿宋" w:cs="仿宋"/>
          <w:color w:val="auto"/>
          <w:sz w:val="24"/>
          <w:u w:val="single"/>
          <w:lang w:val="en-US" w:eastAsia="zh-CN"/>
        </w:rPr>
        <w:t>项</w:t>
      </w:r>
      <w:r>
        <w:rPr>
          <w:rFonts w:hint="eastAsia" w:ascii="仿宋" w:hAnsi="仿宋" w:eastAsia="仿宋" w:cs="仿宋"/>
          <w:color w:val="auto"/>
          <w:sz w:val="24"/>
          <w:u w:val="single"/>
        </w:rPr>
        <w:t>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19BD986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w:t>
      </w:r>
      <w:r>
        <w:rPr>
          <w:rFonts w:hint="eastAsia" w:ascii="仿宋" w:hAnsi="仿宋" w:eastAsia="仿宋" w:cs="仿宋"/>
          <w:color w:val="auto"/>
          <w:sz w:val="24"/>
          <w:u w:val="single"/>
          <w:lang w:val="en-US" w:eastAsia="zh-CN"/>
        </w:rPr>
        <w:t>项</w:t>
      </w:r>
      <w:r>
        <w:rPr>
          <w:rFonts w:hint="eastAsia" w:ascii="仿宋" w:hAnsi="仿宋" w:eastAsia="仿宋" w:cs="仿宋"/>
          <w:color w:val="auto"/>
          <w:sz w:val="24"/>
          <w:u w:val="single"/>
        </w:rPr>
        <w:t>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DCBF69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3.…………。</w:t>
      </w:r>
    </w:p>
    <w:p w14:paraId="633F483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05743A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E943477">
      <w:pPr>
        <w:keepNext w:val="0"/>
        <w:keepLines w:val="0"/>
        <w:pageBreakBefore w:val="0"/>
        <w:widowControl w:val="0"/>
        <w:kinsoku/>
        <w:wordWrap/>
        <w:overflowPunct/>
        <w:topLinePunct w:val="0"/>
        <w:autoSpaceDE/>
        <w:autoSpaceDN/>
        <w:bidi w:val="0"/>
        <w:adjustRightInd w:val="0"/>
        <w:snapToGrid/>
        <w:spacing w:line="400" w:lineRule="exact"/>
        <w:ind w:right="420" w:firstLine="5880" w:firstLineChars="2450"/>
        <w:jc w:val="left"/>
        <w:textAlignment w:val="auto"/>
        <w:rPr>
          <w:rFonts w:hint="eastAsia" w:ascii="仿宋" w:hAnsi="仿宋" w:eastAsia="仿宋" w:cs="仿宋"/>
          <w:color w:val="auto"/>
          <w:sz w:val="24"/>
        </w:rPr>
      </w:pPr>
    </w:p>
    <w:p w14:paraId="568865BF">
      <w:pPr>
        <w:spacing w:line="360" w:lineRule="auto"/>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045AD2F0">
      <w:pPr>
        <w:spacing w:line="360" w:lineRule="auto"/>
        <w:ind w:right="420"/>
        <w:jc w:val="right"/>
        <w:rPr>
          <w:rFonts w:hint="eastAsia" w:ascii="仿宋" w:hAnsi="仿宋" w:eastAsia="仿宋" w:cs="仿宋"/>
          <w:b/>
          <w:color w:val="auto"/>
          <w:sz w:val="18"/>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77765C2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2CFE8E3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1D0AD3C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7784383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E12E2AC5"/>
    <w:multiLevelType w:val="singleLevel"/>
    <w:tmpl w:val="E12E2AC5"/>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9E12FE3"/>
    <w:multiLevelType w:val="singleLevel"/>
    <w:tmpl w:val="09E12FE3"/>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7"/>
  </w:num>
  <w:num w:numId="3">
    <w:abstractNumId w:val="4"/>
  </w:num>
  <w:num w:numId="4">
    <w:abstractNumId w:val="5"/>
  </w:num>
  <w:num w:numId="5">
    <w:abstractNumId w:val="2"/>
    <w:lvlOverride w:ilvl="0">
      <w:startOverride w:val="1"/>
    </w:lvlOverride>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5263E9"/>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D35E4"/>
    <w:rsid w:val="04076900"/>
    <w:rsid w:val="041A5A3B"/>
    <w:rsid w:val="041B6B58"/>
    <w:rsid w:val="042311BA"/>
    <w:rsid w:val="042B157A"/>
    <w:rsid w:val="044004C3"/>
    <w:rsid w:val="045243E9"/>
    <w:rsid w:val="0489325D"/>
    <w:rsid w:val="048F763B"/>
    <w:rsid w:val="049F330E"/>
    <w:rsid w:val="04AA775C"/>
    <w:rsid w:val="04AF1889"/>
    <w:rsid w:val="04CA51F4"/>
    <w:rsid w:val="04E62470"/>
    <w:rsid w:val="04E62E18"/>
    <w:rsid w:val="04F66F48"/>
    <w:rsid w:val="05251E14"/>
    <w:rsid w:val="055661F0"/>
    <w:rsid w:val="05663030"/>
    <w:rsid w:val="058645FB"/>
    <w:rsid w:val="05A16594"/>
    <w:rsid w:val="05A7762D"/>
    <w:rsid w:val="05B2719F"/>
    <w:rsid w:val="05D00EC1"/>
    <w:rsid w:val="05EC26B0"/>
    <w:rsid w:val="060E5941"/>
    <w:rsid w:val="06110FAF"/>
    <w:rsid w:val="061816F7"/>
    <w:rsid w:val="063F4ED6"/>
    <w:rsid w:val="06493CA7"/>
    <w:rsid w:val="0651544E"/>
    <w:rsid w:val="065A6178"/>
    <w:rsid w:val="066C6438"/>
    <w:rsid w:val="066F1CF3"/>
    <w:rsid w:val="0678654A"/>
    <w:rsid w:val="06930BB8"/>
    <w:rsid w:val="06B92EA7"/>
    <w:rsid w:val="06E845C5"/>
    <w:rsid w:val="07245D42"/>
    <w:rsid w:val="07264C62"/>
    <w:rsid w:val="07387188"/>
    <w:rsid w:val="0779354C"/>
    <w:rsid w:val="07B0770E"/>
    <w:rsid w:val="08061376"/>
    <w:rsid w:val="08163A15"/>
    <w:rsid w:val="08452D77"/>
    <w:rsid w:val="086401F8"/>
    <w:rsid w:val="08751CAA"/>
    <w:rsid w:val="087E4C40"/>
    <w:rsid w:val="088A58D8"/>
    <w:rsid w:val="08BD15AC"/>
    <w:rsid w:val="08D5567E"/>
    <w:rsid w:val="08D66AD6"/>
    <w:rsid w:val="08DA33A3"/>
    <w:rsid w:val="08E80F13"/>
    <w:rsid w:val="092501B8"/>
    <w:rsid w:val="09335624"/>
    <w:rsid w:val="0944690F"/>
    <w:rsid w:val="09535675"/>
    <w:rsid w:val="09581E0B"/>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297A30"/>
    <w:rsid w:val="0B30404E"/>
    <w:rsid w:val="0B367128"/>
    <w:rsid w:val="0B36793D"/>
    <w:rsid w:val="0B4C6C14"/>
    <w:rsid w:val="0B4F72C7"/>
    <w:rsid w:val="0B631A88"/>
    <w:rsid w:val="0B683D45"/>
    <w:rsid w:val="0B7F3F11"/>
    <w:rsid w:val="0B884417"/>
    <w:rsid w:val="0BA315EA"/>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94C89"/>
    <w:rsid w:val="0D8A00E9"/>
    <w:rsid w:val="0D8D589E"/>
    <w:rsid w:val="0DA01C73"/>
    <w:rsid w:val="0DD63300"/>
    <w:rsid w:val="0DF50604"/>
    <w:rsid w:val="0DF702FE"/>
    <w:rsid w:val="0E060E51"/>
    <w:rsid w:val="0E5604B2"/>
    <w:rsid w:val="0E6D5D79"/>
    <w:rsid w:val="0E6D7766"/>
    <w:rsid w:val="0E9D0089"/>
    <w:rsid w:val="0EAD0A9E"/>
    <w:rsid w:val="0EB803EE"/>
    <w:rsid w:val="0EB95933"/>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15A49"/>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431D2"/>
    <w:rsid w:val="12255233"/>
    <w:rsid w:val="12385FA8"/>
    <w:rsid w:val="12474790"/>
    <w:rsid w:val="12530213"/>
    <w:rsid w:val="127723A9"/>
    <w:rsid w:val="12862074"/>
    <w:rsid w:val="12883966"/>
    <w:rsid w:val="129E45B4"/>
    <w:rsid w:val="12A0243C"/>
    <w:rsid w:val="12D81596"/>
    <w:rsid w:val="12FB4B4E"/>
    <w:rsid w:val="13072A44"/>
    <w:rsid w:val="13225964"/>
    <w:rsid w:val="135F4BE2"/>
    <w:rsid w:val="13637D2A"/>
    <w:rsid w:val="13953C4B"/>
    <w:rsid w:val="139B1A0A"/>
    <w:rsid w:val="139D25C7"/>
    <w:rsid w:val="13BF3CE4"/>
    <w:rsid w:val="13E744B7"/>
    <w:rsid w:val="13FB1099"/>
    <w:rsid w:val="141008D8"/>
    <w:rsid w:val="14125FE6"/>
    <w:rsid w:val="144162BD"/>
    <w:rsid w:val="145A6363"/>
    <w:rsid w:val="146D271E"/>
    <w:rsid w:val="147A532B"/>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F1D9B"/>
    <w:rsid w:val="169C77DB"/>
    <w:rsid w:val="16A8729C"/>
    <w:rsid w:val="16B33777"/>
    <w:rsid w:val="16BC70A7"/>
    <w:rsid w:val="16C15493"/>
    <w:rsid w:val="16C6339E"/>
    <w:rsid w:val="16CC2D0D"/>
    <w:rsid w:val="16DC3559"/>
    <w:rsid w:val="172F2D79"/>
    <w:rsid w:val="17557BEF"/>
    <w:rsid w:val="178B779F"/>
    <w:rsid w:val="17A77B42"/>
    <w:rsid w:val="17D349C1"/>
    <w:rsid w:val="1830729E"/>
    <w:rsid w:val="183659F3"/>
    <w:rsid w:val="1870062C"/>
    <w:rsid w:val="18817102"/>
    <w:rsid w:val="18830A15"/>
    <w:rsid w:val="18852B28"/>
    <w:rsid w:val="188B5321"/>
    <w:rsid w:val="18B65FBE"/>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2B18B9"/>
    <w:rsid w:val="1D3963AF"/>
    <w:rsid w:val="1D432AC3"/>
    <w:rsid w:val="1D5E74C5"/>
    <w:rsid w:val="1D6A673C"/>
    <w:rsid w:val="1D9247AE"/>
    <w:rsid w:val="1DB016FD"/>
    <w:rsid w:val="1DB567EC"/>
    <w:rsid w:val="1DC55869"/>
    <w:rsid w:val="1DD106B2"/>
    <w:rsid w:val="1DD81FE2"/>
    <w:rsid w:val="1DF51A98"/>
    <w:rsid w:val="1E366767"/>
    <w:rsid w:val="1E3D060F"/>
    <w:rsid w:val="1E3F7D2E"/>
    <w:rsid w:val="1E4134E4"/>
    <w:rsid w:val="1E5062B3"/>
    <w:rsid w:val="1E523514"/>
    <w:rsid w:val="1E714A66"/>
    <w:rsid w:val="1E802593"/>
    <w:rsid w:val="1EA703CC"/>
    <w:rsid w:val="1EAA273C"/>
    <w:rsid w:val="1EB7330C"/>
    <w:rsid w:val="1EF52B6D"/>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5E003A"/>
    <w:rsid w:val="22631AF5"/>
    <w:rsid w:val="22BE6801"/>
    <w:rsid w:val="22D56B19"/>
    <w:rsid w:val="22F57858"/>
    <w:rsid w:val="22FD253B"/>
    <w:rsid w:val="233500BF"/>
    <w:rsid w:val="23377FF7"/>
    <w:rsid w:val="236B425F"/>
    <w:rsid w:val="23836192"/>
    <w:rsid w:val="23901F29"/>
    <w:rsid w:val="239C0061"/>
    <w:rsid w:val="23A7731B"/>
    <w:rsid w:val="23B908A4"/>
    <w:rsid w:val="23CD5478"/>
    <w:rsid w:val="23CF23CE"/>
    <w:rsid w:val="23E95BEF"/>
    <w:rsid w:val="23FD0064"/>
    <w:rsid w:val="23FE7D27"/>
    <w:rsid w:val="245375B0"/>
    <w:rsid w:val="24642C0A"/>
    <w:rsid w:val="24642D73"/>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276A11"/>
    <w:rsid w:val="276142BF"/>
    <w:rsid w:val="27783712"/>
    <w:rsid w:val="27907362"/>
    <w:rsid w:val="27B52300"/>
    <w:rsid w:val="28333E1D"/>
    <w:rsid w:val="28454BD6"/>
    <w:rsid w:val="28455253"/>
    <w:rsid w:val="28551971"/>
    <w:rsid w:val="285B1C53"/>
    <w:rsid w:val="285F6DE4"/>
    <w:rsid w:val="28855745"/>
    <w:rsid w:val="289F7086"/>
    <w:rsid w:val="28A04D7F"/>
    <w:rsid w:val="28B47E46"/>
    <w:rsid w:val="28C32028"/>
    <w:rsid w:val="28CC490F"/>
    <w:rsid w:val="28DE40AA"/>
    <w:rsid w:val="29005CCD"/>
    <w:rsid w:val="29345E77"/>
    <w:rsid w:val="29377BB5"/>
    <w:rsid w:val="29483A1A"/>
    <w:rsid w:val="294C5091"/>
    <w:rsid w:val="294C65AD"/>
    <w:rsid w:val="29515D72"/>
    <w:rsid w:val="2955005F"/>
    <w:rsid w:val="29806583"/>
    <w:rsid w:val="298B3C4C"/>
    <w:rsid w:val="29CD3A29"/>
    <w:rsid w:val="29F26D24"/>
    <w:rsid w:val="2A092F82"/>
    <w:rsid w:val="2A15033F"/>
    <w:rsid w:val="2A1662C1"/>
    <w:rsid w:val="2A1C7367"/>
    <w:rsid w:val="2A2815FA"/>
    <w:rsid w:val="2A4F1B5B"/>
    <w:rsid w:val="2A6D6092"/>
    <w:rsid w:val="2A7D76B4"/>
    <w:rsid w:val="2AA21BBD"/>
    <w:rsid w:val="2B141BDE"/>
    <w:rsid w:val="2B215E6F"/>
    <w:rsid w:val="2B230E8E"/>
    <w:rsid w:val="2B3E2076"/>
    <w:rsid w:val="2B437463"/>
    <w:rsid w:val="2B451BC7"/>
    <w:rsid w:val="2B7807EE"/>
    <w:rsid w:val="2BBD2276"/>
    <w:rsid w:val="2BBF00EC"/>
    <w:rsid w:val="2BC37CFD"/>
    <w:rsid w:val="2BD5237F"/>
    <w:rsid w:val="2BE536CE"/>
    <w:rsid w:val="2BE758D9"/>
    <w:rsid w:val="2C056B5B"/>
    <w:rsid w:val="2C09049E"/>
    <w:rsid w:val="2C0A653C"/>
    <w:rsid w:val="2C191F85"/>
    <w:rsid w:val="2C584AAB"/>
    <w:rsid w:val="2C7A1F15"/>
    <w:rsid w:val="2CE675AA"/>
    <w:rsid w:val="2CE82D6F"/>
    <w:rsid w:val="2D343236"/>
    <w:rsid w:val="2D4A53C6"/>
    <w:rsid w:val="2D7668CC"/>
    <w:rsid w:val="2D866ECD"/>
    <w:rsid w:val="2DAA05D8"/>
    <w:rsid w:val="2DB74641"/>
    <w:rsid w:val="2DC56990"/>
    <w:rsid w:val="2DD15014"/>
    <w:rsid w:val="2DF6381D"/>
    <w:rsid w:val="2DF72DE4"/>
    <w:rsid w:val="2E0220AF"/>
    <w:rsid w:val="2E1667C1"/>
    <w:rsid w:val="2E4B082A"/>
    <w:rsid w:val="2E5D4E86"/>
    <w:rsid w:val="2E5D790B"/>
    <w:rsid w:val="2E5F2B4E"/>
    <w:rsid w:val="2E7F2E89"/>
    <w:rsid w:val="2E94189D"/>
    <w:rsid w:val="2E9A3C18"/>
    <w:rsid w:val="2EA577F9"/>
    <w:rsid w:val="2EBB0FEE"/>
    <w:rsid w:val="2EC63002"/>
    <w:rsid w:val="2EF31501"/>
    <w:rsid w:val="2F0A6B38"/>
    <w:rsid w:val="2F7C0857"/>
    <w:rsid w:val="2F946CCB"/>
    <w:rsid w:val="2FA17659"/>
    <w:rsid w:val="2FAA48BF"/>
    <w:rsid w:val="2FD25781"/>
    <w:rsid w:val="2FFD7934"/>
    <w:rsid w:val="30733ACD"/>
    <w:rsid w:val="308610F1"/>
    <w:rsid w:val="308C3862"/>
    <w:rsid w:val="309379D8"/>
    <w:rsid w:val="30A270F7"/>
    <w:rsid w:val="30BB21D9"/>
    <w:rsid w:val="30CE0A81"/>
    <w:rsid w:val="30DF1478"/>
    <w:rsid w:val="30E262DA"/>
    <w:rsid w:val="30EA2B2E"/>
    <w:rsid w:val="30EC586F"/>
    <w:rsid w:val="319C6071"/>
    <w:rsid w:val="319E48F7"/>
    <w:rsid w:val="319E5A58"/>
    <w:rsid w:val="31AC537E"/>
    <w:rsid w:val="31E3679B"/>
    <w:rsid w:val="31E732FD"/>
    <w:rsid w:val="321A3EDE"/>
    <w:rsid w:val="324E2D81"/>
    <w:rsid w:val="32517576"/>
    <w:rsid w:val="327D6706"/>
    <w:rsid w:val="328C0BF4"/>
    <w:rsid w:val="32BE5C2C"/>
    <w:rsid w:val="32F72511"/>
    <w:rsid w:val="32FB6478"/>
    <w:rsid w:val="33263B3F"/>
    <w:rsid w:val="33403BE0"/>
    <w:rsid w:val="336963EB"/>
    <w:rsid w:val="33816EEB"/>
    <w:rsid w:val="33837901"/>
    <w:rsid w:val="33B71CA0"/>
    <w:rsid w:val="33BD7ABE"/>
    <w:rsid w:val="33C341A1"/>
    <w:rsid w:val="33EB55CD"/>
    <w:rsid w:val="33EC4C02"/>
    <w:rsid w:val="340B455E"/>
    <w:rsid w:val="340D2360"/>
    <w:rsid w:val="3410665D"/>
    <w:rsid w:val="34211214"/>
    <w:rsid w:val="342E63AB"/>
    <w:rsid w:val="342F3B76"/>
    <w:rsid w:val="343D03F7"/>
    <w:rsid w:val="344E171B"/>
    <w:rsid w:val="34533777"/>
    <w:rsid w:val="345E3ECA"/>
    <w:rsid w:val="34626D28"/>
    <w:rsid w:val="346C7513"/>
    <w:rsid w:val="347100A1"/>
    <w:rsid w:val="34950E68"/>
    <w:rsid w:val="34986E94"/>
    <w:rsid w:val="34AF62C9"/>
    <w:rsid w:val="34CB4388"/>
    <w:rsid w:val="34FA6E12"/>
    <w:rsid w:val="35741CF1"/>
    <w:rsid w:val="357A4D3C"/>
    <w:rsid w:val="35843E04"/>
    <w:rsid w:val="358D5588"/>
    <w:rsid w:val="35FF1FBC"/>
    <w:rsid w:val="36142918"/>
    <w:rsid w:val="363A3B40"/>
    <w:rsid w:val="365302AE"/>
    <w:rsid w:val="36607A0A"/>
    <w:rsid w:val="366E227C"/>
    <w:rsid w:val="366F2E0D"/>
    <w:rsid w:val="367B6A5C"/>
    <w:rsid w:val="36A74ADA"/>
    <w:rsid w:val="36AD60D5"/>
    <w:rsid w:val="36B224F9"/>
    <w:rsid w:val="36D41080"/>
    <w:rsid w:val="36EC0CC9"/>
    <w:rsid w:val="36FA437E"/>
    <w:rsid w:val="372B3996"/>
    <w:rsid w:val="37312327"/>
    <w:rsid w:val="373F410B"/>
    <w:rsid w:val="37427AD3"/>
    <w:rsid w:val="375C6DE7"/>
    <w:rsid w:val="37696240"/>
    <w:rsid w:val="3795353A"/>
    <w:rsid w:val="37A82C68"/>
    <w:rsid w:val="37EE7094"/>
    <w:rsid w:val="38296C89"/>
    <w:rsid w:val="383002EB"/>
    <w:rsid w:val="38586797"/>
    <w:rsid w:val="38765C86"/>
    <w:rsid w:val="3894435E"/>
    <w:rsid w:val="38BC0149"/>
    <w:rsid w:val="38D87D1C"/>
    <w:rsid w:val="38E05542"/>
    <w:rsid w:val="391E324A"/>
    <w:rsid w:val="3930052B"/>
    <w:rsid w:val="393F4973"/>
    <w:rsid w:val="394E275F"/>
    <w:rsid w:val="395307B3"/>
    <w:rsid w:val="39636459"/>
    <w:rsid w:val="396B7F6C"/>
    <w:rsid w:val="39A700C1"/>
    <w:rsid w:val="39B14863"/>
    <w:rsid w:val="39B417A9"/>
    <w:rsid w:val="39C3713E"/>
    <w:rsid w:val="39FC5695"/>
    <w:rsid w:val="3A006D8E"/>
    <w:rsid w:val="3A1514CF"/>
    <w:rsid w:val="3A1C3C84"/>
    <w:rsid w:val="3A3651E5"/>
    <w:rsid w:val="3A4236C0"/>
    <w:rsid w:val="3A573895"/>
    <w:rsid w:val="3A744481"/>
    <w:rsid w:val="3A8A09B4"/>
    <w:rsid w:val="3A8C7BEF"/>
    <w:rsid w:val="3A906246"/>
    <w:rsid w:val="3ADB79F5"/>
    <w:rsid w:val="3B2349B7"/>
    <w:rsid w:val="3B3B6D13"/>
    <w:rsid w:val="3B5705F9"/>
    <w:rsid w:val="3B616CFF"/>
    <w:rsid w:val="3B6259F6"/>
    <w:rsid w:val="3B682566"/>
    <w:rsid w:val="3B976654"/>
    <w:rsid w:val="3BC01EFC"/>
    <w:rsid w:val="3BCA786A"/>
    <w:rsid w:val="3BD31E2F"/>
    <w:rsid w:val="3BF15831"/>
    <w:rsid w:val="3BF204AB"/>
    <w:rsid w:val="3C0E61D6"/>
    <w:rsid w:val="3C105946"/>
    <w:rsid w:val="3C471448"/>
    <w:rsid w:val="3C5F759A"/>
    <w:rsid w:val="3C6C525A"/>
    <w:rsid w:val="3C9F32D2"/>
    <w:rsid w:val="3CCE23CB"/>
    <w:rsid w:val="3CD17D17"/>
    <w:rsid w:val="3D3C7F39"/>
    <w:rsid w:val="3D440F09"/>
    <w:rsid w:val="3D4504A0"/>
    <w:rsid w:val="3D8734BB"/>
    <w:rsid w:val="3D9A11D4"/>
    <w:rsid w:val="3DA16D89"/>
    <w:rsid w:val="3DA364BE"/>
    <w:rsid w:val="3DAC116D"/>
    <w:rsid w:val="3DBC3C0B"/>
    <w:rsid w:val="3DE041CB"/>
    <w:rsid w:val="3DF15DAF"/>
    <w:rsid w:val="3E0D48F6"/>
    <w:rsid w:val="3E1868B4"/>
    <w:rsid w:val="3E377251"/>
    <w:rsid w:val="3E3D2DA2"/>
    <w:rsid w:val="3E42664B"/>
    <w:rsid w:val="3E5A7334"/>
    <w:rsid w:val="3E5E239F"/>
    <w:rsid w:val="3E6A79D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4F52C6"/>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BA2B9E"/>
    <w:rsid w:val="43C77C27"/>
    <w:rsid w:val="43DE09EE"/>
    <w:rsid w:val="44002FAD"/>
    <w:rsid w:val="449101DD"/>
    <w:rsid w:val="44DE1391"/>
    <w:rsid w:val="44E87F0C"/>
    <w:rsid w:val="451B225C"/>
    <w:rsid w:val="452410C9"/>
    <w:rsid w:val="45317DFB"/>
    <w:rsid w:val="45613CC5"/>
    <w:rsid w:val="45633A36"/>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8E6891"/>
    <w:rsid w:val="46C4686E"/>
    <w:rsid w:val="46CA1CB5"/>
    <w:rsid w:val="471B77B2"/>
    <w:rsid w:val="472B7749"/>
    <w:rsid w:val="477B778F"/>
    <w:rsid w:val="478203EC"/>
    <w:rsid w:val="478D4D9A"/>
    <w:rsid w:val="47B025FA"/>
    <w:rsid w:val="47CA1EC8"/>
    <w:rsid w:val="4809698F"/>
    <w:rsid w:val="4811697D"/>
    <w:rsid w:val="485347ED"/>
    <w:rsid w:val="487A3E25"/>
    <w:rsid w:val="488B5503"/>
    <w:rsid w:val="48937E21"/>
    <w:rsid w:val="489A0361"/>
    <w:rsid w:val="48B94FF3"/>
    <w:rsid w:val="48BC6561"/>
    <w:rsid w:val="48E37AAB"/>
    <w:rsid w:val="48F74BC1"/>
    <w:rsid w:val="48FD4B4C"/>
    <w:rsid w:val="490A68E0"/>
    <w:rsid w:val="491055FE"/>
    <w:rsid w:val="4933371F"/>
    <w:rsid w:val="495430AE"/>
    <w:rsid w:val="495F5B3E"/>
    <w:rsid w:val="496F77D7"/>
    <w:rsid w:val="497654FD"/>
    <w:rsid w:val="499917D4"/>
    <w:rsid w:val="49B64211"/>
    <w:rsid w:val="49C600F0"/>
    <w:rsid w:val="49D03350"/>
    <w:rsid w:val="49D2118A"/>
    <w:rsid w:val="49E41FCC"/>
    <w:rsid w:val="49E56CB7"/>
    <w:rsid w:val="49F17F68"/>
    <w:rsid w:val="49F6167F"/>
    <w:rsid w:val="4A01737A"/>
    <w:rsid w:val="4A064FA0"/>
    <w:rsid w:val="4A16615C"/>
    <w:rsid w:val="4A174DEF"/>
    <w:rsid w:val="4A4424D7"/>
    <w:rsid w:val="4A5F19A9"/>
    <w:rsid w:val="4A733617"/>
    <w:rsid w:val="4A9578C3"/>
    <w:rsid w:val="4AA15419"/>
    <w:rsid w:val="4AA46948"/>
    <w:rsid w:val="4AB82D0F"/>
    <w:rsid w:val="4AC26B09"/>
    <w:rsid w:val="4AEB7664"/>
    <w:rsid w:val="4AFD7C19"/>
    <w:rsid w:val="4B0567D1"/>
    <w:rsid w:val="4B236AAE"/>
    <w:rsid w:val="4B5E0F27"/>
    <w:rsid w:val="4B6B1EF9"/>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587A02"/>
    <w:rsid w:val="4E793892"/>
    <w:rsid w:val="4E800872"/>
    <w:rsid w:val="4EC569ED"/>
    <w:rsid w:val="4ED50EA1"/>
    <w:rsid w:val="4EDF1ABC"/>
    <w:rsid w:val="4EDF237F"/>
    <w:rsid w:val="4EEC050C"/>
    <w:rsid w:val="4F0E4A13"/>
    <w:rsid w:val="4F104EC3"/>
    <w:rsid w:val="4F406339"/>
    <w:rsid w:val="4F47354A"/>
    <w:rsid w:val="4F911C54"/>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1BD44CE"/>
    <w:rsid w:val="52020133"/>
    <w:rsid w:val="522E4CC3"/>
    <w:rsid w:val="52302996"/>
    <w:rsid w:val="5244713B"/>
    <w:rsid w:val="525B6B2A"/>
    <w:rsid w:val="52615633"/>
    <w:rsid w:val="52935E4B"/>
    <w:rsid w:val="52977FD4"/>
    <w:rsid w:val="52A25790"/>
    <w:rsid w:val="52A96B6F"/>
    <w:rsid w:val="52B45975"/>
    <w:rsid w:val="52D94AA4"/>
    <w:rsid w:val="52EA3A62"/>
    <w:rsid w:val="52F50BB8"/>
    <w:rsid w:val="52FF2882"/>
    <w:rsid w:val="53097272"/>
    <w:rsid w:val="53544462"/>
    <w:rsid w:val="5397158E"/>
    <w:rsid w:val="53BD2C37"/>
    <w:rsid w:val="53CA0D92"/>
    <w:rsid w:val="54013861"/>
    <w:rsid w:val="54487265"/>
    <w:rsid w:val="54491F75"/>
    <w:rsid w:val="544D6070"/>
    <w:rsid w:val="54605E1E"/>
    <w:rsid w:val="549459EB"/>
    <w:rsid w:val="54A15EF3"/>
    <w:rsid w:val="54AD25D8"/>
    <w:rsid w:val="54B3506A"/>
    <w:rsid w:val="54CA0D16"/>
    <w:rsid w:val="54DD4057"/>
    <w:rsid w:val="54E7490F"/>
    <w:rsid w:val="550764A4"/>
    <w:rsid w:val="550B2BF6"/>
    <w:rsid w:val="551B318C"/>
    <w:rsid w:val="55214EB5"/>
    <w:rsid w:val="55364EFD"/>
    <w:rsid w:val="555D4828"/>
    <w:rsid w:val="557A4C8B"/>
    <w:rsid w:val="55851EE3"/>
    <w:rsid w:val="558931E1"/>
    <w:rsid w:val="55923347"/>
    <w:rsid w:val="55925180"/>
    <w:rsid w:val="55982511"/>
    <w:rsid w:val="55983B1B"/>
    <w:rsid w:val="559F6FA1"/>
    <w:rsid w:val="55A8376B"/>
    <w:rsid w:val="55A86101"/>
    <w:rsid w:val="55AF2380"/>
    <w:rsid w:val="55DC29B6"/>
    <w:rsid w:val="55DD4241"/>
    <w:rsid w:val="56114DE8"/>
    <w:rsid w:val="562023F9"/>
    <w:rsid w:val="566B6D1E"/>
    <w:rsid w:val="56B16294"/>
    <w:rsid w:val="56B9225B"/>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DE2787"/>
    <w:rsid w:val="58E363A9"/>
    <w:rsid w:val="58F00CE5"/>
    <w:rsid w:val="595E1678"/>
    <w:rsid w:val="596D5BD4"/>
    <w:rsid w:val="597E3DD8"/>
    <w:rsid w:val="59974FE2"/>
    <w:rsid w:val="59A421B4"/>
    <w:rsid w:val="59F80043"/>
    <w:rsid w:val="59FD7B5D"/>
    <w:rsid w:val="5A0071B3"/>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4D241F"/>
    <w:rsid w:val="5B843A1C"/>
    <w:rsid w:val="5B873E3F"/>
    <w:rsid w:val="5BD36C81"/>
    <w:rsid w:val="5C02690E"/>
    <w:rsid w:val="5C062D38"/>
    <w:rsid w:val="5C196DA7"/>
    <w:rsid w:val="5C1F4650"/>
    <w:rsid w:val="5C2A048C"/>
    <w:rsid w:val="5C80234E"/>
    <w:rsid w:val="5C8A680C"/>
    <w:rsid w:val="5C9718FC"/>
    <w:rsid w:val="5CCD4019"/>
    <w:rsid w:val="5D0908B6"/>
    <w:rsid w:val="5D0C4701"/>
    <w:rsid w:val="5D0F0395"/>
    <w:rsid w:val="5D221076"/>
    <w:rsid w:val="5D2D0F82"/>
    <w:rsid w:val="5D397964"/>
    <w:rsid w:val="5D4D2245"/>
    <w:rsid w:val="5D530B4C"/>
    <w:rsid w:val="5D5A391C"/>
    <w:rsid w:val="5D5E6285"/>
    <w:rsid w:val="5D5F10C0"/>
    <w:rsid w:val="5D6F2B20"/>
    <w:rsid w:val="5D8503D2"/>
    <w:rsid w:val="5D891B7B"/>
    <w:rsid w:val="5D997B9D"/>
    <w:rsid w:val="5DAD38EE"/>
    <w:rsid w:val="5E006862"/>
    <w:rsid w:val="5E0207B9"/>
    <w:rsid w:val="5E1834A1"/>
    <w:rsid w:val="5E261785"/>
    <w:rsid w:val="5E4A7017"/>
    <w:rsid w:val="5E552BBA"/>
    <w:rsid w:val="5E611C10"/>
    <w:rsid w:val="5EAE4B05"/>
    <w:rsid w:val="5EE035AA"/>
    <w:rsid w:val="5EFC7377"/>
    <w:rsid w:val="5F06174D"/>
    <w:rsid w:val="5F0738A9"/>
    <w:rsid w:val="5F1C2834"/>
    <w:rsid w:val="5F261904"/>
    <w:rsid w:val="5F2D5A7F"/>
    <w:rsid w:val="5F370C6B"/>
    <w:rsid w:val="5F3A3602"/>
    <w:rsid w:val="5F6277C6"/>
    <w:rsid w:val="5F6D0B1D"/>
    <w:rsid w:val="5F8D0B82"/>
    <w:rsid w:val="5FCC5339"/>
    <w:rsid w:val="5FE34A5B"/>
    <w:rsid w:val="5FFE1E36"/>
    <w:rsid w:val="60232584"/>
    <w:rsid w:val="60561D75"/>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F40B65"/>
    <w:rsid w:val="62FC2CFE"/>
    <w:rsid w:val="63024505"/>
    <w:rsid w:val="635B1DB5"/>
    <w:rsid w:val="63711FED"/>
    <w:rsid w:val="637136BF"/>
    <w:rsid w:val="63880DDC"/>
    <w:rsid w:val="638D750D"/>
    <w:rsid w:val="63AC6CC0"/>
    <w:rsid w:val="63D77B95"/>
    <w:rsid w:val="64055776"/>
    <w:rsid w:val="64124205"/>
    <w:rsid w:val="64240056"/>
    <w:rsid w:val="6429154F"/>
    <w:rsid w:val="643E143A"/>
    <w:rsid w:val="647C6435"/>
    <w:rsid w:val="648B6EEF"/>
    <w:rsid w:val="64BF7CA8"/>
    <w:rsid w:val="64C158BF"/>
    <w:rsid w:val="64CE2EAA"/>
    <w:rsid w:val="652F4D47"/>
    <w:rsid w:val="653C3090"/>
    <w:rsid w:val="655D1BE0"/>
    <w:rsid w:val="65854376"/>
    <w:rsid w:val="658767BE"/>
    <w:rsid w:val="65892531"/>
    <w:rsid w:val="658B5060"/>
    <w:rsid w:val="65AF0A99"/>
    <w:rsid w:val="65E77987"/>
    <w:rsid w:val="66195831"/>
    <w:rsid w:val="662E75B1"/>
    <w:rsid w:val="662F6ADA"/>
    <w:rsid w:val="66342C2E"/>
    <w:rsid w:val="663E784C"/>
    <w:rsid w:val="66664917"/>
    <w:rsid w:val="666E1009"/>
    <w:rsid w:val="668B6A45"/>
    <w:rsid w:val="66AE6B74"/>
    <w:rsid w:val="66E6653E"/>
    <w:rsid w:val="66FA6453"/>
    <w:rsid w:val="670F0ED0"/>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51414C"/>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84C7A"/>
    <w:rsid w:val="6C5D26DE"/>
    <w:rsid w:val="6C7F2654"/>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510020"/>
    <w:rsid w:val="6E6B7334"/>
    <w:rsid w:val="6E8335BD"/>
    <w:rsid w:val="6E8E12EF"/>
    <w:rsid w:val="6E967FF1"/>
    <w:rsid w:val="6E972936"/>
    <w:rsid w:val="6ECC1868"/>
    <w:rsid w:val="6ED446C5"/>
    <w:rsid w:val="6EFC1D3A"/>
    <w:rsid w:val="6F1424A7"/>
    <w:rsid w:val="6F2A7D94"/>
    <w:rsid w:val="6F310678"/>
    <w:rsid w:val="6F8331F1"/>
    <w:rsid w:val="6FAE1A09"/>
    <w:rsid w:val="6FD75BF8"/>
    <w:rsid w:val="707723D0"/>
    <w:rsid w:val="70F5661B"/>
    <w:rsid w:val="70FF1FB5"/>
    <w:rsid w:val="710C353F"/>
    <w:rsid w:val="71327C95"/>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CE1C3F"/>
    <w:rsid w:val="72D60AF4"/>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6DCD"/>
    <w:rsid w:val="753A41D8"/>
    <w:rsid w:val="7547676F"/>
    <w:rsid w:val="7551380D"/>
    <w:rsid w:val="75600BE5"/>
    <w:rsid w:val="7564475C"/>
    <w:rsid w:val="7583797F"/>
    <w:rsid w:val="75874327"/>
    <w:rsid w:val="75C35DE6"/>
    <w:rsid w:val="75D20F1D"/>
    <w:rsid w:val="75DA2C18"/>
    <w:rsid w:val="75F54412"/>
    <w:rsid w:val="761B0AF3"/>
    <w:rsid w:val="761D08E0"/>
    <w:rsid w:val="765D347C"/>
    <w:rsid w:val="76732FEE"/>
    <w:rsid w:val="76826699"/>
    <w:rsid w:val="76C87133"/>
    <w:rsid w:val="76CD08D5"/>
    <w:rsid w:val="76DB4B92"/>
    <w:rsid w:val="76EC75C5"/>
    <w:rsid w:val="76F41491"/>
    <w:rsid w:val="76F679B7"/>
    <w:rsid w:val="76FD32A9"/>
    <w:rsid w:val="77052AA4"/>
    <w:rsid w:val="77136511"/>
    <w:rsid w:val="77240332"/>
    <w:rsid w:val="77340A39"/>
    <w:rsid w:val="77351FD0"/>
    <w:rsid w:val="77472422"/>
    <w:rsid w:val="7762504C"/>
    <w:rsid w:val="77707B0E"/>
    <w:rsid w:val="777F31F2"/>
    <w:rsid w:val="77AB3185"/>
    <w:rsid w:val="77BA276B"/>
    <w:rsid w:val="77BD0700"/>
    <w:rsid w:val="77D1700D"/>
    <w:rsid w:val="77EC04CC"/>
    <w:rsid w:val="7838116A"/>
    <w:rsid w:val="78775729"/>
    <w:rsid w:val="78A42DB0"/>
    <w:rsid w:val="78A656AB"/>
    <w:rsid w:val="78AA4AF0"/>
    <w:rsid w:val="78B2245C"/>
    <w:rsid w:val="78B35B5F"/>
    <w:rsid w:val="78E172CC"/>
    <w:rsid w:val="78EA1D1F"/>
    <w:rsid w:val="7904172F"/>
    <w:rsid w:val="79074C3A"/>
    <w:rsid w:val="790F7E27"/>
    <w:rsid w:val="792A231A"/>
    <w:rsid w:val="79316829"/>
    <w:rsid w:val="797E66A9"/>
    <w:rsid w:val="79A97383"/>
    <w:rsid w:val="79E27E8B"/>
    <w:rsid w:val="79F71A7C"/>
    <w:rsid w:val="79F850CE"/>
    <w:rsid w:val="79FD443C"/>
    <w:rsid w:val="7A1D1975"/>
    <w:rsid w:val="7A3E5150"/>
    <w:rsid w:val="7A4670D6"/>
    <w:rsid w:val="7A5258BB"/>
    <w:rsid w:val="7A534B63"/>
    <w:rsid w:val="7A615382"/>
    <w:rsid w:val="7A67303B"/>
    <w:rsid w:val="7A992B33"/>
    <w:rsid w:val="7AAB1D04"/>
    <w:rsid w:val="7ABA4368"/>
    <w:rsid w:val="7ABD31FF"/>
    <w:rsid w:val="7ACB59A3"/>
    <w:rsid w:val="7AD05746"/>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2682"/>
    <w:rsid w:val="7C9E6B26"/>
    <w:rsid w:val="7CC778A3"/>
    <w:rsid w:val="7CE27788"/>
    <w:rsid w:val="7D0C32F1"/>
    <w:rsid w:val="7D0F408D"/>
    <w:rsid w:val="7D491C6C"/>
    <w:rsid w:val="7D5429C0"/>
    <w:rsid w:val="7D6E6D43"/>
    <w:rsid w:val="7D7F469A"/>
    <w:rsid w:val="7DB57A34"/>
    <w:rsid w:val="7DE60973"/>
    <w:rsid w:val="7DE70059"/>
    <w:rsid w:val="7DEF0916"/>
    <w:rsid w:val="7DF509C8"/>
    <w:rsid w:val="7E0D5685"/>
    <w:rsid w:val="7E1E5218"/>
    <w:rsid w:val="7E88183C"/>
    <w:rsid w:val="7E9A4E1F"/>
    <w:rsid w:val="7EA7723A"/>
    <w:rsid w:val="7EC42148"/>
    <w:rsid w:val="7EF56FBB"/>
    <w:rsid w:val="7F0768EB"/>
    <w:rsid w:val="7F143BEC"/>
    <w:rsid w:val="7F410946"/>
    <w:rsid w:val="7F6531DB"/>
    <w:rsid w:val="7F6D458E"/>
    <w:rsid w:val="7F715AF2"/>
    <w:rsid w:val="7F886E69"/>
    <w:rsid w:val="7F8B1E0A"/>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88"/>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9"/>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0"/>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2"/>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4"/>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5"/>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9"/>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3"/>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8"/>
    <w:autoRedefine/>
    <w:qFormat/>
    <w:uiPriority w:val="99"/>
    <w:pPr>
      <w:shd w:val="clear" w:color="auto" w:fill="000080"/>
    </w:pPr>
    <w:rPr>
      <w:sz w:val="24"/>
      <w:szCs w:val="20"/>
    </w:rPr>
  </w:style>
  <w:style w:type="paragraph" w:styleId="19">
    <w:name w:val="annotation text"/>
    <w:basedOn w:val="1"/>
    <w:link w:val="358"/>
    <w:autoRedefine/>
    <w:qFormat/>
    <w:uiPriority w:val="99"/>
    <w:pPr>
      <w:jc w:val="left"/>
    </w:pPr>
    <w:rPr>
      <w:sz w:val="24"/>
      <w:szCs w:val="20"/>
    </w:rPr>
  </w:style>
  <w:style w:type="paragraph" w:styleId="20">
    <w:name w:val="Salutation"/>
    <w:basedOn w:val="1"/>
    <w:next w:val="1"/>
    <w:link w:val="100"/>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6"/>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2"/>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3"/>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23"/>
    <w:link w:val="104"/>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5"/>
    <w:autoRedefine/>
    <w:qFormat/>
    <w:uiPriority w:val="99"/>
    <w:pPr>
      <w:ind w:left="100" w:leftChars="2500"/>
    </w:pPr>
    <w:rPr>
      <w:rFonts w:ascii="宋体"/>
      <w:sz w:val="24"/>
      <w:szCs w:val="21"/>
      <w:lang w:val="zh-CN"/>
    </w:rPr>
  </w:style>
  <w:style w:type="paragraph" w:styleId="36">
    <w:name w:val="Body Text Indent 2"/>
    <w:basedOn w:val="1"/>
    <w:link w:val="106"/>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7"/>
    <w:autoRedefine/>
    <w:qFormat/>
    <w:uiPriority w:val="99"/>
    <w:rPr>
      <w:lang w:val="zh-CN"/>
    </w:rPr>
  </w:style>
  <w:style w:type="paragraph" w:styleId="38">
    <w:name w:val="Balloon Text"/>
    <w:basedOn w:val="1"/>
    <w:link w:val="214"/>
    <w:autoRedefine/>
    <w:qFormat/>
    <w:uiPriority w:val="99"/>
    <w:rPr>
      <w:sz w:val="18"/>
      <w:szCs w:val="20"/>
    </w:rPr>
  </w:style>
  <w:style w:type="paragraph" w:styleId="39">
    <w:name w:val="footer"/>
    <w:basedOn w:val="1"/>
    <w:link w:val="394"/>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1"/>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2"/>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3"/>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4"/>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5"/>
    <w:autoRedefine/>
    <w:qFormat/>
    <w:uiPriority w:val="99"/>
    <w:pPr>
      <w:spacing w:after="120" w:line="480" w:lineRule="auto"/>
    </w:pPr>
  </w:style>
  <w:style w:type="paragraph" w:styleId="58">
    <w:name w:val="HTML Preformatted"/>
    <w:basedOn w:val="1"/>
    <w:link w:val="11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7"/>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8"/>
    <w:autoRedefine/>
    <w:qFormat/>
    <w:uiPriority w:val="99"/>
    <w:rPr>
      <w:b/>
      <w:bCs/>
    </w:rPr>
  </w:style>
  <w:style w:type="paragraph" w:styleId="62">
    <w:name w:val="Body Text First Indent"/>
    <w:basedOn w:val="23"/>
    <w:next w:val="51"/>
    <w:link w:val="97"/>
    <w:autoRedefine/>
    <w:qFormat/>
    <w:uiPriority w:val="99"/>
    <w:pPr>
      <w:ind w:firstLine="420"/>
    </w:pPr>
    <w:rPr>
      <w:rFonts w:hAnsi="Times New Roman" w:cs="Times New Roman"/>
      <w:szCs w:val="20"/>
    </w:rPr>
  </w:style>
  <w:style w:type="paragraph" w:styleId="63">
    <w:name w:val="Body Text First Indent 2"/>
    <w:basedOn w:val="24"/>
    <w:next w:val="64"/>
    <w:link w:val="119"/>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表格文字"/>
    <w:basedOn w:val="84"/>
    <w:next w:val="23"/>
    <w:autoRedefine/>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autoRedefine/>
    <w:qFormat/>
    <w:uiPriority w:val="0"/>
    <w:pPr>
      <w:snapToGrid w:val="0"/>
    </w:pPr>
    <w:rPr>
      <w:sz w:val="20"/>
      <w:szCs w:val="24"/>
    </w:rPr>
  </w:style>
  <w:style w:type="paragraph" w:customStyle="1" w:styleId="85">
    <w:name w:val="表格"/>
    <w:basedOn w:val="1"/>
    <w:autoRedefine/>
    <w:qFormat/>
    <w:uiPriority w:val="99"/>
    <w:pPr>
      <w:snapToGrid w:val="0"/>
      <w:ind w:firstLine="42" w:firstLineChars="21"/>
    </w:pPr>
    <w:rPr>
      <w:rFonts w:ascii="宋体" w:hAnsi="宋体"/>
      <w:kern w:val="0"/>
      <w:sz w:val="20"/>
      <w:szCs w:val="20"/>
    </w:rPr>
  </w:style>
  <w:style w:type="paragraph" w:customStyle="1" w:styleId="86">
    <w:name w:val="Body Text 31"/>
    <w:basedOn w:val="1"/>
    <w:autoRedefine/>
    <w:qFormat/>
    <w:uiPriority w:val="0"/>
    <w:pPr>
      <w:spacing w:after="120" w:afterLines="0"/>
    </w:pPr>
    <w:rPr>
      <w:sz w:val="16"/>
      <w:szCs w:val="16"/>
    </w:rPr>
  </w:style>
  <w:style w:type="character" w:customStyle="1" w:styleId="87">
    <w:name w:val="Heading 1 Char"/>
    <w:basedOn w:val="72"/>
    <w:link w:val="3"/>
    <w:autoRedefine/>
    <w:qFormat/>
    <w:locked/>
    <w:uiPriority w:val="99"/>
    <w:rPr>
      <w:rFonts w:ascii="Times New Roman" w:hAnsi="Times New Roman" w:eastAsia="黑体" w:cs="Times New Roman"/>
      <w:b/>
      <w:kern w:val="0"/>
      <w:sz w:val="24"/>
    </w:rPr>
  </w:style>
  <w:style w:type="character" w:customStyle="1" w:styleId="88">
    <w:name w:val="Heading 2 Char"/>
    <w:basedOn w:val="72"/>
    <w:link w:val="2"/>
    <w:autoRedefine/>
    <w:semiHidden/>
    <w:qFormat/>
    <w:locked/>
    <w:uiPriority w:val="99"/>
    <w:rPr>
      <w:rFonts w:ascii="Cambria" w:hAnsi="Cambria" w:eastAsia="宋体" w:cs="Times New Roman"/>
      <w:b/>
      <w:bCs/>
      <w:sz w:val="32"/>
      <w:szCs w:val="32"/>
    </w:rPr>
  </w:style>
  <w:style w:type="character" w:customStyle="1" w:styleId="89">
    <w:name w:val="Heading 3 Char"/>
    <w:basedOn w:val="72"/>
    <w:link w:val="4"/>
    <w:autoRedefine/>
    <w:semiHidden/>
    <w:qFormat/>
    <w:locked/>
    <w:uiPriority w:val="99"/>
    <w:rPr>
      <w:rFonts w:cs="Times New Roman"/>
      <w:b/>
      <w:bCs/>
      <w:sz w:val="32"/>
      <w:szCs w:val="32"/>
    </w:rPr>
  </w:style>
  <w:style w:type="character" w:customStyle="1" w:styleId="90">
    <w:name w:val="Heading 4 Char"/>
    <w:basedOn w:val="72"/>
    <w:link w:val="5"/>
    <w:autoRedefine/>
    <w:qFormat/>
    <w:locked/>
    <w:uiPriority w:val="99"/>
    <w:rPr>
      <w:rFonts w:ascii="Arial" w:hAnsi="Arial" w:eastAsia="黑体" w:cs="Times New Roman"/>
      <w:b/>
      <w:kern w:val="2"/>
      <w:sz w:val="28"/>
      <w:lang w:val="zh-CN"/>
    </w:rPr>
  </w:style>
  <w:style w:type="character" w:customStyle="1" w:styleId="91">
    <w:name w:val="Heading 5 Char"/>
    <w:basedOn w:val="72"/>
    <w:link w:val="6"/>
    <w:autoRedefine/>
    <w:qFormat/>
    <w:locked/>
    <w:uiPriority w:val="99"/>
    <w:rPr>
      <w:rFonts w:cs="Times New Roman"/>
      <w:b/>
      <w:kern w:val="2"/>
      <w:sz w:val="28"/>
    </w:rPr>
  </w:style>
  <w:style w:type="character" w:customStyle="1" w:styleId="92">
    <w:name w:val="Heading 6 Char"/>
    <w:basedOn w:val="72"/>
    <w:link w:val="7"/>
    <w:autoRedefine/>
    <w:qFormat/>
    <w:locked/>
    <w:uiPriority w:val="99"/>
    <w:rPr>
      <w:rFonts w:ascii="Arial" w:hAnsi="Arial" w:eastAsia="黑体" w:cs="Times New Roman"/>
      <w:b/>
      <w:kern w:val="2"/>
      <w:sz w:val="24"/>
    </w:rPr>
  </w:style>
  <w:style w:type="character" w:customStyle="1" w:styleId="93">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4">
    <w:name w:val="Heading 8 Char"/>
    <w:basedOn w:val="72"/>
    <w:link w:val="9"/>
    <w:autoRedefine/>
    <w:qFormat/>
    <w:locked/>
    <w:uiPriority w:val="99"/>
    <w:rPr>
      <w:rFonts w:ascii="Arial" w:hAnsi="Arial" w:eastAsia="黑体" w:cs="Times New Roman"/>
      <w:kern w:val="2"/>
      <w:sz w:val="24"/>
    </w:rPr>
  </w:style>
  <w:style w:type="character" w:customStyle="1" w:styleId="95">
    <w:name w:val="Heading 9 Char"/>
    <w:basedOn w:val="72"/>
    <w:link w:val="10"/>
    <w:autoRedefine/>
    <w:qFormat/>
    <w:locked/>
    <w:uiPriority w:val="99"/>
    <w:rPr>
      <w:rFonts w:ascii="Arial" w:hAnsi="Arial" w:eastAsia="黑体" w:cs="Times New Roman"/>
      <w:kern w:val="2"/>
      <w:sz w:val="21"/>
    </w:rPr>
  </w:style>
  <w:style w:type="character" w:customStyle="1" w:styleId="96">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62"/>
    <w:autoRedefine/>
    <w:qFormat/>
    <w:locked/>
    <w:uiPriority w:val="99"/>
    <w:rPr>
      <w:sz w:val="24"/>
    </w:rPr>
  </w:style>
  <w:style w:type="character" w:customStyle="1" w:styleId="98">
    <w:name w:val="Document Map Char"/>
    <w:basedOn w:val="72"/>
    <w:link w:val="18"/>
    <w:autoRedefine/>
    <w:qFormat/>
    <w:locked/>
    <w:uiPriority w:val="99"/>
    <w:rPr>
      <w:rFonts w:eastAsia="宋体" w:cs="Times New Roman"/>
      <w:kern w:val="2"/>
      <w:sz w:val="24"/>
      <w:lang w:val="en-US" w:eastAsia="zh-CN"/>
    </w:rPr>
  </w:style>
  <w:style w:type="character" w:customStyle="1" w:styleId="99">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0">
    <w:name w:val="Salutation Char"/>
    <w:basedOn w:val="72"/>
    <w:link w:val="20"/>
    <w:autoRedefine/>
    <w:qFormat/>
    <w:locked/>
    <w:uiPriority w:val="99"/>
    <w:rPr>
      <w:rFonts w:ascii="仿宋_GB2312" w:eastAsia="仿宋_GB2312" w:cs="Times New Roman"/>
      <w:kern w:val="2"/>
      <w:sz w:val="28"/>
    </w:rPr>
  </w:style>
  <w:style w:type="character" w:customStyle="1" w:styleId="101">
    <w:name w:val="Body Text 3 Char"/>
    <w:basedOn w:val="72"/>
    <w:autoRedefine/>
    <w:qFormat/>
    <w:locked/>
    <w:uiPriority w:val="99"/>
    <w:rPr>
      <w:rFonts w:cs="Times New Roman"/>
      <w:kern w:val="2"/>
      <w:sz w:val="21"/>
    </w:rPr>
  </w:style>
  <w:style w:type="character" w:customStyle="1" w:styleId="102">
    <w:name w:val="Body Text Indent Char"/>
    <w:basedOn w:val="72"/>
    <w:link w:val="24"/>
    <w:autoRedefine/>
    <w:qFormat/>
    <w:locked/>
    <w:uiPriority w:val="99"/>
    <w:rPr>
      <w:rFonts w:ascii="宋体" w:eastAsia="宋体" w:cs="Times New Roman"/>
      <w:kern w:val="2"/>
      <w:sz w:val="24"/>
    </w:rPr>
  </w:style>
  <w:style w:type="character" w:customStyle="1" w:styleId="103">
    <w:name w:val="HTML Address Char"/>
    <w:basedOn w:val="72"/>
    <w:link w:val="29"/>
    <w:autoRedefine/>
    <w:qFormat/>
    <w:locked/>
    <w:uiPriority w:val="99"/>
    <w:rPr>
      <w:rFonts w:ascii="宋体" w:eastAsia="宋体" w:cs="Times New Roman"/>
      <w:i/>
      <w:sz w:val="24"/>
    </w:rPr>
  </w:style>
  <w:style w:type="character" w:customStyle="1" w:styleId="104">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2"/>
    <w:link w:val="35"/>
    <w:autoRedefine/>
    <w:qFormat/>
    <w:locked/>
    <w:uiPriority w:val="99"/>
    <w:rPr>
      <w:rFonts w:ascii="宋体" w:cs="Times New Roman"/>
      <w:kern w:val="2"/>
      <w:sz w:val="21"/>
      <w:lang w:val="zh-CN"/>
    </w:rPr>
  </w:style>
  <w:style w:type="character" w:customStyle="1" w:styleId="106">
    <w:name w:val="Body Text Indent 2 Char"/>
    <w:basedOn w:val="72"/>
    <w:link w:val="36"/>
    <w:autoRedefine/>
    <w:qFormat/>
    <w:locked/>
    <w:uiPriority w:val="99"/>
    <w:rPr>
      <w:rFonts w:ascii="宋体" w:cs="Times New Roman"/>
      <w:sz w:val="28"/>
    </w:rPr>
  </w:style>
  <w:style w:type="character" w:customStyle="1" w:styleId="107">
    <w:name w:val="Endnote Text Char"/>
    <w:basedOn w:val="72"/>
    <w:link w:val="37"/>
    <w:autoRedefine/>
    <w:qFormat/>
    <w:locked/>
    <w:uiPriority w:val="99"/>
    <w:rPr>
      <w:rFonts w:cs="Times New Roman"/>
      <w:kern w:val="2"/>
      <w:sz w:val="24"/>
      <w:lang w:val="zh-CN"/>
    </w:rPr>
  </w:style>
  <w:style w:type="character" w:customStyle="1" w:styleId="108">
    <w:name w:val="Balloon Text Char"/>
    <w:basedOn w:val="72"/>
    <w:link w:val="38"/>
    <w:autoRedefine/>
    <w:qFormat/>
    <w:locked/>
    <w:uiPriority w:val="99"/>
    <w:rPr>
      <w:rFonts w:eastAsia="宋体" w:cs="Times New Roman"/>
      <w:kern w:val="2"/>
      <w:sz w:val="18"/>
      <w:lang w:val="en-US" w:eastAsia="zh-CN"/>
    </w:rPr>
  </w:style>
  <w:style w:type="character" w:customStyle="1" w:styleId="109">
    <w:name w:val="Footer Char"/>
    <w:basedOn w:val="72"/>
    <w:link w:val="39"/>
    <w:autoRedefine/>
    <w:qFormat/>
    <w:locked/>
    <w:uiPriority w:val="99"/>
    <w:rPr>
      <w:rFonts w:eastAsia="宋体" w:cs="Times New Roman"/>
      <w:kern w:val="2"/>
      <w:sz w:val="18"/>
      <w:lang w:val="en-US" w:eastAsia="zh-CN"/>
    </w:rPr>
  </w:style>
  <w:style w:type="character" w:customStyle="1" w:styleId="110">
    <w:name w:val="Header Char"/>
    <w:basedOn w:val="72"/>
    <w:link w:val="41"/>
    <w:autoRedefine/>
    <w:qFormat/>
    <w:locked/>
    <w:uiPriority w:val="99"/>
    <w:rPr>
      <w:rFonts w:eastAsia="宋体" w:cs="Times New Roman"/>
      <w:kern w:val="2"/>
      <w:sz w:val="18"/>
      <w:lang w:val="en-US" w:eastAsia="zh-CN"/>
    </w:rPr>
  </w:style>
  <w:style w:type="character" w:customStyle="1" w:styleId="111">
    <w:name w:val="Signature Char"/>
    <w:basedOn w:val="72"/>
    <w:link w:val="42"/>
    <w:autoRedefine/>
    <w:qFormat/>
    <w:locked/>
    <w:uiPriority w:val="99"/>
    <w:rPr>
      <w:rFonts w:eastAsia="仿宋_GB2312" w:cs="Times New Roman"/>
      <w:sz w:val="24"/>
    </w:rPr>
  </w:style>
  <w:style w:type="character" w:customStyle="1" w:styleId="112">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3">
    <w:name w:val="Footnote Text Char"/>
    <w:basedOn w:val="72"/>
    <w:link w:val="50"/>
    <w:autoRedefine/>
    <w:qFormat/>
    <w:locked/>
    <w:uiPriority w:val="99"/>
    <w:rPr>
      <w:rFonts w:cs="Times New Roman"/>
      <w:color w:val="0000FF"/>
      <w:sz w:val="21"/>
    </w:rPr>
  </w:style>
  <w:style w:type="character" w:customStyle="1" w:styleId="114">
    <w:name w:val="Body Text Indent 3 Char"/>
    <w:basedOn w:val="72"/>
    <w:link w:val="53"/>
    <w:autoRedefine/>
    <w:qFormat/>
    <w:locked/>
    <w:uiPriority w:val="99"/>
    <w:rPr>
      <w:rFonts w:cs="Times New Roman"/>
      <w:kern w:val="2"/>
      <w:sz w:val="24"/>
    </w:rPr>
  </w:style>
  <w:style w:type="character" w:customStyle="1" w:styleId="115">
    <w:name w:val="Body Text 2 Char"/>
    <w:basedOn w:val="72"/>
    <w:link w:val="57"/>
    <w:autoRedefine/>
    <w:qFormat/>
    <w:locked/>
    <w:uiPriority w:val="99"/>
    <w:rPr>
      <w:rFonts w:cs="Times New Roman"/>
      <w:kern w:val="2"/>
      <w:sz w:val="24"/>
    </w:rPr>
  </w:style>
  <w:style w:type="character" w:customStyle="1" w:styleId="116">
    <w:name w:val="HTML Preformatted Char"/>
    <w:basedOn w:val="72"/>
    <w:link w:val="58"/>
    <w:autoRedefine/>
    <w:qFormat/>
    <w:locked/>
    <w:uiPriority w:val="99"/>
    <w:rPr>
      <w:rFonts w:ascii="黑体" w:hAnsi="Courier New" w:eastAsia="黑体" w:cs="Times New Roman"/>
    </w:rPr>
  </w:style>
  <w:style w:type="character" w:customStyle="1" w:styleId="117">
    <w:name w:val="Title Char"/>
    <w:basedOn w:val="72"/>
    <w:link w:val="60"/>
    <w:autoRedefine/>
    <w:qFormat/>
    <w:locked/>
    <w:uiPriority w:val="99"/>
    <w:rPr>
      <w:rFonts w:cs="Times New Roman"/>
      <w:b/>
      <w:sz w:val="24"/>
      <w:lang w:val="en-GB"/>
    </w:rPr>
  </w:style>
  <w:style w:type="character" w:customStyle="1" w:styleId="118">
    <w:name w:val="Comment Subject Char"/>
    <w:basedOn w:val="99"/>
    <w:link w:val="61"/>
    <w:autoRedefine/>
    <w:qFormat/>
    <w:locked/>
    <w:uiPriority w:val="99"/>
    <w:rPr>
      <w:b/>
    </w:rPr>
  </w:style>
  <w:style w:type="character" w:customStyle="1" w:styleId="119">
    <w:name w:val="Body Text First Indent 2 Char"/>
    <w:basedOn w:val="102"/>
    <w:link w:val="63"/>
    <w:autoRedefine/>
    <w:qFormat/>
    <w:locked/>
    <w:uiPriority w:val="99"/>
  </w:style>
  <w:style w:type="character" w:customStyle="1" w:styleId="120">
    <w:name w:val="表格非标题文字 Char"/>
    <w:link w:val="121"/>
    <w:autoRedefine/>
    <w:qFormat/>
    <w:locked/>
    <w:uiPriority w:val="99"/>
    <w:rPr>
      <w:rFonts w:ascii="Futura Bk" w:hAnsi="Futura Bk"/>
      <w:kern w:val="2"/>
      <w:sz w:val="21"/>
      <w:lang w:val="en-US" w:eastAsia="zh-CN"/>
    </w:rPr>
  </w:style>
  <w:style w:type="paragraph" w:customStyle="1" w:styleId="121">
    <w:name w:val="表格非标题文字"/>
    <w:link w:val="120"/>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locked/>
    <w:uiPriority w:val="99"/>
    <w:rPr>
      <w:rFonts w:ascii="宋体" w:eastAsia="宋体"/>
      <w:sz w:val="24"/>
    </w:rPr>
  </w:style>
  <w:style w:type="paragraph" w:customStyle="1" w:styleId="123">
    <w:name w:val="*正文"/>
    <w:basedOn w:val="1"/>
    <w:link w:val="122"/>
    <w:autoRedefine/>
    <w:qFormat/>
    <w:uiPriority w:val="99"/>
    <w:pPr>
      <w:snapToGrid w:val="0"/>
      <w:spacing w:line="360" w:lineRule="auto"/>
      <w:ind w:firstLine="482"/>
      <w:jc w:val="left"/>
    </w:pPr>
    <w:rPr>
      <w:rFonts w:ascii="宋体"/>
      <w:kern w:val="0"/>
      <w:sz w:val="24"/>
      <w:szCs w:val="20"/>
    </w:rPr>
  </w:style>
  <w:style w:type="character" w:customStyle="1" w:styleId="124">
    <w:name w:val="Char Char71"/>
    <w:autoRedefine/>
    <w:semiHidden/>
    <w:qFormat/>
    <w:uiPriority w:val="99"/>
    <w:rPr>
      <w:rFonts w:eastAsia="宋体"/>
      <w:kern w:val="2"/>
      <w:sz w:val="24"/>
      <w:lang w:val="en-US" w:eastAsia="zh-CN"/>
    </w:rPr>
  </w:style>
  <w:style w:type="character" w:customStyle="1" w:styleId="125">
    <w:name w:val="Char Char6"/>
    <w:autoRedefine/>
    <w:qFormat/>
    <w:uiPriority w:val="99"/>
    <w:rPr>
      <w:rFonts w:eastAsia="宋体"/>
      <w:kern w:val="2"/>
      <w:sz w:val="24"/>
      <w:lang w:val="en-US" w:eastAsia="zh-CN"/>
    </w:rPr>
  </w:style>
  <w:style w:type="character" w:customStyle="1" w:styleId="126">
    <w:name w:val="正文缩进 Char"/>
    <w:autoRedefine/>
    <w:qFormat/>
    <w:uiPriority w:val="99"/>
    <w:rPr>
      <w:rFonts w:eastAsia="宋体"/>
      <w:kern w:val="2"/>
      <w:sz w:val="21"/>
      <w:lang w:val="en-US" w:eastAsia="zh-CN"/>
    </w:rPr>
  </w:style>
  <w:style w:type="character" w:customStyle="1" w:styleId="127">
    <w:name w:val="正文首行缩进 Char1"/>
    <w:autoRedefine/>
    <w:qFormat/>
    <w:uiPriority w:val="99"/>
    <w:rPr>
      <w:rFonts w:ascii="宋体" w:hAnsi="Times New Roman" w:eastAsia="宋体"/>
      <w:snapToGrid w:val="0"/>
      <w:kern w:val="2"/>
      <w:sz w:val="21"/>
      <w:lang w:val="zh-CN"/>
    </w:rPr>
  </w:style>
  <w:style w:type="character" w:customStyle="1" w:styleId="128">
    <w:name w:val="Char Char28"/>
    <w:autoRedefine/>
    <w:qFormat/>
    <w:uiPriority w:val="99"/>
    <w:rPr>
      <w:rFonts w:ascii="仿宋_GB2312" w:hAnsi="仿宋_GB2312" w:eastAsia="仿宋_GB2312"/>
      <w:kern w:val="1"/>
      <w:sz w:val="28"/>
    </w:rPr>
  </w:style>
  <w:style w:type="character" w:customStyle="1" w:styleId="129">
    <w:name w:val="标题 3 Char1"/>
    <w:autoRedefine/>
    <w:qFormat/>
    <w:uiPriority w:val="99"/>
    <w:rPr>
      <w:rFonts w:ascii="华文中宋" w:hAnsi="华文中宋" w:eastAsia="华文中宋"/>
      <w:b/>
      <w:kern w:val="2"/>
      <w:sz w:val="32"/>
      <w:lang w:val="en-US" w:eastAsia="zh-CN"/>
    </w:rPr>
  </w:style>
  <w:style w:type="character" w:customStyle="1" w:styleId="130">
    <w:name w:val="U_正文 Char"/>
    <w:link w:val="131"/>
    <w:autoRedefine/>
    <w:qFormat/>
    <w:locked/>
    <w:uiPriority w:val="99"/>
    <w:rPr>
      <w:sz w:val="24"/>
    </w:rPr>
  </w:style>
  <w:style w:type="paragraph" w:customStyle="1" w:styleId="131">
    <w:name w:val="U_正文"/>
    <w:basedOn w:val="1"/>
    <w:link w:val="130"/>
    <w:autoRedefine/>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autoRedefine/>
    <w:qFormat/>
    <w:uiPriority w:val="99"/>
    <w:rPr>
      <w:rFonts w:ascii="Times New Roman" w:hAnsi="Times New Roman" w:eastAsia="宋体"/>
      <w:i/>
      <w:sz w:val="24"/>
    </w:rPr>
  </w:style>
  <w:style w:type="character" w:customStyle="1" w:styleId="133">
    <w:name w:val="Char Char51"/>
    <w:autoRedefine/>
    <w:qFormat/>
    <w:uiPriority w:val="99"/>
    <w:rPr>
      <w:rFonts w:ascii="宋体" w:hAnsi="Courier New" w:eastAsia="宋体"/>
      <w:kern w:val="2"/>
      <w:sz w:val="21"/>
      <w:lang w:val="en-US" w:eastAsia="zh-CN"/>
    </w:rPr>
  </w:style>
  <w:style w:type="character" w:customStyle="1" w:styleId="134">
    <w:name w:val="表正文 Char"/>
    <w:autoRedefine/>
    <w:qFormat/>
    <w:uiPriority w:val="99"/>
    <w:rPr>
      <w:rFonts w:ascii="宋体" w:eastAsia="宋体"/>
      <w:snapToGrid w:val="0"/>
      <w:color w:val="000000"/>
      <w:kern w:val="28"/>
      <w:sz w:val="28"/>
      <w:lang w:val="en-US" w:eastAsia="zh-CN"/>
    </w:rPr>
  </w:style>
  <w:style w:type="character" w:customStyle="1" w:styleId="135">
    <w:name w:val="Char Char34"/>
    <w:autoRedefine/>
    <w:qFormat/>
    <w:uiPriority w:val="99"/>
    <w:rPr>
      <w:b/>
      <w:kern w:val="1"/>
      <w:sz w:val="28"/>
    </w:rPr>
  </w:style>
  <w:style w:type="character" w:customStyle="1" w:styleId="136">
    <w:name w:val="Normal Indent Char"/>
    <w:autoRedefine/>
    <w:qFormat/>
    <w:locked/>
    <w:uiPriority w:val="99"/>
    <w:rPr>
      <w:rFonts w:ascii="Calibri" w:hAnsi="Calibri" w:eastAsia="宋体"/>
      <w:snapToGrid w:val="0"/>
      <w:kern w:val="2"/>
      <w:sz w:val="22"/>
      <w:lang w:val="en-US" w:eastAsia="zh-CN"/>
    </w:rPr>
  </w:style>
  <w:style w:type="character" w:customStyle="1" w:styleId="137">
    <w:name w:val="哈哈正文 Char"/>
    <w:link w:val="138"/>
    <w:autoRedefine/>
    <w:qFormat/>
    <w:locked/>
    <w:uiPriority w:val="99"/>
    <w:rPr>
      <w:rFonts w:ascii="宋体" w:hAnsi="宋体" w:eastAsia="宋体"/>
      <w:kern w:val="2"/>
      <w:sz w:val="24"/>
    </w:rPr>
  </w:style>
  <w:style w:type="paragraph" w:customStyle="1" w:styleId="138">
    <w:name w:val="哈哈正文"/>
    <w:basedOn w:val="1"/>
    <w:link w:val="137"/>
    <w:autoRedefine/>
    <w:qFormat/>
    <w:uiPriority w:val="99"/>
    <w:pPr>
      <w:adjustRightInd/>
      <w:spacing w:line="360" w:lineRule="auto"/>
      <w:ind w:firstLine="200" w:firstLineChars="200"/>
    </w:pPr>
    <w:rPr>
      <w:rFonts w:ascii="宋体" w:hAnsi="宋体"/>
      <w:sz w:val="24"/>
      <w:szCs w:val="20"/>
    </w:rPr>
  </w:style>
  <w:style w:type="character" w:customStyle="1" w:styleId="139">
    <w:name w:val="未处理的提及1"/>
    <w:autoRedefine/>
    <w:qFormat/>
    <w:uiPriority w:val="99"/>
    <w:rPr>
      <w:color w:val="808080"/>
      <w:shd w:val="clear" w:color="auto" w:fill="E6E6E6"/>
    </w:rPr>
  </w:style>
  <w:style w:type="character" w:customStyle="1" w:styleId="140">
    <w:name w:val="txt"/>
    <w:autoRedefine/>
    <w:qFormat/>
    <w:uiPriority w:val="99"/>
    <w:rPr>
      <w:rFonts w:ascii="仿宋_GB2312" w:eastAsia="微软雅黑"/>
      <w:b/>
      <w:kern w:val="2"/>
      <w:sz w:val="32"/>
      <w:lang w:val="en-US" w:eastAsia="zh-CN"/>
    </w:rPr>
  </w:style>
  <w:style w:type="character" w:customStyle="1" w:styleId="141">
    <w:name w:val="二级标题 Char Char"/>
    <w:autoRedefine/>
    <w:qFormat/>
    <w:uiPriority w:val="99"/>
    <w:rPr>
      <w:rFonts w:ascii="宋体" w:hAnsi="宋体" w:eastAsia="宋体"/>
      <w:b/>
      <w:snapToGrid w:val="0"/>
      <w:kern w:val="2"/>
      <w:sz w:val="24"/>
      <w:lang w:val="en-US" w:eastAsia="zh-CN"/>
    </w:rPr>
  </w:style>
  <w:style w:type="character" w:customStyle="1" w:styleId="142">
    <w:name w:val="Char Char32"/>
    <w:autoRedefine/>
    <w:qFormat/>
    <w:uiPriority w:val="99"/>
    <w:rPr>
      <w:b/>
      <w:kern w:val="1"/>
      <w:sz w:val="24"/>
    </w:rPr>
  </w:style>
  <w:style w:type="character" w:customStyle="1" w:styleId="143">
    <w:name w:val="PI Char1"/>
    <w:autoRedefine/>
    <w:qFormat/>
    <w:uiPriority w:val="99"/>
    <w:rPr>
      <w:rFonts w:ascii="宋体" w:eastAsia="宋体"/>
      <w:kern w:val="2"/>
      <w:sz w:val="24"/>
    </w:rPr>
  </w:style>
  <w:style w:type="character" w:customStyle="1" w:styleId="144">
    <w:name w:val="tw4winTerm"/>
    <w:autoRedefine/>
    <w:qFormat/>
    <w:uiPriority w:val="99"/>
    <w:rPr>
      <w:color w:val="0000FF"/>
    </w:rPr>
  </w:style>
  <w:style w:type="character" w:customStyle="1" w:styleId="145">
    <w:name w:val="普通文字 Char Char1"/>
    <w:autoRedefine/>
    <w:qFormat/>
    <w:uiPriority w:val="99"/>
    <w:rPr>
      <w:rFonts w:ascii="宋体" w:hAnsi="Courier New"/>
      <w:kern w:val="2"/>
      <w:sz w:val="21"/>
    </w:rPr>
  </w:style>
  <w:style w:type="character" w:customStyle="1" w:styleId="146">
    <w:name w:val="Char Char101"/>
    <w:autoRedefine/>
    <w:qFormat/>
    <w:uiPriority w:val="99"/>
    <w:rPr>
      <w:rFonts w:ascii="宋体" w:eastAsia="宋体"/>
      <w:kern w:val="2"/>
      <w:sz w:val="24"/>
      <w:lang w:val="en-US" w:eastAsia="zh-CN"/>
    </w:rPr>
  </w:style>
  <w:style w:type="character" w:customStyle="1" w:styleId="147">
    <w:name w:val="标题 4 Char"/>
    <w:autoRedefine/>
    <w:qFormat/>
    <w:uiPriority w:val="99"/>
    <w:rPr>
      <w:rFonts w:ascii="Arial" w:hAnsi="Arial" w:eastAsia="黑体"/>
      <w:b/>
      <w:kern w:val="2"/>
      <w:sz w:val="28"/>
    </w:rPr>
  </w:style>
  <w:style w:type="character" w:customStyle="1" w:styleId="148">
    <w:name w:val="链接"/>
    <w:autoRedefine/>
    <w:qFormat/>
    <w:uiPriority w:val="99"/>
    <w:rPr>
      <w:color w:val="0000FF"/>
      <w:sz w:val="21"/>
      <w:u w:val="single"/>
    </w:rPr>
  </w:style>
  <w:style w:type="character" w:customStyle="1" w:styleId="149">
    <w:name w:val="h4 Char"/>
    <w:autoRedefine/>
    <w:qFormat/>
    <w:uiPriority w:val="99"/>
    <w:rPr>
      <w:rFonts w:ascii="Arial" w:hAnsi="Arial" w:eastAsia="黑体"/>
      <w:b/>
      <w:kern w:val="2"/>
      <w:sz w:val="28"/>
      <w:lang w:val="zh-CN" w:eastAsia="zh-CN"/>
    </w:rPr>
  </w:style>
  <w:style w:type="character" w:customStyle="1" w:styleId="150">
    <w:name w:val="5正文 Char"/>
    <w:link w:val="151"/>
    <w:autoRedefine/>
    <w:qFormat/>
    <w:locked/>
    <w:uiPriority w:val="99"/>
    <w:rPr>
      <w:rFonts w:ascii="仿宋_GB2312" w:hAnsi="微软雅黑" w:eastAsia="仿宋_GB2312"/>
      <w:sz w:val="21"/>
    </w:rPr>
  </w:style>
  <w:style w:type="paragraph" w:customStyle="1" w:styleId="151">
    <w:name w:val="5正文"/>
    <w:basedOn w:val="1"/>
    <w:link w:val="150"/>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autoRedefine/>
    <w:qFormat/>
    <w:uiPriority w:val="99"/>
    <w:rPr>
      <w:b/>
      <w:kern w:val="2"/>
      <w:sz w:val="32"/>
    </w:rPr>
  </w:style>
  <w:style w:type="character" w:customStyle="1" w:styleId="153">
    <w:name w:val="样式6 Char"/>
    <w:autoRedefine/>
    <w:qFormat/>
    <w:uiPriority w:val="99"/>
    <w:rPr>
      <w:rFonts w:ascii="仿宋_GB2312" w:hAnsi="宋体" w:eastAsia="仿宋_GB2312"/>
      <w:b/>
      <w:kern w:val="2"/>
      <w:sz w:val="24"/>
      <w:lang w:val="en-US" w:eastAsia="zh-CN"/>
    </w:rPr>
  </w:style>
  <w:style w:type="character" w:customStyle="1" w:styleId="154">
    <w:name w:val="Char Char14"/>
    <w:autoRedefine/>
    <w:qFormat/>
    <w:uiPriority w:val="99"/>
    <w:rPr>
      <w:rFonts w:ascii="黑体" w:hAnsi="黑体" w:eastAsia="黑体"/>
    </w:rPr>
  </w:style>
  <w:style w:type="character" w:customStyle="1" w:styleId="155">
    <w:name w:val="Heading 2 Hidden Char"/>
    <w:autoRedefine/>
    <w:qFormat/>
    <w:uiPriority w:val="99"/>
    <w:rPr>
      <w:rFonts w:ascii="仿宋_GB2312" w:eastAsia="仿宋_GB2312"/>
      <w:b/>
      <w:kern w:val="2"/>
      <w:sz w:val="24"/>
      <w:lang w:val="zh-CN" w:eastAsia="zh-CN"/>
    </w:rPr>
  </w:style>
  <w:style w:type="character" w:customStyle="1" w:styleId="156">
    <w:name w:val="font11"/>
    <w:autoRedefine/>
    <w:qFormat/>
    <w:uiPriority w:val="99"/>
    <w:rPr>
      <w:rFonts w:ascii="Times New Roman" w:hAnsi="Times New Roman"/>
      <w:color w:val="000000"/>
      <w:sz w:val="22"/>
      <w:u w:val="none"/>
    </w:rPr>
  </w:style>
  <w:style w:type="character" w:customStyle="1" w:styleId="157">
    <w:name w:val="表正文 Char1"/>
    <w:autoRedefine/>
    <w:qFormat/>
    <w:uiPriority w:val="99"/>
    <w:rPr>
      <w:rFonts w:ascii="宋体" w:eastAsia="宋体"/>
      <w:snapToGrid w:val="0"/>
      <w:color w:val="000000"/>
      <w:kern w:val="28"/>
      <w:sz w:val="28"/>
    </w:rPr>
  </w:style>
  <w:style w:type="character" w:customStyle="1" w:styleId="158">
    <w:name w:val="blue1"/>
    <w:basedOn w:val="72"/>
    <w:autoRedefine/>
    <w:qFormat/>
    <w:uiPriority w:val="99"/>
    <w:rPr>
      <w:rFonts w:ascii="Arial" w:hAnsi="Arial" w:eastAsia="黑体" w:cs="Arial"/>
      <w:snapToGrid w:val="0"/>
      <w:kern w:val="0"/>
      <w:sz w:val="21"/>
      <w:szCs w:val="21"/>
    </w:rPr>
  </w:style>
  <w:style w:type="character" w:customStyle="1" w:styleId="159">
    <w:name w:val="标书1 Char"/>
    <w:autoRedefine/>
    <w:qFormat/>
    <w:uiPriority w:val="99"/>
    <w:rPr>
      <w:rFonts w:eastAsia="宋体"/>
      <w:b/>
      <w:kern w:val="44"/>
      <w:sz w:val="44"/>
      <w:lang w:val="en-US" w:eastAsia="zh-CN"/>
    </w:rPr>
  </w:style>
  <w:style w:type="character" w:customStyle="1" w:styleId="160">
    <w:name w:val="样式5 Char"/>
    <w:autoRedefine/>
    <w:qFormat/>
    <w:uiPriority w:val="99"/>
    <w:rPr>
      <w:rFonts w:ascii="仿宋_GB2312" w:hAnsi="仿宋" w:eastAsia="仿宋_GB2312"/>
      <w:kern w:val="2"/>
      <w:sz w:val="24"/>
    </w:rPr>
  </w:style>
  <w:style w:type="character" w:customStyle="1" w:styleId="161">
    <w:name w:val="样式4 Char"/>
    <w:autoRedefine/>
    <w:qFormat/>
    <w:uiPriority w:val="99"/>
    <w:rPr>
      <w:rFonts w:ascii="仿宋_GB2312" w:hAnsi="仿宋" w:eastAsia="仿宋_GB2312"/>
      <w:b/>
      <w:kern w:val="2"/>
      <w:sz w:val="32"/>
    </w:rPr>
  </w:style>
  <w:style w:type="character" w:customStyle="1" w:styleId="162">
    <w:name w:val="插图说明 Char"/>
    <w:autoRedefine/>
    <w:qFormat/>
    <w:uiPriority w:val="99"/>
    <w:rPr>
      <w:rFonts w:eastAsia="黑体"/>
      <w:sz w:val="24"/>
      <w:lang w:val="en-US" w:eastAsia="zh-CN"/>
    </w:rPr>
  </w:style>
  <w:style w:type="character" w:customStyle="1" w:styleId="163">
    <w:name w:val="正文2 Char Char"/>
    <w:link w:val="164"/>
    <w:autoRedefine/>
    <w:qFormat/>
    <w:locked/>
    <w:uiPriority w:val="99"/>
    <w:rPr>
      <w:rFonts w:eastAsia="宋体"/>
      <w:kern w:val="2"/>
      <w:sz w:val="24"/>
      <w:lang w:val="en-US" w:eastAsia="zh-CN"/>
    </w:rPr>
  </w:style>
  <w:style w:type="paragraph" w:customStyle="1" w:styleId="164">
    <w:name w:val="正文2"/>
    <w:basedOn w:val="1"/>
    <w:link w:val="163"/>
    <w:autoRedefine/>
    <w:qFormat/>
    <w:uiPriority w:val="99"/>
    <w:pPr>
      <w:spacing w:before="156" w:line="360" w:lineRule="auto"/>
      <w:ind w:firstLine="510" w:firstLineChars="200"/>
    </w:pPr>
    <w:rPr>
      <w:sz w:val="24"/>
      <w:szCs w:val="20"/>
    </w:rPr>
  </w:style>
  <w:style w:type="character" w:customStyle="1" w:styleId="165">
    <w:name w:val="Char Char24"/>
    <w:autoRedefine/>
    <w:qFormat/>
    <w:uiPriority w:val="99"/>
    <w:rPr>
      <w:kern w:val="1"/>
      <w:sz w:val="21"/>
    </w:rPr>
  </w:style>
  <w:style w:type="character" w:customStyle="1" w:styleId="166">
    <w:name w:val="普通文字 Char1 Char"/>
    <w:autoRedefine/>
    <w:qFormat/>
    <w:uiPriority w:val="99"/>
    <w:rPr>
      <w:rFonts w:ascii="宋体" w:hAnsi="Courier New" w:eastAsia="宋体"/>
      <w:kern w:val="2"/>
      <w:sz w:val="24"/>
      <w:lang w:val="en-US" w:eastAsia="zh-CN"/>
    </w:rPr>
  </w:style>
  <w:style w:type="character" w:customStyle="1" w:styleId="167">
    <w:name w:val="h3 Char1"/>
    <w:autoRedefine/>
    <w:qFormat/>
    <w:uiPriority w:val="99"/>
    <w:rPr>
      <w:rFonts w:eastAsia="宋体"/>
      <w:b/>
      <w:kern w:val="2"/>
      <w:sz w:val="32"/>
    </w:rPr>
  </w:style>
  <w:style w:type="character" w:customStyle="1" w:styleId="168">
    <w:name w:val="标题 Char1"/>
    <w:autoRedefine/>
    <w:qFormat/>
    <w:uiPriority w:val="99"/>
    <w:rPr>
      <w:rFonts w:ascii="Cambria" w:hAnsi="Cambria" w:eastAsia="宋体"/>
      <w:b/>
      <w:sz w:val="32"/>
    </w:rPr>
  </w:style>
  <w:style w:type="character" w:customStyle="1" w:styleId="169">
    <w:name w:val="gf正文1 Char"/>
    <w:autoRedefine/>
    <w:qFormat/>
    <w:uiPriority w:val="99"/>
    <w:rPr>
      <w:rFonts w:ascii="宋体" w:hAnsi="宋体" w:eastAsia="宋体"/>
      <w:kern w:val="2"/>
      <w:sz w:val="24"/>
      <w:lang w:val="en-US" w:eastAsia="zh-CN"/>
    </w:rPr>
  </w:style>
  <w:style w:type="character" w:customStyle="1" w:styleId="170">
    <w:name w:val="正文文本缩进 Char1"/>
    <w:autoRedefine/>
    <w:qFormat/>
    <w:uiPriority w:val="99"/>
    <w:rPr>
      <w:rFonts w:ascii="Calibri" w:hAnsi="Calibri"/>
      <w:sz w:val="28"/>
    </w:rPr>
  </w:style>
  <w:style w:type="character" w:customStyle="1" w:styleId="171">
    <w:name w:val="No Spacing Char"/>
    <w:link w:val="172"/>
    <w:autoRedefine/>
    <w:qFormat/>
    <w:locked/>
    <w:uiPriority w:val="99"/>
    <w:rPr>
      <w:sz w:val="22"/>
      <w:lang w:val="en-US" w:eastAsia="zh-CN"/>
    </w:rPr>
  </w:style>
  <w:style w:type="paragraph" w:customStyle="1" w:styleId="172">
    <w:name w:val="无间隔1"/>
    <w:link w:val="171"/>
    <w:autoRedefine/>
    <w:qFormat/>
    <w:uiPriority w:val="99"/>
    <w:rPr>
      <w:rFonts w:ascii="Times New Roman" w:hAnsi="Times New Roman" w:eastAsia="宋体" w:cs="Times New Roman"/>
      <w:kern w:val="0"/>
      <w:sz w:val="22"/>
      <w:szCs w:val="22"/>
      <w:lang w:val="en-US" w:eastAsia="zh-CN" w:bidi="ar-SA"/>
    </w:rPr>
  </w:style>
  <w:style w:type="character" w:customStyle="1" w:styleId="173">
    <w:name w:val="样式7 Char"/>
    <w:autoRedefine/>
    <w:qFormat/>
    <w:uiPriority w:val="99"/>
    <w:rPr>
      <w:rFonts w:ascii="仿宋_GB2312" w:hAnsi="仿宋" w:eastAsia="仿宋_GB2312"/>
      <w:b/>
      <w:kern w:val="2"/>
      <w:sz w:val="24"/>
    </w:rPr>
  </w:style>
  <w:style w:type="character" w:customStyle="1" w:styleId="174">
    <w:name w:val="font12gray1"/>
    <w:autoRedefine/>
    <w:qFormat/>
    <w:uiPriority w:val="99"/>
    <w:rPr>
      <w:rFonts w:ascii="仿宋_GB2312" w:eastAsia="微软雅黑"/>
      <w:b/>
      <w:spacing w:val="300"/>
      <w:kern w:val="2"/>
      <w:sz w:val="18"/>
      <w:lang w:val="en-US" w:eastAsia="zh-CN"/>
    </w:rPr>
  </w:style>
  <w:style w:type="character" w:customStyle="1" w:styleId="175">
    <w:name w:val="Char Char7"/>
    <w:autoRedefine/>
    <w:semiHidden/>
    <w:qFormat/>
    <w:uiPriority w:val="99"/>
    <w:rPr>
      <w:rFonts w:eastAsia="宋体"/>
      <w:kern w:val="2"/>
      <w:sz w:val="24"/>
      <w:lang w:val="en-US" w:eastAsia="zh-CN"/>
    </w:rPr>
  </w:style>
  <w:style w:type="character" w:customStyle="1" w:styleId="176">
    <w:name w:val="表名 Char"/>
    <w:autoRedefine/>
    <w:qFormat/>
    <w:uiPriority w:val="99"/>
    <w:rPr>
      <w:rFonts w:eastAsia="宋体"/>
      <w:b/>
      <w:kern w:val="2"/>
      <w:sz w:val="24"/>
      <w:lang w:val="en-US" w:eastAsia="zh-CN"/>
    </w:rPr>
  </w:style>
  <w:style w:type="character" w:customStyle="1" w:styleId="177">
    <w:name w:val="font41"/>
    <w:autoRedefine/>
    <w:qFormat/>
    <w:uiPriority w:val="99"/>
    <w:rPr>
      <w:rFonts w:ascii="仿宋_GB2312" w:eastAsia="仿宋_GB2312"/>
      <w:color w:val="000000"/>
      <w:sz w:val="22"/>
      <w:u w:val="none"/>
    </w:rPr>
  </w:style>
  <w:style w:type="character" w:customStyle="1" w:styleId="178">
    <w:name w:val="纯文本 Char_0"/>
    <w:link w:val="179"/>
    <w:autoRedefine/>
    <w:qFormat/>
    <w:locked/>
    <w:uiPriority w:val="99"/>
    <w:rPr>
      <w:rFonts w:ascii="宋体" w:hAnsi="Courier New"/>
      <w:kern w:val="2"/>
      <w:sz w:val="21"/>
      <w:lang w:val="en-US" w:eastAsia="zh-CN"/>
    </w:rPr>
  </w:style>
  <w:style w:type="paragraph" w:customStyle="1" w:styleId="179">
    <w:name w:val="纯文本_0_0"/>
    <w:basedOn w:val="180"/>
    <w:link w:val="178"/>
    <w:autoRedefine/>
    <w:qFormat/>
    <w:uiPriority w:val="99"/>
    <w:rPr>
      <w:rFonts w:ascii="宋体" w:hAnsi="Courier New"/>
      <w:szCs w:val="20"/>
    </w:rPr>
  </w:style>
  <w:style w:type="paragraph" w:customStyle="1" w:styleId="180">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autoRedefine/>
    <w:qFormat/>
    <w:uiPriority w:val="99"/>
    <w:rPr>
      <w:rFonts w:cs="Times New Roman"/>
      <w:lang w:bidi="ar-SA"/>
    </w:rPr>
  </w:style>
  <w:style w:type="character" w:customStyle="1" w:styleId="182">
    <w:name w:val="正文 项目 Char"/>
    <w:autoRedefine/>
    <w:qFormat/>
    <w:uiPriority w:val="99"/>
    <w:rPr>
      <w:rFonts w:ascii="仿宋_GB2312" w:hAnsi="仿宋_GB2312" w:eastAsia="仿宋_GB2312"/>
      <w:kern w:val="2"/>
      <w:sz w:val="24"/>
    </w:rPr>
  </w:style>
  <w:style w:type="character" w:customStyle="1" w:styleId="183">
    <w:name w:val="h Char Char1"/>
    <w:autoRedefine/>
    <w:qFormat/>
    <w:uiPriority w:val="99"/>
    <w:rPr>
      <w:rFonts w:eastAsia="宋体"/>
      <w:kern w:val="2"/>
      <w:sz w:val="18"/>
      <w:lang w:val="en-US" w:eastAsia="zh-CN"/>
    </w:rPr>
  </w:style>
  <w:style w:type="character" w:customStyle="1" w:styleId="184">
    <w:name w:val="Char Char27"/>
    <w:autoRedefine/>
    <w:qFormat/>
    <w:uiPriority w:val="99"/>
    <w:rPr>
      <w:rFonts w:ascii="宋体" w:hAnsi="宋体" w:eastAsia="宋体"/>
      <w:color w:val="000000"/>
      <w:kern w:val="1"/>
      <w:sz w:val="28"/>
      <w:lang w:val="en-US" w:eastAsia="zh-CN"/>
    </w:rPr>
  </w:style>
  <w:style w:type="character" w:customStyle="1" w:styleId="185">
    <w:name w:val="px14"/>
    <w:autoRedefine/>
    <w:qFormat/>
    <w:uiPriority w:val="99"/>
    <w:rPr>
      <w:rFonts w:ascii="仿宋_GB2312" w:eastAsia="微软雅黑"/>
      <w:b/>
      <w:kern w:val="2"/>
      <w:sz w:val="32"/>
      <w:lang w:val="en-US" w:eastAsia="zh-CN"/>
    </w:rPr>
  </w:style>
  <w:style w:type="character" w:customStyle="1" w:styleId="186">
    <w:name w:val="HTML 预设格式 Char1"/>
    <w:autoRedefine/>
    <w:qFormat/>
    <w:uiPriority w:val="99"/>
    <w:rPr>
      <w:rFonts w:ascii="Courier New" w:hAnsi="Courier New" w:eastAsia="宋体"/>
      <w:sz w:val="20"/>
    </w:rPr>
  </w:style>
  <w:style w:type="character" w:customStyle="1" w:styleId="187">
    <w:name w:val="普通文字 Char1"/>
    <w:autoRedefine/>
    <w:qFormat/>
    <w:uiPriority w:val="99"/>
    <w:rPr>
      <w:rFonts w:ascii="宋体" w:hAnsi="Courier New" w:eastAsia="宋体"/>
      <w:kern w:val="2"/>
      <w:sz w:val="21"/>
      <w:lang w:val="en-US" w:eastAsia="zh-CN"/>
    </w:rPr>
  </w:style>
  <w:style w:type="character" w:customStyle="1" w:styleId="188">
    <w:name w:val="hei16b1"/>
    <w:autoRedefine/>
    <w:qFormat/>
    <w:uiPriority w:val="99"/>
    <w:rPr>
      <w:rFonts w:ascii="Arial" w:hAnsi="Arial"/>
      <w:b/>
      <w:color w:val="000000"/>
      <w:sz w:val="24"/>
    </w:rPr>
  </w:style>
  <w:style w:type="character" w:customStyle="1" w:styleId="189">
    <w:name w:val="正文（绿盟科技） Char"/>
    <w:link w:val="190"/>
    <w:autoRedefine/>
    <w:qFormat/>
    <w:locked/>
    <w:uiPriority w:val="99"/>
    <w:rPr>
      <w:rFonts w:ascii="Arial" w:hAnsi="Arial"/>
      <w:sz w:val="21"/>
      <w:lang w:val="en-US" w:eastAsia="zh-CN"/>
    </w:rPr>
  </w:style>
  <w:style w:type="paragraph" w:customStyle="1" w:styleId="190">
    <w:name w:val="正文（绿盟科技）"/>
    <w:link w:val="189"/>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1">
    <w:name w:val="Char Char19"/>
    <w:autoRedefine/>
    <w:qFormat/>
    <w:uiPriority w:val="99"/>
    <w:rPr>
      <w:rFonts w:ascii="宋体" w:eastAsia="宋体"/>
      <w:i/>
      <w:sz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99"/>
    <w:rPr>
      <w:rFonts w:eastAsia="宋体"/>
      <w:b/>
      <w:kern w:val="2"/>
      <w:sz w:val="24"/>
      <w:lang w:val="en-US" w:eastAsia="zh-CN"/>
    </w:rPr>
  </w:style>
  <w:style w:type="character" w:customStyle="1" w:styleId="194">
    <w:name w:val="标题 2 字符"/>
    <w:autoRedefine/>
    <w:qFormat/>
    <w:uiPriority w:val="99"/>
    <w:rPr>
      <w:rFonts w:ascii="仿宋_GB2312" w:hAnsi="Times New Roman" w:eastAsia="仿宋_GB2312"/>
      <w:b/>
      <w:kern w:val="2"/>
      <w:sz w:val="24"/>
      <w:lang w:val="zh-CN"/>
    </w:rPr>
  </w:style>
  <w:style w:type="character" w:customStyle="1" w:styleId="195">
    <w:name w:val="Char Char72"/>
    <w:autoRedefine/>
    <w:qFormat/>
    <w:uiPriority w:val="99"/>
    <w:rPr>
      <w:rFonts w:eastAsia="宋体"/>
      <w:kern w:val="2"/>
      <w:sz w:val="24"/>
      <w:lang w:val="en-US" w:eastAsia="zh-CN"/>
    </w:rPr>
  </w:style>
  <w:style w:type="character" w:customStyle="1" w:styleId="196">
    <w:name w:val="正文文本缩进 Char2"/>
    <w:autoRedefine/>
    <w:qFormat/>
    <w:uiPriority w:val="99"/>
    <w:rPr>
      <w:rFonts w:ascii="Times New Roman" w:hAnsi="Times New Roman" w:eastAsia="宋体"/>
      <w:snapToGrid w:val="0"/>
      <w:kern w:val="0"/>
      <w:sz w:val="24"/>
    </w:rPr>
  </w:style>
  <w:style w:type="character" w:customStyle="1" w:styleId="197">
    <w:name w:val="样式2 Char"/>
    <w:autoRedefine/>
    <w:qFormat/>
    <w:uiPriority w:val="99"/>
    <w:rPr>
      <w:rFonts w:ascii="仿宋_GB2312" w:hAnsi="仿宋" w:eastAsia="仿宋_GB2312"/>
      <w:b/>
      <w:sz w:val="30"/>
      <w:lang w:val="zh-CN"/>
    </w:rPr>
  </w:style>
  <w:style w:type="character" w:customStyle="1" w:styleId="198">
    <w:name w:val="表格名称[858D7CFB-ED40-4347-BF05-701D383B685F]"/>
    <w:link w:val="199"/>
    <w:autoRedefine/>
    <w:qFormat/>
    <w:locked/>
    <w:uiPriority w:val="99"/>
    <w:rPr>
      <w:sz w:val="32"/>
    </w:rPr>
  </w:style>
  <w:style w:type="paragraph" w:customStyle="1" w:styleId="199">
    <w:name w:val="表格名称"/>
    <w:basedOn w:val="2"/>
    <w:link w:val="198"/>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autoRedefine/>
    <w:qFormat/>
    <w:uiPriority w:val="99"/>
    <w:rPr>
      <w:rFonts w:eastAsia="宋体"/>
      <w:b/>
      <w:sz w:val="24"/>
      <w:lang w:val="en-GB" w:eastAsia="zh-CN"/>
    </w:rPr>
  </w:style>
  <w:style w:type="character" w:customStyle="1" w:styleId="201">
    <w:name w:val="c7 style3"/>
    <w:autoRedefine/>
    <w:qFormat/>
    <w:uiPriority w:val="99"/>
  </w:style>
  <w:style w:type="character" w:customStyle="1" w:styleId="202">
    <w:name w:val="正文文本 3 Char1"/>
    <w:autoRedefine/>
    <w:semiHidden/>
    <w:qFormat/>
    <w:uiPriority w:val="99"/>
    <w:rPr>
      <w:rFonts w:ascii="Times New Roman" w:hAnsi="Times New Roman" w:eastAsia="宋体"/>
      <w:sz w:val="16"/>
    </w:rPr>
  </w:style>
  <w:style w:type="character" w:customStyle="1" w:styleId="203">
    <w:name w:val="tw4winInternal"/>
    <w:autoRedefine/>
    <w:qFormat/>
    <w:uiPriority w:val="99"/>
    <w:rPr>
      <w:rFonts w:ascii="Courier New" w:hAnsi="Courier New"/>
      <w:color w:val="FF0000"/>
      <w:lang w:val="en-US" w:eastAsia="zh-CN"/>
    </w:rPr>
  </w:style>
  <w:style w:type="character" w:customStyle="1" w:styleId="204">
    <w:name w:val="Char Char10"/>
    <w:autoRedefine/>
    <w:semiHidden/>
    <w:qFormat/>
    <w:uiPriority w:val="99"/>
    <w:rPr>
      <w:rFonts w:ascii="宋体" w:eastAsia="宋体"/>
      <w:kern w:val="2"/>
      <w:sz w:val="24"/>
      <w:lang w:val="en-US" w:eastAsia="zh-CN"/>
    </w:rPr>
  </w:style>
  <w:style w:type="character" w:customStyle="1" w:styleId="205">
    <w:name w:val="shadow11"/>
    <w:autoRedefine/>
    <w:qFormat/>
    <w:uiPriority w:val="99"/>
    <w:rPr>
      <w:color w:val="000000"/>
      <w:sz w:val="21"/>
    </w:rPr>
  </w:style>
  <w:style w:type="character" w:customStyle="1" w:styleId="206">
    <w:name w:val="正文非缩进 Char3"/>
    <w:autoRedefine/>
    <w:qFormat/>
    <w:uiPriority w:val="99"/>
    <w:rPr>
      <w:rFonts w:ascii="宋体" w:eastAsia="宋体"/>
      <w:snapToGrid w:val="0"/>
      <w:color w:val="000000"/>
      <w:kern w:val="28"/>
      <w:sz w:val="28"/>
      <w:lang w:val="en-US" w:eastAsia="zh-CN"/>
    </w:rPr>
  </w:style>
  <w:style w:type="character" w:customStyle="1" w:styleId="207">
    <w:name w:val="Char Char"/>
    <w:autoRedefine/>
    <w:qFormat/>
    <w:uiPriority w:val="99"/>
    <w:rPr>
      <w:rFonts w:ascii="宋体" w:hAnsi="Courier New" w:eastAsia="宋体"/>
      <w:kern w:val="2"/>
      <w:sz w:val="21"/>
      <w:lang w:val="en-US" w:eastAsia="zh-CN"/>
    </w:rPr>
  </w:style>
  <w:style w:type="character" w:customStyle="1" w:styleId="208">
    <w:name w:val="签名 Char1"/>
    <w:autoRedefine/>
    <w:qFormat/>
    <w:uiPriority w:val="99"/>
    <w:rPr>
      <w:rFonts w:ascii="Times New Roman" w:hAnsi="Times New Roman" w:eastAsia="宋体"/>
      <w:sz w:val="24"/>
    </w:rPr>
  </w:style>
  <w:style w:type="character" w:customStyle="1" w:styleId="209">
    <w:name w:val="Char Char18"/>
    <w:autoRedefine/>
    <w:qFormat/>
    <w:uiPriority w:val="99"/>
    <w:rPr>
      <w:rFonts w:ascii="宋体" w:eastAsia="宋体"/>
      <w:sz w:val="28"/>
    </w:rPr>
  </w:style>
  <w:style w:type="character" w:customStyle="1" w:styleId="210">
    <w:name w:val="批注文字 Char"/>
    <w:autoRedefine/>
    <w:qFormat/>
    <w:uiPriority w:val="99"/>
    <w:rPr>
      <w:kern w:val="2"/>
      <w:sz w:val="24"/>
    </w:rPr>
  </w:style>
  <w:style w:type="character" w:customStyle="1" w:styleId="211">
    <w:name w:val="Char Char22"/>
    <w:autoRedefine/>
    <w:qFormat/>
    <w:uiPriority w:val="99"/>
    <w:rPr>
      <w:rFonts w:ascii="宋体" w:eastAsia="宋体"/>
      <w:kern w:val="1"/>
      <w:sz w:val="24"/>
    </w:rPr>
  </w:style>
  <w:style w:type="character" w:customStyle="1" w:styleId="212">
    <w:name w:val="pt141"/>
    <w:autoRedefine/>
    <w:qFormat/>
    <w:uiPriority w:val="99"/>
    <w:rPr>
      <w:color w:val="330066"/>
      <w:sz w:val="22"/>
    </w:rPr>
  </w:style>
  <w:style w:type="character" w:customStyle="1" w:styleId="213">
    <w:name w:val="正文文本缩进 2 Char1"/>
    <w:autoRedefine/>
    <w:semiHidden/>
    <w:qFormat/>
    <w:uiPriority w:val="99"/>
    <w:rPr>
      <w:rFonts w:ascii="Times New Roman" w:hAnsi="Times New Roman" w:eastAsia="宋体"/>
      <w:sz w:val="24"/>
    </w:rPr>
  </w:style>
  <w:style w:type="character" w:customStyle="1" w:styleId="214">
    <w:name w:val="Balloon Text Char1"/>
    <w:link w:val="38"/>
    <w:autoRedefine/>
    <w:qFormat/>
    <w:locked/>
    <w:uiPriority w:val="99"/>
    <w:rPr>
      <w:kern w:val="2"/>
      <w:sz w:val="18"/>
    </w:rPr>
  </w:style>
  <w:style w:type="character" w:customStyle="1" w:styleId="215">
    <w:name w:val="Char Char611"/>
    <w:autoRedefine/>
    <w:qFormat/>
    <w:uiPriority w:val="99"/>
    <w:rPr>
      <w:rFonts w:eastAsia="宋体"/>
      <w:kern w:val="2"/>
      <w:sz w:val="24"/>
      <w:lang w:val="en-US" w:eastAsia="zh-CN"/>
    </w:rPr>
  </w:style>
  <w:style w:type="character" w:customStyle="1" w:styleId="216">
    <w:name w:val="highlight1"/>
    <w:autoRedefine/>
    <w:qFormat/>
    <w:uiPriority w:val="99"/>
    <w:rPr>
      <w:rFonts w:ascii="仿宋_GB2312" w:eastAsia="微软雅黑"/>
      <w:b/>
      <w:kern w:val="2"/>
      <w:sz w:val="23"/>
      <w:lang w:val="en-US" w:eastAsia="zh-CN"/>
    </w:rPr>
  </w:style>
  <w:style w:type="character" w:customStyle="1" w:styleId="217">
    <w:name w:val="my正文 Char"/>
    <w:link w:val="218"/>
    <w:autoRedefine/>
    <w:qFormat/>
    <w:locked/>
    <w:uiPriority w:val="99"/>
    <w:rPr>
      <w:rFonts w:ascii="Tahoma" w:hAnsi="Tahoma"/>
      <w:sz w:val="24"/>
    </w:rPr>
  </w:style>
  <w:style w:type="paragraph" w:customStyle="1" w:styleId="218">
    <w:name w:val="my正文"/>
    <w:basedOn w:val="1"/>
    <w:link w:val="217"/>
    <w:autoRedefine/>
    <w:qFormat/>
    <w:uiPriority w:val="99"/>
    <w:pPr>
      <w:adjustRightInd/>
      <w:spacing w:line="360" w:lineRule="auto"/>
      <w:ind w:firstLine="480" w:firstLineChars="200"/>
    </w:pPr>
    <w:rPr>
      <w:rFonts w:ascii="Tahoma" w:hAnsi="Tahoma"/>
      <w:kern w:val="0"/>
      <w:sz w:val="24"/>
      <w:szCs w:val="20"/>
    </w:rPr>
  </w:style>
  <w:style w:type="character" w:customStyle="1" w:styleId="219">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autoRedefine/>
    <w:qFormat/>
    <w:uiPriority w:val="99"/>
    <w:rPr>
      <w:color w:val="0000FF"/>
      <w:sz w:val="21"/>
    </w:rPr>
  </w:style>
  <w:style w:type="character" w:customStyle="1" w:styleId="221">
    <w:name w:val="页眉 Char"/>
    <w:autoRedefine/>
    <w:qFormat/>
    <w:uiPriority w:val="99"/>
    <w:rPr>
      <w:rFonts w:eastAsia="仿宋_GB2312"/>
      <w:kern w:val="2"/>
      <w:sz w:val="18"/>
      <w:lang w:val="en-US" w:eastAsia="zh-CN"/>
    </w:rPr>
  </w:style>
  <w:style w:type="character" w:customStyle="1" w:styleId="222">
    <w:name w:val="FA正文 Char Char"/>
    <w:autoRedefine/>
    <w:qFormat/>
    <w:uiPriority w:val="99"/>
    <w:rPr>
      <w:rFonts w:hAnsi="宋体"/>
      <w:kern w:val="2"/>
      <w:sz w:val="24"/>
    </w:rPr>
  </w:style>
  <w:style w:type="character" w:customStyle="1" w:styleId="223">
    <w:name w:val="纯文本 字符"/>
    <w:autoRedefine/>
    <w:qFormat/>
    <w:uiPriority w:val="99"/>
    <w:rPr>
      <w:rFonts w:ascii="宋体" w:hAnsi="Courier New" w:eastAsia="宋体"/>
      <w:snapToGrid w:val="0"/>
      <w:kern w:val="2"/>
      <w:sz w:val="21"/>
      <w:lang w:val="en-US" w:eastAsia="zh-CN"/>
    </w:rPr>
  </w:style>
  <w:style w:type="character" w:customStyle="1" w:styleId="224">
    <w:name w:val="3级 Char"/>
    <w:link w:val="225"/>
    <w:autoRedefine/>
    <w:qFormat/>
    <w:locked/>
    <w:uiPriority w:val="99"/>
    <w:rPr>
      <w:rFonts w:ascii="宋体" w:eastAsia="宋体"/>
      <w:b/>
      <w:sz w:val="28"/>
    </w:rPr>
  </w:style>
  <w:style w:type="paragraph" w:customStyle="1" w:styleId="225">
    <w:name w:val="3级"/>
    <w:basedOn w:val="226"/>
    <w:link w:val="224"/>
    <w:autoRedefine/>
    <w:qFormat/>
    <w:uiPriority w:val="99"/>
    <w:pPr>
      <w:ind w:left="0" w:right="466" w:firstLine="288"/>
    </w:pPr>
    <w:rPr>
      <w:rFonts w:hAnsi="Times New Roman"/>
      <w:bCs w:val="0"/>
    </w:rPr>
  </w:style>
  <w:style w:type="paragraph" w:customStyle="1" w:styleId="22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autoRedefine/>
    <w:qFormat/>
    <w:uiPriority w:val="99"/>
    <w:rPr>
      <w:rFonts w:ascii="仿宋_GB2312" w:eastAsia="微软雅黑"/>
      <w:b/>
      <w:kern w:val="2"/>
      <w:sz w:val="32"/>
      <w:lang w:val="en-US" w:eastAsia="zh-CN"/>
    </w:rPr>
  </w:style>
  <w:style w:type="character" w:customStyle="1" w:styleId="228">
    <w:name w:val="Document Map Char1"/>
    <w:link w:val="18"/>
    <w:autoRedefine/>
    <w:qFormat/>
    <w:locked/>
    <w:uiPriority w:val="99"/>
    <w:rPr>
      <w:kern w:val="2"/>
      <w:sz w:val="24"/>
      <w:shd w:val="clear" w:color="auto" w:fill="000080"/>
    </w:rPr>
  </w:style>
  <w:style w:type="character" w:customStyle="1" w:styleId="229">
    <w:name w:val="H6 Char"/>
    <w:autoRedefine/>
    <w:qFormat/>
    <w:uiPriority w:val="99"/>
    <w:rPr>
      <w:rFonts w:ascii="Arial" w:hAnsi="Arial" w:eastAsia="黑体"/>
      <w:b/>
      <w:kern w:val="2"/>
      <w:sz w:val="24"/>
    </w:rPr>
  </w:style>
  <w:style w:type="character" w:customStyle="1" w:styleId="230">
    <w:name w:val="Char Char91"/>
    <w:autoRedefine/>
    <w:qFormat/>
    <w:uiPriority w:val="99"/>
    <w:rPr>
      <w:rFonts w:eastAsia="宋体"/>
      <w:kern w:val="2"/>
      <w:sz w:val="18"/>
      <w:lang w:val="en-US" w:eastAsia="zh-CN"/>
    </w:rPr>
  </w:style>
  <w:style w:type="character" w:customStyle="1" w:styleId="231">
    <w:name w:val="副标题 Char1"/>
    <w:autoRedefine/>
    <w:qFormat/>
    <w:uiPriority w:val="99"/>
    <w:rPr>
      <w:rFonts w:ascii="Cambria" w:hAnsi="Cambria" w:eastAsia="宋体"/>
      <w:b/>
      <w:snapToGrid w:val="0"/>
      <w:kern w:val="28"/>
      <w:sz w:val="32"/>
    </w:rPr>
  </w:style>
  <w:style w:type="character" w:customStyle="1" w:styleId="232">
    <w:name w:val="font61"/>
    <w:autoRedefine/>
    <w:qFormat/>
    <w:uiPriority w:val="99"/>
    <w:rPr>
      <w:rFonts w:ascii="仿宋" w:hAnsi="仿宋" w:eastAsia="仿宋"/>
      <w:color w:val="000000"/>
      <w:sz w:val="20"/>
      <w:u w:val="none"/>
    </w:rPr>
  </w:style>
  <w:style w:type="character" w:customStyle="1" w:styleId="233">
    <w:name w:val="bod1"/>
    <w:autoRedefine/>
    <w:qFormat/>
    <w:uiPriority w:val="99"/>
    <w:rPr>
      <w:rFonts w:ascii="MS Sans Serif" w:hAnsi="MS Sans Serif" w:eastAsia="微软雅黑"/>
      <w:b/>
      <w:color w:val="000000"/>
      <w:kern w:val="2"/>
      <w:sz w:val="20"/>
      <w:lang w:val="en-US" w:eastAsia="zh-CN"/>
    </w:rPr>
  </w:style>
  <w:style w:type="character" w:customStyle="1" w:styleId="234">
    <w:name w:val="Char Char211"/>
    <w:autoRedefine/>
    <w:qFormat/>
    <w:uiPriority w:val="99"/>
    <w:rPr>
      <w:rFonts w:eastAsia="宋体"/>
      <w:b/>
      <w:kern w:val="2"/>
      <w:sz w:val="24"/>
      <w:lang w:val="en-US" w:eastAsia="zh-CN"/>
    </w:rPr>
  </w:style>
  <w:style w:type="character" w:customStyle="1" w:styleId="235">
    <w:name w:val="标题 2 Char"/>
    <w:autoRedefine/>
    <w:qFormat/>
    <w:uiPriority w:val="99"/>
    <w:rPr>
      <w:rFonts w:ascii="Arial" w:hAnsi="Arial" w:eastAsia="黑体"/>
      <w:b/>
      <w:kern w:val="2"/>
      <w:sz w:val="32"/>
      <w:lang w:val="en-US" w:eastAsia="zh-CN"/>
    </w:rPr>
  </w:style>
  <w:style w:type="character" w:customStyle="1" w:styleId="236">
    <w:name w:val="maywed421"/>
    <w:autoRedefine/>
    <w:qFormat/>
    <w:uiPriority w:val="99"/>
    <w:rPr>
      <w:color w:val="366FB6"/>
      <w:u w:val="none"/>
    </w:rPr>
  </w:style>
  <w:style w:type="character" w:customStyle="1" w:styleId="237">
    <w:name w:val="正文文本缩进 Char"/>
    <w:autoRedefine/>
    <w:qFormat/>
    <w:uiPriority w:val="99"/>
    <w:rPr>
      <w:rFonts w:ascii="宋体" w:eastAsia="宋体"/>
      <w:kern w:val="2"/>
      <w:sz w:val="24"/>
    </w:rPr>
  </w:style>
  <w:style w:type="character" w:customStyle="1" w:styleId="238">
    <w:name w:val="Char Char102"/>
    <w:autoRedefine/>
    <w:semiHidden/>
    <w:qFormat/>
    <w:uiPriority w:val="99"/>
    <w:rPr>
      <w:rFonts w:ascii="宋体" w:eastAsia="宋体"/>
      <w:kern w:val="2"/>
      <w:sz w:val="24"/>
      <w:lang w:val="en-US" w:eastAsia="zh-CN"/>
    </w:rPr>
  </w:style>
  <w:style w:type="character" w:customStyle="1" w:styleId="239">
    <w:name w:val="页眉 Char1"/>
    <w:autoRedefine/>
    <w:qFormat/>
    <w:uiPriority w:val="99"/>
    <w:rPr>
      <w:rFonts w:eastAsia="宋体"/>
      <w:kern w:val="2"/>
      <w:sz w:val="18"/>
      <w:lang w:val="en-US" w:eastAsia="zh-CN"/>
    </w:rPr>
  </w:style>
  <w:style w:type="character" w:customStyle="1" w:styleId="240">
    <w:name w:val="md"/>
    <w:basedOn w:val="72"/>
    <w:autoRedefine/>
    <w:qFormat/>
    <w:uiPriority w:val="99"/>
    <w:rPr>
      <w:rFonts w:ascii="Arial" w:hAnsi="Arial" w:eastAsia="黑体" w:cs="Arial"/>
      <w:snapToGrid w:val="0"/>
      <w:kern w:val="0"/>
      <w:sz w:val="21"/>
      <w:szCs w:val="21"/>
    </w:rPr>
  </w:style>
  <w:style w:type="character" w:customStyle="1" w:styleId="241">
    <w:name w:val="big1"/>
    <w:autoRedefine/>
    <w:qFormat/>
    <w:uiPriority w:val="99"/>
    <w:rPr>
      <w:rFonts w:ascii="宋体" w:hAnsi="宋体" w:eastAsia="宋体"/>
      <w:color w:val="333333"/>
      <w:sz w:val="22"/>
    </w:rPr>
  </w:style>
  <w:style w:type="character" w:customStyle="1" w:styleId="242">
    <w:name w:val="Char Char311"/>
    <w:autoRedefine/>
    <w:qFormat/>
    <w:uiPriority w:val="99"/>
    <w:rPr>
      <w:rFonts w:eastAsia="宋体"/>
      <w:kern w:val="2"/>
      <w:sz w:val="24"/>
      <w:lang w:val="en-US" w:eastAsia="zh-CN"/>
    </w:rPr>
  </w:style>
  <w:style w:type="character" w:customStyle="1" w:styleId="243">
    <w:name w:val="Char Char81"/>
    <w:autoRedefine/>
    <w:qFormat/>
    <w:uiPriority w:val="99"/>
    <w:rPr>
      <w:rFonts w:eastAsia="宋体"/>
      <w:b/>
      <w:sz w:val="24"/>
      <w:lang w:val="en-GB" w:eastAsia="zh-CN"/>
    </w:rPr>
  </w:style>
  <w:style w:type="character" w:customStyle="1" w:styleId="244">
    <w:name w:val="样式3 Char"/>
    <w:basedOn w:val="197"/>
    <w:autoRedefine/>
    <w:qFormat/>
    <w:uiPriority w:val="99"/>
    <w:rPr>
      <w:rFonts w:cs="仿宋_GB2312"/>
      <w:bCs/>
      <w:szCs w:val="30"/>
    </w:rPr>
  </w:style>
  <w:style w:type="character" w:customStyle="1" w:styleId="245">
    <w:name w:val="正文首行缩进 2 Char1"/>
    <w:autoRedefine/>
    <w:qFormat/>
    <w:uiPriority w:val="99"/>
    <w:rPr>
      <w:rFonts w:ascii="Times New Roman" w:hAnsi="Times New Roman" w:eastAsia="宋体"/>
      <w:kern w:val="2"/>
      <w:sz w:val="24"/>
    </w:rPr>
  </w:style>
  <w:style w:type="character" w:customStyle="1" w:styleId="246">
    <w:name w:val="副标题 Char2"/>
    <w:autoRedefine/>
    <w:qFormat/>
    <w:uiPriority w:val="99"/>
    <w:rPr>
      <w:rFonts w:ascii="Cambria" w:hAnsi="Cambria" w:eastAsia="宋体"/>
      <w:b/>
      <w:snapToGrid w:val="0"/>
      <w:kern w:val="28"/>
      <w:sz w:val="32"/>
    </w:rPr>
  </w:style>
  <w:style w:type="character" w:customStyle="1" w:styleId="247">
    <w:name w:val="标题4-dyf Char"/>
    <w:link w:val="248"/>
    <w:autoRedefine/>
    <w:qFormat/>
    <w:locked/>
    <w:uiPriority w:val="99"/>
    <w:rPr>
      <w:rFonts w:ascii="Cambria" w:hAnsi="Cambria"/>
      <w:b/>
      <w:color w:val="000000"/>
      <w:kern w:val="2"/>
      <w:sz w:val="21"/>
    </w:rPr>
  </w:style>
  <w:style w:type="paragraph" w:customStyle="1" w:styleId="248">
    <w:name w:val="标题4-dyf"/>
    <w:basedOn w:val="5"/>
    <w:link w:val="247"/>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autoRedefine/>
    <w:qFormat/>
    <w:uiPriority w:val="99"/>
    <w:rPr>
      <w:rFonts w:ascii="宋体" w:hAnsi="宋体" w:eastAsia="宋体"/>
      <w:color w:val="333333"/>
      <w:sz w:val="21"/>
      <w:u w:val="none"/>
    </w:rPr>
  </w:style>
  <w:style w:type="character" w:customStyle="1" w:styleId="250">
    <w:name w:val="冯 Char"/>
    <w:link w:val="251"/>
    <w:autoRedefine/>
    <w:qFormat/>
    <w:locked/>
    <w:uiPriority w:val="99"/>
    <w:rPr>
      <w:rFonts w:ascii="宋体" w:eastAsia="宋体"/>
      <w:color w:val="000000"/>
      <w:sz w:val="24"/>
    </w:rPr>
  </w:style>
  <w:style w:type="paragraph" w:customStyle="1" w:styleId="251">
    <w:name w:val="冯"/>
    <w:basedOn w:val="1"/>
    <w:link w:val="250"/>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autoRedefine/>
    <w:qFormat/>
    <w:uiPriority w:val="99"/>
    <w:rPr>
      <w:rFonts w:ascii="仿宋_GB2312" w:eastAsia="仿宋_GB2312"/>
      <w:b/>
      <w:kern w:val="2"/>
      <w:sz w:val="24"/>
      <w:lang w:val="zh-CN" w:eastAsia="zh-CN"/>
    </w:rPr>
  </w:style>
  <w:style w:type="character" w:customStyle="1" w:styleId="253">
    <w:name w:val="Caption Char"/>
    <w:link w:val="16"/>
    <w:autoRedefine/>
    <w:qFormat/>
    <w:locked/>
    <w:uiPriority w:val="99"/>
    <w:rPr>
      <w:b/>
      <w:kern w:val="2"/>
      <w:sz w:val="28"/>
    </w:rPr>
  </w:style>
  <w:style w:type="character" w:customStyle="1" w:styleId="254">
    <w:name w:val="普通文字 Char3"/>
    <w:autoRedefine/>
    <w:qFormat/>
    <w:uiPriority w:val="99"/>
    <w:rPr>
      <w:rFonts w:ascii="宋体" w:hAnsi="Courier New" w:eastAsia="宋体"/>
      <w:kern w:val="2"/>
      <w:sz w:val="21"/>
      <w:lang w:val="en-US" w:eastAsia="zh-CN"/>
    </w:rPr>
  </w:style>
  <w:style w:type="character" w:customStyle="1" w:styleId="255">
    <w:name w:val="公文正文 Char"/>
    <w:autoRedefine/>
    <w:qFormat/>
    <w:uiPriority w:val="99"/>
    <w:rPr>
      <w:rFonts w:ascii="仿宋_GB2312" w:eastAsia="仿宋_GB2312"/>
      <w:kern w:val="2"/>
      <w:sz w:val="24"/>
      <w:lang w:val="en-US" w:eastAsia="zh-CN"/>
    </w:rPr>
  </w:style>
  <w:style w:type="character" w:customStyle="1" w:styleId="256">
    <w:name w:val="正文首行缩进 Char Char Char Char Char"/>
    <w:autoRedefine/>
    <w:qFormat/>
    <w:uiPriority w:val="99"/>
    <w:rPr>
      <w:rFonts w:ascii="宋体"/>
      <w:kern w:val="2"/>
      <w:sz w:val="24"/>
      <w:lang w:val="zh-CN"/>
    </w:rPr>
  </w:style>
  <w:style w:type="character" w:customStyle="1" w:styleId="257">
    <w:name w:val="PI Char"/>
    <w:autoRedefine/>
    <w:qFormat/>
    <w:uiPriority w:val="99"/>
    <w:rPr>
      <w:rFonts w:ascii="宋体" w:hAnsi="宋体" w:eastAsia="宋体"/>
      <w:kern w:val="2"/>
      <w:sz w:val="24"/>
      <w:lang w:val="en-US" w:eastAsia="zh-CN"/>
    </w:rPr>
  </w:style>
  <w:style w:type="character" w:customStyle="1" w:styleId="258">
    <w:name w:val="Default Char"/>
    <w:link w:val="259"/>
    <w:autoRedefine/>
    <w:qFormat/>
    <w:locked/>
    <w:uiPriority w:val="99"/>
    <w:rPr>
      <w:rFonts w:ascii="仿宋_GB2312" w:eastAsia="仿宋_GB2312"/>
      <w:color w:val="000000"/>
      <w:sz w:val="24"/>
      <w:lang w:val="en-US" w:eastAsia="zh-CN"/>
    </w:rPr>
  </w:style>
  <w:style w:type="paragraph" w:customStyle="1" w:styleId="259">
    <w:name w:val="Default"/>
    <w:next w:val="260"/>
    <w:link w:val="258"/>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0">
    <w:name w:val="Intense Quote"/>
    <w:basedOn w:val="1"/>
    <w:next w:val="1"/>
    <w:autoRedefine/>
    <w:qFormat/>
    <w:uiPriority w:val="0"/>
    <w:pPr>
      <w:wordWrap w:val="0"/>
      <w:spacing w:before="360" w:after="360"/>
      <w:ind w:left="950" w:right="950"/>
      <w:jc w:val="center"/>
    </w:pPr>
    <w:rPr>
      <w:i/>
    </w:rPr>
  </w:style>
  <w:style w:type="paragraph" w:customStyle="1" w:styleId="26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2"/>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3"/>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5"/>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8"/>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2"/>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19"/>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39"/>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1"/>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7"/>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2"/>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5"/>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autoRedefine/>
    <w:qFormat/>
    <w:uiPriority w:val="99"/>
    <w:rPr>
      <w:rFonts w:ascii="Arial" w:hAnsi="Arial" w:eastAsia="黑体" w:cs="Arial"/>
      <w:snapToGrid w:val="0"/>
      <w:kern w:val="0"/>
      <w:sz w:val="21"/>
      <w:szCs w:val="21"/>
    </w:rPr>
  </w:style>
  <w:style w:type="character" w:customStyle="1" w:styleId="442">
    <w:name w:val="hui"/>
    <w:basedOn w:val="72"/>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2"/>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2"/>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2"/>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4"/>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6"/>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4"/>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2"/>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autoRedefine/>
    <w:qFormat/>
    <w:uiPriority w:val="99"/>
    <w:pPr>
      <w:adjustRightInd/>
      <w:ind w:firstLine="420" w:firstLineChars="200"/>
    </w:pPr>
    <w:rPr>
      <w:rFonts w:eastAsia="仿宋_GB2312"/>
      <w:sz w:val="28"/>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2"/>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59"/>
    <w:next w:val="259"/>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59"/>
    <w:next w:val="259"/>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2"/>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7"/>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2"/>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3"/>
    <w:autoRedefine/>
    <w:qFormat/>
    <w:uiPriority w:val="99"/>
    <w:pPr>
      <w:tabs>
        <w:tab w:val="left" w:pos="840"/>
      </w:tabs>
      <w:adjustRightInd/>
      <w:ind w:left="840" w:hanging="420"/>
    </w:pPr>
  </w:style>
  <w:style w:type="paragraph" w:customStyle="1" w:styleId="635">
    <w:name w:val="样式 标题 2标题2H2Heading 2 HiddenHeading 2 CCBSheading 22nd lev..."/>
    <w:basedOn w:val="2"/>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2"/>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2"/>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2"/>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6"/>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18"/>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autoRedefine/>
    <w:qFormat/>
    <w:uiPriority w:val="99"/>
    <w:pPr>
      <w:tabs>
        <w:tab w:val="left" w:pos="1080"/>
      </w:tabs>
      <w:ind w:left="1080" w:hanging="1080"/>
    </w:pPr>
  </w:style>
  <w:style w:type="paragraph" w:customStyle="1" w:styleId="905">
    <w:name w:val="数字标题1"/>
    <w:basedOn w:val="3"/>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3"/>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3"/>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4"/>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2"/>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2"/>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57</Pages>
  <Words>26662</Words>
  <Characters>28286</Characters>
  <Lines>0</Lines>
  <Paragraphs>0</Paragraphs>
  <TotalTime>6</TotalTime>
  <ScaleCrop>false</ScaleCrop>
  <LinksUpToDate>false</LinksUpToDate>
  <CharactersWithSpaces>30602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2024-12-10T05:24:11Z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B58475BFA3DF4B39B8AC3156C5DE31F6_13</vt:lpwstr>
  </property>
</Properties>
</file>