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D4167">
      <w:pPr>
        <w:autoSpaceDE/>
        <w:autoSpaceDN/>
        <w:adjustRightInd/>
        <w:spacing w:line="360" w:lineRule="auto"/>
        <w:jc w:val="center"/>
        <w:rPr>
          <w:rFonts w:hint="eastAsia" w:ascii="宋体" w:hAnsi="宋体" w:eastAsia="宋体" w:cs="宋体"/>
          <w:b/>
          <w:bCs/>
          <w:color w:val="auto"/>
          <w:sz w:val="56"/>
          <w:szCs w:val="56"/>
          <w:highlight w:val="none"/>
          <w:lang w:eastAsia="zh-CN"/>
        </w:rPr>
      </w:pPr>
      <w:r>
        <w:rPr>
          <w:rFonts w:hint="eastAsia" w:ascii="宋体" w:hAnsi="宋体" w:cs="宋体"/>
          <w:b/>
          <w:bCs/>
          <w:color w:val="auto"/>
          <w:sz w:val="56"/>
          <w:szCs w:val="56"/>
          <w:highlight w:val="none"/>
          <w:lang w:eastAsia="zh-CN"/>
        </w:rPr>
        <w:t>诸暨市“五好两宜”和美乡村试点项目一状元村柿子深加工周边环境氛围提升及主题文化布置布展采购项目</w:t>
      </w:r>
    </w:p>
    <w:p w14:paraId="2492EABF">
      <w:pPr>
        <w:autoSpaceDE/>
        <w:autoSpaceDN/>
        <w:spacing w:line="360" w:lineRule="auto"/>
        <w:ind w:left="420" w:hanging="420"/>
        <w:jc w:val="center"/>
        <w:rPr>
          <w:rFonts w:ascii="宋体" w:hAnsi="宋体" w:cs="宋体"/>
          <w:b/>
          <w:bCs/>
          <w:color w:val="auto"/>
          <w:sz w:val="32"/>
          <w:szCs w:val="32"/>
          <w:highlight w:val="none"/>
        </w:rPr>
      </w:pPr>
    </w:p>
    <w:p w14:paraId="338BFF25">
      <w:pPr>
        <w:autoSpaceDE/>
        <w:autoSpaceDN/>
        <w:spacing w:line="360" w:lineRule="auto"/>
        <w:jc w:val="center"/>
        <w:rPr>
          <w:rFonts w:ascii="仿宋" w:hAnsi="仿宋" w:eastAsia="仿宋" w:cs="黑体"/>
          <w:b/>
          <w:bCs/>
          <w:color w:val="auto"/>
          <w:sz w:val="30"/>
          <w:szCs w:val="30"/>
          <w:highlight w:val="none"/>
        </w:rPr>
      </w:pPr>
      <w:r>
        <w:rPr>
          <w:rFonts w:hint="eastAsia" w:ascii="仿宋" w:hAnsi="仿宋" w:eastAsia="仿宋" w:cs="黑体"/>
          <w:b/>
          <w:bCs/>
          <w:color w:val="auto"/>
          <w:sz w:val="30"/>
          <w:szCs w:val="30"/>
          <w:highlight w:val="none"/>
        </w:rPr>
        <w:t>（项目编号：</w:t>
      </w:r>
      <w:r>
        <w:rPr>
          <w:rFonts w:hint="eastAsia" w:ascii="仿宋" w:hAnsi="仿宋" w:eastAsia="仿宋" w:cs="黑体"/>
          <w:b/>
          <w:bCs/>
          <w:color w:val="auto"/>
          <w:sz w:val="30"/>
          <w:szCs w:val="30"/>
          <w:highlight w:val="none"/>
          <w:lang w:eastAsia="zh-CN"/>
        </w:rPr>
        <w:t xml:space="preserve">诸浣江2025-01-23 </w:t>
      </w:r>
      <w:r>
        <w:rPr>
          <w:rFonts w:hint="eastAsia" w:ascii="仿宋" w:hAnsi="仿宋" w:eastAsia="仿宋" w:cs="黑体"/>
          <w:b/>
          <w:bCs/>
          <w:color w:val="auto"/>
          <w:sz w:val="30"/>
          <w:szCs w:val="30"/>
          <w:highlight w:val="none"/>
        </w:rPr>
        <w:t>）</w:t>
      </w:r>
    </w:p>
    <w:p w14:paraId="518BABA2">
      <w:pPr>
        <w:spacing w:before="1800" w:beforeLines="750" w:line="360" w:lineRule="auto"/>
        <w:jc w:val="center"/>
        <w:rPr>
          <w:rFonts w:ascii="宋体" w:hAnsi="宋体"/>
          <w:b/>
          <w:color w:val="auto"/>
          <w:spacing w:val="283"/>
          <w:sz w:val="84"/>
          <w:szCs w:val="84"/>
          <w:highlight w:val="none"/>
        </w:rPr>
      </w:pPr>
      <w:r>
        <w:rPr>
          <w:rFonts w:hint="eastAsia" w:ascii="宋体" w:hAnsi="宋体"/>
          <w:b/>
          <w:color w:val="auto"/>
          <w:spacing w:val="283"/>
          <w:sz w:val="84"/>
          <w:szCs w:val="84"/>
          <w:highlight w:val="none"/>
        </w:rPr>
        <w:t>招标文件</w:t>
      </w:r>
    </w:p>
    <w:p w14:paraId="1A83BF89">
      <w:pPr>
        <w:autoSpaceDE/>
        <w:autoSpaceDN/>
        <w:spacing w:after="1440" w:afterLines="600" w:line="360" w:lineRule="auto"/>
        <w:jc w:val="center"/>
        <w:rPr>
          <w:rFonts w:hint="eastAsia" w:ascii="宋体" w:hAnsi="宋体"/>
          <w:b/>
          <w:color w:val="auto"/>
          <w:spacing w:val="36"/>
          <w:sz w:val="36"/>
          <w:highlight w:val="none"/>
        </w:rPr>
      </w:pPr>
      <w:bookmarkStart w:id="0" w:name="_Toc5595"/>
      <w:r>
        <w:rPr>
          <w:rFonts w:hint="eastAsia" w:ascii="宋体" w:hAnsi="宋体"/>
          <w:b/>
          <w:color w:val="auto"/>
          <w:spacing w:val="36"/>
          <w:sz w:val="36"/>
          <w:highlight w:val="none"/>
        </w:rPr>
        <w:t>（电子招投标）</w:t>
      </w:r>
      <w:bookmarkEnd w:id="0"/>
    </w:p>
    <w:p w14:paraId="154A6AEB">
      <w:pPr>
        <w:pStyle w:val="4"/>
      </w:pPr>
    </w:p>
    <w:p w14:paraId="0F7D28E4">
      <w:pPr>
        <w:autoSpaceDE/>
        <w:autoSpaceDN/>
        <w:spacing w:line="360" w:lineRule="auto"/>
        <w:ind w:firstLine="1134"/>
        <w:jc w:val="left"/>
        <w:rPr>
          <w:rFonts w:hint="eastAsia" w:ascii="宋体" w:hAnsi="宋体" w:eastAsia="宋体"/>
          <w:b/>
          <w:color w:val="auto"/>
          <w:spacing w:val="36"/>
          <w:sz w:val="30"/>
          <w:szCs w:val="30"/>
          <w:highlight w:val="none"/>
          <w:lang w:eastAsia="zh-CN"/>
        </w:rPr>
      </w:pPr>
      <w:r>
        <w:rPr>
          <w:rFonts w:hint="eastAsia" w:ascii="宋体" w:hAnsi="宋体"/>
          <w:b/>
          <w:color w:val="auto"/>
          <w:spacing w:val="210"/>
          <w:sz w:val="30"/>
          <w:szCs w:val="30"/>
          <w:highlight w:val="none"/>
        </w:rPr>
        <w:t>采购</w:t>
      </w:r>
      <w:r>
        <w:rPr>
          <w:rFonts w:hint="eastAsia" w:ascii="宋体" w:hAnsi="宋体"/>
          <w:b/>
          <w:color w:val="auto"/>
          <w:spacing w:val="36"/>
          <w:sz w:val="30"/>
          <w:szCs w:val="30"/>
          <w:highlight w:val="none"/>
        </w:rPr>
        <w:t>人：</w:t>
      </w:r>
      <w:r>
        <w:rPr>
          <w:rFonts w:hint="eastAsia" w:ascii="宋体" w:hAnsi="宋体"/>
          <w:b/>
          <w:color w:val="auto"/>
          <w:sz w:val="30"/>
          <w:szCs w:val="30"/>
          <w:highlight w:val="none"/>
          <w:lang w:eastAsia="zh-CN"/>
        </w:rPr>
        <w:t>诸暨市马剑镇人民政府</w:t>
      </w:r>
    </w:p>
    <w:p w14:paraId="741CA1A2">
      <w:pPr>
        <w:autoSpaceDE/>
        <w:autoSpaceDN/>
        <w:spacing w:line="360" w:lineRule="auto"/>
        <w:ind w:firstLine="1134"/>
        <w:jc w:val="left"/>
        <w:rPr>
          <w:rFonts w:ascii="宋体" w:hAnsi="宋体"/>
          <w:b/>
          <w:color w:val="auto"/>
          <w:sz w:val="30"/>
          <w:szCs w:val="30"/>
          <w:highlight w:val="none"/>
        </w:rPr>
      </w:pPr>
      <w:r>
        <w:rPr>
          <w:rFonts w:hint="eastAsia" w:ascii="宋体" w:hAnsi="宋体"/>
          <w:b/>
          <w:color w:val="auto"/>
          <w:sz w:val="30"/>
          <w:szCs w:val="30"/>
          <w:highlight w:val="none"/>
        </w:rPr>
        <w:t>采购代理机构：诸暨市浣江工程咨询有限公司</w:t>
      </w:r>
    </w:p>
    <w:p w14:paraId="6016304F">
      <w:pPr>
        <w:spacing w:line="360" w:lineRule="auto"/>
        <w:jc w:val="center"/>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二〇二</w:t>
      </w:r>
      <w:r>
        <w:rPr>
          <w:rFonts w:hint="eastAsia" w:ascii="宋体" w:hAnsi="宋体" w:cs="宋体"/>
          <w:b/>
          <w:bCs/>
          <w:color w:val="auto"/>
          <w:w w:val="95"/>
          <w:sz w:val="30"/>
          <w:szCs w:val="30"/>
          <w:highlight w:val="none"/>
          <w:lang w:val="en-US" w:eastAsia="zh-CN"/>
        </w:rPr>
        <w:t>五</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一</w:t>
      </w:r>
      <w:r>
        <w:rPr>
          <w:rFonts w:hint="eastAsia" w:ascii="宋体" w:hAnsi="宋体" w:cs="宋体"/>
          <w:b/>
          <w:bCs/>
          <w:color w:val="auto"/>
          <w:w w:val="95"/>
          <w:sz w:val="30"/>
          <w:szCs w:val="30"/>
          <w:highlight w:val="none"/>
        </w:rPr>
        <w:t>月</w:t>
      </w:r>
    </w:p>
    <w:p w14:paraId="57F18E34">
      <w:pPr>
        <w:spacing w:line="360" w:lineRule="auto"/>
        <w:rPr>
          <w:rFonts w:ascii="宋体" w:hAnsi="宋体" w:cs="楷体_GB2312"/>
          <w:b/>
          <w:bCs/>
          <w:color w:val="auto"/>
          <w:w w:val="95"/>
          <w:sz w:val="30"/>
          <w:szCs w:val="30"/>
          <w:highlight w:val="none"/>
        </w:rPr>
        <w:sectPr>
          <w:headerReference r:id="rId3" w:type="default"/>
          <w:footerReference r:id="rId4" w:type="default"/>
          <w:pgSz w:w="11910" w:h="16840"/>
          <w:pgMar w:top="1440" w:right="1260" w:bottom="1700" w:left="1420" w:header="850" w:footer="1508" w:gutter="0"/>
          <w:pgNumType w:fmt="numberInDash"/>
          <w:cols w:space="720" w:num="1"/>
          <w:docGrid w:linePitch="286" w:charSpace="0"/>
        </w:sectPr>
      </w:pPr>
    </w:p>
    <w:sdt>
      <w:sdtPr>
        <w:rPr>
          <w:rFonts w:hint="eastAsia" w:ascii="宋体" w:hAnsi="宋体" w:cs="宋体"/>
          <w:color w:val="auto"/>
          <w:sz w:val="32"/>
          <w:szCs w:val="32"/>
          <w:highlight w:val="none"/>
        </w:rPr>
        <w:id w:val="147480446"/>
        <w15:color w:val="DBDBDB"/>
        <w:docPartObj>
          <w:docPartGallery w:val="Table of Contents"/>
          <w:docPartUnique/>
        </w:docPartObj>
      </w:sdtPr>
      <w:sdtEndPr>
        <w:rPr>
          <w:rFonts w:hint="eastAsia" w:ascii="宋体" w:hAnsi="宋体" w:cs="宋体"/>
          <w:color w:val="auto"/>
          <w:sz w:val="32"/>
          <w:szCs w:val="32"/>
          <w:highlight w:val="none"/>
        </w:rPr>
      </w:sdtEndPr>
      <w:sdtContent>
        <w:p w14:paraId="60A2A2C0">
          <w:pPr>
            <w:spacing w:line="360" w:lineRule="auto"/>
            <w:jc w:val="center"/>
            <w:rPr>
              <w:rFonts w:ascii="宋体" w:hAnsi="宋体" w:cs="宋体"/>
              <w:color w:val="auto"/>
              <w:sz w:val="32"/>
              <w:szCs w:val="32"/>
              <w:highlight w:val="none"/>
            </w:rPr>
          </w:pPr>
          <w:bookmarkStart w:id="1" w:name="_Toc31837"/>
          <w:r>
            <w:rPr>
              <w:rFonts w:hint="eastAsia" w:ascii="宋体" w:hAnsi="宋体" w:cs="宋体"/>
              <w:color w:val="auto"/>
              <w:spacing w:val="57"/>
              <w:sz w:val="44"/>
              <w:szCs w:val="44"/>
              <w:highlight w:val="none"/>
            </w:rPr>
            <w:t>目录</w:t>
          </w:r>
        </w:p>
        <w:p w14:paraId="24180915">
          <w:pPr>
            <w:pStyle w:val="15"/>
            <w:tabs>
              <w:tab w:val="right" w:leader="dot" w:pos="9230"/>
            </w:tabs>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TOC \o "1-3" \h \u </w:instrText>
          </w:r>
          <w:r>
            <w:rPr>
              <w:rFonts w:hint="eastAsia" w:ascii="宋体" w:hAnsi="宋体"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"_Toc830" </w:instrText>
          </w:r>
          <w:r>
            <w:rPr>
              <w:color w:val="auto"/>
              <w:highlight w:val="none"/>
            </w:rPr>
            <w:fldChar w:fldCharType="separate"/>
          </w:r>
          <w:r>
            <w:rPr>
              <w:rFonts w:hint="eastAsia" w:ascii="宋体" w:hAnsi="宋体" w:cs="宋体"/>
              <w:color w:val="auto"/>
              <w:sz w:val="30"/>
              <w:szCs w:val="30"/>
              <w:highlight w:val="none"/>
            </w:rPr>
            <w:t>第一章 招标公告</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_Toc830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1</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76ACECF3">
          <w:pPr>
            <w:pStyle w:val="15"/>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"_Toc31020" </w:instrText>
          </w:r>
          <w:r>
            <w:rPr>
              <w:color w:val="auto"/>
              <w:highlight w:val="none"/>
            </w:rPr>
            <w:fldChar w:fldCharType="separate"/>
          </w:r>
          <w:r>
            <w:rPr>
              <w:rFonts w:hint="eastAsia" w:ascii="宋体" w:hAnsi="宋体" w:cs="宋体"/>
              <w:color w:val="auto"/>
              <w:sz w:val="30"/>
              <w:szCs w:val="30"/>
              <w:highlight w:val="none"/>
            </w:rPr>
            <w:t>第二章 投标人须知</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_Toc31020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5</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49D624F2">
          <w:pPr>
            <w:pStyle w:val="15"/>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"_Toc21669" </w:instrText>
          </w:r>
          <w:r>
            <w:rPr>
              <w:color w:val="auto"/>
              <w:highlight w:val="none"/>
            </w:rPr>
            <w:fldChar w:fldCharType="separate"/>
          </w:r>
          <w:r>
            <w:rPr>
              <w:rFonts w:hint="eastAsia" w:ascii="宋体" w:hAnsi="宋体" w:cs="宋体"/>
              <w:color w:val="auto"/>
              <w:sz w:val="30"/>
              <w:szCs w:val="30"/>
              <w:highlight w:val="none"/>
            </w:rPr>
            <w:t>第三章 采购需求</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_Toc21669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17</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62D56881">
          <w:pPr>
            <w:pStyle w:val="15"/>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"_Toc3421" </w:instrText>
          </w:r>
          <w:r>
            <w:rPr>
              <w:color w:val="auto"/>
              <w:highlight w:val="none"/>
            </w:rPr>
            <w:fldChar w:fldCharType="separate"/>
          </w:r>
          <w:r>
            <w:rPr>
              <w:rFonts w:hint="eastAsia" w:ascii="宋体" w:hAnsi="宋体" w:cs="宋体"/>
              <w:color w:val="auto"/>
              <w:sz w:val="30"/>
              <w:szCs w:val="30"/>
              <w:highlight w:val="none"/>
            </w:rPr>
            <w:t>第四章 评标办法</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_Toc3421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17</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7753631A">
          <w:pPr>
            <w:pStyle w:val="15"/>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"_Toc14586" </w:instrText>
          </w:r>
          <w:r>
            <w:rPr>
              <w:color w:val="auto"/>
              <w:highlight w:val="none"/>
            </w:rPr>
            <w:fldChar w:fldCharType="separate"/>
          </w:r>
          <w:r>
            <w:rPr>
              <w:rFonts w:hint="eastAsia" w:ascii="宋体" w:hAnsi="宋体" w:cs="宋体"/>
              <w:color w:val="auto"/>
              <w:sz w:val="30"/>
              <w:szCs w:val="30"/>
              <w:highlight w:val="none"/>
            </w:rPr>
            <w:t>第五章 拟签订的合同文本</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_Toc14586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30</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5C86888A">
          <w:pPr>
            <w:pStyle w:val="15"/>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"_Toc20295" </w:instrText>
          </w:r>
          <w:r>
            <w:rPr>
              <w:color w:val="auto"/>
              <w:highlight w:val="none"/>
            </w:rPr>
            <w:fldChar w:fldCharType="separate"/>
          </w:r>
          <w:r>
            <w:rPr>
              <w:rFonts w:hint="eastAsia" w:ascii="宋体" w:hAnsi="宋体" w:cs="宋体"/>
              <w:color w:val="auto"/>
              <w:sz w:val="30"/>
              <w:szCs w:val="30"/>
              <w:highlight w:val="none"/>
            </w:rPr>
            <w:t>第六章 应提交的有关格式范例</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_Toc20295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39</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4EBC2AFF">
          <w:pPr>
            <w:pStyle w:val="15"/>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"_Toc12708" </w:instrText>
          </w:r>
          <w:r>
            <w:rPr>
              <w:color w:val="auto"/>
              <w:highlight w:val="none"/>
            </w:rPr>
            <w:fldChar w:fldCharType="separate"/>
          </w:r>
          <w:r>
            <w:rPr>
              <w:rFonts w:hint="eastAsia" w:ascii="宋体" w:hAnsi="宋体" w:cs="宋体"/>
              <w:color w:val="auto"/>
              <w:sz w:val="30"/>
              <w:szCs w:val="30"/>
              <w:highlight w:val="none"/>
            </w:rPr>
            <w:t>第七章 附件</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_Toc12708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55</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44859227">
          <w:pPr>
            <w:spacing w:line="360" w:lineRule="auto"/>
            <w:rPr>
              <w:color w:val="auto"/>
              <w:highlight w:val="none"/>
            </w:rPr>
          </w:pPr>
          <w:r>
            <w:rPr>
              <w:rFonts w:hint="eastAsia" w:ascii="宋体" w:hAnsi="宋体" w:cs="宋体"/>
              <w:color w:val="auto"/>
              <w:sz w:val="30"/>
              <w:szCs w:val="30"/>
              <w:highlight w:val="none"/>
            </w:rPr>
            <w:fldChar w:fldCharType="end"/>
          </w:r>
        </w:p>
      </w:sdtContent>
    </w:sdt>
    <w:p w14:paraId="3982F901">
      <w:pPr>
        <w:spacing w:before="240" w:beforeLines="100" w:line="360" w:lineRule="auto"/>
        <w:jc w:val="center"/>
        <w:rPr>
          <w:rStyle w:val="28"/>
          <w:rFonts w:ascii="宋体" w:hAnsi="宋体" w:cs="宋体"/>
          <w:b/>
          <w:color w:val="auto"/>
          <w:sz w:val="28"/>
          <w:szCs w:val="28"/>
          <w:highlight w:val="none"/>
          <w:u w:val="none"/>
        </w:rPr>
      </w:pPr>
      <w:r>
        <w:rPr>
          <w:rFonts w:hint="eastAsia" w:ascii="宋体" w:hAnsi="宋体" w:cs="宋体"/>
          <w:b/>
          <w:color w:val="auto"/>
          <w:sz w:val="28"/>
          <w:szCs w:val="28"/>
          <w:highlight w:val="none"/>
        </w:rPr>
        <w:t>请各位投标人详细阅读各项条款</w:t>
      </w:r>
      <w:bookmarkEnd w:id="1"/>
    </w:p>
    <w:p w14:paraId="2001A827">
      <w:pPr>
        <w:spacing w:line="360" w:lineRule="auto"/>
        <w:rPr>
          <w:rStyle w:val="28"/>
          <w:rFonts w:ascii="宋体" w:hAnsi="宋体"/>
          <w:color w:val="auto"/>
          <w:sz w:val="30"/>
          <w:highlight w:val="none"/>
        </w:rPr>
      </w:pPr>
    </w:p>
    <w:p w14:paraId="502859D6">
      <w:pPr>
        <w:tabs>
          <w:tab w:val="center" w:pos="4615"/>
        </w:tabs>
        <w:jc w:val="left"/>
        <w:rPr>
          <w:color w:val="auto"/>
          <w:highlight w:val="none"/>
        </w:rPr>
        <w:sectPr>
          <w:pgSz w:w="11910" w:h="16840"/>
          <w:pgMar w:top="1440" w:right="1260" w:bottom="1700" w:left="1420" w:header="850" w:footer="1508" w:gutter="0"/>
          <w:pgNumType w:fmt="numberInDash"/>
          <w:cols w:space="720" w:num="1"/>
          <w:docGrid w:linePitch="286" w:charSpace="0"/>
        </w:sectPr>
      </w:pPr>
      <w:r>
        <w:rPr>
          <w:rFonts w:hint="eastAsia"/>
          <w:color w:val="auto"/>
          <w:highlight w:val="none"/>
        </w:rPr>
        <w:tab/>
      </w:r>
    </w:p>
    <w:p w14:paraId="54BDD882">
      <w:pPr>
        <w:pStyle w:val="4"/>
        <w:spacing w:before="100" w:after="100" w:line="240" w:lineRule="auto"/>
        <w:jc w:val="center"/>
        <w:rPr>
          <w:rFonts w:ascii="宋体" w:hAnsi="宋体" w:cs="宋体"/>
          <w:color w:val="auto"/>
          <w:sz w:val="36"/>
          <w:szCs w:val="36"/>
          <w:highlight w:val="none"/>
        </w:rPr>
      </w:pPr>
      <w:bookmarkStart w:id="2" w:name="_Toc125344501"/>
      <w:bookmarkStart w:id="3" w:name="_Toc830"/>
      <w:bookmarkStart w:id="4" w:name="_Toc6838"/>
      <w:r>
        <w:rPr>
          <w:rFonts w:hint="eastAsia" w:ascii="宋体" w:hAnsi="宋体" w:cs="宋体"/>
          <w:color w:val="auto"/>
          <w:sz w:val="36"/>
          <w:szCs w:val="36"/>
          <w:highlight w:val="none"/>
        </w:rPr>
        <w:t>第一章  招标公告</w:t>
      </w:r>
      <w:bookmarkEnd w:id="2"/>
      <w:bookmarkEnd w:id="3"/>
      <w:bookmarkEnd w:id="4"/>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5F5DF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6" w:hRule="atLeast"/>
          <w:jc w:val="center"/>
        </w:trPr>
        <w:tc>
          <w:tcPr>
            <w:tcW w:w="9628" w:type="dxa"/>
            <w:tcBorders>
              <w:top w:val="single" w:color="auto" w:sz="12" w:space="0"/>
            </w:tcBorders>
          </w:tcPr>
          <w:p w14:paraId="2AEE7B7A">
            <w:pPr>
              <w:spacing w:line="40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14:paraId="31EAC1B8">
            <w:pPr>
              <w:autoSpaceDE/>
              <w:autoSpaceDN/>
              <w:adjustRightInd/>
              <w:spacing w:line="360" w:lineRule="exact"/>
              <w:ind w:firstLine="480" w:firstLineChars="200"/>
              <w:rPr>
                <w:rFonts w:ascii="仿宋" w:hAnsi="仿宋" w:eastAsia="仿宋" w:cs="仿宋"/>
                <w:b/>
                <w:color w:val="auto"/>
                <w:sz w:val="24"/>
                <w:szCs w:val="24"/>
                <w:highlight w:val="none"/>
              </w:rPr>
            </w:pPr>
            <w:r>
              <w:rPr>
                <w:rFonts w:hint="eastAsia" w:ascii="仿宋" w:hAnsi="仿宋" w:eastAsia="仿宋"/>
                <w:color w:val="auto"/>
                <w:sz w:val="24"/>
                <w:szCs w:val="24"/>
                <w:highlight w:val="none"/>
                <w:u w:val="single"/>
                <w:lang w:eastAsia="zh-CN"/>
              </w:rPr>
              <w:t>诸暨市“五好两宜”和美乡村试点项目一状元村柿子深加工周边环境氛围提升及主题文化布置布展采购项目</w:t>
            </w:r>
            <w:r>
              <w:rPr>
                <w:rFonts w:hint="eastAsia" w:ascii="仿宋" w:hAnsi="仿宋" w:eastAsia="仿宋" w:cs="仿宋"/>
                <w:color w:val="auto"/>
                <w:sz w:val="24"/>
                <w:szCs w:val="24"/>
                <w:highlight w:val="none"/>
              </w:rPr>
              <w:t>的潜在投标人应在</w:t>
            </w:r>
            <w:r>
              <w:rPr>
                <w:rFonts w:hint="eastAsia" w:ascii="仿宋" w:hAnsi="仿宋" w:eastAsia="仿宋" w:cs="仿宋"/>
                <w:color w:val="auto"/>
                <w:sz w:val="24"/>
                <w:szCs w:val="24"/>
                <w:highlight w:val="none"/>
                <w:u w:val="single"/>
              </w:rPr>
              <w:t>政府采购云平台</w:t>
            </w:r>
            <w:r>
              <w:rPr>
                <w:rStyle w:val="33"/>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https://www.zcygov.cn/</w:t>
            </w:r>
            <w:r>
              <w:rPr>
                <w:rStyle w:val="33"/>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获取（下载）招标文件，并于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17</w:t>
            </w:r>
            <w:r>
              <w:rPr>
                <w:rFonts w:hint="eastAsia" w:ascii="仿宋" w:hAnsi="仿宋" w:eastAsia="仿宋" w:cs="仿宋"/>
                <w:color w:val="auto"/>
                <w:sz w:val="24"/>
                <w:szCs w:val="24"/>
                <w:highlight w:val="none"/>
                <w:u w:val="single"/>
              </w:rPr>
              <w:t xml:space="preserve">日 </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 xml:space="preserve"> 点00分（北京时间）</w:t>
            </w:r>
            <w:r>
              <w:rPr>
                <w:rFonts w:hint="eastAsia" w:ascii="仿宋" w:hAnsi="仿宋" w:eastAsia="仿宋" w:cs="仿宋"/>
                <w:color w:val="auto"/>
                <w:sz w:val="24"/>
                <w:szCs w:val="24"/>
                <w:highlight w:val="none"/>
              </w:rPr>
              <w:t>前递交（上传）投标文件。</w:t>
            </w:r>
          </w:p>
        </w:tc>
      </w:tr>
    </w:tbl>
    <w:p w14:paraId="5470A181">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786B817D">
      <w:pPr>
        <w:pStyle w:val="20"/>
        <w:spacing w:before="60" w:beforeAutospacing="0" w:after="60" w:afterAutospacing="0" w:line="400" w:lineRule="exact"/>
        <w:ind w:firstLine="480" w:firstLineChars="200"/>
        <w:rPr>
          <w:rFonts w:hint="eastAsia" w:ascii="仿宋" w:hAnsi="仿宋" w:eastAsia="仿宋" w:cs="仿宋"/>
          <w:color w:val="auto"/>
          <w:highlight w:val="none"/>
          <w:lang w:eastAsia="zh-CN"/>
        </w:rPr>
      </w:pPr>
      <w:bookmarkStart w:id="5" w:name="_Toc91899903"/>
      <w:bookmarkStart w:id="6" w:name="第三部分"/>
      <w:bookmarkStart w:id="7" w:name="_Toc164416483"/>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诸浣江2025-01-23</w:t>
      </w:r>
    </w:p>
    <w:p w14:paraId="14DA6231">
      <w:pPr>
        <w:autoSpaceDE/>
        <w:autoSpaceDN/>
        <w:adjustRightInd/>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olor w:val="auto"/>
          <w:sz w:val="24"/>
          <w:szCs w:val="24"/>
          <w:highlight w:val="none"/>
          <w:lang w:eastAsia="zh-CN"/>
        </w:rPr>
        <w:t>诸暨市“五好两宜”和美乡村试点项目一状元村柿子深加工周边环境氛围提升及主题文化布置布展采购项目</w:t>
      </w:r>
    </w:p>
    <w:p w14:paraId="69D440CC">
      <w:pPr>
        <w:pStyle w:val="20"/>
        <w:spacing w:before="60" w:beforeAutospacing="0" w:after="60" w:afterAutospacing="0" w:line="400" w:lineRule="exact"/>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预算金额（元）：</w:t>
      </w:r>
      <w:r>
        <w:rPr>
          <w:rFonts w:hint="eastAsia" w:ascii="仿宋" w:hAnsi="仿宋" w:eastAsia="仿宋" w:cs="仿宋"/>
          <w:color w:val="auto"/>
          <w:highlight w:val="none"/>
          <w:lang w:val="en-US" w:eastAsia="zh-CN"/>
        </w:rPr>
        <w:t>3600000.00</w:t>
      </w:r>
      <w:bookmarkStart w:id="512" w:name="_GoBack"/>
      <w:bookmarkEnd w:id="512"/>
    </w:p>
    <w:p w14:paraId="34587544">
      <w:pPr>
        <w:pStyle w:val="20"/>
        <w:spacing w:before="60" w:beforeAutospacing="0" w:after="60" w:afterAutospacing="0" w:line="40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最高限价（元）：</w:t>
      </w:r>
      <w:r>
        <w:rPr>
          <w:rFonts w:hint="eastAsia" w:ascii="仿宋" w:hAnsi="仿宋" w:eastAsia="仿宋" w:cs="仿宋"/>
          <w:color w:val="auto"/>
          <w:highlight w:val="none"/>
          <w:lang w:val="en-US" w:eastAsia="zh-CN"/>
        </w:rPr>
        <w:t>3600000.00</w:t>
      </w:r>
    </w:p>
    <w:p w14:paraId="4C4FF1FA">
      <w:pPr>
        <w:pStyle w:val="20"/>
        <w:spacing w:before="60" w:beforeAutospacing="0" w:after="6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采购需求：</w:t>
      </w:r>
      <w:r>
        <w:rPr>
          <w:rFonts w:hint="eastAsia" w:ascii="仿宋" w:hAnsi="仿宋" w:eastAsia="仿宋"/>
          <w:color w:val="auto"/>
          <w:highlight w:val="none"/>
          <w:lang w:eastAsia="zh-CN"/>
        </w:rPr>
        <w:t>诸暨市“五好两宜”和美乡村试点项目一状元村柿子深加工周边环境氛围提升及主题文化布置布展采购项目，预算金额360万元，费用按实结算。</w:t>
      </w:r>
      <w:r>
        <w:rPr>
          <w:rFonts w:hint="eastAsia" w:ascii="仿宋" w:hAnsi="仿宋" w:eastAsia="仿宋" w:cs="仿宋"/>
          <w:color w:val="auto"/>
          <w:highlight w:val="none"/>
        </w:rPr>
        <w:t>具体内容详见招标文件采购需求。</w:t>
      </w:r>
    </w:p>
    <w:p w14:paraId="03077379">
      <w:pPr>
        <w:pStyle w:val="20"/>
        <w:spacing w:before="60" w:beforeAutospacing="0" w:after="6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合同履约期限：详见招标文件</w:t>
      </w:r>
    </w:p>
    <w:p w14:paraId="666AC9F5">
      <w:pPr>
        <w:pStyle w:val="20"/>
        <w:spacing w:before="60" w:beforeAutospacing="0" w:after="60" w:afterAutospacing="0" w:line="400" w:lineRule="exact"/>
        <w:ind w:firstLine="480" w:firstLineChars="200"/>
        <w:rPr>
          <w:rFonts w:eastAsia="宋体" w:cs="宋体"/>
          <w:color w:val="auto"/>
          <w:highlight w:val="none"/>
        </w:rPr>
      </w:pPr>
      <w:r>
        <w:rPr>
          <w:rFonts w:hint="eastAsia" w:ascii="仿宋" w:hAnsi="仿宋" w:eastAsia="仿宋" w:cs="仿宋"/>
          <w:color w:val="auto"/>
          <w:highlight w:val="none"/>
        </w:rPr>
        <w:t>本项目</w:t>
      </w:r>
      <w:r>
        <w:rPr>
          <w:rFonts w:hint="eastAsia" w:ascii="仿宋" w:hAnsi="仿宋" w:eastAsia="仿宋" w:cs="仿宋"/>
          <w:b/>
          <w:bCs/>
          <w:color w:val="auto"/>
          <w:highlight w:val="none"/>
        </w:rPr>
        <w:t>（否）</w:t>
      </w:r>
      <w:r>
        <w:rPr>
          <w:rFonts w:hint="eastAsia" w:ascii="仿宋" w:hAnsi="仿宋" w:eastAsia="仿宋" w:cs="仿宋"/>
          <w:color w:val="auto"/>
          <w:highlight w:val="none"/>
        </w:rPr>
        <w:t>接受联合体投标</w:t>
      </w:r>
    </w:p>
    <w:p w14:paraId="2CD01F6D">
      <w:pPr>
        <w:spacing w:line="40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14:paraId="4DE0E6E7">
      <w:pPr>
        <w:pStyle w:val="20"/>
        <w:spacing w:before="60" w:beforeAutospacing="0" w:after="60" w:afterAutospacing="0" w:line="400" w:lineRule="exact"/>
        <w:ind w:firstLine="556"/>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77B34B5">
      <w:pPr>
        <w:pStyle w:val="20"/>
        <w:spacing w:before="60" w:beforeAutospacing="0" w:after="60" w:afterAutospacing="0" w:line="400" w:lineRule="exact"/>
        <w:ind w:firstLine="556"/>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2、落实政府采购政策需满足的资格要求：本项目属于专门面向中小企业采购的项目，要求服务全部由符合政策要求的中小企业承接，提供中小企业声明函；</w:t>
      </w:r>
    </w:p>
    <w:p w14:paraId="0E4CD313">
      <w:pPr>
        <w:pStyle w:val="20"/>
        <w:spacing w:before="60" w:beforeAutospacing="0" w:after="60" w:afterAutospacing="0" w:line="400" w:lineRule="exact"/>
        <w:ind w:firstLine="556"/>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3、本项目的特定资格要求：同时具备建筑装修装饰工程专业承包二级(含)以上资质及有效期内的安全生产许可证；</w:t>
      </w:r>
    </w:p>
    <w:p w14:paraId="773B8AC4">
      <w:pPr>
        <w:pStyle w:val="20"/>
        <w:spacing w:before="60" w:beforeAutospacing="0" w:after="60" w:afterAutospacing="0" w:line="400" w:lineRule="exact"/>
        <w:ind w:firstLine="556"/>
        <w:rPr>
          <w:rFonts w:eastAsia="宋体" w:cs="宋体"/>
          <w:color w:val="auto"/>
          <w:highlight w:val="none"/>
        </w:rPr>
      </w:pPr>
      <w:r>
        <w:rPr>
          <w:rFonts w:hint="eastAsia" w:ascii="仿宋" w:hAnsi="仿宋" w:eastAsia="仿宋" w:cs="仿宋"/>
          <w:b w:val="0"/>
          <w:bCs w:val="0"/>
          <w:color w:val="auto"/>
          <w:highlight w:val="none"/>
        </w:rPr>
        <w:t>4、本项目</w:t>
      </w:r>
      <w:r>
        <w:rPr>
          <w:rFonts w:hint="eastAsia" w:ascii="仿宋" w:hAnsi="仿宋" w:eastAsia="仿宋" w:cs="仿宋"/>
          <w:b w:val="0"/>
          <w:bCs w:val="0"/>
          <w:color w:val="auto"/>
          <w:highlight w:val="none"/>
          <w:u w:val="single"/>
        </w:rPr>
        <w:t>不</w:t>
      </w:r>
      <w:r>
        <w:rPr>
          <w:rFonts w:hint="eastAsia" w:ascii="仿宋" w:hAnsi="仿宋" w:eastAsia="仿宋" w:cs="仿宋"/>
          <w:b w:val="0"/>
          <w:bCs w:val="0"/>
          <w:color w:val="auto"/>
          <w:highlight w:val="none"/>
        </w:rPr>
        <w:t>接受联合体投标。</w:t>
      </w:r>
    </w:p>
    <w:p w14:paraId="345FFCDC">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p>
    <w:p w14:paraId="0E4665DD">
      <w:pPr>
        <w:pStyle w:val="20"/>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时间：</w:t>
      </w:r>
      <w:r>
        <w:rPr>
          <w:rFonts w:hint="eastAsia" w:ascii="仿宋" w:hAnsi="仿宋" w:eastAsia="仿宋" w:cs="仿宋"/>
          <w:color w:val="auto"/>
          <w:highlight w:val="none"/>
          <w:u w:val="single"/>
        </w:rPr>
        <w:t>__/__</w:t>
      </w:r>
      <w:r>
        <w:rPr>
          <w:rFonts w:hint="eastAsia" w:ascii="仿宋" w:hAnsi="仿宋" w:eastAsia="仿宋" w:cs="仿宋"/>
          <w:color w:val="auto"/>
          <w:highlight w:val="none"/>
        </w:rPr>
        <w:t>至</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 xml:space="preserve">年 </w:t>
      </w:r>
      <w:r>
        <w:rPr>
          <w:rFonts w:hint="eastAsia" w:ascii="仿宋" w:hAnsi="仿宋" w:eastAsia="仿宋" w:cs="仿宋"/>
          <w:color w:val="auto"/>
          <w:highlight w:val="none"/>
          <w:u w:val="single"/>
          <w:lang w:val="en-US" w:eastAsia="zh-CN"/>
        </w:rPr>
        <w:t>02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17</w:t>
      </w:r>
      <w:r>
        <w:rPr>
          <w:rFonts w:hint="eastAsia" w:ascii="仿宋" w:hAnsi="仿宋" w:eastAsia="仿宋" w:cs="仿宋"/>
          <w:color w:val="auto"/>
          <w:highlight w:val="none"/>
          <w:u w:val="single"/>
        </w:rPr>
        <w:t>日</w:t>
      </w:r>
      <w:r>
        <w:rPr>
          <w:rFonts w:hint="eastAsia" w:ascii="仿宋" w:hAnsi="仿宋" w:eastAsia="仿宋" w:cs="仿宋"/>
          <w:color w:val="auto"/>
          <w:highlight w:val="none"/>
        </w:rPr>
        <w:t>，每天上午</w:t>
      </w:r>
      <w:r>
        <w:rPr>
          <w:rFonts w:hint="eastAsia" w:ascii="仿宋" w:hAnsi="仿宋" w:eastAsia="仿宋" w:cs="仿宋"/>
          <w:color w:val="auto"/>
          <w:highlight w:val="none"/>
          <w:u w:val="single"/>
        </w:rPr>
        <w:t>00:00</w:t>
      </w:r>
      <w:r>
        <w:rPr>
          <w:rFonts w:hint="eastAsia" w:ascii="仿宋" w:hAnsi="仿宋" w:eastAsia="仿宋" w:cs="仿宋"/>
          <w:color w:val="auto"/>
          <w:highlight w:val="none"/>
        </w:rPr>
        <w:t>至</w:t>
      </w:r>
      <w:r>
        <w:rPr>
          <w:rFonts w:hint="eastAsia" w:ascii="仿宋" w:hAnsi="仿宋" w:eastAsia="仿宋" w:cs="仿宋"/>
          <w:color w:val="auto"/>
          <w:highlight w:val="none"/>
          <w:u w:val="single"/>
        </w:rPr>
        <w:t>12:00</w:t>
      </w:r>
      <w:r>
        <w:rPr>
          <w:rFonts w:hint="eastAsia" w:ascii="仿宋" w:hAnsi="仿宋" w:eastAsia="仿宋" w:cs="仿宋"/>
          <w:color w:val="auto"/>
          <w:highlight w:val="none"/>
        </w:rPr>
        <w:t>，下午</w:t>
      </w:r>
      <w:r>
        <w:rPr>
          <w:rFonts w:hint="eastAsia" w:ascii="仿宋" w:hAnsi="仿宋" w:eastAsia="仿宋" w:cs="仿宋"/>
          <w:color w:val="auto"/>
          <w:highlight w:val="none"/>
          <w:u w:val="single"/>
        </w:rPr>
        <w:t>12:00</w:t>
      </w:r>
      <w:r>
        <w:rPr>
          <w:rFonts w:hint="eastAsia" w:ascii="仿宋" w:hAnsi="仿宋" w:eastAsia="仿宋" w:cs="仿宋"/>
          <w:color w:val="auto"/>
          <w:highlight w:val="none"/>
        </w:rPr>
        <w:t>至</w:t>
      </w:r>
      <w:r>
        <w:rPr>
          <w:rFonts w:hint="eastAsia" w:ascii="仿宋" w:hAnsi="仿宋" w:eastAsia="仿宋" w:cs="仿宋"/>
          <w:color w:val="auto"/>
          <w:highlight w:val="none"/>
          <w:u w:val="single"/>
        </w:rPr>
        <w:t>23:59</w:t>
      </w:r>
      <w:r>
        <w:rPr>
          <w:rFonts w:hint="eastAsia" w:ascii="仿宋" w:hAnsi="仿宋" w:eastAsia="仿宋" w:cs="仿宋"/>
          <w:color w:val="auto"/>
          <w:highlight w:val="none"/>
        </w:rPr>
        <w:t>（北京时间，线上获取法定节假日均可，线下获取文件法定节假日除外）</w:t>
      </w:r>
    </w:p>
    <w:p w14:paraId="28B9FFD0">
      <w:pPr>
        <w:pStyle w:val="20"/>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地点（网址）：政府采购云平台（https://www.zcygov.cn/）</w:t>
      </w:r>
    </w:p>
    <w:p w14:paraId="2D6BBCE3">
      <w:pPr>
        <w:pStyle w:val="20"/>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方式：</w:t>
      </w:r>
      <w:r>
        <w:rPr>
          <w:rStyle w:val="26"/>
          <w:rFonts w:hint="eastAsia" w:ascii="仿宋" w:hAnsi="仿宋" w:eastAsia="仿宋" w:cs="仿宋"/>
          <w:b w:val="0"/>
          <w:color w:val="auto"/>
          <w:highlight w:val="none"/>
        </w:rPr>
        <w:t>潜在供应商登录政府采购云平台，在线申请获取招标文件（进入“项目采购”应用，在获取招标文件菜单中选择项目，申请获取招标文件）。</w:t>
      </w:r>
      <w:r>
        <w:rPr>
          <w:rFonts w:hint="eastAsia" w:ascii="仿宋" w:hAnsi="仿宋" w:eastAsia="仿宋" w:cs="仿宋"/>
          <w:color w:val="auto"/>
          <w:highlight w:val="none"/>
        </w:rPr>
        <w:t>仅需浏览招标文件的供应商可点击“游客，浏览招标文件”直接下载招标文件浏览。</w:t>
      </w:r>
    </w:p>
    <w:p w14:paraId="0835B2D2">
      <w:pPr>
        <w:pStyle w:val="20"/>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售价（元）：免费</w:t>
      </w:r>
    </w:p>
    <w:p w14:paraId="27AF289F">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14:paraId="2E021B9F">
      <w:pPr>
        <w:pStyle w:val="20"/>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17</w:t>
      </w:r>
      <w:r>
        <w:rPr>
          <w:rFonts w:hint="eastAsia" w:ascii="仿宋" w:hAnsi="仿宋" w:eastAsia="仿宋" w:cs="仿宋"/>
          <w:color w:val="auto"/>
          <w:highlight w:val="none"/>
          <w:u w:val="single"/>
        </w:rPr>
        <w:t>日 09 :00</w:t>
      </w:r>
      <w:r>
        <w:rPr>
          <w:rFonts w:hint="eastAsia" w:ascii="仿宋" w:hAnsi="仿宋" w:eastAsia="仿宋" w:cs="仿宋"/>
          <w:color w:val="auto"/>
          <w:highlight w:val="none"/>
        </w:rPr>
        <w:t>（北京时间）</w:t>
      </w:r>
    </w:p>
    <w:p w14:paraId="659BBF89">
      <w:pPr>
        <w:pStyle w:val="20"/>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投标地点（网址）：政府采购云平台（https://www.zcygov.cn/）</w:t>
      </w:r>
    </w:p>
    <w:p w14:paraId="04B502F7">
      <w:pPr>
        <w:pStyle w:val="20"/>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17</w:t>
      </w:r>
      <w:r>
        <w:rPr>
          <w:rFonts w:hint="eastAsia" w:ascii="仿宋" w:hAnsi="仿宋" w:eastAsia="仿宋" w:cs="仿宋"/>
          <w:color w:val="auto"/>
          <w:highlight w:val="none"/>
          <w:u w:val="single"/>
        </w:rPr>
        <w:t>日 09 点00分</w:t>
      </w:r>
      <w:r>
        <w:rPr>
          <w:rFonts w:hint="eastAsia" w:ascii="仿宋" w:hAnsi="仿宋" w:eastAsia="仿宋" w:cs="仿宋"/>
          <w:color w:val="auto"/>
          <w:highlight w:val="none"/>
        </w:rPr>
        <w:t>（北京时间）</w:t>
      </w:r>
    </w:p>
    <w:p w14:paraId="25E27F6D">
      <w:pPr>
        <w:pStyle w:val="20"/>
        <w:spacing w:before="60" w:beforeAutospacing="0" w:after="60" w:afterAutospacing="0" w:line="380" w:lineRule="exact"/>
        <w:ind w:firstLine="480" w:firstLineChars="200"/>
        <w:rPr>
          <w:rFonts w:eastAsia="宋体" w:cs="宋体"/>
          <w:color w:val="auto"/>
          <w:highlight w:val="none"/>
        </w:rPr>
      </w:pPr>
      <w:r>
        <w:rPr>
          <w:rFonts w:hint="eastAsia" w:ascii="仿宋" w:hAnsi="仿宋" w:eastAsia="仿宋" w:cs="仿宋"/>
          <w:color w:val="auto"/>
          <w:highlight w:val="none"/>
        </w:rPr>
        <w:t>开标地点（网址）：政府采购云平台（https://www.zcygov.cn/</w:t>
      </w:r>
      <w:r>
        <w:rPr>
          <w:rFonts w:hint="eastAsia" w:eastAsia="宋体" w:cs="宋体"/>
          <w:color w:val="auto"/>
          <w:highlight w:val="none"/>
        </w:rPr>
        <w:t>）</w:t>
      </w:r>
    </w:p>
    <w:p w14:paraId="46734D98">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p>
    <w:p w14:paraId="157DB55C">
      <w:pPr>
        <w:pStyle w:val="20"/>
        <w:spacing w:before="60" w:beforeAutospacing="0" w:after="60" w:afterAutospacing="0" w:line="400" w:lineRule="exact"/>
        <w:ind w:firstLine="556"/>
        <w:rPr>
          <w:rFonts w:eastAsia="宋体" w:cs="宋体"/>
          <w:color w:val="auto"/>
          <w:highlight w:val="none"/>
        </w:rPr>
      </w:pPr>
      <w:r>
        <w:rPr>
          <w:rFonts w:hint="eastAsia" w:ascii="仿宋" w:hAnsi="仿宋" w:eastAsia="仿宋" w:cs="仿宋"/>
          <w:color w:val="auto"/>
          <w:highlight w:val="none"/>
        </w:rPr>
        <w:t>自本公告发布之日起5个工作日</w:t>
      </w:r>
      <w:r>
        <w:rPr>
          <w:rFonts w:hint="eastAsia" w:eastAsia="宋体" w:cs="宋体"/>
          <w:color w:val="auto"/>
          <w:highlight w:val="none"/>
        </w:rPr>
        <w:t>。</w:t>
      </w:r>
    </w:p>
    <w:p w14:paraId="708A7100">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5E631CF3">
      <w:pPr>
        <w:spacing w:line="38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3E0AB2">
      <w:pPr>
        <w:pStyle w:val="20"/>
        <w:spacing w:before="0" w:beforeAutospacing="0" w:after="0" w:afterAutospacing="0" w:line="380" w:lineRule="exact"/>
        <w:ind w:firstLine="48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rPr>
        <w:t>2.其他事项：</w:t>
      </w:r>
    </w:p>
    <w:p w14:paraId="470A90B0">
      <w:pPr>
        <w:pStyle w:val="20"/>
        <w:keepNext w:val="0"/>
        <w:keepLines w:val="0"/>
        <w:pageBreakBefore w:val="0"/>
        <w:kinsoku/>
        <w:wordWrap/>
        <w:overflowPunct/>
        <w:topLinePunct w:val="0"/>
        <w:bidi w:val="0"/>
        <w:snapToGrid/>
        <w:spacing w:before="0" w:beforeAutospacing="0" w:after="0" w:afterAutospacing="0" w:line="460" w:lineRule="exact"/>
        <w:ind w:firstLine="482"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需要落实的政府采购政策：包括节约资源、保护环境、支持创新、促进中小企业发展等，详见招标文件的第二</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投标人须知-总则。</w:t>
      </w:r>
    </w:p>
    <w:p w14:paraId="00F2E21B">
      <w:pPr>
        <w:pStyle w:val="20"/>
        <w:keepNext w:val="0"/>
        <w:keepLines w:val="0"/>
        <w:pageBreakBefore w:val="0"/>
        <w:kinsoku/>
        <w:wordWrap/>
        <w:overflowPunct/>
        <w:topLinePunct w:val="0"/>
        <w:bidi w:val="0"/>
        <w:snapToGrid/>
        <w:spacing w:before="0" w:beforeAutospacing="0" w:after="0" w:afterAutospacing="0" w:line="460" w:lineRule="exact"/>
        <w:ind w:firstLine="482"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电子招投标（电子交易）说明：</w:t>
      </w:r>
    </w:p>
    <w:p w14:paraId="6A3596CB">
      <w:pPr>
        <w:keepNext w:val="0"/>
        <w:keepLines w:val="0"/>
        <w:pageBreakBefore w:val="0"/>
        <w:kinsoku/>
        <w:wordWrap/>
        <w:overflowPunct/>
        <w:topLinePunct w:val="0"/>
        <w:bidi w:val="0"/>
        <w:adjustRightInd w:val="0"/>
        <w:snapToGrid/>
        <w:spacing w:line="46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color w:val="auto"/>
          <w:sz w:val="24"/>
          <w:szCs w:val="24"/>
          <w:highlight w:val="none"/>
        </w:rPr>
        <w:t>备份投标文件的制作、递交详见招标文件第二</w:t>
      </w:r>
      <w:r>
        <w:rPr>
          <w:rFonts w:hint="eastAsia" w:ascii="仿宋" w:hAnsi="仿宋" w:eastAsia="仿宋" w:cs="仿宋"/>
          <w:b/>
          <w:bCs/>
          <w:color w:val="auto"/>
          <w:sz w:val="24"/>
          <w:szCs w:val="24"/>
          <w:highlight w:val="none"/>
          <w:lang w:val="en-US" w:eastAsia="zh-CN"/>
        </w:rPr>
        <w:t>章</w:t>
      </w:r>
      <w:r>
        <w:rPr>
          <w:rFonts w:hint="eastAsia" w:ascii="仿宋" w:hAnsi="仿宋" w:eastAsia="仿宋" w:cs="仿宋"/>
          <w:b/>
          <w:bCs/>
          <w:color w:val="auto"/>
          <w:sz w:val="24"/>
          <w:szCs w:val="24"/>
          <w:highlight w:val="none"/>
        </w:rPr>
        <w:t>第15点—“备份投标文件”；</w:t>
      </w:r>
      <w:r>
        <w:rPr>
          <w:rFonts w:hint="eastAsia" w:ascii="仿宋" w:hAnsi="仿宋" w:eastAsia="仿宋" w:cs="仿宋"/>
          <w:color w:val="auto"/>
          <w:sz w:val="24"/>
          <w:szCs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0E515E71">
      <w:pPr>
        <w:keepNext w:val="0"/>
        <w:keepLines w:val="0"/>
        <w:pageBreakBefore w:val="0"/>
        <w:kinsoku/>
        <w:wordWrap/>
        <w:overflowPunct/>
        <w:topLinePunct w:val="0"/>
        <w:bidi w:val="0"/>
        <w:adjustRightInd w:val="0"/>
        <w:snapToGrid/>
        <w:spacing w:line="460" w:lineRule="exact"/>
        <w:ind w:left="0" w:leftChars="0" w:firstLine="482"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color w:val="auto"/>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96162E5">
      <w:pPr>
        <w:keepNext w:val="0"/>
        <w:keepLines w:val="0"/>
        <w:pageBreakBefore w:val="0"/>
        <w:kinsoku/>
        <w:wordWrap/>
        <w:overflowPunct/>
        <w:topLinePunct w:val="0"/>
        <w:bidi w:val="0"/>
        <w:adjustRightInd w:val="0"/>
        <w:snapToGrid/>
        <w:spacing w:line="460" w:lineRule="exact"/>
        <w:ind w:left="0" w:leftChars="0" w:firstLine="482"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E339E1">
      <w:pPr>
        <w:keepNext w:val="0"/>
        <w:keepLines w:val="0"/>
        <w:pageBreakBefore w:val="0"/>
        <w:kinsoku/>
        <w:wordWrap/>
        <w:overflowPunct/>
        <w:topLinePunct w:val="0"/>
        <w:bidi w:val="0"/>
        <w:adjustRightInd w:val="0"/>
        <w:snapToGrid/>
        <w:spacing w:line="460" w:lineRule="exact"/>
        <w:ind w:left="0" w:leftChars="0" w:firstLine="482"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（5）</w:t>
      </w:r>
      <w:r>
        <w:rPr>
          <w:rFonts w:hint="eastAsia" w:ascii="仿宋" w:hAnsi="仿宋" w:eastAsia="仿宋" w:cs="仿宋"/>
          <w:color w:val="auto"/>
          <w:sz w:val="24"/>
          <w:szCs w:val="24"/>
          <w:highlight w:val="none"/>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034DA99A">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14:paraId="54787160">
      <w:pPr>
        <w:pStyle w:val="20"/>
        <w:spacing w:before="0" w:beforeAutospacing="0" w:after="156" w:afterLines="50" w:afterAutospacing="0" w:line="300" w:lineRule="exact"/>
        <w:ind w:firstLine="556"/>
        <w:rPr>
          <w:rFonts w:ascii="仿宋" w:hAnsi="仿宋" w:eastAsia="仿宋" w:cs="仿宋"/>
          <w:b/>
          <w:bCs/>
          <w:color w:val="auto"/>
          <w:highlight w:val="none"/>
        </w:rPr>
      </w:pPr>
      <w:r>
        <w:rPr>
          <w:rFonts w:hint="eastAsia" w:ascii="仿宋" w:hAnsi="仿宋" w:eastAsia="仿宋" w:cs="仿宋"/>
          <w:b/>
          <w:bCs/>
          <w:color w:val="auto"/>
          <w:highlight w:val="none"/>
        </w:rPr>
        <w:t>1.采购人信息</w:t>
      </w:r>
    </w:p>
    <w:p w14:paraId="0F72EF14">
      <w:pPr>
        <w:pStyle w:val="20"/>
        <w:spacing w:before="0" w:beforeAutospacing="0" w:after="156" w:afterLines="50" w:afterAutospacing="0" w:line="300" w:lineRule="exact"/>
        <w:ind w:firstLine="556"/>
        <w:rPr>
          <w:rFonts w:ascii="仿宋" w:hAnsi="仿宋" w:eastAsia="仿宋" w:cs="仿宋"/>
          <w:color w:val="auto"/>
          <w:highlight w:val="none"/>
          <w:u w:val="single"/>
        </w:rPr>
      </w:pPr>
      <w:r>
        <w:rPr>
          <w:rFonts w:hint="eastAsia" w:ascii="仿宋" w:hAnsi="仿宋" w:eastAsia="仿宋" w:cs="仿宋"/>
          <w:color w:val="auto"/>
          <w:spacing w:val="57"/>
          <w:highlight w:val="none"/>
        </w:rPr>
        <w:t>名</w:t>
      </w:r>
      <w:r>
        <w:rPr>
          <w:rFonts w:hint="eastAsia" w:ascii="仿宋" w:hAnsi="仿宋" w:eastAsia="仿宋" w:cs="仿宋"/>
          <w:color w:val="auto"/>
          <w:highlight w:val="none"/>
        </w:rPr>
        <w:t>称：诸暨市马剑镇人民政府</w:t>
      </w:r>
    </w:p>
    <w:p w14:paraId="094EDF57">
      <w:pPr>
        <w:pStyle w:val="20"/>
        <w:spacing w:before="0" w:beforeAutospacing="0" w:after="156" w:afterLines="50" w:afterAutospacing="0" w:line="300" w:lineRule="exact"/>
        <w:ind w:firstLine="556"/>
        <w:rPr>
          <w:rFonts w:ascii="仿宋" w:hAnsi="仿宋" w:eastAsia="仿宋" w:cs="仿宋"/>
          <w:color w:val="auto"/>
          <w:highlight w:val="none"/>
        </w:rPr>
      </w:pPr>
      <w:r>
        <w:rPr>
          <w:rFonts w:hint="eastAsia" w:ascii="仿宋" w:hAnsi="仿宋" w:eastAsia="仿宋" w:cs="仿宋"/>
          <w:color w:val="auto"/>
          <w:spacing w:val="57"/>
          <w:highlight w:val="none"/>
        </w:rPr>
        <w:t>地</w:t>
      </w:r>
      <w:r>
        <w:rPr>
          <w:rFonts w:hint="eastAsia" w:ascii="仿宋" w:hAnsi="仿宋" w:eastAsia="仿宋" w:cs="仿宋"/>
          <w:color w:val="auto"/>
          <w:highlight w:val="none"/>
        </w:rPr>
        <w:t>址：诸暨市马剑镇</w:t>
      </w:r>
    </w:p>
    <w:p w14:paraId="3EC6606E">
      <w:pPr>
        <w:pStyle w:val="20"/>
        <w:spacing w:before="0" w:beforeAutospacing="0" w:after="156" w:afterLines="50" w:afterAutospacing="0" w:line="300" w:lineRule="exact"/>
        <w:ind w:firstLine="556"/>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项目联系人（询问）：</w:t>
      </w:r>
      <w:r>
        <w:rPr>
          <w:rFonts w:hint="eastAsia" w:ascii="仿宋" w:hAnsi="仿宋" w:eastAsia="仿宋" w:cs="仿宋"/>
          <w:color w:val="auto"/>
          <w:highlight w:val="none"/>
          <w:lang w:val="en-US" w:eastAsia="zh-CN"/>
        </w:rPr>
        <w:t>陈景榜</w:t>
      </w:r>
    </w:p>
    <w:p w14:paraId="236EC845">
      <w:pPr>
        <w:pStyle w:val="20"/>
        <w:spacing w:before="0" w:beforeAutospacing="0" w:after="156" w:afterLines="50" w:afterAutospacing="0" w:line="300" w:lineRule="exact"/>
        <w:ind w:firstLine="556"/>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工作</w:t>
      </w:r>
      <w:r>
        <w:rPr>
          <w:rFonts w:hint="eastAsia" w:ascii="仿宋" w:hAnsi="仿宋" w:eastAsia="仿宋" w:cs="仿宋"/>
          <w:color w:val="auto"/>
          <w:highlight w:val="none"/>
        </w:rPr>
        <w:t>电话（询问）：18806503909</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工作电话</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 xml:space="preserve"> </w:t>
      </w:r>
    </w:p>
    <w:p w14:paraId="3E538F56">
      <w:pPr>
        <w:pStyle w:val="20"/>
        <w:spacing w:before="0" w:beforeAutospacing="0" w:after="156" w:afterLines="50" w:afterAutospacing="0" w:line="300" w:lineRule="exact"/>
        <w:ind w:firstLine="556"/>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质疑联系人：</w:t>
      </w:r>
      <w:r>
        <w:rPr>
          <w:rFonts w:hint="eastAsia" w:ascii="仿宋" w:hAnsi="仿宋" w:eastAsia="仿宋" w:cs="仿宋"/>
          <w:color w:val="auto"/>
          <w:highlight w:val="none"/>
          <w:lang w:val="en-US" w:eastAsia="zh-CN"/>
        </w:rPr>
        <w:t>徐晶</w:t>
      </w:r>
    </w:p>
    <w:p w14:paraId="10288604">
      <w:pPr>
        <w:pStyle w:val="20"/>
        <w:spacing w:before="0" w:beforeAutospacing="0" w:after="156" w:afterLines="50" w:afterAutospacing="0" w:line="300" w:lineRule="exact"/>
        <w:ind w:firstLine="55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工作</w:t>
      </w:r>
      <w:r>
        <w:rPr>
          <w:rFonts w:hint="eastAsia" w:ascii="仿宋" w:hAnsi="仿宋" w:eastAsia="仿宋" w:cs="仿宋"/>
          <w:color w:val="auto"/>
          <w:highlight w:val="none"/>
        </w:rPr>
        <w:t>电话：13666733958</w:t>
      </w:r>
      <w:r>
        <w:rPr>
          <w:rFonts w:hint="eastAsia" w:ascii="仿宋" w:hAnsi="仿宋" w:eastAsia="仿宋" w:cs="仿宋"/>
          <w:color w:val="auto"/>
          <w:highlight w:val="none"/>
          <w:lang w:val="en-US" w:eastAsia="zh-CN"/>
        </w:rPr>
        <w:t xml:space="preserve">（工作电话） </w:t>
      </w:r>
    </w:p>
    <w:p w14:paraId="19E1F5E8">
      <w:pPr>
        <w:pStyle w:val="20"/>
        <w:spacing w:before="0" w:beforeAutospacing="0" w:after="156" w:afterLines="50" w:afterAutospacing="0" w:line="300" w:lineRule="exact"/>
        <w:ind w:firstLine="556"/>
        <w:rPr>
          <w:rFonts w:ascii="仿宋" w:hAnsi="仿宋" w:eastAsia="仿宋" w:cs="仿宋"/>
          <w:b/>
          <w:bCs/>
          <w:color w:val="auto"/>
          <w:highlight w:val="none"/>
        </w:rPr>
      </w:pPr>
      <w:r>
        <w:rPr>
          <w:rFonts w:hint="eastAsia" w:ascii="仿宋" w:hAnsi="仿宋" w:eastAsia="仿宋" w:cs="仿宋"/>
          <w:b/>
          <w:bCs/>
          <w:color w:val="auto"/>
          <w:highlight w:val="none"/>
        </w:rPr>
        <w:t>2.采购代理机构信息</w:t>
      </w:r>
    </w:p>
    <w:p w14:paraId="0F718C07">
      <w:pPr>
        <w:pStyle w:val="20"/>
        <w:spacing w:before="0" w:beforeAutospacing="0" w:after="156" w:afterLines="50" w:afterAutospacing="0" w:line="300" w:lineRule="exact"/>
        <w:ind w:firstLine="556"/>
        <w:rPr>
          <w:rFonts w:ascii="仿宋" w:hAnsi="仿宋" w:eastAsia="仿宋" w:cs="仿宋"/>
          <w:color w:val="auto"/>
          <w:highlight w:val="none"/>
        </w:rPr>
      </w:pPr>
      <w:r>
        <w:rPr>
          <w:rFonts w:hint="eastAsia" w:ascii="仿宋" w:hAnsi="仿宋" w:eastAsia="仿宋" w:cs="仿宋"/>
          <w:color w:val="auto"/>
          <w:spacing w:val="57"/>
          <w:highlight w:val="none"/>
        </w:rPr>
        <w:t>名</w:t>
      </w:r>
      <w:r>
        <w:rPr>
          <w:rFonts w:hint="eastAsia" w:ascii="仿宋" w:hAnsi="仿宋" w:eastAsia="仿宋" w:cs="仿宋"/>
          <w:color w:val="auto"/>
          <w:highlight w:val="none"/>
        </w:rPr>
        <w:t>称：诸暨市浣江工程咨询有限公司</w:t>
      </w:r>
    </w:p>
    <w:p w14:paraId="37C17653">
      <w:pPr>
        <w:pStyle w:val="20"/>
        <w:spacing w:before="0" w:beforeAutospacing="0" w:after="156" w:afterLines="50" w:afterAutospacing="0" w:line="300" w:lineRule="exact"/>
        <w:ind w:firstLine="556"/>
        <w:rPr>
          <w:rFonts w:ascii="仿宋" w:hAnsi="仿宋" w:eastAsia="仿宋" w:cs="仿宋"/>
          <w:color w:val="auto"/>
          <w:highlight w:val="none"/>
        </w:rPr>
      </w:pPr>
      <w:r>
        <w:rPr>
          <w:rFonts w:hint="eastAsia" w:ascii="仿宋" w:hAnsi="仿宋" w:eastAsia="仿宋" w:cs="仿宋"/>
          <w:color w:val="auto"/>
          <w:spacing w:val="57"/>
          <w:highlight w:val="none"/>
        </w:rPr>
        <w:t>地</w:t>
      </w:r>
      <w:r>
        <w:rPr>
          <w:rFonts w:hint="eastAsia" w:ascii="仿宋" w:hAnsi="仿宋" w:eastAsia="仿宋" w:cs="仿宋"/>
          <w:color w:val="auto"/>
          <w:highlight w:val="none"/>
        </w:rPr>
        <w:t>址：浙江省诸暨市暨南街道江新路1号梦想小城11幢2层223室</w:t>
      </w:r>
    </w:p>
    <w:p w14:paraId="1D4047FA">
      <w:pPr>
        <w:pStyle w:val="20"/>
        <w:spacing w:before="0" w:beforeAutospacing="0" w:after="156" w:afterLines="50" w:afterAutospacing="0" w:line="300" w:lineRule="exact"/>
        <w:ind w:firstLine="556"/>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项目联系人（询问）：</w:t>
      </w:r>
      <w:r>
        <w:rPr>
          <w:rFonts w:hint="eastAsia" w:ascii="仿宋" w:hAnsi="仿宋" w:eastAsia="仿宋" w:cs="仿宋"/>
          <w:color w:val="auto"/>
          <w:highlight w:val="none"/>
          <w:lang w:val="en-US" w:eastAsia="zh-CN"/>
        </w:rPr>
        <w:t>徐建宝</w:t>
      </w:r>
    </w:p>
    <w:p w14:paraId="34436FE0">
      <w:pPr>
        <w:pStyle w:val="20"/>
        <w:spacing w:before="0" w:beforeAutospacing="0" w:after="156" w:afterLines="50" w:afterAutospacing="0" w:line="300" w:lineRule="exact"/>
        <w:ind w:firstLine="556"/>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工作电话（询问）：</w:t>
      </w:r>
      <w:r>
        <w:rPr>
          <w:rFonts w:hint="eastAsia" w:ascii="仿宋" w:hAnsi="仿宋" w:eastAsia="仿宋" w:cs="仿宋"/>
          <w:color w:val="auto"/>
          <w:highlight w:val="none"/>
          <w:lang w:val="en-US" w:eastAsia="zh-CN"/>
        </w:rPr>
        <w:t>17858123408（工作电话）</w:t>
      </w:r>
    </w:p>
    <w:p w14:paraId="4B0105AF">
      <w:pPr>
        <w:pStyle w:val="20"/>
        <w:spacing w:before="0" w:beforeAutospacing="0" w:after="156" w:afterLines="50" w:afterAutospacing="0" w:line="300" w:lineRule="exact"/>
        <w:ind w:firstLine="556"/>
        <w:rPr>
          <w:rFonts w:ascii="仿宋" w:hAnsi="仿宋" w:eastAsia="仿宋" w:cs="仿宋"/>
          <w:color w:val="auto"/>
          <w:highlight w:val="none"/>
        </w:rPr>
      </w:pPr>
      <w:r>
        <w:rPr>
          <w:rFonts w:hint="eastAsia" w:ascii="仿宋" w:hAnsi="仿宋" w:eastAsia="仿宋" w:cs="仿宋"/>
          <w:color w:val="auto"/>
          <w:highlight w:val="none"/>
        </w:rPr>
        <w:t>质疑联系人：汪明淞</w:t>
      </w:r>
    </w:p>
    <w:p w14:paraId="6EE715D9">
      <w:pPr>
        <w:pStyle w:val="20"/>
        <w:spacing w:before="0" w:beforeAutospacing="0" w:after="156" w:afterLines="50" w:afterAutospacing="0" w:line="300" w:lineRule="exact"/>
        <w:ind w:firstLine="556"/>
        <w:rPr>
          <w:rFonts w:hint="eastAsia" w:ascii="仿宋" w:hAnsi="仿宋" w:eastAsia="仿宋" w:cs="仿宋"/>
          <w:color w:val="auto"/>
          <w:highlight w:val="none"/>
          <w:lang w:eastAsia="zh-CN"/>
        </w:rPr>
      </w:pPr>
      <w:r>
        <w:rPr>
          <w:rFonts w:hint="eastAsia" w:ascii="仿宋" w:hAnsi="仿宋" w:eastAsia="仿宋" w:cs="仿宋"/>
          <w:color w:val="auto"/>
          <w:highlight w:val="none"/>
        </w:rPr>
        <w:t>工作电话：189895859</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8</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工作电话</w:t>
      </w:r>
      <w:r>
        <w:rPr>
          <w:rFonts w:hint="eastAsia" w:ascii="仿宋" w:hAnsi="仿宋" w:eastAsia="仿宋" w:cs="仿宋"/>
          <w:color w:val="auto"/>
          <w:highlight w:val="none"/>
          <w:lang w:eastAsia="zh-CN"/>
        </w:rPr>
        <w:t>）</w:t>
      </w:r>
    </w:p>
    <w:p w14:paraId="40391CEE">
      <w:pPr>
        <w:pStyle w:val="20"/>
        <w:spacing w:before="0" w:beforeAutospacing="0" w:after="156" w:afterLines="50" w:afterAutospacing="0" w:line="300" w:lineRule="exact"/>
        <w:ind w:firstLine="556"/>
        <w:rPr>
          <w:rFonts w:ascii="仿宋" w:hAnsi="仿宋" w:eastAsia="仿宋" w:cs="仿宋"/>
          <w:b/>
          <w:bCs/>
          <w:color w:val="auto"/>
          <w:highlight w:val="none"/>
        </w:rPr>
      </w:pPr>
      <w:r>
        <w:rPr>
          <w:rFonts w:hint="eastAsia" w:ascii="仿宋" w:hAnsi="仿宋" w:eastAsia="仿宋" w:cs="仿宋"/>
          <w:b/>
          <w:bCs/>
          <w:color w:val="auto"/>
          <w:highlight w:val="none"/>
        </w:rPr>
        <w:t>3.同级政府采购监督管理部门</w:t>
      </w:r>
    </w:p>
    <w:p w14:paraId="3C74D475">
      <w:pPr>
        <w:pStyle w:val="20"/>
        <w:spacing w:before="0" w:beforeAutospacing="0" w:after="156" w:afterLines="50" w:afterAutospacing="0" w:line="300" w:lineRule="exact"/>
        <w:ind w:firstLine="556"/>
        <w:rPr>
          <w:rFonts w:ascii="仿宋" w:hAnsi="仿宋" w:eastAsia="仿宋" w:cs="仿宋"/>
          <w:color w:val="auto"/>
          <w:highlight w:val="none"/>
        </w:rPr>
      </w:pPr>
      <w:r>
        <w:rPr>
          <w:rFonts w:hint="eastAsia" w:ascii="仿宋" w:hAnsi="仿宋" w:eastAsia="仿宋" w:cs="仿宋"/>
          <w:color w:val="auto"/>
          <w:spacing w:val="57"/>
          <w:highlight w:val="none"/>
        </w:rPr>
        <w:t>名</w:t>
      </w:r>
      <w:r>
        <w:rPr>
          <w:rFonts w:hint="eastAsia" w:ascii="仿宋" w:hAnsi="仿宋" w:eastAsia="仿宋" w:cs="仿宋"/>
          <w:color w:val="auto"/>
          <w:highlight w:val="none"/>
        </w:rPr>
        <w:t>称：诸暨市财政局</w:t>
      </w:r>
    </w:p>
    <w:p w14:paraId="55FB3CE6">
      <w:pPr>
        <w:pStyle w:val="20"/>
        <w:spacing w:before="0" w:beforeAutospacing="0" w:after="156" w:afterLines="50" w:afterAutospacing="0" w:line="300" w:lineRule="exact"/>
        <w:ind w:firstLine="556"/>
        <w:rPr>
          <w:rFonts w:ascii="仿宋" w:hAnsi="仿宋" w:eastAsia="仿宋" w:cs="仿宋"/>
          <w:color w:val="auto"/>
          <w:highlight w:val="none"/>
        </w:rPr>
      </w:pPr>
      <w:r>
        <w:rPr>
          <w:rFonts w:hint="eastAsia" w:ascii="仿宋" w:hAnsi="仿宋" w:eastAsia="仿宋" w:cs="仿宋"/>
          <w:color w:val="auto"/>
          <w:spacing w:val="57"/>
          <w:highlight w:val="none"/>
        </w:rPr>
        <w:t>地</w:t>
      </w:r>
      <w:r>
        <w:rPr>
          <w:rFonts w:hint="eastAsia" w:ascii="仿宋" w:hAnsi="仿宋" w:eastAsia="仿宋" w:cs="仿宋"/>
          <w:color w:val="auto"/>
          <w:highlight w:val="none"/>
        </w:rPr>
        <w:t>址：诸暨市人民中路356号</w:t>
      </w:r>
    </w:p>
    <w:p w14:paraId="5A4B44FD">
      <w:pPr>
        <w:pStyle w:val="20"/>
        <w:spacing w:before="0" w:beforeAutospacing="0" w:after="156" w:afterLines="50" w:afterAutospacing="0" w:line="300" w:lineRule="exact"/>
        <w:ind w:firstLine="556"/>
        <w:rPr>
          <w:rFonts w:ascii="仿宋" w:hAnsi="仿宋" w:eastAsia="仿宋" w:cs="仿宋"/>
          <w:color w:val="auto"/>
          <w:highlight w:val="none"/>
        </w:rPr>
      </w:pPr>
      <w:r>
        <w:rPr>
          <w:rFonts w:hint="eastAsia" w:ascii="仿宋" w:hAnsi="仿宋" w:eastAsia="仿宋" w:cs="仿宋"/>
          <w:color w:val="auto"/>
          <w:highlight w:val="none"/>
        </w:rPr>
        <w:t>联系人：吕雅玲</w:t>
      </w:r>
    </w:p>
    <w:p w14:paraId="0A759C45">
      <w:pPr>
        <w:pStyle w:val="20"/>
        <w:spacing w:before="0" w:beforeAutospacing="0" w:after="156" w:afterLines="50" w:afterAutospacing="0" w:line="300" w:lineRule="exact"/>
        <w:ind w:firstLine="556"/>
        <w:rPr>
          <w:rFonts w:ascii="仿宋" w:hAnsi="仿宋" w:eastAsia="仿宋" w:cs="仿宋"/>
          <w:color w:val="auto"/>
          <w:highlight w:val="none"/>
        </w:rPr>
      </w:pPr>
      <w:r>
        <w:rPr>
          <w:rFonts w:hint="eastAsia" w:ascii="仿宋" w:hAnsi="仿宋" w:eastAsia="仿宋" w:cs="仿宋"/>
          <w:color w:val="auto"/>
          <w:highlight w:val="none"/>
        </w:rPr>
        <w:t>监督投诉电话：0575-87113461</w:t>
      </w:r>
    </w:p>
    <w:p w14:paraId="64357B6B">
      <w:pPr>
        <w:pStyle w:val="20"/>
        <w:spacing w:before="156" w:beforeLines="50" w:beforeAutospacing="0" w:after="120" w:afterAutospacing="0" w:line="360" w:lineRule="auto"/>
        <w:ind w:firstLine="55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43A1883F">
      <w:pPr>
        <w:spacing w:line="360" w:lineRule="auto"/>
        <w:rPr>
          <w:rFonts w:ascii="仿宋" w:hAnsi="仿宋" w:eastAsia="仿宋" w:cs="仿宋"/>
          <w:color w:val="auto"/>
          <w:sz w:val="24"/>
          <w:szCs w:val="24"/>
          <w:highlight w:val="none"/>
        </w:rPr>
        <w:sectPr>
          <w:headerReference r:id="rId6" w:type="first"/>
          <w:footerReference r:id="rId9" w:type="first"/>
          <w:headerReference r:id="rId5" w:type="default"/>
          <w:footerReference r:id="rId7" w:type="default"/>
          <w:footerReference r:id="rId8" w:type="even"/>
          <w:pgSz w:w="11906" w:h="16838"/>
          <w:pgMar w:top="1021" w:right="1247" w:bottom="1021" w:left="1247" w:header="454" w:footer="454" w:gutter="0"/>
          <w:pgNumType w:start="1"/>
          <w:cols w:space="720" w:num="1"/>
          <w:titlePg/>
          <w:docGrid w:type="lines" w:linePitch="312" w:charSpace="0"/>
        </w:sectPr>
      </w:pPr>
    </w:p>
    <w:p w14:paraId="22B47F98">
      <w:pPr>
        <w:pStyle w:val="4"/>
        <w:spacing w:before="100" w:after="100" w:line="240" w:lineRule="auto"/>
        <w:jc w:val="center"/>
        <w:rPr>
          <w:rFonts w:ascii="宋体" w:hAnsi="宋体" w:cs="宋体"/>
          <w:color w:val="auto"/>
          <w:sz w:val="36"/>
          <w:szCs w:val="36"/>
          <w:highlight w:val="none"/>
        </w:rPr>
      </w:pPr>
      <w:bookmarkStart w:id="8" w:name="_Toc2703"/>
      <w:bookmarkStart w:id="9" w:name="_Toc18941"/>
      <w:bookmarkStart w:id="10" w:name="_Toc31020"/>
      <w:r>
        <w:rPr>
          <w:rFonts w:hint="eastAsia" w:ascii="宋体" w:hAnsi="宋体" w:cs="宋体"/>
          <w:color w:val="auto"/>
          <w:sz w:val="36"/>
          <w:szCs w:val="36"/>
          <w:highlight w:val="none"/>
        </w:rPr>
        <w:t>第二章 投标人须知</w:t>
      </w:r>
      <w:bookmarkEnd w:id="8"/>
      <w:bookmarkEnd w:id="9"/>
      <w:bookmarkEnd w:id="10"/>
    </w:p>
    <w:p w14:paraId="7C220C24">
      <w:pPr>
        <w:autoSpaceDE/>
        <w:autoSpaceDN/>
        <w:snapToGrid w:val="0"/>
        <w:spacing w:before="100"/>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23"/>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14:paraId="35EC6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45" w:type="dxa"/>
            <w:tcBorders>
              <w:top w:val="single" w:color="auto" w:sz="4" w:space="0"/>
              <w:bottom w:val="single" w:color="auto" w:sz="4" w:space="0"/>
              <w:right w:val="single" w:color="auto" w:sz="4" w:space="0"/>
            </w:tcBorders>
            <w:vAlign w:val="center"/>
          </w:tcPr>
          <w:p w14:paraId="1F778F54">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14:paraId="2300BAE9">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6CD0ECC4">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3F535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16A00792">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14:paraId="122EC881">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06CB09F4">
            <w:pPr>
              <w:autoSpaceDE/>
              <w:autoSpaceDN/>
              <w:snapToGrid w:val="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lang w:val="zh-CN"/>
              </w:rPr>
              <w:t>本项目采用</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b/>
                <w:bCs/>
                <w:color w:val="auto"/>
                <w:sz w:val="24"/>
                <w:szCs w:val="24"/>
                <w:highlight w:val="none"/>
                <w:u w:val="single"/>
                <w:lang w:val="zh-CN"/>
              </w:rPr>
              <w:t xml:space="preserve"> 综合评分法 </w:t>
            </w:r>
            <w:r>
              <w:rPr>
                <w:rFonts w:hint="eastAsia" w:ascii="仿宋" w:hAnsi="仿宋" w:eastAsia="仿宋" w:cs="仿宋"/>
                <w:color w:val="auto"/>
                <w:sz w:val="24"/>
                <w:szCs w:val="24"/>
                <w:highlight w:val="none"/>
                <w:u w:val="single"/>
                <w:lang w:val="zh-CN"/>
              </w:rPr>
              <w:t xml:space="preserve">           </w:t>
            </w:r>
          </w:p>
        </w:tc>
      </w:tr>
      <w:tr w14:paraId="080A7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4EA39702">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14:paraId="6E5159CE">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77D6ABD7">
            <w:pPr>
              <w:autoSpaceDE/>
              <w:autoSpaceDN/>
              <w:snapToGrid w:val="0"/>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有关本项目实施所需的所有费用（含税费）均计入报价。</w:t>
            </w:r>
          </w:p>
          <w:p w14:paraId="682343B2">
            <w:pPr>
              <w:autoSpaceDE/>
              <w:autoSpaceDN/>
              <w:snapToGrid w:val="0"/>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sz w:val="24"/>
                <w:szCs w:val="24"/>
                <w:highlight w:val="none"/>
                <w:lang w:val="zh-CN"/>
              </w:rPr>
              <w:t>。投标文件中价格全部采用人民币报价。</w:t>
            </w:r>
          </w:p>
          <w:p w14:paraId="2DDB2AC7">
            <w:pPr>
              <w:autoSpaceDE/>
              <w:autoSpaceDN/>
              <w:snapToGrid w:val="0"/>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招标文件未列明，而投标人认为必需的费用也需列入报价。</w:t>
            </w:r>
          </w:p>
          <w:p w14:paraId="7605C7C8">
            <w:pPr>
              <w:autoSpaceDE/>
              <w:autoSpaceDN/>
              <w:snapToGrid w:val="0"/>
              <w:jc w:val="left"/>
              <w:rPr>
                <w:rFonts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投标报价出现下列情形的，投标无效：</w:t>
            </w:r>
          </w:p>
          <w:p w14:paraId="7D2196A3">
            <w:pPr>
              <w:pStyle w:val="35"/>
              <w:numPr>
                <w:ilvl w:val="0"/>
                <w:numId w:val="1"/>
              </w:numPr>
              <w:autoSpaceDE/>
              <w:autoSpaceDN/>
              <w:snapToGrid w:val="0"/>
              <w:spacing w:line="240" w:lineRule="auto"/>
              <w:ind w:left="0" w:firstLineChars="0"/>
              <w:jc w:val="left"/>
              <w:rPr>
                <w:rFonts w:ascii="仿宋" w:hAnsi="仿宋" w:eastAsia="仿宋" w:cs="仿宋"/>
                <w:bCs/>
                <w:color w:val="auto"/>
                <w:szCs w:val="24"/>
                <w:highlight w:val="none"/>
                <w:lang w:val="zh-CN"/>
              </w:rPr>
            </w:pPr>
            <w:r>
              <w:rPr>
                <w:rFonts w:hint="eastAsia" w:ascii="仿宋" w:hAnsi="仿宋" w:eastAsia="仿宋" w:cs="仿宋"/>
                <w:b/>
                <w:color w:val="auto"/>
                <w:szCs w:val="24"/>
                <w:highlight w:val="none"/>
                <w:lang w:val="zh-CN"/>
              </w:rPr>
              <w:t>①</w:t>
            </w:r>
            <w:r>
              <w:rPr>
                <w:rFonts w:hint="eastAsia" w:ascii="仿宋" w:hAnsi="仿宋" w:eastAsia="仿宋" w:cs="仿宋"/>
                <w:bCs/>
                <w:color w:val="auto"/>
                <w:szCs w:val="24"/>
                <w:highlight w:val="none"/>
                <w:lang w:val="zh-CN"/>
              </w:rPr>
              <w:t>投标文件出现不是唯一的、有选择性投标报价的；</w:t>
            </w:r>
          </w:p>
          <w:p w14:paraId="30AE4B44">
            <w:pPr>
              <w:pStyle w:val="35"/>
              <w:numPr>
                <w:ilvl w:val="0"/>
                <w:numId w:val="1"/>
              </w:numPr>
              <w:autoSpaceDE/>
              <w:autoSpaceDN/>
              <w:snapToGrid w:val="0"/>
              <w:spacing w:line="240" w:lineRule="auto"/>
              <w:ind w:left="0" w:firstLineChars="0"/>
              <w:jc w:val="left"/>
              <w:rPr>
                <w:rFonts w:ascii="仿宋" w:hAnsi="仿宋" w:eastAsia="仿宋" w:cs="仿宋"/>
                <w:bCs/>
                <w:color w:val="auto"/>
                <w:szCs w:val="24"/>
                <w:highlight w:val="none"/>
                <w:lang w:val="zh-CN"/>
              </w:rPr>
            </w:pPr>
            <w:r>
              <w:rPr>
                <w:rFonts w:hint="eastAsia" w:ascii="仿宋" w:hAnsi="仿宋" w:eastAsia="仿宋" w:cs="仿宋"/>
                <w:b/>
                <w:color w:val="auto"/>
                <w:szCs w:val="24"/>
                <w:highlight w:val="none"/>
                <w:lang w:val="zh-CN"/>
              </w:rPr>
              <w:t>②</w:t>
            </w:r>
            <w:r>
              <w:rPr>
                <w:rFonts w:hint="eastAsia" w:ascii="仿宋" w:hAnsi="仿宋" w:eastAsia="仿宋" w:cs="仿宋"/>
                <w:bCs/>
                <w:color w:val="auto"/>
                <w:szCs w:val="24"/>
                <w:highlight w:val="none"/>
                <w:lang w:val="zh-CN"/>
              </w:rPr>
              <w:t>投标报价超过招标文件中规定的预算金额或者最高限价的;</w:t>
            </w:r>
          </w:p>
          <w:p w14:paraId="06367601">
            <w:pPr>
              <w:pStyle w:val="35"/>
              <w:numPr>
                <w:ilvl w:val="0"/>
                <w:numId w:val="1"/>
              </w:numPr>
              <w:autoSpaceDE/>
              <w:autoSpaceDN/>
              <w:spacing w:line="240" w:lineRule="auto"/>
              <w:ind w:left="0" w:firstLineChars="0"/>
              <w:rPr>
                <w:rFonts w:ascii="仿宋" w:hAnsi="仿宋" w:eastAsia="仿宋" w:cs="仿宋"/>
                <w:bCs/>
                <w:color w:val="auto"/>
                <w:szCs w:val="24"/>
                <w:highlight w:val="none"/>
                <w:lang w:val="zh-CN"/>
              </w:rPr>
            </w:pPr>
            <w:r>
              <w:rPr>
                <w:rFonts w:hint="eastAsia" w:ascii="仿宋" w:hAnsi="仿宋" w:eastAsia="仿宋" w:cs="仿宋"/>
                <w:b/>
                <w:color w:val="auto"/>
                <w:szCs w:val="24"/>
                <w:highlight w:val="none"/>
                <w:lang w:val="zh-CN"/>
              </w:rPr>
              <w:t>③</w:t>
            </w:r>
            <w:r>
              <w:rPr>
                <w:rFonts w:hint="eastAsia" w:ascii="仿宋" w:hAnsi="仿宋" w:eastAsia="仿宋" w:cs="仿宋"/>
                <w:bCs/>
                <w:color w:val="auto"/>
                <w:szCs w:val="24"/>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9894E8">
            <w:pPr>
              <w:pStyle w:val="35"/>
              <w:numPr>
                <w:ilvl w:val="0"/>
                <w:numId w:val="1"/>
              </w:numPr>
              <w:autoSpaceDE/>
              <w:autoSpaceDN/>
              <w:spacing w:line="240" w:lineRule="auto"/>
              <w:ind w:left="0" w:firstLineChars="0"/>
              <w:rPr>
                <w:rFonts w:ascii="仿宋" w:hAnsi="仿宋" w:eastAsia="仿宋" w:cs="仿宋"/>
                <w:bCs/>
                <w:color w:val="auto"/>
                <w:szCs w:val="24"/>
                <w:highlight w:val="none"/>
                <w:lang w:val="zh-CN"/>
              </w:rPr>
            </w:pPr>
            <w:r>
              <w:rPr>
                <w:rFonts w:hint="eastAsia" w:ascii="仿宋" w:hAnsi="仿宋" w:eastAsia="仿宋" w:cs="仿宋"/>
                <w:b/>
                <w:color w:val="auto"/>
                <w:szCs w:val="24"/>
                <w:highlight w:val="none"/>
              </w:rPr>
              <w:t>④</w:t>
            </w:r>
            <w:r>
              <w:rPr>
                <w:rFonts w:hint="eastAsia" w:ascii="仿宋" w:hAnsi="仿宋" w:eastAsia="仿宋" w:cs="仿宋"/>
                <w:bCs/>
                <w:color w:val="auto"/>
                <w:szCs w:val="24"/>
                <w:highlight w:val="none"/>
              </w:rPr>
              <w:t>投标人对根据修正原则修正后的报价不确认的。</w:t>
            </w:r>
          </w:p>
        </w:tc>
      </w:tr>
      <w:tr w14:paraId="5B8A8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jc w:val="center"/>
        </w:trPr>
        <w:tc>
          <w:tcPr>
            <w:tcW w:w="645" w:type="dxa"/>
            <w:tcBorders>
              <w:top w:val="single" w:color="auto" w:sz="4" w:space="0"/>
              <w:bottom w:val="single" w:color="auto" w:sz="4" w:space="0"/>
              <w:right w:val="single" w:color="auto" w:sz="4" w:space="0"/>
            </w:tcBorders>
            <w:vAlign w:val="center"/>
          </w:tcPr>
          <w:p w14:paraId="45D93DDD">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14:paraId="5C3CB430">
            <w:pPr>
              <w:autoSpaceDE/>
              <w:autoSpaceDN/>
              <w:snapToGrid w:val="0"/>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1ED008A1">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A同意将非主体、非关键性的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w:t>
            </w:r>
          </w:p>
          <w:p w14:paraId="658BA8F7">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F0FE"/>
            </w:r>
            <w:r>
              <w:rPr>
                <w:rFonts w:hint="eastAsia" w:ascii="仿宋" w:hAnsi="仿宋" w:eastAsia="仿宋" w:cs="仿宋"/>
                <w:color w:val="auto"/>
                <w:sz w:val="24"/>
                <w:szCs w:val="24"/>
                <w:highlight w:val="none"/>
              </w:rPr>
              <w:t xml:space="preserve"> B不同意分包。</w:t>
            </w:r>
          </w:p>
        </w:tc>
      </w:tr>
      <w:tr w14:paraId="0815C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0235EF86">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1813" w:type="dxa"/>
            <w:tcBorders>
              <w:top w:val="single" w:color="000000" w:sz="8" w:space="0"/>
              <w:left w:val="single" w:color="auto" w:sz="4" w:space="0"/>
              <w:right w:val="single" w:color="000000" w:sz="8" w:space="0"/>
            </w:tcBorders>
            <w:vAlign w:val="center"/>
          </w:tcPr>
          <w:p w14:paraId="2FA31060">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资格文件</w:t>
            </w:r>
          </w:p>
        </w:tc>
        <w:tc>
          <w:tcPr>
            <w:tcW w:w="7125" w:type="dxa"/>
            <w:tcBorders>
              <w:top w:val="single" w:color="000000" w:sz="8" w:space="0"/>
              <w:left w:val="single" w:color="000000" w:sz="2" w:space="0"/>
              <w:right w:val="single" w:color="000000" w:sz="8" w:space="0"/>
            </w:tcBorders>
            <w:vAlign w:val="center"/>
          </w:tcPr>
          <w:p w14:paraId="7445DA6E">
            <w:pPr>
              <w:pStyle w:val="35"/>
              <w:numPr>
                <w:ilvl w:val="0"/>
                <w:numId w:val="2"/>
              </w:numPr>
              <w:autoSpaceDE/>
              <w:autoSpaceDN/>
              <w:snapToGrid w:val="0"/>
              <w:spacing w:line="240" w:lineRule="auto"/>
              <w:ind w:left="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①</w:t>
            </w:r>
            <w:r>
              <w:rPr>
                <w:rFonts w:hint="eastAsia" w:ascii="仿宋" w:hAnsi="仿宋" w:eastAsia="仿宋" w:cs="仿宋"/>
                <w:color w:val="auto"/>
                <w:szCs w:val="24"/>
                <w:highlight w:val="none"/>
              </w:rPr>
              <w:t>符合参加政府采购活动应当具备的一般条件的承诺函；</w:t>
            </w:r>
          </w:p>
          <w:p w14:paraId="7A5AA332">
            <w:pPr>
              <w:pStyle w:val="35"/>
              <w:numPr>
                <w:ilvl w:val="0"/>
                <w:numId w:val="2"/>
              </w:numPr>
              <w:autoSpaceDE/>
              <w:autoSpaceDN/>
              <w:snapToGrid w:val="0"/>
              <w:spacing w:line="240" w:lineRule="auto"/>
              <w:ind w:left="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②</w:t>
            </w:r>
            <w:r>
              <w:rPr>
                <w:rFonts w:hint="eastAsia" w:ascii="仿宋" w:hAnsi="仿宋" w:eastAsia="仿宋" w:cs="仿宋"/>
                <w:color w:val="auto"/>
                <w:szCs w:val="24"/>
                <w:highlight w:val="none"/>
              </w:rPr>
              <w:t>具有独立承担民事责任的能力的证明材料；</w:t>
            </w:r>
          </w:p>
          <w:p w14:paraId="7FCD505B">
            <w:pPr>
              <w:pStyle w:val="35"/>
              <w:numPr>
                <w:ilvl w:val="0"/>
                <w:numId w:val="2"/>
              </w:numPr>
              <w:autoSpaceDE/>
              <w:autoSpaceDN/>
              <w:snapToGrid w:val="0"/>
              <w:spacing w:line="240" w:lineRule="auto"/>
              <w:ind w:left="0" w:firstLineChars="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③</w:t>
            </w:r>
            <w:r>
              <w:rPr>
                <w:rFonts w:hint="eastAsia" w:ascii="仿宋" w:hAnsi="仿宋" w:eastAsia="仿宋" w:cs="仿宋"/>
                <w:color w:val="auto"/>
                <w:szCs w:val="24"/>
                <w:highlight w:val="none"/>
              </w:rPr>
              <w:t>落实政府采购政策需满足的资格要求：</w:t>
            </w:r>
            <w:r>
              <w:rPr>
                <w:rFonts w:hint="eastAsia" w:ascii="仿宋" w:hAnsi="仿宋" w:eastAsia="仿宋" w:cs="仿宋"/>
                <w:b/>
                <w:bCs/>
                <w:color w:val="auto"/>
                <w:szCs w:val="24"/>
                <w:highlight w:val="none"/>
              </w:rPr>
              <w:t>专门面向中小企业，提供中小企业声明函；</w:t>
            </w:r>
          </w:p>
          <w:p w14:paraId="2EC60B66">
            <w:pPr>
              <w:pStyle w:val="35"/>
              <w:numPr>
                <w:ilvl w:val="0"/>
                <w:numId w:val="2"/>
              </w:numPr>
              <w:autoSpaceDE/>
              <w:autoSpaceDN/>
              <w:snapToGrid w:val="0"/>
              <w:spacing w:line="240" w:lineRule="auto"/>
              <w:ind w:left="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fldChar w:fldCharType="begin"/>
            </w:r>
            <w:r>
              <w:rPr>
                <w:rFonts w:hint="eastAsia" w:ascii="仿宋" w:hAnsi="仿宋" w:eastAsia="仿宋" w:cs="仿宋"/>
                <w:b/>
                <w:bCs/>
                <w:color w:val="auto"/>
                <w:szCs w:val="24"/>
                <w:highlight w:val="none"/>
              </w:rPr>
              <w:instrText xml:space="preserve"> EQ \o\ac(○,4)</w:instrText>
            </w:r>
            <w:r>
              <w:rPr>
                <w:rFonts w:hint="eastAsia" w:ascii="仿宋" w:hAnsi="仿宋" w:eastAsia="仿宋" w:cs="仿宋"/>
                <w:b/>
                <w:bCs/>
                <w:color w:val="auto"/>
                <w:szCs w:val="24"/>
                <w:highlight w:val="none"/>
              </w:rPr>
              <w:fldChar w:fldCharType="end"/>
            </w:r>
            <w:r>
              <w:rPr>
                <w:rFonts w:hint="eastAsia" w:ascii="仿宋" w:hAnsi="仿宋" w:eastAsia="仿宋" w:cs="仿宋"/>
                <w:color w:val="auto"/>
                <w:szCs w:val="24"/>
                <w:highlight w:val="none"/>
              </w:rPr>
              <w:t>本项目的特定资格要求：</w:t>
            </w:r>
            <w:r>
              <w:rPr>
                <w:rFonts w:hint="eastAsia" w:ascii="仿宋" w:hAnsi="仿宋" w:eastAsia="仿宋" w:cs="仿宋"/>
                <w:b w:val="0"/>
                <w:bCs/>
                <w:color w:val="auto"/>
                <w:kern w:val="44"/>
                <w:sz w:val="24"/>
                <w:szCs w:val="24"/>
                <w:lang w:val="en-US" w:eastAsia="zh-CN" w:bidi="ar-SA"/>
              </w:rPr>
              <w:t>同时具备建筑装修装饰工程专业承包二级(含)以上资质及有效期内的安全生产许可证</w:t>
            </w:r>
            <w:r>
              <w:rPr>
                <w:rFonts w:hint="eastAsia" w:ascii="仿宋" w:hAnsi="仿宋" w:eastAsia="仿宋" w:cs="仿宋"/>
                <w:color w:val="auto"/>
                <w:szCs w:val="24"/>
                <w:highlight w:val="none"/>
              </w:rPr>
              <w:t>。</w:t>
            </w:r>
          </w:p>
          <w:p w14:paraId="0FF842C4">
            <w:pPr>
              <w:autoSpaceDE/>
              <w:autoSpaceDN/>
              <w:rPr>
                <w:rFonts w:ascii="仿宋" w:hAnsi="仿宋" w:eastAsia="仿宋" w:cs="仿宋"/>
                <w:b/>
                <w:snapToGrid w:val="0"/>
                <w:color w:val="auto"/>
                <w:sz w:val="24"/>
                <w:szCs w:val="24"/>
                <w:highlight w:val="none"/>
              </w:rPr>
            </w:pPr>
            <w:r>
              <w:rPr>
                <w:rFonts w:hint="eastAsia" w:ascii="仿宋" w:hAnsi="仿宋" w:eastAsia="仿宋" w:cs="仿宋"/>
                <w:b/>
                <w:color w:val="auto"/>
                <w:sz w:val="24"/>
                <w:szCs w:val="24"/>
                <w:highlight w:val="none"/>
                <w:lang w:val="zh-CN"/>
              </w:rPr>
              <w:t>投标人未提供有效的资格证明文件的，视为投标人不具备招标文件中规定的资格要求，其投标无效。</w:t>
            </w:r>
          </w:p>
        </w:tc>
      </w:tr>
      <w:tr w14:paraId="711CA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58" w:hRule="atLeast"/>
          <w:tblHeader/>
          <w:jc w:val="center"/>
        </w:trPr>
        <w:tc>
          <w:tcPr>
            <w:tcW w:w="645" w:type="dxa"/>
            <w:tcBorders>
              <w:top w:val="single" w:color="auto" w:sz="4" w:space="0"/>
              <w:right w:val="single" w:color="auto" w:sz="4" w:space="0"/>
            </w:tcBorders>
            <w:vAlign w:val="center"/>
          </w:tcPr>
          <w:p w14:paraId="751DA426">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1813" w:type="dxa"/>
            <w:tcBorders>
              <w:top w:val="single" w:color="000000" w:sz="8" w:space="0"/>
              <w:left w:val="single" w:color="auto" w:sz="4" w:space="0"/>
              <w:right w:val="single" w:color="000000" w:sz="8" w:space="0"/>
            </w:tcBorders>
            <w:vAlign w:val="center"/>
          </w:tcPr>
          <w:p w14:paraId="23BB00E3">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商务技术文件</w:t>
            </w:r>
          </w:p>
        </w:tc>
        <w:tc>
          <w:tcPr>
            <w:tcW w:w="7125" w:type="dxa"/>
            <w:tcBorders>
              <w:top w:val="single" w:color="000000" w:sz="8" w:space="0"/>
              <w:left w:val="single" w:color="000000" w:sz="2" w:space="0"/>
              <w:right w:val="single" w:color="000000" w:sz="8" w:space="0"/>
            </w:tcBorders>
            <w:vAlign w:val="center"/>
          </w:tcPr>
          <w:p w14:paraId="18A019B1">
            <w:pPr>
              <w:pStyle w:val="35"/>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①</w:t>
            </w:r>
            <w:r>
              <w:rPr>
                <w:rFonts w:hint="eastAsia" w:ascii="仿宋" w:hAnsi="仿宋" w:eastAsia="仿宋" w:cs="仿宋"/>
                <w:color w:val="auto"/>
                <w:szCs w:val="24"/>
                <w:highlight w:val="none"/>
              </w:rPr>
              <w:t>投标函；</w:t>
            </w:r>
          </w:p>
          <w:p w14:paraId="74EECBA7">
            <w:pPr>
              <w:pStyle w:val="35"/>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②</w:t>
            </w:r>
            <w:r>
              <w:rPr>
                <w:rFonts w:hint="eastAsia" w:ascii="仿宋" w:hAnsi="仿宋" w:eastAsia="仿宋" w:cs="仿宋"/>
                <w:color w:val="auto"/>
                <w:szCs w:val="24"/>
                <w:highlight w:val="none"/>
              </w:rPr>
              <w:t>授权委托书或法定代表人（单位负责人、自然人本人）身份证明；</w:t>
            </w:r>
          </w:p>
          <w:p w14:paraId="5906F2C3">
            <w:pPr>
              <w:pStyle w:val="35"/>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③</w:t>
            </w:r>
            <w:r>
              <w:rPr>
                <w:rFonts w:hint="eastAsia" w:ascii="仿宋" w:hAnsi="仿宋" w:eastAsia="仿宋" w:cs="仿宋"/>
                <w:color w:val="auto"/>
                <w:szCs w:val="24"/>
                <w:highlight w:val="none"/>
              </w:rPr>
              <w:t>联合协议（如需）；</w:t>
            </w:r>
          </w:p>
          <w:p w14:paraId="6BCB2FCB">
            <w:pPr>
              <w:pStyle w:val="35"/>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④</w:t>
            </w:r>
            <w:r>
              <w:rPr>
                <w:rFonts w:hint="eastAsia" w:ascii="仿宋" w:hAnsi="仿宋" w:eastAsia="仿宋" w:cs="仿宋"/>
                <w:color w:val="auto"/>
                <w:szCs w:val="24"/>
                <w:highlight w:val="none"/>
              </w:rPr>
              <w:t>分包意向协议（如需）；</w:t>
            </w:r>
          </w:p>
          <w:p w14:paraId="4B346061">
            <w:pPr>
              <w:pStyle w:val="35"/>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⑤</w:t>
            </w:r>
            <w:r>
              <w:rPr>
                <w:rFonts w:hint="eastAsia" w:ascii="仿宋" w:hAnsi="仿宋" w:eastAsia="仿宋" w:cs="仿宋"/>
                <w:color w:val="auto"/>
                <w:szCs w:val="24"/>
                <w:highlight w:val="none"/>
              </w:rPr>
              <w:t>符合性审查资料；</w:t>
            </w:r>
          </w:p>
          <w:p w14:paraId="31571506">
            <w:pPr>
              <w:pStyle w:val="35"/>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⑥</w:t>
            </w:r>
            <w:r>
              <w:rPr>
                <w:rFonts w:hint="eastAsia" w:ascii="仿宋" w:hAnsi="仿宋" w:eastAsia="仿宋" w:cs="仿宋"/>
                <w:color w:val="auto"/>
                <w:szCs w:val="24"/>
                <w:highlight w:val="none"/>
              </w:rPr>
              <w:t>评标标准相应的商务技术资料；</w:t>
            </w:r>
          </w:p>
          <w:p w14:paraId="38B8B698">
            <w:pPr>
              <w:pStyle w:val="35"/>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⑦</w:t>
            </w:r>
            <w:r>
              <w:rPr>
                <w:rFonts w:hint="eastAsia" w:ascii="仿宋" w:hAnsi="仿宋" w:eastAsia="仿宋" w:cs="仿宋"/>
                <w:color w:val="auto"/>
                <w:szCs w:val="24"/>
                <w:highlight w:val="none"/>
              </w:rPr>
              <w:t>商务技术偏离表；</w:t>
            </w:r>
          </w:p>
          <w:p w14:paraId="7EBE1EA3">
            <w:pPr>
              <w:pStyle w:val="35"/>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lang w:val="zh-CN"/>
              </w:rPr>
              <w:t>⑧</w:t>
            </w:r>
            <w:r>
              <w:rPr>
                <w:rFonts w:hint="eastAsia" w:ascii="仿宋" w:hAnsi="仿宋" w:eastAsia="仿宋" w:cs="仿宋"/>
                <w:color w:val="auto"/>
                <w:szCs w:val="24"/>
                <w:highlight w:val="none"/>
                <w:lang w:val="zh-CN"/>
              </w:rPr>
              <w:t>政府采购供应商廉洁自律承诺书。</w:t>
            </w:r>
          </w:p>
          <w:p w14:paraId="23EB2406">
            <w:pPr>
              <w:autoSpaceDE/>
              <w:autoSpaceDN/>
              <w:rPr>
                <w:rFonts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投标文件项目不齐全或内容虚假的，将视为无效投标。</w:t>
            </w:r>
          </w:p>
        </w:tc>
      </w:tr>
      <w:tr w14:paraId="5464B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jc w:val="center"/>
        </w:trPr>
        <w:tc>
          <w:tcPr>
            <w:tcW w:w="645" w:type="dxa"/>
            <w:tcBorders>
              <w:top w:val="single" w:color="auto" w:sz="4" w:space="0"/>
              <w:right w:val="single" w:color="auto" w:sz="4" w:space="0"/>
            </w:tcBorders>
            <w:vAlign w:val="center"/>
          </w:tcPr>
          <w:p w14:paraId="6E4E20AC">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1813" w:type="dxa"/>
            <w:tcBorders>
              <w:top w:val="single" w:color="000000" w:sz="8" w:space="0"/>
              <w:left w:val="single" w:color="auto" w:sz="4" w:space="0"/>
              <w:right w:val="single" w:color="000000" w:sz="8" w:space="0"/>
            </w:tcBorders>
            <w:vAlign w:val="center"/>
          </w:tcPr>
          <w:p w14:paraId="6B45A618">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报价文件</w:t>
            </w:r>
          </w:p>
        </w:tc>
        <w:tc>
          <w:tcPr>
            <w:tcW w:w="7125" w:type="dxa"/>
            <w:tcBorders>
              <w:top w:val="single" w:color="000000" w:sz="8" w:space="0"/>
              <w:left w:val="single" w:color="000000" w:sz="2" w:space="0"/>
              <w:right w:val="single" w:color="000000" w:sz="8" w:space="0"/>
            </w:tcBorders>
            <w:vAlign w:val="center"/>
          </w:tcPr>
          <w:p w14:paraId="2EDE258F">
            <w:pPr>
              <w:pStyle w:val="35"/>
              <w:numPr>
                <w:ilvl w:val="0"/>
                <w:numId w:val="4"/>
              </w:numPr>
              <w:autoSpaceDE/>
              <w:autoSpaceDN/>
              <w:snapToGrid w:val="0"/>
              <w:spacing w:line="240" w:lineRule="auto"/>
              <w:ind w:left="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①</w:t>
            </w:r>
            <w:r>
              <w:rPr>
                <w:rFonts w:hint="eastAsia" w:ascii="仿宋" w:hAnsi="仿宋" w:eastAsia="仿宋" w:cs="仿宋"/>
                <w:color w:val="auto"/>
                <w:szCs w:val="24"/>
                <w:highlight w:val="none"/>
              </w:rPr>
              <w:t>开标一览表（报价表）；</w:t>
            </w:r>
          </w:p>
          <w:p w14:paraId="3581CF55">
            <w:pPr>
              <w:pStyle w:val="35"/>
              <w:numPr>
                <w:ilvl w:val="0"/>
                <w:numId w:val="4"/>
              </w:numPr>
              <w:autoSpaceDE/>
              <w:autoSpaceDN/>
              <w:snapToGrid w:val="0"/>
              <w:spacing w:line="240" w:lineRule="auto"/>
              <w:ind w:left="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②</w:t>
            </w:r>
            <w:r>
              <w:rPr>
                <w:rFonts w:hint="eastAsia" w:ascii="仿宋" w:hAnsi="仿宋" w:eastAsia="仿宋" w:cs="仿宋"/>
                <w:color w:val="auto"/>
                <w:szCs w:val="24"/>
                <w:highlight w:val="none"/>
              </w:rPr>
              <w:t>中小企业声明函</w:t>
            </w:r>
            <w:r>
              <w:rPr>
                <w:rFonts w:hint="eastAsia" w:ascii="仿宋" w:hAnsi="仿宋" w:eastAsia="仿宋" w:cs="仿宋"/>
                <w:b/>
                <w:bCs/>
                <w:color w:val="auto"/>
                <w:szCs w:val="24"/>
                <w:highlight w:val="none"/>
              </w:rPr>
              <w:t>（如需）</w:t>
            </w:r>
            <w:r>
              <w:rPr>
                <w:rFonts w:hint="eastAsia" w:ascii="仿宋" w:hAnsi="仿宋" w:eastAsia="仿宋" w:cs="仿宋"/>
                <w:color w:val="auto"/>
                <w:szCs w:val="24"/>
                <w:highlight w:val="none"/>
              </w:rPr>
              <w:t>。</w:t>
            </w:r>
          </w:p>
          <w:p w14:paraId="21E2668E">
            <w:pPr>
              <w:autoSpaceDE/>
              <w:autoSpaceDN/>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w:t>
            </w:r>
            <w:r>
              <w:rPr>
                <w:rFonts w:hint="eastAsia" w:ascii="仿宋" w:hAnsi="仿宋" w:eastAsia="仿宋" w:cs="仿宋"/>
                <w:b/>
                <w:color w:val="auto"/>
                <w:sz w:val="24"/>
                <w:szCs w:val="24"/>
                <w:highlight w:val="none"/>
                <w:lang w:val="zh-CN"/>
              </w:rPr>
              <w:t>将视为无效投标。</w:t>
            </w:r>
          </w:p>
        </w:tc>
      </w:tr>
      <w:tr w14:paraId="08A0C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1CDC281D">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14:paraId="6FFCADA1">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46BF8E3F">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F0FE"/>
            </w:r>
            <w:r>
              <w:rPr>
                <w:rFonts w:hint="eastAsia" w:ascii="仿宋" w:hAnsi="仿宋" w:eastAsia="仿宋" w:cs="仿宋"/>
                <w:color w:val="auto"/>
                <w:sz w:val="24"/>
                <w:szCs w:val="24"/>
                <w:highlight w:val="none"/>
              </w:rPr>
              <w:t>A不组织。</w:t>
            </w:r>
          </w:p>
          <w:p w14:paraId="67F218CE">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☐B组织，时间：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390CE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jc w:val="center"/>
        </w:trPr>
        <w:tc>
          <w:tcPr>
            <w:tcW w:w="645" w:type="dxa"/>
            <w:tcBorders>
              <w:top w:val="single" w:color="auto" w:sz="4" w:space="0"/>
              <w:bottom w:val="single" w:color="auto" w:sz="4" w:space="0"/>
              <w:right w:val="single" w:color="auto" w:sz="4" w:space="0"/>
            </w:tcBorders>
            <w:vAlign w:val="center"/>
          </w:tcPr>
          <w:p w14:paraId="5B47E618">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14:paraId="14FF0D46">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65395A67">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A不要求提供</w:t>
            </w:r>
            <w:r>
              <w:rPr>
                <w:rFonts w:hint="eastAsia" w:ascii="仿宋" w:hAnsi="仿宋" w:eastAsia="仿宋" w:cs="仿宋"/>
                <w:color w:val="auto"/>
                <w:sz w:val="24"/>
                <w:szCs w:val="24"/>
                <w:highlight w:val="none"/>
              </w:rPr>
              <w:t>。</w:t>
            </w:r>
          </w:p>
          <w:p w14:paraId="0D3B1936">
            <w:pPr>
              <w:autoSpaceDE/>
              <w:autoSpaceDN/>
              <w:rPr>
                <w:rFonts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☐B要求提供：</w:t>
            </w:r>
          </w:p>
        </w:tc>
      </w:tr>
      <w:tr w14:paraId="434A1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288DC8">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14:paraId="6F351DE1">
            <w:pPr>
              <w:autoSpaceDE/>
              <w:autoSpaceDN/>
              <w:snapToGrid w:val="0"/>
              <w:jc w:val="center"/>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7172016B">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 xml:space="preserve"> A不组织。</w:t>
            </w:r>
          </w:p>
          <w:p w14:paraId="0A5EC1F7">
            <w:pPr>
              <w:autoSpaceDE/>
              <w:autoSpaceDN/>
              <w:rPr>
                <w:rFonts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B组织。</w:t>
            </w:r>
          </w:p>
        </w:tc>
      </w:tr>
      <w:tr w14:paraId="2A407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424529B">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14:paraId="0625606E">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3058CB4F">
            <w:pPr>
              <w:autoSpaceDE/>
              <w:autoSpaceDN/>
              <w:snapToGrid w:val="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投标保证金：/；</w:t>
            </w:r>
          </w:p>
          <w:p w14:paraId="4E7770DE">
            <w:pPr>
              <w:autoSpaceDE/>
              <w:autoSpaceDN/>
              <w:snapToGrid w:val="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②履约保证金：按采购需求要求执行。</w:t>
            </w:r>
          </w:p>
        </w:tc>
      </w:tr>
      <w:tr w14:paraId="1BAD9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ECDF975">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14:paraId="1EF6AD34">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6B9A20FC">
            <w:pPr>
              <w:autoSpaceDE/>
              <w:autoSpaceDN/>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FD86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829E48C">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14:paraId="02835D12">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62BD59A3">
            <w:pPr>
              <w:autoSpaceDE/>
              <w:autoSpaceDN/>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A货物类，单一产品或核心产品为：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u w:val="single"/>
              </w:rPr>
              <w:t xml:space="preserve"> </w:t>
            </w:r>
          </w:p>
          <w:p w14:paraId="7B4B1D01">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B服务类。</w:t>
            </w:r>
          </w:p>
        </w:tc>
      </w:tr>
      <w:tr w14:paraId="434B3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D9B5A4">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14:paraId="499C4552">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73FA2B20">
            <w:pPr>
              <w:autoSpaceDE/>
              <w:autoSpaceDN/>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采购标的：详见招标文件采购需求；</w:t>
            </w:r>
          </w:p>
          <w:p w14:paraId="541DC1E5">
            <w:pPr>
              <w:autoSpaceDE/>
              <w:autoSpaceDN/>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采购标的对应的中小企业划分标准所属行业：</w:t>
            </w:r>
            <w:r>
              <w:rPr>
                <w:rFonts w:hint="eastAsia" w:ascii="仿宋" w:hAnsi="仿宋" w:eastAsia="仿宋" w:cs="仿宋"/>
                <w:color w:val="auto"/>
                <w:sz w:val="24"/>
                <w:szCs w:val="24"/>
                <w:highlight w:val="none"/>
                <w:u w:val="single"/>
              </w:rPr>
              <w:t xml:space="preserve"> 其他未列明行业 </w:t>
            </w:r>
            <w:r>
              <w:rPr>
                <w:rFonts w:hint="eastAsia" w:ascii="仿宋" w:hAnsi="仿宋" w:eastAsia="仿宋" w:cs="仿宋"/>
                <w:color w:val="auto"/>
                <w:sz w:val="24"/>
                <w:szCs w:val="24"/>
                <w:highlight w:val="none"/>
              </w:rPr>
              <w:t>。</w:t>
            </w:r>
          </w:p>
          <w:p w14:paraId="494C80C0">
            <w:pPr>
              <w:autoSpaceDE/>
              <w:autoSpaceDN/>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rPr>
              <w:t>注：供应商在出具《中小企业声明函》前，可通过工业和信息化部官网公共服务平台“中小企业规模类型自测小程序”自测企业规模类型。自测时企业所属行业请选择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b/>
                <w:bCs/>
                <w:color w:val="auto"/>
                <w:sz w:val="24"/>
                <w:szCs w:val="24"/>
                <w:highlight w:val="none"/>
                <w:u w:val="single"/>
              </w:rPr>
              <w:t xml:space="preserve">  其他未列明行业。</w:t>
            </w:r>
          </w:p>
        </w:tc>
      </w:tr>
      <w:tr w14:paraId="1460C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5F68E97A">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w:t>
            </w:r>
          </w:p>
        </w:tc>
        <w:tc>
          <w:tcPr>
            <w:tcW w:w="1813" w:type="dxa"/>
            <w:tcBorders>
              <w:top w:val="single" w:color="000000" w:sz="8" w:space="0"/>
              <w:left w:val="single" w:color="000000" w:sz="2" w:space="0"/>
              <w:right w:val="single" w:color="000000" w:sz="8" w:space="0"/>
            </w:tcBorders>
            <w:vAlign w:val="center"/>
          </w:tcPr>
          <w:p w14:paraId="41E06BE8">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14:paraId="2D275C41">
            <w:pPr>
              <w:autoSpaceDE/>
              <w:autoSpaceDN/>
              <w:ind w:firstLine="480" w:firstLineChars="200"/>
              <w:rPr>
                <w:rFonts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1D15F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30BCB03">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14:paraId="35E20EF6">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tc>
        <w:tc>
          <w:tcPr>
            <w:tcW w:w="7125" w:type="dxa"/>
            <w:tcBorders>
              <w:top w:val="single" w:color="000000" w:sz="8" w:space="0"/>
              <w:left w:val="single" w:color="000000" w:sz="2" w:space="0"/>
              <w:bottom w:val="single" w:color="000000" w:sz="8" w:space="0"/>
              <w:right w:val="single" w:color="000000" w:sz="8" w:space="0"/>
            </w:tcBorders>
            <w:vAlign w:val="center"/>
          </w:tcPr>
          <w:p w14:paraId="0BA21922">
            <w:pPr>
              <w:pStyle w:val="11"/>
              <w:adjustRightInd w:val="0"/>
              <w:rPr>
                <w:rFonts w:ascii="仿宋" w:hAnsi="仿宋" w:eastAsia="仿宋" w:cs="仿宋"/>
                <w:snapToGrid w:val="0"/>
                <w:color w:val="auto"/>
                <w:kern w:val="28"/>
                <w:szCs w:val="24"/>
                <w:highlight w:val="none"/>
              </w:rPr>
            </w:pPr>
            <w:r>
              <w:rPr>
                <w:rFonts w:hint="eastAsia" w:ascii="仿宋" w:hAnsi="仿宋" w:eastAsia="仿宋" w:cs="仿宋"/>
                <w:snapToGrid w:val="0"/>
                <w:color w:val="auto"/>
                <w:kern w:val="28"/>
                <w:szCs w:val="24"/>
                <w:highlight w:val="none"/>
              </w:rPr>
              <w:t>以电子邮件方式发送至诸暨市浣江工程咨询有限公司邮箱（</w:t>
            </w:r>
            <w:r>
              <w:rPr>
                <w:color w:val="auto"/>
                <w:highlight w:val="none"/>
              </w:rPr>
              <w:fldChar w:fldCharType="begin"/>
            </w:r>
            <w:r>
              <w:rPr>
                <w:color w:val="auto"/>
                <w:highlight w:val="none"/>
              </w:rPr>
              <w:instrText xml:space="preserve"> HYPERLINK "mailto:zjztb001@aliyun.com" </w:instrText>
            </w:r>
            <w:r>
              <w:rPr>
                <w:color w:val="auto"/>
                <w:highlight w:val="none"/>
              </w:rPr>
              <w:fldChar w:fldCharType="separate"/>
            </w:r>
            <w:r>
              <w:rPr>
                <w:rFonts w:hint="eastAsia" w:ascii="仿宋" w:hAnsi="仿宋" w:eastAsia="仿宋" w:cs="仿宋"/>
                <w:snapToGrid w:val="0"/>
                <w:color w:val="auto"/>
                <w:kern w:val="28"/>
                <w:szCs w:val="24"/>
                <w:highlight w:val="none"/>
                <w:lang w:eastAsia="zh-CN"/>
              </w:rPr>
              <w:t>41661900</w:t>
            </w:r>
            <w:r>
              <w:rPr>
                <w:rFonts w:hint="eastAsia" w:ascii="仿宋" w:hAnsi="仿宋" w:eastAsia="仿宋" w:cs="仿宋"/>
                <w:snapToGrid w:val="0"/>
                <w:color w:val="auto"/>
                <w:kern w:val="28"/>
                <w:szCs w:val="24"/>
                <w:highlight w:val="none"/>
                <w:lang w:val="en-US" w:eastAsia="zh-CN"/>
              </w:rPr>
              <w:t xml:space="preserve"> </w:t>
            </w:r>
            <w:r>
              <w:rPr>
                <w:rFonts w:hint="eastAsia" w:ascii="仿宋" w:hAnsi="仿宋" w:eastAsia="仿宋" w:cs="仿宋"/>
                <w:snapToGrid w:val="0"/>
                <w:color w:val="auto"/>
                <w:kern w:val="28"/>
                <w:szCs w:val="24"/>
                <w:highlight w:val="none"/>
                <w:lang w:eastAsia="zh-CN"/>
              </w:rPr>
              <w:t>@qq.com</w:t>
            </w:r>
            <w:r>
              <w:rPr>
                <w:rFonts w:hint="eastAsia" w:ascii="仿宋" w:hAnsi="仿宋" w:eastAsia="仿宋" w:cs="仿宋"/>
                <w:snapToGrid w:val="0"/>
                <w:color w:val="auto"/>
                <w:kern w:val="28"/>
                <w:szCs w:val="24"/>
                <w:highlight w:val="none"/>
              </w:rPr>
              <w:fldChar w:fldCharType="end"/>
            </w:r>
            <w:r>
              <w:rPr>
                <w:rFonts w:hint="eastAsia" w:ascii="仿宋" w:hAnsi="仿宋" w:eastAsia="仿宋" w:cs="仿宋"/>
                <w:snapToGrid w:val="0"/>
                <w:color w:val="auto"/>
                <w:kern w:val="28"/>
                <w:szCs w:val="24"/>
                <w:highlight w:val="none"/>
              </w:rPr>
              <w:t>）。</w:t>
            </w:r>
          </w:p>
        </w:tc>
      </w:tr>
      <w:tr w14:paraId="3FD65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B54561A">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w:t>
            </w:r>
          </w:p>
        </w:tc>
        <w:tc>
          <w:tcPr>
            <w:tcW w:w="1813" w:type="dxa"/>
            <w:tcBorders>
              <w:top w:val="single" w:color="000000" w:sz="8" w:space="0"/>
              <w:left w:val="single" w:color="000000" w:sz="2" w:space="0"/>
              <w:bottom w:val="single" w:color="000000" w:sz="8" w:space="0"/>
              <w:right w:val="single" w:color="000000" w:sz="8" w:space="0"/>
            </w:tcBorders>
            <w:vAlign w:val="center"/>
          </w:tcPr>
          <w:p w14:paraId="6985642B">
            <w:pPr>
              <w:pStyle w:val="11"/>
              <w:spacing w:line="300" w:lineRule="exact"/>
              <w:jc w:val="center"/>
              <w:rPr>
                <w:rFonts w:ascii="仿宋" w:hAnsi="仿宋" w:eastAsia="仿宋" w:cs="仿宋"/>
                <w:snapToGrid w:val="0"/>
                <w:color w:val="auto"/>
                <w:kern w:val="28"/>
                <w:szCs w:val="24"/>
                <w:highlight w:val="none"/>
              </w:rPr>
            </w:pPr>
            <w:r>
              <w:rPr>
                <w:rFonts w:hint="eastAsia" w:ascii="仿宋" w:hAnsi="仿宋" w:eastAsia="仿宋" w:cs="仿宋"/>
                <w:b/>
                <w:bCs/>
                <w:snapToGrid w:val="0"/>
                <w:color w:val="auto"/>
                <w:kern w:val="28"/>
                <w:szCs w:val="24"/>
                <w:highlight w:val="none"/>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14:paraId="558E664D">
            <w:pPr>
              <w:snapToGrid w:val="0"/>
              <w:spacing w:line="360" w:lineRule="atLeas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①招标代理服务费由中标人支付，收费基数为合同总金额。招标代理服务费=（100万*1.5%）+（超出100万部分*0.8%）。</w:t>
            </w:r>
          </w:p>
          <w:tbl>
            <w:tblPr>
              <w:tblStyle w:val="24"/>
              <w:tblW w:w="6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3675"/>
            </w:tblGrid>
            <w:tr w14:paraId="6AEA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vAlign w:val="center"/>
                </w:tcPr>
                <w:p w14:paraId="7FA94E96">
                  <w:pPr>
                    <w:widowControl/>
                    <w:spacing w:line="360" w:lineRule="atLeast"/>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bidi="ar"/>
                    </w:rPr>
                    <w:t>合同金额（万元）</w:t>
                  </w:r>
                </w:p>
              </w:tc>
              <w:tc>
                <w:tcPr>
                  <w:tcW w:w="3675" w:type="dxa"/>
                  <w:vAlign w:val="center"/>
                </w:tcPr>
                <w:p w14:paraId="27CA8214">
                  <w:pPr>
                    <w:widowControl/>
                    <w:spacing w:line="360" w:lineRule="atLeast"/>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ar"/>
                    </w:rPr>
                    <w:t>服务</w:t>
                  </w:r>
                  <w:r>
                    <w:rPr>
                      <w:rFonts w:hint="eastAsia" w:ascii="仿宋" w:hAnsi="仿宋" w:eastAsia="仿宋" w:cs="仿宋"/>
                      <w:b/>
                      <w:bCs/>
                      <w:color w:val="auto"/>
                      <w:sz w:val="24"/>
                      <w:szCs w:val="24"/>
                      <w:highlight w:val="none"/>
                      <w:lang w:bidi="ar"/>
                    </w:rPr>
                    <w:t>类收费费率</w:t>
                  </w:r>
                </w:p>
              </w:tc>
            </w:tr>
            <w:tr w14:paraId="5610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vAlign w:val="center"/>
                </w:tcPr>
                <w:p w14:paraId="433F7AFB">
                  <w:pPr>
                    <w:widowControl/>
                    <w:spacing w:line="36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100以下（含）</w:t>
                  </w:r>
                </w:p>
              </w:tc>
              <w:tc>
                <w:tcPr>
                  <w:tcW w:w="3675" w:type="dxa"/>
                  <w:vAlign w:val="center"/>
                </w:tcPr>
                <w:p w14:paraId="4DA441CF">
                  <w:pPr>
                    <w:widowControl/>
                    <w:spacing w:line="36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1.5％</w:t>
                  </w:r>
                </w:p>
              </w:tc>
            </w:tr>
            <w:tr w14:paraId="5BAC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vAlign w:val="center"/>
                </w:tcPr>
                <w:p w14:paraId="40E2FB9B">
                  <w:pPr>
                    <w:spacing w:line="300" w:lineRule="auto"/>
                    <w:jc w:val="center"/>
                    <w:rPr>
                      <w:rFonts w:ascii="仿宋" w:hAnsi="仿宋" w:eastAsia="仿宋" w:cs="仿宋"/>
                      <w:color w:val="auto"/>
                      <w:sz w:val="24"/>
                      <w:szCs w:val="24"/>
                      <w:highlight w:val="none"/>
                      <w:lang w:bidi="ar"/>
                    </w:rPr>
                  </w:pPr>
                  <w:r>
                    <w:rPr>
                      <w:rStyle w:val="26"/>
                      <w:rFonts w:hint="eastAsia" w:ascii="仿宋" w:hAnsi="仿宋" w:eastAsia="仿宋" w:cs="宋体"/>
                      <w:b w:val="0"/>
                      <w:color w:val="auto"/>
                      <w:sz w:val="24"/>
                      <w:szCs w:val="24"/>
                      <w:highlight w:val="none"/>
                    </w:rPr>
                    <w:t>100～500部分</w:t>
                  </w:r>
                </w:p>
              </w:tc>
              <w:tc>
                <w:tcPr>
                  <w:tcW w:w="3675" w:type="dxa"/>
                  <w:vAlign w:val="center"/>
                </w:tcPr>
                <w:p w14:paraId="4B1E2FDB">
                  <w:pPr>
                    <w:spacing w:line="300" w:lineRule="auto"/>
                    <w:jc w:val="center"/>
                    <w:rPr>
                      <w:rFonts w:ascii="仿宋" w:hAnsi="仿宋" w:eastAsia="仿宋" w:cs="仿宋"/>
                      <w:color w:val="auto"/>
                      <w:sz w:val="24"/>
                      <w:szCs w:val="24"/>
                      <w:highlight w:val="none"/>
                      <w:lang w:bidi="ar"/>
                    </w:rPr>
                  </w:pPr>
                  <w:r>
                    <w:rPr>
                      <w:rStyle w:val="26"/>
                      <w:rFonts w:hint="eastAsia" w:ascii="仿宋" w:hAnsi="仿宋" w:eastAsia="仿宋" w:cs="宋体"/>
                      <w:b w:val="0"/>
                      <w:color w:val="auto"/>
                      <w:sz w:val="24"/>
                      <w:szCs w:val="24"/>
                      <w:highlight w:val="none"/>
                    </w:rPr>
                    <w:t>0.8%</w:t>
                  </w:r>
                </w:p>
              </w:tc>
            </w:tr>
          </w:tbl>
          <w:p w14:paraId="66768DEC">
            <w:pPr>
              <w:snapToGrid w:val="0"/>
              <w:spacing w:line="360" w:lineRule="atLeas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②以上费用在领取中标通知书前付清。</w:t>
            </w:r>
          </w:p>
          <w:p w14:paraId="26F41DAC">
            <w:pPr>
              <w:spacing w:line="360" w:lineRule="atLeast"/>
              <w:rPr>
                <w:rFonts w:ascii="仿宋" w:hAnsi="仿宋" w:eastAsia="仿宋" w:cs="仿宋"/>
                <w:snapToGrid w:val="0"/>
                <w:color w:val="auto"/>
                <w:kern w:val="28"/>
                <w:sz w:val="24"/>
                <w:szCs w:val="24"/>
                <w:highlight w:val="none"/>
              </w:rPr>
            </w:pPr>
            <w:r>
              <w:rPr>
                <w:rFonts w:hint="eastAsia" w:ascii="仿宋" w:hAnsi="仿宋" w:eastAsia="仿宋" w:cs="仿宋"/>
                <w:b/>
                <w:color w:val="auto"/>
                <w:sz w:val="24"/>
                <w:szCs w:val="24"/>
                <w:highlight w:val="none"/>
              </w:rPr>
              <w:t>③代理费缴纳账户：诸暨市浣江工程咨询有限公司，开户行：中国银行股份有限公司诸暨新世纪支行 账号：357183203604。</w:t>
            </w:r>
          </w:p>
        </w:tc>
      </w:tr>
    </w:tbl>
    <w:p w14:paraId="41AAED54">
      <w:pPr>
        <w:rPr>
          <w:rFonts w:ascii="等线" w:hAnsi="等线" w:eastAsia="等线" w:cs="等线"/>
          <w:color w:val="auto"/>
          <w:highlight w:val="none"/>
        </w:rPr>
      </w:pPr>
    </w:p>
    <w:p w14:paraId="2E1B024D">
      <w:pPr>
        <w:rPr>
          <w:rFonts w:ascii="宋体" w:hAnsi="宋体" w:cs="宋体"/>
          <w:b/>
          <w:color w:val="auto"/>
          <w:sz w:val="32"/>
          <w:szCs w:val="20"/>
          <w:highlight w:val="none"/>
        </w:rPr>
      </w:pPr>
      <w:bookmarkStart w:id="11" w:name="_Toc23904"/>
      <w:r>
        <w:rPr>
          <w:rFonts w:hint="eastAsia" w:ascii="宋体" w:hAnsi="宋体" w:cs="宋体"/>
          <w:b/>
          <w:color w:val="auto"/>
          <w:sz w:val="32"/>
          <w:szCs w:val="20"/>
          <w:highlight w:val="none"/>
        </w:rPr>
        <w:br w:type="page"/>
      </w:r>
    </w:p>
    <w:p w14:paraId="6062AF18">
      <w:pPr>
        <w:adjustRightInd/>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一、总则</w:t>
      </w:r>
      <w:bookmarkEnd w:id="11"/>
    </w:p>
    <w:p w14:paraId="294BB0B8">
      <w:pPr>
        <w:snapToGrid w:val="0"/>
        <w:spacing w:line="42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7E8CDFD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5BD3652">
      <w:pPr>
        <w:adjustRightInd/>
        <w:spacing w:line="400" w:lineRule="exact"/>
        <w:rPr>
          <w:rFonts w:ascii="仿宋" w:hAnsi="仿宋" w:eastAsia="仿宋" w:cs="仿宋"/>
          <w:b/>
          <w:color w:val="auto"/>
          <w:sz w:val="24"/>
          <w:highlight w:val="none"/>
        </w:rPr>
      </w:pPr>
      <w:bookmarkStart w:id="12" w:name="_Toc16124"/>
      <w:r>
        <w:rPr>
          <w:rFonts w:hint="eastAsia" w:ascii="仿宋" w:hAnsi="仿宋" w:eastAsia="仿宋" w:cs="仿宋"/>
          <w:b/>
          <w:color w:val="auto"/>
          <w:sz w:val="24"/>
          <w:highlight w:val="none"/>
        </w:rPr>
        <w:t>2.定义</w:t>
      </w:r>
      <w:bookmarkEnd w:id="12"/>
    </w:p>
    <w:p w14:paraId="36A7B512">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134E0879">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6D46D58C">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D83EE22">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850B7E1">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5A5DA862">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46A67D91">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sz w:val="24"/>
          <w:highlight w:val="none"/>
        </w:rPr>
        <w:sym w:font="Wingdings" w:char="F0FE"/>
      </w:r>
      <w:r>
        <w:rPr>
          <w:rFonts w:hint="eastAsia" w:ascii="仿宋" w:hAnsi="仿宋" w:eastAsia="仿宋" w:cs="仿宋"/>
          <w:color w:val="auto"/>
          <w:sz w:val="24"/>
          <w:highlight w:val="none"/>
        </w:rPr>
        <w:t>” 系指适用本项目的要求，“☐” 系指不适用本项目的要求。</w:t>
      </w:r>
    </w:p>
    <w:p w14:paraId="6CDFD2B0">
      <w:pPr>
        <w:spacing w:line="420" w:lineRule="exact"/>
        <w:rPr>
          <w:rFonts w:ascii="仿宋" w:hAnsi="仿宋" w:eastAsia="仿宋" w:cs="仿宋"/>
          <w:color w:val="auto"/>
          <w:sz w:val="24"/>
          <w:highlight w:val="none"/>
        </w:rPr>
      </w:pPr>
      <w:r>
        <w:rPr>
          <w:rFonts w:hint="eastAsia" w:ascii="仿宋" w:hAnsi="仿宋" w:eastAsia="仿宋" w:cs="仿宋"/>
          <w:b/>
          <w:color w:val="auto"/>
          <w:sz w:val="24"/>
          <w:highlight w:val="none"/>
        </w:rPr>
        <w:t>3.采购项目需要落实的政府采购政策</w:t>
      </w:r>
    </w:p>
    <w:p w14:paraId="2DE17D2D">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723377E">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A87F7D5">
      <w:pPr>
        <w:spacing w:line="42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8EB427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0BD636D0">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3D4E9E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B50DB45">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835856">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B42D5ED">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sz w:val="24"/>
          <w:highlight w:val="none"/>
        </w:rPr>
        <w:t>在政府采购活动中，投标人提供的货物、工程或者服务符合下列情形的，享受中小企业扶持政策：</w:t>
      </w:r>
    </w:p>
    <w:p w14:paraId="5B17BEE1">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3.3.2.1在货物采购项目中，货物由中小企业制造，即货物由中小企业生产且使用该中小企业商号或者注册商标；</w:t>
      </w:r>
    </w:p>
    <w:p w14:paraId="753EF763">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3.3.2.2在工程采购项目中，工程由中小企业承建，即工程施工单位为中小企业；</w:t>
      </w:r>
    </w:p>
    <w:p w14:paraId="2EAC1D30">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3.3.2.3在服务采购项目中，服务由中小企业承接，即提供服务的人员为中小企业依照《中华人民共和国民法典》订立劳动合同的从业人员。</w:t>
      </w:r>
    </w:p>
    <w:p w14:paraId="2E9D5ADE">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在货物采购项目中，投标人提供的货物既有中小企业制造货物，也有大型企业制造货物的，不享受中小企业扶持政策。</w:t>
      </w:r>
    </w:p>
    <w:p w14:paraId="70772EB8">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14:paraId="13BDE7A0">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sz w:val="24"/>
          <w:highlight w:val="none"/>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076D364C">
      <w:pPr>
        <w:spacing w:line="42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3.3.4</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14:paraId="5D7F3B14">
      <w:pPr>
        <w:spacing w:line="42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3.3.5</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B8D46A5">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5FDEB138">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3.3.7中小企业享受扶持政策获得政府采购合同的，小微企业不得将合同分包给大中型企业，中型企业不得将合同分包给大型企业。 </w:t>
      </w:r>
    </w:p>
    <w:p w14:paraId="6A99D7CF">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3.3.8采购人严格贯彻落实《保障中小企业款项支付条例》，按规定向中小企业支付款项。</w:t>
      </w:r>
    </w:p>
    <w:p w14:paraId="299FED5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3.3.9中小企业信用融资：供应商中标后可在政府采购云平台申请政采贷：操作路径：登录政府采购云平台-金融服务中心-【融资服务】。</w:t>
      </w:r>
    </w:p>
    <w:p w14:paraId="242C94AB">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6F871F5">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7155C363">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FC24EFD">
      <w:pPr>
        <w:spacing w:line="420" w:lineRule="exact"/>
        <w:rPr>
          <w:rFonts w:ascii="仿宋" w:hAnsi="仿宋" w:eastAsia="仿宋" w:cs="仿宋"/>
          <w:color w:val="auto"/>
          <w:sz w:val="24"/>
          <w:highlight w:val="none"/>
        </w:rPr>
      </w:pPr>
      <w:r>
        <w:rPr>
          <w:rFonts w:hint="eastAsia" w:ascii="仿宋" w:hAnsi="仿宋" w:eastAsia="仿宋" w:cs="仿宋"/>
          <w:b/>
          <w:color w:val="auto"/>
          <w:sz w:val="24"/>
          <w:highlight w:val="none"/>
        </w:rPr>
        <w:t>4.询问、质疑、投诉</w:t>
      </w:r>
    </w:p>
    <w:p w14:paraId="10CE5696">
      <w:pPr>
        <w:spacing w:line="42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lang w:val="zh-CN"/>
        </w:rPr>
        <w:t>4.1供应商询问</w:t>
      </w:r>
    </w:p>
    <w:p w14:paraId="7E0B40C9">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35FE48">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4.2供应商质疑</w:t>
      </w:r>
    </w:p>
    <w:p w14:paraId="0089CB3C">
      <w:pPr>
        <w:pStyle w:val="11"/>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kern w:val="0"/>
          <w:highlight w:val="none"/>
          <w:lang w:val="zh-CN"/>
        </w:rPr>
        <w:t>4.2</w:t>
      </w:r>
      <w:r>
        <w:rPr>
          <w:rFonts w:hint="eastAsia" w:ascii="仿宋" w:hAnsi="仿宋" w:eastAsia="仿宋" w:cs="仿宋"/>
          <w:color w:val="auto"/>
          <w:highlight w:val="none"/>
        </w:rPr>
        <w:t>.1提出质疑的供应商应当是参与所质疑项目采购活动的供应商。潜在供应商已依法获取其可质疑的招标文件的，可以对该文件提出质疑。</w:t>
      </w:r>
    </w:p>
    <w:p w14:paraId="23C56AB4">
      <w:pPr>
        <w:pStyle w:val="11"/>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kern w:val="0"/>
          <w:highlight w:val="none"/>
          <w:lang w:val="zh-CN"/>
        </w:rPr>
        <w:t>4.2</w:t>
      </w:r>
      <w:r>
        <w:rPr>
          <w:rFonts w:hint="eastAsia" w:ascii="仿宋" w:hAnsi="仿宋" w:eastAsia="仿宋" w:cs="仿宋"/>
          <w:color w:val="auto"/>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5FDC9AF5">
      <w:pPr>
        <w:pStyle w:val="8"/>
        <w:spacing w:line="420" w:lineRule="exact"/>
        <w:ind w:firstLine="480" w:firstLineChars="20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14:paraId="7071DB2C">
      <w:pPr>
        <w:pStyle w:val="11"/>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4.2.2.2对采购过程提出质疑的，质疑期限为各采购程序环节结束之日起计算。对同一采购程序环节的质疑，供应商须一次性提出。</w:t>
      </w:r>
    </w:p>
    <w:p w14:paraId="5679778D">
      <w:pPr>
        <w:pStyle w:val="11"/>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4.2.2.3对采购结果提出质疑的，质疑期限自采购结果公告期限届满之日起计算。</w:t>
      </w:r>
    </w:p>
    <w:p w14:paraId="1A0C3DA5">
      <w:pPr>
        <w:pStyle w:val="11"/>
        <w:spacing w:line="420" w:lineRule="exact"/>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4.2.2.4针对采购文件中特定资格条件、采购需求、评分办法提出的质疑，应向采购人提出；对采购文件中其他内容、采购过程、采购结果提出的质疑，应向采购代理机构提出。</w:t>
      </w:r>
    </w:p>
    <w:p w14:paraId="1260B30E">
      <w:pPr>
        <w:pStyle w:val="11"/>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w:t>
      </w:r>
      <w:r>
        <w:rPr>
          <w:rFonts w:hint="eastAsia" w:ascii="仿宋" w:hAnsi="仿宋" w:eastAsia="仿宋" w:cs="仿宋"/>
          <w:color w:val="auto"/>
          <w:highlight w:val="none"/>
        </w:rPr>
        <w:t>供应商提出质疑应当提交质疑函和必要的证明材料。质疑函应当包括下列内容：</w:t>
      </w:r>
    </w:p>
    <w:p w14:paraId="3D2CFC86">
      <w:pPr>
        <w:pStyle w:val="11"/>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4.2.3.1供应商的姓名或者名称、地址、邮编、联系人及联系电话；</w:t>
      </w:r>
    </w:p>
    <w:p w14:paraId="3CEEAE74">
      <w:pPr>
        <w:pStyle w:val="11"/>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4.2.3.2质疑项目的名称、编号；</w:t>
      </w:r>
    </w:p>
    <w:p w14:paraId="3B09DDEF">
      <w:pPr>
        <w:pStyle w:val="11"/>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4.2.3.3具体、明确的质疑事项和与质疑事项相关的请求；</w:t>
      </w:r>
    </w:p>
    <w:p w14:paraId="4F7D43A9">
      <w:pPr>
        <w:pStyle w:val="11"/>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4.2.3.4事实依据；</w:t>
      </w:r>
    </w:p>
    <w:p w14:paraId="6CF1D4A6">
      <w:pPr>
        <w:pStyle w:val="11"/>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4.2.3.5必要的法律依据；</w:t>
      </w:r>
    </w:p>
    <w:p w14:paraId="7FC329BB">
      <w:pPr>
        <w:pStyle w:val="11"/>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kern w:val="0"/>
          <w:highlight w:val="none"/>
          <w:lang w:val="zh-CN"/>
        </w:rPr>
        <w:t>4.2.</w:t>
      </w:r>
      <w:r>
        <w:rPr>
          <w:rFonts w:hint="eastAsia" w:ascii="仿宋" w:hAnsi="仿宋" w:eastAsia="仿宋" w:cs="仿宋"/>
          <w:color w:val="auto"/>
          <w:highlight w:val="none"/>
        </w:rPr>
        <w:t>3.6提出质疑的日期。</w:t>
      </w:r>
    </w:p>
    <w:p w14:paraId="39D61AF5">
      <w:pPr>
        <w:pStyle w:val="11"/>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供应商可以在浙江政府采购网下载专区下载《政府采购供应商质疑函范本》。</w:t>
      </w:r>
    </w:p>
    <w:p w14:paraId="3623A77F">
      <w:pPr>
        <w:pStyle w:val="11"/>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565CED19">
      <w:pPr>
        <w:pStyle w:val="11"/>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4.2.5询问或者质疑事项可能影响采购结果的，采购人应当暂停签订合同，已经签订合同的，应当中止履行合同。</w:t>
      </w:r>
    </w:p>
    <w:p w14:paraId="3BA1392A">
      <w:pPr>
        <w:pStyle w:val="11"/>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4.3质疑供应商投诉</w:t>
      </w:r>
    </w:p>
    <w:p w14:paraId="3D198732">
      <w:pPr>
        <w:pStyle w:val="11"/>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5EE17FD3">
      <w:pPr>
        <w:pStyle w:val="11"/>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4.3.2供应商投诉的事项不得超出已质疑事项的范围，基于质疑答复内容提出的投诉事项除外。</w:t>
      </w:r>
    </w:p>
    <w:p w14:paraId="4B4CDC53">
      <w:pPr>
        <w:pStyle w:val="11"/>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352B021A">
      <w:pPr>
        <w:pStyle w:val="11"/>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以联合体形式参加政府采购活动的，其投诉应当由组成联合体的所有供应商共同提出。供应商可以在浙江政府采购网下载专区下载《政府采购供应商投诉书范本》。</w:t>
      </w:r>
    </w:p>
    <w:p w14:paraId="5CD9AC0B">
      <w:pPr>
        <w:pStyle w:val="11"/>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353264">
      <w:pPr>
        <w:autoSpaceDE/>
        <w:autoSpaceDN/>
        <w:adjustRightInd/>
        <w:spacing w:line="360" w:lineRule="auto"/>
        <w:jc w:val="center"/>
        <w:rPr>
          <w:rFonts w:ascii="仿宋" w:hAnsi="仿宋" w:eastAsia="仿宋" w:cs="仿宋"/>
          <w:b/>
          <w:color w:val="auto"/>
          <w:sz w:val="32"/>
          <w:szCs w:val="20"/>
          <w:highlight w:val="none"/>
        </w:rPr>
      </w:pPr>
      <w:bookmarkStart w:id="13" w:name="_Toc2187"/>
      <w:r>
        <w:rPr>
          <w:rFonts w:hint="eastAsia" w:ascii="仿宋" w:hAnsi="仿宋" w:eastAsia="仿宋" w:cs="仿宋"/>
          <w:b/>
          <w:color w:val="auto"/>
          <w:sz w:val="32"/>
          <w:szCs w:val="20"/>
          <w:highlight w:val="none"/>
        </w:rPr>
        <w:t>二、招标文件的构成、澄清、补充、修改</w:t>
      </w:r>
      <w:bookmarkEnd w:id="13"/>
    </w:p>
    <w:p w14:paraId="2EF5DBD2">
      <w:pPr>
        <w:pStyle w:val="11"/>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5．招标文件的构成</w:t>
      </w:r>
    </w:p>
    <w:p w14:paraId="7BBBBF8D">
      <w:pPr>
        <w:pStyle w:val="11"/>
        <w:spacing w:line="420" w:lineRule="exact"/>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5.1 招标文件包括下列文件及附件：</w:t>
      </w:r>
    </w:p>
    <w:p w14:paraId="59842D77">
      <w:pPr>
        <w:pStyle w:val="11"/>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5.1.1招标公告；</w:t>
      </w:r>
    </w:p>
    <w:p w14:paraId="029FF0D2">
      <w:pPr>
        <w:pStyle w:val="11"/>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5.1.2投标人须知；</w:t>
      </w:r>
    </w:p>
    <w:p w14:paraId="0B1D9A55">
      <w:pPr>
        <w:pStyle w:val="11"/>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5.1.3采购需求；</w:t>
      </w:r>
    </w:p>
    <w:p w14:paraId="05CD359D">
      <w:pPr>
        <w:pStyle w:val="11"/>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5.1.4评标办法；</w:t>
      </w:r>
    </w:p>
    <w:p w14:paraId="0BB6F3CA">
      <w:pPr>
        <w:pStyle w:val="11"/>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5.1.5拟签订的合同文本；</w:t>
      </w:r>
    </w:p>
    <w:p w14:paraId="50FBBCEC">
      <w:pPr>
        <w:pStyle w:val="11"/>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highlight w:val="none"/>
        </w:rPr>
        <w:t>5.1.6</w:t>
      </w:r>
      <w:r>
        <w:rPr>
          <w:rFonts w:hint="eastAsia" w:ascii="仿宋" w:hAnsi="仿宋" w:eastAsia="仿宋" w:cs="仿宋"/>
          <w:color w:val="auto"/>
          <w:szCs w:val="24"/>
          <w:highlight w:val="none"/>
        </w:rPr>
        <w:t>应提交的有关格式范例。</w:t>
      </w:r>
    </w:p>
    <w:p w14:paraId="69767F39">
      <w:pPr>
        <w:spacing w:line="42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5.2与本项目有关的澄清、补充、修改的内容为招标文件的组成部分。</w:t>
      </w:r>
    </w:p>
    <w:p w14:paraId="3106609C">
      <w:pPr>
        <w:pStyle w:val="11"/>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6.招标文件的澄清、补充、修改</w:t>
      </w:r>
    </w:p>
    <w:p w14:paraId="0FC1A80B">
      <w:pPr>
        <w:pStyle w:val="38"/>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34ECA812">
      <w:pPr>
        <w:pStyle w:val="38"/>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227B57D5">
      <w:pPr>
        <w:pStyle w:val="38"/>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6.3当招标文件与澄清、补充、修改就同一内容表述不一致的以最后发出的文件或公告为准。</w:t>
      </w:r>
    </w:p>
    <w:p w14:paraId="33CD977C">
      <w:pPr>
        <w:autoSpaceDE/>
        <w:autoSpaceDN/>
        <w:adjustRightInd/>
        <w:spacing w:line="360" w:lineRule="auto"/>
        <w:jc w:val="center"/>
        <w:rPr>
          <w:rFonts w:ascii="仿宋" w:hAnsi="仿宋" w:eastAsia="仿宋" w:cs="仿宋"/>
          <w:b/>
          <w:color w:val="auto"/>
          <w:sz w:val="30"/>
          <w:szCs w:val="20"/>
          <w:highlight w:val="none"/>
        </w:rPr>
      </w:pPr>
      <w:bookmarkStart w:id="14" w:name="_Toc23465"/>
      <w:r>
        <w:rPr>
          <w:rFonts w:hint="eastAsia" w:ascii="仿宋" w:hAnsi="仿宋" w:eastAsia="仿宋" w:cs="仿宋"/>
          <w:b/>
          <w:color w:val="auto"/>
          <w:sz w:val="30"/>
          <w:szCs w:val="20"/>
          <w:highlight w:val="none"/>
        </w:rPr>
        <w:t>三、投标</w:t>
      </w:r>
      <w:bookmarkEnd w:id="14"/>
    </w:p>
    <w:p w14:paraId="3B7664EC">
      <w:pPr>
        <w:pStyle w:val="11"/>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7.招标文件的获取</w:t>
      </w:r>
    </w:p>
    <w:p w14:paraId="0C014095">
      <w:pPr>
        <w:spacing w:line="42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58B257B4">
      <w:pPr>
        <w:pStyle w:val="11"/>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8.开标前答疑会或现场考察</w:t>
      </w:r>
    </w:p>
    <w:p w14:paraId="4C1BFA3F">
      <w:pPr>
        <w:pStyle w:val="11"/>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采购人组织潜在投标人现场考察或者召开开标前答疑会的，潜在投标人按第二章投标人须知前附表的规定参加现场考察或者开标前答疑会。</w:t>
      </w:r>
    </w:p>
    <w:p w14:paraId="2FF14870">
      <w:pPr>
        <w:pStyle w:val="11"/>
        <w:spacing w:line="420" w:lineRule="exact"/>
        <w:rPr>
          <w:rFonts w:ascii="仿宋" w:hAnsi="仿宋" w:eastAsia="仿宋" w:cs="仿宋"/>
          <w:b/>
          <w:color w:val="auto"/>
          <w:szCs w:val="24"/>
          <w:highlight w:val="none"/>
        </w:rPr>
      </w:pPr>
      <w:r>
        <w:rPr>
          <w:rFonts w:hint="eastAsia" w:ascii="仿宋" w:hAnsi="仿宋" w:eastAsia="仿宋" w:cs="仿宋"/>
          <w:b/>
          <w:color w:val="auto"/>
          <w:kern w:val="28"/>
          <w:szCs w:val="24"/>
          <w:highlight w:val="none"/>
        </w:rPr>
        <w:t>9.投标保证金</w:t>
      </w:r>
    </w:p>
    <w:p w14:paraId="15C17512">
      <w:pPr>
        <w:pStyle w:val="8"/>
        <w:spacing w:line="42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F26A645">
      <w:pPr>
        <w:pStyle w:val="11"/>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10.投标文件的语言</w:t>
      </w:r>
    </w:p>
    <w:p w14:paraId="474D3A29">
      <w:pPr>
        <w:spacing w:line="42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2EEAFBD">
      <w:pPr>
        <w:pStyle w:val="11"/>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11.投标文件的组成</w:t>
      </w:r>
    </w:p>
    <w:p w14:paraId="25D41044">
      <w:pPr>
        <w:snapToGrid w:val="0"/>
        <w:spacing w:line="42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6EC31999">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778EF56">
      <w:pPr>
        <w:pStyle w:val="30"/>
        <w:ind w:firstLine="480" w:firstLineChars="200"/>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11.1.2具有独立承担民事责任能力的证明材料；</w:t>
      </w:r>
    </w:p>
    <w:p w14:paraId="2883FBE7">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11.1.3落实政府采购政策需满足的资格要求（如需）；</w:t>
      </w:r>
    </w:p>
    <w:p w14:paraId="0788E61C">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11.1.4本项目的特定资格要求（如需）。</w:t>
      </w:r>
    </w:p>
    <w:p w14:paraId="4D0FC2A2">
      <w:pPr>
        <w:snapToGrid w:val="0"/>
        <w:spacing w:line="420" w:lineRule="exact"/>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01B57233">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CB857B2">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3D12017">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11.2.3联合协议（如需）；</w:t>
      </w:r>
    </w:p>
    <w:p w14:paraId="0BAD4312">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11.2.4分包意向协议（如需）；</w:t>
      </w:r>
    </w:p>
    <w:p w14:paraId="3919F82E">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14:paraId="61A864C1">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11.2.6评标标准相应的商务技术资料（如需）；</w:t>
      </w:r>
    </w:p>
    <w:p w14:paraId="2C907988">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8653BB9">
      <w:pPr>
        <w:snapToGrid w:val="0"/>
        <w:spacing w:line="42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7EE62D6">
      <w:pPr>
        <w:snapToGrid w:val="0"/>
        <w:spacing w:line="420" w:lineRule="exact"/>
        <w:ind w:firstLine="482" w:firstLineChars="200"/>
        <w:rPr>
          <w:rFonts w:ascii="仿宋" w:hAnsi="仿宋" w:eastAsia="仿宋" w:cs="仿宋"/>
          <w:b/>
          <w:bCs/>
          <w:color w:val="auto"/>
          <w:sz w:val="24"/>
          <w:highlight w:val="none"/>
          <w:u w:val="singl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 xml:space="preserve">3报价文件： </w:t>
      </w:r>
    </w:p>
    <w:p w14:paraId="30AE3CDA">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F46DDD9">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b/>
          <w:bCs/>
          <w:color w:val="auto"/>
          <w:sz w:val="24"/>
          <w:highlight w:val="none"/>
        </w:rPr>
        <w:t>（如需）</w:t>
      </w:r>
      <w:r>
        <w:rPr>
          <w:rFonts w:hint="eastAsia" w:ascii="仿宋" w:hAnsi="仿宋" w:eastAsia="仿宋" w:cs="仿宋"/>
          <w:color w:val="auto"/>
          <w:sz w:val="24"/>
          <w:highlight w:val="none"/>
        </w:rPr>
        <w:t>。</w:t>
      </w:r>
    </w:p>
    <w:p w14:paraId="2DB89B4E">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11.4投标文件含有采购人不能接受的附加条件的，投标无效；投标人提供虚假材料投标的，投标无效。</w:t>
      </w:r>
    </w:p>
    <w:p w14:paraId="712CAC44">
      <w:pPr>
        <w:pStyle w:val="38"/>
        <w:snapToGrid w:val="0"/>
        <w:spacing w:before="0" w:line="420" w:lineRule="exact"/>
        <w:ind w:firstLine="0" w:firstLineChars="0"/>
        <w:rPr>
          <w:rFonts w:ascii="仿宋" w:hAnsi="仿宋" w:eastAsia="仿宋" w:cs="仿宋"/>
          <w:b/>
          <w:color w:val="auto"/>
          <w:szCs w:val="24"/>
          <w:highlight w:val="none"/>
        </w:rPr>
      </w:pPr>
      <w:bookmarkStart w:id="15" w:name="_Toc8735"/>
      <w:r>
        <w:rPr>
          <w:rFonts w:hint="eastAsia" w:ascii="仿宋" w:hAnsi="仿宋" w:eastAsia="仿宋" w:cs="仿宋"/>
          <w:b/>
          <w:color w:val="auto"/>
          <w:szCs w:val="24"/>
          <w:highlight w:val="none"/>
        </w:rPr>
        <w:t>12</w:t>
      </w:r>
      <w:r>
        <w:rPr>
          <w:rFonts w:hint="eastAsia" w:ascii="仿宋" w:hAnsi="仿宋" w:eastAsia="仿宋" w:cs="仿宋"/>
          <w:b/>
          <w:color w:val="auto"/>
          <w:szCs w:val="24"/>
          <w:highlight w:val="none"/>
          <w:lang w:val="zh-CN"/>
        </w:rPr>
        <w:t>.</w:t>
      </w:r>
      <w:r>
        <w:rPr>
          <w:rFonts w:hint="eastAsia" w:ascii="仿宋" w:hAnsi="仿宋" w:eastAsia="仿宋" w:cs="仿宋"/>
          <w:b/>
          <w:color w:val="auto"/>
          <w:szCs w:val="24"/>
          <w:highlight w:val="none"/>
        </w:rPr>
        <w:t>投标文件的编制</w:t>
      </w:r>
      <w:bookmarkEnd w:id="15"/>
    </w:p>
    <w:p w14:paraId="684311D2">
      <w:pPr>
        <w:spacing w:line="42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lang w:val="zh-CN"/>
        </w:rPr>
        <w:t>12.1投标文件分为资格文件、商务技术文件、报价文件三部分。各投标人在编制投标文件时请按照招标文件第六</w:t>
      </w:r>
      <w:r>
        <w:rPr>
          <w:rFonts w:hint="eastAsia" w:ascii="仿宋" w:hAnsi="仿宋" w:eastAsia="仿宋" w:cs="仿宋"/>
          <w:color w:val="auto"/>
          <w:sz w:val="24"/>
          <w:highlight w:val="none"/>
        </w:rPr>
        <w:t>章</w:t>
      </w:r>
      <w:r>
        <w:rPr>
          <w:rFonts w:hint="eastAsia" w:ascii="仿宋" w:hAnsi="仿宋" w:eastAsia="仿宋" w:cs="仿宋"/>
          <w:color w:val="auto"/>
          <w:sz w:val="24"/>
          <w:highlight w:val="none"/>
          <w:lang w:val="zh-CN"/>
        </w:rPr>
        <w:t>规定的格式进行，混乱的编排导致投标文件被误读或评标委员会查找不到有效文件是投标人的风险。</w:t>
      </w:r>
    </w:p>
    <w:p w14:paraId="223425DE">
      <w:pPr>
        <w:spacing w:line="42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18A313A">
      <w:pPr>
        <w:spacing w:line="42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12.3使用“政采云电子交易客户端”需要提前申领CA数字证书，申领流程请自行前往“浙江政府采购网-下载专区-电子交易客户端-CA驱动和申领流程”进行查阅。</w:t>
      </w:r>
    </w:p>
    <w:p w14:paraId="368A0E84">
      <w:pPr>
        <w:spacing w:line="42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12.4投标人应充分考虑完成平台注册、申领CA证书等所需时间，如未在“政府采购云平台”系统内完成相关流程，而引起的投标或响应无效的责任自负。</w:t>
      </w:r>
    </w:p>
    <w:p w14:paraId="330DE497">
      <w:pPr>
        <w:snapToGrid w:val="0"/>
        <w:spacing w:line="42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4BCC513F">
      <w:pPr>
        <w:pStyle w:val="38"/>
        <w:snapToGrid w:val="0"/>
        <w:spacing w:before="0" w:line="420" w:lineRule="exact"/>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13.1投标文件按照招标文件第六章格式要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8DD8DB7">
      <w:pPr>
        <w:pStyle w:val="38"/>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13.2为确保网上操作合法、有效和安全，投标人应当在投标截止时间前完成在“政府采购云平台”的身份认证，确保在电子投标过程中能够对相关数据电文进行加密和使用电子签章（签名）。</w:t>
      </w:r>
    </w:p>
    <w:p w14:paraId="7A77850F">
      <w:pPr>
        <w:pStyle w:val="38"/>
        <w:snapToGrid w:val="0"/>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13.3招标文件对投标文件签署、盖章的要求适用于电子签章（签名）。</w:t>
      </w:r>
    </w:p>
    <w:p w14:paraId="4F502C38">
      <w:pPr>
        <w:pStyle w:val="38"/>
        <w:spacing w:before="0" w:line="42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53242272">
      <w:pPr>
        <w:pStyle w:val="38"/>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投标文件的传输提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EE3FA4C">
      <w:pPr>
        <w:pStyle w:val="38"/>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738B530">
      <w:pPr>
        <w:pStyle w:val="38"/>
        <w:spacing w:before="0" w:line="420" w:lineRule="exact"/>
        <w:ind w:firstLine="480"/>
        <w:rPr>
          <w:rFonts w:ascii="仿宋" w:hAnsi="仿宋" w:eastAsia="仿宋" w:cs="仿宋"/>
          <w:color w:val="auto"/>
          <w:szCs w:val="24"/>
          <w:highlight w:val="none"/>
          <w:u w:val="singl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2119C07">
      <w:pPr>
        <w:pStyle w:val="11"/>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15.备份投标文件</w:t>
      </w:r>
    </w:p>
    <w:p w14:paraId="3EEA528D">
      <w:pPr>
        <w:pStyle w:val="11"/>
        <w:spacing w:line="420" w:lineRule="exact"/>
        <w:ind w:firstLine="360" w:firstLineChars="150"/>
        <w:rPr>
          <w:rFonts w:ascii="仿宋" w:hAnsi="仿宋" w:eastAsia="仿宋" w:cs="仿宋"/>
          <w:b/>
          <w:color w:val="auto"/>
          <w:szCs w:val="24"/>
          <w:highlight w:val="none"/>
        </w:rPr>
      </w:pPr>
      <w:r>
        <w:rPr>
          <w:rFonts w:hint="eastAsia" w:ascii="仿宋" w:hAnsi="仿宋" w:eastAsia="仿宋" w:cs="仿宋"/>
          <w:color w:val="auto"/>
          <w:szCs w:val="24"/>
          <w:highlight w:val="none"/>
        </w:rPr>
        <w:t>15.1投标人在电子交易平台传输递交投标文件后，还可以在投标截止时间前向</w:t>
      </w:r>
      <w:r>
        <w:rPr>
          <w:rFonts w:hint="eastAsia" w:ascii="仿宋" w:hAnsi="仿宋" w:eastAsia="仿宋" w:cs="仿宋"/>
          <w:bCs/>
          <w:color w:val="auto"/>
          <w:szCs w:val="24"/>
          <w:highlight w:val="none"/>
        </w:rPr>
        <w:t>诸暨市浣江工程咨询有限公司邮箱（</w:t>
      </w:r>
      <w:r>
        <w:rPr>
          <w:rFonts w:hint="eastAsia" w:ascii="仿宋" w:hAnsi="仿宋" w:eastAsia="仿宋" w:cs="仿宋"/>
          <w:color w:val="auto"/>
          <w:szCs w:val="24"/>
          <w:highlight w:val="none"/>
          <w:lang w:eastAsia="zh-CN"/>
        </w:rPr>
        <w:t>41661900@</w:t>
      </w: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lang w:eastAsia="zh-CN"/>
        </w:rPr>
        <w:t>qq.com</w:t>
      </w:r>
      <w:r>
        <w:rPr>
          <w:rFonts w:hint="eastAsia" w:ascii="仿宋" w:hAnsi="仿宋" w:eastAsia="仿宋" w:cs="仿宋"/>
          <w:color w:val="auto"/>
          <w:szCs w:val="24"/>
          <w:highlight w:val="none"/>
        </w:rPr>
        <w:t>）递交备份投标文件1份，</w:t>
      </w:r>
      <w:r>
        <w:rPr>
          <w:rFonts w:hint="eastAsia" w:ascii="仿宋" w:hAnsi="仿宋" w:eastAsia="仿宋" w:cs="仿宋"/>
          <w:b/>
          <w:color w:val="auto"/>
          <w:szCs w:val="24"/>
          <w:highlight w:val="none"/>
        </w:rPr>
        <w:t>但采购人、采购代理机构不强制或变相强制投标人提交备份投标文件。</w:t>
      </w:r>
    </w:p>
    <w:p w14:paraId="0E9783A5">
      <w:pPr>
        <w:pStyle w:val="11"/>
        <w:spacing w:line="400" w:lineRule="exact"/>
        <w:ind w:firstLine="480" w:firstLineChars="200"/>
        <w:rPr>
          <w:rFonts w:ascii="仿宋" w:hAnsi="仿宋" w:eastAsia="仿宋" w:cs="仿宋"/>
          <w:b/>
          <w:color w:val="auto"/>
          <w:szCs w:val="24"/>
          <w:highlight w:val="none"/>
        </w:rPr>
      </w:pPr>
      <w:r>
        <w:rPr>
          <w:rFonts w:hint="eastAsia" w:ascii="仿宋" w:hAnsi="仿宋" w:eastAsia="仿宋" w:cs="仿宋"/>
          <w:color w:val="auto"/>
          <w:szCs w:val="24"/>
          <w:highlight w:val="none"/>
        </w:rPr>
        <w:t>15.2备份投标文件须在“政采云投标客户端”制作生成。</w:t>
      </w:r>
    </w:p>
    <w:p w14:paraId="767DFB4E">
      <w:pPr>
        <w:pStyle w:val="11"/>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15.3采购代理机构将拒绝接受逾期送达的备份投标文件。</w:t>
      </w:r>
    </w:p>
    <w:p w14:paraId="6400895F">
      <w:pPr>
        <w:pStyle w:val="11"/>
        <w:spacing w:line="420" w:lineRule="exact"/>
        <w:ind w:firstLine="479" w:firstLineChars="199"/>
        <w:rPr>
          <w:rFonts w:ascii="仿宋" w:hAnsi="仿宋" w:eastAsia="仿宋" w:cs="仿宋"/>
          <w:b/>
          <w:color w:val="auto"/>
          <w:szCs w:val="24"/>
          <w:highlight w:val="none"/>
        </w:rPr>
      </w:pPr>
      <w:r>
        <w:rPr>
          <w:rFonts w:hint="eastAsia" w:ascii="仿宋" w:hAnsi="仿宋" w:eastAsia="仿宋" w:cs="仿宋"/>
          <w:b/>
          <w:color w:val="auto"/>
          <w:szCs w:val="24"/>
          <w:highlight w:val="none"/>
        </w:rPr>
        <w:t>15.4投标人仅提交备份投标文件，没有在电子交易平台传输递交投标文件的，投标无效。</w:t>
      </w:r>
    </w:p>
    <w:p w14:paraId="43DF1839">
      <w:pPr>
        <w:pStyle w:val="11"/>
        <w:spacing w:line="420" w:lineRule="exact"/>
        <w:ind w:firstLine="477" w:firstLineChars="199"/>
        <w:rPr>
          <w:rFonts w:ascii="仿宋" w:hAnsi="仿宋" w:eastAsia="仿宋" w:cs="仿宋"/>
          <w:color w:val="auto"/>
          <w:szCs w:val="24"/>
          <w:highlight w:val="none"/>
        </w:rPr>
      </w:pPr>
      <w:r>
        <w:rPr>
          <w:rFonts w:hint="eastAsia" w:ascii="仿宋" w:hAnsi="仿宋" w:eastAsia="仿宋" w:cs="仿宋"/>
          <w:color w:val="auto"/>
          <w:szCs w:val="24"/>
          <w:highlight w:val="none"/>
        </w:rPr>
        <w:t>15.5投标文件如有补充、修改，备份投标文件应同步调整并再次提交，采购代理机构以最新备份投标文件为准。</w:t>
      </w:r>
    </w:p>
    <w:p w14:paraId="4E36C344">
      <w:pPr>
        <w:pStyle w:val="38"/>
        <w:spacing w:before="0" w:line="42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01B238DA">
      <w:pPr>
        <w:pStyle w:val="3"/>
        <w:spacing w:line="420" w:lineRule="exact"/>
        <w:ind w:firstLine="360" w:firstLineChars="150"/>
        <w:rPr>
          <w:rFonts w:ascii="仿宋" w:hAnsi="仿宋" w:eastAsia="仿宋" w:cs="仿宋"/>
          <w:color w:val="auto"/>
          <w:highlight w:val="none"/>
        </w:rPr>
      </w:pPr>
      <w:r>
        <w:rPr>
          <w:rFonts w:hint="eastAsia" w:ascii="仿宋" w:hAnsi="仿宋" w:eastAsia="仿宋" w:cs="仿宋"/>
          <w:color w:val="auto"/>
          <w:highlight w:val="none"/>
        </w:rPr>
        <w:t>有招标文件第四章第4.2项规定的情形之一的，投标无效。</w:t>
      </w:r>
    </w:p>
    <w:p w14:paraId="6D583BB1">
      <w:pPr>
        <w:pStyle w:val="38"/>
        <w:spacing w:before="0" w:line="42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E5DECC6">
      <w:pPr>
        <w:spacing w:line="42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color w:val="auto"/>
          <w:sz w:val="24"/>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highlight w:val="none"/>
        </w:rPr>
        <w:t>诺的投标有效期少于招标文件中载明的投标有效期的，投标无效。</w:t>
      </w:r>
    </w:p>
    <w:p w14:paraId="3B1D0731">
      <w:pPr>
        <w:pStyle w:val="38"/>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BB94AF3">
      <w:pPr>
        <w:pStyle w:val="38"/>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0BC9353">
      <w:pPr>
        <w:pStyle w:val="38"/>
        <w:autoSpaceDE/>
        <w:autoSpaceDN/>
        <w:spacing w:before="120" w:beforeLines="5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2D24472">
      <w:pPr>
        <w:pStyle w:val="39"/>
        <w:spacing w:before="0" w:line="420" w:lineRule="exact"/>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6009840D">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2DE16435">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18.2开标时，电子交易平台按开标时间自动提取所有投标文件。采购代理机构依托电子交易平台发起开始解密指令，投标人按照平台提示在招标文件规定时间内完成在线解密。</w:t>
      </w:r>
    </w:p>
    <w:p w14:paraId="2A47142A">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电子加密投标文件”因在线解密异常而导致无法按时解密，投标人提供了“备份投标文件”的，以“备份投标文件”作为依据，否则视为投标文件撤回。“电子加密投标文件”已按时解密的，“备份投标文件”自动失效。</w:t>
      </w:r>
    </w:p>
    <w:p w14:paraId="55FB0FB1">
      <w:pPr>
        <w:pStyle w:val="39"/>
        <w:spacing w:before="0" w:line="420" w:lineRule="exact"/>
        <w:ind w:left="0" w:firstLine="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资格审查</w:t>
      </w:r>
    </w:p>
    <w:p w14:paraId="1228FC9F">
      <w:pPr>
        <w:pStyle w:val="38"/>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19.1开标后，采购人或采购代理机构将依法对投标人的资格进行审查。</w:t>
      </w:r>
    </w:p>
    <w:p w14:paraId="23FE393A">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19.2采购人或采购代理机构依据法律法规和招标文件的规定，对投标人的基本资格条件、特定资格条件进行审查。</w:t>
      </w:r>
    </w:p>
    <w:p w14:paraId="5AF59BC2">
      <w:pPr>
        <w:pStyle w:val="38"/>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szCs w:val="24"/>
          <w:highlight w:val="none"/>
        </w:rPr>
        <w:t>有效资格证明材料的，视为投标人不具备招标文件中规定的资格要求，其投标无效。</w:t>
      </w:r>
    </w:p>
    <w:p w14:paraId="7343AB93">
      <w:pPr>
        <w:pStyle w:val="38"/>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19.4对未通过资格审查的投标人，采购人或采购代理机构告知其未通过的原因。</w:t>
      </w:r>
    </w:p>
    <w:p w14:paraId="532ACACD">
      <w:pPr>
        <w:pStyle w:val="38"/>
        <w:spacing w:before="0" w:line="420" w:lineRule="exact"/>
        <w:ind w:firstLine="480"/>
        <w:rPr>
          <w:rFonts w:ascii="仿宋" w:hAnsi="仿宋" w:eastAsia="仿宋" w:cs="仿宋"/>
          <w:color w:val="auto"/>
          <w:highlight w:val="none"/>
        </w:rPr>
      </w:pPr>
      <w:r>
        <w:rPr>
          <w:rFonts w:hint="eastAsia" w:ascii="仿宋" w:hAnsi="仿宋" w:eastAsia="仿宋" w:cs="仿宋"/>
          <w:color w:val="auto"/>
          <w:szCs w:val="24"/>
          <w:highlight w:val="none"/>
        </w:rPr>
        <w:t>19.</w:t>
      </w:r>
      <w:r>
        <w:rPr>
          <w:rFonts w:hint="eastAsia" w:ascii="仿宋" w:hAnsi="仿宋" w:eastAsia="仿宋" w:cs="仿宋"/>
          <w:color w:val="auto"/>
          <w:highlight w:val="none"/>
        </w:rPr>
        <w:t>5合格投标人不足3家的，不再评标。</w:t>
      </w:r>
    </w:p>
    <w:p w14:paraId="32B36007">
      <w:pPr>
        <w:pStyle w:val="38"/>
        <w:spacing w:before="0" w:line="42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E1ED322">
      <w:pPr>
        <w:pStyle w:val="38"/>
        <w:spacing w:before="0" w:line="420" w:lineRule="exact"/>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20.1信用信息查询渠道及截止时间：采购代理机构将通过“信用中国”网站(www.creditchina.gov.cn)、中国政府采购网(www.ccgp.gov.cn)渠道查询投标人投标截止时间当天的信用记录。</w:t>
      </w:r>
    </w:p>
    <w:p w14:paraId="5BBE652C">
      <w:pPr>
        <w:pStyle w:val="38"/>
        <w:spacing w:before="0" w:line="420" w:lineRule="exact"/>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20.2信用信息查询记录和证据留存的具体方式：现场查询的投标人的信用记录、查询结果经确认后将与采购文件一起存档。</w:t>
      </w:r>
    </w:p>
    <w:p w14:paraId="6131B676">
      <w:pPr>
        <w:pStyle w:val="38"/>
        <w:spacing w:before="0" w:line="420" w:lineRule="exact"/>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20.3信用信息的使用规则：经查询列入失信被执行人名单、重大税收违法案件当事人名单、政府采购严重违法失信行为记录名单的投标人将被拒绝参与政府采购活动。</w:t>
      </w:r>
    </w:p>
    <w:p w14:paraId="03A3383A">
      <w:pPr>
        <w:pStyle w:val="38"/>
        <w:spacing w:before="0" w:line="420" w:lineRule="exact"/>
        <w:ind w:firstLine="480"/>
        <w:rPr>
          <w:rFonts w:ascii="仿宋" w:hAnsi="仿宋" w:eastAsia="仿宋" w:cs="仿宋"/>
          <w:color w:val="auto"/>
          <w:highlight w:val="none"/>
        </w:rPr>
      </w:pPr>
      <w:r>
        <w:rPr>
          <w:rFonts w:hint="eastAsia" w:ascii="仿宋" w:hAnsi="仿宋" w:eastAsia="仿宋" w:cs="仿宋"/>
          <w:color w:val="auto"/>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157B0E80">
      <w:pPr>
        <w:autoSpaceDE/>
        <w:autoSpaceDN/>
        <w:snapToGrid w:val="0"/>
        <w:spacing w:before="120" w:beforeLines="50" w:line="360" w:lineRule="auto"/>
        <w:jc w:val="center"/>
        <w:rPr>
          <w:rFonts w:ascii="仿宋" w:hAnsi="仿宋" w:eastAsia="仿宋" w:cs="仿宋"/>
          <w:b/>
          <w:color w:val="auto"/>
          <w:sz w:val="32"/>
          <w:szCs w:val="32"/>
          <w:highlight w:val="none"/>
        </w:rPr>
      </w:pPr>
      <w:bookmarkStart w:id="16" w:name="_Toc25016"/>
      <w:r>
        <w:rPr>
          <w:rFonts w:hint="eastAsia" w:ascii="仿宋" w:hAnsi="仿宋" w:eastAsia="仿宋" w:cs="仿宋"/>
          <w:b/>
          <w:color w:val="auto"/>
          <w:sz w:val="32"/>
          <w:szCs w:val="32"/>
          <w:highlight w:val="none"/>
        </w:rPr>
        <w:t>五、评标</w:t>
      </w:r>
      <w:bookmarkEnd w:id="16"/>
    </w:p>
    <w:p w14:paraId="670CD7C1">
      <w:pPr>
        <w:pStyle w:val="38"/>
        <w:spacing w:before="0" w:line="420" w:lineRule="exact"/>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21. 评标委员会将根据招标文件和有关规定，履行评标工作职责，并按照评标方法及评分标准，全面衡量各投标人对招标文件的响应情况。对实质上响应招标文件的投标人，按照评审因素进行评审。详见招标文件第四章评标办法。</w:t>
      </w:r>
    </w:p>
    <w:p w14:paraId="18A59BFF">
      <w:pPr>
        <w:autoSpaceDE/>
        <w:autoSpaceDN/>
        <w:snapToGrid w:val="0"/>
        <w:spacing w:before="120" w:beforeLines="50" w:line="360" w:lineRule="auto"/>
        <w:jc w:val="center"/>
        <w:rPr>
          <w:rFonts w:ascii="仿宋" w:hAnsi="仿宋" w:eastAsia="仿宋" w:cs="仿宋"/>
          <w:b/>
          <w:color w:val="auto"/>
          <w:sz w:val="32"/>
          <w:szCs w:val="32"/>
          <w:highlight w:val="none"/>
        </w:rPr>
      </w:pPr>
      <w:bookmarkStart w:id="17" w:name="_Toc12974"/>
      <w:r>
        <w:rPr>
          <w:rFonts w:hint="eastAsia" w:ascii="仿宋" w:hAnsi="仿宋" w:eastAsia="仿宋" w:cs="仿宋"/>
          <w:b/>
          <w:color w:val="auto"/>
          <w:sz w:val="32"/>
          <w:szCs w:val="32"/>
          <w:highlight w:val="none"/>
        </w:rPr>
        <w:t>六、定标</w:t>
      </w:r>
      <w:bookmarkEnd w:id="17"/>
    </w:p>
    <w:p w14:paraId="46B092AF">
      <w:pPr>
        <w:pStyle w:val="3"/>
        <w:spacing w:line="420" w:lineRule="exact"/>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48401754">
      <w:pPr>
        <w:pStyle w:val="38"/>
        <w:snapToGrid w:val="0"/>
        <w:spacing w:before="0" w:line="420" w:lineRule="exact"/>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采购人将自收到评审报告之日起5个工作日内通过电子交易平台在评审报告推荐的中标候选人中确定中标供应商，并将结果确认书面提交给采购代理机构。</w:t>
      </w:r>
    </w:p>
    <w:p w14:paraId="1D0FBF34">
      <w:pPr>
        <w:pStyle w:val="38"/>
        <w:snapToGrid w:val="0"/>
        <w:spacing w:before="0" w:line="42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FA1B92D">
      <w:pPr>
        <w:widowControl/>
        <w:shd w:val="clear" w:color="auto" w:fill="FFFFFF"/>
        <w:spacing w:line="42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23.1自中标人确定之日起2个工作日内，采购代理机构向中标人发出中标通知书，同时编制发布采购结果公告。</w:t>
      </w:r>
    </w:p>
    <w:p w14:paraId="2DCFD6E8">
      <w:pPr>
        <w:widowControl/>
        <w:shd w:val="clear" w:color="auto" w:fill="FFFFFF"/>
        <w:spacing w:line="42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23.2公告期限为1个工作日。</w:t>
      </w:r>
    </w:p>
    <w:p w14:paraId="1C1F7888">
      <w:pPr>
        <w:autoSpaceDE/>
        <w:autoSpaceDN/>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8C8D89F">
      <w:pPr>
        <w:pStyle w:val="3"/>
        <w:spacing w:line="420" w:lineRule="exact"/>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合同主要条款详见第五章拟签订的合同文本。</w:t>
      </w:r>
    </w:p>
    <w:p w14:paraId="56200F99">
      <w:pPr>
        <w:pStyle w:val="3"/>
        <w:spacing w:line="420" w:lineRule="exact"/>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368363A9">
      <w:pPr>
        <w:widowControl/>
        <w:shd w:val="clear" w:color="auto" w:fill="FFFFFF"/>
        <w:spacing w:line="42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25.1 采购人与中标人应当在中标通知书发出之日起三十日内，按照招标文件确定的事项签订政府采购合同，并在合同签订之日起2个工作日内依法发布合同公告。</w:t>
      </w:r>
    </w:p>
    <w:p w14:paraId="303201CE">
      <w:pPr>
        <w:pStyle w:val="38"/>
        <w:snapToGrid w:val="0"/>
        <w:spacing w:before="0" w:line="420" w:lineRule="exact"/>
        <w:ind w:firstLine="480"/>
        <w:rPr>
          <w:rFonts w:ascii="仿宋" w:hAnsi="仿宋" w:eastAsia="仿宋" w:cs="仿宋"/>
          <w:color w:val="auto"/>
          <w:highlight w:val="none"/>
          <w:lang w:val="zh-CN"/>
        </w:rPr>
      </w:pPr>
      <w:r>
        <w:rPr>
          <w:rFonts w:hint="eastAsia" w:ascii="仿宋" w:hAnsi="仿宋" w:eastAsia="仿宋" w:cs="仿宋"/>
          <w:color w:val="auto"/>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AD9EEEC">
      <w:pPr>
        <w:pStyle w:val="38"/>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01AB41C7">
      <w:pPr>
        <w:pStyle w:val="38"/>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25.4如签订合同并生效后，供应商无故拒绝或延期，除按照合同条款处理外，将上报政府采购监管部门予以处理。</w:t>
      </w:r>
    </w:p>
    <w:p w14:paraId="25E2DDEA">
      <w:pPr>
        <w:pStyle w:val="38"/>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25.5中标供应商拒绝与采购人签订合同的，采购人应当重新开展政府采购活动。</w:t>
      </w:r>
    </w:p>
    <w:p w14:paraId="54BCCB07">
      <w:pPr>
        <w:pStyle w:val="38"/>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25.6采购合同由采购人与中标供应商根据招标文件、投标文件等内容签订并公告。</w:t>
      </w:r>
    </w:p>
    <w:p w14:paraId="3785281C">
      <w:pPr>
        <w:pStyle w:val="3"/>
        <w:spacing w:line="420" w:lineRule="exact"/>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587ABC16">
      <w:pPr>
        <w:tabs>
          <w:tab w:val="left" w:pos="0"/>
        </w:tabs>
        <w:spacing w:line="420" w:lineRule="exact"/>
        <w:ind w:firstLine="482"/>
        <w:rPr>
          <w:rFonts w:ascii="仿宋" w:hAnsi="仿宋" w:eastAsia="仿宋" w:cs="仿宋"/>
          <w:b/>
          <w:color w:val="auto"/>
          <w:sz w:val="24"/>
          <w:highlight w:val="none"/>
        </w:rPr>
      </w:pPr>
      <w:r>
        <w:rPr>
          <w:rFonts w:hint="eastAsia" w:ascii="仿宋" w:hAnsi="仿宋" w:eastAsia="仿宋" w:cs="仿宋"/>
          <w:color w:val="auto"/>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ascii="仿宋" w:hAnsi="仿宋" w:eastAsia="仿宋" w:cs="仿宋"/>
          <w:b/>
          <w:color w:val="auto"/>
          <w:sz w:val="24"/>
          <w:highlight w:val="none"/>
        </w:rPr>
        <w:t>采购人不得拒收履约保函。</w:t>
      </w:r>
    </w:p>
    <w:p w14:paraId="5F53094A">
      <w:pPr>
        <w:tabs>
          <w:tab w:val="left" w:pos="0"/>
        </w:tabs>
        <w:spacing w:line="420" w:lineRule="exact"/>
        <w:ind w:firstLine="482"/>
        <w:rPr>
          <w:rFonts w:ascii="仿宋" w:hAnsi="仿宋" w:eastAsia="仿宋" w:cs="仿宋"/>
          <w:b/>
          <w:color w:val="auto"/>
          <w:sz w:val="32"/>
          <w:highlight w:val="none"/>
        </w:rPr>
      </w:pPr>
      <w:r>
        <w:rPr>
          <w:rFonts w:hint="eastAsia" w:ascii="仿宋" w:hAnsi="仿宋" w:eastAsia="仿宋" w:cs="仿宋"/>
          <w:color w:val="auto"/>
          <w:sz w:val="24"/>
          <w:highlight w:val="none"/>
        </w:rPr>
        <w:t>供应商可登录政府采购云平台-【金融服务】—【我的项目】—【已备案合同】以保函形式提供。政府采购云平台金融专线400-903-9583。</w:t>
      </w:r>
    </w:p>
    <w:p w14:paraId="08C28090">
      <w:pPr>
        <w:autoSpaceDE/>
        <w:autoSpaceDN/>
        <w:snapToGrid w:val="0"/>
        <w:spacing w:before="120" w:beforeLines="50"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F323AF2">
      <w:pPr>
        <w:pStyle w:val="38"/>
        <w:autoSpaceDE/>
        <w:autoSpaceDN/>
        <w:snapToGrid w:val="0"/>
        <w:spacing w:before="0" w:line="420" w:lineRule="atLeast"/>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71A76D3">
      <w:pPr>
        <w:pStyle w:val="38"/>
        <w:autoSpaceDE/>
        <w:autoSpaceDN/>
        <w:snapToGrid w:val="0"/>
        <w:spacing w:before="0" w:line="420" w:lineRule="atLeast"/>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217F7F1F">
      <w:pPr>
        <w:pStyle w:val="38"/>
        <w:autoSpaceDE/>
        <w:autoSpaceDN/>
        <w:snapToGrid w:val="0"/>
        <w:spacing w:before="0" w:line="420" w:lineRule="atLeast"/>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7CD095CB">
      <w:pPr>
        <w:pStyle w:val="38"/>
        <w:autoSpaceDE/>
        <w:autoSpaceDN/>
        <w:snapToGrid w:val="0"/>
        <w:spacing w:before="0" w:line="420" w:lineRule="atLeast"/>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3048B94E">
      <w:pPr>
        <w:pStyle w:val="38"/>
        <w:autoSpaceDE/>
        <w:autoSpaceDN/>
        <w:snapToGrid w:val="0"/>
        <w:spacing w:before="0" w:line="420" w:lineRule="atLeast"/>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23E40CB2">
      <w:pPr>
        <w:pStyle w:val="38"/>
        <w:autoSpaceDE/>
        <w:autoSpaceDN/>
        <w:snapToGrid w:val="0"/>
        <w:spacing w:before="0" w:line="420" w:lineRule="atLeast"/>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29A63D99">
      <w:pPr>
        <w:pStyle w:val="38"/>
        <w:autoSpaceDE/>
        <w:autoSpaceDN/>
        <w:snapToGrid w:val="0"/>
        <w:spacing w:before="0" w:line="420" w:lineRule="atLeast"/>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1135931D">
      <w:pPr>
        <w:snapToGrid w:val="0"/>
        <w:spacing w:before="120" w:beforeLines="50"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71BFD963">
      <w:pPr>
        <w:pStyle w:val="3"/>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29.验收</w:t>
      </w:r>
    </w:p>
    <w:p w14:paraId="6EE80949">
      <w:pPr>
        <w:tabs>
          <w:tab w:val="left" w:pos="0"/>
        </w:tabs>
        <w:autoSpaceDE/>
        <w:autoSpaceDN/>
        <w:spacing w:line="42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965A11">
      <w:pPr>
        <w:tabs>
          <w:tab w:val="left" w:pos="0"/>
        </w:tabs>
        <w:autoSpaceDE/>
        <w:autoSpaceDN/>
        <w:spacing w:line="42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29.2采购人可以邀请参加本项目的其他投标人或者第三方机构参与验收。参与验收的投标人或者第三方机构的意见作为验收书的参考资料一并存档。</w:t>
      </w:r>
    </w:p>
    <w:p w14:paraId="20A1A286">
      <w:pPr>
        <w:tabs>
          <w:tab w:val="left" w:pos="0"/>
        </w:tabs>
        <w:autoSpaceDE/>
        <w:autoSpaceDN/>
        <w:spacing w:line="42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E074EF">
      <w:pPr>
        <w:tabs>
          <w:tab w:val="left" w:pos="0"/>
        </w:tabs>
        <w:autoSpaceDE/>
        <w:autoSpaceDN/>
        <w:spacing w:line="420" w:lineRule="exact"/>
        <w:ind w:firstLine="482"/>
        <w:rPr>
          <w:rFonts w:ascii="宋体" w:hAnsi="宋体" w:cs="宋体"/>
          <w:color w:val="auto"/>
          <w:sz w:val="18"/>
          <w:szCs w:val="18"/>
          <w:highlight w:val="none"/>
        </w:rPr>
      </w:pPr>
      <w:r>
        <w:rPr>
          <w:rFonts w:hint="eastAsia" w:ascii="仿宋" w:hAnsi="仿宋" w:eastAsia="仿宋" w:cs="仿宋"/>
          <w:color w:val="auto"/>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
    <w:p w14:paraId="48145E03">
      <w:pPr>
        <w:tabs>
          <w:tab w:val="left" w:pos="0"/>
        </w:tabs>
        <w:autoSpaceDE/>
        <w:autoSpaceDN/>
        <w:spacing w:line="420" w:lineRule="exact"/>
        <w:ind w:firstLine="482"/>
        <w:rPr>
          <w:rFonts w:ascii="宋体" w:hAnsi="宋体" w:cs="宋体"/>
          <w:color w:val="auto"/>
          <w:sz w:val="24"/>
          <w:highlight w:val="none"/>
        </w:rPr>
        <w:sectPr>
          <w:headerReference r:id="rId11" w:type="first"/>
          <w:footerReference r:id="rId14" w:type="first"/>
          <w:headerReference r:id="rId10" w:type="default"/>
          <w:footerReference r:id="rId12" w:type="default"/>
          <w:footerReference r:id="rId13" w:type="even"/>
          <w:pgSz w:w="11906" w:h="16838"/>
          <w:pgMar w:top="1247" w:right="1236" w:bottom="1247" w:left="1236" w:header="567" w:footer="992" w:gutter="0"/>
          <w:cols w:space="720" w:num="1"/>
          <w:titlePg/>
          <w:docGrid w:linePitch="312" w:charSpace="0"/>
        </w:sectPr>
      </w:pPr>
      <w:bookmarkStart w:id="18" w:name="_Hlt75236290"/>
      <w:bookmarkEnd w:id="18"/>
      <w:bookmarkStart w:id="19" w:name="_Hlt74730295"/>
      <w:bookmarkEnd w:id="19"/>
      <w:bookmarkStart w:id="20" w:name="_Hlt74714665"/>
      <w:bookmarkEnd w:id="20"/>
      <w:bookmarkStart w:id="21" w:name="_Hlt68073093"/>
      <w:bookmarkEnd w:id="21"/>
      <w:bookmarkStart w:id="22" w:name="_Hlt75236101"/>
      <w:bookmarkEnd w:id="22"/>
      <w:bookmarkStart w:id="23" w:name="_Hlt68057669"/>
      <w:bookmarkEnd w:id="23"/>
      <w:bookmarkStart w:id="24" w:name="_Hlt68072998"/>
      <w:bookmarkEnd w:id="24"/>
      <w:bookmarkStart w:id="25" w:name="_Hlt75236011"/>
      <w:bookmarkEnd w:id="25"/>
      <w:bookmarkStart w:id="26" w:name="_Hlt68403820"/>
      <w:bookmarkEnd w:id="26"/>
      <w:bookmarkStart w:id="27" w:name="_Hlt68072990"/>
      <w:bookmarkEnd w:id="27"/>
      <w:bookmarkStart w:id="28" w:name="_Hlt74707468"/>
      <w:bookmarkEnd w:id="28"/>
      <w:bookmarkStart w:id="29" w:name="_Hlt74729768"/>
      <w:bookmarkEnd w:id="29"/>
    </w:p>
    <w:bookmarkEnd w:id="6"/>
    <w:bookmarkEnd w:id="7"/>
    <w:p w14:paraId="29B3186A">
      <w:pPr>
        <w:pStyle w:val="4"/>
        <w:spacing w:before="100" w:after="200" w:line="240" w:lineRule="auto"/>
        <w:jc w:val="center"/>
        <w:rPr>
          <w:rFonts w:ascii="宋体" w:hAnsi="宋体" w:cs="宋体"/>
          <w:color w:val="auto"/>
          <w:sz w:val="36"/>
          <w:szCs w:val="36"/>
          <w:highlight w:val="none"/>
        </w:rPr>
      </w:pPr>
      <w:bookmarkStart w:id="30" w:name="_Toc21669"/>
      <w:bookmarkStart w:id="31" w:name="_Toc30331"/>
      <w:r>
        <w:rPr>
          <w:rFonts w:hint="eastAsia" w:ascii="宋体" w:hAnsi="宋体" w:cs="宋体"/>
          <w:color w:val="auto"/>
          <w:sz w:val="36"/>
          <w:szCs w:val="36"/>
          <w:highlight w:val="none"/>
        </w:rPr>
        <w:t>第三章   采购需求</w:t>
      </w:r>
      <w:bookmarkEnd w:id="30"/>
      <w:bookmarkEnd w:id="31"/>
    </w:p>
    <w:p w14:paraId="4CCB91F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lang w:val="en-US" w:eastAsia="zh-CN"/>
        </w:rPr>
      </w:pPr>
      <w:bookmarkStart w:id="32" w:name="_Toc5433"/>
      <w:bookmarkStart w:id="33" w:name="_Toc3421"/>
      <w:r>
        <w:rPr>
          <w:rFonts w:hint="eastAsia" w:ascii="仿宋" w:hAnsi="仿宋" w:eastAsia="仿宋" w:cs="仿宋"/>
          <w:b/>
          <w:bCs/>
          <w:color w:val="auto"/>
          <w:sz w:val="24"/>
          <w:szCs w:val="24"/>
          <w:lang w:val="en-US" w:eastAsia="zh-CN"/>
        </w:rPr>
        <w:t>（一）项目建设背景</w:t>
      </w:r>
    </w:p>
    <w:p w14:paraId="5A38494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围绕“规划好、建设好、环境好、经营好、乡风好、宜居宜业”的目标，强化规划引领，统筹资源要素，动员各方力量，增强乡村发展新动能，深入挖掘和开发利用具有马剑特色乡村资源，把“生态优势”变成“民生福利”，积极探索和美乡村建设有效途径，聚焦“乡韵马剑”“五好两宜”和美乡村建设主题，将试点区打造成和美乡村精品示范地、连片组团发展标杆地。</w:t>
      </w:r>
      <w:r>
        <w:rPr>
          <w:rFonts w:hint="eastAsia" w:ascii="仿宋" w:hAnsi="仿宋" w:eastAsia="仿宋" w:cs="仿宋"/>
          <w:b w:val="0"/>
          <w:bCs w:val="0"/>
          <w:color w:val="auto"/>
          <w:sz w:val="24"/>
          <w:szCs w:val="24"/>
          <w:lang w:val="en-US" w:eastAsia="zh-CN"/>
        </w:rPr>
        <w:t>马剑镇状元村柿子深加工基地全产业链配套体系建设工程项目同步导入省农发、</w:t>
      </w:r>
      <w:r>
        <w:rPr>
          <w:rFonts w:hint="eastAsia" w:ascii="仿宋" w:hAnsi="仿宋" w:eastAsia="仿宋" w:cs="仿宋"/>
          <w:color w:val="auto"/>
          <w:sz w:val="24"/>
          <w:szCs w:val="24"/>
          <w:lang w:val="en-US" w:eastAsia="zh-CN"/>
        </w:rPr>
        <w:t>省级网上农博平台、浙旅集团等资源，力争打造成为具有全省知名度、可复制的致富样板。</w:t>
      </w:r>
    </w:p>
    <w:p w14:paraId="11D4B90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（二）建设目标：</w:t>
      </w:r>
    </w:p>
    <w:p w14:paraId="6D05791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1、柿子深加工文化布置布展：</w:t>
      </w:r>
    </w:p>
    <w:p w14:paraId="31685E4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研学基地——状元村老学校改造为研学基地，以柿子产业为核心IP，打造具有地方特色的柿子文化基地内部增设研学展馆、教研学习教室及柿子手工作坊等让孩子游客能参观学习柿子相关知识，并亲手参与柿子相关产品制作全过程，制作工艺等。柿子研学基地以老房改造为契机，实现功能活化，同时联动乡村文化及相关旅游景点，进一步奋力实现共同富裕。</w:t>
      </w:r>
    </w:p>
    <w:p w14:paraId="35BA280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游客中心——将旧村部改造为状元村游客服务中心。一层通过改造，形成三大核心功能区，游客接待中心、柿子咖啡厅、柿子打包售卖展示中心，满足游客咨询、交流、休憩、购物等需求。二楼改为游客中心工作人员办公室。</w:t>
      </w:r>
    </w:p>
    <w:p w14:paraId="1BDC3A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分拣中心——利用新村部三楼，打造以柿子产业为核心的果蔬分拣中心，两栋建筑中间连接；左侧区域分为分拣及打包功能区；右侧区域分为成品堆放区，将打包好的货物按类有序堆叠，借助电梯运输至一、二楼冷库储存。</w:t>
      </w:r>
    </w:p>
    <w:p w14:paraId="55B5203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2、深加工周边环境氛围提升：景观门台、围墙、铺装、绿化种植等。</w:t>
      </w:r>
    </w:p>
    <w:p w14:paraId="3524059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3、柿子产业灌溉系统设备安装。</w:t>
      </w:r>
    </w:p>
    <w:p w14:paraId="0C0669E3">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（三）项目建设地点及服务期限：</w:t>
      </w:r>
    </w:p>
    <w:p w14:paraId="67BB0382">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1、建设地点：诸暨市马剑镇状元村；</w:t>
      </w:r>
    </w:p>
    <w:p w14:paraId="718E4DEE">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2、服务期限：自合同签订之日起至2025年12月31日。</w:t>
      </w:r>
    </w:p>
    <w:p w14:paraId="459D8BDC">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（四）项目建设内容：</w:t>
      </w:r>
    </w:p>
    <w:p w14:paraId="1BE2D92A">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1、深加工文化布置布展：</w:t>
      </w:r>
    </w:p>
    <w:p w14:paraId="05AC855E">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①研学基地：文创商店、柿子活动间、柿子手工作坊、柿子科普展厅、室内外装饰等；</w:t>
      </w:r>
    </w:p>
    <w:p w14:paraId="21C29B41">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②游客中心：外立面改造、柿子咖啡厅、柿子售卖展厅、墙面装饰、二楼办公室布置等；</w:t>
      </w:r>
    </w:p>
    <w:p w14:paraId="4B6DC935">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③分拣中心：吊顶天棚装饰、地坪装饰、分拣设备安装、运输货梯安装等。</w:t>
      </w:r>
    </w:p>
    <w:p w14:paraId="29F55C50">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560" w:firstLine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深加工周边环境氛围提升：入户门头、花岗岩铺装、造型台阶、绿化种植等。</w:t>
      </w:r>
    </w:p>
    <w:p w14:paraId="10852580">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560" w:firstLineChars="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柿子产业灌溉系统设备：控制系统、自动喷灌、设备采购、安装、维护等。</w:t>
      </w:r>
    </w:p>
    <w:p w14:paraId="72935582">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（五）采购内容清单（见附件）</w:t>
      </w:r>
    </w:p>
    <w:p w14:paraId="3F50326D">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（六）技术要求：</w:t>
      </w:r>
    </w:p>
    <w:p w14:paraId="252C92E5">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1、中标人须经有设计资质的单位进行深化设计。</w:t>
      </w:r>
    </w:p>
    <w:p w14:paraId="01B2D94B">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2、中标人布展装修必须达到招标要求效果，如不能达到，在招标人允许的一定时间内进行修改、完善，所涉及的费用由中标人负责。</w:t>
      </w:r>
    </w:p>
    <w:p w14:paraId="20D4085E">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3、隐蔽工程经招标人验收合格后方可进入下道工序。</w:t>
      </w:r>
    </w:p>
    <w:p w14:paraId="5593ABB8">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4、未尽的技术条件及要求均按国家标准和行业标准执行。</w:t>
      </w:r>
    </w:p>
    <w:p w14:paraId="5221AA99">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（七）项目管理的要求</w:t>
      </w:r>
    </w:p>
    <w:p w14:paraId="44CA7CFC">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1、本项目发包范围内的工程项目，未经采购人同意，不得分包。一经发现立即取消中标资格，作违约处理，并承担由此引起的一切经济损失。</w:t>
      </w:r>
    </w:p>
    <w:p w14:paraId="5DC58609">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2、中标人应严格按照设计图纸和已确认的施工技术方案组织施工，并无条件地接受采购人对施工质量的监督和管理。</w:t>
      </w:r>
    </w:p>
    <w:p w14:paraId="49861F08">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由于施工场地和项目的特殊性，要求中标人在开工之前和施工期间做好安全文明标准化管理，要求在投标文件中阐述有关施工方案和管理措施，并作出相应承诺，确保场内外道路清洁畅通，确保来往车辆、人员安全。</w:t>
      </w:r>
    </w:p>
    <w:p w14:paraId="0CCCFBE1">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4、投标报价</w:t>
      </w:r>
    </w:p>
    <w:p w14:paraId="58A4107B">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①投标人须认真阅读、充分理解施工场地的整体规划方案，对方案理解不清、产生歧义等由此产生的费用，视作已含在投标总价中。</w:t>
      </w:r>
    </w:p>
    <w:p w14:paraId="2DA48F18">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②投标人应对投标内容所涉及的一切知识产权承担责任，并负责保护招标人的利益不受损害，一切由于侵权引起的法律、诉讼、裁决和所发生的费用均与招标人无关。</w:t>
      </w:r>
    </w:p>
    <w:p w14:paraId="6D69582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2"/>
          <w:sz w:val="24"/>
          <w:szCs w:val="24"/>
          <w:lang w:val="en-US" w:eastAsia="zh-CN" w:bidi="ar-SA"/>
        </w:rPr>
        <w:t>（八）</w:t>
      </w:r>
      <w:r>
        <w:rPr>
          <w:rFonts w:hint="eastAsia" w:ascii="仿宋" w:hAnsi="仿宋" w:eastAsia="仿宋" w:cs="仿宋"/>
          <w:b/>
          <w:bCs/>
          <w:color w:val="auto"/>
          <w:sz w:val="24"/>
          <w:szCs w:val="24"/>
          <w:lang w:val="en-US" w:eastAsia="zh-CN"/>
        </w:rPr>
        <w:t>质量要求</w:t>
      </w:r>
    </w:p>
    <w:p w14:paraId="420CA0B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1、本项目质量目标为一次性通过验收合格，投标人应详细编制施工方案，详细叙述关键部位的质量保证措施，并在投标文件中对质量目标进行承诺。</w:t>
      </w:r>
    </w:p>
    <w:p w14:paraId="4808744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2、中标人须无条件接受质量监督管理部门、采购人以及相关部门质量检查和管理，共同把好质量关。</w:t>
      </w:r>
    </w:p>
    <w:p w14:paraId="0599FEB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★3、中标人的设备摆放需得到采购人的确认合格后，方可进入下一步的制作施工。（提供承诺函，格式自拟）</w:t>
      </w:r>
    </w:p>
    <w:p w14:paraId="026D7F3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本项目所采用的材料选择得当，色彩选配考究，线条处理协调，并且符合国家现行规范要求，主要材料应采用高端配置。运用新材料、新工艺，提高布展中的科技含量；运用节能、环保材料和环保技术，充分考虑材料的安全性、通用性、牢固性、美观性、标准化，未尽的技术条件及要求均按国家标准和行业标准执行。</w:t>
      </w:r>
    </w:p>
    <w:p w14:paraId="19E8F79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5、供应商保证所供的产品必须是出厂原装合格产品，如发生所供的产品与合同不符，采购人有权拒收或退货，由此产生的一切责任和后果由供应商承担。质保期自货物验收合格之日起计。</w:t>
      </w:r>
    </w:p>
    <w:p w14:paraId="61AEBCC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6、在所供产品交付时，供应商必须向采购人提供产品说明书、质量保证书、保修卡及招标文件要求的其他证明材料等必须具备的资料和必备附件。</w:t>
      </w:r>
    </w:p>
    <w:p w14:paraId="4D4674E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中标供应商有义务对采购人采购设备的正常使用和维护提供必要的培训，并且所有培训都必须是免费的（包括交通费、食宿费、培训费等）；培训的内容包括主要设备和软件的安装、使用、配置管理、性能优化以及硬件基本维护知识。</w:t>
      </w:r>
    </w:p>
    <w:p w14:paraId="2776C3A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（九）其他要求</w:t>
      </w:r>
    </w:p>
    <w:p w14:paraId="38A430D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1、中标人应根据货物不同的特性和要求采取防潮、防雨、防锈、防震、防腐等保护措施，以保证货物安全无损地到达采购方指定地点。</w:t>
      </w:r>
    </w:p>
    <w:p w14:paraId="5A22D44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2、中标单位应将用户手册、保修手册、有关单证资料及配备件、随机工具等交付采购人，使用操作及安全须知等重要资料应附有中文说明。</w:t>
      </w:r>
    </w:p>
    <w:p w14:paraId="0669683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3、所有货物、零部件均由具有生产制造资格的企业提供，并由中标人负总责任。</w:t>
      </w:r>
    </w:p>
    <w:p w14:paraId="7D584EE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★4、项目服务期间发生的所有安全责任事故，由中标单位负全部责任。（提供承诺函，格式自拟）</w:t>
      </w:r>
    </w:p>
    <w:p w14:paraId="731CF36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（十）质保期要求</w:t>
      </w:r>
    </w:p>
    <w:p w14:paraId="4DE4784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★1、中标人应提供不少于1年的免费保修期（自最终验收合格之日起计），包括所有设备器材，对此投标人必须在投标文件中作出明确承诺（提供承诺函，格式自拟）。</w:t>
      </w:r>
    </w:p>
    <w:p w14:paraId="2B3D98F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2、质量保证期内，中标人提供7*24小时电话咨询服务及5*8小时上门服务。在接到维修服务需求后，4小时内到达现场并完成维修服务。</w:t>
      </w:r>
    </w:p>
    <w:p w14:paraId="1553E65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质量保证期内，中标人负责免费提供货物所需全部备件，并提供免费维修、保养服务。非因采购人人为原因而出现货物质量问题的，由中标人负责包修、包换或包退并承担修理、调换或退货而产生的实际费用。如因采购人使用不当造成损坏的，中标人应负责修理、调换，费用另行协商。</w:t>
      </w:r>
    </w:p>
    <w:p w14:paraId="0BE327C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4、质量保证期内，如在中标人维修后仍无法正常使用的，采购人有权要求中标人在一周内免费提供同档次的备用货物供采购人使用。</w:t>
      </w:r>
    </w:p>
    <w:p w14:paraId="011A6B7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5、保修期结束后，中标人仍应对项目保证及时、良好地维护服务。</w:t>
      </w:r>
    </w:p>
    <w:p w14:paraId="2701062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（十一）验收要求</w:t>
      </w:r>
    </w:p>
    <w:p w14:paraId="1A82B33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验收标准：项目完工由采购人组织相关专家进行验收，验收费用由中标方支付。按照招标文件、合同规定的参数条款以及国家通用的相关行业标准和国家相关产品验收标准进行验收。如验收不合格，采购人有权要求中标人进行限期整改，如整改后仍不能达到合格标准，采购人有权终止合同，并没收全部履约保证金，中标人还需承担由此给采购人带来的一切损失。</w:t>
      </w:r>
    </w:p>
    <w:p w14:paraId="57032C4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2、产品验收：</w:t>
      </w:r>
    </w:p>
    <w:p w14:paraId="6447062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（1）出厂检验：中标人在货物出厂前应根据制造标准进行全面检验，并提供产品制造商的出厂检验报告和合格证书。</w:t>
      </w:r>
    </w:p>
    <w:p w14:paraId="12FE874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到货检验：本项目所有货物到达现场后，采购人有权委托专业的第三方检测机构对货物进行抽样检测，产品必须符合招标文件及最新国家标准的要求。不合格的可以部分或全部拒收。中标人应立即补足或更换全新同规格、同型号、同样式的产品，并承担相关费用直至使采购人满意为止。中标人须保证所提供的产品是全新的、未使用过的。</w:t>
      </w:r>
    </w:p>
    <w:p w14:paraId="6C55EDC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（3）中标人自检：产品现场安装后，中标人要对产品的性能、质量进行全面的检验，并向采购人出具自检记录，其结果应满足产品验收标准。</w:t>
      </w:r>
    </w:p>
    <w:p w14:paraId="4F1AF60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验收时，投标单位需提供交货清单，如果不提供或者提供不全的，采购人有权拒收货物，并要求中标人重新提供。中标人须保证通过相关部门验收，如需整改，中标人应无条件进行整改，并符合有关管理部门要求，中标人须承担整改过程中的一切费用。</w:t>
      </w:r>
    </w:p>
    <w:p w14:paraId="3BBFD96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（5）验收最少需要满足上述标准或中标人中标产品技术标准，否则视为验收不合格。</w:t>
      </w:r>
    </w:p>
    <w:p w14:paraId="401ADFD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（十二）违约责任</w:t>
      </w:r>
    </w:p>
    <w:p w14:paraId="4F123B0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1、未在采购人要求时间内完成供货的，中标人向采购人支付合同款总价</w:t>
      </w:r>
      <w:r>
        <w:rPr>
          <w:rFonts w:hint="eastAsia" w:ascii="仿宋" w:hAnsi="仿宋" w:eastAsia="仿宋" w:cs="仿宋"/>
          <w:b w:val="0"/>
          <w:bCs w:val="0"/>
          <w:color w:val="auto"/>
          <w:sz w:val="24"/>
          <w:szCs w:val="24"/>
          <w:u w:val="single"/>
          <w:lang w:val="en-US" w:eastAsia="zh-CN"/>
        </w:rPr>
        <w:t xml:space="preserve"> 5 </w:t>
      </w:r>
      <w:r>
        <w:rPr>
          <w:rFonts w:hint="eastAsia" w:ascii="仿宋" w:hAnsi="仿宋" w:eastAsia="仿宋" w:cs="仿宋"/>
          <w:b w:val="0"/>
          <w:bCs w:val="0"/>
          <w:color w:val="auto"/>
          <w:sz w:val="24"/>
          <w:szCs w:val="24"/>
          <w:lang w:val="en-US" w:eastAsia="zh-CN"/>
        </w:rPr>
        <w:t>%的违约金。</w:t>
      </w:r>
    </w:p>
    <w:p w14:paraId="1B08CD4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采购人组织验收不合格的，限期整改重新组织验收。如第二次验收仍不合格的扣除全部履约保证金后限期整改重新组织验收。第三次验收不合格采购人有权直接解除合同，由此造成的一切后果由中标人承担。第一次及第二次验收不合格后，在限期内未整改完成的，每逾期1天，乙方向甲方偿付逾期部分产品货款的0.5%的滞纳金。</w:t>
      </w:r>
    </w:p>
    <w:p w14:paraId="3D51EC26">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3、质量保证期内，中标人未按承诺要求进行维保的，采购人有权自行委托第三人维修，维修费全部由中标人承担。如因此造成采购人损失的，中标人应当赔偿采购人的全部损失。</w:t>
      </w:r>
    </w:p>
    <w:p w14:paraId="0A2C659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4、如中标人提供的产品与投标文件中承诺的产品用材不一致，则中标人必须接受无条件退货并赔偿采购人合同总价10%的违约金。</w:t>
      </w:r>
    </w:p>
    <w:p w14:paraId="350AA2D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(十三)履约保证金</w:t>
      </w:r>
    </w:p>
    <w:p w14:paraId="566FA99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项目实施前，中标人向采购人缴纳中标价1%的履约保证金，供应商应当以支票、汇票本票或者金融机构、担保机构出具的保函等非现金形式提交，所有货物安装调试完成经验收合格后退回。</w:t>
      </w:r>
    </w:p>
    <w:p w14:paraId="4DB1684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(十四)付款方式</w:t>
      </w:r>
    </w:p>
    <w:p w14:paraId="11B6009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付款方式：合同签订并中标人提供履约保证金后5个工作日内支付合同金额的50%作为预付款；项目竣工验收合格后7个工作日内支付至合同总价的85%并退还履约保证金；中标人根据中央财政资金使用标准提交完整竣工验收资料并经审计后支付至审计确认价的100%。</w:t>
      </w:r>
      <w:r>
        <w:rPr>
          <w:rFonts w:hint="eastAsia" w:ascii="仿宋" w:hAnsi="仿宋" w:eastAsia="仿宋" w:cs="仿宋"/>
          <w:b/>
          <w:bCs/>
          <w:color w:val="auto"/>
          <w:sz w:val="24"/>
          <w:szCs w:val="24"/>
          <w:lang w:val="en-US" w:eastAsia="zh-CN"/>
        </w:rPr>
        <w:t>（本项目第三方审计时，以投标单价为准，工程量按实结算。当审计结果大于合同价时，以合同价结算不得增加；当审计结果小于合同价时，按实结算。）</w:t>
      </w:r>
      <w:r>
        <w:rPr>
          <w:rFonts w:hint="eastAsia" w:ascii="仿宋" w:hAnsi="仿宋" w:eastAsia="仿宋" w:cs="仿宋"/>
          <w:b w:val="0"/>
          <w:bCs w:val="0"/>
          <w:color w:val="auto"/>
          <w:sz w:val="24"/>
          <w:szCs w:val="24"/>
          <w:lang w:val="en-US" w:eastAsia="zh-CN"/>
        </w:rPr>
        <w:t>注：中标人必须开具合同金额100%的正式税务发票；以上各阶段付款时间是指采购人完成向财政部门申报支付手续的时间，因财政部门资金申报、审查、拨付造成的支付时间延误的，不视为采购人违约。</w:t>
      </w:r>
    </w:p>
    <w:p w14:paraId="55D2779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(十五)最高限价：</w:t>
      </w:r>
    </w:p>
    <w:p w14:paraId="503ECFF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本项目总最高限价为人民币叁佰陆拾万元整(￥3600000.00)，任何超过最高限价的报价将被认定为无效报价(投标报价包括人工、材料、设备、验收、运输、安装、安全文明施工、税金等本项目实施的一切费用)。</w:t>
      </w:r>
    </w:p>
    <w:p w14:paraId="01E1C5A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注：★为实质性响应项，不满足则投标无效。</w:t>
      </w:r>
    </w:p>
    <w:p w14:paraId="54F911F3">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lang w:val="en-US" w:eastAsia="zh-CN"/>
        </w:rPr>
      </w:pPr>
    </w:p>
    <w:p w14:paraId="135EC643">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lang w:val="en-US" w:eastAsia="zh-CN"/>
        </w:rPr>
      </w:pPr>
    </w:p>
    <w:p w14:paraId="41565505">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lang w:val="en-US" w:eastAsia="zh-CN"/>
        </w:rPr>
      </w:pPr>
    </w:p>
    <w:p w14:paraId="39429365">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lang w:val="en-US" w:eastAsia="zh-CN"/>
        </w:rPr>
      </w:pPr>
    </w:p>
    <w:p w14:paraId="380C1A8C">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lang w:val="en-US" w:eastAsia="zh-CN"/>
        </w:rPr>
      </w:pPr>
    </w:p>
    <w:p w14:paraId="7AB2F906">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lang w:val="en-US" w:eastAsia="zh-CN"/>
        </w:rPr>
      </w:pPr>
    </w:p>
    <w:p w14:paraId="0503B75B">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lang w:val="en-US" w:eastAsia="zh-CN"/>
        </w:rPr>
      </w:pPr>
    </w:p>
    <w:p w14:paraId="55ACE5DC">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lang w:val="en-US" w:eastAsia="zh-CN"/>
        </w:rPr>
      </w:pPr>
    </w:p>
    <w:p w14:paraId="5BC719A7">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lang w:val="en-US" w:eastAsia="zh-CN"/>
        </w:rPr>
      </w:pPr>
    </w:p>
    <w:p w14:paraId="66D886C7">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lang w:val="en-US" w:eastAsia="zh-CN"/>
        </w:rPr>
      </w:pPr>
    </w:p>
    <w:p w14:paraId="53E16D12">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lang w:val="en-US" w:eastAsia="zh-CN"/>
        </w:rPr>
      </w:pPr>
    </w:p>
    <w:p w14:paraId="6058CAD0">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lang w:val="en-US" w:eastAsia="zh-CN"/>
        </w:rPr>
      </w:pPr>
    </w:p>
    <w:p w14:paraId="05ED4AA4">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附件：采购内容清单</w:t>
      </w:r>
    </w:p>
    <w:tbl>
      <w:tblPr>
        <w:tblStyle w:val="23"/>
        <w:tblW w:w="97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
        <w:gridCol w:w="2020"/>
        <w:gridCol w:w="3717"/>
        <w:gridCol w:w="737"/>
        <w:gridCol w:w="1062"/>
        <w:gridCol w:w="1665"/>
      </w:tblGrid>
      <w:tr w14:paraId="088F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0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20AFA517">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序号</w:t>
            </w:r>
          </w:p>
        </w:tc>
        <w:tc>
          <w:tcPr>
            <w:tcW w:w="202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2765A7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项目名称</w:t>
            </w:r>
          </w:p>
        </w:tc>
        <w:tc>
          <w:tcPr>
            <w:tcW w:w="371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EDAC6DE">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项目特征</w:t>
            </w:r>
          </w:p>
        </w:tc>
        <w:tc>
          <w:tcPr>
            <w:tcW w:w="73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7CD147B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计量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单位</w:t>
            </w:r>
          </w:p>
        </w:tc>
        <w:tc>
          <w:tcPr>
            <w:tcW w:w="106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3F7157E6">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工程量</w:t>
            </w:r>
          </w:p>
        </w:tc>
        <w:tc>
          <w:tcPr>
            <w:tcW w:w="166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55955FD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备注</w:t>
            </w:r>
          </w:p>
        </w:tc>
      </w:tr>
      <w:tr w14:paraId="1E17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A0C16">
            <w:pPr>
              <w:keepNext w:val="0"/>
              <w:keepLines w:val="0"/>
              <w:pageBreakBefore w:val="0"/>
              <w:widowControl/>
              <w:kinsoku/>
              <w:wordWrap/>
              <w:overflowPunct/>
              <w:topLinePunct w:val="0"/>
              <w:autoSpaceDE/>
              <w:autoSpaceDN/>
              <w:bidi w:val="0"/>
              <w:adjustRightInd w:val="0"/>
              <w:snapToGrid/>
              <w:spacing w:line="300" w:lineRule="exact"/>
              <w:jc w:val="left"/>
              <w:rPr>
                <w:rFonts w:hint="eastAsia" w:ascii="仿宋" w:hAnsi="仿宋" w:eastAsia="仿宋" w:cs="仿宋"/>
                <w:i w:val="0"/>
                <w:iCs w:val="0"/>
                <w:color w:val="auto"/>
                <w:sz w:val="24"/>
                <w:szCs w:val="24"/>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45BF3">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柿界工坊（单层）</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371CD">
            <w:pPr>
              <w:keepNext w:val="0"/>
              <w:keepLines w:val="0"/>
              <w:pageBreakBefore w:val="0"/>
              <w:widowControl/>
              <w:kinsoku/>
              <w:wordWrap/>
              <w:overflowPunct/>
              <w:topLinePunct w:val="0"/>
              <w:autoSpaceDE/>
              <w:autoSpaceDN/>
              <w:bidi w:val="0"/>
              <w:adjustRightInd w:val="0"/>
              <w:snapToGrid/>
              <w:spacing w:line="300" w:lineRule="exact"/>
              <w:jc w:val="left"/>
              <w:rPr>
                <w:rFonts w:hint="eastAsia" w:ascii="仿宋" w:hAnsi="仿宋" w:eastAsia="仿宋" w:cs="仿宋"/>
                <w:i w:val="0"/>
                <w:iCs w:val="0"/>
                <w:color w:val="auto"/>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80AE5">
            <w:pPr>
              <w:keepNext w:val="0"/>
              <w:keepLines w:val="0"/>
              <w:pageBreakBefore w:val="0"/>
              <w:widowControl/>
              <w:kinsoku/>
              <w:wordWrap/>
              <w:overflowPunct/>
              <w:topLinePunct w:val="0"/>
              <w:autoSpaceDE/>
              <w:autoSpaceDN/>
              <w:bidi w:val="0"/>
              <w:adjustRightInd w:val="0"/>
              <w:snapToGrid/>
              <w:spacing w:line="300" w:lineRule="exact"/>
              <w:jc w:val="left"/>
              <w:rPr>
                <w:rFonts w:hint="eastAsia" w:ascii="仿宋" w:hAnsi="仿宋" w:eastAsia="仿宋" w:cs="仿宋"/>
                <w:i w:val="0"/>
                <w:iCs w:val="0"/>
                <w:color w:val="auto"/>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684B9">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0D984">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253FF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F6036">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472DE">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块料楼地面</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74DAF">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卫生间地砖；原地面拆除、找平、找砼、铺砖</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7BCC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8458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69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21A0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1EE8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62127">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81824">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吊顶天棚</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1B086">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厕所铝扣板吊顶（含专用配套龙骨）</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188C1">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A1E97">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69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93F26">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1305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D6DE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8B705">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现浇水磨石楼地面</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DC355">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水磨石地面：（原地面拆除）</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1、20厚DS20.0干混砂浆找平层；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2、18厚彩色水磨石有嵌条不带图案；</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CFA35">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08E7C">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929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3E8A5">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1648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E7FC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2C6B7">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立面抹灰层拆除</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42BB5">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原墙面起壳粉刷层铲除</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1AA1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15A91">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1085</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8EFD7">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2256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7948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33F0E">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墙面喷刷涂料</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98F21">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墙面白色无机乳胶漆：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1、内墙粉刷；</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2、批刮腻子（满刮两遍）抹灰面；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3、白色无机乳胶漆二遍；</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CC57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C117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1450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413D9">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7067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C7CA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6711F">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块料墙面</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F38E1">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墙面铲除、找平、贴砖</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192E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39FE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223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FE635">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295AD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B8F1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BF840">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吊顶天棚</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38FA5">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石膏板吊顶：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1、轻钢龙骨（U50型）平面；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2、9.5厚石膏板覆面；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3、板缝贴胶带、点锈；</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4、批刮腻子（满刮两遍）石膏板或其他基层板面；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5、乳胶漆天棚面二遍；</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B11C5">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93E8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610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C082A">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1CE29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529E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828B8">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满堂脚手架</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86B5F">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室内施工脚手架</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ACAF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78C8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1255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3D55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471F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A5B9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FC029">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柿子展厅组合柜</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E862E">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1号桌（每套包含4张桌子1.3m*0.75m，8张凳子0.3m*0.4m）</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ED8D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D911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BD084">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7AC3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D3FA1">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7337F">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柿界工坊家具</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F1DD5">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2号桌（每套桌椅包含1张六边形桌子，边长0.6m，6张凳子0.3m*0.4m）</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AA95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26FA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1ADB9">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6603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F342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8CEF5">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收银台及配套家具</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61F71">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3号桌（每套桌椅包含1张桌子3m*1m，8张凳子0.3m*0.4m）</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B3366">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7DC8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E358E">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79400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1316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10ED4">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厕所隔断</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F2476">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厕所隔断</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DB90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0464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69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02400">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31B97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0172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040D7">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小便器</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A5DE5">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成套小便器</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68E7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3F63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68EFE">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28C17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F4D7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C7FC6">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大便器</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17114">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成套瓷蹲式大便器</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A1A96">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EBF8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6D749">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3C43B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06DD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87243">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洗漱台</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9E2F6">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成套洗手台，含台盆及龙头等</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68016">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7D8A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DB737">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6BEA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AB3A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53B83">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木质门带套</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63EB8">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成品装饰套装门</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952F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02BB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80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BB88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1174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AEC0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A0405">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金属（塑钢、断桥）窗</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1225B">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铝合金推拉窗</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DC61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11F06">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136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F999D">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71AC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D9533">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A25F5">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金属门窗套</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9AE64">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不锈钢窗套</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E007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97D2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344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DBE8B">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0EA1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EE0B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E4EF1">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人行道块料铺设</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2C41B7">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室外花岗岩板铺设</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2F61C">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5A6D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244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B5B61">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223B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2EF77">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6807C">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墙体拆除及修补</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540A1">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墙体拆除及修补</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6EB5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C0091">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5AE34">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3DA8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005F9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968D0">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水电安装</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E559C">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水电安装，含人工及管线、灯具等材料</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4BC3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D8F43">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1695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2187F">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6A75B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8972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97887">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消防安装</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71E12">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消防安装，含人工及管线、管道、设备等材料</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5698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7974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1695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30821">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24274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720D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4122A">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墙面喷刷涂料</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7EE44">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外墙涂料（弹性涂料）</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B756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23115">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850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B2D57">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3725C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24CA3">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7FEFD">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天棚喷刷涂料</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E6AF2">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天棚无机多彩乳胶漆</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0829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A685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530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4C84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0FD0A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FA6FE">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C9F1F">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不锈钢工作台</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70827">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不锈钢工作台</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8578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94643">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8AB5B">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26F61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283D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CC150">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自动分拣果蔬机械</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2CAC1">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复合式自动分拣果蔬机器（厂家二次深化设计、安装）</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58A31">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D4975">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6F587">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4EC1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B21C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9D764">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立式货架</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9E9B1">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立式货架</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83EB7">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D504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233D6">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0911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E90A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F4347">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服务大厅家具</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38858">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根据图纸配套服务大厅组合家具</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2A1D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A558C">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C7D3C">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1CC3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99AE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BC262">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咖啡厅家具</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087AB">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咖啡厅内组合家具（专业厂家设计）</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2728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EFCD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8B9E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5078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3F75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90E0A">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会议室家具</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6A509">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会议桌、电视机等组合办公家具</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5922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484F1">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F111F">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5578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64A7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0FBED">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货物电梯</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EE352">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货物电梯（供应厂家根据现场二次深化设计、安装）</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BB56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E7A7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A2EBF">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34CB6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3F7EE">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88E2F6">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喷滴灌系统</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A7289">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喷滴灌系统（专业厂家二次深化设计、安装）</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577F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0FAC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458D3">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1BF3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25D4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B7099">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监控系统</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91B4F">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监控系统（智能化厂家根据现场二次专业设计、安装）</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1AFE5">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389CC">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83500">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1B7A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53CE65">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34</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9D111">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内墙喷刷</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8943F">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喷刷防水涂料</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2927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934D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1900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F4D20">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5B37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2C01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21D5E">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设计深化</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050C3">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根据现场土建结构进行深化设计</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570A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963B5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62D4C">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0AF6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CF10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18A62">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空调、制冷、通风</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F051F">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空调、制冷、通风配套设备</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FF91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B505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48628">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3B6CA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93587">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37</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4B23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轻钢龙骨石膏板吊顶</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1D971">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轻钢龙骨石膏板吊顶</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6DB1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3FAE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19C3C">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41E17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7BF63">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ACD78">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墙面装饰板</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03D6F">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木龙骨基层，欧松板打底</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6EE2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DBDE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145</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FF5F9">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45EE0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C5FB3">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465EF">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入口围墙</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5C2A0">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包括栅栏制作安装</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2B28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48BC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6E56D">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5BCE6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FD14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6FF15">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景观柿子（大）</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9BDFC">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庭园内造型景观柿φ18cm</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BAC9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株</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22F5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75A5C">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6AACF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5F66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83CC7">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节点柿子</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BF286">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优质、美观柿子φ10cm</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E5DA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株</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3688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08FC1">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7CEE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9D48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ADB4B">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门头建造</w:t>
            </w:r>
          </w:p>
        </w:tc>
        <w:tc>
          <w:tcPr>
            <w:tcW w:w="3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89BCA">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仿古</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B618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5AF3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559CD">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bl>
    <w:p w14:paraId="6ECC8F1B">
      <w:pPr>
        <w:rPr>
          <w:rFonts w:ascii="宋体" w:hAnsi="宋体" w:cs="宋体"/>
          <w:color w:val="auto"/>
          <w:sz w:val="36"/>
          <w:szCs w:val="36"/>
          <w:highlight w:val="none"/>
        </w:rPr>
      </w:pPr>
    </w:p>
    <w:p w14:paraId="2C8D50B2">
      <w:pPr>
        <w:pStyle w:val="2"/>
        <w:rPr>
          <w:rFonts w:ascii="宋体" w:hAnsi="宋体" w:cs="宋体"/>
          <w:color w:val="auto"/>
          <w:sz w:val="36"/>
          <w:szCs w:val="36"/>
          <w:highlight w:val="none"/>
        </w:rPr>
      </w:pPr>
    </w:p>
    <w:p w14:paraId="101B8D8C">
      <w:pPr>
        <w:pStyle w:val="2"/>
        <w:rPr>
          <w:rFonts w:ascii="宋体" w:hAnsi="宋体" w:cs="宋体"/>
          <w:color w:val="auto"/>
          <w:sz w:val="36"/>
          <w:szCs w:val="36"/>
          <w:highlight w:val="none"/>
        </w:rPr>
      </w:pPr>
    </w:p>
    <w:p w14:paraId="378F3E96">
      <w:pPr>
        <w:pStyle w:val="2"/>
        <w:rPr>
          <w:rFonts w:ascii="宋体" w:hAnsi="宋体" w:cs="宋体"/>
          <w:color w:val="auto"/>
          <w:sz w:val="36"/>
          <w:szCs w:val="36"/>
          <w:highlight w:val="none"/>
        </w:rPr>
      </w:pPr>
    </w:p>
    <w:p w14:paraId="4B7A1347">
      <w:pPr>
        <w:pStyle w:val="4"/>
        <w:spacing w:before="100" w:after="100" w:line="24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 xml:space="preserve">第四章   </w:t>
      </w:r>
      <w:bookmarkStart w:id="34" w:name="_Toc184314444"/>
      <w:bookmarkEnd w:id="34"/>
      <w:bookmarkStart w:id="35" w:name="_Toc184312081"/>
      <w:bookmarkEnd w:id="35"/>
      <w:bookmarkStart w:id="36" w:name="_Toc184314441"/>
      <w:bookmarkEnd w:id="36"/>
      <w:bookmarkStart w:id="37" w:name="_Toc184314420"/>
      <w:bookmarkEnd w:id="37"/>
      <w:bookmarkStart w:id="38" w:name="_Toc184310277"/>
      <w:bookmarkEnd w:id="38"/>
      <w:bookmarkStart w:id="39" w:name="_Toc184313251"/>
      <w:bookmarkEnd w:id="39"/>
      <w:bookmarkStart w:id="40" w:name="_Toc184312115"/>
      <w:bookmarkEnd w:id="40"/>
      <w:bookmarkStart w:id="41" w:name="_Toc184308048"/>
      <w:bookmarkEnd w:id="41"/>
      <w:bookmarkStart w:id="42" w:name="_Toc184310330"/>
      <w:bookmarkEnd w:id="42"/>
      <w:bookmarkStart w:id="43" w:name="_Toc184312083"/>
      <w:bookmarkEnd w:id="43"/>
      <w:bookmarkStart w:id="44" w:name="_Toc184310272"/>
      <w:bookmarkEnd w:id="44"/>
      <w:bookmarkStart w:id="45" w:name="_Toc184314460"/>
      <w:bookmarkEnd w:id="45"/>
      <w:bookmarkStart w:id="46" w:name="_Toc184310286"/>
      <w:bookmarkEnd w:id="46"/>
      <w:bookmarkStart w:id="47" w:name="_Toc184314471"/>
      <w:bookmarkEnd w:id="47"/>
      <w:bookmarkStart w:id="48" w:name="_Toc184310319"/>
      <w:bookmarkEnd w:id="48"/>
      <w:bookmarkStart w:id="49" w:name="_Toc184314436"/>
      <w:bookmarkEnd w:id="49"/>
      <w:bookmarkStart w:id="50" w:name="_Toc184314442"/>
      <w:bookmarkEnd w:id="50"/>
      <w:bookmarkStart w:id="51" w:name="_Toc184308081"/>
      <w:bookmarkEnd w:id="51"/>
      <w:bookmarkStart w:id="52" w:name="_Toc184310291"/>
      <w:bookmarkEnd w:id="52"/>
      <w:bookmarkStart w:id="53" w:name="_Toc184313300"/>
      <w:bookmarkEnd w:id="53"/>
      <w:bookmarkStart w:id="54" w:name="_Toc184313290"/>
      <w:bookmarkEnd w:id="54"/>
      <w:bookmarkStart w:id="55" w:name="_Toc184312126"/>
      <w:bookmarkEnd w:id="55"/>
      <w:bookmarkStart w:id="56" w:name="_Toc184308090"/>
      <w:bookmarkEnd w:id="56"/>
      <w:bookmarkStart w:id="57" w:name="_Toc184308054"/>
      <w:bookmarkEnd w:id="57"/>
      <w:bookmarkStart w:id="58" w:name="_Toc184310307"/>
      <w:bookmarkEnd w:id="58"/>
      <w:bookmarkStart w:id="59" w:name="_Toc184308093"/>
      <w:bookmarkEnd w:id="59"/>
      <w:bookmarkStart w:id="60" w:name="_Toc184308073"/>
      <w:bookmarkEnd w:id="60"/>
      <w:bookmarkStart w:id="61" w:name="_Toc184308108"/>
      <w:bookmarkEnd w:id="61"/>
      <w:bookmarkStart w:id="62" w:name="_Toc184308072"/>
      <w:bookmarkEnd w:id="62"/>
      <w:bookmarkStart w:id="63" w:name="_Toc184314435"/>
      <w:bookmarkEnd w:id="63"/>
      <w:bookmarkStart w:id="64" w:name="_Toc184313245"/>
      <w:bookmarkEnd w:id="64"/>
      <w:bookmarkStart w:id="65" w:name="_Toc184308098"/>
      <w:bookmarkEnd w:id="65"/>
      <w:bookmarkStart w:id="66" w:name="_Toc184314416"/>
      <w:bookmarkEnd w:id="66"/>
      <w:bookmarkStart w:id="67" w:name="_Toc184314432"/>
      <w:bookmarkEnd w:id="67"/>
      <w:bookmarkStart w:id="68" w:name="_Toc184310333"/>
      <w:bookmarkEnd w:id="68"/>
      <w:bookmarkStart w:id="69" w:name="_Toc184310301"/>
      <w:bookmarkEnd w:id="69"/>
      <w:bookmarkStart w:id="70" w:name="_Toc184308074"/>
      <w:bookmarkEnd w:id="70"/>
      <w:bookmarkStart w:id="71" w:name="_Toc184308094"/>
      <w:bookmarkEnd w:id="71"/>
      <w:bookmarkStart w:id="72" w:name="_Toc184314422"/>
      <w:bookmarkEnd w:id="72"/>
      <w:bookmarkStart w:id="73" w:name="_Toc184313267"/>
      <w:bookmarkEnd w:id="73"/>
      <w:bookmarkStart w:id="74" w:name="_Toc184308044"/>
      <w:bookmarkEnd w:id="74"/>
      <w:bookmarkStart w:id="75" w:name="_Toc184314463"/>
      <w:bookmarkEnd w:id="75"/>
      <w:bookmarkStart w:id="76" w:name="_Toc184314453"/>
      <w:bookmarkEnd w:id="76"/>
      <w:bookmarkStart w:id="77" w:name="_Toc184314417"/>
      <w:bookmarkEnd w:id="77"/>
      <w:bookmarkStart w:id="78" w:name="_Toc184310317"/>
      <w:bookmarkEnd w:id="78"/>
      <w:bookmarkStart w:id="79" w:name="_Toc184313310"/>
      <w:bookmarkEnd w:id="79"/>
      <w:bookmarkStart w:id="80" w:name="_Toc184314464"/>
      <w:bookmarkEnd w:id="80"/>
      <w:bookmarkStart w:id="81" w:name="_Toc184310293"/>
      <w:bookmarkEnd w:id="81"/>
      <w:bookmarkStart w:id="82" w:name="_Toc184308051"/>
      <w:bookmarkEnd w:id="82"/>
      <w:bookmarkStart w:id="83" w:name="_Toc184313272"/>
      <w:bookmarkEnd w:id="83"/>
      <w:bookmarkStart w:id="84" w:name="_Toc184308043"/>
      <w:bookmarkEnd w:id="84"/>
      <w:bookmarkStart w:id="85" w:name="_Toc184312129"/>
      <w:bookmarkEnd w:id="85"/>
      <w:bookmarkStart w:id="86" w:name="_Toc184313238"/>
      <w:bookmarkEnd w:id="86"/>
      <w:bookmarkStart w:id="87" w:name="_Toc184313239"/>
      <w:bookmarkEnd w:id="87"/>
      <w:bookmarkStart w:id="88" w:name="_Toc184308092"/>
      <w:bookmarkEnd w:id="88"/>
      <w:bookmarkStart w:id="89" w:name="_Toc184310308"/>
      <w:bookmarkEnd w:id="89"/>
      <w:bookmarkStart w:id="90" w:name="_Toc184308104"/>
      <w:bookmarkEnd w:id="90"/>
      <w:bookmarkStart w:id="91" w:name="_Toc184310321"/>
      <w:bookmarkEnd w:id="91"/>
      <w:bookmarkStart w:id="92" w:name="_Toc184313281"/>
      <w:bookmarkEnd w:id="92"/>
      <w:bookmarkStart w:id="93" w:name="_Toc184313299"/>
      <w:bookmarkEnd w:id="93"/>
      <w:bookmarkStart w:id="94" w:name="_Toc184312073"/>
      <w:bookmarkEnd w:id="94"/>
      <w:bookmarkStart w:id="95" w:name="_Toc184308078"/>
      <w:bookmarkEnd w:id="95"/>
      <w:bookmarkStart w:id="96" w:name="_Toc184314426"/>
      <w:bookmarkEnd w:id="96"/>
      <w:bookmarkStart w:id="97" w:name="_Toc184308037"/>
      <w:bookmarkEnd w:id="97"/>
      <w:bookmarkStart w:id="98" w:name="_Toc184312121"/>
      <w:bookmarkEnd w:id="98"/>
      <w:bookmarkStart w:id="99" w:name="_Toc184314456"/>
      <w:bookmarkEnd w:id="99"/>
      <w:bookmarkStart w:id="100" w:name="_Toc184313291"/>
      <w:bookmarkEnd w:id="100"/>
      <w:bookmarkStart w:id="101" w:name="_Toc184314411"/>
      <w:bookmarkEnd w:id="101"/>
      <w:bookmarkStart w:id="102" w:name="_Toc184310298"/>
      <w:bookmarkEnd w:id="102"/>
      <w:bookmarkStart w:id="103" w:name="_Toc184312098"/>
      <w:bookmarkEnd w:id="103"/>
      <w:bookmarkStart w:id="104" w:name="_Toc184312076"/>
      <w:bookmarkEnd w:id="104"/>
      <w:bookmarkStart w:id="105" w:name="_Toc184314413"/>
      <w:bookmarkEnd w:id="105"/>
      <w:bookmarkStart w:id="106" w:name="_Toc184314430"/>
      <w:bookmarkEnd w:id="106"/>
      <w:bookmarkStart w:id="107" w:name="_Toc184314451"/>
      <w:bookmarkEnd w:id="107"/>
      <w:bookmarkStart w:id="108" w:name="_Toc184310313"/>
      <w:bookmarkEnd w:id="108"/>
      <w:bookmarkStart w:id="109" w:name="_Toc184310306"/>
      <w:bookmarkEnd w:id="109"/>
      <w:bookmarkStart w:id="110" w:name="_Toc184310290"/>
      <w:bookmarkEnd w:id="110"/>
      <w:bookmarkStart w:id="111" w:name="_Toc184313302"/>
      <w:bookmarkEnd w:id="111"/>
      <w:bookmarkStart w:id="112" w:name="_Toc184314449"/>
      <w:bookmarkEnd w:id="112"/>
      <w:bookmarkStart w:id="113" w:name="_Toc184308067"/>
      <w:bookmarkEnd w:id="113"/>
      <w:bookmarkStart w:id="114" w:name="_Toc184310310"/>
      <w:bookmarkEnd w:id="114"/>
      <w:bookmarkStart w:id="115" w:name="_Toc184310314"/>
      <w:bookmarkEnd w:id="115"/>
      <w:bookmarkStart w:id="116" w:name="_Toc184312125"/>
      <w:bookmarkEnd w:id="116"/>
      <w:bookmarkStart w:id="117" w:name="_Toc184314459"/>
      <w:bookmarkEnd w:id="117"/>
      <w:bookmarkStart w:id="118" w:name="_Toc184314458"/>
      <w:bookmarkEnd w:id="118"/>
      <w:bookmarkStart w:id="119" w:name="_Toc184312095"/>
      <w:bookmarkEnd w:id="119"/>
      <w:bookmarkStart w:id="120" w:name="_Toc184308046"/>
      <w:bookmarkEnd w:id="120"/>
      <w:bookmarkStart w:id="121" w:name="_Toc184312120"/>
      <w:bookmarkEnd w:id="121"/>
      <w:bookmarkStart w:id="122" w:name="_Toc184308084"/>
      <w:bookmarkEnd w:id="122"/>
      <w:bookmarkStart w:id="123" w:name="_Toc184313287"/>
      <w:bookmarkEnd w:id="123"/>
      <w:bookmarkStart w:id="124" w:name="_Toc184308050"/>
      <w:bookmarkEnd w:id="124"/>
      <w:bookmarkStart w:id="125" w:name="_Toc184314472"/>
      <w:bookmarkEnd w:id="125"/>
      <w:bookmarkStart w:id="126" w:name="_Toc184310283"/>
      <w:bookmarkEnd w:id="126"/>
      <w:bookmarkStart w:id="127" w:name="_Toc184308062"/>
      <w:bookmarkEnd w:id="127"/>
      <w:bookmarkStart w:id="128" w:name="_Toc184308096"/>
      <w:bookmarkEnd w:id="128"/>
      <w:bookmarkStart w:id="129" w:name="_Toc184313296"/>
      <w:bookmarkEnd w:id="129"/>
      <w:bookmarkStart w:id="130" w:name="_Toc184314434"/>
      <w:bookmarkEnd w:id="130"/>
      <w:bookmarkStart w:id="131" w:name="_Toc184312093"/>
      <w:bookmarkEnd w:id="131"/>
      <w:bookmarkStart w:id="132" w:name="_Toc184313278"/>
      <w:bookmarkEnd w:id="132"/>
      <w:bookmarkStart w:id="133" w:name="_Toc184308047"/>
      <w:bookmarkEnd w:id="133"/>
      <w:bookmarkStart w:id="134" w:name="_Toc184314477"/>
      <w:bookmarkEnd w:id="134"/>
      <w:bookmarkStart w:id="135" w:name="_Toc184313268"/>
      <w:bookmarkEnd w:id="135"/>
      <w:bookmarkStart w:id="136" w:name="_Toc184313247"/>
      <w:bookmarkEnd w:id="136"/>
      <w:bookmarkStart w:id="137" w:name="_Toc184313304"/>
      <w:bookmarkEnd w:id="137"/>
      <w:bookmarkStart w:id="138" w:name="_Toc184313250"/>
      <w:bookmarkEnd w:id="138"/>
      <w:bookmarkStart w:id="139" w:name="_Toc184313256"/>
      <w:bookmarkEnd w:id="139"/>
      <w:bookmarkStart w:id="140" w:name="_Toc184312085"/>
      <w:bookmarkEnd w:id="140"/>
      <w:bookmarkStart w:id="141" w:name="_Toc184313282"/>
      <w:bookmarkEnd w:id="141"/>
      <w:bookmarkStart w:id="142" w:name="_Toc184308070"/>
      <w:bookmarkEnd w:id="142"/>
      <w:bookmarkStart w:id="143" w:name="_Toc184313293"/>
      <w:bookmarkEnd w:id="143"/>
      <w:bookmarkStart w:id="144" w:name="_Toc184312103"/>
      <w:bookmarkEnd w:id="144"/>
      <w:bookmarkStart w:id="145" w:name="_Toc184313276"/>
      <w:bookmarkEnd w:id="145"/>
      <w:bookmarkStart w:id="146" w:name="_Toc184310294"/>
      <w:bookmarkEnd w:id="146"/>
      <w:bookmarkStart w:id="147" w:name="_Toc184312078"/>
      <w:bookmarkEnd w:id="147"/>
      <w:bookmarkStart w:id="148" w:name="_Toc184313275"/>
      <w:bookmarkEnd w:id="148"/>
      <w:bookmarkStart w:id="149" w:name="_Toc184313308"/>
      <w:bookmarkEnd w:id="149"/>
      <w:bookmarkStart w:id="150" w:name="_Toc184314423"/>
      <w:bookmarkEnd w:id="150"/>
      <w:bookmarkStart w:id="151" w:name="_Toc184308091"/>
      <w:bookmarkEnd w:id="151"/>
      <w:bookmarkStart w:id="152" w:name="_Toc184314415"/>
      <w:bookmarkEnd w:id="152"/>
      <w:bookmarkStart w:id="153" w:name="_Toc184313264"/>
      <w:bookmarkEnd w:id="153"/>
      <w:bookmarkStart w:id="154" w:name="_Toc184310300"/>
      <w:bookmarkEnd w:id="154"/>
      <w:bookmarkStart w:id="155" w:name="_Toc184308057"/>
      <w:bookmarkEnd w:id="155"/>
      <w:bookmarkStart w:id="156" w:name="_Toc184310343"/>
      <w:bookmarkEnd w:id="156"/>
      <w:bookmarkStart w:id="157" w:name="_Toc184314462"/>
      <w:bookmarkEnd w:id="157"/>
      <w:bookmarkStart w:id="158" w:name="_Toc184313257"/>
      <w:bookmarkEnd w:id="158"/>
      <w:bookmarkStart w:id="159" w:name="_Toc184314461"/>
      <w:bookmarkEnd w:id="159"/>
      <w:bookmarkStart w:id="160" w:name="_Toc184310342"/>
      <w:bookmarkEnd w:id="160"/>
      <w:bookmarkStart w:id="161" w:name="_Toc184313243"/>
      <w:bookmarkEnd w:id="161"/>
      <w:bookmarkStart w:id="162" w:name="_Toc184310339"/>
      <w:bookmarkEnd w:id="162"/>
      <w:bookmarkStart w:id="163" w:name="_Toc184314424"/>
      <w:bookmarkEnd w:id="163"/>
      <w:bookmarkStart w:id="164" w:name="_Toc184308087"/>
      <w:bookmarkEnd w:id="164"/>
      <w:bookmarkStart w:id="165" w:name="_Toc184312080"/>
      <w:bookmarkEnd w:id="165"/>
      <w:bookmarkStart w:id="166" w:name="_Toc184312134"/>
      <w:bookmarkEnd w:id="166"/>
      <w:bookmarkStart w:id="167" w:name="_Toc184308082"/>
      <w:bookmarkEnd w:id="167"/>
      <w:bookmarkStart w:id="168" w:name="_Toc184308077"/>
      <w:bookmarkEnd w:id="168"/>
      <w:bookmarkStart w:id="169" w:name="_Toc184312070"/>
      <w:bookmarkEnd w:id="169"/>
      <w:bookmarkStart w:id="170" w:name="_Toc184310287"/>
      <w:bookmarkEnd w:id="170"/>
      <w:bookmarkStart w:id="171" w:name="_Toc184313248"/>
      <w:bookmarkEnd w:id="171"/>
      <w:bookmarkStart w:id="172" w:name="_Toc184312097"/>
      <w:bookmarkEnd w:id="172"/>
      <w:bookmarkStart w:id="173" w:name="_Toc184314457"/>
      <w:bookmarkEnd w:id="173"/>
      <w:bookmarkStart w:id="174" w:name="_Toc184310284"/>
      <w:bookmarkEnd w:id="174"/>
      <w:bookmarkStart w:id="175" w:name="_Toc184314470"/>
      <w:bookmarkEnd w:id="175"/>
      <w:bookmarkStart w:id="176" w:name="_Toc184312136"/>
      <w:bookmarkEnd w:id="176"/>
      <w:bookmarkStart w:id="177" w:name="_Toc184312092"/>
      <w:bookmarkEnd w:id="177"/>
      <w:bookmarkStart w:id="178" w:name="_Toc184313309"/>
      <w:bookmarkEnd w:id="178"/>
      <w:bookmarkStart w:id="179" w:name="_Toc184313249"/>
      <w:bookmarkEnd w:id="179"/>
      <w:bookmarkStart w:id="180" w:name="_Toc184308079"/>
      <w:bookmarkEnd w:id="180"/>
      <w:bookmarkStart w:id="181" w:name="_Toc184312118"/>
      <w:bookmarkEnd w:id="181"/>
      <w:bookmarkStart w:id="182" w:name="_Toc184314450"/>
      <w:bookmarkEnd w:id="182"/>
      <w:bookmarkStart w:id="183" w:name="_Toc184310329"/>
      <w:bookmarkEnd w:id="183"/>
      <w:bookmarkStart w:id="184" w:name="_Toc184310281"/>
      <w:bookmarkEnd w:id="184"/>
      <w:bookmarkStart w:id="185" w:name="_Toc184313279"/>
      <w:bookmarkEnd w:id="185"/>
      <w:bookmarkStart w:id="186" w:name="_Toc184310309"/>
      <w:bookmarkEnd w:id="186"/>
      <w:bookmarkStart w:id="187" w:name="_Toc184312100"/>
      <w:bookmarkEnd w:id="187"/>
      <w:bookmarkStart w:id="188" w:name="_Toc184308055"/>
      <w:bookmarkEnd w:id="188"/>
      <w:bookmarkStart w:id="189" w:name="_Toc184313298"/>
      <w:bookmarkEnd w:id="189"/>
      <w:bookmarkStart w:id="190" w:name="_Toc184312086"/>
      <w:bookmarkEnd w:id="190"/>
      <w:bookmarkStart w:id="191" w:name="_Toc184314466"/>
      <w:bookmarkEnd w:id="191"/>
      <w:bookmarkStart w:id="192" w:name="_Toc184308089"/>
      <w:bookmarkEnd w:id="192"/>
      <w:bookmarkStart w:id="193" w:name="_Toc184308095"/>
      <w:bookmarkEnd w:id="193"/>
      <w:bookmarkStart w:id="194" w:name="_Toc184308080"/>
      <w:bookmarkEnd w:id="194"/>
      <w:bookmarkStart w:id="195" w:name="_Toc184310276"/>
      <w:bookmarkEnd w:id="195"/>
      <w:bookmarkStart w:id="196" w:name="_Toc184310318"/>
      <w:bookmarkEnd w:id="196"/>
      <w:bookmarkStart w:id="197" w:name="_Toc184308076"/>
      <w:bookmarkEnd w:id="197"/>
      <w:bookmarkStart w:id="198" w:name="_Toc184308103"/>
      <w:bookmarkEnd w:id="198"/>
      <w:bookmarkStart w:id="199" w:name="_Toc184310334"/>
      <w:bookmarkEnd w:id="199"/>
      <w:bookmarkStart w:id="200" w:name="_Toc184310323"/>
      <w:bookmarkEnd w:id="200"/>
      <w:bookmarkStart w:id="201" w:name="_Toc184312137"/>
      <w:bookmarkEnd w:id="201"/>
      <w:bookmarkStart w:id="202" w:name="_Toc184308068"/>
      <w:bookmarkEnd w:id="202"/>
      <w:bookmarkStart w:id="203" w:name="_Toc184312109"/>
      <w:bookmarkEnd w:id="203"/>
      <w:bookmarkStart w:id="204" w:name="_Toc184310273"/>
      <w:bookmarkEnd w:id="204"/>
      <w:bookmarkStart w:id="205" w:name="_Toc184313285"/>
      <w:bookmarkEnd w:id="205"/>
      <w:bookmarkStart w:id="206" w:name="_Toc184308100"/>
      <w:bookmarkEnd w:id="206"/>
      <w:bookmarkStart w:id="207" w:name="_Toc184312104"/>
      <w:bookmarkEnd w:id="207"/>
      <w:bookmarkStart w:id="208" w:name="_Toc184308071"/>
      <w:bookmarkEnd w:id="208"/>
      <w:bookmarkStart w:id="209" w:name="_Toc184313274"/>
      <w:bookmarkEnd w:id="209"/>
      <w:bookmarkStart w:id="210" w:name="_Toc184308102"/>
      <w:bookmarkEnd w:id="210"/>
      <w:bookmarkStart w:id="211" w:name="_Toc184313259"/>
      <w:bookmarkEnd w:id="211"/>
      <w:bookmarkStart w:id="212" w:name="_Toc184312107"/>
      <w:bookmarkEnd w:id="212"/>
      <w:bookmarkStart w:id="213" w:name="_Toc184310332"/>
      <w:bookmarkEnd w:id="213"/>
      <w:bookmarkStart w:id="214" w:name="_Toc184308083"/>
      <w:bookmarkEnd w:id="214"/>
      <w:bookmarkStart w:id="215" w:name="_Toc184314446"/>
      <w:bookmarkEnd w:id="215"/>
      <w:bookmarkStart w:id="216" w:name="_Toc184312113"/>
      <w:bookmarkEnd w:id="216"/>
      <w:bookmarkStart w:id="217" w:name="_Toc184308088"/>
      <w:bookmarkEnd w:id="217"/>
      <w:bookmarkStart w:id="218" w:name="_Toc184314465"/>
      <w:bookmarkEnd w:id="218"/>
      <w:bookmarkStart w:id="219" w:name="_Toc184313269"/>
      <w:bookmarkEnd w:id="219"/>
      <w:bookmarkStart w:id="220" w:name="_Toc184314437"/>
      <w:bookmarkEnd w:id="220"/>
      <w:bookmarkStart w:id="221" w:name="_Toc184312139"/>
      <w:bookmarkEnd w:id="221"/>
      <w:bookmarkStart w:id="222" w:name="_Toc184310327"/>
      <w:bookmarkEnd w:id="222"/>
      <w:bookmarkStart w:id="223" w:name="_Toc184310336"/>
      <w:bookmarkEnd w:id="223"/>
      <w:bookmarkStart w:id="224" w:name="_Toc184312079"/>
      <w:bookmarkEnd w:id="224"/>
      <w:bookmarkStart w:id="225" w:name="_Toc184308097"/>
      <w:bookmarkEnd w:id="225"/>
      <w:bookmarkStart w:id="226" w:name="_Toc184308065"/>
      <w:bookmarkEnd w:id="226"/>
      <w:bookmarkStart w:id="227" w:name="_Toc184314428"/>
      <w:bookmarkEnd w:id="227"/>
      <w:bookmarkStart w:id="228" w:name="_Toc184312072"/>
      <w:bookmarkEnd w:id="228"/>
      <w:bookmarkStart w:id="229" w:name="_Toc184312087"/>
      <w:bookmarkEnd w:id="229"/>
      <w:bookmarkStart w:id="230" w:name="_Toc184308058"/>
      <w:bookmarkEnd w:id="230"/>
      <w:bookmarkStart w:id="231" w:name="_Toc184313252"/>
      <w:bookmarkEnd w:id="231"/>
      <w:bookmarkStart w:id="232" w:name="_Toc184308105"/>
      <w:bookmarkEnd w:id="232"/>
      <w:bookmarkStart w:id="233" w:name="_Toc184310311"/>
      <w:bookmarkEnd w:id="233"/>
      <w:bookmarkStart w:id="234" w:name="_Toc184312132"/>
      <w:bookmarkEnd w:id="234"/>
      <w:bookmarkStart w:id="235" w:name="_Toc184312116"/>
      <w:bookmarkEnd w:id="235"/>
      <w:bookmarkStart w:id="236" w:name="_Toc184314418"/>
      <w:bookmarkEnd w:id="236"/>
      <w:bookmarkStart w:id="237" w:name="_Toc184314429"/>
      <w:bookmarkEnd w:id="237"/>
      <w:bookmarkStart w:id="238" w:name="_Toc184308045"/>
      <w:bookmarkEnd w:id="238"/>
      <w:bookmarkStart w:id="239" w:name="_Toc184313270"/>
      <w:bookmarkEnd w:id="239"/>
      <w:bookmarkStart w:id="240" w:name="_Toc184308063"/>
      <w:bookmarkEnd w:id="240"/>
      <w:bookmarkStart w:id="241" w:name="_Toc184310328"/>
      <w:bookmarkEnd w:id="241"/>
      <w:bookmarkStart w:id="242" w:name="_Toc184308066"/>
      <w:bookmarkEnd w:id="242"/>
      <w:bookmarkStart w:id="243" w:name="_Toc184314427"/>
      <w:bookmarkEnd w:id="243"/>
      <w:bookmarkStart w:id="244" w:name="_Toc184312089"/>
      <w:bookmarkEnd w:id="244"/>
      <w:bookmarkStart w:id="245" w:name="_Toc184314481"/>
      <w:bookmarkEnd w:id="245"/>
      <w:bookmarkStart w:id="246" w:name="_Toc184314469"/>
      <w:bookmarkEnd w:id="246"/>
      <w:bookmarkStart w:id="247" w:name="_Toc184312105"/>
      <w:bookmarkEnd w:id="247"/>
      <w:bookmarkStart w:id="248" w:name="_Toc184312088"/>
      <w:bookmarkEnd w:id="248"/>
      <w:bookmarkStart w:id="249" w:name="_Toc184312090"/>
      <w:bookmarkEnd w:id="249"/>
      <w:bookmarkStart w:id="250" w:name="_Toc184314419"/>
      <w:bookmarkEnd w:id="250"/>
      <w:bookmarkStart w:id="251" w:name="_Toc184314454"/>
      <w:bookmarkEnd w:id="251"/>
      <w:bookmarkStart w:id="252" w:name="_Toc184313286"/>
      <w:bookmarkEnd w:id="252"/>
      <w:bookmarkStart w:id="253" w:name="_Toc184312135"/>
      <w:bookmarkEnd w:id="253"/>
      <w:bookmarkStart w:id="254" w:name="_Toc184308061"/>
      <w:bookmarkEnd w:id="254"/>
      <w:bookmarkStart w:id="255" w:name="_Toc184314448"/>
      <w:bookmarkEnd w:id="255"/>
      <w:bookmarkStart w:id="256" w:name="_Toc184313280"/>
      <w:bookmarkEnd w:id="256"/>
      <w:bookmarkStart w:id="257" w:name="_Toc184312077"/>
      <w:bookmarkEnd w:id="257"/>
      <w:bookmarkStart w:id="258" w:name="_Toc184313242"/>
      <w:bookmarkEnd w:id="258"/>
      <w:bookmarkStart w:id="259" w:name="_Toc184310285"/>
      <w:bookmarkEnd w:id="259"/>
      <w:bookmarkStart w:id="260" w:name="_Toc184310295"/>
      <w:bookmarkEnd w:id="260"/>
      <w:bookmarkStart w:id="261" w:name="_Toc184313254"/>
      <w:bookmarkEnd w:id="261"/>
      <w:bookmarkStart w:id="262" w:name="_Toc184314475"/>
      <w:bookmarkEnd w:id="262"/>
      <w:bookmarkStart w:id="263" w:name="_Toc184310331"/>
      <w:bookmarkEnd w:id="263"/>
      <w:bookmarkStart w:id="264" w:name="_Toc184310337"/>
      <w:bookmarkEnd w:id="264"/>
      <w:bookmarkStart w:id="265" w:name="_Toc184308042"/>
      <w:bookmarkEnd w:id="265"/>
      <w:bookmarkStart w:id="266" w:name="_Toc184308107"/>
      <w:bookmarkEnd w:id="266"/>
      <w:bookmarkStart w:id="267" w:name="_Toc184314480"/>
      <w:bookmarkEnd w:id="267"/>
      <w:bookmarkStart w:id="268" w:name="_Toc184310296"/>
      <w:bookmarkEnd w:id="268"/>
      <w:bookmarkStart w:id="269" w:name="_Toc184310312"/>
      <w:bookmarkEnd w:id="269"/>
      <w:bookmarkStart w:id="270" w:name="_Toc184312123"/>
      <w:bookmarkEnd w:id="270"/>
      <w:bookmarkStart w:id="271" w:name="_Toc184312099"/>
      <w:bookmarkEnd w:id="271"/>
      <w:bookmarkStart w:id="272" w:name="_Toc184308069"/>
      <w:bookmarkEnd w:id="272"/>
      <w:bookmarkStart w:id="273" w:name="_Toc184314468"/>
      <w:bookmarkEnd w:id="273"/>
      <w:bookmarkStart w:id="274" w:name="_Toc184310344"/>
      <w:bookmarkEnd w:id="274"/>
      <w:bookmarkStart w:id="275" w:name="_Toc184310302"/>
      <w:bookmarkEnd w:id="275"/>
      <w:bookmarkStart w:id="276" w:name="_Toc184312069"/>
      <w:bookmarkEnd w:id="276"/>
      <w:bookmarkStart w:id="277" w:name="_Toc184312130"/>
      <w:bookmarkEnd w:id="277"/>
      <w:bookmarkStart w:id="278" w:name="_Toc184310282"/>
      <w:bookmarkEnd w:id="278"/>
      <w:bookmarkStart w:id="279" w:name="_Toc184308038"/>
      <w:bookmarkEnd w:id="279"/>
      <w:bookmarkStart w:id="280" w:name="_Toc184313266"/>
      <w:bookmarkEnd w:id="280"/>
      <w:bookmarkStart w:id="281" w:name="_Toc184308049"/>
      <w:bookmarkEnd w:id="281"/>
      <w:bookmarkStart w:id="282" w:name="_Toc184310303"/>
      <w:bookmarkEnd w:id="282"/>
      <w:bookmarkStart w:id="283" w:name="_Toc184308085"/>
      <w:bookmarkEnd w:id="283"/>
      <w:bookmarkStart w:id="284" w:name="_Toc184312127"/>
      <w:bookmarkEnd w:id="284"/>
      <w:bookmarkStart w:id="285" w:name="_Toc184312071"/>
      <w:bookmarkEnd w:id="285"/>
      <w:bookmarkStart w:id="286" w:name="_Toc184313253"/>
      <w:bookmarkEnd w:id="286"/>
      <w:bookmarkStart w:id="287" w:name="_Toc184313301"/>
      <w:bookmarkEnd w:id="287"/>
      <w:bookmarkStart w:id="288" w:name="_Toc184310289"/>
      <w:bookmarkEnd w:id="288"/>
      <w:bookmarkStart w:id="289" w:name="_Toc184312122"/>
      <w:bookmarkEnd w:id="289"/>
      <w:bookmarkStart w:id="290" w:name="_Toc184308052"/>
      <w:bookmarkEnd w:id="290"/>
      <w:bookmarkStart w:id="291" w:name="_Toc184313263"/>
      <w:bookmarkEnd w:id="291"/>
      <w:bookmarkStart w:id="292" w:name="_Toc184313295"/>
      <w:bookmarkEnd w:id="292"/>
      <w:bookmarkStart w:id="293" w:name="_Toc184310278"/>
      <w:bookmarkEnd w:id="293"/>
      <w:bookmarkStart w:id="294" w:name="_Toc184308036"/>
      <w:bookmarkEnd w:id="294"/>
      <w:bookmarkStart w:id="295" w:name="_Toc184312124"/>
      <w:bookmarkEnd w:id="295"/>
      <w:bookmarkStart w:id="296" w:name="_Toc184310340"/>
      <w:bookmarkEnd w:id="296"/>
      <w:bookmarkStart w:id="297" w:name="_Toc184314433"/>
      <w:bookmarkEnd w:id="297"/>
      <w:bookmarkStart w:id="298" w:name="_Toc184310315"/>
      <w:bookmarkEnd w:id="298"/>
      <w:bookmarkStart w:id="299" w:name="_Toc184308053"/>
      <w:bookmarkEnd w:id="299"/>
      <w:bookmarkStart w:id="300" w:name="_Toc184310274"/>
      <w:bookmarkEnd w:id="300"/>
      <w:bookmarkStart w:id="301" w:name="_Toc184312094"/>
      <w:bookmarkEnd w:id="301"/>
      <w:bookmarkStart w:id="302" w:name="_Toc184308040"/>
      <w:bookmarkEnd w:id="302"/>
      <w:bookmarkStart w:id="303" w:name="_Toc184312106"/>
      <w:bookmarkEnd w:id="303"/>
      <w:bookmarkStart w:id="304" w:name="_Toc184313283"/>
      <w:bookmarkEnd w:id="304"/>
      <w:bookmarkStart w:id="305" w:name="_Toc184310326"/>
      <w:bookmarkEnd w:id="305"/>
      <w:bookmarkStart w:id="306" w:name="_Toc184308086"/>
      <w:bookmarkEnd w:id="306"/>
      <w:bookmarkStart w:id="307" w:name="_Toc184313307"/>
      <w:bookmarkEnd w:id="307"/>
      <w:bookmarkStart w:id="308" w:name="_Toc184314474"/>
      <w:bookmarkEnd w:id="308"/>
      <w:bookmarkStart w:id="309" w:name="_Toc184313273"/>
      <w:bookmarkEnd w:id="309"/>
      <w:bookmarkStart w:id="310" w:name="_Toc184312068"/>
      <w:bookmarkEnd w:id="310"/>
      <w:bookmarkStart w:id="311" w:name="_Toc184312074"/>
      <w:bookmarkEnd w:id="311"/>
      <w:bookmarkStart w:id="312" w:name="_Toc184313246"/>
      <w:bookmarkEnd w:id="312"/>
      <w:bookmarkStart w:id="313" w:name="_Toc184310275"/>
      <w:bookmarkEnd w:id="313"/>
      <w:bookmarkStart w:id="314" w:name="_Toc184314410"/>
      <w:bookmarkEnd w:id="314"/>
      <w:bookmarkStart w:id="315" w:name="_Toc184314467"/>
      <w:bookmarkEnd w:id="315"/>
      <w:bookmarkStart w:id="316" w:name="_Toc184313241"/>
      <w:bookmarkEnd w:id="316"/>
      <w:bookmarkStart w:id="317" w:name="_Toc184313277"/>
      <w:bookmarkEnd w:id="317"/>
      <w:bookmarkStart w:id="318" w:name="_Toc184313244"/>
      <w:bookmarkEnd w:id="318"/>
      <w:bookmarkStart w:id="319" w:name="_Toc184313303"/>
      <w:bookmarkEnd w:id="319"/>
      <w:bookmarkStart w:id="320" w:name="_Toc184314425"/>
      <w:bookmarkEnd w:id="320"/>
      <w:bookmarkStart w:id="321" w:name="_Toc184314438"/>
      <w:bookmarkEnd w:id="321"/>
      <w:bookmarkStart w:id="322" w:name="_Toc184310341"/>
      <w:bookmarkEnd w:id="322"/>
      <w:bookmarkStart w:id="323" w:name="_Toc184312119"/>
      <w:bookmarkEnd w:id="323"/>
      <w:bookmarkStart w:id="324" w:name="_Toc184313265"/>
      <w:bookmarkEnd w:id="324"/>
      <w:bookmarkStart w:id="325" w:name="_Toc184313271"/>
      <w:bookmarkEnd w:id="325"/>
      <w:bookmarkStart w:id="326" w:name="_Toc184308041"/>
      <w:bookmarkEnd w:id="326"/>
      <w:bookmarkStart w:id="327" w:name="_Toc184314431"/>
      <w:bookmarkEnd w:id="327"/>
      <w:bookmarkStart w:id="328" w:name="_Toc184312138"/>
      <w:bookmarkEnd w:id="328"/>
      <w:bookmarkStart w:id="329" w:name="_Toc184314439"/>
      <w:bookmarkEnd w:id="329"/>
      <w:bookmarkStart w:id="330" w:name="_Toc184310280"/>
      <w:bookmarkEnd w:id="330"/>
      <w:bookmarkStart w:id="331" w:name="_Toc184308106"/>
      <w:bookmarkEnd w:id="331"/>
      <w:bookmarkStart w:id="332" w:name="_Toc184312131"/>
      <w:bookmarkEnd w:id="332"/>
      <w:bookmarkStart w:id="333" w:name="_Toc184312101"/>
      <w:bookmarkEnd w:id="333"/>
      <w:bookmarkStart w:id="334" w:name="_Toc184313240"/>
      <w:bookmarkEnd w:id="334"/>
      <w:bookmarkStart w:id="335" w:name="_Toc184314421"/>
      <w:bookmarkEnd w:id="335"/>
      <w:bookmarkStart w:id="336" w:name="_Toc184313305"/>
      <w:bookmarkEnd w:id="336"/>
      <w:bookmarkStart w:id="337" w:name="_Toc184314443"/>
      <w:bookmarkEnd w:id="337"/>
      <w:bookmarkStart w:id="338" w:name="_Toc184310320"/>
      <w:bookmarkEnd w:id="338"/>
      <w:bookmarkStart w:id="339" w:name="_Toc184312117"/>
      <w:bookmarkEnd w:id="339"/>
      <w:bookmarkStart w:id="340" w:name="_Toc184310325"/>
      <w:bookmarkEnd w:id="340"/>
      <w:bookmarkStart w:id="341" w:name="_Toc184314476"/>
      <w:bookmarkEnd w:id="341"/>
      <w:bookmarkStart w:id="342" w:name="_Toc184310335"/>
      <w:bookmarkEnd w:id="342"/>
      <w:bookmarkStart w:id="343" w:name="_Toc184313297"/>
      <w:bookmarkEnd w:id="343"/>
      <w:bookmarkStart w:id="344" w:name="_Toc184313255"/>
      <w:bookmarkEnd w:id="344"/>
      <w:bookmarkStart w:id="345" w:name="_Toc184312067"/>
      <w:bookmarkEnd w:id="345"/>
      <w:bookmarkStart w:id="346" w:name="_Toc184314414"/>
      <w:bookmarkEnd w:id="346"/>
      <w:bookmarkStart w:id="347" w:name="_Toc184313284"/>
      <w:bookmarkEnd w:id="347"/>
      <w:bookmarkStart w:id="348" w:name="_Toc184312084"/>
      <w:bookmarkEnd w:id="348"/>
      <w:bookmarkStart w:id="349" w:name="_Toc184310304"/>
      <w:bookmarkEnd w:id="349"/>
      <w:bookmarkStart w:id="350" w:name="_Toc184310324"/>
      <w:bookmarkEnd w:id="350"/>
      <w:bookmarkStart w:id="351" w:name="_Toc184312111"/>
      <w:bookmarkEnd w:id="351"/>
      <w:bookmarkStart w:id="352" w:name="_Toc184310338"/>
      <w:bookmarkEnd w:id="352"/>
      <w:bookmarkStart w:id="353" w:name="_Toc184312075"/>
      <w:bookmarkEnd w:id="353"/>
      <w:bookmarkStart w:id="354" w:name="_Toc184313258"/>
      <w:bookmarkEnd w:id="354"/>
      <w:bookmarkStart w:id="355" w:name="_Toc184308101"/>
      <w:bookmarkEnd w:id="355"/>
      <w:bookmarkStart w:id="356" w:name="_Toc184312082"/>
      <w:bookmarkEnd w:id="356"/>
      <w:bookmarkStart w:id="357" w:name="_Toc184308064"/>
      <w:bookmarkEnd w:id="357"/>
      <w:bookmarkStart w:id="358" w:name="_Toc184313306"/>
      <w:bookmarkEnd w:id="358"/>
      <w:bookmarkStart w:id="359" w:name="_Toc184313261"/>
      <w:bookmarkEnd w:id="359"/>
      <w:bookmarkStart w:id="360" w:name="_Toc184312102"/>
      <w:bookmarkEnd w:id="360"/>
      <w:bookmarkStart w:id="361" w:name="_Toc184314447"/>
      <w:bookmarkEnd w:id="361"/>
      <w:bookmarkStart w:id="362" w:name="_Toc184310316"/>
      <w:bookmarkEnd w:id="362"/>
      <w:bookmarkStart w:id="363" w:name="_Toc184314412"/>
      <w:bookmarkEnd w:id="363"/>
      <w:bookmarkStart w:id="364" w:name="_Toc184314452"/>
      <w:bookmarkEnd w:id="364"/>
      <w:bookmarkStart w:id="365" w:name="_Toc184308099"/>
      <w:bookmarkEnd w:id="365"/>
      <w:bookmarkStart w:id="366" w:name="_Toc184310292"/>
      <w:bookmarkEnd w:id="366"/>
      <w:bookmarkStart w:id="367" w:name="_Toc184312091"/>
      <w:bookmarkEnd w:id="367"/>
      <w:bookmarkStart w:id="368" w:name="_Toc184314478"/>
      <w:bookmarkEnd w:id="368"/>
      <w:bookmarkStart w:id="369" w:name="_Toc184313288"/>
      <w:bookmarkEnd w:id="369"/>
      <w:bookmarkStart w:id="370" w:name="_Toc184314445"/>
      <w:bookmarkEnd w:id="370"/>
      <w:bookmarkStart w:id="371" w:name="_Toc184312110"/>
      <w:bookmarkEnd w:id="371"/>
      <w:bookmarkStart w:id="372" w:name="_Toc184310297"/>
      <w:bookmarkEnd w:id="372"/>
      <w:bookmarkStart w:id="373" w:name="_Toc184308059"/>
      <w:bookmarkEnd w:id="373"/>
      <w:bookmarkStart w:id="374" w:name="_Toc184312128"/>
      <w:bookmarkEnd w:id="374"/>
      <w:bookmarkStart w:id="375" w:name="_Toc184308056"/>
      <w:bookmarkEnd w:id="375"/>
      <w:bookmarkStart w:id="376" w:name="_Toc184312108"/>
      <w:bookmarkEnd w:id="376"/>
      <w:bookmarkStart w:id="377" w:name="_Toc184308060"/>
      <w:bookmarkEnd w:id="377"/>
      <w:bookmarkStart w:id="378" w:name="_Toc184308039"/>
      <w:bookmarkEnd w:id="378"/>
      <w:bookmarkStart w:id="379" w:name="_Toc184314473"/>
      <w:bookmarkEnd w:id="379"/>
      <w:bookmarkStart w:id="380" w:name="_Toc184310288"/>
      <w:bookmarkEnd w:id="380"/>
      <w:bookmarkStart w:id="381" w:name="_Toc184312114"/>
      <w:bookmarkEnd w:id="381"/>
      <w:bookmarkStart w:id="382" w:name="_Toc184313260"/>
      <w:bookmarkEnd w:id="382"/>
      <w:bookmarkStart w:id="383" w:name="_Toc184313292"/>
      <w:bookmarkEnd w:id="383"/>
      <w:bookmarkStart w:id="384" w:name="_Toc184310279"/>
      <w:bookmarkEnd w:id="384"/>
      <w:bookmarkStart w:id="385" w:name="_Toc184314455"/>
      <w:bookmarkEnd w:id="385"/>
      <w:bookmarkStart w:id="386" w:name="_Toc184314440"/>
      <w:bookmarkEnd w:id="386"/>
      <w:bookmarkStart w:id="387" w:name="_Toc184312096"/>
      <w:bookmarkEnd w:id="387"/>
      <w:bookmarkStart w:id="388" w:name="_Toc184312112"/>
      <w:bookmarkEnd w:id="388"/>
      <w:bookmarkStart w:id="389" w:name="_Toc184314479"/>
      <w:bookmarkEnd w:id="389"/>
      <w:bookmarkStart w:id="390" w:name="_Toc184314482"/>
      <w:bookmarkEnd w:id="390"/>
      <w:bookmarkStart w:id="391" w:name="_Toc184310299"/>
      <w:bookmarkEnd w:id="391"/>
      <w:bookmarkStart w:id="392" w:name="_Toc184313262"/>
      <w:bookmarkEnd w:id="392"/>
      <w:bookmarkStart w:id="393" w:name="_Toc184310322"/>
      <w:bookmarkEnd w:id="393"/>
      <w:bookmarkStart w:id="394" w:name="_Toc184312133"/>
      <w:bookmarkEnd w:id="394"/>
      <w:bookmarkStart w:id="395" w:name="_Toc184313289"/>
      <w:bookmarkEnd w:id="395"/>
      <w:bookmarkStart w:id="396" w:name="_Toc184308075"/>
      <w:bookmarkEnd w:id="396"/>
      <w:bookmarkStart w:id="397" w:name="_Toc184310305"/>
      <w:bookmarkEnd w:id="397"/>
      <w:bookmarkStart w:id="398" w:name="_Toc184313294"/>
      <w:bookmarkEnd w:id="398"/>
      <w:r>
        <w:rPr>
          <w:rFonts w:hint="eastAsia" w:ascii="宋体" w:hAnsi="宋体" w:cs="宋体"/>
          <w:color w:val="auto"/>
          <w:sz w:val="36"/>
          <w:szCs w:val="36"/>
          <w:highlight w:val="none"/>
        </w:rPr>
        <w:t>评标办法</w:t>
      </w:r>
      <w:bookmarkEnd w:id="32"/>
      <w:bookmarkEnd w:id="33"/>
    </w:p>
    <w:p w14:paraId="2EC7C9AF">
      <w:pPr>
        <w:snapToGrid w:val="0"/>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23"/>
        <w:tblW w:w="1008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1"/>
        <w:gridCol w:w="1554"/>
        <w:gridCol w:w="6744"/>
        <w:gridCol w:w="1004"/>
      </w:tblGrid>
      <w:tr w14:paraId="69D562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781" w:type="dxa"/>
            <w:tcBorders>
              <w:tl2br w:val="nil"/>
              <w:tr2bl w:val="nil"/>
            </w:tcBorders>
            <w:noWrap w:val="0"/>
            <w:vAlign w:val="center"/>
          </w:tcPr>
          <w:p w14:paraId="74FEB2FF">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554" w:type="dxa"/>
            <w:tcBorders>
              <w:tl2br w:val="nil"/>
              <w:tr2bl w:val="nil"/>
            </w:tcBorders>
            <w:noWrap w:val="0"/>
            <w:vAlign w:val="center"/>
          </w:tcPr>
          <w:p w14:paraId="6E823511">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744" w:type="dxa"/>
            <w:tcBorders>
              <w:tl2br w:val="nil"/>
              <w:tr2bl w:val="nil"/>
            </w:tcBorders>
            <w:noWrap w:val="0"/>
            <w:vAlign w:val="center"/>
          </w:tcPr>
          <w:p w14:paraId="16882821">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tc>
        <w:tc>
          <w:tcPr>
            <w:tcW w:w="1004" w:type="dxa"/>
            <w:tcBorders>
              <w:tl2br w:val="nil"/>
              <w:tr2bl w:val="nil"/>
            </w:tcBorders>
            <w:noWrap w:val="0"/>
            <w:vAlign w:val="center"/>
          </w:tcPr>
          <w:p w14:paraId="38C00C46">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374D1D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781" w:type="dxa"/>
            <w:vMerge w:val="restart"/>
            <w:tcBorders>
              <w:tl2br w:val="nil"/>
              <w:tr2bl w:val="nil"/>
            </w:tcBorders>
            <w:noWrap w:val="0"/>
            <w:vAlign w:val="center"/>
          </w:tcPr>
          <w:p w14:paraId="55B92E4C">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1554" w:type="dxa"/>
            <w:vMerge w:val="restart"/>
            <w:tcBorders>
              <w:tl2br w:val="nil"/>
              <w:tr2bl w:val="nil"/>
            </w:tcBorders>
            <w:noWrap w:val="0"/>
            <w:vAlign w:val="center"/>
          </w:tcPr>
          <w:p w14:paraId="1FC8D3D9">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人员配置</w:t>
            </w:r>
          </w:p>
        </w:tc>
        <w:tc>
          <w:tcPr>
            <w:tcW w:w="6744" w:type="dxa"/>
            <w:tcBorders>
              <w:tl2br w:val="nil"/>
              <w:tr2bl w:val="nil"/>
            </w:tcBorders>
            <w:noWrap w:val="0"/>
            <w:vAlign w:val="center"/>
          </w:tcPr>
          <w:p w14:paraId="16073F29">
            <w:pPr>
              <w:keepNext w:val="0"/>
              <w:keepLines w:val="0"/>
              <w:pageBreakBefore w:val="0"/>
              <w:widowControl/>
              <w:numPr>
                <w:ilvl w:val="0"/>
                <w:numId w:val="6"/>
              </w:numPr>
              <w:suppressLineNumbers w:val="0"/>
              <w:kinsoku/>
              <w:wordWrap/>
              <w:overflowPunct/>
              <w:topLinePunct w:val="0"/>
              <w:bidi w:val="0"/>
              <w:spacing w:line="360" w:lineRule="exact"/>
              <w:jc w:val="left"/>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拟派</w:t>
            </w:r>
            <w:r>
              <w:rPr>
                <w:rFonts w:ascii="仿宋" w:hAnsi="仿宋" w:eastAsia="仿宋" w:cs="仿宋"/>
                <w:b/>
                <w:bCs/>
                <w:color w:val="auto"/>
                <w:kern w:val="0"/>
                <w:sz w:val="24"/>
                <w:szCs w:val="24"/>
                <w:lang w:val="en-US" w:eastAsia="zh-CN" w:bidi="ar"/>
              </w:rPr>
              <w:t>项目负责人</w:t>
            </w:r>
            <w:r>
              <w:rPr>
                <w:rFonts w:hint="eastAsia" w:ascii="仿宋" w:hAnsi="仿宋" w:eastAsia="仿宋" w:cs="仿宋"/>
                <w:b/>
                <w:bCs/>
                <w:color w:val="auto"/>
                <w:kern w:val="0"/>
                <w:sz w:val="24"/>
                <w:szCs w:val="24"/>
                <w:lang w:val="en-US" w:eastAsia="zh-CN" w:bidi="ar"/>
              </w:rPr>
              <w:t>：</w:t>
            </w:r>
          </w:p>
          <w:p w14:paraId="2A161F0B">
            <w:pPr>
              <w:keepNext w:val="0"/>
              <w:keepLines w:val="0"/>
              <w:pageBreakBefore w:val="0"/>
              <w:widowControl/>
              <w:numPr>
                <w:ilvl w:val="0"/>
                <w:numId w:val="0"/>
              </w:numPr>
              <w:suppressLineNumbers w:val="0"/>
              <w:kinsoku/>
              <w:wordWrap/>
              <w:overflowPunct/>
              <w:topLinePunct w:val="0"/>
              <w:bidi w:val="0"/>
              <w:spacing w:line="360" w:lineRule="exact"/>
              <w:jc w:val="left"/>
              <w:rPr>
                <w:color w:val="auto"/>
              </w:rPr>
            </w:pPr>
            <w:r>
              <w:rPr>
                <w:rFonts w:hint="eastAsia" w:ascii="仿宋" w:hAnsi="仿宋" w:eastAsia="仿宋" w:cs="仿宋"/>
                <w:color w:val="auto"/>
                <w:kern w:val="0"/>
                <w:sz w:val="24"/>
                <w:szCs w:val="24"/>
                <w:lang w:val="en-US" w:eastAsia="zh-CN" w:bidi="ar"/>
              </w:rPr>
              <w:t>项目负责人</w:t>
            </w:r>
            <w:r>
              <w:rPr>
                <w:rFonts w:ascii="仿宋" w:hAnsi="仿宋" w:eastAsia="仿宋" w:cs="仿宋"/>
                <w:color w:val="auto"/>
                <w:kern w:val="0"/>
                <w:sz w:val="24"/>
                <w:szCs w:val="24"/>
                <w:lang w:val="en-US" w:eastAsia="zh-CN" w:bidi="ar"/>
              </w:rPr>
              <w:t>具备建筑工程二级及以上建造师资格证书且持</w:t>
            </w:r>
            <w:r>
              <w:rPr>
                <w:rFonts w:hint="eastAsia" w:ascii="仿宋" w:hAnsi="仿宋" w:eastAsia="仿宋" w:cs="仿宋"/>
                <w:color w:val="auto"/>
                <w:kern w:val="0"/>
                <w:sz w:val="24"/>
                <w:szCs w:val="24"/>
                <w:lang w:val="en-US" w:eastAsia="zh-CN" w:bidi="ar"/>
              </w:rPr>
              <w:t xml:space="preserve">有项目负责人安全生产考核合格证书（B证）的得2分；项目负责人同时具有中级及以上工程师（建筑类）职称得1分；本项最高3分。 </w:t>
            </w:r>
          </w:p>
          <w:p w14:paraId="108749D8">
            <w:pPr>
              <w:keepNext w:val="0"/>
              <w:keepLines w:val="0"/>
              <w:pageBreakBefore w:val="0"/>
              <w:widowControl/>
              <w:suppressLineNumbers w:val="0"/>
              <w:kinsoku/>
              <w:wordWrap/>
              <w:overflowPunct/>
              <w:topLinePunct w:val="0"/>
              <w:bidi w:val="0"/>
              <w:spacing w:line="3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lang w:val="en-US" w:eastAsia="zh-CN" w:bidi="ar"/>
              </w:rPr>
              <w:t>注：项目负责人提供相关证书复印件，同时还需提供投标人为其缴纳的近3个月社保证明材料并加盖供应商CA签章，否则不得分。</w:t>
            </w:r>
          </w:p>
        </w:tc>
        <w:tc>
          <w:tcPr>
            <w:tcW w:w="1004" w:type="dxa"/>
            <w:tcBorders>
              <w:tl2br w:val="nil"/>
              <w:tr2bl w:val="nil"/>
            </w:tcBorders>
            <w:noWrap w:val="0"/>
            <w:vAlign w:val="center"/>
          </w:tcPr>
          <w:p w14:paraId="09377E8B">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3分</w:t>
            </w:r>
          </w:p>
        </w:tc>
      </w:tr>
      <w:tr w14:paraId="201967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781" w:type="dxa"/>
            <w:vMerge w:val="continue"/>
            <w:tcBorders>
              <w:tl2br w:val="nil"/>
              <w:tr2bl w:val="nil"/>
            </w:tcBorders>
            <w:noWrap w:val="0"/>
            <w:vAlign w:val="center"/>
          </w:tcPr>
          <w:p w14:paraId="6964A22E">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val="0"/>
                <w:bCs w:val="0"/>
                <w:color w:val="auto"/>
                <w:sz w:val="24"/>
                <w:szCs w:val="24"/>
                <w:highlight w:val="none"/>
                <w:lang w:val="en-US" w:eastAsia="zh-CN"/>
              </w:rPr>
            </w:pPr>
          </w:p>
        </w:tc>
        <w:tc>
          <w:tcPr>
            <w:tcW w:w="1554" w:type="dxa"/>
            <w:vMerge w:val="continue"/>
            <w:tcBorders>
              <w:tl2br w:val="nil"/>
              <w:tr2bl w:val="nil"/>
            </w:tcBorders>
            <w:noWrap w:val="0"/>
            <w:vAlign w:val="center"/>
          </w:tcPr>
          <w:p w14:paraId="7809BF23">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val="0"/>
                <w:bCs w:val="0"/>
                <w:color w:val="auto"/>
                <w:sz w:val="24"/>
                <w:szCs w:val="24"/>
                <w:highlight w:val="none"/>
                <w:lang w:val="en-US" w:eastAsia="zh-CN"/>
              </w:rPr>
            </w:pPr>
          </w:p>
        </w:tc>
        <w:tc>
          <w:tcPr>
            <w:tcW w:w="6744" w:type="dxa"/>
            <w:tcBorders>
              <w:tl2br w:val="nil"/>
              <w:tr2bl w:val="nil"/>
            </w:tcBorders>
            <w:noWrap w:val="0"/>
            <w:vAlign w:val="center"/>
          </w:tcPr>
          <w:p w14:paraId="3F7D0172">
            <w:pPr>
              <w:keepNext w:val="0"/>
              <w:keepLines w:val="0"/>
              <w:pageBreakBefore w:val="0"/>
              <w:widowControl/>
              <w:suppressLineNumbers w:val="0"/>
              <w:kinsoku/>
              <w:wordWrap/>
              <w:overflowPunct/>
              <w:topLinePunct w:val="0"/>
              <w:bidi w:val="0"/>
              <w:spacing w:line="360" w:lineRule="exact"/>
              <w:jc w:val="left"/>
              <w:rPr>
                <w:b/>
                <w:bCs/>
                <w:color w:val="auto"/>
              </w:rPr>
            </w:pPr>
            <w:r>
              <w:rPr>
                <w:rFonts w:hint="eastAsia" w:ascii="仿宋" w:hAnsi="仿宋" w:eastAsia="仿宋" w:cs="仿宋"/>
                <w:b/>
                <w:bCs/>
                <w:color w:val="auto"/>
                <w:kern w:val="0"/>
                <w:sz w:val="24"/>
                <w:szCs w:val="24"/>
                <w:lang w:val="en-US" w:eastAsia="zh-CN" w:bidi="ar"/>
              </w:rPr>
              <w:t>2、拟派项目组其他成员（除项目负责人以外） ：</w:t>
            </w:r>
          </w:p>
          <w:p w14:paraId="565F85DB">
            <w:pPr>
              <w:keepNext w:val="0"/>
              <w:keepLines w:val="0"/>
              <w:pageBreakBefore w:val="0"/>
              <w:widowControl/>
              <w:suppressLineNumbers w:val="0"/>
              <w:kinsoku/>
              <w:wordWrap/>
              <w:overflowPunct/>
              <w:topLinePunct w:val="0"/>
              <w:bidi w:val="0"/>
              <w:spacing w:line="360" w:lineRule="exact"/>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项目组其他成员配置有具有中级及以上工程师职称的技术负责人得1分；</w:t>
            </w:r>
          </w:p>
          <w:p w14:paraId="66C5734A">
            <w:pPr>
              <w:keepNext w:val="0"/>
              <w:keepLines w:val="0"/>
              <w:pageBreakBefore w:val="0"/>
              <w:widowControl/>
              <w:suppressLineNumbers w:val="0"/>
              <w:kinsoku/>
              <w:wordWrap/>
              <w:overflowPunct/>
              <w:topLinePunct w:val="0"/>
              <w:bidi w:val="0"/>
              <w:spacing w:line="360" w:lineRule="exact"/>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具有专职安全生产管理人员安全生产考核合格证（C证）的得1分；</w:t>
            </w:r>
          </w:p>
          <w:p w14:paraId="37EDE20B">
            <w:pPr>
              <w:keepNext w:val="0"/>
              <w:keepLines w:val="0"/>
              <w:pageBreakBefore w:val="0"/>
              <w:widowControl/>
              <w:suppressLineNumbers w:val="0"/>
              <w:kinsoku/>
              <w:wordWrap/>
              <w:overflowPunct/>
              <w:topLinePunct w:val="0"/>
              <w:bidi w:val="0"/>
              <w:spacing w:line="360" w:lineRule="exact"/>
              <w:jc w:val="left"/>
              <w:rPr>
                <w:color w:val="auto"/>
              </w:rPr>
            </w:pPr>
            <w:r>
              <w:rPr>
                <w:rFonts w:hint="eastAsia" w:ascii="仿宋" w:hAnsi="仿宋" w:eastAsia="仿宋" w:cs="仿宋"/>
                <w:color w:val="auto"/>
                <w:kern w:val="0"/>
                <w:sz w:val="24"/>
                <w:szCs w:val="24"/>
                <w:lang w:val="en-US" w:eastAsia="zh-CN" w:bidi="ar"/>
              </w:rPr>
              <w:t xml:space="preserve">土建或装饰装修施工员、土建或装饰装修质量员、资料员、材料员、劳资员、建筑电工等，每满足一项得0.5分；最高得3分。 </w:t>
            </w:r>
          </w:p>
          <w:p w14:paraId="1A3C801B">
            <w:pPr>
              <w:keepNext w:val="0"/>
              <w:keepLines w:val="0"/>
              <w:pageBreakBefore w:val="0"/>
              <w:widowControl/>
              <w:suppressLineNumbers w:val="0"/>
              <w:kinsoku/>
              <w:wordWrap/>
              <w:overflowPunct/>
              <w:topLinePunct w:val="0"/>
              <w:bidi w:val="0"/>
              <w:spacing w:line="360" w:lineRule="exact"/>
              <w:jc w:val="left"/>
              <w:rPr>
                <w:color w:val="auto"/>
              </w:rPr>
            </w:pPr>
            <w:r>
              <w:rPr>
                <w:rFonts w:hint="eastAsia" w:ascii="仿宋" w:hAnsi="仿宋" w:eastAsia="仿宋" w:cs="仿宋"/>
                <w:b/>
                <w:bCs/>
                <w:color w:val="auto"/>
                <w:kern w:val="0"/>
                <w:sz w:val="24"/>
                <w:szCs w:val="24"/>
                <w:lang w:val="en-US" w:eastAsia="zh-CN" w:bidi="ar"/>
              </w:rPr>
              <w:t xml:space="preserve">注：以上人员不得重复，提供相关证书复印件，同时还需提供 </w:t>
            </w:r>
          </w:p>
          <w:p w14:paraId="417E4213">
            <w:pPr>
              <w:keepNext w:val="0"/>
              <w:keepLines w:val="0"/>
              <w:pageBreakBefore w:val="0"/>
              <w:widowControl/>
              <w:suppressLineNumbers w:val="0"/>
              <w:kinsoku/>
              <w:wordWrap/>
              <w:overflowPunct/>
              <w:topLinePunct w:val="0"/>
              <w:bidi w:val="0"/>
              <w:spacing w:line="360" w:lineRule="exact"/>
              <w:jc w:val="left"/>
              <w:rPr>
                <w:color w:val="auto"/>
              </w:rPr>
            </w:pPr>
            <w:r>
              <w:rPr>
                <w:rFonts w:hint="eastAsia" w:ascii="仿宋" w:hAnsi="仿宋" w:eastAsia="仿宋" w:cs="仿宋"/>
                <w:b/>
                <w:bCs/>
                <w:color w:val="auto"/>
                <w:kern w:val="0"/>
                <w:sz w:val="24"/>
                <w:szCs w:val="24"/>
                <w:lang w:val="en-US" w:eastAsia="zh-CN" w:bidi="ar"/>
              </w:rPr>
              <w:t xml:space="preserve">投标人为其缴纳的近3个月社保证明材料并加盖供应商CA签 </w:t>
            </w:r>
          </w:p>
          <w:p w14:paraId="391D2334">
            <w:pPr>
              <w:keepNext w:val="0"/>
              <w:keepLines w:val="0"/>
              <w:pageBreakBefore w:val="0"/>
              <w:widowControl/>
              <w:suppressLineNumbers w:val="0"/>
              <w:kinsoku/>
              <w:wordWrap/>
              <w:overflowPunct/>
              <w:topLinePunct w:val="0"/>
              <w:bidi w:val="0"/>
              <w:spacing w:line="360" w:lineRule="exact"/>
              <w:jc w:val="left"/>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章，否则不得分。</w:t>
            </w:r>
          </w:p>
        </w:tc>
        <w:tc>
          <w:tcPr>
            <w:tcW w:w="1004" w:type="dxa"/>
            <w:tcBorders>
              <w:tl2br w:val="nil"/>
              <w:tr2bl w:val="nil"/>
            </w:tcBorders>
            <w:noWrap w:val="0"/>
            <w:vAlign w:val="center"/>
          </w:tcPr>
          <w:p w14:paraId="08CE6DE5">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5分</w:t>
            </w:r>
          </w:p>
        </w:tc>
      </w:tr>
      <w:tr w14:paraId="4BB50C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5" w:hRule="atLeast"/>
          <w:jc w:val="center"/>
        </w:trPr>
        <w:tc>
          <w:tcPr>
            <w:tcW w:w="781" w:type="dxa"/>
            <w:vMerge w:val="restart"/>
            <w:tcBorders>
              <w:tl2br w:val="nil"/>
              <w:tr2bl w:val="nil"/>
            </w:tcBorders>
            <w:noWrap w:val="0"/>
            <w:vAlign w:val="center"/>
          </w:tcPr>
          <w:p w14:paraId="0B4DFFC9">
            <w:pPr>
              <w:keepNext w:val="0"/>
              <w:keepLines w:val="0"/>
              <w:pageBreakBefore w:val="0"/>
              <w:numPr>
                <w:ilvl w:val="0"/>
                <w:numId w:val="0"/>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lang w:val="en-US" w:eastAsia="zh-CN" w:bidi="ar-SA"/>
              </w:rPr>
              <w:t>2</w:t>
            </w:r>
          </w:p>
        </w:tc>
        <w:tc>
          <w:tcPr>
            <w:tcW w:w="1554" w:type="dxa"/>
            <w:vMerge w:val="restart"/>
            <w:tcBorders>
              <w:tl2br w:val="nil"/>
              <w:tr2bl w:val="nil"/>
            </w:tcBorders>
            <w:noWrap w:val="0"/>
            <w:vAlign w:val="center"/>
          </w:tcPr>
          <w:p w14:paraId="7838D0A7">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企业资信</w:t>
            </w:r>
          </w:p>
        </w:tc>
        <w:tc>
          <w:tcPr>
            <w:tcW w:w="6744" w:type="dxa"/>
            <w:tcBorders>
              <w:tl2br w:val="nil"/>
              <w:tr2bl w:val="nil"/>
            </w:tcBorders>
            <w:noWrap w:val="0"/>
            <w:vAlign w:val="center"/>
          </w:tcPr>
          <w:p w14:paraId="20A332E1">
            <w:pPr>
              <w:keepNext w:val="0"/>
              <w:keepLines w:val="0"/>
              <w:pageBreakBefore w:val="0"/>
              <w:kinsoku/>
              <w:wordWrap/>
              <w:overflowPunct/>
              <w:topLinePunct w:val="0"/>
              <w:bidi w:val="0"/>
              <w:snapToGrid w:val="0"/>
              <w:spacing w:line="360" w:lineRule="exact"/>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1、体系认证：</w:t>
            </w:r>
          </w:p>
          <w:p w14:paraId="10C95428">
            <w:pPr>
              <w:keepNext w:val="0"/>
              <w:keepLines w:val="0"/>
              <w:pageBreakBefore w:val="0"/>
              <w:kinsoku/>
              <w:wordWrap/>
              <w:overflowPunct/>
              <w:topLinePunct w:val="0"/>
              <w:bidi w:val="0"/>
              <w:snapToGrid w:val="0"/>
              <w:spacing w:line="360" w:lineRule="exact"/>
              <w:rPr>
                <w:rFonts w:hint="eastAsia" w:ascii="仿宋" w:hAnsi="仿宋" w:eastAsia="仿宋" w:cs="仿宋"/>
                <w:color w:val="auto"/>
                <w:sz w:val="24"/>
                <w:szCs w:val="24"/>
              </w:rPr>
            </w:pPr>
            <w:r>
              <w:rPr>
                <w:rFonts w:hint="eastAsia" w:ascii="仿宋" w:hAnsi="仿宋" w:eastAsia="仿宋" w:cs="仿宋"/>
                <w:bCs/>
                <w:color w:val="auto"/>
                <w:sz w:val="24"/>
                <w:szCs w:val="24"/>
              </w:rPr>
              <w:t>投标人具有ISO9001质量管理体系认证、ISO14001环境管理体系认证、ISO45001职业健康安全管理体系认证，</w:t>
            </w:r>
            <w:r>
              <w:rPr>
                <w:rFonts w:hint="eastAsia" w:ascii="仿宋" w:hAnsi="仿宋" w:eastAsia="仿宋" w:cs="仿宋"/>
                <w:bCs/>
                <w:color w:val="auto"/>
                <w:sz w:val="24"/>
                <w:szCs w:val="24"/>
                <w:lang w:val="en-US" w:eastAsia="zh-CN"/>
              </w:rPr>
              <w:t>每提供一个有效证书得1分，</w:t>
            </w:r>
            <w:r>
              <w:rPr>
                <w:rFonts w:hint="eastAsia" w:ascii="仿宋" w:hAnsi="仿宋" w:eastAsia="仿宋" w:cs="仿宋"/>
                <w:color w:val="auto"/>
                <w:sz w:val="24"/>
                <w:szCs w:val="24"/>
              </w:rPr>
              <w:t>本项最高得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14:paraId="2E3FD241">
            <w:pPr>
              <w:keepNext w:val="0"/>
              <w:keepLines w:val="0"/>
              <w:pageBreakBefore w:val="0"/>
              <w:kinsoku/>
              <w:wordWrap/>
              <w:overflowPunct/>
              <w:topLinePunct w:val="0"/>
              <w:bidi w:val="0"/>
              <w:snapToGrid w:val="0"/>
              <w:spacing w:line="360" w:lineRule="exact"/>
              <w:rPr>
                <w:rFonts w:hint="eastAsia" w:ascii="仿宋" w:hAnsi="仿宋" w:eastAsia="仿宋" w:cs="仿宋"/>
                <w:bCs/>
                <w:color w:val="auto"/>
                <w:kern w:val="2"/>
                <w:sz w:val="24"/>
                <w:szCs w:val="24"/>
                <w:lang w:val="en-US" w:eastAsia="zh-CN" w:bidi="ar-SA"/>
              </w:rPr>
            </w:pPr>
            <w:r>
              <w:rPr>
                <w:rFonts w:hint="eastAsia" w:ascii="仿宋" w:hAnsi="仿宋" w:eastAsia="仿宋" w:cs="仿宋"/>
                <w:b w:val="0"/>
                <w:bCs/>
                <w:color w:val="auto"/>
                <w:sz w:val="24"/>
                <w:szCs w:val="24"/>
              </w:rPr>
              <w:t>（</w:t>
            </w:r>
            <w:r>
              <w:rPr>
                <w:rFonts w:hint="eastAsia" w:ascii="仿宋" w:hAnsi="仿宋" w:eastAsia="仿宋" w:cs="仿宋"/>
                <w:b w:val="0"/>
                <w:bCs/>
                <w:color w:val="auto"/>
                <w:w w:val="90"/>
                <w:sz w:val="24"/>
                <w:szCs w:val="24"/>
              </w:rPr>
              <w:t>注：商务技术文件中需提供相关有效期内证书复印件及中国认证认可监督委员会网站截图并加盖投标人</w:t>
            </w:r>
            <w:r>
              <w:rPr>
                <w:rFonts w:hint="eastAsia" w:ascii="仿宋" w:hAnsi="仿宋" w:eastAsia="仿宋" w:cs="仿宋"/>
                <w:b w:val="0"/>
                <w:bCs/>
                <w:color w:val="auto"/>
                <w:w w:val="90"/>
                <w:sz w:val="24"/>
                <w:szCs w:val="24"/>
                <w:lang w:val="en-US" w:eastAsia="zh-CN"/>
              </w:rPr>
              <w:t>CA签章</w:t>
            </w:r>
            <w:r>
              <w:rPr>
                <w:rFonts w:hint="eastAsia" w:ascii="仿宋" w:hAnsi="仿宋" w:eastAsia="仿宋" w:cs="仿宋"/>
                <w:b w:val="0"/>
                <w:bCs/>
                <w:color w:val="auto"/>
                <w:w w:val="90"/>
                <w:sz w:val="24"/>
                <w:szCs w:val="24"/>
              </w:rPr>
              <w:t>,不提供或提供不全不得分</w:t>
            </w:r>
            <w:r>
              <w:rPr>
                <w:rFonts w:hint="eastAsia" w:ascii="仿宋" w:hAnsi="仿宋" w:eastAsia="仿宋" w:cs="仿宋"/>
                <w:b w:val="0"/>
                <w:bCs/>
                <w:color w:val="auto"/>
                <w:sz w:val="24"/>
                <w:szCs w:val="24"/>
              </w:rPr>
              <w:t>。）</w:t>
            </w:r>
          </w:p>
        </w:tc>
        <w:tc>
          <w:tcPr>
            <w:tcW w:w="1004" w:type="dxa"/>
            <w:tcBorders>
              <w:tl2br w:val="nil"/>
              <w:tr2bl w:val="nil"/>
            </w:tcBorders>
            <w:noWrap w:val="0"/>
            <w:vAlign w:val="center"/>
          </w:tcPr>
          <w:p w14:paraId="07453F04">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3分</w:t>
            </w:r>
          </w:p>
        </w:tc>
      </w:tr>
      <w:tr w14:paraId="38F0E7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5" w:hRule="atLeast"/>
          <w:jc w:val="center"/>
        </w:trPr>
        <w:tc>
          <w:tcPr>
            <w:tcW w:w="781" w:type="dxa"/>
            <w:vMerge w:val="continue"/>
            <w:tcBorders>
              <w:tl2br w:val="nil"/>
              <w:tr2bl w:val="nil"/>
            </w:tcBorders>
            <w:noWrap w:val="0"/>
            <w:vAlign w:val="center"/>
          </w:tcPr>
          <w:p w14:paraId="0E123035">
            <w:pPr>
              <w:keepNext w:val="0"/>
              <w:keepLines w:val="0"/>
              <w:pageBreakBefore w:val="0"/>
              <w:numPr>
                <w:ilvl w:val="0"/>
                <w:numId w:val="0"/>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eastAsia" w:ascii="仿宋" w:hAnsi="仿宋" w:eastAsia="仿宋" w:cs="仿宋"/>
                <w:b w:val="0"/>
                <w:bCs w:val="0"/>
                <w:color w:val="auto"/>
                <w:kern w:val="2"/>
                <w:sz w:val="24"/>
                <w:szCs w:val="24"/>
                <w:lang w:val="en-US" w:eastAsia="zh-CN" w:bidi="ar-SA"/>
              </w:rPr>
            </w:pPr>
          </w:p>
        </w:tc>
        <w:tc>
          <w:tcPr>
            <w:tcW w:w="1554" w:type="dxa"/>
            <w:vMerge w:val="continue"/>
            <w:tcBorders>
              <w:tl2br w:val="nil"/>
              <w:tr2bl w:val="nil"/>
            </w:tcBorders>
            <w:noWrap w:val="0"/>
            <w:vAlign w:val="center"/>
          </w:tcPr>
          <w:p w14:paraId="01DA7C21">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val="0"/>
                <w:bCs w:val="0"/>
                <w:color w:val="auto"/>
                <w:sz w:val="24"/>
                <w:szCs w:val="24"/>
                <w:highlight w:val="none"/>
                <w:lang w:val="en-US" w:eastAsia="zh-CN" w:bidi="ar-SA"/>
              </w:rPr>
            </w:pPr>
          </w:p>
        </w:tc>
        <w:tc>
          <w:tcPr>
            <w:tcW w:w="6744" w:type="dxa"/>
            <w:tcBorders>
              <w:tl2br w:val="nil"/>
              <w:tr2bl w:val="nil"/>
            </w:tcBorders>
            <w:noWrap w:val="0"/>
            <w:vAlign w:val="center"/>
          </w:tcPr>
          <w:p w14:paraId="07264B18">
            <w:pPr>
              <w:keepNext w:val="0"/>
              <w:keepLines w:val="0"/>
              <w:pageBreakBefore w:val="0"/>
              <w:kinsoku/>
              <w:wordWrap/>
              <w:overflowPunct/>
              <w:topLinePunct w:val="0"/>
              <w:bidi w:val="0"/>
              <w:snapToGrid w:val="0"/>
              <w:spacing w:line="360" w:lineRule="exact"/>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2、企业资信：</w:t>
            </w:r>
          </w:p>
          <w:p w14:paraId="0F2F962B">
            <w:pPr>
              <w:keepNext w:val="0"/>
              <w:keepLines w:val="0"/>
              <w:pageBreakBefore w:val="0"/>
              <w:kinsoku/>
              <w:wordWrap/>
              <w:overflowPunct/>
              <w:topLinePunct w:val="0"/>
              <w:bidi w:val="0"/>
              <w:snapToGrid w:val="0"/>
              <w:spacing w:line="360" w:lineRule="exact"/>
              <w:rPr>
                <w:rFonts w:hint="eastAsia" w:ascii="仿宋" w:hAnsi="仿宋" w:eastAsia="仿宋" w:cs="仿宋"/>
                <w:color w:val="auto"/>
                <w:sz w:val="24"/>
                <w:szCs w:val="24"/>
              </w:rPr>
            </w:pPr>
            <w:r>
              <w:rPr>
                <w:rFonts w:hint="eastAsia" w:ascii="仿宋" w:hAnsi="仿宋" w:eastAsia="仿宋" w:cs="仿宋"/>
                <w:b w:val="0"/>
                <w:bCs/>
                <w:color w:val="auto"/>
                <w:sz w:val="24"/>
                <w:szCs w:val="24"/>
                <w:lang w:val="en-US" w:eastAsia="zh-CN"/>
              </w:rPr>
              <w:t>投标人具有省级市场监督管理主管部门颁发的“守合同重信用”企业证书，A级得1分，AA级得2分，AAA级得3分，</w:t>
            </w:r>
            <w:r>
              <w:rPr>
                <w:rFonts w:hint="eastAsia" w:ascii="仿宋" w:hAnsi="仿宋" w:eastAsia="仿宋" w:cs="仿宋"/>
                <w:color w:val="auto"/>
                <w:sz w:val="24"/>
                <w:szCs w:val="24"/>
              </w:rPr>
              <w:t>本项最高得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14:paraId="60366CCD">
            <w:pPr>
              <w:pStyle w:val="2"/>
              <w:keepNext w:val="0"/>
              <w:keepLines w:val="0"/>
              <w:pageBreakBefore w:val="0"/>
              <w:kinsoku/>
              <w:wordWrap/>
              <w:overflowPunct/>
              <w:topLinePunct w:val="0"/>
              <w:bidi w:val="0"/>
              <w:spacing w:line="360" w:lineRule="exact"/>
              <w:ind w:left="0" w:leftChars="0" w:firstLine="0" w:firstLineChars="0"/>
              <w:rPr>
                <w:rFonts w:hint="default"/>
                <w:color w:val="auto"/>
                <w:lang w:val="en-US" w:eastAsia="zh-CN"/>
              </w:rPr>
            </w:pPr>
            <w:r>
              <w:rPr>
                <w:rFonts w:hint="eastAsia" w:ascii="仿宋" w:hAnsi="仿宋" w:eastAsia="仿宋" w:cs="仿宋"/>
                <w:b w:val="0"/>
                <w:bCs/>
                <w:color w:val="auto"/>
                <w:sz w:val="24"/>
                <w:szCs w:val="24"/>
              </w:rPr>
              <w:t>（</w:t>
            </w:r>
            <w:r>
              <w:rPr>
                <w:rFonts w:hint="eastAsia" w:ascii="仿宋" w:hAnsi="仿宋" w:eastAsia="仿宋" w:cs="仿宋"/>
                <w:b w:val="0"/>
                <w:bCs/>
                <w:color w:val="auto"/>
                <w:w w:val="90"/>
                <w:sz w:val="24"/>
                <w:szCs w:val="24"/>
              </w:rPr>
              <w:t>注：商务技术文件中需提供相关有效期内证书复印件及</w:t>
            </w:r>
            <w:r>
              <w:rPr>
                <w:rFonts w:hint="eastAsia" w:ascii="仿宋" w:hAnsi="仿宋" w:eastAsia="仿宋" w:cs="仿宋"/>
                <w:b w:val="0"/>
                <w:bCs/>
                <w:color w:val="auto"/>
                <w:w w:val="90"/>
                <w:sz w:val="24"/>
                <w:szCs w:val="24"/>
                <w:lang w:val="en-US" w:eastAsia="zh-CN"/>
              </w:rPr>
              <w:t>省级守合同重信用公示系统截图</w:t>
            </w:r>
            <w:r>
              <w:rPr>
                <w:rFonts w:hint="eastAsia" w:ascii="仿宋" w:hAnsi="仿宋" w:eastAsia="仿宋" w:cs="仿宋"/>
                <w:b w:val="0"/>
                <w:bCs/>
                <w:color w:val="auto"/>
                <w:w w:val="90"/>
                <w:sz w:val="24"/>
                <w:szCs w:val="24"/>
              </w:rPr>
              <w:t>并加盖投标人</w:t>
            </w:r>
            <w:r>
              <w:rPr>
                <w:rFonts w:hint="eastAsia" w:ascii="仿宋" w:hAnsi="仿宋" w:eastAsia="仿宋" w:cs="仿宋"/>
                <w:b w:val="0"/>
                <w:bCs/>
                <w:color w:val="auto"/>
                <w:w w:val="90"/>
                <w:sz w:val="24"/>
                <w:szCs w:val="24"/>
                <w:lang w:val="en-US" w:eastAsia="zh-CN"/>
              </w:rPr>
              <w:t>CA签章</w:t>
            </w:r>
            <w:r>
              <w:rPr>
                <w:rFonts w:hint="eastAsia" w:ascii="仿宋" w:hAnsi="仿宋" w:eastAsia="仿宋" w:cs="仿宋"/>
                <w:b w:val="0"/>
                <w:bCs/>
                <w:color w:val="auto"/>
                <w:w w:val="90"/>
                <w:sz w:val="24"/>
                <w:szCs w:val="24"/>
              </w:rPr>
              <w:t>,不提供或提供不全不得分</w:t>
            </w:r>
            <w:r>
              <w:rPr>
                <w:rFonts w:hint="eastAsia" w:ascii="仿宋" w:hAnsi="仿宋" w:eastAsia="仿宋" w:cs="仿宋"/>
                <w:b w:val="0"/>
                <w:bCs/>
                <w:color w:val="auto"/>
                <w:sz w:val="24"/>
                <w:szCs w:val="24"/>
              </w:rPr>
              <w:t>。）</w:t>
            </w:r>
          </w:p>
        </w:tc>
        <w:tc>
          <w:tcPr>
            <w:tcW w:w="1004" w:type="dxa"/>
            <w:tcBorders>
              <w:tl2br w:val="nil"/>
              <w:tr2bl w:val="nil"/>
            </w:tcBorders>
            <w:noWrap w:val="0"/>
            <w:vAlign w:val="center"/>
          </w:tcPr>
          <w:p w14:paraId="49C93861">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3分</w:t>
            </w:r>
          </w:p>
        </w:tc>
      </w:tr>
      <w:tr w14:paraId="3D2A13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81" w:type="dxa"/>
            <w:tcBorders>
              <w:tl2br w:val="nil"/>
              <w:tr2bl w:val="nil"/>
            </w:tcBorders>
            <w:noWrap w:val="0"/>
            <w:vAlign w:val="center"/>
          </w:tcPr>
          <w:p w14:paraId="450E3882">
            <w:pPr>
              <w:keepNext w:val="0"/>
              <w:keepLines w:val="0"/>
              <w:pageBreakBefore w:val="0"/>
              <w:numPr>
                <w:ilvl w:val="0"/>
                <w:numId w:val="0"/>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1554" w:type="dxa"/>
            <w:tcBorders>
              <w:tl2br w:val="nil"/>
              <w:tr2bl w:val="nil"/>
            </w:tcBorders>
            <w:noWrap w:val="0"/>
            <w:vAlign w:val="center"/>
          </w:tcPr>
          <w:p w14:paraId="03043478">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项目经验</w:t>
            </w:r>
          </w:p>
        </w:tc>
        <w:tc>
          <w:tcPr>
            <w:tcW w:w="6744" w:type="dxa"/>
            <w:tcBorders>
              <w:tl2br w:val="nil"/>
              <w:tr2bl w:val="nil"/>
            </w:tcBorders>
            <w:noWrap w:val="0"/>
            <w:vAlign w:val="center"/>
          </w:tcPr>
          <w:p w14:paraId="2FC6BA5F">
            <w:pPr>
              <w:keepNext w:val="0"/>
              <w:keepLines w:val="0"/>
              <w:pageBreakBefore w:val="0"/>
              <w:kinsoku/>
              <w:wordWrap/>
              <w:overflowPunct/>
              <w:topLinePunct w:val="0"/>
              <w:bidi w:val="0"/>
              <w:spacing w:line="360" w:lineRule="exact"/>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投标人自</w:t>
            </w:r>
            <w:r>
              <w:rPr>
                <w:rFonts w:hint="eastAsia" w:ascii="仿宋" w:hAnsi="仿宋" w:eastAsia="仿宋" w:cs="仿宋"/>
                <w:color w:val="auto"/>
                <w:kern w:val="0"/>
                <w:sz w:val="24"/>
              </w:rPr>
              <w:t>20</w:t>
            </w:r>
            <w:r>
              <w:rPr>
                <w:rFonts w:hint="eastAsia" w:ascii="仿宋" w:hAnsi="仿宋" w:eastAsia="仿宋" w:cs="仿宋"/>
                <w:color w:val="auto"/>
                <w:kern w:val="0"/>
                <w:sz w:val="24"/>
                <w:lang w:val="en-US" w:eastAsia="zh-CN"/>
              </w:rPr>
              <w:t>21</w:t>
            </w:r>
            <w:r>
              <w:rPr>
                <w:rFonts w:hint="eastAsia" w:ascii="仿宋" w:hAnsi="仿宋" w:eastAsia="仿宋" w:cs="仿宋"/>
                <w:color w:val="auto"/>
                <w:kern w:val="0"/>
                <w:sz w:val="24"/>
              </w:rPr>
              <w:t>年1月1日</w:t>
            </w:r>
            <w:r>
              <w:rPr>
                <w:rFonts w:hint="eastAsia" w:ascii="仿宋" w:hAnsi="仿宋" w:eastAsia="仿宋" w:cs="仿宋"/>
                <w:color w:val="auto"/>
                <w:kern w:val="0"/>
                <w:sz w:val="24"/>
                <w:lang w:val="en-US" w:eastAsia="zh-CN"/>
              </w:rPr>
              <w:t>至今（以合同签订时间为准），承接过装修类项目业绩的，每提供一个得1分，本项最高得2</w:t>
            </w:r>
            <w:r>
              <w:rPr>
                <w:rFonts w:hint="eastAsia" w:ascii="仿宋" w:hAnsi="仿宋" w:eastAsia="仿宋" w:cs="仿宋"/>
                <w:color w:val="auto"/>
                <w:kern w:val="0"/>
                <w:sz w:val="24"/>
              </w:rPr>
              <w:t>分。</w:t>
            </w:r>
          </w:p>
          <w:p w14:paraId="13BA858C">
            <w:pPr>
              <w:keepNext w:val="0"/>
              <w:keepLines w:val="0"/>
              <w:pageBreakBefore w:val="0"/>
              <w:kinsoku/>
              <w:wordWrap/>
              <w:overflowPunct/>
              <w:topLinePunct w:val="0"/>
              <w:bidi w:val="0"/>
              <w:spacing w:line="3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lang w:val="en-US" w:eastAsia="zh-CN"/>
              </w:rPr>
              <w:t>注：需提供相关合同扫描件并加盖投标人CA签章，不提供不得分。</w:t>
            </w:r>
          </w:p>
        </w:tc>
        <w:tc>
          <w:tcPr>
            <w:tcW w:w="1004" w:type="dxa"/>
            <w:tcBorders>
              <w:tl2br w:val="nil"/>
              <w:tr2bl w:val="nil"/>
            </w:tcBorders>
            <w:noWrap w:val="0"/>
            <w:vAlign w:val="center"/>
          </w:tcPr>
          <w:p w14:paraId="69422480">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p>
        </w:tc>
      </w:tr>
      <w:tr w14:paraId="166B54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0" w:hRule="atLeast"/>
          <w:jc w:val="center"/>
        </w:trPr>
        <w:tc>
          <w:tcPr>
            <w:tcW w:w="781" w:type="dxa"/>
            <w:vMerge w:val="restart"/>
            <w:tcBorders>
              <w:tl2br w:val="nil"/>
              <w:tr2bl w:val="nil"/>
            </w:tcBorders>
            <w:noWrap w:val="0"/>
            <w:vAlign w:val="center"/>
          </w:tcPr>
          <w:p w14:paraId="09ED78A7">
            <w:pPr>
              <w:keepNext w:val="0"/>
              <w:keepLines w:val="0"/>
              <w:pageBreakBefore w:val="0"/>
              <w:numPr>
                <w:ilvl w:val="0"/>
                <w:numId w:val="0"/>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eastAsia"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kern w:val="2"/>
                <w:sz w:val="24"/>
                <w:szCs w:val="24"/>
                <w:lang w:val="en-US" w:eastAsia="zh-CN" w:bidi="ar-SA"/>
              </w:rPr>
              <w:t>4</w:t>
            </w:r>
          </w:p>
        </w:tc>
        <w:tc>
          <w:tcPr>
            <w:tcW w:w="1554" w:type="dxa"/>
            <w:vMerge w:val="restart"/>
            <w:tcBorders>
              <w:tl2br w:val="nil"/>
              <w:tr2bl w:val="nil"/>
            </w:tcBorders>
            <w:noWrap w:val="0"/>
            <w:vAlign w:val="center"/>
          </w:tcPr>
          <w:p w14:paraId="60A4945E">
            <w:pPr>
              <w:keepNext w:val="0"/>
              <w:keepLines w:val="0"/>
              <w:pageBreakBefore w:val="0"/>
              <w:widowControl/>
              <w:kinsoku/>
              <w:wordWrap/>
              <w:overflowPunct/>
              <w:topLinePunct w:val="0"/>
              <w:autoSpaceDE w:val="0"/>
              <w:autoSpaceDN w:val="0"/>
              <w:bidi w:val="0"/>
              <w:spacing w:beforeAutospacing="0" w:afterAutospacing="0" w:line="360" w:lineRule="exact"/>
              <w:jc w:val="center"/>
              <w:textAlignment w:val="center"/>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设计</w:t>
            </w:r>
          </w:p>
          <w:p w14:paraId="2C5988FF">
            <w:pPr>
              <w:keepNext w:val="0"/>
              <w:keepLines w:val="0"/>
              <w:pageBreakBefore w:val="0"/>
              <w:widowControl/>
              <w:kinsoku/>
              <w:wordWrap/>
              <w:overflowPunct/>
              <w:topLinePunct w:val="0"/>
              <w:autoSpaceDE w:val="0"/>
              <w:autoSpaceDN w:val="0"/>
              <w:bidi w:val="0"/>
              <w:spacing w:beforeAutospacing="0" w:afterAutospacing="0" w:line="360" w:lineRule="exact"/>
              <w:jc w:val="center"/>
              <w:textAlignment w:val="center"/>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方案</w:t>
            </w:r>
          </w:p>
        </w:tc>
        <w:tc>
          <w:tcPr>
            <w:tcW w:w="6744" w:type="dxa"/>
            <w:tcBorders>
              <w:tl2br w:val="nil"/>
              <w:tr2bl w:val="nil"/>
            </w:tcBorders>
            <w:noWrap w:val="0"/>
            <w:vAlign w:val="center"/>
          </w:tcPr>
          <w:p w14:paraId="40538DAC">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宋体"/>
                <w:bCs/>
                <w:color w:val="auto"/>
                <w:sz w:val="24"/>
              </w:rPr>
            </w:pPr>
            <w:r>
              <w:rPr>
                <w:rFonts w:hint="eastAsia" w:ascii="仿宋" w:hAnsi="仿宋" w:eastAsia="仿宋" w:cs="仿宋"/>
                <w:color w:val="auto"/>
                <w:sz w:val="24"/>
                <w:szCs w:val="24"/>
                <w:highlight w:val="none"/>
                <w:lang w:val="en-US" w:eastAsia="zh-CN"/>
              </w:rPr>
              <w:t>根据投标人</w:t>
            </w:r>
            <w:r>
              <w:rPr>
                <w:rFonts w:hint="eastAsia" w:ascii="仿宋" w:hAnsi="仿宋" w:eastAsia="仿宋" w:cs="仿宋"/>
                <w:color w:val="auto"/>
                <w:sz w:val="24"/>
                <w:szCs w:val="24"/>
              </w:rPr>
              <w:t>对本项目设计理念的理解，结合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诸暨市“五好两宜”和美乡村试点项目一状元村柿子深加工周边环境氛围提升及主题文化布置布展采购项目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实际情况，整体的设计思路</w:t>
            </w:r>
            <w:r>
              <w:rPr>
                <w:rFonts w:hint="eastAsia" w:ascii="仿宋" w:hAnsi="仿宋" w:eastAsia="仿宋" w:cs="仿宋"/>
                <w:color w:val="auto"/>
                <w:sz w:val="24"/>
                <w:szCs w:val="24"/>
                <w:lang w:val="en-US" w:eastAsia="zh-CN"/>
              </w:rPr>
              <w:t>结合</w:t>
            </w:r>
            <w:r>
              <w:rPr>
                <w:rFonts w:hint="eastAsia" w:ascii="仿宋" w:hAnsi="仿宋" w:eastAsia="仿宋" w:cs="仿宋"/>
                <w:color w:val="auto"/>
                <w:sz w:val="24"/>
                <w:szCs w:val="24"/>
              </w:rPr>
              <w:t>设计深度要求展现</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整体</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方案，</w:t>
            </w:r>
            <w:r>
              <w:rPr>
                <w:rFonts w:hint="eastAsia" w:ascii="仿宋" w:hAnsi="仿宋" w:eastAsia="仿宋" w:cs="宋体"/>
                <w:bCs/>
                <w:color w:val="auto"/>
                <w:sz w:val="24"/>
              </w:rPr>
              <w:t>由</w:t>
            </w:r>
            <w:r>
              <w:rPr>
                <w:rFonts w:hint="eastAsia" w:ascii="仿宋" w:hAnsi="仿宋" w:eastAsia="仿宋" w:cs="宋体"/>
                <w:bCs/>
                <w:color w:val="auto"/>
                <w:sz w:val="24"/>
                <w:lang w:val="en-US" w:eastAsia="zh-CN"/>
              </w:rPr>
              <w:t>评审专家</w:t>
            </w:r>
            <w:r>
              <w:rPr>
                <w:rFonts w:hint="eastAsia" w:ascii="仿宋" w:hAnsi="仿宋" w:eastAsia="仿宋" w:cs="宋体"/>
                <w:bCs/>
                <w:color w:val="auto"/>
                <w:sz w:val="24"/>
              </w:rPr>
              <w:t>进行综合</w:t>
            </w:r>
            <w:r>
              <w:rPr>
                <w:rFonts w:hint="eastAsia" w:ascii="仿宋" w:hAnsi="仿宋" w:eastAsia="仿宋" w:cs="宋体"/>
                <w:bCs/>
                <w:color w:val="auto"/>
                <w:sz w:val="24"/>
                <w:lang w:val="en-US" w:eastAsia="zh-CN"/>
              </w:rPr>
              <w:t>评分</w:t>
            </w:r>
            <w:r>
              <w:rPr>
                <w:rFonts w:hint="eastAsia" w:ascii="仿宋" w:hAnsi="仿宋" w:eastAsia="仿宋" w:cs="宋体"/>
                <w:bCs/>
                <w:color w:val="auto"/>
                <w:sz w:val="24"/>
              </w:rPr>
              <w:t>。</w:t>
            </w:r>
          </w:p>
          <w:p w14:paraId="01A6C17E">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①方案合理完整、各层次详细全面的得（5,8］分；</w:t>
            </w:r>
          </w:p>
          <w:p w14:paraId="1782B820">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②方案相对完整、相对合理明确的得（2,5］分；</w:t>
            </w:r>
          </w:p>
          <w:p w14:paraId="399E0A43">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③方案相对欠缺较多、层次模糊的得（0,2］分；</w:t>
            </w:r>
          </w:p>
          <w:p w14:paraId="4792050D">
            <w:pPr>
              <w:keepNext w:val="0"/>
              <w:keepLines w:val="0"/>
              <w:pageBreakBefore w:val="0"/>
              <w:kinsoku/>
              <w:wordWrap/>
              <w:overflowPunct/>
              <w:topLinePunct w:val="0"/>
              <w:bidi w:val="0"/>
              <w:spacing w:line="3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④未提供或不符合项目的不得分。</w:t>
            </w:r>
          </w:p>
        </w:tc>
        <w:tc>
          <w:tcPr>
            <w:tcW w:w="1004" w:type="dxa"/>
            <w:tcBorders>
              <w:tl2br w:val="nil"/>
              <w:tr2bl w:val="nil"/>
            </w:tcBorders>
            <w:noWrap w:val="0"/>
            <w:vAlign w:val="center"/>
          </w:tcPr>
          <w:p w14:paraId="018FE6B0">
            <w:pPr>
              <w:keepNext w:val="0"/>
              <w:keepLines w:val="0"/>
              <w:pageBreakBefore w:val="0"/>
              <w:widowControl/>
              <w:kinsoku/>
              <w:wordWrap/>
              <w:overflowPunct/>
              <w:topLinePunct w:val="0"/>
              <w:bidi w:val="0"/>
              <w:spacing w:beforeAutospacing="0" w:afterAutospacing="0" w:line="360" w:lineRule="exact"/>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分</w:t>
            </w:r>
          </w:p>
        </w:tc>
      </w:tr>
      <w:tr w14:paraId="48B8E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0" w:hRule="atLeast"/>
          <w:jc w:val="center"/>
        </w:trPr>
        <w:tc>
          <w:tcPr>
            <w:tcW w:w="781" w:type="dxa"/>
            <w:vMerge w:val="continue"/>
            <w:tcBorders>
              <w:tl2br w:val="nil"/>
              <w:tr2bl w:val="nil"/>
            </w:tcBorders>
            <w:noWrap w:val="0"/>
            <w:vAlign w:val="center"/>
          </w:tcPr>
          <w:p w14:paraId="5120CA77">
            <w:pPr>
              <w:keepNext w:val="0"/>
              <w:keepLines w:val="0"/>
              <w:pageBreakBefore w:val="0"/>
              <w:numPr>
                <w:ilvl w:val="0"/>
                <w:numId w:val="7"/>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eastAsia" w:ascii="仿宋" w:hAnsi="仿宋" w:eastAsia="仿宋" w:cs="仿宋"/>
                <w:b w:val="0"/>
                <w:bCs w:val="0"/>
                <w:color w:val="auto"/>
                <w:sz w:val="24"/>
                <w:szCs w:val="24"/>
                <w:highlight w:val="none"/>
                <w:lang w:val="en-US" w:eastAsia="zh-CN"/>
              </w:rPr>
            </w:pPr>
          </w:p>
        </w:tc>
        <w:tc>
          <w:tcPr>
            <w:tcW w:w="1554" w:type="dxa"/>
            <w:vMerge w:val="continue"/>
            <w:tcBorders>
              <w:tl2br w:val="nil"/>
              <w:tr2bl w:val="nil"/>
            </w:tcBorders>
            <w:noWrap w:val="0"/>
            <w:vAlign w:val="center"/>
          </w:tcPr>
          <w:p w14:paraId="2717B90A">
            <w:pPr>
              <w:keepNext w:val="0"/>
              <w:keepLines w:val="0"/>
              <w:pageBreakBefore w:val="0"/>
              <w:kinsoku/>
              <w:wordWrap/>
              <w:overflowPunct/>
              <w:topLinePunct w:val="0"/>
              <w:bidi w:val="0"/>
              <w:spacing w:beforeAutospacing="0" w:afterAutospacing="0" w:line="360" w:lineRule="exact"/>
              <w:jc w:val="left"/>
              <w:rPr>
                <w:b w:val="0"/>
                <w:bCs w:val="0"/>
                <w:color w:val="auto"/>
              </w:rPr>
            </w:pPr>
          </w:p>
        </w:tc>
        <w:tc>
          <w:tcPr>
            <w:tcW w:w="6744" w:type="dxa"/>
            <w:tcBorders>
              <w:tl2br w:val="nil"/>
              <w:tr2bl w:val="nil"/>
            </w:tcBorders>
            <w:noWrap w:val="0"/>
            <w:vAlign w:val="center"/>
          </w:tcPr>
          <w:p w14:paraId="04D5E41F">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根据投标人提供的本项目效果图（10张），并加盖设计单位有效期内的设计出图章，由评审专家进行综合评分。</w:t>
            </w:r>
          </w:p>
          <w:p w14:paraId="53547565">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①三维布局模型效果图全面完整、清晰、美观，视觉色彩搭配合理，突出重点，井然有序，完整表现空间效果，真实呈现材料、材质及展示效果的得（5,8］分；</w:t>
            </w:r>
          </w:p>
          <w:p w14:paraId="09B58D84">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②三维布局模型效果图较齐全，基本能展示出本项目的布展风格的得（2,5］分；</w:t>
            </w:r>
          </w:p>
          <w:p w14:paraId="7CAE97CD">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③三维布局模型效果图相对粗略，本项目的布展风格展示效果呈现不完整的得（0,2］分；</w:t>
            </w:r>
          </w:p>
          <w:p w14:paraId="79403023">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④三维布局模型效果图未按要求提供的不得分。</w:t>
            </w:r>
          </w:p>
          <w:p w14:paraId="2BC8C363">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注：需提供功能区域布局细化三维布局模型效果图不少于10张并加盖有效期内的设计出图章，并提供设计单位的营业执照及资质证书扫描件，提供不全或不提供的不得分。</w:t>
            </w:r>
          </w:p>
        </w:tc>
        <w:tc>
          <w:tcPr>
            <w:tcW w:w="1004" w:type="dxa"/>
            <w:tcBorders>
              <w:tl2br w:val="nil"/>
              <w:tr2bl w:val="nil"/>
            </w:tcBorders>
            <w:noWrap w:val="0"/>
            <w:vAlign w:val="center"/>
          </w:tcPr>
          <w:p w14:paraId="48AEC701">
            <w:pPr>
              <w:keepNext w:val="0"/>
              <w:keepLines w:val="0"/>
              <w:pageBreakBefore w:val="0"/>
              <w:kinsoku/>
              <w:wordWrap/>
              <w:overflowPunct/>
              <w:topLinePunct w:val="0"/>
              <w:bidi w:val="0"/>
              <w:spacing w:beforeAutospacing="0" w:afterAutospacing="0"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8分</w:t>
            </w:r>
          </w:p>
        </w:tc>
      </w:tr>
      <w:tr w14:paraId="7FED96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3" w:hRule="atLeast"/>
          <w:jc w:val="center"/>
        </w:trPr>
        <w:tc>
          <w:tcPr>
            <w:tcW w:w="781" w:type="dxa"/>
            <w:vMerge w:val="continue"/>
            <w:tcBorders>
              <w:tl2br w:val="nil"/>
              <w:tr2bl w:val="nil"/>
            </w:tcBorders>
            <w:noWrap w:val="0"/>
            <w:vAlign w:val="center"/>
          </w:tcPr>
          <w:p w14:paraId="4DC1F6C3">
            <w:pPr>
              <w:keepNext w:val="0"/>
              <w:keepLines w:val="0"/>
              <w:pageBreakBefore w:val="0"/>
              <w:numPr>
                <w:ilvl w:val="0"/>
                <w:numId w:val="7"/>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eastAsia" w:ascii="仿宋" w:hAnsi="仿宋" w:eastAsia="仿宋" w:cs="仿宋"/>
                <w:b w:val="0"/>
                <w:bCs w:val="0"/>
                <w:color w:val="auto"/>
                <w:sz w:val="24"/>
                <w:szCs w:val="24"/>
                <w:highlight w:val="none"/>
                <w:lang w:val="en-US" w:eastAsia="zh-CN"/>
              </w:rPr>
            </w:pPr>
          </w:p>
        </w:tc>
        <w:tc>
          <w:tcPr>
            <w:tcW w:w="1554" w:type="dxa"/>
            <w:vMerge w:val="continue"/>
            <w:tcBorders>
              <w:tl2br w:val="nil"/>
              <w:tr2bl w:val="nil"/>
            </w:tcBorders>
            <w:noWrap w:val="0"/>
            <w:vAlign w:val="center"/>
          </w:tcPr>
          <w:p w14:paraId="5E365DFD">
            <w:pPr>
              <w:keepNext w:val="0"/>
              <w:keepLines w:val="0"/>
              <w:pageBreakBefore w:val="0"/>
              <w:kinsoku/>
              <w:wordWrap/>
              <w:overflowPunct/>
              <w:topLinePunct w:val="0"/>
              <w:bidi w:val="0"/>
              <w:spacing w:beforeAutospacing="0" w:afterAutospacing="0" w:line="360" w:lineRule="exact"/>
              <w:jc w:val="left"/>
              <w:rPr>
                <w:rFonts w:hint="eastAsia" w:ascii="仿宋" w:hAnsi="仿宋" w:eastAsia="仿宋" w:cs="仿宋"/>
                <w:b w:val="0"/>
                <w:bCs w:val="0"/>
                <w:color w:val="auto"/>
                <w:sz w:val="24"/>
                <w:szCs w:val="24"/>
                <w:highlight w:val="none"/>
                <w:lang w:val="en-US" w:eastAsia="zh-CN"/>
              </w:rPr>
            </w:pPr>
          </w:p>
        </w:tc>
        <w:tc>
          <w:tcPr>
            <w:tcW w:w="6744" w:type="dxa"/>
            <w:tcBorders>
              <w:tl2br w:val="nil"/>
              <w:tr2bl w:val="nil"/>
            </w:tcBorders>
            <w:noWrap w:val="0"/>
            <w:vAlign w:val="center"/>
          </w:tcPr>
          <w:p w14:paraId="228E1E71">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功能设置、分区布置、满足功能需求、空间效果造型美观等优化提升方案的合理性、可行性；提供地面、家具、卫浴等样本详图30张，由评审专家进行综合评分。功能划分必须满足本项目需求：研学基地、柿子活动间、柿子科普展厅、咖啡厅、柿子售卖展示厅及分拣设备中心布置及配套设施</w:t>
            </w:r>
            <w:r>
              <w:rPr>
                <w:rFonts w:hint="eastAsia" w:ascii="仿宋" w:hAnsi="仿宋" w:eastAsia="仿宋" w:cs="仿宋"/>
                <w:b/>
                <w:bCs/>
                <w:color w:val="auto"/>
                <w:sz w:val="24"/>
                <w:szCs w:val="24"/>
                <w:highlight w:val="none"/>
                <w:lang w:val="en-US" w:eastAsia="zh-CN"/>
              </w:rPr>
              <w:t>。</w:t>
            </w:r>
          </w:p>
          <w:p w14:paraId="081459A5">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①整体</w:t>
            </w:r>
            <w:r>
              <w:rPr>
                <w:rFonts w:hint="eastAsia" w:ascii="仿宋" w:hAnsi="仿宋" w:eastAsia="仿宋"/>
                <w:color w:val="auto"/>
                <w:sz w:val="24"/>
                <w:highlight w:val="none"/>
              </w:rPr>
              <w:t>功能分区</w:t>
            </w:r>
            <w:r>
              <w:rPr>
                <w:rFonts w:hint="eastAsia" w:ascii="仿宋" w:hAnsi="仿宋" w:eastAsia="仿宋" w:cs="仿宋"/>
                <w:color w:val="auto"/>
                <w:sz w:val="24"/>
                <w:szCs w:val="24"/>
                <w:highlight w:val="none"/>
                <w:lang w:val="en-US" w:eastAsia="zh-CN"/>
              </w:rPr>
              <w:t>合理、空间效果造型美观，总体切实可行的得（5,8］分；</w:t>
            </w:r>
          </w:p>
          <w:p w14:paraId="04AA12DE">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ascii="仿宋" w:hAnsi="仿宋" w:eastAsia="仿宋" w:cs="宋体"/>
                <w:color w:val="auto"/>
                <w:sz w:val="24"/>
                <w:szCs w:val="24"/>
                <w:highlight w:val="none"/>
              </w:rPr>
              <w:t>整体</w:t>
            </w:r>
            <w:r>
              <w:rPr>
                <w:rFonts w:hint="eastAsia" w:ascii="仿宋" w:hAnsi="仿宋" w:eastAsia="仿宋"/>
                <w:color w:val="auto"/>
                <w:sz w:val="24"/>
                <w:highlight w:val="none"/>
              </w:rPr>
              <w:t>功能分区</w:t>
            </w:r>
            <w:r>
              <w:rPr>
                <w:rFonts w:ascii="仿宋" w:hAnsi="仿宋" w:eastAsia="仿宋" w:cs="宋体"/>
                <w:color w:val="auto"/>
                <w:sz w:val="24"/>
                <w:szCs w:val="24"/>
                <w:highlight w:val="none"/>
              </w:rPr>
              <w:t>较合理、</w:t>
            </w:r>
            <w:r>
              <w:rPr>
                <w:rFonts w:hint="eastAsia" w:ascii="仿宋" w:hAnsi="仿宋" w:eastAsia="仿宋" w:cs="仿宋"/>
                <w:color w:val="auto"/>
                <w:sz w:val="24"/>
                <w:szCs w:val="24"/>
                <w:highlight w:val="none"/>
                <w:lang w:val="en-US" w:eastAsia="zh-CN"/>
              </w:rPr>
              <w:t>空间效果造型</w:t>
            </w:r>
            <w:r>
              <w:rPr>
                <w:rFonts w:ascii="仿宋" w:hAnsi="仿宋" w:eastAsia="仿宋" w:cs="宋体"/>
                <w:color w:val="auto"/>
                <w:sz w:val="24"/>
                <w:szCs w:val="24"/>
                <w:highlight w:val="none"/>
              </w:rPr>
              <w:t>较</w:t>
            </w:r>
            <w:r>
              <w:rPr>
                <w:rFonts w:hint="eastAsia" w:ascii="仿宋" w:hAnsi="仿宋" w:eastAsia="仿宋" w:cs="仿宋"/>
                <w:color w:val="auto"/>
                <w:sz w:val="24"/>
                <w:szCs w:val="24"/>
                <w:highlight w:val="none"/>
                <w:lang w:val="en-US" w:eastAsia="zh-CN"/>
              </w:rPr>
              <w:t>美观</w:t>
            </w:r>
            <w:r>
              <w:rPr>
                <w:rFonts w:ascii="仿宋" w:hAnsi="仿宋" w:eastAsia="仿宋" w:cs="宋体"/>
                <w:color w:val="auto"/>
                <w:sz w:val="24"/>
                <w:szCs w:val="24"/>
                <w:highlight w:val="none"/>
              </w:rPr>
              <w:t>，总体较为可行的得</w:t>
            </w:r>
            <w:r>
              <w:rPr>
                <w:rFonts w:hint="eastAsia" w:ascii="仿宋" w:hAnsi="仿宋" w:eastAsia="仿宋" w:cs="仿宋"/>
                <w:color w:val="auto"/>
                <w:sz w:val="24"/>
                <w:szCs w:val="24"/>
                <w:highlight w:val="none"/>
                <w:lang w:val="en-US" w:eastAsia="zh-CN"/>
              </w:rPr>
              <w:t>（2,5］分；</w:t>
            </w:r>
          </w:p>
          <w:p w14:paraId="757CA278">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③整体</w:t>
            </w:r>
            <w:r>
              <w:rPr>
                <w:rFonts w:hint="eastAsia" w:ascii="仿宋" w:hAnsi="仿宋" w:eastAsia="仿宋"/>
                <w:color w:val="auto"/>
                <w:sz w:val="24"/>
                <w:highlight w:val="none"/>
              </w:rPr>
              <w:t>功能分区</w:t>
            </w:r>
            <w:r>
              <w:rPr>
                <w:rFonts w:hint="eastAsia" w:ascii="仿宋" w:hAnsi="仿宋" w:eastAsia="仿宋" w:cs="仿宋"/>
                <w:color w:val="auto"/>
                <w:sz w:val="24"/>
                <w:szCs w:val="24"/>
                <w:highlight w:val="none"/>
                <w:lang w:val="en-US" w:eastAsia="zh-CN"/>
              </w:rPr>
              <w:t>较粗略、空间效果造型缺陷较多，总体可行性不完整的得（0,2］分；</w:t>
            </w:r>
          </w:p>
          <w:p w14:paraId="07AC4793">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④提供地面、家具、卫浴等样本详图不少于30张，</w:t>
            </w:r>
            <w:r>
              <w:rPr>
                <w:rFonts w:hint="eastAsia" w:ascii="仿宋" w:hAnsi="仿宋" w:eastAsia="仿宋" w:cs="仿宋"/>
                <w:color w:val="auto"/>
                <w:sz w:val="24"/>
                <w:szCs w:val="24"/>
                <w:highlight w:val="none"/>
              </w:rPr>
              <w:t>不提供或与项目不符的不得分。</w:t>
            </w:r>
          </w:p>
        </w:tc>
        <w:tc>
          <w:tcPr>
            <w:tcW w:w="1004" w:type="dxa"/>
            <w:tcBorders>
              <w:tl2br w:val="nil"/>
              <w:tr2bl w:val="nil"/>
            </w:tcBorders>
            <w:noWrap w:val="0"/>
            <w:vAlign w:val="center"/>
          </w:tcPr>
          <w:p w14:paraId="557D8E7F">
            <w:pPr>
              <w:keepNext w:val="0"/>
              <w:keepLines w:val="0"/>
              <w:pageBreakBefore w:val="0"/>
              <w:kinsoku/>
              <w:wordWrap/>
              <w:overflowPunct/>
              <w:topLinePunct w:val="0"/>
              <w:bidi w:val="0"/>
              <w:spacing w:beforeAutospacing="0" w:afterAutospacing="0" w:line="36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8分</w:t>
            </w:r>
          </w:p>
        </w:tc>
      </w:tr>
      <w:tr w14:paraId="313C3C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13" w:hRule="atLeast"/>
          <w:jc w:val="center"/>
        </w:trPr>
        <w:tc>
          <w:tcPr>
            <w:tcW w:w="781" w:type="dxa"/>
            <w:vMerge w:val="continue"/>
            <w:tcBorders>
              <w:tl2br w:val="nil"/>
              <w:tr2bl w:val="nil"/>
            </w:tcBorders>
            <w:noWrap w:val="0"/>
            <w:vAlign w:val="center"/>
          </w:tcPr>
          <w:p w14:paraId="7A27BFDE">
            <w:pPr>
              <w:keepNext w:val="0"/>
              <w:keepLines w:val="0"/>
              <w:pageBreakBefore w:val="0"/>
              <w:numPr>
                <w:ilvl w:val="0"/>
                <w:numId w:val="7"/>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eastAsia" w:ascii="仿宋" w:hAnsi="仿宋" w:eastAsia="仿宋" w:cs="仿宋"/>
                <w:b w:val="0"/>
                <w:bCs w:val="0"/>
                <w:color w:val="auto"/>
                <w:sz w:val="24"/>
                <w:szCs w:val="24"/>
                <w:highlight w:val="none"/>
                <w:lang w:val="en-US" w:eastAsia="zh-CN"/>
              </w:rPr>
            </w:pPr>
          </w:p>
        </w:tc>
        <w:tc>
          <w:tcPr>
            <w:tcW w:w="1554" w:type="dxa"/>
            <w:vMerge w:val="continue"/>
            <w:tcBorders>
              <w:tl2br w:val="nil"/>
              <w:tr2bl w:val="nil"/>
            </w:tcBorders>
            <w:noWrap w:val="0"/>
            <w:vAlign w:val="center"/>
          </w:tcPr>
          <w:p w14:paraId="4ED5472B">
            <w:pPr>
              <w:pStyle w:val="30"/>
              <w:keepNext w:val="0"/>
              <w:keepLines w:val="0"/>
              <w:pageBreakBefore w:val="0"/>
              <w:kinsoku/>
              <w:wordWrap/>
              <w:overflowPunct/>
              <w:topLinePunct w:val="0"/>
              <w:bidi w:val="0"/>
              <w:spacing w:line="360" w:lineRule="exact"/>
              <w:rPr>
                <w:b w:val="0"/>
                <w:bCs w:val="0"/>
                <w:color w:val="auto"/>
              </w:rPr>
            </w:pPr>
          </w:p>
        </w:tc>
        <w:tc>
          <w:tcPr>
            <w:tcW w:w="6744" w:type="dxa"/>
            <w:tcBorders>
              <w:tl2br w:val="nil"/>
              <w:tr2bl w:val="nil"/>
            </w:tcBorders>
            <w:noWrap w:val="0"/>
            <w:vAlign w:val="center"/>
          </w:tcPr>
          <w:p w14:paraId="4640672B">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rPr>
              <w:t>根据投标人提供的</w:t>
            </w:r>
            <w:r>
              <w:rPr>
                <w:rFonts w:hint="eastAsia" w:ascii="仿宋" w:hAnsi="仿宋" w:eastAsia="仿宋" w:cs="宋体"/>
                <w:bCs/>
                <w:color w:val="auto"/>
                <w:sz w:val="24"/>
                <w:highlight w:val="none"/>
                <w:lang w:val="en-US" w:eastAsia="zh-CN"/>
              </w:rPr>
              <w:t>效果图等设计图</w:t>
            </w:r>
            <w:r>
              <w:rPr>
                <w:rFonts w:hint="eastAsia" w:ascii="仿宋" w:hAnsi="仿宋" w:eastAsia="仿宋" w:cs="宋体"/>
                <w:bCs/>
                <w:color w:val="auto"/>
                <w:sz w:val="24"/>
                <w:highlight w:val="none"/>
              </w:rPr>
              <w:t>的合理性、可行性</w:t>
            </w:r>
            <w:r>
              <w:rPr>
                <w:rFonts w:hint="eastAsia" w:ascii="仿宋" w:hAnsi="仿宋" w:eastAsia="仿宋" w:cs="宋体"/>
                <w:bCs/>
                <w:color w:val="auto"/>
                <w:sz w:val="24"/>
                <w:highlight w:val="none"/>
                <w:lang w:val="en-US" w:eastAsia="zh-CN"/>
              </w:rPr>
              <w:t>，由评审专家进行综合评分。</w:t>
            </w:r>
          </w:p>
          <w:p w14:paraId="335E7D3E">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①图纸内容表达详略得当、布局合理的得（5,8］分；</w:t>
            </w:r>
          </w:p>
          <w:p w14:paraId="6136E349">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②图纸内容表达相对得当、布局较合理的得（2,5］分；</w:t>
            </w:r>
          </w:p>
          <w:p w14:paraId="514BFBFB">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③图纸内容表达简陋、布局合理性、可行性不完整的得（0,2］分；</w:t>
            </w:r>
          </w:p>
          <w:p w14:paraId="5CF6294F">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④</w:t>
            </w:r>
            <w:r>
              <w:rPr>
                <w:rFonts w:hint="eastAsia" w:ascii="仿宋" w:hAnsi="仿宋" w:eastAsia="仿宋" w:cs="宋体"/>
                <w:bCs/>
                <w:color w:val="auto"/>
                <w:sz w:val="24"/>
                <w:highlight w:val="none"/>
              </w:rPr>
              <w:t>无实地测量的原始平面图或与项目不符的不得分。</w:t>
            </w:r>
          </w:p>
        </w:tc>
        <w:tc>
          <w:tcPr>
            <w:tcW w:w="1004" w:type="dxa"/>
            <w:tcBorders>
              <w:tl2br w:val="nil"/>
              <w:tr2bl w:val="nil"/>
            </w:tcBorders>
            <w:noWrap w:val="0"/>
            <w:vAlign w:val="center"/>
          </w:tcPr>
          <w:p w14:paraId="621BDAD3">
            <w:pPr>
              <w:pStyle w:val="30"/>
              <w:keepNext w:val="0"/>
              <w:keepLines w:val="0"/>
              <w:pageBreakBefore w:val="0"/>
              <w:kinsoku/>
              <w:wordWrap/>
              <w:overflowPunct/>
              <w:topLinePunct w:val="0"/>
              <w:bidi w:val="0"/>
              <w:spacing w:line="360" w:lineRule="exact"/>
              <w:ind w:left="0" w:leftChars="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8分</w:t>
            </w:r>
          </w:p>
        </w:tc>
      </w:tr>
      <w:tr w14:paraId="2073D1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5" w:hRule="atLeast"/>
          <w:jc w:val="center"/>
        </w:trPr>
        <w:tc>
          <w:tcPr>
            <w:tcW w:w="781" w:type="dxa"/>
            <w:vMerge w:val="restart"/>
            <w:tcBorders>
              <w:tl2br w:val="nil"/>
              <w:tr2bl w:val="nil"/>
            </w:tcBorders>
            <w:noWrap w:val="0"/>
            <w:vAlign w:val="center"/>
          </w:tcPr>
          <w:p w14:paraId="275E4930">
            <w:pPr>
              <w:keepNext w:val="0"/>
              <w:keepLines w:val="0"/>
              <w:pageBreakBefore w:val="0"/>
              <w:numPr>
                <w:ilvl w:val="0"/>
                <w:numId w:val="0"/>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eastAsia"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kern w:val="2"/>
                <w:sz w:val="24"/>
                <w:szCs w:val="24"/>
                <w:lang w:val="en-US" w:eastAsia="zh-CN" w:bidi="ar-SA"/>
              </w:rPr>
              <w:t>5</w:t>
            </w:r>
          </w:p>
        </w:tc>
        <w:tc>
          <w:tcPr>
            <w:tcW w:w="1554" w:type="dxa"/>
            <w:vMerge w:val="restart"/>
            <w:tcBorders>
              <w:tl2br w:val="nil"/>
              <w:tr2bl w:val="nil"/>
            </w:tcBorders>
            <w:noWrap w:val="0"/>
            <w:vAlign w:val="center"/>
          </w:tcPr>
          <w:p w14:paraId="14B4BBC4">
            <w:pPr>
              <w:pStyle w:val="30"/>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实施</w:t>
            </w:r>
          </w:p>
          <w:p w14:paraId="369EC3A8">
            <w:pPr>
              <w:pStyle w:val="30"/>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方案</w:t>
            </w:r>
          </w:p>
        </w:tc>
        <w:tc>
          <w:tcPr>
            <w:tcW w:w="6744" w:type="dxa"/>
            <w:tcBorders>
              <w:tl2br w:val="nil"/>
              <w:tr2bl w:val="nil"/>
            </w:tcBorders>
            <w:noWrap w:val="0"/>
            <w:vAlign w:val="center"/>
          </w:tcPr>
          <w:p w14:paraId="5EE309FF">
            <w:pPr>
              <w:pStyle w:val="30"/>
              <w:keepNext w:val="0"/>
              <w:keepLines w:val="0"/>
              <w:pageBreakBefore w:val="0"/>
              <w:kinsoku/>
              <w:wordWrap/>
              <w:overflowPunct/>
              <w:topLinePunct w:val="0"/>
              <w:bidi w:val="0"/>
              <w:spacing w:line="360" w:lineRule="exact"/>
              <w:ind w:left="0" w:leftChars="0" w:firstLine="0" w:firstLineChars="0"/>
              <w:rPr>
                <w:rFonts w:hint="default" w:ascii="仿宋" w:hAnsi="仿宋" w:eastAsia="仿宋" w:cs="宋体"/>
                <w:bCs/>
                <w:color w:val="auto"/>
                <w:sz w:val="24"/>
                <w:lang w:val="en-US" w:eastAsia="zh-CN"/>
              </w:rPr>
            </w:pPr>
            <w:r>
              <w:rPr>
                <w:rFonts w:hint="default" w:ascii="仿宋" w:hAnsi="仿宋" w:eastAsia="仿宋" w:cs="宋体"/>
                <w:bCs/>
                <w:color w:val="auto"/>
                <w:sz w:val="24"/>
                <w:lang w:val="en-US" w:eastAsia="zh-CN"/>
              </w:rPr>
              <w:t>根据投标人提供的采购清单组成的完整性、可行性、合理性，由评审专家进行综合评分。</w:t>
            </w:r>
          </w:p>
          <w:p w14:paraId="2D175EC7">
            <w:pPr>
              <w:pStyle w:val="30"/>
              <w:keepNext w:val="0"/>
              <w:keepLines w:val="0"/>
              <w:pageBreakBefore w:val="0"/>
              <w:tabs>
                <w:tab w:val="left" w:pos="287"/>
              </w:tabs>
              <w:kinsoku/>
              <w:wordWrap/>
              <w:overflowPunct/>
              <w:topLinePunct w:val="0"/>
              <w:bidi w:val="0"/>
              <w:spacing w:line="360" w:lineRule="exact"/>
              <w:ind w:left="0" w:leftChars="0" w:firstLine="0" w:firstLineChars="0"/>
              <w:rPr>
                <w:rFonts w:hint="default" w:ascii="仿宋" w:hAnsi="仿宋" w:eastAsia="仿宋" w:cs="宋体"/>
                <w:bCs/>
                <w:color w:val="auto"/>
                <w:sz w:val="24"/>
                <w:lang w:val="en-US" w:eastAsia="zh-CN"/>
              </w:rPr>
            </w:pPr>
            <w:r>
              <w:rPr>
                <w:rFonts w:hint="eastAsia" w:ascii="仿宋" w:hAnsi="仿宋" w:eastAsia="仿宋" w:cs="宋体"/>
                <w:bCs/>
                <w:color w:val="auto"/>
                <w:sz w:val="24"/>
                <w:lang w:val="en-US" w:eastAsia="zh-CN"/>
              </w:rPr>
              <w:t>①</w:t>
            </w:r>
            <w:r>
              <w:rPr>
                <w:rFonts w:hint="default" w:ascii="仿宋" w:hAnsi="仿宋" w:eastAsia="仿宋" w:cs="宋体"/>
                <w:bCs/>
                <w:color w:val="auto"/>
                <w:sz w:val="24"/>
                <w:lang w:val="en-US" w:eastAsia="zh-CN"/>
              </w:rPr>
              <w:t>采购清单组成完整、可行、合理的得</w:t>
            </w:r>
            <w:r>
              <w:rPr>
                <w:rFonts w:hint="eastAsia" w:ascii="仿宋" w:hAnsi="仿宋" w:eastAsia="仿宋" w:cs="宋体"/>
                <w:bCs/>
                <w:color w:val="auto"/>
                <w:sz w:val="24"/>
                <w:lang w:val="en-US" w:eastAsia="zh-CN"/>
              </w:rPr>
              <w:t>（4,6］</w:t>
            </w:r>
            <w:r>
              <w:rPr>
                <w:rFonts w:hint="default" w:ascii="仿宋" w:hAnsi="仿宋" w:eastAsia="仿宋" w:cs="宋体"/>
                <w:bCs/>
                <w:color w:val="auto"/>
                <w:sz w:val="24"/>
                <w:lang w:val="en-US" w:eastAsia="zh-CN"/>
              </w:rPr>
              <w:t>分；</w:t>
            </w:r>
          </w:p>
          <w:p w14:paraId="2B9380FB">
            <w:pPr>
              <w:pStyle w:val="30"/>
              <w:keepNext w:val="0"/>
              <w:keepLines w:val="0"/>
              <w:pageBreakBefore w:val="0"/>
              <w:kinsoku/>
              <w:wordWrap/>
              <w:overflowPunct/>
              <w:topLinePunct w:val="0"/>
              <w:bidi w:val="0"/>
              <w:spacing w:line="360" w:lineRule="exact"/>
              <w:ind w:left="0" w:leftChars="0" w:firstLine="0" w:firstLineChars="0"/>
              <w:rPr>
                <w:rFonts w:hint="default" w:ascii="仿宋" w:hAnsi="仿宋" w:eastAsia="仿宋" w:cs="宋体"/>
                <w:bCs/>
                <w:color w:val="auto"/>
                <w:sz w:val="24"/>
                <w:lang w:val="en-US" w:eastAsia="zh-CN"/>
              </w:rPr>
            </w:pPr>
            <w:r>
              <w:rPr>
                <w:rFonts w:hint="eastAsia" w:ascii="仿宋" w:hAnsi="仿宋" w:eastAsia="仿宋" w:cs="宋体"/>
                <w:bCs/>
                <w:color w:val="auto"/>
                <w:sz w:val="24"/>
                <w:lang w:val="en-US" w:eastAsia="zh-CN"/>
              </w:rPr>
              <w:t>②</w:t>
            </w:r>
            <w:r>
              <w:rPr>
                <w:rFonts w:hint="default" w:ascii="仿宋" w:hAnsi="仿宋" w:eastAsia="仿宋" w:cs="宋体"/>
                <w:bCs/>
                <w:color w:val="auto"/>
                <w:sz w:val="24"/>
                <w:lang w:val="en-US" w:eastAsia="zh-CN"/>
              </w:rPr>
              <w:t>采购清单组成较为完整、可行、合理的得</w:t>
            </w:r>
            <w:r>
              <w:rPr>
                <w:rFonts w:hint="eastAsia" w:ascii="仿宋" w:hAnsi="仿宋" w:eastAsia="仿宋" w:cs="宋体"/>
                <w:bCs/>
                <w:color w:val="auto"/>
                <w:sz w:val="24"/>
                <w:lang w:val="en-US" w:eastAsia="zh-CN"/>
              </w:rPr>
              <w:t>（2,4］</w:t>
            </w:r>
            <w:r>
              <w:rPr>
                <w:rFonts w:hint="default" w:ascii="仿宋" w:hAnsi="仿宋" w:eastAsia="仿宋" w:cs="宋体"/>
                <w:bCs/>
                <w:color w:val="auto"/>
                <w:sz w:val="24"/>
                <w:lang w:val="en-US" w:eastAsia="zh-CN"/>
              </w:rPr>
              <w:t>分；</w:t>
            </w:r>
          </w:p>
          <w:p w14:paraId="0CEF7390">
            <w:pPr>
              <w:pStyle w:val="30"/>
              <w:keepNext w:val="0"/>
              <w:keepLines w:val="0"/>
              <w:pageBreakBefore w:val="0"/>
              <w:kinsoku/>
              <w:wordWrap/>
              <w:overflowPunct/>
              <w:topLinePunct w:val="0"/>
              <w:bidi w:val="0"/>
              <w:spacing w:line="360" w:lineRule="exact"/>
              <w:ind w:left="0" w:leftChars="0" w:firstLine="0" w:firstLineChars="0"/>
              <w:rPr>
                <w:rFonts w:hint="default" w:ascii="仿宋" w:hAnsi="仿宋" w:eastAsia="仿宋" w:cs="宋体"/>
                <w:bCs/>
                <w:color w:val="auto"/>
                <w:sz w:val="24"/>
                <w:lang w:val="en-US" w:eastAsia="zh-CN"/>
              </w:rPr>
            </w:pPr>
            <w:r>
              <w:rPr>
                <w:rFonts w:hint="eastAsia" w:ascii="仿宋" w:hAnsi="仿宋" w:eastAsia="仿宋" w:cs="宋体"/>
                <w:bCs/>
                <w:color w:val="auto"/>
                <w:sz w:val="24"/>
                <w:lang w:val="en-US" w:eastAsia="zh-CN"/>
              </w:rPr>
              <w:t>③</w:t>
            </w:r>
            <w:r>
              <w:rPr>
                <w:rFonts w:hint="default" w:ascii="仿宋" w:hAnsi="仿宋" w:eastAsia="仿宋" w:cs="宋体"/>
                <w:bCs/>
                <w:color w:val="auto"/>
                <w:sz w:val="24"/>
                <w:lang w:val="en-US" w:eastAsia="zh-CN"/>
              </w:rPr>
              <w:t>采购清单组成完整性、可行性、合理性</w:t>
            </w:r>
            <w:r>
              <w:rPr>
                <w:rFonts w:hint="eastAsia" w:ascii="仿宋" w:hAnsi="仿宋" w:eastAsia="仿宋" w:cs="宋体"/>
                <w:bCs/>
                <w:color w:val="auto"/>
                <w:sz w:val="24"/>
                <w:lang w:val="en-US" w:eastAsia="zh-CN"/>
              </w:rPr>
              <w:t>不完整</w:t>
            </w:r>
            <w:r>
              <w:rPr>
                <w:rFonts w:hint="default" w:ascii="仿宋" w:hAnsi="仿宋" w:eastAsia="仿宋" w:cs="宋体"/>
                <w:bCs/>
                <w:color w:val="auto"/>
                <w:sz w:val="24"/>
                <w:lang w:val="en-US" w:eastAsia="zh-CN"/>
              </w:rPr>
              <w:t>的得</w:t>
            </w:r>
            <w:r>
              <w:rPr>
                <w:rFonts w:hint="eastAsia" w:ascii="仿宋" w:hAnsi="仿宋" w:eastAsia="仿宋" w:cs="宋体"/>
                <w:bCs/>
                <w:color w:val="auto"/>
                <w:sz w:val="24"/>
                <w:lang w:val="en-US" w:eastAsia="zh-CN"/>
              </w:rPr>
              <w:t>（0,2］</w:t>
            </w:r>
            <w:r>
              <w:rPr>
                <w:rFonts w:hint="default" w:ascii="仿宋" w:hAnsi="仿宋" w:eastAsia="仿宋" w:cs="宋体"/>
                <w:bCs/>
                <w:color w:val="auto"/>
                <w:sz w:val="24"/>
                <w:lang w:val="en-US" w:eastAsia="zh-CN"/>
              </w:rPr>
              <w:t>分；</w:t>
            </w:r>
          </w:p>
          <w:p w14:paraId="385A38FC">
            <w:pPr>
              <w:pStyle w:val="30"/>
              <w:keepNext w:val="0"/>
              <w:keepLines w:val="0"/>
              <w:pageBreakBefore w:val="0"/>
              <w:kinsoku/>
              <w:wordWrap/>
              <w:overflowPunct/>
              <w:topLinePunct w:val="0"/>
              <w:bidi w:val="0"/>
              <w:spacing w:line="360" w:lineRule="exact"/>
              <w:ind w:left="0" w:leftChars="0" w:firstLine="0" w:firstLineChars="0"/>
              <w:rPr>
                <w:rFonts w:hint="default" w:ascii="仿宋" w:hAnsi="仿宋" w:eastAsia="仿宋" w:cs="宋体"/>
                <w:bCs/>
                <w:color w:val="auto"/>
                <w:sz w:val="24"/>
                <w:lang w:val="en-US" w:eastAsia="zh-CN"/>
              </w:rPr>
            </w:pPr>
            <w:r>
              <w:rPr>
                <w:rFonts w:hint="eastAsia" w:ascii="仿宋" w:hAnsi="仿宋" w:eastAsia="仿宋" w:cs="宋体"/>
                <w:bCs/>
                <w:color w:val="auto"/>
                <w:sz w:val="24"/>
                <w:lang w:val="en-US" w:eastAsia="zh-CN"/>
              </w:rPr>
              <w:t>④</w:t>
            </w:r>
            <w:r>
              <w:rPr>
                <w:rFonts w:hint="default" w:ascii="仿宋" w:hAnsi="仿宋" w:eastAsia="仿宋" w:cs="宋体"/>
                <w:bCs/>
                <w:color w:val="auto"/>
                <w:sz w:val="24"/>
                <w:lang w:val="en-US" w:eastAsia="zh-CN"/>
              </w:rPr>
              <w:t>不提供采购清单不得分。</w:t>
            </w:r>
          </w:p>
        </w:tc>
        <w:tc>
          <w:tcPr>
            <w:tcW w:w="1004" w:type="dxa"/>
            <w:tcBorders>
              <w:tl2br w:val="nil"/>
              <w:tr2bl w:val="nil"/>
            </w:tcBorders>
            <w:noWrap w:val="0"/>
            <w:vAlign w:val="center"/>
          </w:tcPr>
          <w:p w14:paraId="19D4243B">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6分</w:t>
            </w:r>
          </w:p>
        </w:tc>
      </w:tr>
      <w:tr w14:paraId="036994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781" w:type="dxa"/>
            <w:vMerge w:val="continue"/>
            <w:tcBorders>
              <w:tl2br w:val="nil"/>
              <w:tr2bl w:val="nil"/>
            </w:tcBorders>
            <w:noWrap w:val="0"/>
            <w:vAlign w:val="center"/>
          </w:tcPr>
          <w:p w14:paraId="4D79705F">
            <w:pPr>
              <w:keepNext w:val="0"/>
              <w:keepLines w:val="0"/>
              <w:pageBreakBefore w:val="0"/>
              <w:numPr>
                <w:ilvl w:val="0"/>
                <w:numId w:val="7"/>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eastAsia" w:ascii="仿宋" w:hAnsi="仿宋" w:eastAsia="仿宋" w:cs="仿宋"/>
                <w:b w:val="0"/>
                <w:bCs w:val="0"/>
                <w:color w:val="auto"/>
                <w:sz w:val="24"/>
                <w:szCs w:val="24"/>
                <w:highlight w:val="none"/>
                <w:lang w:val="en-US" w:eastAsia="zh-CN"/>
              </w:rPr>
            </w:pPr>
          </w:p>
        </w:tc>
        <w:tc>
          <w:tcPr>
            <w:tcW w:w="1554" w:type="dxa"/>
            <w:vMerge w:val="continue"/>
            <w:tcBorders>
              <w:tl2br w:val="nil"/>
              <w:tr2bl w:val="nil"/>
            </w:tcBorders>
            <w:noWrap w:val="0"/>
            <w:vAlign w:val="center"/>
          </w:tcPr>
          <w:p w14:paraId="62BFC889">
            <w:pPr>
              <w:pStyle w:val="30"/>
              <w:keepNext w:val="0"/>
              <w:keepLines w:val="0"/>
              <w:pageBreakBefore w:val="0"/>
              <w:kinsoku/>
              <w:wordWrap/>
              <w:overflowPunct/>
              <w:topLinePunct w:val="0"/>
              <w:bidi w:val="0"/>
              <w:spacing w:line="360" w:lineRule="exact"/>
              <w:rPr>
                <w:b w:val="0"/>
                <w:bCs w:val="0"/>
                <w:color w:val="auto"/>
              </w:rPr>
            </w:pPr>
          </w:p>
        </w:tc>
        <w:tc>
          <w:tcPr>
            <w:tcW w:w="6744" w:type="dxa"/>
            <w:tcBorders>
              <w:tl2br w:val="nil"/>
              <w:tr2bl w:val="nil"/>
            </w:tcBorders>
            <w:noWrap w:val="0"/>
            <w:vAlign w:val="center"/>
          </w:tcPr>
          <w:p w14:paraId="12CB9B1D">
            <w:pPr>
              <w:pStyle w:val="30"/>
              <w:keepNext w:val="0"/>
              <w:keepLines w:val="0"/>
              <w:pageBreakBefore w:val="0"/>
              <w:kinsoku/>
              <w:wordWrap/>
              <w:overflowPunct/>
              <w:topLinePunct w:val="0"/>
              <w:bidi w:val="0"/>
              <w:spacing w:line="360" w:lineRule="exact"/>
              <w:ind w:left="0" w:leftChars="0" w:firstLine="0" w:firstLineChars="0"/>
              <w:rPr>
                <w:rFonts w:hint="default" w:ascii="仿宋" w:hAnsi="仿宋" w:eastAsia="仿宋" w:cs="宋体"/>
                <w:bCs/>
                <w:color w:val="auto"/>
                <w:sz w:val="24"/>
                <w:highlight w:val="none"/>
                <w:lang w:val="en-US" w:eastAsia="zh-CN"/>
              </w:rPr>
            </w:pPr>
            <w:r>
              <w:rPr>
                <w:rFonts w:hint="default" w:ascii="仿宋" w:hAnsi="仿宋" w:eastAsia="仿宋" w:cs="仿宋"/>
                <w:color w:val="auto"/>
                <w:sz w:val="24"/>
                <w:szCs w:val="24"/>
                <w:highlight w:val="none"/>
                <w:lang w:val="en-US" w:eastAsia="zh-CN"/>
              </w:rPr>
              <w:t>根据投标人提供的保</w:t>
            </w:r>
            <w:r>
              <w:rPr>
                <w:rFonts w:hint="default" w:ascii="仿宋" w:hAnsi="仿宋" w:eastAsia="仿宋" w:cs="宋体"/>
                <w:bCs/>
                <w:color w:val="auto"/>
                <w:sz w:val="24"/>
                <w:highlight w:val="none"/>
                <w:lang w:val="en-US" w:eastAsia="zh-CN"/>
              </w:rPr>
              <w:t>障工期的技术组织措施（包括项目进度计划、关键节点和工期的保证措施）的全面性、合理可行性，由评审专家进行综合评分。</w:t>
            </w:r>
          </w:p>
          <w:p w14:paraId="362D913B">
            <w:pPr>
              <w:pStyle w:val="30"/>
              <w:keepNext w:val="0"/>
              <w:keepLines w:val="0"/>
              <w:pageBreakBefore w:val="0"/>
              <w:kinsoku/>
              <w:wordWrap/>
              <w:overflowPunct/>
              <w:topLinePunct w:val="0"/>
              <w:bidi w:val="0"/>
              <w:spacing w:line="360" w:lineRule="exact"/>
              <w:ind w:left="0" w:leftChars="0" w:firstLine="0" w:firstLineChars="0"/>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①</w:t>
            </w:r>
            <w:r>
              <w:rPr>
                <w:rFonts w:hint="default" w:ascii="仿宋" w:hAnsi="仿宋" w:eastAsia="仿宋" w:cs="宋体"/>
                <w:bCs/>
                <w:color w:val="auto"/>
                <w:sz w:val="24"/>
                <w:highlight w:val="none"/>
                <w:lang w:val="en-US" w:eastAsia="zh-CN"/>
              </w:rPr>
              <w:t>内容阐述详尽、准确且合理可行的得</w:t>
            </w:r>
            <w:r>
              <w:rPr>
                <w:rFonts w:hint="eastAsia" w:ascii="仿宋" w:hAnsi="仿宋" w:eastAsia="仿宋" w:cs="宋体"/>
                <w:bCs/>
                <w:color w:val="auto"/>
                <w:sz w:val="24"/>
                <w:highlight w:val="none"/>
                <w:lang w:val="en-US" w:eastAsia="zh-CN"/>
              </w:rPr>
              <w:t>（4,6］</w:t>
            </w:r>
            <w:r>
              <w:rPr>
                <w:rFonts w:hint="default" w:ascii="仿宋" w:hAnsi="仿宋" w:eastAsia="仿宋" w:cs="宋体"/>
                <w:bCs/>
                <w:color w:val="auto"/>
                <w:sz w:val="24"/>
                <w:highlight w:val="none"/>
                <w:lang w:val="en-US" w:eastAsia="zh-CN"/>
              </w:rPr>
              <w:t>分；</w:t>
            </w:r>
          </w:p>
          <w:p w14:paraId="44147F30">
            <w:pPr>
              <w:pStyle w:val="30"/>
              <w:keepNext w:val="0"/>
              <w:keepLines w:val="0"/>
              <w:pageBreakBefore w:val="0"/>
              <w:kinsoku/>
              <w:wordWrap/>
              <w:overflowPunct/>
              <w:topLinePunct w:val="0"/>
              <w:bidi w:val="0"/>
              <w:spacing w:line="360" w:lineRule="exact"/>
              <w:ind w:left="0" w:leftChars="0" w:firstLine="0" w:firstLineChars="0"/>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②</w:t>
            </w:r>
            <w:r>
              <w:rPr>
                <w:rFonts w:hint="default" w:ascii="仿宋" w:hAnsi="仿宋" w:eastAsia="仿宋" w:cs="宋体"/>
                <w:bCs/>
                <w:color w:val="auto"/>
                <w:sz w:val="24"/>
                <w:highlight w:val="none"/>
                <w:lang w:val="en-US" w:eastAsia="zh-CN"/>
              </w:rPr>
              <w:t>内容阐述有欠缺但总体较为详尽、准确，基本合理可行的得</w:t>
            </w:r>
            <w:r>
              <w:rPr>
                <w:rFonts w:hint="eastAsia" w:ascii="仿宋" w:hAnsi="仿宋" w:eastAsia="仿宋" w:cs="宋体"/>
                <w:bCs/>
                <w:color w:val="auto"/>
                <w:sz w:val="24"/>
                <w:highlight w:val="none"/>
                <w:lang w:val="en-US" w:eastAsia="zh-CN"/>
              </w:rPr>
              <w:t>（2,4］</w:t>
            </w:r>
            <w:r>
              <w:rPr>
                <w:rFonts w:hint="default" w:ascii="仿宋" w:hAnsi="仿宋" w:eastAsia="仿宋" w:cs="宋体"/>
                <w:bCs/>
                <w:color w:val="auto"/>
                <w:sz w:val="24"/>
                <w:highlight w:val="none"/>
                <w:lang w:val="en-US" w:eastAsia="zh-CN"/>
              </w:rPr>
              <w:t>分；</w:t>
            </w:r>
          </w:p>
          <w:p w14:paraId="4D3AFF47">
            <w:pPr>
              <w:pStyle w:val="30"/>
              <w:keepNext w:val="0"/>
              <w:keepLines w:val="0"/>
              <w:pageBreakBefore w:val="0"/>
              <w:kinsoku/>
              <w:wordWrap/>
              <w:overflowPunct/>
              <w:topLinePunct w:val="0"/>
              <w:bidi w:val="0"/>
              <w:spacing w:line="360" w:lineRule="exact"/>
              <w:ind w:left="0" w:leftChars="0" w:firstLine="0" w:firstLineChars="0"/>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③</w:t>
            </w:r>
            <w:r>
              <w:rPr>
                <w:rFonts w:hint="default" w:ascii="仿宋" w:hAnsi="仿宋" w:eastAsia="仿宋" w:cs="宋体"/>
                <w:bCs/>
                <w:color w:val="auto"/>
                <w:sz w:val="24"/>
                <w:highlight w:val="none"/>
                <w:lang w:val="en-US" w:eastAsia="zh-CN"/>
              </w:rPr>
              <w:t>内容阐述粗略、缺陷较多，</w:t>
            </w:r>
            <w:r>
              <w:rPr>
                <w:rFonts w:hint="eastAsia" w:ascii="仿宋" w:hAnsi="仿宋" w:eastAsia="仿宋" w:cs="宋体"/>
                <w:bCs/>
                <w:color w:val="auto"/>
                <w:sz w:val="24"/>
                <w:highlight w:val="none"/>
                <w:lang w:val="en-US" w:eastAsia="zh-CN"/>
              </w:rPr>
              <w:t>方案不完整</w:t>
            </w:r>
            <w:r>
              <w:rPr>
                <w:rFonts w:hint="default" w:ascii="仿宋" w:hAnsi="仿宋" w:eastAsia="仿宋" w:cs="宋体"/>
                <w:bCs/>
                <w:color w:val="auto"/>
                <w:sz w:val="24"/>
                <w:highlight w:val="none"/>
                <w:lang w:val="en-US" w:eastAsia="zh-CN"/>
              </w:rPr>
              <w:t>的得</w:t>
            </w:r>
            <w:r>
              <w:rPr>
                <w:rFonts w:hint="eastAsia" w:ascii="仿宋" w:hAnsi="仿宋" w:eastAsia="仿宋" w:cs="宋体"/>
                <w:bCs/>
                <w:color w:val="auto"/>
                <w:sz w:val="24"/>
                <w:highlight w:val="none"/>
                <w:lang w:val="en-US" w:eastAsia="zh-CN"/>
              </w:rPr>
              <w:t>（0,2］</w:t>
            </w:r>
            <w:r>
              <w:rPr>
                <w:rFonts w:hint="default" w:ascii="仿宋" w:hAnsi="仿宋" w:eastAsia="仿宋" w:cs="宋体"/>
                <w:bCs/>
                <w:color w:val="auto"/>
                <w:sz w:val="24"/>
                <w:highlight w:val="none"/>
                <w:lang w:val="en-US" w:eastAsia="zh-CN"/>
              </w:rPr>
              <w:t>分；</w:t>
            </w:r>
          </w:p>
          <w:p w14:paraId="2FEFD9E5">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宋体"/>
                <w:bCs/>
                <w:color w:val="auto"/>
                <w:sz w:val="24"/>
                <w:highlight w:val="none"/>
                <w:lang w:val="en-US" w:eastAsia="zh-CN"/>
              </w:rPr>
              <w:t>④</w:t>
            </w:r>
            <w:r>
              <w:rPr>
                <w:rFonts w:hint="default" w:ascii="仿宋" w:hAnsi="仿宋" w:eastAsia="仿宋" w:cs="宋体"/>
                <w:bCs/>
                <w:color w:val="auto"/>
                <w:sz w:val="24"/>
                <w:highlight w:val="none"/>
                <w:lang w:val="en-US" w:eastAsia="zh-CN"/>
              </w:rPr>
              <w:t>不提供或与项目不符的不得分。</w:t>
            </w:r>
          </w:p>
        </w:tc>
        <w:tc>
          <w:tcPr>
            <w:tcW w:w="1004" w:type="dxa"/>
            <w:tcBorders>
              <w:tl2br w:val="nil"/>
              <w:tr2bl w:val="nil"/>
            </w:tcBorders>
            <w:noWrap w:val="0"/>
            <w:vAlign w:val="center"/>
          </w:tcPr>
          <w:p w14:paraId="78638667">
            <w:pPr>
              <w:keepNext w:val="0"/>
              <w:keepLines w:val="0"/>
              <w:pageBreakBefore w:val="0"/>
              <w:kinsoku/>
              <w:wordWrap/>
              <w:overflowPunct/>
              <w:topLinePunct w:val="0"/>
              <w:bidi w:val="0"/>
              <w:spacing w:beforeAutospacing="0" w:afterAutospacing="0" w:line="36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6分</w:t>
            </w:r>
          </w:p>
        </w:tc>
      </w:tr>
      <w:tr w14:paraId="6C71CF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3" w:hRule="atLeast"/>
          <w:jc w:val="center"/>
        </w:trPr>
        <w:tc>
          <w:tcPr>
            <w:tcW w:w="781" w:type="dxa"/>
            <w:vMerge w:val="continue"/>
            <w:tcBorders>
              <w:tl2br w:val="nil"/>
              <w:tr2bl w:val="nil"/>
            </w:tcBorders>
            <w:noWrap w:val="0"/>
            <w:vAlign w:val="center"/>
          </w:tcPr>
          <w:p w14:paraId="67B8B211">
            <w:pPr>
              <w:keepNext w:val="0"/>
              <w:keepLines w:val="0"/>
              <w:pageBreakBefore w:val="0"/>
              <w:numPr>
                <w:ilvl w:val="0"/>
                <w:numId w:val="7"/>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eastAsia" w:ascii="仿宋" w:hAnsi="仿宋" w:eastAsia="仿宋" w:cs="仿宋"/>
                <w:b w:val="0"/>
                <w:bCs w:val="0"/>
                <w:color w:val="auto"/>
                <w:sz w:val="24"/>
                <w:szCs w:val="24"/>
                <w:highlight w:val="none"/>
                <w:lang w:val="en-US" w:eastAsia="zh-CN"/>
              </w:rPr>
            </w:pPr>
          </w:p>
        </w:tc>
        <w:tc>
          <w:tcPr>
            <w:tcW w:w="1554" w:type="dxa"/>
            <w:vMerge w:val="continue"/>
            <w:tcBorders>
              <w:tl2br w:val="nil"/>
              <w:tr2bl w:val="nil"/>
            </w:tcBorders>
            <w:noWrap w:val="0"/>
            <w:vAlign w:val="center"/>
          </w:tcPr>
          <w:p w14:paraId="43BEEDB1">
            <w:pPr>
              <w:keepNext w:val="0"/>
              <w:keepLines w:val="0"/>
              <w:pageBreakBefore w:val="0"/>
              <w:kinsoku/>
              <w:wordWrap/>
              <w:overflowPunct/>
              <w:topLinePunct w:val="0"/>
              <w:bidi w:val="0"/>
              <w:spacing w:beforeAutospacing="0" w:afterAutospacing="0" w:line="360" w:lineRule="exact"/>
              <w:jc w:val="left"/>
              <w:rPr>
                <w:b w:val="0"/>
                <w:bCs w:val="0"/>
                <w:color w:val="auto"/>
              </w:rPr>
            </w:pPr>
          </w:p>
        </w:tc>
        <w:tc>
          <w:tcPr>
            <w:tcW w:w="6744" w:type="dxa"/>
            <w:tcBorders>
              <w:tl2br w:val="nil"/>
              <w:tr2bl w:val="nil"/>
            </w:tcBorders>
            <w:noWrap w:val="0"/>
            <w:vAlign w:val="center"/>
          </w:tcPr>
          <w:p w14:paraId="297BC3FB">
            <w:pPr>
              <w:pStyle w:val="30"/>
              <w:keepNext w:val="0"/>
              <w:keepLines w:val="0"/>
              <w:pageBreakBefore w:val="0"/>
              <w:kinsoku/>
              <w:wordWrap/>
              <w:overflowPunct/>
              <w:topLinePunct w:val="0"/>
              <w:bidi w:val="0"/>
              <w:spacing w:line="360" w:lineRule="exact"/>
              <w:ind w:left="0" w:leftChars="0" w:firstLine="0" w:firstLineChars="0"/>
              <w:rPr>
                <w:rFonts w:hint="default" w:ascii="仿宋" w:hAnsi="仿宋" w:eastAsia="仿宋" w:cs="宋体"/>
                <w:bCs/>
                <w:color w:val="auto"/>
                <w:sz w:val="24"/>
                <w:highlight w:val="none"/>
                <w:lang w:val="en-US" w:eastAsia="zh-CN"/>
              </w:rPr>
            </w:pPr>
            <w:r>
              <w:rPr>
                <w:rFonts w:hint="default" w:ascii="仿宋" w:hAnsi="仿宋" w:eastAsia="仿宋" w:cs="仿宋"/>
                <w:color w:val="auto"/>
                <w:sz w:val="24"/>
                <w:szCs w:val="24"/>
                <w:highlight w:val="none"/>
                <w:lang w:val="en-US" w:eastAsia="zh-CN"/>
              </w:rPr>
              <w:t>根据投标人提供的安全文明施工方案（包括安全文明施工承诺及相应的管理与保障措施）的全面性、合理可行性</w:t>
            </w:r>
            <w:r>
              <w:rPr>
                <w:rFonts w:hint="default" w:ascii="仿宋" w:hAnsi="仿宋" w:eastAsia="仿宋" w:cs="宋体"/>
                <w:bCs/>
                <w:color w:val="auto"/>
                <w:sz w:val="24"/>
                <w:highlight w:val="none"/>
                <w:lang w:val="en-US" w:eastAsia="zh-CN"/>
              </w:rPr>
              <w:t>，由评审专家进行综合评分。</w:t>
            </w:r>
          </w:p>
          <w:p w14:paraId="1BE4D7E7">
            <w:pPr>
              <w:keepNext w:val="0"/>
              <w:keepLines w:val="0"/>
              <w:pageBreakBefore w:val="0"/>
              <w:kinsoku/>
              <w:wordWrap/>
              <w:overflowPunct/>
              <w:topLinePunct w:val="0"/>
              <w:bidi w:val="0"/>
              <w:spacing w:beforeAutospacing="0" w:afterAutospacing="0" w:line="3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宋体"/>
                <w:bCs/>
                <w:color w:val="auto"/>
                <w:sz w:val="24"/>
                <w:highlight w:val="none"/>
                <w:lang w:val="en-US" w:eastAsia="zh-CN"/>
              </w:rPr>
              <w:t>①</w:t>
            </w:r>
            <w:r>
              <w:rPr>
                <w:rFonts w:hint="default" w:ascii="仿宋" w:hAnsi="仿宋" w:eastAsia="仿宋" w:cs="仿宋"/>
                <w:color w:val="auto"/>
                <w:sz w:val="24"/>
                <w:szCs w:val="24"/>
                <w:highlight w:val="none"/>
                <w:lang w:val="en-US" w:eastAsia="zh-CN"/>
              </w:rPr>
              <w:t>内容阐述详尽、准确且合理可行的得</w:t>
            </w:r>
            <w:r>
              <w:rPr>
                <w:rFonts w:hint="eastAsia" w:ascii="仿宋" w:hAnsi="仿宋" w:eastAsia="仿宋" w:cs="宋体"/>
                <w:bCs/>
                <w:color w:val="auto"/>
                <w:sz w:val="24"/>
                <w:highlight w:val="none"/>
                <w:lang w:val="en-US" w:eastAsia="zh-CN"/>
              </w:rPr>
              <w:t>（3,5］</w:t>
            </w:r>
            <w:r>
              <w:rPr>
                <w:rFonts w:hint="default" w:ascii="仿宋" w:hAnsi="仿宋" w:eastAsia="仿宋" w:cs="仿宋"/>
                <w:color w:val="auto"/>
                <w:sz w:val="24"/>
                <w:szCs w:val="24"/>
                <w:highlight w:val="none"/>
                <w:lang w:val="en-US" w:eastAsia="zh-CN"/>
              </w:rPr>
              <w:t>分；</w:t>
            </w:r>
          </w:p>
          <w:p w14:paraId="315414A8">
            <w:pPr>
              <w:keepNext w:val="0"/>
              <w:keepLines w:val="0"/>
              <w:pageBreakBefore w:val="0"/>
              <w:kinsoku/>
              <w:wordWrap/>
              <w:overflowPunct/>
              <w:topLinePunct w:val="0"/>
              <w:bidi w:val="0"/>
              <w:spacing w:beforeAutospacing="0" w:afterAutospacing="0" w:line="3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宋体"/>
                <w:bCs/>
                <w:color w:val="auto"/>
                <w:sz w:val="24"/>
                <w:highlight w:val="none"/>
                <w:lang w:val="en-US" w:eastAsia="zh-CN"/>
              </w:rPr>
              <w:t>②</w:t>
            </w:r>
            <w:r>
              <w:rPr>
                <w:rFonts w:hint="default" w:ascii="仿宋" w:hAnsi="仿宋" w:eastAsia="仿宋" w:cs="仿宋"/>
                <w:color w:val="auto"/>
                <w:sz w:val="24"/>
                <w:szCs w:val="24"/>
                <w:highlight w:val="none"/>
                <w:lang w:val="en-US" w:eastAsia="zh-CN"/>
              </w:rPr>
              <w:t>内容阐述有欠缺但总体较为详尽、准确，基本合理可行的得</w:t>
            </w:r>
            <w:r>
              <w:rPr>
                <w:rFonts w:hint="eastAsia" w:ascii="仿宋" w:hAnsi="仿宋" w:eastAsia="仿宋" w:cs="宋体"/>
                <w:bCs/>
                <w:color w:val="auto"/>
                <w:sz w:val="24"/>
                <w:highlight w:val="none"/>
                <w:lang w:val="en-US" w:eastAsia="zh-CN"/>
              </w:rPr>
              <w:t>（1,3］</w:t>
            </w:r>
            <w:r>
              <w:rPr>
                <w:rFonts w:hint="default" w:ascii="仿宋" w:hAnsi="仿宋" w:eastAsia="仿宋" w:cs="仿宋"/>
                <w:color w:val="auto"/>
                <w:sz w:val="24"/>
                <w:szCs w:val="24"/>
                <w:highlight w:val="none"/>
                <w:lang w:val="en-US" w:eastAsia="zh-CN"/>
              </w:rPr>
              <w:t>分；</w:t>
            </w:r>
          </w:p>
          <w:p w14:paraId="3E051347">
            <w:pPr>
              <w:keepNext w:val="0"/>
              <w:keepLines w:val="0"/>
              <w:pageBreakBefore w:val="0"/>
              <w:kinsoku/>
              <w:wordWrap/>
              <w:overflowPunct/>
              <w:topLinePunct w:val="0"/>
              <w:bidi w:val="0"/>
              <w:spacing w:beforeAutospacing="0" w:afterAutospacing="0" w:line="3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宋体"/>
                <w:bCs/>
                <w:color w:val="auto"/>
                <w:sz w:val="24"/>
                <w:highlight w:val="none"/>
                <w:lang w:val="en-US" w:eastAsia="zh-CN"/>
              </w:rPr>
              <w:t>③</w:t>
            </w:r>
            <w:r>
              <w:rPr>
                <w:rFonts w:hint="default" w:ascii="仿宋" w:hAnsi="仿宋" w:eastAsia="仿宋" w:cs="仿宋"/>
                <w:color w:val="auto"/>
                <w:sz w:val="24"/>
                <w:szCs w:val="24"/>
                <w:highlight w:val="none"/>
                <w:lang w:val="en-US" w:eastAsia="zh-CN"/>
              </w:rPr>
              <w:t>内容阐述粗略、缺陷较多，</w:t>
            </w:r>
            <w:r>
              <w:rPr>
                <w:rFonts w:hint="eastAsia" w:ascii="仿宋" w:hAnsi="仿宋" w:eastAsia="仿宋" w:cs="仿宋"/>
                <w:color w:val="auto"/>
                <w:sz w:val="24"/>
                <w:szCs w:val="24"/>
                <w:highlight w:val="none"/>
                <w:lang w:val="en-US" w:eastAsia="zh-CN"/>
              </w:rPr>
              <w:t>方案不完整</w:t>
            </w:r>
            <w:r>
              <w:rPr>
                <w:rFonts w:hint="default" w:ascii="仿宋" w:hAnsi="仿宋" w:eastAsia="仿宋" w:cs="仿宋"/>
                <w:color w:val="auto"/>
                <w:sz w:val="24"/>
                <w:szCs w:val="24"/>
                <w:highlight w:val="none"/>
                <w:lang w:val="en-US" w:eastAsia="zh-CN"/>
              </w:rPr>
              <w:t>的得</w:t>
            </w:r>
            <w:r>
              <w:rPr>
                <w:rFonts w:hint="eastAsia" w:ascii="仿宋" w:hAnsi="仿宋" w:eastAsia="仿宋" w:cs="宋体"/>
                <w:bCs/>
                <w:color w:val="auto"/>
                <w:sz w:val="24"/>
                <w:highlight w:val="none"/>
                <w:lang w:val="en-US" w:eastAsia="zh-CN"/>
              </w:rPr>
              <w:t>（0,1］</w:t>
            </w:r>
            <w:r>
              <w:rPr>
                <w:rFonts w:hint="default" w:ascii="仿宋" w:hAnsi="仿宋" w:eastAsia="仿宋" w:cs="仿宋"/>
                <w:color w:val="auto"/>
                <w:sz w:val="24"/>
                <w:szCs w:val="24"/>
                <w:highlight w:val="none"/>
                <w:lang w:val="en-US" w:eastAsia="zh-CN"/>
              </w:rPr>
              <w:t>分；</w:t>
            </w:r>
          </w:p>
          <w:p w14:paraId="3B6A88E0">
            <w:pPr>
              <w:keepNext w:val="0"/>
              <w:keepLines w:val="0"/>
              <w:pageBreakBefore w:val="0"/>
              <w:kinsoku/>
              <w:wordWrap/>
              <w:overflowPunct/>
              <w:topLinePunct w:val="0"/>
              <w:bidi w:val="0"/>
              <w:spacing w:beforeAutospacing="0" w:afterAutospacing="0" w:line="360" w:lineRule="exact"/>
              <w:jc w:val="left"/>
              <w:rPr>
                <w:rFonts w:hint="default"/>
                <w:color w:val="auto"/>
                <w:highlight w:val="none"/>
                <w:lang w:val="en-US" w:eastAsia="zh-CN"/>
              </w:rPr>
            </w:pPr>
            <w:r>
              <w:rPr>
                <w:rFonts w:hint="eastAsia" w:ascii="仿宋" w:hAnsi="仿宋" w:eastAsia="仿宋" w:cs="宋体"/>
                <w:bCs/>
                <w:color w:val="auto"/>
                <w:sz w:val="24"/>
                <w:highlight w:val="none"/>
                <w:lang w:val="en-US" w:eastAsia="zh-CN"/>
              </w:rPr>
              <w:t>④</w:t>
            </w:r>
            <w:r>
              <w:rPr>
                <w:rFonts w:hint="default" w:ascii="仿宋" w:hAnsi="仿宋" w:eastAsia="仿宋" w:cs="仿宋"/>
                <w:color w:val="auto"/>
                <w:sz w:val="24"/>
                <w:szCs w:val="24"/>
                <w:highlight w:val="none"/>
                <w:lang w:val="en-US" w:eastAsia="zh-CN"/>
              </w:rPr>
              <w:t>不提供或与项目不符的不得分。</w:t>
            </w:r>
          </w:p>
        </w:tc>
        <w:tc>
          <w:tcPr>
            <w:tcW w:w="1004" w:type="dxa"/>
            <w:tcBorders>
              <w:bottom w:val="single" w:color="auto" w:sz="4" w:space="0"/>
              <w:tl2br w:val="nil"/>
              <w:tr2bl w:val="nil"/>
            </w:tcBorders>
            <w:noWrap w:val="0"/>
            <w:vAlign w:val="center"/>
          </w:tcPr>
          <w:p w14:paraId="5A18FA17">
            <w:pPr>
              <w:keepNext w:val="0"/>
              <w:keepLines w:val="0"/>
              <w:pageBreakBefore w:val="0"/>
              <w:kinsoku/>
              <w:wordWrap/>
              <w:overflowPunct/>
              <w:topLinePunct w:val="0"/>
              <w:bidi w:val="0"/>
              <w:spacing w:beforeAutospacing="0" w:afterAutospacing="0" w:line="360" w:lineRule="exact"/>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5分</w:t>
            </w:r>
          </w:p>
        </w:tc>
      </w:tr>
      <w:tr w14:paraId="46E6CA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781" w:type="dxa"/>
            <w:tcBorders>
              <w:top w:val="single" w:color="auto" w:sz="4" w:space="0"/>
              <w:tl2br w:val="nil"/>
              <w:tr2bl w:val="nil"/>
            </w:tcBorders>
            <w:noWrap w:val="0"/>
            <w:vAlign w:val="center"/>
          </w:tcPr>
          <w:p w14:paraId="68CC5D89">
            <w:pPr>
              <w:keepNext w:val="0"/>
              <w:keepLines w:val="0"/>
              <w:pageBreakBefore w:val="0"/>
              <w:numPr>
                <w:ilvl w:val="0"/>
                <w:numId w:val="0"/>
              </w:numPr>
              <w:tabs>
                <w:tab w:val="left" w:pos="0"/>
              </w:tabs>
              <w:kinsoku/>
              <w:wordWrap/>
              <w:overflowPunct/>
              <w:topLinePunct w:val="0"/>
              <w:bidi w:val="0"/>
              <w:snapToGrid w:val="0"/>
              <w:spacing w:beforeAutospacing="0" w:afterAutospacing="0" w:line="360" w:lineRule="exact"/>
              <w:ind w:left="425" w:leftChars="0" w:hanging="425" w:firstLineChars="0"/>
              <w:jc w:val="center"/>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kern w:val="2"/>
                <w:sz w:val="24"/>
                <w:szCs w:val="24"/>
                <w:lang w:val="en-US" w:eastAsia="zh-CN" w:bidi="ar-SA"/>
              </w:rPr>
              <w:t>6</w:t>
            </w:r>
          </w:p>
        </w:tc>
        <w:tc>
          <w:tcPr>
            <w:tcW w:w="1554" w:type="dxa"/>
            <w:tcBorders>
              <w:top w:val="single" w:color="auto" w:sz="4" w:space="0"/>
              <w:tl2br w:val="nil"/>
              <w:tr2bl w:val="nil"/>
            </w:tcBorders>
            <w:noWrap w:val="0"/>
            <w:vAlign w:val="center"/>
          </w:tcPr>
          <w:p w14:paraId="62FF4AB2">
            <w:pPr>
              <w:keepNext w:val="0"/>
              <w:keepLines w:val="0"/>
              <w:pageBreakBefore w:val="0"/>
              <w:kinsoku/>
              <w:wordWrap/>
              <w:overflowPunct/>
              <w:topLinePunct w:val="0"/>
              <w:bidi w:val="0"/>
              <w:spacing w:beforeAutospacing="0" w:afterAutospacing="0" w:line="360" w:lineRule="exact"/>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宋体"/>
                <w:b w:val="0"/>
                <w:bCs w:val="0"/>
                <w:color w:val="auto"/>
                <w:sz w:val="24"/>
                <w:szCs w:val="24"/>
                <w:highlight w:val="none"/>
                <w:lang w:val="en-US" w:eastAsia="zh-CN"/>
              </w:rPr>
              <w:t>方案</w:t>
            </w:r>
            <w:r>
              <w:rPr>
                <w:rFonts w:hint="eastAsia" w:ascii="仿宋" w:hAnsi="仿宋" w:eastAsia="仿宋" w:cs="宋体"/>
                <w:b w:val="0"/>
                <w:bCs w:val="0"/>
                <w:color w:val="auto"/>
                <w:sz w:val="24"/>
                <w:szCs w:val="24"/>
                <w:highlight w:val="none"/>
              </w:rPr>
              <w:t>演示</w:t>
            </w:r>
          </w:p>
        </w:tc>
        <w:tc>
          <w:tcPr>
            <w:tcW w:w="6744" w:type="dxa"/>
            <w:tcBorders>
              <w:top w:val="single" w:color="auto" w:sz="4" w:space="0"/>
              <w:tl2br w:val="nil"/>
              <w:tr2bl w:val="nil"/>
            </w:tcBorders>
            <w:noWrap w:val="0"/>
            <w:vAlign w:val="center"/>
          </w:tcPr>
          <w:p w14:paraId="56BDFF8B">
            <w:pPr>
              <w:pStyle w:val="30"/>
              <w:keepNext w:val="0"/>
              <w:keepLines w:val="0"/>
              <w:pageBreakBefore w:val="0"/>
              <w:kinsoku/>
              <w:wordWrap/>
              <w:overflowPunct/>
              <w:topLinePunct w:val="0"/>
              <w:bidi w:val="0"/>
              <w:spacing w:line="36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诸暨市“五好两宜”和美乡村试点项目一状元村柿子深加工周边环境氛围提升及主题文化布置布展采购项目视频演示（项目的整体场景，内容主要包括功能、效果等），由评委进行综合评价，最高得12分。</w:t>
            </w:r>
          </w:p>
          <w:p w14:paraId="6447B771">
            <w:pPr>
              <w:pStyle w:val="30"/>
              <w:keepNext w:val="0"/>
              <w:keepLines w:val="0"/>
              <w:pageBreakBefore w:val="0"/>
              <w:kinsoku/>
              <w:wordWrap/>
              <w:overflowPunct/>
              <w:topLinePunct w:val="0"/>
              <w:bidi w:val="0"/>
              <w:spacing w:line="360" w:lineRule="exact"/>
              <w:ind w:left="0" w:leftChars="0" w:firstLine="0" w:firstLineChars="0"/>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说明：1.本项目采用“不见面”演示方式，以投标人自行录制的可播放“视频演示文件”（采用U盘存储）为依据，U盘的递交等具体规定详见“采购需求”。2.演示环节中评委自行观看U盘内容后进行打分：内容合理、清晰，完整性高的得(7,12]分；内容较为合理、清晰，完整性较高的得(2,7]分；内容缺陷较多、完整性不完整的得(0,2]分；未提供相关演示的不得分。）</w:t>
            </w:r>
          </w:p>
        </w:tc>
        <w:tc>
          <w:tcPr>
            <w:tcW w:w="1004" w:type="dxa"/>
            <w:tcBorders>
              <w:top w:val="single" w:color="auto" w:sz="4" w:space="0"/>
              <w:tl2br w:val="nil"/>
              <w:tr2bl w:val="nil"/>
            </w:tcBorders>
            <w:noWrap w:val="0"/>
            <w:vAlign w:val="center"/>
          </w:tcPr>
          <w:p w14:paraId="46F217D3">
            <w:pPr>
              <w:keepNext w:val="0"/>
              <w:keepLines w:val="0"/>
              <w:pageBreakBefore w:val="0"/>
              <w:kinsoku/>
              <w:wordWrap/>
              <w:overflowPunct/>
              <w:topLinePunct w:val="0"/>
              <w:bidi w:val="0"/>
              <w:spacing w:beforeAutospacing="0" w:afterAutospacing="0" w:line="360" w:lineRule="exact"/>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12分</w:t>
            </w:r>
          </w:p>
        </w:tc>
      </w:tr>
      <w:tr w14:paraId="648A9A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781" w:type="dxa"/>
            <w:tcBorders>
              <w:tl2br w:val="nil"/>
              <w:tr2bl w:val="nil"/>
            </w:tcBorders>
            <w:noWrap w:val="0"/>
            <w:vAlign w:val="center"/>
          </w:tcPr>
          <w:p w14:paraId="7C9B24CD">
            <w:pPr>
              <w:keepNext w:val="0"/>
              <w:keepLines w:val="0"/>
              <w:pageBreakBefore w:val="0"/>
              <w:numPr>
                <w:ilvl w:val="0"/>
                <w:numId w:val="0"/>
              </w:numPr>
              <w:tabs>
                <w:tab w:val="left" w:pos="0"/>
              </w:tabs>
              <w:kinsoku/>
              <w:wordWrap/>
              <w:overflowPunct/>
              <w:topLinePunct w:val="0"/>
              <w:bidi w:val="0"/>
              <w:snapToGrid w:val="0"/>
              <w:spacing w:beforeAutospacing="0" w:afterAutospacing="0" w:line="360" w:lineRule="exact"/>
              <w:ind w:leftChars="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1554" w:type="dxa"/>
            <w:tcBorders>
              <w:tl2br w:val="nil"/>
              <w:tr2bl w:val="nil"/>
            </w:tcBorders>
            <w:noWrap w:val="0"/>
            <w:vAlign w:val="center"/>
          </w:tcPr>
          <w:p w14:paraId="756B8364">
            <w:pPr>
              <w:keepNext w:val="0"/>
              <w:keepLines w:val="0"/>
              <w:pageBreakBefore w:val="0"/>
              <w:kinsoku/>
              <w:wordWrap/>
              <w:overflowPunct/>
              <w:topLinePunct w:val="0"/>
              <w:bidi w:val="0"/>
              <w:snapToGrid w:val="0"/>
              <w:spacing w:beforeAutospacing="0" w:afterAutospacing="0" w:line="360" w:lineRule="exact"/>
              <w:jc w:val="center"/>
              <w:rPr>
                <w:rFonts w:hint="default" w:ascii="仿宋" w:hAnsi="仿宋" w:eastAsia="仿宋" w:cs="仿宋"/>
                <w:b w:val="0"/>
                <w:bCs w:val="0"/>
                <w:color w:val="auto"/>
                <w:kern w:val="2"/>
                <w:sz w:val="24"/>
                <w:szCs w:val="24"/>
                <w:highlight w:val="none"/>
                <w:lang w:val="en-US" w:eastAsia="zh-CN" w:bidi="ar-SA"/>
              </w:rPr>
            </w:pPr>
            <w:r>
              <w:rPr>
                <w:rFonts w:ascii="仿宋" w:hAnsi="仿宋" w:eastAsia="仿宋" w:cs="宋体"/>
                <w:b w:val="0"/>
                <w:bCs w:val="0"/>
                <w:color w:val="auto"/>
                <w:sz w:val="24"/>
                <w:szCs w:val="24"/>
              </w:rPr>
              <w:t>售后服务</w:t>
            </w:r>
          </w:p>
        </w:tc>
        <w:tc>
          <w:tcPr>
            <w:tcW w:w="6744" w:type="dxa"/>
            <w:tcBorders>
              <w:tl2br w:val="nil"/>
              <w:tr2bl w:val="nil"/>
            </w:tcBorders>
            <w:noWrap w:val="0"/>
            <w:vAlign w:val="center"/>
          </w:tcPr>
          <w:p w14:paraId="79A8DBA5">
            <w:pPr>
              <w:pStyle w:val="30"/>
              <w:keepNext w:val="0"/>
              <w:keepLines w:val="0"/>
              <w:pageBreakBefore w:val="0"/>
              <w:kinsoku/>
              <w:wordWrap/>
              <w:overflowPunct/>
              <w:topLinePunct w:val="0"/>
              <w:bidi w:val="0"/>
              <w:spacing w:line="360" w:lineRule="exact"/>
              <w:ind w:left="0" w:leftChars="0" w:firstLine="0" w:firstLineChars="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根据投标人提供的质量保修期内服务方案，包括维修响应措施、技术力量配备、备品备件、回访等，由评审专家根据服务方案是否详细明确、合理可行</w:t>
            </w:r>
            <w:r>
              <w:rPr>
                <w:rFonts w:hint="default" w:ascii="仿宋" w:hAnsi="仿宋" w:eastAsia="仿宋" w:cs="宋体"/>
                <w:bCs/>
                <w:color w:val="auto"/>
                <w:sz w:val="24"/>
                <w:lang w:val="en-US" w:eastAsia="zh-CN"/>
              </w:rPr>
              <w:t>，由评审专家进行综合评分。</w:t>
            </w:r>
          </w:p>
          <w:p w14:paraId="0518A746">
            <w:pPr>
              <w:keepNext w:val="0"/>
              <w:keepLines w:val="0"/>
              <w:pageBreakBefore w:val="0"/>
              <w:kinsoku/>
              <w:wordWrap/>
              <w:overflowPunct/>
              <w:topLinePunct w:val="0"/>
              <w:bidi w:val="0"/>
              <w:spacing w:beforeAutospacing="0" w:afterAutospacing="0" w:line="3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宋体"/>
                <w:bCs/>
                <w:color w:val="auto"/>
                <w:sz w:val="24"/>
                <w:lang w:val="en-US" w:eastAsia="zh-CN"/>
              </w:rPr>
              <w:t>①</w:t>
            </w:r>
            <w:r>
              <w:rPr>
                <w:rFonts w:hint="default" w:ascii="仿宋" w:hAnsi="仿宋" w:eastAsia="仿宋" w:cs="仿宋"/>
                <w:color w:val="auto"/>
                <w:sz w:val="24"/>
                <w:szCs w:val="24"/>
                <w:highlight w:val="none"/>
                <w:lang w:val="en-US" w:eastAsia="zh-CN"/>
              </w:rPr>
              <w:t>方案阐述详细全面，有提供明确且合理可行的服务计划及措施，总体能够充分保障及时有效售后服务的得</w:t>
            </w:r>
            <w:r>
              <w:rPr>
                <w:rFonts w:hint="eastAsia" w:ascii="仿宋" w:hAnsi="仿宋" w:eastAsia="仿宋" w:cs="宋体"/>
                <w:bCs/>
                <w:color w:val="auto"/>
                <w:sz w:val="24"/>
                <w:lang w:val="en-US" w:eastAsia="zh-CN"/>
              </w:rPr>
              <w:t>（2,3］</w:t>
            </w:r>
            <w:r>
              <w:rPr>
                <w:rFonts w:hint="default" w:ascii="仿宋" w:hAnsi="仿宋" w:eastAsia="仿宋" w:cs="仿宋"/>
                <w:color w:val="auto"/>
                <w:sz w:val="24"/>
                <w:szCs w:val="24"/>
                <w:highlight w:val="none"/>
                <w:lang w:val="en-US" w:eastAsia="zh-CN"/>
              </w:rPr>
              <w:t>分；</w:t>
            </w:r>
          </w:p>
          <w:p w14:paraId="1672F1EC">
            <w:pPr>
              <w:keepNext w:val="0"/>
              <w:keepLines w:val="0"/>
              <w:pageBreakBefore w:val="0"/>
              <w:kinsoku/>
              <w:wordWrap/>
              <w:overflowPunct/>
              <w:topLinePunct w:val="0"/>
              <w:bidi w:val="0"/>
              <w:spacing w:beforeAutospacing="0" w:afterAutospacing="0" w:line="3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宋体"/>
                <w:bCs/>
                <w:color w:val="auto"/>
                <w:sz w:val="24"/>
                <w:lang w:val="en-US" w:eastAsia="zh-CN"/>
              </w:rPr>
              <w:t>②</w:t>
            </w:r>
            <w:r>
              <w:rPr>
                <w:rFonts w:hint="default" w:ascii="仿宋" w:hAnsi="仿宋" w:eastAsia="仿宋" w:cs="仿宋"/>
                <w:color w:val="auto"/>
                <w:sz w:val="24"/>
                <w:szCs w:val="24"/>
                <w:highlight w:val="none"/>
                <w:lang w:val="en-US" w:eastAsia="zh-CN"/>
              </w:rPr>
              <w:t>方案阐述有欠缺但基本全面，有提供较为明确可行的服务计划及措施，总体能较好的提供售后服务的得</w:t>
            </w:r>
            <w:r>
              <w:rPr>
                <w:rFonts w:hint="eastAsia" w:ascii="仿宋" w:hAnsi="仿宋" w:eastAsia="仿宋" w:cs="宋体"/>
                <w:bCs/>
                <w:color w:val="auto"/>
                <w:sz w:val="24"/>
                <w:lang w:val="en-US" w:eastAsia="zh-CN"/>
              </w:rPr>
              <w:t>（1,2］</w:t>
            </w:r>
            <w:r>
              <w:rPr>
                <w:rFonts w:hint="default" w:ascii="仿宋" w:hAnsi="仿宋" w:eastAsia="仿宋" w:cs="仿宋"/>
                <w:color w:val="auto"/>
                <w:sz w:val="24"/>
                <w:szCs w:val="24"/>
                <w:highlight w:val="none"/>
                <w:lang w:val="en-US" w:eastAsia="zh-CN"/>
              </w:rPr>
              <w:t>分；</w:t>
            </w:r>
          </w:p>
          <w:p w14:paraId="15BB0F07">
            <w:pPr>
              <w:keepNext w:val="0"/>
              <w:keepLines w:val="0"/>
              <w:pageBreakBefore w:val="0"/>
              <w:kinsoku/>
              <w:wordWrap/>
              <w:overflowPunct/>
              <w:topLinePunct w:val="0"/>
              <w:bidi w:val="0"/>
              <w:spacing w:beforeAutospacing="0" w:afterAutospacing="0" w:line="3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宋体"/>
                <w:bCs/>
                <w:color w:val="auto"/>
                <w:sz w:val="24"/>
                <w:lang w:val="en-US" w:eastAsia="zh-CN"/>
              </w:rPr>
              <w:t>③</w:t>
            </w:r>
            <w:r>
              <w:rPr>
                <w:rFonts w:hint="default" w:ascii="仿宋" w:hAnsi="仿宋" w:eastAsia="仿宋" w:cs="仿宋"/>
                <w:color w:val="auto"/>
                <w:sz w:val="24"/>
                <w:szCs w:val="24"/>
                <w:highlight w:val="none"/>
                <w:lang w:val="en-US" w:eastAsia="zh-CN"/>
              </w:rPr>
              <w:t>方案阐述粗略，提供的服务计划、措施等内容缺陷较多、合理可行性欠缺，总体售后服务响应保障较为</w:t>
            </w:r>
            <w:r>
              <w:rPr>
                <w:rFonts w:hint="eastAsia" w:ascii="仿宋" w:hAnsi="仿宋" w:eastAsia="仿宋" w:cs="仿宋"/>
                <w:color w:val="auto"/>
                <w:sz w:val="24"/>
                <w:szCs w:val="24"/>
                <w:highlight w:val="none"/>
                <w:lang w:val="en-US" w:eastAsia="zh-CN"/>
              </w:rPr>
              <w:t>不完整</w:t>
            </w:r>
            <w:r>
              <w:rPr>
                <w:rFonts w:hint="default" w:ascii="仿宋" w:hAnsi="仿宋" w:eastAsia="仿宋" w:cs="仿宋"/>
                <w:color w:val="auto"/>
                <w:sz w:val="24"/>
                <w:szCs w:val="24"/>
                <w:highlight w:val="none"/>
                <w:lang w:val="en-US" w:eastAsia="zh-CN"/>
              </w:rPr>
              <w:t>的得</w:t>
            </w:r>
            <w:r>
              <w:rPr>
                <w:rFonts w:hint="eastAsia" w:ascii="仿宋" w:hAnsi="仿宋" w:eastAsia="仿宋" w:cs="宋体"/>
                <w:bCs/>
                <w:color w:val="auto"/>
                <w:sz w:val="24"/>
                <w:lang w:val="en-US" w:eastAsia="zh-CN"/>
              </w:rPr>
              <w:t>（0,1］</w:t>
            </w:r>
            <w:r>
              <w:rPr>
                <w:rFonts w:hint="default" w:ascii="仿宋" w:hAnsi="仿宋" w:eastAsia="仿宋" w:cs="仿宋"/>
                <w:color w:val="auto"/>
                <w:sz w:val="24"/>
                <w:szCs w:val="24"/>
                <w:highlight w:val="none"/>
                <w:lang w:val="en-US" w:eastAsia="zh-CN"/>
              </w:rPr>
              <w:t>分；</w:t>
            </w:r>
          </w:p>
          <w:p w14:paraId="696956D0">
            <w:pPr>
              <w:keepNext w:val="0"/>
              <w:keepLines w:val="0"/>
              <w:pageBreakBefore w:val="0"/>
              <w:kinsoku/>
              <w:wordWrap/>
              <w:overflowPunct/>
              <w:topLinePunct w:val="0"/>
              <w:bidi w:val="0"/>
              <w:spacing w:beforeAutospacing="0" w:afterAutospacing="0" w:line="36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宋体"/>
                <w:bCs/>
                <w:color w:val="auto"/>
                <w:sz w:val="24"/>
                <w:lang w:val="en-US" w:eastAsia="zh-CN"/>
              </w:rPr>
              <w:t>④</w:t>
            </w:r>
            <w:r>
              <w:rPr>
                <w:rFonts w:hint="default" w:ascii="仿宋" w:hAnsi="仿宋" w:eastAsia="仿宋" w:cs="仿宋"/>
                <w:color w:val="auto"/>
                <w:sz w:val="24"/>
                <w:szCs w:val="24"/>
                <w:highlight w:val="none"/>
                <w:lang w:val="en-US" w:eastAsia="zh-CN"/>
              </w:rPr>
              <w:t>不提供方案或与项目不符的不得分。</w:t>
            </w:r>
          </w:p>
        </w:tc>
        <w:tc>
          <w:tcPr>
            <w:tcW w:w="1004" w:type="dxa"/>
            <w:tcBorders>
              <w:tl2br w:val="nil"/>
              <w:tr2bl w:val="nil"/>
            </w:tcBorders>
            <w:noWrap w:val="0"/>
            <w:vAlign w:val="center"/>
          </w:tcPr>
          <w:p w14:paraId="571CE47E">
            <w:pPr>
              <w:keepNext w:val="0"/>
              <w:keepLines w:val="0"/>
              <w:pageBreakBefore w:val="0"/>
              <w:tabs>
                <w:tab w:val="left" w:pos="0"/>
              </w:tabs>
              <w:kinsoku/>
              <w:wordWrap/>
              <w:overflowPunct/>
              <w:topLinePunct w:val="0"/>
              <w:bidi w:val="0"/>
              <w:snapToGrid w:val="0"/>
              <w:spacing w:beforeAutospacing="0" w:afterAutospacing="0" w:line="36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3分</w:t>
            </w:r>
          </w:p>
        </w:tc>
      </w:tr>
    </w:tbl>
    <w:p w14:paraId="314115EE">
      <w:pPr>
        <w:snapToGrid w:val="0"/>
        <w:spacing w:line="42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投标人编制投标文件（商务技术文件）时，建议按照本表“</w:t>
      </w:r>
      <w:r>
        <w:rPr>
          <w:rFonts w:hint="eastAsia" w:ascii="仿宋" w:hAnsi="仿宋" w:eastAsia="仿宋" w:cs="仿宋"/>
          <w:bCs/>
          <w:color w:val="auto"/>
          <w:sz w:val="24"/>
          <w:szCs w:val="24"/>
          <w:highlight w:val="none"/>
        </w:rPr>
        <w:t>商务技术评分标准”</w:t>
      </w:r>
      <w:r>
        <w:rPr>
          <w:rFonts w:hint="eastAsia" w:ascii="仿宋" w:hAnsi="仿宋" w:eastAsia="仿宋" w:cs="仿宋"/>
          <w:color w:val="auto"/>
          <w:sz w:val="24"/>
          <w:szCs w:val="24"/>
          <w:highlight w:val="none"/>
        </w:rPr>
        <w:t>提供评标标准相应的商务技术资料。</w:t>
      </w:r>
    </w:p>
    <w:p w14:paraId="47F77031">
      <w:pPr>
        <w:snapToGrid w:val="0"/>
        <w:spacing w:line="40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232B2C1E">
      <w:pPr>
        <w:adjustRightInd/>
        <w:spacing w:line="400" w:lineRule="exact"/>
        <w:ind w:firstLine="472" w:firstLineChars="196"/>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本项目采用综合评分法。</w:t>
      </w:r>
      <w:r>
        <w:rPr>
          <w:rFonts w:hint="eastAsia" w:ascii="仿宋" w:hAnsi="仿宋" w:eastAsia="仿宋" w:cs="仿宋"/>
          <w:color w:val="auto"/>
          <w:sz w:val="24"/>
          <w:szCs w:val="24"/>
          <w:highlight w:val="none"/>
        </w:rPr>
        <w:t>综合评分法，是指投标文件满足招标文件全部实质性要求，且按照评审因素的量化指标评审得分最高的投标人为中标候选人的评标方法。</w:t>
      </w:r>
    </w:p>
    <w:p w14:paraId="7B2D0ABC">
      <w:pPr>
        <w:keepNext w:val="0"/>
        <w:keepLines w:val="0"/>
        <w:pageBreakBefore w:val="0"/>
        <w:kinsoku/>
        <w:wordWrap/>
        <w:overflowPunct/>
        <w:topLinePunct w:val="0"/>
        <w:autoSpaceDE/>
        <w:autoSpaceDN/>
        <w:bidi w:val="0"/>
        <w:spacing w:line="420" w:lineRule="exact"/>
        <w:ind w:firstLine="436" w:firstLineChars="182"/>
        <w:rPr>
          <w:rFonts w:hint="eastAsia" w:ascii="仿宋" w:hAnsi="仿宋" w:eastAsia="仿宋" w:cs="仿宋"/>
          <w:color w:val="auto"/>
          <w:sz w:val="24"/>
          <w:highlight w:val="none"/>
        </w:rPr>
      </w:pPr>
      <w:r>
        <w:rPr>
          <w:rFonts w:hint="eastAsia" w:ascii="仿宋" w:hAnsi="仿宋" w:eastAsia="仿宋" w:cs="仿宋"/>
          <w:color w:val="auto"/>
          <w:sz w:val="24"/>
          <w:highlight w:val="none"/>
        </w:rPr>
        <w:t>（1）满分为100分。总得分=</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技术得分+</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得分。</w:t>
      </w:r>
    </w:p>
    <w:p w14:paraId="195610DB">
      <w:pPr>
        <w:keepNext w:val="0"/>
        <w:keepLines w:val="0"/>
        <w:pageBreakBefore w:val="0"/>
        <w:kinsoku/>
        <w:wordWrap/>
        <w:overflowPunct/>
        <w:topLinePunct w:val="0"/>
        <w:autoSpaceDE/>
        <w:autoSpaceDN/>
        <w:bidi w:val="0"/>
        <w:spacing w:line="420" w:lineRule="exact"/>
        <w:ind w:firstLine="436" w:firstLineChars="182"/>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技术得分=</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技术评分，</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技术评分=各评委的有效评分的算术平均数。</w:t>
      </w:r>
    </w:p>
    <w:p w14:paraId="422118A7">
      <w:pPr>
        <w:keepNext w:val="0"/>
        <w:keepLines w:val="0"/>
        <w:pageBreakBefore w:val="0"/>
        <w:kinsoku/>
        <w:wordWrap/>
        <w:overflowPunct/>
        <w:topLinePunct w:val="0"/>
        <w:autoSpaceDE/>
        <w:autoSpaceDN/>
        <w:bidi w:val="0"/>
        <w:spacing w:line="420" w:lineRule="exact"/>
        <w:ind w:firstLine="436" w:firstLineChars="182"/>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得分=（评标基准价/投标报价）*价格权值*100，评标基准价=有效投标人的最低投标报价，价格权值=</w:t>
      </w:r>
      <w:r>
        <w:rPr>
          <w:rFonts w:hint="eastAsia" w:ascii="仿宋" w:hAnsi="仿宋" w:eastAsia="仿宋" w:cs="仿宋"/>
          <w:b/>
          <w:bCs/>
          <w:color w:val="auto"/>
          <w:sz w:val="24"/>
          <w:highlight w:val="none"/>
          <w:lang w:val="en-US" w:eastAsia="zh-CN"/>
        </w:rPr>
        <w:t>20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w:t>
      </w:r>
    </w:p>
    <w:p w14:paraId="3DA51C9B">
      <w:pPr>
        <w:keepNext w:val="0"/>
        <w:keepLines w:val="0"/>
        <w:pageBreakBefore w:val="0"/>
        <w:kinsoku/>
        <w:wordWrap/>
        <w:overflowPunct/>
        <w:topLinePunct w:val="0"/>
        <w:autoSpaceDE/>
        <w:autoSpaceDN/>
        <w:bidi w:val="0"/>
        <w:spacing w:line="420" w:lineRule="exact"/>
        <w:ind w:firstLine="436" w:firstLineChars="182"/>
        <w:rPr>
          <w:rFonts w:hint="eastAsia" w:ascii="仿宋" w:hAnsi="仿宋" w:eastAsia="仿宋" w:cs="仿宋"/>
          <w:b/>
          <w:bCs/>
          <w:color w:val="auto"/>
          <w:spacing w:val="9"/>
          <w:sz w:val="30"/>
          <w:szCs w:val="30"/>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rPr>
        <w:t>技术评分细则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80分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详见评标办法前附表。</w:t>
      </w:r>
    </w:p>
    <w:p w14:paraId="05AC45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szCs w:val="24"/>
          <w:highlight w:val="none"/>
        </w:rPr>
        <w:t>通过资格审查和符合性评审的单位全部入围进行报价评审。</w:t>
      </w:r>
    </w:p>
    <w:p w14:paraId="7AF85BFF">
      <w:pPr>
        <w:adjustRightInd/>
        <w:spacing w:line="4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二、评标标准</w:t>
      </w:r>
    </w:p>
    <w:p w14:paraId="6A374589">
      <w:pPr>
        <w:spacing w:line="400" w:lineRule="exact"/>
        <w:ind w:firstLine="470" w:firstLineChars="196"/>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见评标办法前附表。</w:t>
      </w:r>
    </w:p>
    <w:p w14:paraId="4A0D6BBC">
      <w:pPr>
        <w:spacing w:line="400" w:lineRule="exact"/>
        <w:rPr>
          <w:rFonts w:ascii="仿宋" w:hAnsi="仿宋" w:eastAsia="仿宋" w:cs="仿宋"/>
          <w:b/>
          <w:color w:val="auto"/>
          <w:sz w:val="24"/>
          <w:szCs w:val="24"/>
          <w:highlight w:val="none"/>
        </w:rPr>
      </w:pPr>
      <w:bookmarkStart w:id="399" w:name="_Toc4093"/>
      <w:r>
        <w:rPr>
          <w:rFonts w:hint="eastAsia" w:ascii="仿宋" w:hAnsi="仿宋" w:eastAsia="仿宋" w:cs="仿宋"/>
          <w:b/>
          <w:color w:val="auto"/>
          <w:sz w:val="24"/>
          <w:szCs w:val="24"/>
          <w:highlight w:val="none"/>
        </w:rPr>
        <w:t>三、评标程序</w:t>
      </w:r>
      <w:bookmarkEnd w:id="399"/>
    </w:p>
    <w:p w14:paraId="10263E99">
      <w:pPr>
        <w:spacing w:line="400" w:lineRule="exact"/>
        <w:ind w:firstLine="472" w:firstLineChars="196"/>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3.1符合性审查。</w:t>
      </w:r>
      <w:r>
        <w:rPr>
          <w:rFonts w:hint="eastAsia" w:ascii="仿宋" w:hAnsi="仿宋" w:eastAsia="仿宋" w:cs="仿宋"/>
          <w:color w:val="auto"/>
          <w:sz w:val="24"/>
          <w:szCs w:val="24"/>
          <w:highlight w:val="none"/>
        </w:rPr>
        <w:t>评标委员会应当对符合资格的投标人的投标文件进行符合性审查，以确定其是否满足招标文件的实质性要求。不满足招标文件的实质性要求的，投标无效。</w:t>
      </w:r>
    </w:p>
    <w:p w14:paraId="2506CA49">
      <w:pPr>
        <w:spacing w:line="400" w:lineRule="exact"/>
        <w:ind w:firstLine="472" w:firstLineChars="196"/>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3.2 比较与评价。</w:t>
      </w:r>
      <w:r>
        <w:rPr>
          <w:rFonts w:hint="eastAsia" w:ascii="仿宋" w:hAnsi="仿宋" w:eastAsia="仿宋" w:cs="仿宋"/>
          <w:color w:val="auto"/>
          <w:sz w:val="24"/>
          <w:szCs w:val="24"/>
          <w:highlight w:val="none"/>
        </w:rPr>
        <w:t>评标委员会应当按照招标文件中规定的评标方法和标准，对符合性审查合格的投标文件进行商务和技术评估，综合比较与评价。</w:t>
      </w:r>
    </w:p>
    <w:p w14:paraId="67B3B88C">
      <w:pPr>
        <w:spacing w:line="400" w:lineRule="exact"/>
        <w:ind w:firstLine="472" w:firstLineChars="196"/>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3.3汇总商务技术得分。</w:t>
      </w:r>
      <w:r>
        <w:rPr>
          <w:rFonts w:hint="eastAsia" w:ascii="仿宋" w:hAnsi="仿宋" w:eastAsia="仿宋" w:cs="仿宋"/>
          <w:color w:val="auto"/>
          <w:sz w:val="24"/>
          <w:szCs w:val="24"/>
          <w:highlight w:val="none"/>
        </w:rPr>
        <w:t>评标委员会各成员应当独立对每个投标人的商务和技术文件进行评价，并汇总商务技术得分情况。</w:t>
      </w:r>
    </w:p>
    <w:p w14:paraId="3B25B757">
      <w:pPr>
        <w:spacing w:line="400" w:lineRule="exact"/>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3.4报价评审。</w:t>
      </w:r>
    </w:p>
    <w:p w14:paraId="7F316397">
      <w:pPr>
        <w:pStyle w:val="38"/>
        <w:spacing w:before="0" w:line="400" w:lineRule="exact"/>
        <w:ind w:firstLine="508" w:firstLineChars="212"/>
        <w:rPr>
          <w:rFonts w:ascii="仿宋" w:hAnsi="仿宋" w:eastAsia="仿宋" w:cs="仿宋"/>
          <w:color w:val="auto"/>
          <w:szCs w:val="24"/>
          <w:highlight w:val="none"/>
        </w:rPr>
      </w:pPr>
      <w:r>
        <w:rPr>
          <w:rFonts w:hint="eastAsia" w:ascii="仿宋" w:hAnsi="仿宋" w:eastAsia="仿宋" w:cs="仿宋"/>
          <w:color w:val="auto"/>
          <w:szCs w:val="24"/>
          <w:highlight w:val="none"/>
        </w:rPr>
        <w:t>3.4.1投标文件报价出现前后不一致的，按照下列规定修正：</w:t>
      </w:r>
    </w:p>
    <w:p w14:paraId="32B32410">
      <w:pPr>
        <w:pStyle w:val="38"/>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3.4.1.1投标文件中开标一览表(报价表)内容与投标文件中相应内容不一致的，以开标一览表(报价表)为准;</w:t>
      </w:r>
    </w:p>
    <w:p w14:paraId="46BC00D1">
      <w:pPr>
        <w:pStyle w:val="38"/>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3.4.1.2大写金额和小写金额不一致的，以大写金额为准;</w:t>
      </w:r>
    </w:p>
    <w:p w14:paraId="718F6399">
      <w:pPr>
        <w:pStyle w:val="38"/>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3.4.1.3单价金额小数点或者百分比有明显错位的，以开标一览表的总价为准，并修改单价;</w:t>
      </w:r>
    </w:p>
    <w:p w14:paraId="01D0B784">
      <w:pPr>
        <w:pStyle w:val="38"/>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3.4.1.4总价金额与按单价汇总金额不一致的，以单价金额计算结果为准。</w:t>
      </w:r>
    </w:p>
    <w:p w14:paraId="230D3851">
      <w:pPr>
        <w:pStyle w:val="38"/>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p>
    <w:p w14:paraId="0B318257">
      <w:pPr>
        <w:snapToGrid w:val="0"/>
        <w:spacing w:line="4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3.4.2投标文件出现不是唯一的、有选择性投标报价的，投标无效。</w:t>
      </w:r>
    </w:p>
    <w:p w14:paraId="34451711">
      <w:pPr>
        <w:snapToGrid w:val="0"/>
        <w:spacing w:line="4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3.4.3投标报价超过招标文件中规定的预算金额或者最高限价的，投标无效。</w:t>
      </w:r>
    </w:p>
    <w:p w14:paraId="3E13967C">
      <w:pPr>
        <w:pStyle w:val="38"/>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A629CFD">
      <w:pPr>
        <w:pStyle w:val="38"/>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8D99211">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3.5排序与推荐。</w:t>
      </w:r>
      <w:r>
        <w:rPr>
          <w:rFonts w:hint="eastAsia" w:ascii="仿宋" w:hAnsi="仿宋" w:eastAsia="仿宋" w:cs="仿宋"/>
          <w:color w:val="auto"/>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 w:hAnsi="仿宋" w:eastAsia="仿宋" w:cs="仿宋"/>
          <w:b/>
          <w:bCs/>
          <w:color w:val="auto"/>
          <w:sz w:val="24"/>
          <w:szCs w:val="24"/>
          <w:highlight w:val="none"/>
        </w:rPr>
        <w:t>本项目只推荐评审综合得分最高的投标人为中标候选人。</w:t>
      </w:r>
    </w:p>
    <w:p w14:paraId="7F250593">
      <w:pPr>
        <w:spacing w:line="400" w:lineRule="exact"/>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4ABA035">
      <w:pPr>
        <w:spacing w:line="400" w:lineRule="exact"/>
        <w:ind w:firstLine="472" w:firstLineChars="196"/>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3.6编写评标报告。</w:t>
      </w:r>
      <w:r>
        <w:rPr>
          <w:rFonts w:hint="eastAsia" w:ascii="仿宋" w:hAnsi="仿宋" w:eastAsia="仿宋" w:cs="仿宋"/>
          <w:color w:val="auto"/>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8DEAAD">
      <w:pPr>
        <w:widowControl/>
        <w:shd w:val="clear" w:color="auto" w:fill="FFFFFF"/>
        <w:adjustRightInd/>
        <w:spacing w:line="40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22EA5AC6">
      <w:pPr>
        <w:pStyle w:val="38"/>
        <w:spacing w:before="0" w:line="400" w:lineRule="exact"/>
        <w:ind w:firstLine="472" w:firstLineChars="196"/>
        <w:rPr>
          <w:rFonts w:ascii="仿宋" w:hAnsi="仿宋" w:eastAsia="仿宋" w:cs="仿宋"/>
          <w:color w:val="auto"/>
          <w:szCs w:val="24"/>
          <w:highlight w:val="none"/>
        </w:rPr>
      </w:pPr>
      <w:r>
        <w:rPr>
          <w:rFonts w:hint="eastAsia" w:ascii="仿宋" w:hAnsi="仿宋" w:eastAsia="仿宋" w:cs="仿宋"/>
          <w:b/>
          <w:color w:val="auto"/>
          <w:szCs w:val="24"/>
          <w:highlight w:val="none"/>
        </w:rPr>
        <w:t>4.1投标人澄清、说明或者补正。</w:t>
      </w:r>
      <w:r>
        <w:rPr>
          <w:rFonts w:hint="eastAsia" w:ascii="仿宋" w:hAnsi="仿宋" w:eastAsia="仿宋" w:cs="仿宋"/>
          <w:color w:val="auto"/>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3119E00">
      <w:pPr>
        <w:pStyle w:val="3"/>
        <w:spacing w:line="400" w:lineRule="exact"/>
        <w:ind w:left="544" w:leftChars="228" w:hanging="65" w:hangingChars="27"/>
        <w:rPr>
          <w:rFonts w:ascii="仿宋" w:hAnsi="仿宋" w:eastAsia="仿宋" w:cs="仿宋"/>
          <w:color w:val="auto"/>
          <w:szCs w:val="24"/>
          <w:highlight w:val="none"/>
        </w:rPr>
      </w:pPr>
      <w:r>
        <w:rPr>
          <w:rFonts w:hint="eastAsia" w:ascii="仿宋" w:hAnsi="仿宋" w:eastAsia="仿宋" w:cs="仿宋"/>
          <w:b/>
          <w:color w:val="auto"/>
          <w:szCs w:val="24"/>
          <w:highlight w:val="none"/>
        </w:rPr>
        <w:t>4.2投标无效。</w:t>
      </w:r>
      <w:r>
        <w:rPr>
          <w:rFonts w:hint="eastAsia" w:ascii="仿宋" w:hAnsi="仿宋" w:eastAsia="仿宋" w:cs="仿宋"/>
          <w:color w:val="auto"/>
          <w:szCs w:val="24"/>
          <w:highlight w:val="none"/>
        </w:rPr>
        <w:t>有下列情况之一的，投标无效：</w:t>
      </w:r>
    </w:p>
    <w:p w14:paraId="10B1B49B">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4.2.1投标人不具备招标文件中规定的资格要求的（投标人未提供有效的资格文件的，视为投标人不具备招标文件中规定的资格要求）；</w:t>
      </w:r>
    </w:p>
    <w:p w14:paraId="658F0398">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4.2.2投标文件未按照招标文件要求签署、盖章的；</w:t>
      </w:r>
    </w:p>
    <w:p w14:paraId="2DA1557A">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6740E031">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4.2.4投标文件含有采购人不能接受的附加条件的；</w:t>
      </w:r>
    </w:p>
    <w:p w14:paraId="4E306B08">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4.2.5投标文件中承诺的投标有效期少于招标文件中载明的投标有效期的；</w:t>
      </w:r>
    </w:p>
    <w:p w14:paraId="644F0357">
      <w:pPr>
        <w:snapToGrid w:val="0"/>
        <w:spacing w:line="4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4.2.6投标文件出现不是唯一的、有选择性投标报价的;</w:t>
      </w:r>
    </w:p>
    <w:p w14:paraId="64563722">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4.2.7投标报价超过招标文件中规定的预算金额或者最高限价的;</w:t>
      </w:r>
    </w:p>
    <w:p w14:paraId="4528F8E8">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139CDBE7">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4.2.9投标人对根据修正原则修正后的报价不确认的；</w:t>
      </w:r>
    </w:p>
    <w:p w14:paraId="2F67CCDB">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4.2.10投标人提供虚假材料投标的；</w:t>
      </w:r>
    </w:p>
    <w:p w14:paraId="06156553">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4.2.11投标人有恶意串通、妨碍其他投标人的竞争行为、损害采购人或者其他投标人的合法权益情形的；</w:t>
      </w:r>
    </w:p>
    <w:p w14:paraId="150AF4CC">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4.2.12投标人仅提交备份投标文件，没有在电子交易平台传输递交投标文件的，投标无效；</w:t>
      </w:r>
    </w:p>
    <w:p w14:paraId="7C94EA92">
      <w:pPr>
        <w:tabs>
          <w:tab w:val="left" w:pos="432"/>
        </w:tabs>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4.2.13 投标文件不满足招标文件的其它实质性要求的；</w:t>
      </w:r>
    </w:p>
    <w:p w14:paraId="40AC351A">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4.2.14法律、法规、规章（适用本市的）及省级以上规范性文件（适用本市的）规定的其他无效情形。</w:t>
      </w:r>
    </w:p>
    <w:p w14:paraId="0C736FEF">
      <w:pPr>
        <w:pStyle w:val="3"/>
        <w:snapToGrid w:val="0"/>
        <w:spacing w:line="400" w:lineRule="exact"/>
        <w:ind w:firstLine="472" w:firstLineChars="196"/>
        <w:rPr>
          <w:rFonts w:ascii="仿宋" w:hAnsi="仿宋" w:eastAsia="仿宋" w:cs="仿宋"/>
          <w:color w:val="auto"/>
          <w:szCs w:val="24"/>
          <w:highlight w:val="none"/>
        </w:rPr>
      </w:pPr>
      <w:r>
        <w:rPr>
          <w:rFonts w:hint="eastAsia" w:ascii="仿宋" w:hAnsi="仿宋" w:eastAsia="仿宋" w:cs="仿宋"/>
          <w:b/>
          <w:color w:val="auto"/>
          <w:szCs w:val="24"/>
          <w:highlight w:val="none"/>
        </w:rPr>
        <w:t>4.3.废标。</w:t>
      </w:r>
      <w:r>
        <w:rPr>
          <w:rFonts w:hint="eastAsia" w:ascii="仿宋" w:hAnsi="仿宋" w:eastAsia="仿宋" w:cs="仿宋"/>
          <w:color w:val="auto"/>
          <w:szCs w:val="24"/>
          <w:highlight w:val="none"/>
        </w:rPr>
        <w:t>根据《中华人民共和国政府采购法》第三十六条之规定，在采购中，出现下列情形之一的，应予废标：</w:t>
      </w:r>
    </w:p>
    <w:p w14:paraId="58895B58">
      <w:pPr>
        <w:pStyle w:val="3"/>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4.3.1符合专业条件的供应商或者对招标文件作实质响应的供应商不足3家的；</w:t>
      </w:r>
    </w:p>
    <w:p w14:paraId="42B45760">
      <w:pPr>
        <w:pStyle w:val="3"/>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4.3.2出现影响采购公正的违法、违规行为的；</w:t>
      </w:r>
    </w:p>
    <w:p w14:paraId="2D72F67C">
      <w:pPr>
        <w:pStyle w:val="3"/>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4.3.3投标人的报价均超过了采购预算，采购人不能支付的；</w:t>
      </w:r>
    </w:p>
    <w:p w14:paraId="75ECD0D7">
      <w:pPr>
        <w:pStyle w:val="3"/>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4.3.4因重大变故，采购任务取消的。</w:t>
      </w:r>
    </w:p>
    <w:p w14:paraId="7E09A91C">
      <w:pPr>
        <w:pStyle w:val="3"/>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废标后，采购代理机构应当将废标理由通知所有投标人。</w:t>
      </w:r>
    </w:p>
    <w:p w14:paraId="790411CD">
      <w:pPr>
        <w:pStyle w:val="3"/>
        <w:snapToGrid w:val="0"/>
        <w:spacing w:line="400" w:lineRule="exact"/>
        <w:ind w:firstLine="482"/>
        <w:rPr>
          <w:rFonts w:ascii="仿宋" w:hAnsi="仿宋" w:eastAsia="仿宋" w:cs="仿宋"/>
          <w:color w:val="auto"/>
          <w:szCs w:val="24"/>
          <w:highlight w:val="none"/>
        </w:rPr>
      </w:pPr>
      <w:r>
        <w:rPr>
          <w:rFonts w:hint="eastAsia" w:ascii="仿宋" w:hAnsi="仿宋" w:eastAsia="仿宋" w:cs="仿宋"/>
          <w:b/>
          <w:color w:val="auto"/>
          <w:szCs w:val="24"/>
          <w:highlight w:val="none"/>
        </w:rPr>
        <w:t>4.4.修改招标文件，重新组织采购活动。</w:t>
      </w:r>
      <w:r>
        <w:rPr>
          <w:rFonts w:hint="eastAsia" w:ascii="仿宋" w:hAnsi="仿宋" w:eastAsia="仿宋" w:cs="仿宋"/>
          <w:color w:val="auto"/>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33712B8">
      <w:pPr>
        <w:pStyle w:val="3"/>
        <w:snapToGrid w:val="0"/>
        <w:spacing w:line="400" w:lineRule="exact"/>
        <w:ind w:firstLine="482"/>
        <w:rPr>
          <w:rFonts w:ascii="仿宋" w:hAnsi="仿宋" w:eastAsia="仿宋" w:cs="仿宋"/>
          <w:color w:val="auto"/>
          <w:szCs w:val="24"/>
          <w:highlight w:val="none"/>
        </w:rPr>
      </w:pPr>
      <w:r>
        <w:rPr>
          <w:rFonts w:hint="eastAsia" w:ascii="仿宋" w:hAnsi="仿宋" w:eastAsia="仿宋" w:cs="仿宋"/>
          <w:b/>
          <w:color w:val="auto"/>
          <w:szCs w:val="24"/>
          <w:highlight w:val="none"/>
        </w:rPr>
        <w:t>4.5.重新开展采购。</w:t>
      </w:r>
      <w:r>
        <w:rPr>
          <w:rFonts w:hint="eastAsia" w:ascii="仿宋" w:hAnsi="仿宋" w:eastAsia="仿宋" w:cs="仿宋"/>
          <w:color w:val="auto"/>
          <w:szCs w:val="24"/>
          <w:highlight w:val="none"/>
        </w:rPr>
        <w:t>有政府采购法第七十一条、第七十二条规定的违法行为之一，影响或者可能影响中标、成交结果的，依照下列规定处理：</w:t>
      </w:r>
    </w:p>
    <w:p w14:paraId="5318AB43">
      <w:pPr>
        <w:pStyle w:val="3"/>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4.5.1未确定中标或者中标人的，终止本次政府采购活动，重新开展政府采购活动。</w:t>
      </w:r>
    </w:p>
    <w:p w14:paraId="0F506A10">
      <w:pPr>
        <w:pStyle w:val="3"/>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358C3B27">
      <w:pPr>
        <w:pStyle w:val="3"/>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4.5.3政府采购合同已签订但尚未履行的，撤销合同，从合格的中标或者成交候选人中另行确定中标或者中标人；没有合格的中标或者成交候选人的，重新开展政府采购活动。</w:t>
      </w:r>
    </w:p>
    <w:p w14:paraId="316CBBE9">
      <w:pPr>
        <w:pStyle w:val="3"/>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4.5.4政府采购合同已经履行，给采购人、供应商造成损失的，由责任人承担赔偿责任。</w:t>
      </w:r>
    </w:p>
    <w:p w14:paraId="3A8771FB">
      <w:pPr>
        <w:pStyle w:val="3"/>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4.5.5政府采购当事人有其他违反政府采购法或者政府采购法实施条例等法律法规规定的行为，经改正后仍然影响或者可能影响中标、成交结果或者依法被认定为中标、成交无效的，依照4.5.1-4.5.4规定处理。</w:t>
      </w:r>
    </w:p>
    <w:p w14:paraId="36A229B4">
      <w:pPr>
        <w:spacing w:line="400" w:lineRule="exact"/>
        <w:rPr>
          <w:rFonts w:ascii="仿宋" w:hAnsi="仿宋" w:eastAsia="仿宋" w:cs="仿宋"/>
          <w:color w:val="auto"/>
          <w:highlight w:val="none"/>
        </w:rPr>
      </w:pPr>
      <w:r>
        <w:rPr>
          <w:rFonts w:hint="eastAsia" w:ascii="仿宋" w:hAnsi="仿宋" w:eastAsia="仿宋" w:cs="仿宋"/>
          <w:color w:val="auto"/>
          <w:highlight w:val="none"/>
        </w:rPr>
        <w:br w:type="page"/>
      </w:r>
    </w:p>
    <w:p w14:paraId="0B96895B">
      <w:pPr>
        <w:pStyle w:val="4"/>
        <w:spacing w:after="0" w:line="240" w:lineRule="auto"/>
        <w:jc w:val="center"/>
        <w:rPr>
          <w:rFonts w:ascii="宋体" w:hAnsi="宋体" w:cs="宋体"/>
          <w:color w:val="auto"/>
          <w:sz w:val="36"/>
          <w:szCs w:val="36"/>
          <w:highlight w:val="none"/>
        </w:rPr>
      </w:pPr>
      <w:bookmarkStart w:id="400" w:name="_Toc12482"/>
      <w:bookmarkStart w:id="401" w:name="_Toc14586"/>
      <w:bookmarkStart w:id="402" w:name="_Toc6764"/>
      <w:bookmarkStart w:id="403" w:name="_Toc19948"/>
      <w:bookmarkStart w:id="404" w:name="_Toc103663570"/>
      <w:r>
        <w:rPr>
          <w:rFonts w:hint="eastAsia" w:ascii="宋体" w:hAnsi="宋体" w:cs="宋体"/>
          <w:color w:val="auto"/>
          <w:sz w:val="36"/>
          <w:szCs w:val="36"/>
          <w:highlight w:val="none"/>
        </w:rPr>
        <w:t>第五章 拟签订的合同文本</w:t>
      </w:r>
      <w:bookmarkEnd w:id="400"/>
      <w:bookmarkEnd w:id="401"/>
      <w:bookmarkEnd w:id="402"/>
    </w:p>
    <w:p w14:paraId="45ABDBC8">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16E0CC02">
      <w:pPr>
        <w:spacing w:line="480" w:lineRule="auto"/>
        <w:jc w:val="center"/>
        <w:rPr>
          <w:rFonts w:ascii="楷体" w:hAnsi="楷体" w:eastAsia="楷体"/>
          <w:b/>
          <w:color w:val="auto"/>
          <w:sz w:val="28"/>
          <w:szCs w:val="28"/>
          <w:highlight w:val="none"/>
        </w:rPr>
      </w:pPr>
    </w:p>
    <w:p w14:paraId="230EB4F8">
      <w:pPr>
        <w:spacing w:line="480" w:lineRule="auto"/>
        <w:jc w:val="center"/>
        <w:rPr>
          <w:rFonts w:ascii="仿宋" w:hAnsi="仿宋" w:eastAsia="仿宋"/>
          <w:b/>
          <w:color w:val="auto"/>
          <w:sz w:val="24"/>
          <w:highlight w:val="none"/>
        </w:rPr>
      </w:pPr>
    </w:p>
    <w:p w14:paraId="6005F563">
      <w:pPr>
        <w:spacing w:line="480" w:lineRule="auto"/>
        <w:jc w:val="center"/>
        <w:rPr>
          <w:rFonts w:ascii="仿宋" w:hAnsi="仿宋" w:eastAsia="仿宋"/>
          <w:b/>
          <w:color w:val="auto"/>
          <w:sz w:val="24"/>
          <w:highlight w:val="none"/>
        </w:rPr>
      </w:pPr>
    </w:p>
    <w:p w14:paraId="12E204E0">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政府采购中小企业预留合同参考范本</w:t>
      </w:r>
    </w:p>
    <w:p w14:paraId="6097BC71">
      <w:pPr>
        <w:spacing w:line="480" w:lineRule="auto"/>
        <w:jc w:val="center"/>
        <w:rPr>
          <w:rFonts w:ascii="宋体" w:hAnsi="宋体" w:cs="仿宋_GB2312"/>
          <w:b/>
          <w:color w:val="auto"/>
          <w:sz w:val="36"/>
          <w:szCs w:val="36"/>
          <w:highlight w:val="none"/>
        </w:rPr>
      </w:pPr>
      <w:r>
        <w:rPr>
          <w:rFonts w:hint="eastAsia" w:ascii="宋体" w:hAnsi="宋体" w:cs="仿宋_GB2312"/>
          <w:b/>
          <w:color w:val="auto"/>
          <w:sz w:val="36"/>
          <w:szCs w:val="36"/>
          <w:highlight w:val="none"/>
        </w:rPr>
        <w:t>（服务类）</w:t>
      </w:r>
    </w:p>
    <w:p w14:paraId="630DEBFD">
      <w:pPr>
        <w:pStyle w:val="46"/>
        <w:rPr>
          <w:rFonts w:ascii="仿宋" w:hAnsi="仿宋" w:eastAsia="仿宋"/>
          <w:color w:val="auto"/>
          <w:szCs w:val="24"/>
          <w:highlight w:val="none"/>
        </w:rPr>
      </w:pPr>
    </w:p>
    <w:p w14:paraId="16E51D04">
      <w:pPr>
        <w:pStyle w:val="46"/>
        <w:rPr>
          <w:rFonts w:ascii="仿宋" w:hAnsi="仿宋" w:eastAsia="仿宋"/>
          <w:color w:val="auto"/>
          <w:szCs w:val="24"/>
          <w:highlight w:val="none"/>
        </w:rPr>
      </w:pPr>
    </w:p>
    <w:p w14:paraId="18F2050D">
      <w:pPr>
        <w:pStyle w:val="46"/>
        <w:jc w:val="center"/>
        <w:rPr>
          <w:rFonts w:ascii="仿宋" w:hAnsi="仿宋" w:eastAsia="仿宋"/>
          <w:color w:val="auto"/>
          <w:szCs w:val="24"/>
          <w:highlight w:val="none"/>
        </w:rPr>
      </w:pPr>
    </w:p>
    <w:p w14:paraId="73F9B06F">
      <w:pPr>
        <w:pStyle w:val="46"/>
        <w:ind w:left="0" w:leftChars="0" w:firstLine="0" w:firstLineChars="0"/>
        <w:jc w:val="center"/>
        <w:rPr>
          <w:rFonts w:ascii="仿宋" w:hAnsi="仿宋" w:eastAsia="仿宋"/>
          <w:b/>
          <w:color w:val="auto"/>
          <w:szCs w:val="24"/>
          <w:highlight w:val="none"/>
        </w:rPr>
      </w:pPr>
      <w:r>
        <w:rPr>
          <w:rFonts w:hint="eastAsia" w:ascii="仿宋" w:hAnsi="仿宋" w:eastAsia="仿宋"/>
          <w:b/>
          <w:color w:val="auto"/>
          <w:szCs w:val="24"/>
          <w:highlight w:val="none"/>
        </w:rPr>
        <w:t>第一部分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合同书</w:t>
      </w:r>
    </w:p>
    <w:p w14:paraId="2980DA85">
      <w:pPr>
        <w:pStyle w:val="46"/>
        <w:rPr>
          <w:rFonts w:ascii="仿宋" w:hAnsi="仿宋" w:eastAsia="仿宋"/>
          <w:color w:val="auto"/>
          <w:szCs w:val="24"/>
          <w:highlight w:val="none"/>
        </w:rPr>
      </w:pPr>
    </w:p>
    <w:p w14:paraId="70F7BAD5">
      <w:pPr>
        <w:pStyle w:val="46"/>
        <w:rPr>
          <w:rFonts w:ascii="仿宋" w:hAnsi="仿宋" w:eastAsia="仿宋"/>
          <w:color w:val="auto"/>
          <w:szCs w:val="24"/>
          <w:highlight w:val="none"/>
        </w:rPr>
      </w:pPr>
    </w:p>
    <w:p w14:paraId="55711EEB">
      <w:pPr>
        <w:spacing w:before="120" w:line="22" w:lineRule="atLeast"/>
        <w:rPr>
          <w:rFonts w:ascii="仿宋" w:hAnsi="仿宋" w:eastAsia="仿宋"/>
          <w:color w:val="auto"/>
          <w:sz w:val="24"/>
          <w:highlight w:val="none"/>
        </w:rPr>
      </w:pPr>
    </w:p>
    <w:p w14:paraId="0B8314D4">
      <w:pPr>
        <w:spacing w:before="120" w:line="22" w:lineRule="atLeast"/>
        <w:ind w:firstLine="1920" w:firstLineChars="80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795003E8">
      <w:pPr>
        <w:ind w:firstLine="1920" w:firstLineChars="800"/>
        <w:rPr>
          <w:rFonts w:ascii="仿宋" w:hAnsi="仿宋" w:eastAsia="仿宋"/>
          <w:color w:val="auto"/>
          <w:sz w:val="24"/>
          <w:highlight w:val="none"/>
        </w:rPr>
      </w:pPr>
    </w:p>
    <w:p w14:paraId="44B27175">
      <w:pPr>
        <w:spacing w:before="120" w:line="22" w:lineRule="atLeast"/>
        <w:ind w:firstLine="1920" w:firstLineChars="800"/>
        <w:rPr>
          <w:rFonts w:ascii="仿宋" w:hAnsi="仿宋" w:eastAsia="仿宋"/>
          <w:color w:val="auto"/>
          <w:sz w:val="24"/>
          <w:highlight w:val="none"/>
          <w:u w:val="single"/>
        </w:rPr>
      </w:pPr>
      <w:r>
        <w:rPr>
          <w:rFonts w:hint="eastAsia" w:ascii="仿宋" w:hAnsi="仿宋" w:eastAsia="仿宋"/>
          <w:color w:val="auto"/>
          <w:sz w:val="24"/>
          <w:highlight w:val="none"/>
        </w:rPr>
        <w:t>采购人：</w:t>
      </w:r>
      <w:r>
        <w:rPr>
          <w:rFonts w:ascii="仿宋" w:hAnsi="仿宋" w:eastAsia="仿宋"/>
          <w:color w:val="auto"/>
          <w:sz w:val="24"/>
          <w:highlight w:val="none"/>
          <w:u w:val="single"/>
        </w:rPr>
        <w:t xml:space="preserve">                                       </w:t>
      </w:r>
    </w:p>
    <w:p w14:paraId="0735179B">
      <w:pPr>
        <w:spacing w:before="120" w:line="22" w:lineRule="atLeast"/>
        <w:ind w:firstLine="1920" w:firstLineChars="800"/>
        <w:rPr>
          <w:rFonts w:ascii="仿宋" w:hAnsi="仿宋" w:eastAsia="仿宋"/>
          <w:color w:val="auto"/>
          <w:sz w:val="24"/>
          <w:highlight w:val="none"/>
        </w:rPr>
      </w:pPr>
    </w:p>
    <w:p w14:paraId="32DECDCF">
      <w:pPr>
        <w:spacing w:before="120" w:line="22" w:lineRule="atLeast"/>
        <w:ind w:firstLine="1920" w:firstLineChars="800"/>
        <w:rPr>
          <w:rFonts w:ascii="仿宋" w:hAnsi="仿宋" w:eastAsia="仿宋"/>
          <w:color w:val="auto"/>
          <w:sz w:val="24"/>
          <w:highlight w:val="none"/>
          <w:u w:val="single"/>
        </w:rPr>
      </w:pPr>
      <w:r>
        <w:rPr>
          <w:rFonts w:hint="eastAsia" w:ascii="仿宋" w:hAnsi="仿宋" w:eastAsia="仿宋"/>
          <w:color w:val="auto"/>
          <w:sz w:val="24"/>
          <w:highlight w:val="none"/>
        </w:rPr>
        <w:t>供应商：</w:t>
      </w:r>
      <w:r>
        <w:rPr>
          <w:rFonts w:ascii="仿宋" w:hAnsi="仿宋" w:eastAsia="仿宋"/>
          <w:color w:val="auto"/>
          <w:sz w:val="24"/>
          <w:highlight w:val="none"/>
          <w:u w:val="single"/>
        </w:rPr>
        <w:t xml:space="preserve">                                       </w:t>
      </w:r>
    </w:p>
    <w:p w14:paraId="392D3A6E">
      <w:pPr>
        <w:spacing w:before="120" w:line="22" w:lineRule="atLeast"/>
        <w:ind w:firstLine="1920" w:firstLineChars="800"/>
        <w:rPr>
          <w:rFonts w:ascii="仿宋" w:hAnsi="仿宋" w:eastAsia="仿宋"/>
          <w:color w:val="auto"/>
          <w:sz w:val="24"/>
          <w:highlight w:val="none"/>
        </w:rPr>
      </w:pPr>
    </w:p>
    <w:p w14:paraId="28DE3D3C">
      <w:pPr>
        <w:spacing w:before="120" w:line="22" w:lineRule="atLeast"/>
        <w:ind w:firstLine="1920" w:firstLineChars="8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06C4C16A">
      <w:pPr>
        <w:spacing w:before="120" w:line="22" w:lineRule="atLeast"/>
        <w:ind w:firstLine="1920" w:firstLineChars="800"/>
        <w:rPr>
          <w:rFonts w:ascii="仿宋" w:hAnsi="仿宋" w:eastAsia="仿宋"/>
          <w:color w:val="auto"/>
          <w:sz w:val="24"/>
          <w:highlight w:val="none"/>
        </w:rPr>
      </w:pPr>
    </w:p>
    <w:p w14:paraId="41088DBD">
      <w:pPr>
        <w:spacing w:before="120" w:line="22" w:lineRule="atLeast"/>
        <w:ind w:firstLine="1920" w:firstLineChars="8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627FE67F">
      <w:pPr>
        <w:widowControl/>
        <w:jc w:val="left"/>
        <w:rPr>
          <w:rFonts w:ascii="仿宋" w:hAnsi="仿宋" w:eastAsia="仿宋"/>
          <w:color w:val="auto"/>
          <w:sz w:val="24"/>
          <w:highlight w:val="none"/>
        </w:rPr>
        <w:sectPr>
          <w:headerReference r:id="rId15" w:type="default"/>
          <w:footerReference r:id="rId16" w:type="default"/>
          <w:pgSz w:w="11905" w:h="16838"/>
          <w:pgMar w:top="1474" w:right="1247" w:bottom="1474" w:left="1247" w:header="851" w:footer="850" w:gutter="0"/>
          <w:cols w:space="720" w:num="1"/>
          <w:docGrid w:linePitch="1" w:charSpace="0"/>
        </w:sectPr>
      </w:pPr>
    </w:p>
    <w:p w14:paraId="340D238B">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w:t>
      </w:r>
      <w:r>
        <w:rPr>
          <w:rFonts w:hint="eastAsia" w:ascii="仿宋" w:hAnsi="仿宋" w:eastAsia="仿宋" w:cs="仿宋"/>
          <w:color w:val="auto"/>
          <w:sz w:val="24"/>
          <w:highlight w:val="none"/>
          <w:u w:val="single"/>
        </w:rPr>
        <w:t>30日</w:t>
      </w:r>
      <w:r>
        <w:rPr>
          <w:rFonts w:hint="eastAsia" w:ascii="仿宋" w:hAnsi="仿宋" w:eastAsia="仿宋" w:cs="仿宋"/>
          <w:color w:val="auto"/>
          <w:sz w:val="24"/>
          <w:highlight w:val="none"/>
        </w:rPr>
        <w:t>内</w:t>
      </w:r>
      <w:r>
        <w:rPr>
          <w:rFonts w:hint="eastAsia" w:ascii="仿宋" w:hAnsi="仿宋" w:eastAsia="仿宋"/>
          <w:color w:val="auto"/>
          <w:sz w:val="24"/>
          <w:highlight w:val="none"/>
        </w:rPr>
        <w:t>，按照采购文件确定的事项签订本合同。</w:t>
      </w:r>
    </w:p>
    <w:p w14:paraId="018642C1">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1C11D2AD">
      <w:pPr>
        <w:spacing w:after="40" w:line="400" w:lineRule="exact"/>
        <w:ind w:firstLine="482" w:firstLineChars="200"/>
        <w:rPr>
          <w:rFonts w:ascii="仿宋" w:hAnsi="仿宋" w:eastAsia="仿宋"/>
          <w:b/>
          <w:color w:val="auto"/>
          <w:sz w:val="24"/>
          <w:szCs w:val="24"/>
          <w:highlight w:val="none"/>
        </w:rPr>
      </w:pPr>
      <w:bookmarkStart w:id="405" w:name="_Toc19420"/>
      <w:bookmarkStart w:id="406" w:name="_Toc3029"/>
      <w:bookmarkStart w:id="407" w:name="_Toc24059"/>
      <w:bookmarkStart w:id="408" w:name="_Toc2232"/>
      <w:r>
        <w:rPr>
          <w:rFonts w:hint="eastAsia" w:ascii="仿宋" w:hAnsi="仿宋" w:eastAsia="仿宋"/>
          <w:b/>
          <w:color w:val="auto"/>
          <w:sz w:val="24"/>
          <w:szCs w:val="24"/>
          <w:highlight w:val="none"/>
        </w:rPr>
        <w:t>1.1、合同组成部分</w:t>
      </w:r>
      <w:bookmarkEnd w:id="405"/>
      <w:bookmarkEnd w:id="406"/>
      <w:bookmarkEnd w:id="407"/>
      <w:bookmarkEnd w:id="408"/>
    </w:p>
    <w:p w14:paraId="476134E5">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D855BB">
      <w:pPr>
        <w:spacing w:line="400" w:lineRule="exact"/>
        <w:ind w:firstLine="482" w:firstLineChars="200"/>
        <w:rPr>
          <w:rFonts w:ascii="仿宋" w:hAnsi="仿宋" w:eastAsia="仿宋"/>
          <w:color w:val="auto"/>
          <w:sz w:val="24"/>
          <w:highlight w:val="none"/>
        </w:rPr>
      </w:pPr>
      <w:r>
        <w:rPr>
          <w:rFonts w:ascii="仿宋" w:hAnsi="仿宋" w:eastAsia="仿宋"/>
          <w:b/>
          <w:bCs/>
          <w:color w:val="auto"/>
          <w:sz w:val="24"/>
          <w:highlight w:val="none"/>
        </w:rPr>
        <w:t>1.</w:t>
      </w:r>
      <w:r>
        <w:rPr>
          <w:rFonts w:hint="eastAsia" w:ascii="仿宋" w:hAnsi="仿宋" w:eastAsia="仿宋"/>
          <w:b/>
          <w:bCs/>
          <w:color w:val="auto"/>
          <w:sz w:val="24"/>
          <w:highlight w:val="none"/>
        </w:rPr>
        <w:t>1.1</w:t>
      </w:r>
      <w:r>
        <w:rPr>
          <w:rFonts w:hint="eastAsia" w:ascii="仿宋" w:hAnsi="仿宋" w:eastAsia="仿宋"/>
          <w:color w:val="auto"/>
          <w:sz w:val="24"/>
          <w:highlight w:val="none"/>
        </w:rPr>
        <w:t>本合同及其补充合同、变更协议；</w:t>
      </w:r>
    </w:p>
    <w:p w14:paraId="6404480E">
      <w:pPr>
        <w:spacing w:line="400" w:lineRule="exact"/>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1.1.2</w:t>
      </w:r>
      <w:r>
        <w:rPr>
          <w:rFonts w:hint="eastAsia" w:ascii="仿宋" w:hAnsi="仿宋" w:eastAsia="仿宋"/>
          <w:color w:val="auto"/>
          <w:sz w:val="24"/>
          <w:highlight w:val="none"/>
        </w:rPr>
        <w:t>中标通知书；</w:t>
      </w:r>
    </w:p>
    <w:p w14:paraId="49EFB7C3">
      <w:pPr>
        <w:spacing w:line="400" w:lineRule="exact"/>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1.1.3</w:t>
      </w:r>
      <w:r>
        <w:rPr>
          <w:rFonts w:hint="eastAsia" w:ascii="仿宋" w:hAnsi="仿宋" w:eastAsia="仿宋"/>
          <w:color w:val="auto"/>
          <w:sz w:val="24"/>
          <w:highlight w:val="none"/>
        </w:rPr>
        <w:t>投标文件（含澄清或者说明文件）；</w:t>
      </w:r>
    </w:p>
    <w:p w14:paraId="584D1DA5">
      <w:pPr>
        <w:spacing w:line="400" w:lineRule="exact"/>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1.1.4</w:t>
      </w:r>
      <w:r>
        <w:rPr>
          <w:rFonts w:hint="eastAsia" w:ascii="仿宋" w:hAnsi="仿宋" w:eastAsia="仿宋"/>
          <w:color w:val="auto"/>
          <w:sz w:val="24"/>
          <w:highlight w:val="none"/>
        </w:rPr>
        <w:t>招标文件（含澄清或者修改文件）；</w:t>
      </w:r>
    </w:p>
    <w:p w14:paraId="16332E3A">
      <w:pPr>
        <w:spacing w:line="400" w:lineRule="exact"/>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1.1.5</w:t>
      </w:r>
      <w:r>
        <w:rPr>
          <w:rFonts w:hint="eastAsia" w:ascii="仿宋" w:hAnsi="仿宋" w:eastAsia="仿宋"/>
          <w:color w:val="auto"/>
          <w:sz w:val="24"/>
          <w:highlight w:val="none"/>
        </w:rPr>
        <w:t>其他相关采购文件。</w:t>
      </w:r>
    </w:p>
    <w:p w14:paraId="3C3A77B5">
      <w:pPr>
        <w:spacing w:before="40" w:after="40" w:line="400" w:lineRule="exact"/>
        <w:ind w:firstLine="482" w:firstLineChars="200"/>
        <w:outlineLvl w:val="0"/>
        <w:rPr>
          <w:rFonts w:ascii="仿宋" w:hAnsi="仿宋" w:eastAsia="仿宋" w:cs="仿宋"/>
          <w:b/>
          <w:color w:val="auto"/>
          <w:sz w:val="24"/>
          <w:szCs w:val="24"/>
          <w:highlight w:val="none"/>
        </w:rPr>
      </w:pPr>
      <w:bookmarkStart w:id="409" w:name="_Toc22185"/>
      <w:bookmarkStart w:id="410" w:name="_Toc18585"/>
      <w:bookmarkStart w:id="411" w:name="_Toc6773"/>
      <w:bookmarkStart w:id="412" w:name="_Toc2918"/>
      <w:bookmarkStart w:id="413" w:name="_Toc6311"/>
      <w:bookmarkStart w:id="414" w:name="_Toc21631"/>
      <w:bookmarkStart w:id="415" w:name="_Toc21551"/>
      <w:bookmarkStart w:id="416" w:name="_Toc23292"/>
      <w:bookmarkStart w:id="417" w:name="_Toc17027"/>
      <w:r>
        <w:rPr>
          <w:rFonts w:hint="eastAsia" w:ascii="仿宋" w:hAnsi="仿宋" w:eastAsia="仿宋" w:cs="仿宋"/>
          <w:b/>
          <w:color w:val="auto"/>
          <w:sz w:val="24"/>
          <w:szCs w:val="24"/>
          <w:highlight w:val="none"/>
        </w:rPr>
        <w:t>1.2、标的</w:t>
      </w:r>
      <w:bookmarkEnd w:id="409"/>
      <w:bookmarkEnd w:id="410"/>
      <w:bookmarkEnd w:id="411"/>
      <w:bookmarkEnd w:id="412"/>
      <w:bookmarkEnd w:id="413"/>
    </w:p>
    <w:p w14:paraId="61517538">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1.2.1</w:t>
      </w:r>
      <w:r>
        <w:rPr>
          <w:rFonts w:hint="eastAsia" w:ascii="仿宋" w:hAnsi="仿宋" w:eastAsia="仿宋" w:cs="仿宋"/>
          <w:color w:val="auto"/>
          <w:sz w:val="24"/>
          <w:highlight w:val="none"/>
        </w:rPr>
        <w:t>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8493DA9">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1.2.2</w:t>
      </w:r>
      <w:r>
        <w:rPr>
          <w:rFonts w:hint="eastAsia" w:ascii="仿宋" w:hAnsi="仿宋" w:eastAsia="仿宋" w:cs="仿宋"/>
          <w:color w:val="auto"/>
          <w:sz w:val="24"/>
          <w:highlight w:val="none"/>
        </w:rPr>
        <w:t>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674B10A">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1.2.3</w:t>
      </w:r>
      <w:r>
        <w:rPr>
          <w:rFonts w:hint="eastAsia" w:ascii="仿宋" w:hAnsi="仿宋" w:eastAsia="仿宋" w:cs="仿宋"/>
          <w:color w:val="auto"/>
          <w:sz w:val="24"/>
          <w:highlight w:val="none"/>
        </w:rPr>
        <w:t>技术保障：</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A23E38A">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1.2.4</w:t>
      </w:r>
      <w:r>
        <w:rPr>
          <w:rFonts w:hint="eastAsia" w:ascii="仿宋" w:hAnsi="仿宋" w:eastAsia="仿宋" w:cs="仿宋"/>
          <w:color w:val="auto"/>
          <w:sz w:val="24"/>
          <w:highlight w:val="none"/>
        </w:rPr>
        <w:t>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966C6BF">
      <w:pPr>
        <w:pStyle w:val="49"/>
        <w:spacing w:before="0" w:beforeAutospacing="0" w:after="0" w:afterAutospacing="0" w:line="400" w:lineRule="exact"/>
        <w:ind w:firstLine="482" w:firstLineChars="200"/>
        <w:jc w:val="both"/>
        <w:rPr>
          <w:rFonts w:ascii="仿宋" w:hAnsi="仿宋" w:eastAsia="仿宋" w:cs="仿宋"/>
          <w:color w:val="auto"/>
          <w:highlight w:val="none"/>
        </w:rPr>
      </w:pPr>
      <w:r>
        <w:rPr>
          <w:rFonts w:hint="eastAsia" w:ascii="仿宋" w:hAnsi="仿宋" w:eastAsia="仿宋" w:cs="仿宋"/>
          <w:b/>
          <w:bCs/>
          <w:color w:val="auto"/>
          <w:highlight w:val="none"/>
        </w:rPr>
        <w:t>1.2.5</w:t>
      </w:r>
      <w:r>
        <w:rPr>
          <w:rFonts w:hint="eastAsia" w:ascii="仿宋" w:hAnsi="仿宋" w:eastAsia="仿宋" w:cs="仿宋"/>
          <w:color w:val="auto"/>
          <w:highlight w:val="none"/>
        </w:rPr>
        <w:t>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64D58F20">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1.2.5.1</w:t>
      </w:r>
      <w:r>
        <w:rPr>
          <w:rFonts w:hint="eastAsia" w:ascii="仿宋" w:hAnsi="仿宋" w:eastAsia="仿宋" w:cs="仿宋"/>
          <w:color w:val="auto"/>
          <w:sz w:val="24"/>
          <w:highlight w:val="none"/>
        </w:rPr>
        <w:t>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5DCCD85">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1.2.5.2</w:t>
      </w:r>
      <w:r>
        <w:rPr>
          <w:rFonts w:hint="eastAsia" w:ascii="仿宋" w:hAnsi="仿宋" w:eastAsia="仿宋" w:cs="仿宋"/>
          <w:color w:val="auto"/>
          <w:sz w:val="24"/>
          <w:highlight w:val="none"/>
        </w:rPr>
        <w:t>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46A2687">
      <w:pPr>
        <w:spacing w:line="40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highlight w:val="none"/>
        </w:rPr>
        <w:t>1.2.5.3</w:t>
      </w:r>
      <w:r>
        <w:rPr>
          <w:rFonts w:hint="eastAsia" w:ascii="仿宋" w:hAnsi="仿宋" w:eastAsia="仿宋" w:cs="仿宋"/>
          <w:color w:val="auto"/>
          <w:sz w:val="24"/>
          <w:highlight w:val="none"/>
        </w:rPr>
        <w:t>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bookmarkEnd w:id="414"/>
    <w:bookmarkEnd w:id="415"/>
    <w:bookmarkEnd w:id="416"/>
    <w:bookmarkEnd w:id="417"/>
    <w:p w14:paraId="1E7D9E0D">
      <w:pPr>
        <w:spacing w:before="40" w:after="40" w:line="400" w:lineRule="exact"/>
        <w:ind w:firstLine="482" w:firstLineChars="200"/>
        <w:outlineLvl w:val="0"/>
        <w:rPr>
          <w:rFonts w:ascii="仿宋" w:hAnsi="仿宋" w:eastAsia="仿宋" w:cs="仿宋"/>
          <w:b/>
          <w:color w:val="auto"/>
          <w:sz w:val="24"/>
          <w:szCs w:val="24"/>
          <w:highlight w:val="none"/>
        </w:rPr>
      </w:pPr>
      <w:bookmarkStart w:id="418" w:name="_Toc19554"/>
      <w:bookmarkStart w:id="419" w:name="_Toc21423"/>
      <w:bookmarkStart w:id="420" w:name="_Toc27250"/>
      <w:bookmarkStart w:id="421" w:name="_Toc331685783"/>
      <w:bookmarkStart w:id="422" w:name="_Toc30514"/>
      <w:r>
        <w:rPr>
          <w:rFonts w:hint="eastAsia" w:ascii="仿宋" w:hAnsi="仿宋" w:eastAsia="仿宋" w:cs="仿宋"/>
          <w:b/>
          <w:color w:val="auto"/>
          <w:sz w:val="24"/>
          <w:szCs w:val="24"/>
          <w:highlight w:val="none"/>
        </w:rPr>
        <w:t>1.3、价款</w:t>
      </w:r>
    </w:p>
    <w:p w14:paraId="3F2A2867">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3B7DBC36">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1.3.1</w:t>
      </w:r>
      <w:r>
        <w:rPr>
          <w:rFonts w:hint="eastAsia" w:ascii="仿宋" w:hAnsi="仿宋" w:eastAsia="仿宋" w:cs="仿宋"/>
          <w:color w:val="auto"/>
          <w:sz w:val="24"/>
          <w:highlight w:val="none"/>
        </w:rPr>
        <w:t>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CBCFD4D">
      <w:pPr>
        <w:spacing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F06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196482">
            <w:pPr>
              <w:pStyle w:val="48"/>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648FD656">
            <w:pPr>
              <w:pStyle w:val="48"/>
              <w:spacing w:line="40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6245E2A1">
            <w:pPr>
              <w:pStyle w:val="48"/>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965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BC9204">
            <w:pPr>
              <w:pStyle w:val="48"/>
              <w:spacing w:line="400" w:lineRule="exact"/>
              <w:ind w:firstLine="200"/>
              <w:jc w:val="center"/>
              <w:rPr>
                <w:rFonts w:ascii="仿宋" w:hAnsi="仿宋" w:eastAsia="仿宋" w:cs="仿宋"/>
                <w:color w:val="auto"/>
                <w:sz w:val="24"/>
                <w:szCs w:val="24"/>
                <w:highlight w:val="none"/>
              </w:rPr>
            </w:pPr>
          </w:p>
        </w:tc>
        <w:tc>
          <w:tcPr>
            <w:tcW w:w="3402" w:type="dxa"/>
            <w:vAlign w:val="center"/>
          </w:tcPr>
          <w:p w14:paraId="2809D4B2">
            <w:pPr>
              <w:pStyle w:val="48"/>
              <w:spacing w:line="400" w:lineRule="exact"/>
              <w:ind w:firstLine="200"/>
              <w:jc w:val="center"/>
              <w:rPr>
                <w:rFonts w:ascii="仿宋" w:hAnsi="仿宋" w:eastAsia="仿宋" w:cs="仿宋"/>
                <w:color w:val="auto"/>
                <w:sz w:val="24"/>
                <w:szCs w:val="24"/>
                <w:highlight w:val="none"/>
              </w:rPr>
            </w:pPr>
          </w:p>
        </w:tc>
        <w:tc>
          <w:tcPr>
            <w:tcW w:w="2552" w:type="dxa"/>
            <w:vAlign w:val="center"/>
          </w:tcPr>
          <w:p w14:paraId="57A89015">
            <w:pPr>
              <w:pStyle w:val="48"/>
              <w:spacing w:line="400" w:lineRule="exact"/>
              <w:ind w:firstLine="200"/>
              <w:jc w:val="center"/>
              <w:rPr>
                <w:rFonts w:ascii="仿宋" w:hAnsi="仿宋" w:eastAsia="仿宋" w:cs="仿宋"/>
                <w:color w:val="auto"/>
                <w:sz w:val="24"/>
                <w:szCs w:val="24"/>
                <w:highlight w:val="none"/>
              </w:rPr>
            </w:pPr>
          </w:p>
        </w:tc>
      </w:tr>
      <w:tr w14:paraId="14B4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670D93">
            <w:pPr>
              <w:pStyle w:val="48"/>
              <w:spacing w:line="400" w:lineRule="exact"/>
              <w:ind w:firstLine="200"/>
              <w:jc w:val="center"/>
              <w:rPr>
                <w:rFonts w:ascii="仿宋" w:hAnsi="仿宋" w:eastAsia="仿宋" w:cs="仿宋"/>
                <w:color w:val="auto"/>
                <w:sz w:val="24"/>
                <w:szCs w:val="24"/>
                <w:highlight w:val="none"/>
              </w:rPr>
            </w:pPr>
          </w:p>
        </w:tc>
        <w:tc>
          <w:tcPr>
            <w:tcW w:w="3402" w:type="dxa"/>
            <w:vAlign w:val="center"/>
          </w:tcPr>
          <w:p w14:paraId="37E417EE">
            <w:pPr>
              <w:pStyle w:val="48"/>
              <w:spacing w:line="400" w:lineRule="exact"/>
              <w:ind w:firstLine="200"/>
              <w:jc w:val="center"/>
              <w:rPr>
                <w:rFonts w:ascii="仿宋" w:hAnsi="仿宋" w:eastAsia="仿宋" w:cs="仿宋"/>
                <w:color w:val="auto"/>
                <w:sz w:val="24"/>
                <w:szCs w:val="24"/>
                <w:highlight w:val="none"/>
              </w:rPr>
            </w:pPr>
          </w:p>
        </w:tc>
        <w:tc>
          <w:tcPr>
            <w:tcW w:w="2552" w:type="dxa"/>
            <w:vAlign w:val="center"/>
          </w:tcPr>
          <w:p w14:paraId="17D5CCE2">
            <w:pPr>
              <w:pStyle w:val="48"/>
              <w:spacing w:line="400" w:lineRule="exact"/>
              <w:ind w:firstLine="200"/>
              <w:jc w:val="center"/>
              <w:rPr>
                <w:rFonts w:ascii="仿宋" w:hAnsi="仿宋" w:eastAsia="仿宋" w:cs="仿宋"/>
                <w:color w:val="auto"/>
                <w:sz w:val="24"/>
                <w:szCs w:val="24"/>
                <w:highlight w:val="none"/>
              </w:rPr>
            </w:pPr>
          </w:p>
        </w:tc>
      </w:tr>
      <w:tr w14:paraId="5898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29258F">
            <w:pPr>
              <w:pStyle w:val="48"/>
              <w:spacing w:line="40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402" w:type="dxa"/>
            <w:vAlign w:val="center"/>
          </w:tcPr>
          <w:p w14:paraId="3EF2726D">
            <w:pPr>
              <w:pStyle w:val="48"/>
              <w:spacing w:line="40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552" w:type="dxa"/>
            <w:vAlign w:val="center"/>
          </w:tcPr>
          <w:p w14:paraId="5035DD55">
            <w:pPr>
              <w:pStyle w:val="48"/>
              <w:spacing w:line="40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49D5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FCF5E40">
            <w:pPr>
              <w:pStyle w:val="48"/>
              <w:spacing w:line="40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20F01E11">
            <w:pPr>
              <w:pStyle w:val="48"/>
              <w:spacing w:line="400" w:lineRule="exact"/>
              <w:ind w:firstLine="200"/>
              <w:jc w:val="center"/>
              <w:rPr>
                <w:rFonts w:ascii="仿宋" w:hAnsi="仿宋" w:eastAsia="仿宋" w:cs="仿宋"/>
                <w:color w:val="auto"/>
                <w:sz w:val="24"/>
                <w:szCs w:val="24"/>
                <w:highlight w:val="none"/>
              </w:rPr>
            </w:pPr>
          </w:p>
        </w:tc>
      </w:tr>
    </w:tbl>
    <w:p w14:paraId="0CD951D9">
      <w:pPr>
        <w:spacing w:line="400" w:lineRule="exact"/>
        <w:ind w:firstLine="482" w:firstLineChars="200"/>
        <w:rPr>
          <w:rFonts w:ascii="仿宋" w:hAnsi="仿宋" w:eastAsia="仿宋" w:cs="仿宋"/>
          <w:color w:val="auto"/>
          <w:sz w:val="24"/>
          <w:highlight w:val="none"/>
        </w:rPr>
      </w:pPr>
      <w:bookmarkStart w:id="423" w:name="_Toc30506"/>
      <w:bookmarkStart w:id="424" w:name="_Toc26916"/>
      <w:bookmarkStart w:id="425" w:name="_Toc14993"/>
      <w:bookmarkStart w:id="426" w:name="_Toc3654"/>
      <w:bookmarkStart w:id="427" w:name="_Toc30158"/>
      <w:r>
        <w:rPr>
          <w:rFonts w:hint="eastAsia" w:ascii="仿宋" w:hAnsi="仿宋" w:eastAsia="仿宋" w:cs="仿宋"/>
          <w:b/>
          <w:color w:val="auto"/>
          <w:sz w:val="24"/>
          <w:highlight w:val="none"/>
        </w:rPr>
        <w:t>1.3.2</w:t>
      </w:r>
      <w:r>
        <w:rPr>
          <w:rFonts w:hint="eastAsia" w:ascii="仿宋" w:hAnsi="仿宋" w:eastAsia="仿宋" w:cs="仿宋"/>
          <w:bCs/>
          <w:color w:val="auto"/>
          <w:sz w:val="24"/>
          <w:highlight w:val="none"/>
        </w:rPr>
        <w:t>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447C0E6">
      <w:pPr>
        <w:spacing w:line="400" w:lineRule="exact"/>
        <w:ind w:firstLine="482" w:firstLineChars="200"/>
        <w:rPr>
          <w:color w:val="auto"/>
          <w:highlight w:val="none"/>
        </w:rPr>
      </w:pPr>
      <w:r>
        <w:rPr>
          <w:rFonts w:hint="eastAsia" w:ascii="仿宋" w:hAnsi="仿宋" w:eastAsia="仿宋" w:cs="仿宋"/>
          <w:b/>
          <w:bCs/>
          <w:color w:val="auto"/>
          <w:sz w:val="24"/>
          <w:highlight w:val="none"/>
        </w:rPr>
        <w:t>1.3.3</w:t>
      </w:r>
      <w:r>
        <w:rPr>
          <w:rFonts w:hint="eastAsia" w:ascii="仿宋" w:hAnsi="仿宋" w:eastAsia="仿宋" w:cs="仿宋"/>
          <w:color w:val="auto"/>
          <w:sz w:val="24"/>
          <w:highlight w:val="none"/>
        </w:rPr>
        <w:t>其他计价方式：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bookmarkEnd w:id="423"/>
    <w:bookmarkEnd w:id="424"/>
    <w:bookmarkEnd w:id="425"/>
    <w:bookmarkEnd w:id="426"/>
    <w:bookmarkEnd w:id="427"/>
    <w:p w14:paraId="25DB6265">
      <w:pPr>
        <w:pStyle w:val="49"/>
        <w:spacing w:before="40" w:beforeAutospacing="0" w:after="40" w:afterAutospacing="0" w:line="400" w:lineRule="exact"/>
        <w:ind w:firstLine="482" w:firstLineChars="200"/>
        <w:jc w:val="both"/>
        <w:rPr>
          <w:rFonts w:ascii="仿宋" w:hAnsi="仿宋" w:eastAsia="仿宋" w:cs="仿宋"/>
          <w:b/>
          <w:color w:val="auto"/>
          <w:szCs w:val="24"/>
          <w:highlight w:val="none"/>
        </w:rPr>
      </w:pPr>
      <w:r>
        <w:rPr>
          <w:rFonts w:hint="eastAsia" w:ascii="仿宋" w:hAnsi="仿宋" w:eastAsia="仿宋" w:cs="仿宋"/>
          <w:b/>
          <w:color w:val="auto"/>
          <w:szCs w:val="24"/>
          <w:highlight w:val="none"/>
        </w:rPr>
        <w:t>1.4、履约保证金</w:t>
      </w:r>
    </w:p>
    <w:p w14:paraId="03B967A8">
      <w:pPr>
        <w:pStyle w:val="49"/>
        <w:spacing w:before="0" w:beforeAutospacing="0" w:after="0" w:afterAutospacing="0" w:line="400" w:lineRule="exact"/>
        <w:ind w:firstLine="480" w:firstLineChars="200"/>
        <w:jc w:val="both"/>
        <w:rPr>
          <w:rFonts w:ascii="仿宋" w:hAnsi="仿宋" w:eastAsia="仿宋" w:cs="仿宋"/>
          <w:color w:val="auto"/>
          <w:szCs w:val="24"/>
          <w:highlight w:val="none"/>
        </w:rPr>
      </w:pPr>
      <w:r>
        <w:rPr>
          <w:rFonts w:hint="eastAsia" w:ascii="仿宋" w:hAnsi="仿宋" w:eastAsia="仿宋" w:cs="仿宋"/>
          <w:color w:val="auto"/>
          <w:szCs w:val="24"/>
          <w:highlight w:val="none"/>
        </w:rPr>
        <w:t>乙方</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（是/否）需要支付履约保证金。若需要支付履约保证金的，则：</w:t>
      </w:r>
    </w:p>
    <w:p w14:paraId="0345FFF9">
      <w:pPr>
        <w:spacing w:line="400" w:lineRule="exact"/>
        <w:ind w:firstLine="482" w:firstLineChars="200"/>
        <w:outlineLvl w:val="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1.4.1</w:t>
      </w:r>
      <w:r>
        <w:rPr>
          <w:rFonts w:hint="eastAsia" w:ascii="仿宋" w:hAnsi="仿宋" w:eastAsia="仿宋" w:cs="仿宋"/>
          <w:color w:val="auto"/>
          <w:sz w:val="24"/>
          <w:szCs w:val="24"/>
          <w:highlight w:val="none"/>
        </w:rPr>
        <w:t>履约保证金的比例为合同金额的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F3AADCF">
      <w:pPr>
        <w:spacing w:line="400" w:lineRule="exact"/>
        <w:ind w:firstLine="482" w:firstLineChars="200"/>
        <w:outlineLvl w:val="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1.4.2</w:t>
      </w:r>
      <w:r>
        <w:rPr>
          <w:rFonts w:hint="eastAsia" w:ascii="仿宋" w:hAnsi="仿宋" w:eastAsia="仿宋" w:cs="仿宋"/>
          <w:color w:val="auto"/>
          <w:sz w:val="24"/>
          <w:szCs w:val="24"/>
          <w:highlight w:val="none"/>
        </w:rPr>
        <w:t>履约保证金支付方式详见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0A0EE8C">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1.4.3</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9003C94">
      <w:pPr>
        <w:spacing w:line="400" w:lineRule="exact"/>
        <w:ind w:firstLine="482" w:firstLineChars="200"/>
        <w:outlineLvl w:val="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1.4.4</w:t>
      </w:r>
      <w:r>
        <w:rPr>
          <w:rFonts w:hint="eastAsia" w:ascii="仿宋" w:hAnsi="仿宋" w:eastAsia="仿宋" w:cs="仿宋"/>
          <w:color w:val="auto"/>
          <w:sz w:val="24"/>
          <w:szCs w:val="24"/>
          <w:highlight w:val="none"/>
        </w:rPr>
        <w:t>甲方在项目验收结束后及时退还履约保证金。甲方在项目通过验收之日起</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sz w:val="24"/>
          <w:szCs w:val="24"/>
          <w:highlight w:val="none"/>
          <w:u w:val="single"/>
        </w:rPr>
        <w:t xml:space="preserve">  0.05%（可根据情况修改）</w:t>
      </w:r>
      <w:r>
        <w:rPr>
          <w:rFonts w:hint="eastAsia" w:ascii="仿宋" w:hAnsi="仿宋" w:eastAsia="仿宋" w:cs="仿宋"/>
          <w:color w:val="auto"/>
          <w:sz w:val="24"/>
          <w:szCs w:val="24"/>
          <w:highlight w:val="none"/>
        </w:rPr>
        <w:t>计算，最高限额为本合同履约保证金的</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sz w:val="24"/>
          <w:szCs w:val="24"/>
          <w:highlight w:val="none"/>
        </w:rPr>
        <w:t>。</w:t>
      </w:r>
    </w:p>
    <w:p w14:paraId="48AE9284">
      <w:pPr>
        <w:spacing w:before="40" w:after="40" w:line="40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0AD0D5F2">
      <w:pPr>
        <w:pStyle w:val="49"/>
        <w:spacing w:before="0" w:beforeAutospacing="0" w:after="0" w:afterAutospacing="0" w:line="40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C4D4637">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1.5.1</w:t>
      </w:r>
      <w:r>
        <w:rPr>
          <w:rFonts w:hint="eastAsia" w:ascii="仿宋" w:hAnsi="仿宋" w:eastAsia="仿宋" w:cs="仿宋"/>
          <w:color w:val="auto"/>
          <w:sz w:val="24"/>
          <w:highlight w:val="none"/>
        </w:rPr>
        <w:t>预付款比例、支付方式、时间详见</w:t>
      </w:r>
      <w:r>
        <w:rPr>
          <w:rFonts w:hint="eastAsia" w:ascii="仿宋" w:hAnsi="仿宋" w:eastAsia="仿宋" w:cs="仿宋"/>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E045C8">
      <w:pPr>
        <w:pStyle w:val="49"/>
        <w:spacing w:before="0" w:beforeAutospacing="0" w:after="0" w:afterAutospacing="0" w:line="400" w:lineRule="exact"/>
        <w:ind w:firstLine="482" w:firstLineChars="200"/>
        <w:jc w:val="both"/>
        <w:rPr>
          <w:rFonts w:ascii="仿宋" w:hAnsi="仿宋" w:eastAsia="仿宋" w:cs="仿宋"/>
          <w:color w:val="auto"/>
          <w:highlight w:val="none"/>
        </w:rPr>
      </w:pPr>
      <w:r>
        <w:rPr>
          <w:rFonts w:hint="eastAsia" w:ascii="仿宋" w:hAnsi="仿宋" w:eastAsia="仿宋" w:cs="仿宋"/>
          <w:b/>
          <w:bCs/>
          <w:color w:val="auto"/>
          <w:highlight w:val="none"/>
        </w:rPr>
        <w:t>1.5.2</w:t>
      </w:r>
      <w:r>
        <w:rPr>
          <w:rFonts w:hint="eastAsia" w:ascii="仿宋" w:hAnsi="仿宋" w:eastAsia="仿宋" w:cs="仿宋"/>
          <w:color w:val="auto"/>
          <w:highlight w:val="none"/>
        </w:rPr>
        <w:t>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44F14DF">
      <w:pPr>
        <w:spacing w:line="40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1.5.3</w:t>
      </w:r>
      <w:r>
        <w:rPr>
          <w:rFonts w:hint="eastAsia" w:ascii="仿宋" w:hAnsi="仿宋" w:eastAsia="仿宋" w:cs="仿宋"/>
          <w:color w:val="auto"/>
          <w:sz w:val="24"/>
          <w:szCs w:val="24"/>
          <w:highlight w:val="none"/>
        </w:rPr>
        <w:t>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F7B074A">
      <w:pPr>
        <w:spacing w:before="40" w:after="40" w:line="40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1.6、资金支付</w:t>
      </w:r>
    </w:p>
    <w:p w14:paraId="65CC7853">
      <w:pPr>
        <w:pStyle w:val="49"/>
        <w:spacing w:before="0" w:beforeAutospacing="0" w:after="0" w:afterAutospacing="0" w:line="400" w:lineRule="exact"/>
        <w:ind w:firstLine="482"/>
        <w:rPr>
          <w:rFonts w:ascii="仿宋" w:hAnsi="仿宋" w:eastAsia="仿宋" w:cs="仿宋"/>
          <w:color w:val="auto"/>
          <w:highlight w:val="none"/>
        </w:rPr>
      </w:pPr>
      <w:r>
        <w:rPr>
          <w:rFonts w:hint="eastAsia" w:ascii="仿宋" w:hAnsi="仿宋" w:eastAsia="仿宋" w:cs="仿宋"/>
          <w:b/>
          <w:bCs/>
          <w:color w:val="auto"/>
          <w:highlight w:val="none"/>
        </w:rPr>
        <w:t>1.6.1</w:t>
      </w:r>
      <w:r>
        <w:rPr>
          <w:rFonts w:hint="eastAsia" w:ascii="仿宋" w:hAnsi="仿宋" w:eastAsia="仿宋" w:cs="仿宋"/>
          <w:color w:val="auto"/>
          <w:highlight w:val="none"/>
        </w:rPr>
        <w:t>甲方应严格履行合同，及时组织验收，验收合格后及时将合同款支付完毕。对于满足合同约定支付条件的，甲方自收到发票后</w:t>
      </w:r>
      <w:r>
        <w:rPr>
          <w:rFonts w:hint="eastAsia" w:ascii="仿宋" w:hAnsi="仿宋" w:eastAsia="仿宋" w:cs="仿宋"/>
          <w:color w:val="auto"/>
          <w:highlight w:val="none"/>
          <w:u w:val="single"/>
        </w:rPr>
        <w:t>**个</w:t>
      </w:r>
      <w:r>
        <w:rPr>
          <w:rFonts w:hint="eastAsia" w:ascii="仿宋" w:hAnsi="仿宋" w:eastAsia="仿宋" w:cs="仿宋"/>
          <w:color w:val="auto"/>
          <w:highlight w:val="none"/>
        </w:rPr>
        <w:t>工作日内将资金支付到合同约定的乙方账户，有条件的甲方可以即时支付。甲方不得以机构变动、人员更替、政策调整、单位放假等为由延迟付款。</w:t>
      </w:r>
    </w:p>
    <w:p w14:paraId="4B31CD0E">
      <w:pPr>
        <w:pStyle w:val="49"/>
        <w:spacing w:before="0" w:beforeAutospacing="0" w:after="0" w:afterAutospacing="0" w:line="400" w:lineRule="exact"/>
        <w:ind w:firstLine="482"/>
        <w:rPr>
          <w:rFonts w:ascii="仿宋" w:hAnsi="仿宋" w:eastAsia="仿宋" w:cs="仿宋"/>
          <w:color w:val="auto"/>
          <w:highlight w:val="none"/>
        </w:rPr>
      </w:pPr>
      <w:r>
        <w:rPr>
          <w:rFonts w:hint="eastAsia" w:ascii="仿宋" w:hAnsi="仿宋" w:eastAsia="仿宋" w:cs="仿宋"/>
          <w:b/>
          <w:bCs/>
          <w:color w:val="auto"/>
          <w:highlight w:val="none"/>
        </w:rPr>
        <w:t>1.6.2</w:t>
      </w:r>
      <w:r>
        <w:rPr>
          <w:rFonts w:hint="eastAsia" w:ascii="仿宋" w:hAnsi="仿宋" w:eastAsia="仿宋" w:cs="仿宋"/>
          <w:color w:val="auto"/>
          <w:highlight w:val="none"/>
        </w:rPr>
        <w:t>资金支付的方式、时间和条件详见</w:t>
      </w:r>
      <w:r>
        <w:rPr>
          <w:rFonts w:hint="eastAsia" w:ascii="仿宋" w:hAnsi="仿宋" w:eastAsia="仿宋" w:cs="仿宋"/>
          <w:b/>
          <w:i/>
          <w:color w:val="auto"/>
          <w:highlight w:val="none"/>
          <w:u w:val="single"/>
        </w:rPr>
        <w:t>合同专用条款</w:t>
      </w:r>
      <w:r>
        <w:rPr>
          <w:rFonts w:hint="eastAsia" w:ascii="仿宋" w:hAnsi="仿宋" w:eastAsia="仿宋" w:cs="仿宋"/>
          <w:bCs/>
          <w:i/>
          <w:color w:val="auto"/>
          <w:highlight w:val="none"/>
        </w:rPr>
        <w:t>。</w:t>
      </w:r>
    </w:p>
    <w:p w14:paraId="21F0DF31">
      <w:pPr>
        <w:pStyle w:val="49"/>
        <w:spacing w:before="0" w:beforeAutospacing="0" w:after="0" w:afterAutospacing="0" w:line="400" w:lineRule="exact"/>
        <w:ind w:firstLine="482"/>
        <w:rPr>
          <w:rFonts w:ascii="仿宋" w:hAnsi="仿宋" w:eastAsia="仿宋" w:cs="仿宋"/>
          <w:color w:val="auto"/>
          <w:highlight w:val="none"/>
        </w:rPr>
      </w:pPr>
      <w:r>
        <w:rPr>
          <w:rFonts w:hint="eastAsia" w:ascii="仿宋" w:hAnsi="仿宋" w:eastAsia="仿宋" w:cs="仿宋"/>
          <w:b/>
          <w:bCs/>
          <w:color w:val="auto"/>
          <w:highlight w:val="none"/>
        </w:rPr>
        <w:t>1.6.3</w:t>
      </w:r>
      <w:r>
        <w:rPr>
          <w:rFonts w:hint="eastAsia" w:ascii="仿宋" w:hAnsi="仿宋" w:eastAsia="仿宋" w:cs="仿宋"/>
          <w:color w:val="auto"/>
          <w:highlight w:val="none"/>
        </w:rPr>
        <w:t>甲方未按约定向乙方支付合同款项，应向乙方支付逾期利息，利率为合同签订时一年期贷款市场报价利率。</w:t>
      </w:r>
    </w:p>
    <w:p w14:paraId="7870C5F8">
      <w:pPr>
        <w:spacing w:before="40" w:after="40" w:line="40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1.7、履行期限、地点和方式</w:t>
      </w:r>
    </w:p>
    <w:p w14:paraId="135ADE01">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1.7.1</w:t>
      </w:r>
      <w:r>
        <w:rPr>
          <w:rFonts w:hint="eastAsia" w:ascii="仿宋" w:hAnsi="仿宋" w:eastAsia="仿宋" w:cs="仿宋"/>
          <w:color w:val="auto"/>
          <w:sz w:val="24"/>
          <w:highlight w:val="none"/>
        </w:rPr>
        <w:t>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B03E107">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1.7.2</w:t>
      </w:r>
      <w:r>
        <w:rPr>
          <w:rFonts w:hint="eastAsia" w:ascii="仿宋" w:hAnsi="仿宋" w:eastAsia="仿宋" w:cs="仿宋"/>
          <w:color w:val="auto"/>
          <w:sz w:val="24"/>
          <w:highlight w:val="none"/>
        </w:rPr>
        <w:t>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11E1195">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1.7.3</w:t>
      </w:r>
      <w:r>
        <w:rPr>
          <w:rFonts w:hint="eastAsia" w:ascii="仿宋" w:hAnsi="仿宋" w:eastAsia="仿宋" w:cs="仿宋"/>
          <w:color w:val="auto"/>
          <w:sz w:val="24"/>
          <w:highlight w:val="none"/>
        </w:rPr>
        <w:t>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0F8F051">
      <w:pPr>
        <w:spacing w:line="400" w:lineRule="exact"/>
        <w:ind w:firstLine="482" w:firstLineChars="200"/>
        <w:outlineLvl w:val="0"/>
        <w:rPr>
          <w:rFonts w:ascii="仿宋" w:hAnsi="仿宋" w:eastAsia="仿宋" w:cs="仿宋"/>
          <w:bCs/>
          <w:color w:val="auto"/>
          <w:sz w:val="24"/>
          <w:highlight w:val="none"/>
        </w:rPr>
      </w:pPr>
      <w:r>
        <w:rPr>
          <w:rFonts w:hint="eastAsia" w:ascii="仿宋" w:hAnsi="仿宋" w:eastAsia="仿宋" w:cs="仿宋"/>
          <w:b/>
          <w:color w:val="auto"/>
          <w:sz w:val="24"/>
          <w:highlight w:val="none"/>
        </w:rPr>
        <w:t>1.7.4</w:t>
      </w:r>
      <w:r>
        <w:rPr>
          <w:rFonts w:hint="eastAsia" w:ascii="仿宋" w:hAnsi="仿宋" w:eastAsia="仿宋" w:cs="仿宋"/>
          <w:bCs/>
          <w:color w:val="auto"/>
          <w:sz w:val="24"/>
          <w:highlight w:val="none"/>
        </w:rPr>
        <w:t>若服务涉及货物的，则货物的：</w:t>
      </w:r>
    </w:p>
    <w:p w14:paraId="01266D77">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1.7.4.1</w:t>
      </w:r>
      <w:r>
        <w:rPr>
          <w:rFonts w:hint="eastAsia" w:ascii="仿宋" w:hAnsi="仿宋" w:eastAsia="仿宋" w:cs="仿宋"/>
          <w:color w:val="auto"/>
          <w:sz w:val="24"/>
          <w:highlight w:val="none"/>
        </w:rPr>
        <w:t>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DABD2A8">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1.7.4.2</w:t>
      </w:r>
      <w:r>
        <w:rPr>
          <w:rFonts w:hint="eastAsia" w:ascii="仿宋" w:hAnsi="仿宋" w:eastAsia="仿宋" w:cs="仿宋"/>
          <w:color w:val="auto"/>
          <w:sz w:val="24"/>
          <w:highlight w:val="none"/>
        </w:rPr>
        <w:t>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FBE1004">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1.7.4.3</w:t>
      </w:r>
      <w:r>
        <w:rPr>
          <w:rFonts w:hint="eastAsia" w:ascii="仿宋" w:hAnsi="仿宋" w:eastAsia="仿宋" w:cs="仿宋"/>
          <w:color w:val="auto"/>
          <w:sz w:val="24"/>
          <w:highlight w:val="none"/>
        </w:rPr>
        <w:t>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3556519">
      <w:pPr>
        <w:spacing w:before="40" w:after="40" w:line="400" w:lineRule="exact"/>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1.8、</w:t>
      </w:r>
      <w:r>
        <w:rPr>
          <w:rFonts w:hint="eastAsia" w:ascii="仿宋" w:hAnsi="仿宋" w:eastAsia="仿宋" w:cs="仿宋"/>
          <w:b/>
          <w:bCs/>
          <w:color w:val="auto"/>
          <w:sz w:val="24"/>
          <w:szCs w:val="24"/>
          <w:highlight w:val="none"/>
        </w:rPr>
        <w:t>违约责任</w:t>
      </w:r>
    </w:p>
    <w:p w14:paraId="78758CC6">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1.8.1</w:t>
      </w:r>
      <w:r>
        <w:rPr>
          <w:rFonts w:hint="eastAsia" w:ascii="仿宋" w:hAnsi="仿宋" w:eastAsia="仿宋" w:cs="仿宋"/>
          <w:color w:val="auto"/>
          <w:sz w:val="24"/>
          <w:highlight w:val="none"/>
        </w:rPr>
        <w:t>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542A301C">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1.8.2</w:t>
      </w:r>
      <w:r>
        <w:rPr>
          <w:rFonts w:hint="eastAsia" w:ascii="仿宋" w:hAnsi="仿宋" w:eastAsia="仿宋" w:cs="仿宋"/>
          <w:color w:val="auto"/>
          <w:sz w:val="24"/>
          <w:szCs w:val="24"/>
          <w:highlight w:val="none"/>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rPr>
        <w:t xml:space="preserve"> 0.0</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u w:val="single"/>
        </w:rPr>
        <w:t xml:space="preserve">（可根据情况修改）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%；迟延交付货物的违约金计算数额达到前述最高限额之日起，甲方有权在要求乙方支付违约金的同时，书面通知乙方解除本合同；</w:t>
      </w:r>
    </w:p>
    <w:p w14:paraId="2160320C">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1.8.3</w:t>
      </w: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20（可根据情况修改）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17B990BC">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1.8.4</w:t>
      </w:r>
      <w:r>
        <w:rPr>
          <w:rFonts w:hint="eastAsia" w:ascii="仿宋" w:hAnsi="仿宋" w:eastAsia="仿宋" w:cs="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0E6A33">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1.8.5</w:t>
      </w:r>
      <w:r>
        <w:rPr>
          <w:rFonts w:hint="eastAsia" w:ascii="仿宋" w:hAnsi="仿宋" w:eastAsia="仿宋" w:cs="仿宋"/>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075D132">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1.8.6</w:t>
      </w:r>
      <w:r>
        <w:rPr>
          <w:rFonts w:hint="eastAsia" w:ascii="仿宋" w:hAnsi="仿宋" w:eastAsia="仿宋" w:cs="仿宋"/>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20485CD7">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1.8.7</w:t>
      </w:r>
      <w:r>
        <w:rPr>
          <w:rFonts w:hint="eastAsia" w:ascii="仿宋" w:hAnsi="仿宋" w:eastAsia="仿宋" w:cs="仿宋"/>
          <w:color w:val="auto"/>
          <w:sz w:val="24"/>
          <w:highlight w:val="none"/>
        </w:rPr>
        <w:t>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5E285042">
      <w:pPr>
        <w:spacing w:before="40" w:after="40" w:line="40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54087116">
      <w:pPr>
        <w:spacing w:line="400" w:lineRule="exact"/>
        <w:ind w:left="-61" w:leftChars="-29"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872604A">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1.9.1</w:t>
      </w:r>
      <w:r>
        <w:rPr>
          <w:rFonts w:hint="eastAsia" w:ascii="仿宋" w:hAnsi="仿宋" w:eastAsia="仿宋" w:cs="仿宋"/>
          <w:color w:val="auto"/>
          <w:sz w:val="24"/>
          <w:highlight w:val="none"/>
        </w:rPr>
        <w:t>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58D02A5E">
      <w:pPr>
        <w:spacing w:line="400" w:lineRule="exact"/>
        <w:ind w:firstLine="482" w:firstLineChars="200"/>
        <w:rPr>
          <w:rFonts w:ascii="宋体" w:hAnsi="宋体" w:cs="宋体"/>
          <w:color w:val="auto"/>
          <w:sz w:val="24"/>
          <w:highlight w:val="none"/>
        </w:rPr>
      </w:pPr>
      <w:r>
        <w:rPr>
          <w:rFonts w:hint="eastAsia" w:ascii="仿宋" w:hAnsi="仿宋" w:eastAsia="仿宋" w:cs="仿宋"/>
          <w:b/>
          <w:bCs/>
          <w:color w:val="auto"/>
          <w:sz w:val="24"/>
          <w:highlight w:val="none"/>
        </w:rPr>
        <w:t>1.9.2</w:t>
      </w:r>
      <w:r>
        <w:rPr>
          <w:rFonts w:hint="eastAsia" w:ascii="仿宋" w:hAnsi="仿宋" w:eastAsia="仿宋" w:cs="仿宋"/>
          <w:color w:val="auto"/>
          <w:sz w:val="24"/>
          <w:highlight w:val="none"/>
        </w:rPr>
        <w:t>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r>
        <w:rPr>
          <w:rFonts w:hint="eastAsia" w:ascii="宋体" w:hAnsi="宋体" w:cs="宋体"/>
          <w:color w:val="auto"/>
          <w:sz w:val="24"/>
          <w:highlight w:val="none"/>
        </w:rPr>
        <w:t>。</w:t>
      </w:r>
    </w:p>
    <w:bookmarkEnd w:id="418"/>
    <w:bookmarkEnd w:id="419"/>
    <w:bookmarkEnd w:id="420"/>
    <w:bookmarkEnd w:id="421"/>
    <w:bookmarkEnd w:id="422"/>
    <w:p w14:paraId="48C892DA">
      <w:pPr>
        <w:spacing w:before="40" w:after="40" w:line="400" w:lineRule="exact"/>
        <w:ind w:firstLine="482" w:firstLineChars="200"/>
        <w:outlineLvl w:val="0"/>
        <w:rPr>
          <w:rFonts w:ascii="仿宋" w:hAnsi="仿宋" w:eastAsia="仿宋" w:cs="仿宋"/>
          <w:b/>
          <w:color w:val="auto"/>
          <w:sz w:val="24"/>
          <w:highlight w:val="none"/>
        </w:rPr>
      </w:pPr>
      <w:bookmarkStart w:id="428" w:name="_Toc15322"/>
      <w:bookmarkStart w:id="429" w:name="_Toc7245"/>
      <w:bookmarkStart w:id="430" w:name="_Toc11173"/>
    </w:p>
    <w:p w14:paraId="3B2E70F0">
      <w:pPr>
        <w:spacing w:before="40" w:after="40" w:line="400" w:lineRule="exact"/>
        <w:ind w:firstLine="482" w:firstLineChars="200"/>
        <w:outlineLvl w:val="0"/>
        <w:rPr>
          <w:rFonts w:ascii="仿宋" w:hAnsi="仿宋" w:eastAsia="仿宋" w:cs="仿宋"/>
          <w:b/>
          <w:color w:val="auto"/>
          <w:sz w:val="24"/>
          <w:highlight w:val="none"/>
        </w:rPr>
      </w:pPr>
    </w:p>
    <w:p w14:paraId="634A6FA7">
      <w:pPr>
        <w:spacing w:before="40" w:after="40" w:line="40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1.10、合同生效</w:t>
      </w:r>
      <w:bookmarkEnd w:id="428"/>
      <w:bookmarkEnd w:id="429"/>
      <w:bookmarkEnd w:id="430"/>
    </w:p>
    <w:p w14:paraId="459473AB">
      <w:pPr>
        <w:spacing w:line="40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3694231">
      <w:pPr>
        <w:spacing w:line="400" w:lineRule="exact"/>
        <w:ind w:firstLine="482" w:firstLineChars="200"/>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326BEF16">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8B5B2A0">
      <w:pPr>
        <w:spacing w:line="400" w:lineRule="exact"/>
        <w:ind w:firstLine="480" w:firstLineChars="200"/>
        <w:rPr>
          <w:rFonts w:ascii="仿宋" w:hAnsi="仿宋" w:eastAsia="仿宋" w:cs="仿宋"/>
          <w:color w:val="auto"/>
          <w:sz w:val="24"/>
          <w:highlight w:val="none"/>
          <w:lang w:val="zh-CN"/>
        </w:rPr>
      </w:pPr>
    </w:p>
    <w:p w14:paraId="6468A111">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91514D6">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65FE54F0">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9BBBEA7">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AB56697">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62C30E5B">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7D4436D">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F13C9C0">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61A8B34">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AC673D0">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D09647B">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D57C866">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1B5DE8AD">
      <w:pPr>
        <w:spacing w:line="400" w:lineRule="exact"/>
        <w:ind w:left="0" w:leftChars="0" w:firstLine="0" w:firstLineChars="0"/>
        <w:jc w:val="left"/>
        <w:rPr>
          <w:rFonts w:hint="eastAsia" w:ascii="仿宋" w:hAnsi="仿宋" w:eastAsia="仿宋" w:cs="仿宋"/>
          <w:color w:val="auto"/>
          <w:sz w:val="24"/>
          <w:highlight w:val="none"/>
        </w:rPr>
      </w:pPr>
    </w:p>
    <w:p w14:paraId="190E0BB0">
      <w:pPr>
        <w:spacing w:line="400" w:lineRule="exact"/>
        <w:ind w:left="0" w:leftChars="0" w:firstLine="0" w:firstLineChars="0"/>
        <w:jc w:val="left"/>
        <w:rPr>
          <w:rFonts w:hint="eastAsia" w:ascii="仿宋" w:hAnsi="仿宋" w:eastAsia="仿宋" w:cs="仿宋"/>
          <w:color w:val="auto"/>
          <w:sz w:val="24"/>
          <w:highlight w:val="none"/>
        </w:rPr>
      </w:pPr>
    </w:p>
    <w:p w14:paraId="35764A29">
      <w:pPr>
        <w:spacing w:line="400" w:lineRule="exact"/>
        <w:ind w:left="0" w:leftChars="0" w:firstLine="0" w:firstLineChars="0"/>
        <w:jc w:val="left"/>
        <w:rPr>
          <w:rFonts w:ascii="仿宋" w:hAnsi="仿宋" w:eastAsia="仿宋" w:cs="仿宋"/>
          <w:b/>
          <w:color w:val="auto"/>
          <w:sz w:val="24"/>
          <w:szCs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szCs w:val="24"/>
          <w:highlight w:val="none"/>
        </w:rPr>
        <w:t>第二部分 合同一般条款</w:t>
      </w:r>
    </w:p>
    <w:p w14:paraId="2A515CB4">
      <w:pPr>
        <w:spacing w:line="400" w:lineRule="exact"/>
        <w:ind w:firstLine="482" w:firstLineChars="200"/>
        <w:outlineLvl w:val="0"/>
        <w:rPr>
          <w:rFonts w:ascii="仿宋" w:hAnsi="仿宋" w:eastAsia="仿宋" w:cs="仿宋"/>
          <w:b/>
          <w:color w:val="auto"/>
          <w:sz w:val="24"/>
          <w:szCs w:val="24"/>
          <w:highlight w:val="none"/>
        </w:rPr>
      </w:pPr>
      <w:bookmarkStart w:id="431" w:name="_Toc19680"/>
      <w:bookmarkStart w:id="432" w:name="_Toc31297"/>
      <w:bookmarkStart w:id="433" w:name="_Toc5228"/>
      <w:bookmarkStart w:id="434" w:name="_Toc25079"/>
      <w:bookmarkStart w:id="435" w:name="_Toc14021"/>
      <w:r>
        <w:rPr>
          <w:rFonts w:hint="eastAsia" w:ascii="仿宋" w:hAnsi="仿宋" w:eastAsia="仿宋" w:cs="仿宋"/>
          <w:b/>
          <w:color w:val="auto"/>
          <w:sz w:val="24"/>
          <w:szCs w:val="24"/>
          <w:highlight w:val="none"/>
        </w:rPr>
        <w:t>2.1 定义</w:t>
      </w:r>
      <w:bookmarkEnd w:id="431"/>
      <w:bookmarkEnd w:id="432"/>
      <w:bookmarkEnd w:id="433"/>
      <w:bookmarkEnd w:id="434"/>
      <w:bookmarkEnd w:id="435"/>
    </w:p>
    <w:p w14:paraId="314D9DF3">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6B623E16">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2.1.1</w:t>
      </w:r>
      <w:r>
        <w:rPr>
          <w:rFonts w:hint="eastAsia" w:ascii="仿宋" w:hAnsi="仿宋" w:eastAsia="仿宋" w:cs="仿宋"/>
          <w:color w:val="auto"/>
          <w:sz w:val="24"/>
          <w:szCs w:val="24"/>
          <w:highlight w:val="none"/>
        </w:rPr>
        <w:t>“合同”系指采购人和中标或成交供应商签订的载明双方当事人所达成的协议，并包括所有的附件、附录和构成合同的其他文件。</w:t>
      </w:r>
    </w:p>
    <w:p w14:paraId="0C3A1F98">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2.1.2</w:t>
      </w:r>
      <w:r>
        <w:rPr>
          <w:rFonts w:hint="eastAsia" w:ascii="仿宋" w:hAnsi="仿宋" w:eastAsia="仿宋" w:cs="仿宋"/>
          <w:color w:val="auto"/>
          <w:sz w:val="24"/>
          <w:szCs w:val="24"/>
          <w:highlight w:val="none"/>
        </w:rPr>
        <w:t>“合同价”系指根据合同约定，中标或成交供应商在完全履行合同义务后，采购人应支付给中标或成交供应商的价格。</w:t>
      </w:r>
    </w:p>
    <w:p w14:paraId="433DAA66">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2.1.3</w:t>
      </w:r>
      <w:r>
        <w:rPr>
          <w:rFonts w:hint="eastAsia" w:ascii="仿宋" w:hAnsi="仿宋" w:eastAsia="仿宋" w:cs="仿宋"/>
          <w:color w:val="auto"/>
          <w:sz w:val="24"/>
          <w:szCs w:val="24"/>
          <w:highlight w:val="none"/>
        </w:rPr>
        <w:t>“服务”系指中标或成交供应商根据合同约定应向采购人履行的除货物和工程以外的其他政府采购对象，包括采购人自身需要的服务和向社会公众提供的公共服务。</w:t>
      </w:r>
    </w:p>
    <w:p w14:paraId="6984D1DA">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2.1.4</w:t>
      </w:r>
      <w:r>
        <w:rPr>
          <w:rFonts w:hint="eastAsia" w:ascii="仿宋" w:hAnsi="仿宋" w:eastAsia="仿宋" w:cs="仿宋"/>
          <w:color w:val="auto"/>
          <w:sz w:val="24"/>
          <w:szCs w:val="24"/>
          <w:highlight w:val="none"/>
        </w:rPr>
        <w:t>“甲方”系指与中标或成交供应商签署合同的采购人；采购人委托采购代理机构代表其与乙方签订合同的，采购人的授权委托书作为合同附件。</w:t>
      </w:r>
    </w:p>
    <w:p w14:paraId="769FCAE9">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2.1.5</w:t>
      </w:r>
      <w:r>
        <w:rPr>
          <w:rFonts w:hint="eastAsia" w:ascii="仿宋" w:hAnsi="仿宋" w:eastAsia="仿宋" w:cs="仿宋"/>
          <w:color w:val="auto"/>
          <w:sz w:val="24"/>
          <w:szCs w:val="24"/>
          <w:highlight w:val="none"/>
        </w:rPr>
        <w:t>“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0863AD3">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2.1.6</w:t>
      </w:r>
      <w:r>
        <w:rPr>
          <w:rFonts w:hint="eastAsia" w:ascii="仿宋" w:hAnsi="仿宋" w:eastAsia="仿宋" w:cs="仿宋"/>
          <w:color w:val="auto"/>
          <w:sz w:val="24"/>
          <w:szCs w:val="24"/>
          <w:highlight w:val="none"/>
        </w:rPr>
        <w:t>“现场”系指合同约定提供服务的地点。</w:t>
      </w:r>
    </w:p>
    <w:p w14:paraId="669BEF5D">
      <w:pPr>
        <w:spacing w:line="400" w:lineRule="exact"/>
        <w:ind w:firstLine="482" w:firstLineChars="200"/>
        <w:outlineLvl w:val="0"/>
        <w:rPr>
          <w:rFonts w:ascii="仿宋" w:hAnsi="仿宋" w:eastAsia="仿宋" w:cs="仿宋"/>
          <w:b/>
          <w:color w:val="auto"/>
          <w:sz w:val="24"/>
          <w:szCs w:val="24"/>
          <w:highlight w:val="none"/>
        </w:rPr>
      </w:pPr>
      <w:bookmarkStart w:id="436" w:name="_Toc19539"/>
      <w:bookmarkStart w:id="437" w:name="_Toc16752"/>
      <w:bookmarkStart w:id="438" w:name="_Toc31402"/>
      <w:bookmarkStart w:id="439" w:name="_Toc3769"/>
      <w:bookmarkStart w:id="440" w:name="_Toc23289"/>
      <w:r>
        <w:rPr>
          <w:rFonts w:hint="eastAsia" w:ascii="仿宋" w:hAnsi="仿宋" w:eastAsia="仿宋" w:cs="仿宋"/>
          <w:b/>
          <w:color w:val="auto"/>
          <w:sz w:val="24"/>
          <w:szCs w:val="24"/>
          <w:highlight w:val="none"/>
        </w:rPr>
        <w:t>2.2 技术规范</w:t>
      </w:r>
      <w:bookmarkEnd w:id="436"/>
      <w:bookmarkEnd w:id="437"/>
      <w:bookmarkEnd w:id="438"/>
      <w:bookmarkEnd w:id="439"/>
      <w:bookmarkEnd w:id="440"/>
    </w:p>
    <w:p w14:paraId="6C884AEE">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676A5E6">
      <w:pPr>
        <w:spacing w:line="400" w:lineRule="exact"/>
        <w:ind w:firstLine="482" w:firstLineChars="200"/>
        <w:outlineLvl w:val="0"/>
        <w:rPr>
          <w:rFonts w:ascii="仿宋" w:hAnsi="仿宋" w:eastAsia="仿宋" w:cs="仿宋"/>
          <w:b/>
          <w:color w:val="auto"/>
          <w:sz w:val="24"/>
          <w:szCs w:val="24"/>
          <w:highlight w:val="none"/>
        </w:rPr>
      </w:pPr>
      <w:bookmarkStart w:id="441" w:name="_Toc13673"/>
      <w:bookmarkStart w:id="442" w:name="_Toc27945"/>
      <w:bookmarkStart w:id="443" w:name="_Toc9161"/>
      <w:bookmarkStart w:id="444" w:name="_Toc4133"/>
      <w:bookmarkStart w:id="445" w:name="_Toc12412"/>
      <w:r>
        <w:rPr>
          <w:rFonts w:hint="eastAsia" w:ascii="仿宋" w:hAnsi="仿宋" w:eastAsia="仿宋" w:cs="仿宋"/>
          <w:b/>
          <w:color w:val="auto"/>
          <w:sz w:val="24"/>
          <w:szCs w:val="24"/>
          <w:highlight w:val="none"/>
        </w:rPr>
        <w:t>2.3 知识产权</w:t>
      </w:r>
      <w:bookmarkEnd w:id="441"/>
      <w:bookmarkEnd w:id="442"/>
      <w:bookmarkEnd w:id="443"/>
      <w:bookmarkEnd w:id="444"/>
      <w:bookmarkEnd w:id="445"/>
    </w:p>
    <w:p w14:paraId="387C2313">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2.3.1</w:t>
      </w:r>
      <w:r>
        <w:rPr>
          <w:rFonts w:hint="eastAsia" w:ascii="仿宋" w:hAnsi="仿宋" w:eastAsia="仿宋" w:cs="仿宋"/>
          <w:color w:val="auto"/>
          <w:sz w:val="24"/>
          <w:szCs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A9D3998">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2.3.2</w:t>
      </w:r>
      <w:r>
        <w:rPr>
          <w:rFonts w:hint="eastAsia" w:ascii="仿宋" w:hAnsi="仿宋" w:eastAsia="仿宋" w:cs="仿宋"/>
          <w:color w:val="auto"/>
          <w:sz w:val="24"/>
          <w:szCs w:val="24"/>
          <w:highlight w:val="none"/>
        </w:rPr>
        <w:t>合同涉及技术成果的归属和收益的分成办法的，详见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44E014F5">
      <w:pPr>
        <w:spacing w:line="40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履约检查和问题反馈</w:t>
      </w:r>
    </w:p>
    <w:p w14:paraId="75D804AC">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2.4.1</w:t>
      </w:r>
      <w:r>
        <w:rPr>
          <w:rFonts w:hint="eastAsia" w:ascii="仿宋" w:hAnsi="仿宋" w:eastAsia="仿宋" w:cs="仿宋"/>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6DF8FF75">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2.4.2</w:t>
      </w:r>
      <w:r>
        <w:rPr>
          <w:rFonts w:hint="eastAsia" w:ascii="仿宋" w:hAnsi="仿宋" w:eastAsia="仿宋" w:cs="仿宋"/>
          <w:color w:val="auto"/>
          <w:sz w:val="24"/>
          <w:szCs w:val="24"/>
          <w:highlight w:val="none"/>
        </w:rPr>
        <w:t>合同履行期间，甲方有权将履行过程中出现的问题反馈给乙方，双方当事人应以书面形式约定需要完善和改进的内容。</w:t>
      </w:r>
    </w:p>
    <w:p w14:paraId="0E4D74FA">
      <w:pPr>
        <w:spacing w:line="400" w:lineRule="exact"/>
        <w:ind w:firstLine="482" w:firstLineChars="200"/>
        <w:outlineLvl w:val="0"/>
        <w:rPr>
          <w:rFonts w:ascii="仿宋" w:hAnsi="仿宋" w:eastAsia="仿宋" w:cs="仿宋"/>
          <w:b/>
          <w:color w:val="auto"/>
          <w:sz w:val="24"/>
          <w:szCs w:val="24"/>
          <w:highlight w:val="none"/>
        </w:rPr>
      </w:pPr>
      <w:bookmarkStart w:id="446" w:name="_Toc18990"/>
      <w:bookmarkStart w:id="447" w:name="_Toc16163"/>
      <w:bookmarkStart w:id="448" w:name="_Toc13467"/>
      <w:bookmarkStart w:id="449" w:name="_Toc30507"/>
      <w:bookmarkStart w:id="450" w:name="_Toc13154"/>
      <w:r>
        <w:rPr>
          <w:rFonts w:hint="eastAsia" w:ascii="仿宋" w:hAnsi="仿宋" w:eastAsia="仿宋" w:cs="仿宋"/>
          <w:b/>
          <w:color w:val="auto"/>
          <w:sz w:val="24"/>
          <w:szCs w:val="24"/>
          <w:highlight w:val="none"/>
        </w:rPr>
        <w:t>2.5 技术资料和保密义务</w:t>
      </w:r>
      <w:bookmarkEnd w:id="446"/>
      <w:bookmarkEnd w:id="447"/>
      <w:bookmarkEnd w:id="448"/>
      <w:bookmarkEnd w:id="449"/>
      <w:bookmarkEnd w:id="450"/>
    </w:p>
    <w:p w14:paraId="2EE1490C">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2.5.1</w:t>
      </w:r>
      <w:r>
        <w:rPr>
          <w:rFonts w:hint="eastAsia" w:ascii="仿宋" w:hAnsi="仿宋" w:eastAsia="仿宋" w:cs="仿宋"/>
          <w:color w:val="auto"/>
          <w:sz w:val="24"/>
          <w:szCs w:val="24"/>
          <w:highlight w:val="none"/>
        </w:rPr>
        <w:t>乙方有权依据合同约定和项目需要，向甲方了解有关情况，调阅有关资料等，甲方应予积极配合；</w:t>
      </w:r>
    </w:p>
    <w:p w14:paraId="2FC241E7">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2.5.2</w:t>
      </w:r>
      <w:r>
        <w:rPr>
          <w:rFonts w:hint="eastAsia" w:ascii="仿宋" w:hAnsi="仿宋" w:eastAsia="仿宋" w:cs="仿宋"/>
          <w:color w:val="auto"/>
          <w:sz w:val="24"/>
          <w:szCs w:val="24"/>
          <w:highlight w:val="none"/>
        </w:rPr>
        <w:t>乙方有义务妥善保管和保护由甲方提供的前款信息和资料等；</w:t>
      </w:r>
    </w:p>
    <w:p w14:paraId="1F7CD1E1">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2.5.3</w:t>
      </w:r>
      <w:r>
        <w:rPr>
          <w:rFonts w:hint="eastAsia" w:ascii="仿宋" w:hAnsi="仿宋" w:eastAsia="仿宋" w:cs="仿宋"/>
          <w:color w:val="auto"/>
          <w:sz w:val="24"/>
          <w:szCs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FDD02CB">
      <w:pPr>
        <w:spacing w:line="400" w:lineRule="exact"/>
        <w:ind w:firstLine="482" w:firstLineChars="200"/>
        <w:rPr>
          <w:rFonts w:ascii="仿宋" w:hAnsi="仿宋" w:eastAsia="仿宋" w:cs="仿宋"/>
          <w:b/>
          <w:bCs/>
          <w:color w:val="auto"/>
          <w:sz w:val="24"/>
          <w:szCs w:val="24"/>
          <w:highlight w:val="none"/>
        </w:rPr>
      </w:pPr>
      <w:bookmarkStart w:id="451" w:name="_Toc19069"/>
      <w:r>
        <w:rPr>
          <w:rFonts w:hint="eastAsia" w:ascii="仿宋" w:hAnsi="仿宋" w:eastAsia="仿宋" w:cs="仿宋"/>
          <w:b/>
          <w:color w:val="auto"/>
          <w:sz w:val="24"/>
          <w:szCs w:val="24"/>
          <w:highlight w:val="none"/>
        </w:rPr>
        <w:t xml:space="preserve">2.6 </w:t>
      </w:r>
      <w:r>
        <w:rPr>
          <w:rFonts w:hint="eastAsia" w:ascii="仿宋" w:hAnsi="仿宋" w:eastAsia="仿宋" w:cs="仿宋"/>
          <w:b/>
          <w:bCs/>
          <w:color w:val="auto"/>
          <w:sz w:val="24"/>
          <w:szCs w:val="24"/>
          <w:highlight w:val="none"/>
        </w:rPr>
        <w:t>质量保证</w:t>
      </w:r>
      <w:bookmarkEnd w:id="451"/>
    </w:p>
    <w:p w14:paraId="283EA709">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2.6.1</w:t>
      </w:r>
      <w:r>
        <w:rPr>
          <w:rFonts w:hint="eastAsia" w:ascii="仿宋" w:hAnsi="仿宋" w:eastAsia="仿宋" w:cs="仿宋"/>
          <w:color w:val="auto"/>
          <w:sz w:val="24"/>
          <w:szCs w:val="24"/>
          <w:highlight w:val="none"/>
        </w:rPr>
        <w:t>乙方应建立和完善履行合同的内部质量保证体系，并提供相关内部规章制度给甲方，以便甲方进行监督检查；</w:t>
      </w:r>
    </w:p>
    <w:p w14:paraId="69D2D5C9">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2.6.2</w:t>
      </w:r>
      <w:r>
        <w:rPr>
          <w:rFonts w:hint="eastAsia" w:ascii="仿宋" w:hAnsi="仿宋" w:eastAsia="仿宋" w:cs="仿宋"/>
          <w:color w:val="auto"/>
          <w:sz w:val="24"/>
          <w:szCs w:val="24"/>
          <w:highlight w:val="none"/>
        </w:rPr>
        <w:t>乙方应保证履行合同的人员数量和素质、软件和硬件设备的配置、场地、环境和设施等满足全面履行合同的要求，并应接受甲方的监督检查。</w:t>
      </w:r>
    </w:p>
    <w:p w14:paraId="5AF8BF41">
      <w:pPr>
        <w:spacing w:line="400" w:lineRule="exact"/>
        <w:ind w:firstLine="482" w:firstLineChars="200"/>
        <w:outlineLvl w:val="0"/>
        <w:rPr>
          <w:rFonts w:ascii="仿宋" w:hAnsi="仿宋" w:eastAsia="仿宋" w:cs="仿宋"/>
          <w:b/>
          <w:color w:val="auto"/>
          <w:sz w:val="24"/>
          <w:szCs w:val="24"/>
          <w:highlight w:val="none"/>
        </w:rPr>
      </w:pPr>
      <w:bookmarkStart w:id="452" w:name="_Toc22267"/>
      <w:r>
        <w:rPr>
          <w:rFonts w:hint="eastAsia" w:ascii="仿宋" w:hAnsi="仿宋" w:eastAsia="仿宋" w:cs="仿宋"/>
          <w:b/>
          <w:color w:val="auto"/>
          <w:sz w:val="24"/>
          <w:szCs w:val="24"/>
          <w:highlight w:val="none"/>
        </w:rPr>
        <w:t>2.7 延迟履行</w:t>
      </w:r>
      <w:bookmarkEnd w:id="452"/>
    </w:p>
    <w:p w14:paraId="29C2A2F2">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8D410B4">
      <w:pPr>
        <w:spacing w:line="400" w:lineRule="exact"/>
        <w:ind w:firstLine="482" w:firstLineChars="200"/>
        <w:outlineLvl w:val="0"/>
        <w:rPr>
          <w:rFonts w:ascii="仿宋" w:hAnsi="仿宋" w:eastAsia="仿宋" w:cs="仿宋"/>
          <w:b/>
          <w:color w:val="auto"/>
          <w:sz w:val="24"/>
          <w:szCs w:val="24"/>
          <w:highlight w:val="none"/>
        </w:rPr>
      </w:pPr>
      <w:bookmarkStart w:id="453" w:name="_Toc10611"/>
      <w:r>
        <w:rPr>
          <w:rFonts w:hint="eastAsia" w:ascii="仿宋" w:hAnsi="仿宋" w:eastAsia="仿宋" w:cs="仿宋"/>
          <w:b/>
          <w:color w:val="auto"/>
          <w:sz w:val="24"/>
          <w:szCs w:val="24"/>
          <w:highlight w:val="none"/>
        </w:rPr>
        <w:t>2.8 合同变更</w:t>
      </w:r>
      <w:bookmarkEnd w:id="453"/>
    </w:p>
    <w:p w14:paraId="27EAE597">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07BF6DAB">
      <w:pPr>
        <w:spacing w:line="400" w:lineRule="exact"/>
        <w:ind w:firstLine="482" w:firstLineChars="200"/>
        <w:outlineLvl w:val="0"/>
        <w:rPr>
          <w:rFonts w:ascii="仿宋" w:hAnsi="仿宋" w:eastAsia="仿宋" w:cs="仿宋"/>
          <w:b/>
          <w:color w:val="auto"/>
          <w:sz w:val="24"/>
          <w:szCs w:val="24"/>
          <w:highlight w:val="none"/>
        </w:rPr>
      </w:pPr>
      <w:bookmarkStart w:id="454" w:name="_Toc26689"/>
      <w:bookmarkStart w:id="455" w:name="_Toc42"/>
      <w:bookmarkStart w:id="456" w:name="_Toc21830"/>
      <w:bookmarkStart w:id="457" w:name="_Toc23368"/>
      <w:bookmarkStart w:id="458" w:name="_Toc10663"/>
      <w:r>
        <w:rPr>
          <w:rFonts w:hint="eastAsia" w:ascii="仿宋" w:hAnsi="仿宋" w:eastAsia="仿宋" w:cs="仿宋"/>
          <w:b/>
          <w:color w:val="auto"/>
          <w:sz w:val="24"/>
          <w:szCs w:val="24"/>
          <w:highlight w:val="none"/>
        </w:rPr>
        <w:t>2.9 合同转让和分包</w:t>
      </w:r>
      <w:bookmarkEnd w:id="454"/>
      <w:bookmarkEnd w:id="455"/>
      <w:bookmarkEnd w:id="456"/>
      <w:bookmarkEnd w:id="457"/>
      <w:bookmarkEnd w:id="458"/>
    </w:p>
    <w:p w14:paraId="0C1EF5E1">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DB890D0">
      <w:pPr>
        <w:spacing w:line="400" w:lineRule="exact"/>
        <w:ind w:firstLine="482" w:firstLineChars="200"/>
        <w:outlineLvl w:val="0"/>
        <w:rPr>
          <w:rFonts w:ascii="仿宋" w:hAnsi="仿宋" w:eastAsia="仿宋" w:cs="仿宋"/>
          <w:b/>
          <w:color w:val="auto"/>
          <w:sz w:val="24"/>
          <w:szCs w:val="24"/>
          <w:highlight w:val="none"/>
        </w:rPr>
      </w:pPr>
      <w:bookmarkStart w:id="459" w:name="_Toc32494"/>
      <w:bookmarkStart w:id="460" w:name="_Toc26633"/>
      <w:bookmarkStart w:id="461" w:name="_Toc25571"/>
      <w:bookmarkStart w:id="462" w:name="_Toc14371"/>
      <w:bookmarkStart w:id="463" w:name="_Toc4720"/>
      <w:r>
        <w:rPr>
          <w:rFonts w:hint="eastAsia" w:ascii="仿宋" w:hAnsi="仿宋" w:eastAsia="仿宋" w:cs="仿宋"/>
          <w:b/>
          <w:color w:val="auto"/>
          <w:sz w:val="24"/>
          <w:szCs w:val="24"/>
          <w:highlight w:val="none"/>
        </w:rPr>
        <w:t>2.10 不可抗力</w:t>
      </w:r>
      <w:bookmarkEnd w:id="459"/>
      <w:bookmarkEnd w:id="460"/>
      <w:bookmarkEnd w:id="461"/>
      <w:bookmarkEnd w:id="462"/>
      <w:bookmarkEnd w:id="463"/>
    </w:p>
    <w:p w14:paraId="094E1A47">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2.10.1</w:t>
      </w:r>
      <w:r>
        <w:rPr>
          <w:rFonts w:hint="eastAsia" w:ascii="仿宋" w:hAnsi="仿宋" w:eastAsia="仿宋" w:cs="仿宋"/>
          <w:color w:val="auto"/>
          <w:sz w:val="24"/>
          <w:szCs w:val="24"/>
          <w:highlight w:val="none"/>
        </w:rPr>
        <w:t>如果任何一方遭遇法律规定的不可抗力，致使合同履行受阻时，履行合同的期限应予延长，延长的期限应相当于不可抗力所影响的时间；</w:t>
      </w:r>
    </w:p>
    <w:p w14:paraId="309F3485">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2.10.2</w:t>
      </w:r>
      <w:r>
        <w:rPr>
          <w:rFonts w:hint="eastAsia" w:ascii="仿宋" w:hAnsi="仿宋" w:eastAsia="仿宋" w:cs="仿宋"/>
          <w:color w:val="auto"/>
          <w:sz w:val="24"/>
          <w:szCs w:val="24"/>
          <w:highlight w:val="none"/>
        </w:rPr>
        <w:t>因不可抗力致使不能实现合同目的的，当事人可以解除合同；</w:t>
      </w:r>
    </w:p>
    <w:p w14:paraId="11CAA111">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2.10.3</w:t>
      </w:r>
      <w:r>
        <w:rPr>
          <w:rFonts w:hint="eastAsia" w:ascii="仿宋" w:hAnsi="仿宋" w:eastAsia="仿宋" w:cs="仿宋"/>
          <w:color w:val="auto"/>
          <w:sz w:val="24"/>
          <w:szCs w:val="24"/>
          <w:highlight w:val="none"/>
        </w:rPr>
        <w:t>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6087B6C0">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2.10.4</w:t>
      </w:r>
      <w:r>
        <w:rPr>
          <w:rFonts w:hint="eastAsia" w:ascii="仿宋" w:hAnsi="仿宋" w:eastAsia="仿宋" w:cs="仿宋"/>
          <w:color w:val="auto"/>
          <w:sz w:val="24"/>
          <w:szCs w:val="24"/>
          <w:highlight w:val="none"/>
        </w:rPr>
        <w:t>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38792989">
      <w:pPr>
        <w:spacing w:line="400" w:lineRule="exact"/>
        <w:ind w:firstLine="482" w:firstLineChars="200"/>
        <w:outlineLvl w:val="0"/>
        <w:rPr>
          <w:rFonts w:ascii="仿宋" w:hAnsi="仿宋" w:eastAsia="仿宋" w:cs="仿宋"/>
          <w:b/>
          <w:color w:val="auto"/>
          <w:sz w:val="24"/>
          <w:szCs w:val="24"/>
          <w:highlight w:val="none"/>
        </w:rPr>
      </w:pPr>
      <w:bookmarkStart w:id="464" w:name="_Toc25783"/>
      <w:bookmarkStart w:id="465" w:name="_Toc3638"/>
      <w:bookmarkStart w:id="466" w:name="_Toc23854"/>
      <w:bookmarkStart w:id="467" w:name="_Toc24465"/>
      <w:bookmarkStart w:id="468" w:name="_Toc14115"/>
      <w:r>
        <w:rPr>
          <w:rFonts w:hint="eastAsia" w:ascii="仿宋" w:hAnsi="仿宋" w:eastAsia="仿宋" w:cs="仿宋"/>
          <w:b/>
          <w:color w:val="auto"/>
          <w:sz w:val="24"/>
          <w:szCs w:val="24"/>
          <w:highlight w:val="none"/>
        </w:rPr>
        <w:t>2.11 税费</w:t>
      </w:r>
      <w:bookmarkEnd w:id="464"/>
      <w:bookmarkEnd w:id="465"/>
      <w:bookmarkEnd w:id="466"/>
      <w:bookmarkEnd w:id="467"/>
      <w:bookmarkEnd w:id="468"/>
    </w:p>
    <w:p w14:paraId="7F9DBD8B">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与合同有关的一切税费，均按照中华人民共和国法律的相关规定缴纳。</w:t>
      </w:r>
    </w:p>
    <w:p w14:paraId="6B220F3C">
      <w:pPr>
        <w:spacing w:line="400" w:lineRule="exact"/>
        <w:ind w:firstLine="482" w:firstLineChars="200"/>
        <w:outlineLvl w:val="0"/>
        <w:rPr>
          <w:rFonts w:ascii="仿宋" w:hAnsi="仿宋" w:eastAsia="仿宋" w:cs="仿宋"/>
          <w:b/>
          <w:color w:val="auto"/>
          <w:sz w:val="24"/>
          <w:szCs w:val="24"/>
          <w:highlight w:val="none"/>
        </w:rPr>
      </w:pPr>
      <w:bookmarkStart w:id="469" w:name="_Toc7315"/>
      <w:bookmarkStart w:id="470" w:name="_Toc30105"/>
      <w:bookmarkStart w:id="471" w:name="_Toc14814"/>
      <w:bookmarkStart w:id="472" w:name="_Toc25525"/>
      <w:bookmarkStart w:id="473" w:name="_Toc26883"/>
      <w:r>
        <w:rPr>
          <w:rFonts w:hint="eastAsia" w:ascii="仿宋" w:hAnsi="仿宋" w:eastAsia="仿宋" w:cs="仿宋"/>
          <w:b/>
          <w:color w:val="auto"/>
          <w:sz w:val="24"/>
          <w:szCs w:val="24"/>
          <w:highlight w:val="none"/>
        </w:rPr>
        <w:t>2.12 乙方破产</w:t>
      </w:r>
      <w:bookmarkEnd w:id="469"/>
      <w:bookmarkEnd w:id="470"/>
      <w:bookmarkEnd w:id="471"/>
      <w:bookmarkEnd w:id="472"/>
      <w:bookmarkEnd w:id="473"/>
    </w:p>
    <w:p w14:paraId="383EB0F3">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5D1998A">
      <w:pPr>
        <w:spacing w:line="400" w:lineRule="exact"/>
        <w:ind w:firstLine="482" w:firstLineChars="200"/>
        <w:outlineLvl w:val="0"/>
        <w:rPr>
          <w:rFonts w:ascii="仿宋" w:hAnsi="仿宋" w:eastAsia="仿宋" w:cs="仿宋"/>
          <w:b/>
          <w:color w:val="auto"/>
          <w:sz w:val="24"/>
          <w:szCs w:val="24"/>
          <w:highlight w:val="none"/>
        </w:rPr>
      </w:pPr>
      <w:bookmarkStart w:id="474" w:name="_Toc2016"/>
      <w:bookmarkStart w:id="475" w:name="_Toc1123"/>
      <w:bookmarkStart w:id="476" w:name="_Toc23323"/>
      <w:r>
        <w:rPr>
          <w:rFonts w:hint="eastAsia" w:ascii="仿宋" w:hAnsi="仿宋" w:eastAsia="仿宋" w:cs="仿宋"/>
          <w:b/>
          <w:color w:val="auto"/>
          <w:sz w:val="24"/>
          <w:szCs w:val="24"/>
          <w:highlight w:val="none"/>
        </w:rPr>
        <w:t>2.13 合同中止、终止</w:t>
      </w:r>
      <w:bookmarkEnd w:id="474"/>
      <w:bookmarkEnd w:id="475"/>
      <w:bookmarkEnd w:id="476"/>
    </w:p>
    <w:p w14:paraId="2493C6D8">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2.13.1</w:t>
      </w:r>
      <w:r>
        <w:rPr>
          <w:rFonts w:hint="eastAsia" w:ascii="仿宋" w:hAnsi="仿宋" w:eastAsia="仿宋" w:cs="仿宋"/>
          <w:color w:val="auto"/>
          <w:sz w:val="24"/>
          <w:szCs w:val="24"/>
          <w:highlight w:val="none"/>
        </w:rPr>
        <w:t>双方当事人不得擅自中止或者终止合同；</w:t>
      </w:r>
    </w:p>
    <w:p w14:paraId="31B17DB0">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2.13.2</w:t>
      </w:r>
      <w:r>
        <w:rPr>
          <w:rFonts w:hint="eastAsia" w:ascii="仿宋" w:hAnsi="仿宋" w:eastAsia="仿宋" w:cs="仿宋"/>
          <w:color w:val="auto"/>
          <w:sz w:val="24"/>
          <w:szCs w:val="24"/>
          <w:highlight w:val="none"/>
        </w:rPr>
        <w:t>合同继续履行将损害国家利益和社会公共利益的，双方当事人应当中止或者终止合同。有过错的一方应当承担赔偿责任，双方当事人都有过错的，各自承担相应的责任。</w:t>
      </w:r>
    </w:p>
    <w:p w14:paraId="262F004C">
      <w:pPr>
        <w:spacing w:line="400" w:lineRule="exact"/>
        <w:ind w:firstLine="482" w:firstLineChars="200"/>
        <w:outlineLvl w:val="0"/>
        <w:rPr>
          <w:rFonts w:ascii="仿宋" w:hAnsi="仿宋" w:eastAsia="仿宋" w:cs="仿宋"/>
          <w:b/>
          <w:color w:val="auto"/>
          <w:sz w:val="24"/>
          <w:szCs w:val="24"/>
          <w:highlight w:val="none"/>
        </w:rPr>
      </w:pPr>
      <w:bookmarkStart w:id="477" w:name="_Toc14525"/>
      <w:bookmarkStart w:id="478" w:name="_Toc17363"/>
      <w:bookmarkStart w:id="479" w:name="_Toc1969"/>
      <w:r>
        <w:rPr>
          <w:rFonts w:hint="eastAsia" w:ascii="仿宋" w:hAnsi="仿宋" w:eastAsia="仿宋" w:cs="仿宋"/>
          <w:b/>
          <w:color w:val="auto"/>
          <w:sz w:val="24"/>
          <w:szCs w:val="24"/>
          <w:highlight w:val="none"/>
        </w:rPr>
        <w:t>2.14 检验和验收</w:t>
      </w:r>
      <w:bookmarkEnd w:id="477"/>
      <w:bookmarkEnd w:id="478"/>
      <w:bookmarkEnd w:id="479"/>
    </w:p>
    <w:p w14:paraId="3564025C">
      <w:pPr>
        <w:tabs>
          <w:tab w:val="left" w:pos="360"/>
          <w:tab w:val="left" w:pos="540"/>
          <w:tab w:val="left" w:pos="1080"/>
        </w:tabs>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2.14.1</w:t>
      </w:r>
      <w:r>
        <w:rPr>
          <w:rFonts w:hint="eastAsia" w:ascii="仿宋" w:hAnsi="仿宋" w:eastAsia="仿宋" w:cs="仿宋"/>
          <w:color w:val="auto"/>
          <w:sz w:val="24"/>
          <w:szCs w:val="24"/>
          <w:highlight w:val="none"/>
        </w:rPr>
        <w:t>乙方按照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的约定，定期提交服务报告，甲方按照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的约定进行定期验收；</w:t>
      </w:r>
    </w:p>
    <w:p w14:paraId="1D5BAAB6">
      <w:pPr>
        <w:tabs>
          <w:tab w:val="left" w:pos="360"/>
          <w:tab w:val="left" w:pos="540"/>
          <w:tab w:val="left" w:pos="1080"/>
        </w:tabs>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2.14.2</w:t>
      </w:r>
      <w:r>
        <w:rPr>
          <w:rFonts w:hint="eastAsia" w:ascii="仿宋" w:hAnsi="仿宋" w:eastAsia="仿宋" w:cs="仿宋"/>
          <w:color w:val="auto"/>
          <w:sz w:val="24"/>
          <w:szCs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383A296">
      <w:pPr>
        <w:tabs>
          <w:tab w:val="left" w:pos="360"/>
          <w:tab w:val="left" w:pos="540"/>
          <w:tab w:val="left" w:pos="1080"/>
        </w:tabs>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2.14.3</w:t>
      </w:r>
      <w:r>
        <w:rPr>
          <w:rFonts w:hint="eastAsia" w:ascii="仿宋" w:hAnsi="仿宋" w:eastAsia="仿宋" w:cs="仿宋"/>
          <w:color w:val="auto"/>
          <w:sz w:val="24"/>
          <w:szCs w:val="24"/>
          <w:highlight w:val="none"/>
        </w:rPr>
        <w:t>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p w14:paraId="3E6ABDA8">
      <w:pPr>
        <w:spacing w:line="400" w:lineRule="exact"/>
        <w:ind w:firstLine="482" w:firstLineChars="200"/>
        <w:outlineLvl w:val="0"/>
        <w:rPr>
          <w:rFonts w:ascii="仿宋" w:hAnsi="仿宋" w:eastAsia="仿宋" w:cs="仿宋"/>
          <w:b/>
          <w:color w:val="auto"/>
          <w:sz w:val="24"/>
          <w:szCs w:val="24"/>
          <w:highlight w:val="none"/>
        </w:rPr>
      </w:pPr>
      <w:bookmarkStart w:id="480" w:name="_Toc25198"/>
      <w:bookmarkStart w:id="481" w:name="_Toc9808"/>
      <w:bookmarkStart w:id="482" w:name="_Toc31892"/>
      <w:bookmarkStart w:id="483" w:name="_Toc2308"/>
      <w:bookmarkStart w:id="484" w:name="_Toc12666"/>
      <w:r>
        <w:rPr>
          <w:rFonts w:hint="eastAsia" w:ascii="仿宋" w:hAnsi="仿宋" w:eastAsia="仿宋" w:cs="仿宋"/>
          <w:b/>
          <w:color w:val="auto"/>
          <w:sz w:val="24"/>
          <w:szCs w:val="24"/>
          <w:highlight w:val="none"/>
        </w:rPr>
        <w:t>2.15 通知和送达</w:t>
      </w:r>
      <w:bookmarkEnd w:id="480"/>
      <w:bookmarkEnd w:id="481"/>
      <w:bookmarkEnd w:id="482"/>
      <w:bookmarkEnd w:id="483"/>
      <w:bookmarkEnd w:id="484"/>
    </w:p>
    <w:p w14:paraId="05F72B52">
      <w:pPr>
        <w:spacing w:line="400" w:lineRule="exact"/>
        <w:ind w:firstLine="482" w:firstLineChars="200"/>
        <w:rPr>
          <w:rFonts w:ascii="仿宋" w:hAnsi="仿宋" w:eastAsia="仿宋" w:cs="仿宋"/>
          <w:color w:val="auto"/>
          <w:sz w:val="24"/>
          <w:szCs w:val="24"/>
          <w:highlight w:val="none"/>
        </w:rPr>
      </w:pPr>
      <w:bookmarkStart w:id="485" w:name="_Toc27674"/>
      <w:bookmarkStart w:id="486" w:name="_Toc18401"/>
      <w:r>
        <w:rPr>
          <w:rFonts w:hint="eastAsia" w:ascii="仿宋" w:hAnsi="仿宋" w:eastAsia="仿宋" w:cs="仿宋"/>
          <w:b/>
          <w:bCs/>
          <w:color w:val="auto"/>
          <w:sz w:val="24"/>
          <w:szCs w:val="24"/>
          <w:highlight w:val="none"/>
        </w:rPr>
        <w:t>2.15.1</w:t>
      </w:r>
      <w:r>
        <w:rPr>
          <w:rFonts w:hint="eastAsia" w:ascii="仿宋" w:hAnsi="仿宋" w:eastAsia="仿宋" w:cs="仿宋"/>
          <w:color w:val="auto"/>
          <w:sz w:val="24"/>
          <w:szCs w:val="24"/>
          <w:highlight w:val="none"/>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14:paraId="64CA032A">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2.15.2</w:t>
      </w:r>
      <w:r>
        <w:rPr>
          <w:rFonts w:hint="eastAsia" w:ascii="仿宋" w:hAnsi="仿宋" w:eastAsia="仿宋" w:cs="仿宋"/>
          <w:color w:val="auto"/>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85"/>
      <w:bookmarkEnd w:id="486"/>
    </w:p>
    <w:p w14:paraId="6BA198E7">
      <w:pPr>
        <w:spacing w:line="400" w:lineRule="exact"/>
        <w:ind w:firstLine="482" w:firstLineChars="200"/>
        <w:outlineLvl w:val="0"/>
        <w:rPr>
          <w:rFonts w:ascii="仿宋" w:hAnsi="仿宋" w:eastAsia="仿宋" w:cs="仿宋"/>
          <w:b/>
          <w:color w:val="auto"/>
          <w:sz w:val="24"/>
          <w:szCs w:val="24"/>
          <w:highlight w:val="none"/>
        </w:rPr>
      </w:pPr>
      <w:bookmarkStart w:id="487" w:name="_Toc20808"/>
      <w:bookmarkStart w:id="488" w:name="_Toc12254"/>
      <w:bookmarkStart w:id="489" w:name="_Toc27644"/>
      <w:bookmarkStart w:id="490" w:name="_Toc5063"/>
      <w:bookmarkStart w:id="491" w:name="_Toc28906"/>
      <w:r>
        <w:rPr>
          <w:rFonts w:hint="eastAsia" w:ascii="仿宋" w:hAnsi="仿宋" w:eastAsia="仿宋" w:cs="仿宋"/>
          <w:b/>
          <w:color w:val="auto"/>
          <w:sz w:val="24"/>
          <w:szCs w:val="24"/>
          <w:highlight w:val="none"/>
        </w:rPr>
        <w:t>2.16 合同使用的文字和适用的法律</w:t>
      </w:r>
      <w:bookmarkEnd w:id="487"/>
      <w:bookmarkEnd w:id="488"/>
      <w:bookmarkEnd w:id="489"/>
      <w:bookmarkEnd w:id="490"/>
      <w:bookmarkEnd w:id="491"/>
    </w:p>
    <w:p w14:paraId="51396D6B">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2.16.1</w:t>
      </w:r>
      <w:r>
        <w:rPr>
          <w:rFonts w:hint="eastAsia" w:ascii="仿宋" w:hAnsi="仿宋" w:eastAsia="仿宋" w:cs="仿宋"/>
          <w:color w:val="auto"/>
          <w:sz w:val="24"/>
          <w:szCs w:val="24"/>
          <w:highlight w:val="none"/>
        </w:rPr>
        <w:t>合同使用汉语书就、变更和解释；</w:t>
      </w:r>
    </w:p>
    <w:p w14:paraId="226D6229">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2.16.2</w:t>
      </w:r>
      <w:r>
        <w:rPr>
          <w:rFonts w:hint="eastAsia" w:ascii="仿宋" w:hAnsi="仿宋" w:eastAsia="仿宋" w:cs="仿宋"/>
          <w:color w:val="auto"/>
          <w:sz w:val="24"/>
          <w:szCs w:val="24"/>
          <w:highlight w:val="none"/>
        </w:rPr>
        <w:t>合同适用中华人民共和国法律。</w:t>
      </w:r>
    </w:p>
    <w:p w14:paraId="072B1EA2">
      <w:pPr>
        <w:spacing w:line="400" w:lineRule="exact"/>
        <w:ind w:firstLine="482" w:firstLineChars="200"/>
        <w:outlineLvl w:val="0"/>
        <w:rPr>
          <w:rFonts w:ascii="仿宋" w:hAnsi="仿宋" w:eastAsia="仿宋" w:cs="仿宋"/>
          <w:b/>
          <w:color w:val="auto"/>
          <w:sz w:val="24"/>
          <w:szCs w:val="24"/>
          <w:highlight w:val="none"/>
        </w:rPr>
      </w:pPr>
      <w:bookmarkStart w:id="492" w:name="_Toc30599"/>
      <w:bookmarkStart w:id="493" w:name="_Toc4355"/>
      <w:bookmarkStart w:id="494" w:name="_Toc18540"/>
      <w:r>
        <w:rPr>
          <w:rFonts w:hint="eastAsia" w:ascii="仿宋" w:hAnsi="仿宋" w:eastAsia="仿宋" w:cs="仿宋"/>
          <w:b/>
          <w:color w:val="auto"/>
          <w:sz w:val="24"/>
          <w:szCs w:val="24"/>
          <w:highlight w:val="none"/>
        </w:rPr>
        <w:t>2.17 计量单位</w:t>
      </w:r>
      <w:bookmarkEnd w:id="492"/>
      <w:bookmarkEnd w:id="493"/>
      <w:bookmarkEnd w:id="494"/>
    </w:p>
    <w:p w14:paraId="351FFA95">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除技术规范中另有规定外,合同的计量单位均使用国家法定计量单位。</w:t>
      </w:r>
    </w:p>
    <w:p w14:paraId="72086C2D">
      <w:pPr>
        <w:spacing w:line="40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2.18合同份数</w:t>
      </w:r>
    </w:p>
    <w:p w14:paraId="15ED1C87">
      <w:pPr>
        <w:spacing w:line="400" w:lineRule="exact"/>
        <w:ind w:firstLine="480" w:firstLineChars="200"/>
        <w:rPr>
          <w:rFonts w:ascii="宋体" w:hAnsi="宋体"/>
          <w:color w:val="auto"/>
          <w:sz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r>
        <w:rPr>
          <w:rFonts w:hint="eastAsia" w:ascii="宋体" w:hAnsi="宋体"/>
          <w:color w:val="auto"/>
          <w:sz w:val="24"/>
          <w:highlight w:val="none"/>
        </w:rPr>
        <w:t>。</w:t>
      </w:r>
    </w:p>
    <w:p w14:paraId="01C4CB91">
      <w:pPr>
        <w:spacing w:line="400" w:lineRule="exact"/>
        <w:jc w:val="center"/>
        <w:outlineLvl w:val="0"/>
        <w:rPr>
          <w:rFonts w:ascii="仿宋" w:hAnsi="仿宋" w:eastAsia="仿宋" w:cs="仿宋"/>
          <w:b/>
          <w:color w:val="auto"/>
          <w:sz w:val="24"/>
          <w:highlight w:val="none"/>
        </w:rPr>
      </w:pPr>
      <w:r>
        <w:rPr>
          <w:rFonts w:hint="eastAsia" w:ascii="宋体" w:hAnsi="宋体" w:cs="宋体"/>
          <w:color w:val="auto"/>
          <w:highlight w:val="none"/>
        </w:rPr>
        <w:br w:type="page"/>
      </w:r>
      <w:r>
        <w:rPr>
          <w:rFonts w:hint="eastAsia" w:ascii="仿宋" w:hAnsi="仿宋" w:eastAsia="仿宋" w:cs="仿宋"/>
          <w:b/>
          <w:color w:val="auto"/>
          <w:sz w:val="24"/>
          <w:highlight w:val="none"/>
        </w:rPr>
        <w:t>第三部分  合同专用条款</w:t>
      </w:r>
    </w:p>
    <w:p w14:paraId="18FD6BB2">
      <w:pPr>
        <w:spacing w:line="40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11"/>
        <w:gridCol w:w="8457"/>
      </w:tblGrid>
      <w:tr w14:paraId="52616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14:paraId="049D2993">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5" w:type="pct"/>
            <w:vAlign w:val="center"/>
          </w:tcPr>
          <w:p w14:paraId="7D331241">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1B00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9902D2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5" w:type="pct"/>
            <w:vAlign w:val="center"/>
          </w:tcPr>
          <w:p w14:paraId="3124F79D">
            <w:pPr>
              <w:spacing w:line="400" w:lineRule="exact"/>
              <w:rPr>
                <w:rFonts w:ascii="仿宋" w:hAnsi="仿宋" w:eastAsia="仿宋" w:cs="仿宋"/>
                <w:color w:val="auto"/>
                <w:sz w:val="24"/>
                <w:highlight w:val="none"/>
              </w:rPr>
            </w:pPr>
          </w:p>
        </w:tc>
      </w:tr>
      <w:tr w14:paraId="58430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14:paraId="6EC6F3F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5" w:type="pct"/>
            <w:vAlign w:val="center"/>
          </w:tcPr>
          <w:p w14:paraId="1F5F9528">
            <w:pPr>
              <w:spacing w:line="400" w:lineRule="exact"/>
              <w:rPr>
                <w:rFonts w:ascii="仿宋" w:hAnsi="仿宋" w:eastAsia="仿宋" w:cs="仿宋"/>
                <w:color w:val="auto"/>
                <w:sz w:val="24"/>
                <w:highlight w:val="none"/>
              </w:rPr>
            </w:pPr>
          </w:p>
        </w:tc>
      </w:tr>
      <w:tr w14:paraId="76C33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949AB3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5" w:type="pct"/>
            <w:vAlign w:val="center"/>
          </w:tcPr>
          <w:p w14:paraId="2EE025B4">
            <w:pPr>
              <w:spacing w:line="400" w:lineRule="exact"/>
              <w:rPr>
                <w:rFonts w:ascii="仿宋" w:hAnsi="仿宋" w:eastAsia="仿宋" w:cs="仿宋"/>
                <w:color w:val="auto"/>
                <w:sz w:val="24"/>
                <w:highlight w:val="none"/>
              </w:rPr>
            </w:pPr>
          </w:p>
        </w:tc>
      </w:tr>
      <w:tr w14:paraId="02FE9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6DAE7D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5" w:type="pct"/>
            <w:vAlign w:val="center"/>
          </w:tcPr>
          <w:p w14:paraId="3C58B21D">
            <w:pPr>
              <w:spacing w:line="400" w:lineRule="exact"/>
              <w:rPr>
                <w:rFonts w:ascii="仿宋" w:hAnsi="仿宋" w:eastAsia="仿宋" w:cs="仿宋"/>
                <w:color w:val="auto"/>
                <w:sz w:val="24"/>
                <w:highlight w:val="none"/>
              </w:rPr>
            </w:pPr>
          </w:p>
        </w:tc>
      </w:tr>
      <w:tr w14:paraId="4C203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BC89B2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5" w:type="pct"/>
            <w:vAlign w:val="center"/>
          </w:tcPr>
          <w:p w14:paraId="1FAAD548">
            <w:pPr>
              <w:spacing w:line="400" w:lineRule="exact"/>
              <w:rPr>
                <w:rFonts w:ascii="仿宋" w:hAnsi="仿宋" w:eastAsia="仿宋" w:cs="仿宋"/>
                <w:color w:val="auto"/>
                <w:sz w:val="24"/>
                <w:highlight w:val="none"/>
              </w:rPr>
            </w:pPr>
          </w:p>
        </w:tc>
      </w:tr>
      <w:tr w14:paraId="3B983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087C3B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5" w:type="pct"/>
            <w:vAlign w:val="center"/>
          </w:tcPr>
          <w:p w14:paraId="67E23E1F">
            <w:pPr>
              <w:spacing w:line="400" w:lineRule="exact"/>
              <w:rPr>
                <w:rFonts w:ascii="仿宋" w:hAnsi="仿宋" w:eastAsia="仿宋" w:cs="仿宋"/>
                <w:color w:val="auto"/>
                <w:sz w:val="24"/>
                <w:highlight w:val="none"/>
              </w:rPr>
            </w:pPr>
          </w:p>
        </w:tc>
      </w:tr>
      <w:tr w14:paraId="503D3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14:paraId="681D2C0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5" w:type="pct"/>
            <w:vAlign w:val="center"/>
          </w:tcPr>
          <w:p w14:paraId="5DDB9E3A">
            <w:pPr>
              <w:spacing w:line="400" w:lineRule="exact"/>
              <w:rPr>
                <w:rFonts w:ascii="仿宋" w:hAnsi="仿宋" w:eastAsia="仿宋" w:cs="仿宋"/>
                <w:color w:val="auto"/>
                <w:sz w:val="24"/>
                <w:highlight w:val="none"/>
              </w:rPr>
            </w:pPr>
          </w:p>
        </w:tc>
      </w:tr>
      <w:tr w14:paraId="2FA54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14:paraId="386AFD6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5" w:type="pct"/>
            <w:vAlign w:val="center"/>
          </w:tcPr>
          <w:p w14:paraId="063D513A">
            <w:pPr>
              <w:spacing w:line="400" w:lineRule="exact"/>
              <w:rPr>
                <w:rFonts w:ascii="仿宋" w:hAnsi="仿宋" w:eastAsia="仿宋" w:cs="仿宋"/>
                <w:color w:val="auto"/>
                <w:sz w:val="24"/>
                <w:highlight w:val="none"/>
              </w:rPr>
            </w:pPr>
          </w:p>
        </w:tc>
      </w:tr>
      <w:tr w14:paraId="74032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14:paraId="4D3149D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5" w:type="pct"/>
            <w:vAlign w:val="center"/>
          </w:tcPr>
          <w:p w14:paraId="1A3AEA4F">
            <w:pPr>
              <w:spacing w:line="400" w:lineRule="exact"/>
              <w:rPr>
                <w:rFonts w:ascii="仿宋" w:hAnsi="仿宋" w:eastAsia="仿宋" w:cs="仿宋"/>
                <w:color w:val="auto"/>
                <w:sz w:val="24"/>
                <w:highlight w:val="none"/>
              </w:rPr>
            </w:pPr>
          </w:p>
        </w:tc>
      </w:tr>
      <w:tr w14:paraId="22671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955335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5" w:type="pct"/>
            <w:vAlign w:val="center"/>
          </w:tcPr>
          <w:p w14:paraId="3071C5B2">
            <w:pPr>
              <w:spacing w:line="400" w:lineRule="exact"/>
              <w:rPr>
                <w:rFonts w:ascii="仿宋" w:hAnsi="仿宋" w:eastAsia="仿宋" w:cs="仿宋"/>
                <w:color w:val="auto"/>
                <w:sz w:val="24"/>
                <w:highlight w:val="none"/>
              </w:rPr>
            </w:pPr>
          </w:p>
        </w:tc>
      </w:tr>
      <w:tr w14:paraId="700FB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F1C6DE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5" w:type="pct"/>
            <w:vAlign w:val="center"/>
          </w:tcPr>
          <w:p w14:paraId="126302EE">
            <w:pPr>
              <w:spacing w:line="400" w:lineRule="exact"/>
              <w:rPr>
                <w:rFonts w:ascii="仿宋" w:hAnsi="仿宋" w:eastAsia="仿宋" w:cs="仿宋"/>
                <w:color w:val="auto"/>
                <w:sz w:val="24"/>
                <w:highlight w:val="none"/>
              </w:rPr>
            </w:pPr>
          </w:p>
        </w:tc>
      </w:tr>
      <w:tr w14:paraId="62FB2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3398F4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5" w:type="pct"/>
            <w:vAlign w:val="center"/>
          </w:tcPr>
          <w:p w14:paraId="357CE5B6">
            <w:pPr>
              <w:spacing w:line="400" w:lineRule="exact"/>
              <w:rPr>
                <w:rFonts w:ascii="仿宋" w:hAnsi="仿宋" w:eastAsia="仿宋" w:cs="仿宋"/>
                <w:color w:val="auto"/>
                <w:sz w:val="24"/>
                <w:highlight w:val="none"/>
              </w:rPr>
            </w:pPr>
          </w:p>
        </w:tc>
      </w:tr>
      <w:tr w14:paraId="23DEB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E6303D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5" w:type="pct"/>
            <w:vAlign w:val="center"/>
          </w:tcPr>
          <w:p w14:paraId="2A49DFF6">
            <w:pPr>
              <w:spacing w:line="400" w:lineRule="exact"/>
              <w:rPr>
                <w:rFonts w:ascii="仿宋" w:hAnsi="仿宋" w:eastAsia="仿宋" w:cs="仿宋"/>
                <w:color w:val="auto"/>
                <w:sz w:val="24"/>
                <w:highlight w:val="none"/>
              </w:rPr>
            </w:pPr>
          </w:p>
        </w:tc>
      </w:tr>
      <w:tr w14:paraId="04A22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403645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5" w:type="pct"/>
            <w:vAlign w:val="center"/>
          </w:tcPr>
          <w:p w14:paraId="7F25F24C">
            <w:pPr>
              <w:spacing w:line="400" w:lineRule="exact"/>
              <w:rPr>
                <w:rFonts w:ascii="仿宋" w:hAnsi="仿宋" w:eastAsia="仿宋" w:cs="仿宋"/>
                <w:color w:val="auto"/>
                <w:sz w:val="24"/>
                <w:highlight w:val="none"/>
              </w:rPr>
            </w:pPr>
          </w:p>
        </w:tc>
      </w:tr>
      <w:tr w14:paraId="41246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14:paraId="080B886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5" w:type="pct"/>
            <w:vAlign w:val="center"/>
          </w:tcPr>
          <w:p w14:paraId="0AAB445B">
            <w:pPr>
              <w:spacing w:line="400" w:lineRule="exact"/>
              <w:rPr>
                <w:rFonts w:ascii="仿宋" w:hAnsi="仿宋" w:eastAsia="仿宋" w:cs="仿宋"/>
                <w:color w:val="auto"/>
                <w:sz w:val="24"/>
                <w:highlight w:val="none"/>
              </w:rPr>
            </w:pPr>
          </w:p>
        </w:tc>
      </w:tr>
      <w:tr w14:paraId="65748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414F0B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5" w:type="pct"/>
            <w:vAlign w:val="center"/>
          </w:tcPr>
          <w:p w14:paraId="014EE175">
            <w:pPr>
              <w:spacing w:line="400" w:lineRule="exact"/>
              <w:ind w:left="-420" w:leftChars="-200" w:right="-420" w:rightChars="-200" w:firstLine="480" w:firstLineChars="200"/>
              <w:rPr>
                <w:rFonts w:ascii="仿宋" w:hAnsi="仿宋" w:eastAsia="仿宋" w:cs="仿宋"/>
                <w:color w:val="auto"/>
                <w:sz w:val="24"/>
                <w:highlight w:val="none"/>
              </w:rPr>
            </w:pPr>
          </w:p>
        </w:tc>
      </w:tr>
      <w:tr w14:paraId="5666C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66C136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2.10.3</w:t>
            </w:r>
          </w:p>
        </w:tc>
        <w:tc>
          <w:tcPr>
            <w:tcW w:w="4465" w:type="pct"/>
            <w:vAlign w:val="center"/>
          </w:tcPr>
          <w:p w14:paraId="55307371">
            <w:pPr>
              <w:spacing w:line="400" w:lineRule="exact"/>
              <w:rPr>
                <w:rFonts w:ascii="仿宋" w:hAnsi="仿宋" w:eastAsia="仿宋" w:cs="仿宋"/>
                <w:color w:val="auto"/>
                <w:sz w:val="24"/>
                <w:highlight w:val="none"/>
              </w:rPr>
            </w:pPr>
          </w:p>
        </w:tc>
      </w:tr>
      <w:tr w14:paraId="799EA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6FE756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2.10.4</w:t>
            </w:r>
          </w:p>
        </w:tc>
        <w:tc>
          <w:tcPr>
            <w:tcW w:w="4465" w:type="pct"/>
          </w:tcPr>
          <w:p w14:paraId="5CBAA18C">
            <w:pPr>
              <w:spacing w:line="400" w:lineRule="exact"/>
              <w:rPr>
                <w:rFonts w:ascii="仿宋" w:hAnsi="仿宋" w:eastAsia="仿宋" w:cs="仿宋"/>
                <w:color w:val="auto"/>
                <w:sz w:val="24"/>
                <w:highlight w:val="none"/>
              </w:rPr>
            </w:pPr>
          </w:p>
        </w:tc>
      </w:tr>
      <w:tr w14:paraId="0A796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5B4D23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2.14.1</w:t>
            </w:r>
          </w:p>
        </w:tc>
        <w:tc>
          <w:tcPr>
            <w:tcW w:w="4465" w:type="pct"/>
            <w:vAlign w:val="center"/>
          </w:tcPr>
          <w:p w14:paraId="19004C9A">
            <w:pPr>
              <w:spacing w:line="400" w:lineRule="exact"/>
              <w:rPr>
                <w:rFonts w:ascii="仿宋" w:hAnsi="仿宋" w:eastAsia="仿宋" w:cs="仿宋"/>
                <w:color w:val="auto"/>
                <w:sz w:val="24"/>
                <w:highlight w:val="none"/>
              </w:rPr>
            </w:pPr>
          </w:p>
        </w:tc>
      </w:tr>
      <w:tr w14:paraId="7F52C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CD4C32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2.14.3</w:t>
            </w:r>
          </w:p>
        </w:tc>
        <w:tc>
          <w:tcPr>
            <w:tcW w:w="4465" w:type="pct"/>
            <w:vAlign w:val="center"/>
          </w:tcPr>
          <w:p w14:paraId="2DBFDB66">
            <w:pPr>
              <w:spacing w:line="400" w:lineRule="exact"/>
              <w:rPr>
                <w:rFonts w:ascii="仿宋" w:hAnsi="仿宋" w:eastAsia="仿宋" w:cs="仿宋"/>
                <w:color w:val="auto"/>
                <w:sz w:val="24"/>
                <w:highlight w:val="none"/>
              </w:rPr>
            </w:pPr>
          </w:p>
        </w:tc>
      </w:tr>
      <w:tr w14:paraId="69905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vAlign w:val="center"/>
          </w:tcPr>
          <w:p w14:paraId="1A00927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2.18</w:t>
            </w:r>
          </w:p>
        </w:tc>
        <w:tc>
          <w:tcPr>
            <w:tcW w:w="4465" w:type="pct"/>
          </w:tcPr>
          <w:p w14:paraId="79ECFEA5">
            <w:pPr>
              <w:spacing w:line="400" w:lineRule="exact"/>
              <w:rPr>
                <w:rFonts w:ascii="仿宋" w:hAnsi="仿宋" w:eastAsia="仿宋" w:cs="仿宋"/>
                <w:color w:val="auto"/>
                <w:sz w:val="24"/>
                <w:highlight w:val="none"/>
              </w:rPr>
            </w:pPr>
          </w:p>
        </w:tc>
      </w:tr>
    </w:tbl>
    <w:p w14:paraId="0431F918">
      <w:pPr>
        <w:autoSpaceDE/>
        <w:autoSpaceDN/>
        <w:adjustRightInd/>
        <w:spacing w:before="156" w:beforeLines="50" w:line="400" w:lineRule="exact"/>
        <w:rPr>
          <w:color w:val="auto"/>
          <w:highlight w:val="none"/>
        </w:rPr>
      </w:pPr>
      <w:r>
        <w:rPr>
          <w:rFonts w:hint="eastAsia" w:ascii="仿宋" w:hAnsi="仿宋" w:eastAsia="仿宋" w:cs="仿宋"/>
          <w:b/>
          <w:color w:val="auto"/>
          <w:sz w:val="24"/>
          <w:szCs w:val="24"/>
          <w:highlight w:val="none"/>
        </w:rPr>
        <w:t>注：该合同模板与招标文件中实质性内容不相符部分，以招标文件规定为准，在签订前相应调整。</w:t>
      </w:r>
    </w:p>
    <w:p w14:paraId="672D7B74">
      <w:pPr>
        <w:pStyle w:val="4"/>
        <w:spacing w:line="240" w:lineRule="auto"/>
        <w:jc w:val="center"/>
        <w:rPr>
          <w:color w:val="auto"/>
          <w:highlight w:val="none"/>
        </w:rPr>
        <w:sectPr>
          <w:pgSz w:w="11906" w:h="16838"/>
          <w:pgMar w:top="1247" w:right="1247" w:bottom="1247" w:left="1247" w:header="567" w:footer="454" w:gutter="0"/>
          <w:cols w:space="720" w:num="1"/>
          <w:titlePg/>
          <w:docGrid w:type="lines" w:linePitch="312" w:charSpace="0"/>
        </w:sectPr>
      </w:pPr>
    </w:p>
    <w:bookmarkEnd w:id="403"/>
    <w:bookmarkEnd w:id="404"/>
    <w:p w14:paraId="1A78D7F0">
      <w:pPr>
        <w:pStyle w:val="4"/>
        <w:spacing w:line="240" w:lineRule="auto"/>
        <w:jc w:val="center"/>
        <w:rPr>
          <w:rFonts w:ascii="仿宋" w:hAnsi="仿宋" w:eastAsia="仿宋" w:cs="仿宋"/>
          <w:color w:val="auto"/>
          <w:highlight w:val="none"/>
        </w:rPr>
      </w:pPr>
      <w:bookmarkStart w:id="495" w:name="_Toc20849"/>
      <w:bookmarkStart w:id="496" w:name="_Toc20295"/>
      <w:r>
        <w:rPr>
          <w:rFonts w:hint="eastAsia" w:ascii="仿宋" w:hAnsi="仿宋" w:eastAsia="仿宋" w:cs="仿宋"/>
          <w:color w:val="auto"/>
          <w:highlight w:val="none"/>
        </w:rPr>
        <w:t>第六章 应提交的有关格式范例</w:t>
      </w:r>
      <w:bookmarkEnd w:id="495"/>
      <w:bookmarkEnd w:id="496"/>
    </w:p>
    <w:p w14:paraId="5043781F">
      <w:pPr>
        <w:widowControl/>
        <w:tabs>
          <w:tab w:val="left" w:pos="450"/>
          <w:tab w:val="left" w:pos="8280"/>
        </w:tabs>
        <w:spacing w:before="312" w:beforeLines="100" w:after="1560" w:afterLines="500" w:line="360" w:lineRule="auto"/>
        <w:ind w:firstLine="482"/>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（注：未提供格式部分由投标人自拟）</w:t>
      </w:r>
    </w:p>
    <w:p w14:paraId="2A53A857">
      <w:pPr>
        <w:widowControl/>
        <w:tabs>
          <w:tab w:val="left" w:pos="450"/>
          <w:tab w:val="left" w:pos="2520"/>
          <w:tab w:val="left" w:pos="8280"/>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第一部分   封面（格式）</w:t>
      </w:r>
    </w:p>
    <w:p w14:paraId="7919938F">
      <w:pPr>
        <w:widowControl/>
        <w:tabs>
          <w:tab w:val="left" w:pos="8280"/>
        </w:tabs>
        <w:spacing w:line="360" w:lineRule="auto"/>
        <w:ind w:firstLine="480"/>
        <w:jc w:val="center"/>
        <w:rPr>
          <w:rFonts w:ascii="仿宋" w:hAnsi="仿宋" w:eastAsia="仿宋" w:cs="宋体"/>
          <w:b/>
          <w:color w:val="auto"/>
          <w:sz w:val="32"/>
          <w:szCs w:val="32"/>
          <w:highlight w:val="none"/>
        </w:rPr>
      </w:pPr>
    </w:p>
    <w:p w14:paraId="61F5DA01">
      <w:pPr>
        <w:widowControl/>
        <w:tabs>
          <w:tab w:val="left" w:pos="8280"/>
        </w:tabs>
        <w:spacing w:before="624" w:beforeLines="200" w:after="312" w:afterLines="100" w:line="360" w:lineRule="auto"/>
        <w:ind w:firstLine="482"/>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商务技术文件或报价文件</w:t>
      </w:r>
    </w:p>
    <w:p w14:paraId="34AB1995">
      <w:pPr>
        <w:widowControl/>
        <w:tabs>
          <w:tab w:val="left" w:pos="275"/>
          <w:tab w:val="left" w:pos="8280"/>
        </w:tabs>
        <w:spacing w:line="360" w:lineRule="auto"/>
        <w:ind w:firstLine="480"/>
        <w:jc w:val="left"/>
        <w:rPr>
          <w:rFonts w:ascii="宋体" w:hAnsi="宋体" w:cs="宋体"/>
          <w:b/>
          <w:color w:val="auto"/>
          <w:sz w:val="36"/>
          <w:szCs w:val="36"/>
          <w:highlight w:val="none"/>
        </w:rPr>
      </w:pPr>
      <w:r>
        <w:rPr>
          <w:rFonts w:hint="eastAsia" w:ascii="宋体" w:hAnsi="宋体" w:cs="宋体"/>
          <w:b/>
          <w:color w:val="auto"/>
          <w:sz w:val="36"/>
          <w:szCs w:val="36"/>
          <w:highlight w:val="none"/>
        </w:rPr>
        <w:tab/>
      </w:r>
    </w:p>
    <w:p w14:paraId="421F7866">
      <w:pPr>
        <w:widowControl/>
        <w:tabs>
          <w:tab w:val="left" w:pos="275"/>
          <w:tab w:val="left" w:pos="8280"/>
        </w:tabs>
        <w:spacing w:line="360" w:lineRule="auto"/>
        <w:ind w:firstLine="1134"/>
        <w:jc w:val="left"/>
        <w:rPr>
          <w:rFonts w:ascii="宋体" w:hAnsi="宋体" w:cs="宋体"/>
          <w:b/>
          <w:color w:val="auto"/>
          <w:sz w:val="32"/>
          <w:szCs w:val="32"/>
          <w:highlight w:val="none"/>
          <w:u w:val="single"/>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u w:val="single"/>
        </w:rPr>
        <w:t xml:space="preserve">                              </w:t>
      </w:r>
    </w:p>
    <w:p w14:paraId="3A211EA6">
      <w:pPr>
        <w:widowControl/>
        <w:tabs>
          <w:tab w:val="left" w:pos="275"/>
          <w:tab w:val="left" w:pos="8280"/>
        </w:tabs>
        <w:spacing w:line="360" w:lineRule="auto"/>
        <w:ind w:firstLine="1134"/>
        <w:jc w:val="left"/>
        <w:rPr>
          <w:rFonts w:ascii="宋体" w:hAnsi="宋体" w:cs="宋体"/>
          <w:b/>
          <w:color w:val="auto"/>
          <w:sz w:val="32"/>
          <w:szCs w:val="32"/>
          <w:highlight w:val="none"/>
        </w:rPr>
      </w:pPr>
    </w:p>
    <w:p w14:paraId="250163C2">
      <w:pPr>
        <w:widowControl/>
        <w:tabs>
          <w:tab w:val="left" w:pos="275"/>
          <w:tab w:val="left" w:pos="8280"/>
        </w:tabs>
        <w:spacing w:line="360" w:lineRule="auto"/>
        <w:ind w:firstLine="1134"/>
        <w:jc w:val="left"/>
        <w:rPr>
          <w:rFonts w:ascii="宋体" w:hAnsi="宋体" w:cs="宋体"/>
          <w:b/>
          <w:color w:val="auto"/>
          <w:sz w:val="36"/>
          <w:szCs w:val="36"/>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u w:val="single"/>
        </w:rPr>
        <w:t xml:space="preserve">                              </w:t>
      </w:r>
    </w:p>
    <w:p w14:paraId="0C5680D3">
      <w:pPr>
        <w:widowControl/>
        <w:tabs>
          <w:tab w:val="left" w:pos="765"/>
          <w:tab w:val="left" w:pos="8280"/>
        </w:tabs>
        <w:spacing w:line="360" w:lineRule="auto"/>
        <w:ind w:firstLine="1134"/>
        <w:jc w:val="left"/>
        <w:rPr>
          <w:rFonts w:ascii="宋体" w:hAnsi="宋体" w:cs="宋体"/>
          <w:b/>
          <w:color w:val="auto"/>
          <w:sz w:val="36"/>
          <w:szCs w:val="36"/>
          <w:highlight w:val="none"/>
        </w:rPr>
      </w:pPr>
      <w:r>
        <w:rPr>
          <w:rFonts w:hint="eastAsia" w:ascii="宋体" w:hAnsi="宋体" w:cs="宋体"/>
          <w:b/>
          <w:color w:val="auto"/>
          <w:sz w:val="36"/>
          <w:szCs w:val="36"/>
          <w:highlight w:val="none"/>
        </w:rPr>
        <w:tab/>
      </w:r>
    </w:p>
    <w:p w14:paraId="09B3BC8F">
      <w:pPr>
        <w:widowControl/>
        <w:tabs>
          <w:tab w:val="left" w:pos="765"/>
          <w:tab w:val="left" w:pos="8280"/>
        </w:tabs>
        <w:spacing w:line="360" w:lineRule="auto"/>
        <w:ind w:firstLine="1134"/>
        <w:jc w:val="left"/>
        <w:rPr>
          <w:rFonts w:ascii="宋体" w:hAnsi="宋体" w:cs="宋体"/>
          <w:b/>
          <w:color w:val="auto"/>
          <w:sz w:val="36"/>
          <w:szCs w:val="36"/>
          <w:highlight w:val="none"/>
          <w:u w:val="single"/>
        </w:rPr>
      </w:pPr>
      <w:r>
        <w:rPr>
          <w:rFonts w:hint="eastAsia" w:ascii="宋体" w:hAnsi="宋体" w:cs="宋体"/>
          <w:b/>
          <w:color w:val="auto"/>
          <w:spacing w:val="85"/>
          <w:sz w:val="32"/>
          <w:szCs w:val="32"/>
          <w:highlight w:val="none"/>
        </w:rPr>
        <w:t>投标</w:t>
      </w:r>
      <w:r>
        <w:rPr>
          <w:rFonts w:hint="eastAsia" w:ascii="宋体" w:hAnsi="宋体" w:cs="宋体"/>
          <w:b/>
          <w:color w:val="auto"/>
          <w:sz w:val="32"/>
          <w:szCs w:val="32"/>
          <w:highlight w:val="none"/>
        </w:rPr>
        <w:t>人：</w:t>
      </w:r>
      <w:r>
        <w:rPr>
          <w:rFonts w:hint="eastAsia" w:ascii="宋体" w:hAnsi="宋体" w:cs="宋体"/>
          <w:b/>
          <w:color w:val="auto"/>
          <w:sz w:val="32"/>
          <w:szCs w:val="32"/>
          <w:highlight w:val="none"/>
          <w:u w:val="single"/>
        </w:rPr>
        <w:t xml:space="preserve">           （盖章）          </w:t>
      </w:r>
    </w:p>
    <w:p w14:paraId="61CC39A6">
      <w:pPr>
        <w:widowControl/>
        <w:tabs>
          <w:tab w:val="left" w:pos="8280"/>
        </w:tabs>
        <w:spacing w:line="360" w:lineRule="auto"/>
        <w:ind w:firstLine="480"/>
        <w:jc w:val="center"/>
        <w:rPr>
          <w:rFonts w:ascii="宋体" w:hAnsi="宋体" w:cs="宋体"/>
          <w:b/>
          <w:color w:val="auto"/>
          <w:sz w:val="32"/>
          <w:szCs w:val="32"/>
          <w:highlight w:val="none"/>
        </w:rPr>
      </w:pPr>
    </w:p>
    <w:p w14:paraId="635512A0">
      <w:pPr>
        <w:widowControl/>
        <w:tabs>
          <w:tab w:val="left" w:pos="8280"/>
        </w:tabs>
        <w:spacing w:line="360" w:lineRule="auto"/>
        <w:ind w:firstLine="480"/>
        <w:jc w:val="center"/>
        <w:rPr>
          <w:rFonts w:ascii="宋体" w:hAnsi="宋体" w:cs="宋体"/>
          <w:b/>
          <w:color w:val="auto"/>
          <w:sz w:val="32"/>
          <w:szCs w:val="32"/>
          <w:highlight w:val="none"/>
        </w:rPr>
      </w:pPr>
    </w:p>
    <w:p w14:paraId="5E11487E">
      <w:pPr>
        <w:widowControl/>
        <w:tabs>
          <w:tab w:val="left" w:pos="350"/>
          <w:tab w:val="left" w:pos="8280"/>
        </w:tabs>
        <w:spacing w:line="360" w:lineRule="auto"/>
        <w:ind w:firstLine="1134"/>
        <w:jc w:val="left"/>
        <w:rPr>
          <w:rFonts w:ascii="宋体" w:hAnsi="宋体" w:cs="宋体"/>
          <w:b/>
          <w:color w:val="auto"/>
          <w:sz w:val="32"/>
          <w:szCs w:val="32"/>
          <w:highlight w:val="none"/>
        </w:rPr>
      </w:pPr>
      <w:r>
        <w:rPr>
          <w:rFonts w:hint="eastAsia" w:ascii="宋体" w:hAnsi="宋体" w:cs="宋体"/>
          <w:b/>
          <w:color w:val="auto"/>
          <w:spacing w:val="283"/>
          <w:sz w:val="32"/>
          <w:szCs w:val="32"/>
          <w:highlight w:val="none"/>
        </w:rPr>
        <w:t>日</w:t>
      </w:r>
      <w:r>
        <w:rPr>
          <w:rFonts w:hint="eastAsia" w:ascii="宋体" w:hAnsi="宋体" w:cs="宋体"/>
          <w:b/>
          <w:color w:val="auto"/>
          <w:sz w:val="32"/>
          <w:szCs w:val="32"/>
          <w:highlight w:val="none"/>
        </w:rPr>
        <w:t>期：     年     月    日</w:t>
      </w:r>
    </w:p>
    <w:p w14:paraId="50C4BE85">
      <w:pPr>
        <w:widowControl/>
        <w:tabs>
          <w:tab w:val="left" w:pos="350"/>
          <w:tab w:val="left" w:pos="8280"/>
        </w:tabs>
        <w:spacing w:line="360" w:lineRule="auto"/>
        <w:jc w:val="left"/>
        <w:rPr>
          <w:rFonts w:ascii="仿宋" w:hAnsi="仿宋" w:eastAsia="仿宋" w:cs="宋体"/>
          <w:b/>
          <w:color w:val="auto"/>
          <w:sz w:val="32"/>
          <w:szCs w:val="32"/>
          <w:highlight w:val="none"/>
        </w:rPr>
        <w:sectPr>
          <w:footerReference r:id="rId18" w:type="first"/>
          <w:footerReference r:id="rId17" w:type="default"/>
          <w:pgSz w:w="11906" w:h="16838"/>
          <w:pgMar w:top="1247" w:right="1247" w:bottom="1247" w:left="1247" w:header="567" w:footer="454" w:gutter="0"/>
          <w:cols w:space="720" w:num="1"/>
          <w:titlePg/>
          <w:docGrid w:type="lines" w:linePitch="312" w:charSpace="0"/>
        </w:sectPr>
      </w:pPr>
    </w:p>
    <w:p w14:paraId="53BBB4EB">
      <w:pPr>
        <w:widowControl/>
        <w:tabs>
          <w:tab w:val="left" w:pos="450"/>
          <w:tab w:val="left" w:pos="2520"/>
          <w:tab w:val="left" w:pos="8280"/>
        </w:tabs>
        <w:spacing w:before="120" w:beforeLines="50" w:line="360" w:lineRule="auto"/>
        <w:jc w:val="center"/>
        <w:rPr>
          <w:rFonts w:ascii="宋体" w:hAnsi="宋体" w:cs="宋体"/>
          <w:b/>
          <w:color w:val="auto"/>
          <w:sz w:val="36"/>
          <w:szCs w:val="36"/>
          <w:highlight w:val="none"/>
        </w:rPr>
      </w:pPr>
      <w:bookmarkStart w:id="497" w:name="_Toc11122"/>
      <w:r>
        <w:rPr>
          <w:rFonts w:hint="eastAsia" w:ascii="宋体" w:hAnsi="宋体" w:cs="宋体"/>
          <w:b/>
          <w:color w:val="auto"/>
          <w:sz w:val="36"/>
          <w:szCs w:val="36"/>
          <w:highlight w:val="none"/>
        </w:rPr>
        <w:t>第二部分  资格文件部分</w:t>
      </w:r>
      <w:bookmarkEnd w:id="497"/>
      <w:r>
        <w:rPr>
          <w:rFonts w:hint="eastAsia" w:ascii="宋体" w:hAnsi="宋体" w:cs="宋体"/>
          <w:b/>
          <w:color w:val="auto"/>
          <w:sz w:val="36"/>
          <w:szCs w:val="36"/>
          <w:highlight w:val="none"/>
        </w:rPr>
        <w:t>（格式）</w:t>
      </w:r>
    </w:p>
    <w:p w14:paraId="1BB47C7A">
      <w:pPr>
        <w:spacing w:line="360" w:lineRule="auto"/>
        <w:jc w:val="center"/>
        <w:rPr>
          <w:rFonts w:ascii="等线" w:hAnsi="等线" w:eastAsia="等线" w:cs="等线"/>
          <w:b/>
          <w:color w:val="auto"/>
          <w:sz w:val="36"/>
          <w:szCs w:val="36"/>
          <w:highlight w:val="none"/>
        </w:rPr>
      </w:pPr>
    </w:p>
    <w:p w14:paraId="7E549CC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w:t>
      </w:r>
    </w:p>
    <w:p w14:paraId="4B44A08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（2）具有独立承担民事责任的能力的证明材料</w:t>
      </w:r>
    </w:p>
    <w:p w14:paraId="4BF86D3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（3）落实政府采购政策需满足的资格要求（如需）</w:t>
      </w:r>
    </w:p>
    <w:p w14:paraId="3E76F72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（4）本项目的特定资格要求（如需）</w:t>
      </w:r>
    </w:p>
    <w:p w14:paraId="38047AD0">
      <w:pPr>
        <w:snapToGrid w:val="0"/>
        <w:spacing w:line="360" w:lineRule="auto"/>
        <w:ind w:firstLine="480" w:firstLineChars="200"/>
        <w:rPr>
          <w:rFonts w:ascii="等线" w:hAnsi="等线" w:eastAsia="等线" w:cs="等线"/>
          <w:color w:val="auto"/>
          <w:sz w:val="24"/>
          <w:highlight w:val="none"/>
        </w:rPr>
      </w:pPr>
    </w:p>
    <w:p w14:paraId="557A10CA">
      <w:pPr>
        <w:spacing w:line="360" w:lineRule="auto"/>
        <w:ind w:firstLine="480" w:firstLineChars="200"/>
        <w:rPr>
          <w:rFonts w:ascii="等线" w:hAnsi="等线" w:eastAsia="等线" w:cs="等线"/>
          <w:color w:val="auto"/>
          <w:sz w:val="24"/>
          <w:highlight w:val="none"/>
        </w:rPr>
      </w:pPr>
    </w:p>
    <w:p w14:paraId="7C503FC7">
      <w:pPr>
        <w:snapToGrid w:val="0"/>
        <w:spacing w:line="360" w:lineRule="auto"/>
        <w:jc w:val="center"/>
        <w:rPr>
          <w:rFonts w:ascii="等线" w:hAnsi="等线" w:eastAsia="等线" w:cs="等线"/>
          <w:b/>
          <w:color w:val="auto"/>
          <w:sz w:val="32"/>
          <w:szCs w:val="32"/>
          <w:highlight w:val="none"/>
        </w:rPr>
      </w:pPr>
      <w:r>
        <w:rPr>
          <w:rFonts w:hint="eastAsia" w:ascii="等线" w:hAnsi="等线" w:eastAsia="等线" w:cs="等线"/>
          <w:color w:val="auto"/>
          <w:sz w:val="24"/>
          <w:highlight w:val="none"/>
        </w:rPr>
        <w:br w:type="page"/>
      </w:r>
      <w:r>
        <w:rPr>
          <w:rFonts w:hint="eastAsia" w:ascii="宋体" w:hAnsi="宋体" w:cs="宋体"/>
          <w:b/>
          <w:color w:val="auto"/>
          <w:sz w:val="32"/>
          <w:szCs w:val="32"/>
          <w:highlight w:val="none"/>
        </w:rPr>
        <w:t>一、符合参加政府采购活动应当具备的一般条件的承诺函</w:t>
      </w:r>
    </w:p>
    <w:p w14:paraId="71E37CF0">
      <w:pPr>
        <w:autoSpaceDE/>
        <w:autoSpaceDN/>
        <w:snapToGrid w:val="0"/>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诸暨市马剑镇人民政府</w:t>
      </w:r>
      <w:r>
        <w:rPr>
          <w:rFonts w:hint="eastAsia" w:ascii="仿宋" w:hAnsi="仿宋" w:eastAsia="仿宋" w:cs="仿宋"/>
          <w:color w:val="auto"/>
          <w:sz w:val="24"/>
          <w:highlight w:val="none"/>
        </w:rPr>
        <w:t>：</w:t>
      </w:r>
    </w:p>
    <w:p w14:paraId="5B2B5A04">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诸暨市浣江工程咨询有限公司：</w:t>
      </w:r>
    </w:p>
    <w:p w14:paraId="62FE1DB9">
      <w:pPr>
        <w:autoSpaceDE/>
        <w:autoSpaceDN/>
        <w:snapToGrid w:val="0"/>
        <w:spacing w:line="42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诸浣江2025-**-**</w:t>
      </w:r>
      <w:r>
        <w:rPr>
          <w:rFonts w:hint="eastAsia" w:ascii="仿宋" w:hAnsi="仿宋" w:eastAsia="仿宋" w:cs="仿宋"/>
          <w:color w:val="auto"/>
          <w:sz w:val="24"/>
          <w:highlight w:val="none"/>
        </w:rPr>
        <w:t>）政府采购活动，郑重承诺：</w:t>
      </w:r>
    </w:p>
    <w:p w14:paraId="68344DCD">
      <w:pPr>
        <w:autoSpaceDE/>
        <w:autoSpaceDN/>
        <w:snapToGrid w:val="0"/>
        <w:spacing w:line="42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（一）具备《中华人民共和国政府采购法》第二十二条规定的以下条件：</w:t>
      </w:r>
    </w:p>
    <w:p w14:paraId="73C7729F">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D99F6FE">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D9C4A09">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46C7F9B">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9940002">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5F6213D">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02313084">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F9BC835">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7F43612">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C920C66">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1A545BB">
      <w:pPr>
        <w:autoSpaceDE/>
        <w:autoSpaceDN/>
        <w:snapToGrid w:val="0"/>
        <w:spacing w:line="420" w:lineRule="exact"/>
        <w:ind w:firstLine="420" w:firstLineChars="200"/>
        <w:rPr>
          <w:rFonts w:ascii="仿宋" w:hAnsi="仿宋" w:eastAsia="仿宋" w:cs="仿宋"/>
          <w:color w:val="auto"/>
          <w:highlight w:val="none"/>
        </w:rPr>
      </w:pPr>
    </w:p>
    <w:p w14:paraId="21FC112C">
      <w:pPr>
        <w:rPr>
          <w:rFonts w:ascii="仿宋" w:hAnsi="仿宋" w:eastAsia="仿宋" w:cs="仿宋"/>
          <w:color w:val="auto"/>
          <w:highlight w:val="none"/>
        </w:rPr>
      </w:pPr>
    </w:p>
    <w:p w14:paraId="7DBBFB10">
      <w:pPr>
        <w:tabs>
          <w:tab w:val="left" w:pos="432"/>
        </w:tabs>
        <w:rPr>
          <w:rFonts w:ascii="仿宋" w:hAnsi="仿宋" w:eastAsia="仿宋" w:cs="仿宋"/>
          <w:color w:val="auto"/>
          <w:highlight w:val="none"/>
        </w:rPr>
      </w:pPr>
    </w:p>
    <w:p w14:paraId="3A4067B1">
      <w:pPr>
        <w:rPr>
          <w:rFonts w:ascii="仿宋" w:hAnsi="仿宋" w:eastAsia="仿宋" w:cs="仿宋"/>
          <w:color w:val="auto"/>
          <w:highlight w:val="none"/>
        </w:rPr>
      </w:pPr>
    </w:p>
    <w:p w14:paraId="4100207B">
      <w:pPr>
        <w:tabs>
          <w:tab w:val="left" w:pos="432"/>
        </w:tabs>
        <w:rPr>
          <w:rFonts w:ascii="仿宋" w:hAnsi="仿宋" w:eastAsia="仿宋" w:cs="仿宋"/>
          <w:color w:val="auto"/>
          <w:highlight w:val="none"/>
        </w:rPr>
      </w:pPr>
    </w:p>
    <w:p w14:paraId="2D87005A">
      <w:pPr>
        <w:rPr>
          <w:rFonts w:ascii="仿宋" w:hAnsi="仿宋" w:eastAsia="仿宋" w:cs="仿宋"/>
          <w:color w:val="auto"/>
          <w:highlight w:val="none"/>
        </w:rPr>
      </w:pPr>
    </w:p>
    <w:p w14:paraId="33EAA9A5">
      <w:pPr>
        <w:snapToGrid w:val="0"/>
        <w:spacing w:line="360" w:lineRule="auto"/>
        <w:ind w:firstLine="5520" w:firstLineChars="2300"/>
        <w:rPr>
          <w:rFonts w:ascii="仿宋" w:hAnsi="仿宋" w:eastAsia="仿宋" w:cs="仿宋"/>
          <w:color w:val="auto"/>
          <w:sz w:val="24"/>
          <w:highlight w:val="none"/>
        </w:rPr>
      </w:pPr>
      <w:r>
        <w:rPr>
          <w:rFonts w:hint="eastAsia" w:ascii="仿宋" w:hAnsi="仿宋" w:eastAsia="仿宋" w:cs="仿宋"/>
          <w:color w:val="auto"/>
          <w:sz w:val="24"/>
          <w:highlight w:val="none"/>
          <w:lang w:val="zh-CN"/>
        </w:rPr>
        <w:t>投标人名称(电子签名)：</w:t>
      </w:r>
    </w:p>
    <w:p w14:paraId="41DBACA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37451876">
      <w:pPr>
        <w:snapToGrid w:val="0"/>
        <w:spacing w:line="360" w:lineRule="auto"/>
        <w:ind w:right="480"/>
        <w:rPr>
          <w:rFonts w:ascii="仿宋" w:hAnsi="仿宋" w:eastAsia="仿宋" w:cs="仿宋"/>
          <w:b/>
          <w:iCs/>
          <w:color w:val="auto"/>
          <w:sz w:val="32"/>
          <w:szCs w:val="32"/>
          <w:highlight w:val="none"/>
        </w:rPr>
      </w:pPr>
      <w:r>
        <w:rPr>
          <w:rFonts w:hint="eastAsia" w:ascii="仿宋" w:hAnsi="仿宋" w:eastAsia="仿宋" w:cs="仿宋"/>
          <w:b/>
          <w:iCs/>
          <w:color w:val="auto"/>
          <w:sz w:val="24"/>
          <w:szCs w:val="22"/>
          <w:highlight w:val="none"/>
        </w:rPr>
        <w:t>『编制说明』：1.</w:t>
      </w:r>
      <w:r>
        <w:rPr>
          <w:rFonts w:hint="eastAsia" w:ascii="仿宋" w:hAnsi="仿宋" w:eastAsia="仿宋" w:cs="仿宋"/>
          <w:b/>
          <w:iCs/>
          <w:color w:val="auto"/>
          <w:sz w:val="24"/>
          <w:szCs w:val="22"/>
          <w:highlight w:val="none"/>
          <w:u w:val="single"/>
        </w:rPr>
        <w:t>供应商须按本格式和要求提供本函，否则投标无效；</w:t>
      </w:r>
      <w:r>
        <w:rPr>
          <w:rFonts w:hint="eastAsia" w:ascii="仿宋" w:hAnsi="仿宋" w:eastAsia="仿宋" w:cs="仿宋"/>
          <w:b/>
          <w:iCs/>
          <w:color w:val="auto"/>
          <w:sz w:val="24"/>
          <w:szCs w:val="22"/>
          <w:highlight w:val="none"/>
        </w:rPr>
        <w:t>2.</w:t>
      </w:r>
      <w:r>
        <w:rPr>
          <w:rFonts w:hint="eastAsia" w:ascii="仿宋" w:hAnsi="仿宋" w:eastAsia="仿宋" w:cs="仿宋"/>
          <w:b/>
          <w:iCs/>
          <w:color w:val="auto"/>
          <w:sz w:val="24"/>
          <w:szCs w:val="22"/>
          <w:highlight w:val="none"/>
          <w:u w:val="single"/>
        </w:rPr>
        <w:t>投标人为联合体的，联合体各方均须签署并提供本承诺函，否则投标无效。</w:t>
      </w:r>
    </w:p>
    <w:p w14:paraId="1EF4EA86">
      <w:pPr>
        <w:widowControl/>
        <w:spacing w:line="360" w:lineRule="auto"/>
        <w:jc w:val="center"/>
        <w:rPr>
          <w:rFonts w:ascii="宋体" w:hAnsi="宋体" w:cs="宋体"/>
          <w:b/>
          <w:color w:val="auto"/>
          <w:sz w:val="32"/>
          <w:szCs w:val="32"/>
          <w:highlight w:val="none"/>
        </w:rPr>
      </w:pPr>
      <w:r>
        <w:rPr>
          <w:rFonts w:hint="eastAsia" w:ascii="等线" w:hAnsi="等线" w:eastAsia="等线" w:cs="等线"/>
          <w:b/>
          <w:color w:val="auto"/>
          <w:sz w:val="32"/>
          <w:szCs w:val="32"/>
          <w:highlight w:val="none"/>
        </w:rPr>
        <w:br w:type="page"/>
      </w:r>
      <w:r>
        <w:rPr>
          <w:rFonts w:hint="eastAsia" w:ascii="宋体" w:hAnsi="宋体" w:cs="宋体"/>
          <w:b/>
          <w:color w:val="auto"/>
          <w:sz w:val="32"/>
          <w:szCs w:val="32"/>
          <w:highlight w:val="none"/>
        </w:rPr>
        <w:t>二、具有独立承担民事责任能力的证明材料</w:t>
      </w:r>
    </w:p>
    <w:p w14:paraId="31978FE3">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A.如投标人是企业（包括合伙企业），提供在工商部门注册的有效“营业执照”；</w:t>
      </w:r>
    </w:p>
    <w:p w14:paraId="3305C69C">
      <w:pPr>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B.金融、保险、通讯等特定行业的全国性企业所设立的区域性分支机构，除提供供应商自身的营业执照外，还须提供总公司（总机构）授权书，以证明其具备实际承担责任的能力和法定的缔结合同能力。</w:t>
      </w:r>
    </w:p>
    <w:p w14:paraId="2F55B7B9">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C.如投标人是事业单位，提供有效的“事业单位法人证书”；</w:t>
      </w:r>
    </w:p>
    <w:p w14:paraId="1FDD6B5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D.如投标人是非企业专业服务机构的，提供执业许可证等证明文件；</w:t>
      </w:r>
    </w:p>
    <w:p w14:paraId="2166908C">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E.如投标人是个体工商户，提供有效的“个体工商户营业执照”；</w:t>
      </w:r>
    </w:p>
    <w:p w14:paraId="52058E3F">
      <w:pPr>
        <w:pStyle w:val="3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F.如投标人是自然人，提供有效的自然人身份证明。</w:t>
      </w:r>
    </w:p>
    <w:p w14:paraId="04D2CF6B">
      <w:pPr>
        <w:rPr>
          <w:rFonts w:ascii="等线" w:hAnsi="等线" w:eastAsia="等线" w:cs="等线"/>
          <w:b/>
          <w:color w:val="auto"/>
          <w:sz w:val="32"/>
          <w:szCs w:val="32"/>
          <w:highlight w:val="none"/>
        </w:rPr>
      </w:pPr>
    </w:p>
    <w:p w14:paraId="7BC72995">
      <w:pPr>
        <w:snapToGrid w:val="0"/>
        <w:spacing w:line="360" w:lineRule="auto"/>
        <w:ind w:right="480"/>
        <w:jc w:val="center"/>
        <w:rPr>
          <w:rFonts w:ascii="宋体" w:hAnsi="宋体" w:cs="宋体"/>
          <w:b/>
          <w:color w:val="auto"/>
          <w:sz w:val="32"/>
          <w:szCs w:val="32"/>
          <w:highlight w:val="none"/>
        </w:rPr>
      </w:pPr>
      <w:r>
        <w:rPr>
          <w:rFonts w:hint="eastAsia" w:ascii="宋体" w:hAnsi="宋体" w:cs="宋体"/>
          <w:b/>
          <w:color w:val="auto"/>
          <w:sz w:val="32"/>
          <w:szCs w:val="32"/>
          <w:highlight w:val="none"/>
        </w:rPr>
        <w:t>三、落实政府采购政策需满足的资格要求</w:t>
      </w:r>
    </w:p>
    <w:p w14:paraId="2356FDE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EF46020">
      <w:pPr>
        <w:numPr>
          <w:ilvl w:val="0"/>
          <w:numId w:val="8"/>
        </w:numPr>
        <w:autoSpaceDE/>
        <w:autoSpaceDN/>
        <w:snapToGrid w:val="0"/>
        <w:spacing w:line="420" w:lineRule="exact"/>
        <w:ind w:firstLine="480" w:firstLineChars="200"/>
        <w:jc w:val="left"/>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
          <w:color w:val="auto"/>
          <w:sz w:val="24"/>
          <w:highlight w:val="none"/>
        </w:rPr>
        <w:t>格式见</w:t>
      </w:r>
      <w:r>
        <w:rPr>
          <w:rFonts w:hint="eastAsia" w:ascii="仿宋" w:hAnsi="仿宋" w:eastAsia="仿宋" w:cs="仿宋"/>
          <w:color w:val="auto"/>
          <w:kern w:val="2"/>
          <w:sz w:val="24"/>
          <w:szCs w:val="24"/>
          <w:highlight w:val="none"/>
        </w:rPr>
        <w:t xml:space="preserve">附件2）。 </w:t>
      </w:r>
    </w:p>
    <w:p w14:paraId="7B7A3EBC">
      <w:pPr>
        <w:numPr>
          <w:ilvl w:val="0"/>
          <w:numId w:val="8"/>
        </w:numPr>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要求以联合体形式参加的，提供联合协议（</w:t>
      </w:r>
      <w:r>
        <w:rPr>
          <w:rFonts w:hint="eastAsia" w:ascii="仿宋" w:hAnsi="仿宋" w:eastAsia="仿宋" w:cs="仿宋"/>
          <w:color w:val="auto"/>
          <w:sz w:val="24"/>
          <w:highlight w:val="none"/>
        </w:rPr>
        <w:t>格式见附件3）</w:t>
      </w:r>
      <w:r>
        <w:rPr>
          <w:rFonts w:hint="eastAsia" w:ascii="仿宋" w:hAnsi="仿宋" w:eastAsia="仿宋" w:cs="仿宋"/>
          <w:color w:val="auto"/>
          <w:kern w:val="2"/>
          <w:sz w:val="24"/>
          <w:szCs w:val="24"/>
          <w:highlight w:val="none"/>
        </w:rPr>
        <w:t>和中小企业声明函（附件2），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3D0DD15">
      <w:pPr>
        <w:numPr>
          <w:ilvl w:val="0"/>
          <w:numId w:val="8"/>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要求合同分包的，提供分包意向协议（格式见附件4）和中小企业声明函（格式见附件2），分包意向协议中中小企业合同金额应当达到招标公告载明的比例；如果供应商本身提供所有标的均由中小企业制造或承接，视同符合了资格条件，无需再向中小企业分包，无需提供分包意向协议。</w:t>
      </w:r>
    </w:p>
    <w:p w14:paraId="5E32835B">
      <w:pPr>
        <w:pStyle w:val="42"/>
        <w:autoSpaceDE/>
        <w:autoSpaceDN/>
        <w:spacing w:after="0" w:line="420" w:lineRule="exact"/>
        <w:ind w:firstLine="480" w:firstLineChars="200"/>
        <w:rPr>
          <w:rFonts w:ascii="宋体" w:hAnsi="宋体" w:cs="宋体"/>
          <w:color w:val="auto"/>
          <w:kern w:val="2"/>
          <w:sz w:val="24"/>
          <w:szCs w:val="24"/>
          <w:highlight w:val="none"/>
        </w:rPr>
      </w:pPr>
    </w:p>
    <w:p w14:paraId="3776EC9B">
      <w:pP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br w:type="page"/>
      </w:r>
    </w:p>
    <w:p w14:paraId="0C602672">
      <w:pPr>
        <w:widowControl/>
        <w:spacing w:line="360" w:lineRule="auto"/>
        <w:ind w:left="150"/>
        <w:jc w:val="center"/>
        <w:rPr>
          <w:rFonts w:ascii="宋体" w:hAnsi="宋体" w:cs="宋体"/>
          <w:b/>
          <w:color w:val="auto"/>
          <w:sz w:val="32"/>
          <w:szCs w:val="32"/>
          <w:highlight w:val="none"/>
        </w:rPr>
      </w:pPr>
      <w:r>
        <w:rPr>
          <w:rFonts w:hint="eastAsia" w:ascii="宋体" w:hAnsi="宋体" w:cs="宋体"/>
          <w:b/>
          <w:color w:val="auto"/>
          <w:sz w:val="32"/>
          <w:szCs w:val="32"/>
          <w:highlight w:val="none"/>
        </w:rPr>
        <w:t>四、本项目的特定资格要求</w:t>
      </w:r>
    </w:p>
    <w:p w14:paraId="4A182AC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25797B1">
      <w:pPr>
        <w:rPr>
          <w:rFonts w:ascii="宋体" w:hAnsi="宋体" w:cs="宋体"/>
          <w:color w:val="auto"/>
          <w:highlight w:val="none"/>
        </w:rPr>
      </w:pPr>
    </w:p>
    <w:p w14:paraId="02B9AB20">
      <w:pPr>
        <w:snapToGrid w:val="0"/>
        <w:spacing w:line="360" w:lineRule="auto"/>
        <w:ind w:right="480"/>
        <w:jc w:val="center"/>
        <w:rPr>
          <w:rFonts w:ascii="宋体" w:hAnsi="宋体" w:cs="宋体"/>
          <w:b/>
          <w:color w:val="auto"/>
          <w:sz w:val="32"/>
          <w:szCs w:val="32"/>
          <w:highlight w:val="none"/>
        </w:rPr>
      </w:pPr>
    </w:p>
    <w:p w14:paraId="6C5467C3">
      <w:pPr>
        <w:snapToGrid w:val="0"/>
        <w:spacing w:line="360" w:lineRule="auto"/>
        <w:ind w:right="480"/>
        <w:jc w:val="center"/>
        <w:rPr>
          <w:rFonts w:ascii="宋体" w:hAnsi="宋体" w:cs="宋体"/>
          <w:b/>
          <w:color w:val="auto"/>
          <w:sz w:val="32"/>
          <w:szCs w:val="32"/>
          <w:highlight w:val="none"/>
        </w:rPr>
      </w:pPr>
    </w:p>
    <w:p w14:paraId="30FA1EB0">
      <w:pPr>
        <w:snapToGrid w:val="0"/>
        <w:spacing w:line="360" w:lineRule="auto"/>
        <w:ind w:right="480"/>
        <w:jc w:val="center"/>
        <w:rPr>
          <w:rFonts w:ascii="宋体" w:hAnsi="宋体" w:cs="宋体"/>
          <w:b/>
          <w:color w:val="auto"/>
          <w:sz w:val="32"/>
          <w:szCs w:val="32"/>
          <w:highlight w:val="none"/>
        </w:rPr>
      </w:pPr>
    </w:p>
    <w:p w14:paraId="2023C2F7">
      <w:pPr>
        <w:snapToGrid w:val="0"/>
        <w:spacing w:line="360" w:lineRule="auto"/>
        <w:ind w:right="480"/>
        <w:jc w:val="center"/>
        <w:rPr>
          <w:rFonts w:ascii="宋体" w:hAnsi="宋体" w:cs="宋体"/>
          <w:b/>
          <w:color w:val="auto"/>
          <w:sz w:val="32"/>
          <w:szCs w:val="32"/>
          <w:highlight w:val="none"/>
        </w:rPr>
      </w:pPr>
    </w:p>
    <w:p w14:paraId="1B7997A8">
      <w:pPr>
        <w:tabs>
          <w:tab w:val="left" w:pos="432"/>
        </w:tabs>
        <w:rPr>
          <w:rFonts w:ascii="宋体" w:hAnsi="宋体" w:cs="宋体"/>
          <w:color w:val="auto"/>
          <w:highlight w:val="none"/>
        </w:rPr>
      </w:pPr>
    </w:p>
    <w:p w14:paraId="2442B9DD">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41736EF8">
      <w:pPr>
        <w:spacing w:line="360" w:lineRule="auto"/>
        <w:ind w:right="420"/>
        <w:jc w:val="center"/>
        <w:rPr>
          <w:rFonts w:ascii="宋体" w:hAnsi="宋体" w:cs="宋体"/>
          <w:b/>
          <w:color w:val="auto"/>
          <w:sz w:val="36"/>
          <w:szCs w:val="36"/>
          <w:highlight w:val="none"/>
        </w:rPr>
      </w:pPr>
      <w:r>
        <w:rPr>
          <w:rFonts w:hint="eastAsia" w:ascii="仿宋" w:hAnsi="仿宋" w:eastAsia="仿宋"/>
          <w:b/>
          <w:color w:val="auto"/>
          <w:sz w:val="36"/>
          <w:szCs w:val="36"/>
          <w:highlight w:val="none"/>
        </w:rPr>
        <w:t xml:space="preserve">第三部分   </w:t>
      </w:r>
      <w:r>
        <w:rPr>
          <w:rFonts w:hint="eastAsia" w:ascii="宋体" w:hAnsi="宋体" w:cs="宋体"/>
          <w:b/>
          <w:color w:val="auto"/>
          <w:sz w:val="36"/>
          <w:szCs w:val="36"/>
          <w:highlight w:val="none"/>
        </w:rPr>
        <w:t>商务技术文件部分</w:t>
      </w:r>
    </w:p>
    <w:p w14:paraId="1E6B3F71">
      <w:pPr>
        <w:spacing w:line="360" w:lineRule="auto"/>
        <w:jc w:val="center"/>
        <w:rPr>
          <w:rFonts w:ascii="宋体" w:hAnsi="宋体" w:cs="宋体"/>
          <w:b/>
          <w:color w:val="auto"/>
          <w:sz w:val="24"/>
          <w:highlight w:val="none"/>
        </w:rPr>
      </w:pPr>
    </w:p>
    <w:p w14:paraId="30F2E761">
      <w:pPr>
        <w:spacing w:line="360" w:lineRule="auto"/>
        <w:jc w:val="center"/>
        <w:rPr>
          <w:rFonts w:ascii="宋体" w:hAnsi="宋体" w:cs="宋体"/>
          <w:b/>
          <w:color w:val="auto"/>
          <w:sz w:val="28"/>
          <w:szCs w:val="28"/>
          <w:highlight w:val="none"/>
        </w:rPr>
      </w:pPr>
      <w:bookmarkStart w:id="498" w:name="_Toc32001"/>
      <w:r>
        <w:rPr>
          <w:rFonts w:hint="eastAsia" w:ascii="宋体" w:hAnsi="宋体" w:cs="宋体"/>
          <w:b/>
          <w:color w:val="auto"/>
          <w:sz w:val="28"/>
          <w:szCs w:val="28"/>
          <w:highlight w:val="none"/>
        </w:rPr>
        <w:t>目录</w:t>
      </w:r>
      <w:bookmarkEnd w:id="498"/>
    </w:p>
    <w:p w14:paraId="068DFE1B">
      <w:pPr>
        <w:snapToGrid w:val="0"/>
        <w:spacing w:line="360" w:lineRule="auto"/>
        <w:ind w:firstLine="480" w:firstLineChars="200"/>
        <w:jc w:val="distribute"/>
        <w:rPr>
          <w:rFonts w:ascii="仿宋" w:hAnsi="仿宋" w:eastAsia="仿宋" w:cs="仿宋"/>
          <w:color w:val="auto"/>
          <w:sz w:val="24"/>
          <w:highlight w:val="none"/>
        </w:rPr>
      </w:pPr>
      <w:r>
        <w:rPr>
          <w:rFonts w:hint="eastAsia" w:ascii="仿宋" w:hAnsi="仿宋" w:eastAsia="仿宋" w:cs="仿宋"/>
          <w:color w:val="auto"/>
          <w:sz w:val="24"/>
          <w:highlight w:val="none"/>
        </w:rPr>
        <w:t>（1）投标函……………………………………………………………………………（页码）</w:t>
      </w:r>
    </w:p>
    <w:p w14:paraId="2881BFCB">
      <w:pPr>
        <w:snapToGrid w:val="0"/>
        <w:spacing w:line="360" w:lineRule="auto"/>
        <w:ind w:firstLine="480" w:firstLineChars="200"/>
        <w:jc w:val="distribute"/>
        <w:rPr>
          <w:rFonts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CD3D2D9">
      <w:pPr>
        <w:snapToGrid w:val="0"/>
        <w:spacing w:line="360" w:lineRule="auto"/>
        <w:ind w:left="479" w:leftChars="228"/>
        <w:jc w:val="distribute"/>
        <w:rPr>
          <w:rFonts w:ascii="仿宋" w:hAnsi="仿宋" w:eastAsia="仿宋" w:cs="仿宋"/>
          <w:color w:val="auto"/>
          <w:highlight w:val="none"/>
        </w:rPr>
      </w:pPr>
      <w:r>
        <w:rPr>
          <w:rFonts w:hint="eastAsia" w:ascii="仿宋" w:hAnsi="仿宋" w:eastAsia="仿宋" w:cs="仿宋"/>
          <w:color w:val="auto"/>
          <w:sz w:val="24"/>
          <w:highlight w:val="none"/>
        </w:rPr>
        <w:t>（3）联合协议（如需）</w:t>
      </w:r>
      <w:r>
        <w:rPr>
          <w:rFonts w:hint="eastAsia" w:ascii="仿宋" w:hAnsi="仿宋" w:eastAsia="仿宋" w:cs="仿宋"/>
          <w:color w:val="auto"/>
          <w:highlight w:val="none"/>
        </w:rPr>
        <w:t>……………………………………………………………………（页码）</w:t>
      </w:r>
    </w:p>
    <w:p w14:paraId="267F149E">
      <w:pPr>
        <w:snapToGrid w:val="0"/>
        <w:spacing w:line="360" w:lineRule="auto"/>
        <w:ind w:firstLine="480" w:firstLineChars="200"/>
        <w:jc w:val="distribute"/>
        <w:rPr>
          <w:rFonts w:ascii="仿宋" w:hAnsi="仿宋" w:eastAsia="仿宋" w:cs="仿宋"/>
          <w:color w:val="auto"/>
          <w:highlight w:val="none"/>
        </w:rPr>
      </w:pPr>
      <w:r>
        <w:rPr>
          <w:rFonts w:hint="eastAsia" w:ascii="仿宋" w:hAnsi="仿宋" w:eastAsia="仿宋" w:cs="仿宋"/>
          <w:color w:val="auto"/>
          <w:sz w:val="24"/>
          <w:highlight w:val="none"/>
        </w:rPr>
        <w:t>（4）分包意向协议（如需）</w:t>
      </w:r>
      <w:r>
        <w:rPr>
          <w:rFonts w:hint="eastAsia" w:ascii="仿宋" w:hAnsi="仿宋" w:eastAsia="仿宋" w:cs="仿宋"/>
          <w:color w:val="auto"/>
          <w:highlight w:val="none"/>
        </w:rPr>
        <w:t>………………………………………………………………（页码）</w:t>
      </w:r>
    </w:p>
    <w:p w14:paraId="48C296E9">
      <w:pPr>
        <w:snapToGrid w:val="0"/>
        <w:spacing w:line="360" w:lineRule="auto"/>
        <w:ind w:firstLine="480" w:firstLineChars="200"/>
        <w:jc w:val="distribute"/>
        <w:rPr>
          <w:rFonts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14:paraId="7F638A97">
      <w:pPr>
        <w:snapToGrid w:val="0"/>
        <w:spacing w:line="360" w:lineRule="auto"/>
        <w:ind w:left="479" w:leftChars="228"/>
        <w:jc w:val="distribute"/>
        <w:rPr>
          <w:rFonts w:ascii="仿宋" w:hAnsi="仿宋" w:eastAsia="仿宋" w:cs="仿宋"/>
          <w:color w:val="auto"/>
          <w:highlight w:val="none"/>
        </w:rPr>
      </w:pPr>
      <w:r>
        <w:rPr>
          <w:rFonts w:hint="eastAsia" w:ascii="仿宋" w:hAnsi="仿宋" w:eastAsia="仿宋" w:cs="仿宋"/>
          <w:color w:val="auto"/>
          <w:sz w:val="24"/>
          <w:highlight w:val="none"/>
        </w:rPr>
        <w:t>（6）评标标准相应的商务技术资料（如需）</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5239293A">
      <w:pPr>
        <w:snapToGrid w:val="0"/>
        <w:spacing w:line="360" w:lineRule="auto"/>
        <w:ind w:left="479" w:leftChars="228"/>
        <w:jc w:val="distribute"/>
        <w:rPr>
          <w:rFonts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E70A14F">
      <w:pPr>
        <w:snapToGrid w:val="0"/>
        <w:spacing w:line="360" w:lineRule="auto"/>
        <w:ind w:left="479" w:leftChars="228"/>
        <w:jc w:val="distribute"/>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3C3BBBC">
      <w:pPr>
        <w:snapToGrid w:val="0"/>
        <w:spacing w:line="360" w:lineRule="auto"/>
        <w:jc w:val="distribute"/>
        <w:rPr>
          <w:rFonts w:ascii="宋体" w:hAnsi="宋体" w:cs="宋体"/>
          <w:b/>
          <w:color w:val="auto"/>
          <w:sz w:val="32"/>
          <w:szCs w:val="32"/>
          <w:highlight w:val="none"/>
          <w:lang w:val="zh-CN"/>
        </w:rPr>
      </w:pPr>
    </w:p>
    <w:p w14:paraId="2EEC3420">
      <w:pPr>
        <w:snapToGrid w:val="0"/>
        <w:spacing w:line="360" w:lineRule="auto"/>
        <w:jc w:val="center"/>
        <w:rPr>
          <w:rFonts w:ascii="宋体" w:hAnsi="宋体" w:cs="宋体"/>
          <w:b/>
          <w:color w:val="auto"/>
          <w:sz w:val="32"/>
          <w:szCs w:val="32"/>
          <w:highlight w:val="none"/>
        </w:rPr>
      </w:pPr>
    </w:p>
    <w:p w14:paraId="521B0264">
      <w:pPr>
        <w:rPr>
          <w:rFonts w:ascii="宋体" w:hAnsi="宋体" w:cs="宋体"/>
          <w:b/>
          <w:color w:val="auto"/>
          <w:sz w:val="32"/>
          <w:szCs w:val="32"/>
          <w:highlight w:val="none"/>
        </w:rPr>
      </w:pPr>
      <w:bookmarkStart w:id="499" w:name="_Toc22285"/>
      <w:r>
        <w:rPr>
          <w:rFonts w:hint="eastAsia" w:ascii="宋体" w:hAnsi="宋体" w:cs="宋体"/>
          <w:b/>
          <w:color w:val="auto"/>
          <w:sz w:val="32"/>
          <w:szCs w:val="32"/>
          <w:highlight w:val="none"/>
        </w:rPr>
        <w:br w:type="page"/>
      </w:r>
    </w:p>
    <w:p w14:paraId="18B11BFB">
      <w:pPr>
        <w:numPr>
          <w:ilvl w:val="0"/>
          <w:numId w:val="9"/>
        </w:num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投标函</w:t>
      </w:r>
      <w:bookmarkEnd w:id="499"/>
    </w:p>
    <w:p w14:paraId="5D5359EC">
      <w:pPr>
        <w:rPr>
          <w:rFonts w:ascii="仿宋" w:hAnsi="仿宋" w:eastAsia="仿宋" w:cs="仿宋"/>
          <w:color w:val="auto"/>
          <w:sz w:val="24"/>
          <w:highlight w:val="none"/>
        </w:rPr>
      </w:pPr>
      <w:r>
        <w:rPr>
          <w:rFonts w:hint="eastAsia" w:ascii="仿宋" w:hAnsi="仿宋" w:eastAsia="仿宋" w:cs="仿宋"/>
          <w:color w:val="auto"/>
          <w:highlight w:val="none"/>
        </w:rPr>
        <w:t>致：</w:t>
      </w:r>
      <w:r>
        <w:rPr>
          <w:rFonts w:hint="eastAsia" w:ascii="仿宋" w:hAnsi="仿宋" w:eastAsia="仿宋" w:cs="仿宋"/>
          <w:color w:val="auto"/>
          <w:sz w:val="24"/>
          <w:highlight w:val="none"/>
          <w:lang w:eastAsia="zh-CN"/>
        </w:rPr>
        <w:t>诸暨市马剑镇人民政府</w:t>
      </w:r>
      <w:r>
        <w:rPr>
          <w:rFonts w:hint="eastAsia" w:ascii="仿宋" w:hAnsi="仿宋" w:eastAsia="仿宋" w:cs="仿宋"/>
          <w:color w:val="auto"/>
          <w:sz w:val="24"/>
          <w:highlight w:val="none"/>
        </w:rPr>
        <w:t>：</w:t>
      </w:r>
    </w:p>
    <w:p w14:paraId="43870667">
      <w:pPr>
        <w:autoSpaceDE/>
        <w:autoSpaceDN/>
        <w:snapToGrid w:val="0"/>
        <w:spacing w:line="36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诸暨市浣江工程咨询有限公司：</w:t>
      </w:r>
    </w:p>
    <w:p w14:paraId="1E3E115D">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诸浣江2025-**-**</w:t>
      </w:r>
      <w:r>
        <w:rPr>
          <w:rFonts w:hint="eastAsia" w:ascii="仿宋" w:hAnsi="仿宋" w:eastAsia="仿宋" w:cs="仿宋"/>
          <w:color w:val="auto"/>
          <w:sz w:val="24"/>
          <w:highlight w:val="none"/>
        </w:rPr>
        <w:t>）招标的有关活动，并对此项目进行投标。为此：</w:t>
      </w:r>
    </w:p>
    <w:p w14:paraId="78167209">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010DF6E">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8F95413">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B35AEFE">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2.1.1符合参加政府采购活动应当具备的一般条件的证明文件；</w:t>
      </w:r>
    </w:p>
    <w:p w14:paraId="4BC8248D">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7E1A95D0">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08C456D8">
      <w:pPr>
        <w:autoSpaceDE/>
        <w:autoSpaceDN/>
        <w:snapToGrid w:val="0"/>
        <w:spacing w:line="3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B2C3224">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4B801C09">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432A061">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2.2.3联合协议（如果有，格式按附件3）；</w:t>
      </w:r>
    </w:p>
    <w:p w14:paraId="2EB13DC5">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2.2.4分包意向协议（如果有，格式按附件4）；</w:t>
      </w:r>
    </w:p>
    <w:p w14:paraId="0B37D1C1">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3542EDD9">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58B38864">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EB3B1B3">
      <w:pPr>
        <w:autoSpaceDE/>
        <w:autoSpaceDN/>
        <w:snapToGrid w:val="0"/>
        <w:spacing w:line="3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EFB3C52">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436B441">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69E7477">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3B724DDA">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16AA83B1">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A2DB246">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1B42D36">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5558034">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CF495A9">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AC0C90B">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CF8834E">
      <w:pPr>
        <w:spacing w:line="360" w:lineRule="auto"/>
        <w:ind w:firstLine="3600" w:firstLineChars="1500"/>
        <w:rPr>
          <w:rFonts w:ascii="仿宋" w:hAnsi="仿宋" w:eastAsia="仿宋" w:cs="仿宋"/>
          <w:color w:val="auto"/>
          <w:sz w:val="24"/>
          <w:highlight w:val="none"/>
        </w:rPr>
      </w:pPr>
    </w:p>
    <w:p w14:paraId="747CE222">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CA9A26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12755D4">
      <w:pPr>
        <w:snapToGrid w:val="0"/>
        <w:spacing w:line="360" w:lineRule="auto"/>
        <w:ind w:left="420" w:leftChars="200" w:firstLine="4200" w:firstLineChars="1750"/>
        <w:rPr>
          <w:rFonts w:ascii="宋体" w:hAnsi="宋体" w:cs="宋体"/>
          <w:color w:val="auto"/>
          <w:sz w:val="24"/>
          <w:highlight w:val="none"/>
          <w:u w:val="single"/>
          <w:lang w:val="zh-CN"/>
        </w:rPr>
      </w:pPr>
    </w:p>
    <w:p w14:paraId="68BE3B83">
      <w:pP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br w:type="page"/>
      </w:r>
    </w:p>
    <w:p w14:paraId="354FC5F7">
      <w:pPr>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二、授权委托书或法定代表人（单位负责人、自然人本人）身份证明</w:t>
      </w:r>
    </w:p>
    <w:p w14:paraId="6C805B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3000E42">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755444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诸暨市马剑镇人民政府</w:t>
      </w:r>
      <w:r>
        <w:rPr>
          <w:rFonts w:hint="eastAsia" w:ascii="仿宋" w:hAnsi="仿宋" w:eastAsia="仿宋" w:cs="仿宋"/>
          <w:color w:val="auto"/>
          <w:sz w:val="24"/>
          <w:highlight w:val="none"/>
        </w:rPr>
        <w:t>：</w:t>
      </w:r>
    </w:p>
    <w:p w14:paraId="6923FCD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诸暨市浣江工程咨询有限公司：</w:t>
      </w:r>
    </w:p>
    <w:p w14:paraId="3D10D4D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现</w:t>
      </w:r>
      <w:r>
        <w:rPr>
          <w:rFonts w:hint="eastAsia" w:ascii="仿宋" w:hAnsi="仿宋" w:eastAsia="仿宋" w:cs="仿宋"/>
          <w:color w:val="auto"/>
          <w:sz w:val="24"/>
          <w:highlight w:val="none"/>
          <w:lang w:val="zh-CN"/>
        </w:rPr>
        <w:t>委托</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（姓名）为我方代理人（身份证号码：</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，手机：</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诸浣江2025-**-**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政府采购投标的一切事项，其法律后果由我方承担。</w:t>
      </w:r>
    </w:p>
    <w:p w14:paraId="7EFA521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委托期限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自</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日起至</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日止。</w:t>
      </w:r>
    </w:p>
    <w:p w14:paraId="1F5A858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特此告知。</w:t>
      </w:r>
    </w:p>
    <w:p w14:paraId="66431C9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投标人名称(电子签名)：</w:t>
      </w:r>
    </w:p>
    <w:p w14:paraId="4200D101">
      <w:pPr>
        <w:snapToGrid w:val="0"/>
        <w:spacing w:line="360" w:lineRule="auto"/>
        <w:rPr>
          <w:rFonts w:ascii="宋体" w:hAnsi="宋体" w:cs="宋体"/>
          <w:color w:val="auto"/>
          <w:sz w:val="24"/>
          <w:highlight w:val="none"/>
          <w:lang w:val="zh-CN"/>
        </w:rPr>
      </w:pPr>
      <w:r>
        <w:rPr>
          <w:rFonts w:hint="eastAsia" w:ascii="仿宋" w:hAnsi="仿宋" w:eastAsia="仿宋" w:cs="仿宋"/>
          <w:color w:val="auto"/>
          <w:sz w:val="24"/>
          <w:highlight w:val="none"/>
          <w:lang w:val="zh-CN"/>
        </w:rPr>
        <w:t xml:space="preserve">                                                 签发日期：  年  月   </w:t>
      </w:r>
      <w:r>
        <w:rPr>
          <w:rFonts w:hint="eastAsia" w:ascii="宋体" w:hAnsi="宋体" w:cs="宋体"/>
          <w:color w:val="auto"/>
          <w:sz w:val="24"/>
          <w:highlight w:val="none"/>
          <w:lang w:val="zh-CN"/>
        </w:rPr>
        <w:t>日</w:t>
      </w:r>
    </w:p>
    <w:p w14:paraId="60131C23">
      <w:pPr>
        <w:snapToGrid w:val="0"/>
        <w:spacing w:line="360" w:lineRule="auto"/>
        <w:rPr>
          <w:rFonts w:ascii="宋体" w:hAnsi="宋体" w:cs="宋体"/>
          <w:color w:val="auto"/>
          <w:sz w:val="24"/>
          <w:highlight w:val="none"/>
        </w:rPr>
      </w:pPr>
    </w:p>
    <w:p w14:paraId="61DB835A">
      <w:pPr>
        <w:snapToGrid w:val="0"/>
        <w:spacing w:line="360" w:lineRule="auto"/>
        <w:rPr>
          <w:rFonts w:ascii="宋体" w:hAnsi="宋体" w:cs="宋体"/>
          <w:color w:val="auto"/>
          <w:sz w:val="24"/>
          <w:highlight w:val="none"/>
        </w:rPr>
      </w:pPr>
    </w:p>
    <w:p w14:paraId="6F9782C3">
      <w:pPr>
        <w:snapToGrid w:val="0"/>
        <w:spacing w:line="360" w:lineRule="auto"/>
        <w:rPr>
          <w:rFonts w:ascii="宋体" w:hAnsi="宋体" w:cs="宋体"/>
          <w:color w:val="auto"/>
          <w:sz w:val="24"/>
          <w:highlight w:val="none"/>
        </w:rPr>
      </w:pPr>
    </w:p>
    <w:p w14:paraId="782038E5">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 xml:space="preserve">      </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lang w:val="zh-CN"/>
        </w:rPr>
        <w:t>授权委托书（适用于联合体投标）</w:t>
      </w:r>
    </w:p>
    <w:p w14:paraId="292D2C6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诸暨市马剑镇人民政府</w:t>
      </w:r>
      <w:r>
        <w:rPr>
          <w:rFonts w:hint="eastAsia" w:ascii="仿宋" w:hAnsi="仿宋" w:eastAsia="仿宋" w:cs="仿宋"/>
          <w:color w:val="auto"/>
          <w:sz w:val="24"/>
          <w:highlight w:val="none"/>
        </w:rPr>
        <w:t>：</w:t>
      </w:r>
    </w:p>
    <w:p w14:paraId="0F8AC0F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诸暨市浣江工程咨询有限公司：</w:t>
      </w:r>
    </w:p>
    <w:p w14:paraId="42CBC04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现</w:t>
      </w:r>
      <w:r>
        <w:rPr>
          <w:rFonts w:hint="eastAsia" w:ascii="仿宋" w:hAnsi="仿宋" w:eastAsia="仿宋" w:cs="仿宋"/>
          <w:color w:val="auto"/>
          <w:sz w:val="24"/>
          <w:highlight w:val="none"/>
          <w:lang w:val="zh-CN"/>
        </w:rPr>
        <w:t>委托</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（姓名）为我方代理人（身份证号码：</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，手机：</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诸浣江2025-**-**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政府采购投标的一切事项，其法律后果由我方承担。</w:t>
      </w:r>
    </w:p>
    <w:p w14:paraId="4535343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委托期限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自</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日起至</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日止。</w:t>
      </w:r>
    </w:p>
    <w:p w14:paraId="1C457CC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特此告知。</w:t>
      </w:r>
    </w:p>
    <w:p w14:paraId="7939D3ED">
      <w:pPr>
        <w:jc w:val="center"/>
        <w:rPr>
          <w:rFonts w:ascii="仿宋" w:hAnsi="仿宋" w:eastAsia="仿宋" w:cs="仿宋"/>
          <w:b/>
          <w:color w:val="auto"/>
          <w:sz w:val="32"/>
          <w:szCs w:val="32"/>
          <w:highlight w:val="none"/>
        </w:rPr>
      </w:pPr>
    </w:p>
    <w:p w14:paraId="06D4BD3A">
      <w:pPr>
        <w:rPr>
          <w:rFonts w:ascii="仿宋" w:hAnsi="仿宋" w:eastAsia="仿宋" w:cs="仿宋"/>
          <w:color w:val="auto"/>
          <w:highlight w:val="none"/>
        </w:rPr>
      </w:pPr>
    </w:p>
    <w:p w14:paraId="34F69FE5">
      <w:pPr>
        <w:snapToGrid w:val="0"/>
        <w:spacing w:line="360" w:lineRule="auto"/>
        <w:ind w:firstLine="5040" w:firstLineChars="2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联合体成员名称(电子签名/公章)：</w:t>
      </w:r>
    </w:p>
    <w:p w14:paraId="18BC3C1C">
      <w:pPr>
        <w:snapToGrid w:val="0"/>
        <w:spacing w:line="360" w:lineRule="auto"/>
        <w:ind w:firstLine="5040" w:firstLineChars="2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联合体成员名称(电子签名/公章)：</w:t>
      </w:r>
    </w:p>
    <w:p w14:paraId="673D2CD9">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sz w:val="24"/>
          <w:highlight w:val="none"/>
          <w:lang w:val="zh-CN"/>
        </w:rPr>
        <w:t>……</w:t>
      </w:r>
    </w:p>
    <w:p w14:paraId="283717D3">
      <w:p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r>
        <w:rPr>
          <w:rFonts w:hint="eastAsia" w:ascii="仿宋" w:hAnsi="仿宋" w:eastAsia="仿宋" w:cs="仿宋"/>
          <w:color w:val="auto"/>
          <w:sz w:val="24"/>
          <w:highlight w:val="none"/>
          <w:lang w:val="zh-CN"/>
        </w:rPr>
        <w:t>日期：  年  月   日</w:t>
      </w:r>
    </w:p>
    <w:p w14:paraId="5E4C19AE">
      <w:pPr>
        <w:spacing w:line="420" w:lineRule="exact"/>
        <w:jc w:val="center"/>
        <w:rPr>
          <w:rFonts w:ascii="宋体" w:hAnsi="宋体" w:cs="宋体"/>
          <w:b/>
          <w:color w:val="auto"/>
          <w:sz w:val="32"/>
          <w:szCs w:val="32"/>
          <w:highlight w:val="none"/>
          <w:lang w:val="zh-CN"/>
        </w:rPr>
      </w:pPr>
    </w:p>
    <w:p w14:paraId="1762C051">
      <w:pPr>
        <w:spacing w:line="420" w:lineRule="exact"/>
        <w:jc w:val="center"/>
        <w:rPr>
          <w:rFonts w:ascii="宋体" w:hAnsi="宋体" w:cs="宋体"/>
          <w:b/>
          <w:color w:val="auto"/>
          <w:sz w:val="32"/>
          <w:szCs w:val="32"/>
          <w:highlight w:val="none"/>
          <w:lang w:val="zh-CN"/>
        </w:rPr>
      </w:pPr>
    </w:p>
    <w:p w14:paraId="385D6D37">
      <w:pPr>
        <w:spacing w:line="420" w:lineRule="exact"/>
        <w:jc w:val="center"/>
        <w:rPr>
          <w:rFonts w:ascii="宋体" w:hAnsi="宋体" w:cs="宋体"/>
          <w:b/>
          <w:color w:val="auto"/>
          <w:sz w:val="24"/>
          <w:highlight w:val="none"/>
        </w:rPr>
      </w:pPr>
      <w:r>
        <w:rPr>
          <w:rFonts w:hint="eastAsia" w:ascii="宋体" w:hAnsi="宋体" w:cs="宋体"/>
          <w:b/>
          <w:color w:val="auto"/>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6C1BC">
      <w:pPr>
        <w:pStyle w:val="43"/>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3B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C107A1">
            <w:pPr>
              <w:pStyle w:val="43"/>
              <w:adjustRightInd w:val="0"/>
              <w:spacing w:line="360" w:lineRule="auto"/>
              <w:rPr>
                <w:rFonts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14:paraId="073DE744">
            <w:pPr>
              <w:pStyle w:val="43"/>
              <w:adjustRightInd w:val="0"/>
              <w:spacing w:line="360" w:lineRule="auto"/>
              <w:rPr>
                <w:rFonts w:ascii="仿宋" w:hAnsi="仿宋" w:eastAsia="仿宋" w:cs="仿宋"/>
                <w:bCs/>
                <w:color w:val="auto"/>
                <w:sz w:val="24"/>
                <w:szCs w:val="21"/>
                <w:highlight w:val="none"/>
              </w:rPr>
            </w:pPr>
          </w:p>
        </w:tc>
      </w:tr>
    </w:tbl>
    <w:p w14:paraId="1AFA2F31">
      <w:pPr>
        <w:snapToGrid w:val="0"/>
        <w:spacing w:line="360" w:lineRule="auto"/>
        <w:ind w:firstLine="576"/>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w:t>
      </w:r>
    </w:p>
    <w:p w14:paraId="417D6D07">
      <w:pPr>
        <w:snapToGrid w:val="0"/>
        <w:spacing w:line="360" w:lineRule="auto"/>
        <w:ind w:firstLine="576"/>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投标人名称(电子签名)：                              </w:t>
      </w:r>
    </w:p>
    <w:p w14:paraId="4A11020C">
      <w:pPr>
        <w:spacing w:line="360"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日期：  年  月  日</w:t>
      </w:r>
    </w:p>
    <w:p w14:paraId="391ABC44">
      <w:pPr>
        <w:jc w:val="center"/>
        <w:rPr>
          <w:rFonts w:ascii="宋体" w:hAnsi="宋体" w:cs="宋体"/>
          <w:b/>
          <w:color w:val="auto"/>
          <w:sz w:val="32"/>
          <w:szCs w:val="32"/>
          <w:highlight w:val="none"/>
        </w:rPr>
      </w:pPr>
    </w:p>
    <w:p w14:paraId="4CED5976">
      <w:pPr>
        <w:jc w:val="center"/>
        <w:rPr>
          <w:rFonts w:ascii="宋体" w:hAnsi="宋体" w:cs="宋体"/>
          <w:b/>
          <w:color w:val="auto"/>
          <w:sz w:val="32"/>
          <w:szCs w:val="32"/>
          <w:highlight w:val="none"/>
        </w:rPr>
      </w:pPr>
    </w:p>
    <w:p w14:paraId="7D595A5F">
      <w:pPr>
        <w:jc w:val="center"/>
        <w:rPr>
          <w:rFonts w:ascii="宋体" w:hAnsi="宋体" w:cs="宋体"/>
          <w:b/>
          <w:color w:val="auto"/>
          <w:sz w:val="32"/>
          <w:szCs w:val="32"/>
          <w:highlight w:val="none"/>
        </w:rPr>
      </w:pPr>
    </w:p>
    <w:p w14:paraId="2C0D5DED">
      <w:pPr>
        <w:jc w:val="center"/>
        <w:rPr>
          <w:rFonts w:ascii="宋体" w:hAnsi="宋体" w:cs="宋体"/>
          <w:b/>
          <w:color w:val="auto"/>
          <w:sz w:val="32"/>
          <w:szCs w:val="32"/>
          <w:highlight w:val="none"/>
        </w:rPr>
      </w:pPr>
    </w:p>
    <w:p w14:paraId="6B903730">
      <w:pPr>
        <w:jc w:val="center"/>
        <w:rPr>
          <w:rFonts w:ascii="宋体" w:hAnsi="宋体" w:cs="宋体"/>
          <w:b/>
          <w:color w:val="auto"/>
          <w:sz w:val="32"/>
          <w:szCs w:val="32"/>
          <w:highlight w:val="none"/>
        </w:rPr>
      </w:pPr>
    </w:p>
    <w:p w14:paraId="471EBAF3">
      <w:pPr>
        <w:jc w:val="center"/>
        <w:rPr>
          <w:rFonts w:ascii="宋体" w:hAnsi="宋体" w:cs="宋体"/>
          <w:b/>
          <w:color w:val="auto"/>
          <w:sz w:val="32"/>
          <w:szCs w:val="32"/>
          <w:highlight w:val="none"/>
        </w:rPr>
      </w:pPr>
    </w:p>
    <w:p w14:paraId="1DCC60EC">
      <w:pPr>
        <w:jc w:val="center"/>
        <w:rPr>
          <w:rFonts w:ascii="宋体" w:hAnsi="宋体" w:cs="宋体"/>
          <w:b/>
          <w:color w:val="auto"/>
          <w:sz w:val="32"/>
          <w:szCs w:val="32"/>
          <w:highlight w:val="none"/>
        </w:rPr>
      </w:pPr>
    </w:p>
    <w:p w14:paraId="3F3FCCE9">
      <w:pPr>
        <w:tabs>
          <w:tab w:val="left" w:pos="432"/>
        </w:tabs>
        <w:rPr>
          <w:rFonts w:ascii="宋体" w:hAnsi="宋体" w:cs="宋体"/>
          <w:color w:val="auto"/>
          <w:highlight w:val="none"/>
        </w:rPr>
      </w:pPr>
    </w:p>
    <w:p w14:paraId="1CDC3596">
      <w:pPr>
        <w:rPr>
          <w:rFonts w:ascii="宋体" w:hAnsi="宋体" w:cs="宋体"/>
          <w:b/>
          <w:color w:val="auto"/>
          <w:sz w:val="32"/>
          <w:szCs w:val="32"/>
          <w:highlight w:val="none"/>
        </w:rPr>
      </w:pPr>
    </w:p>
    <w:p w14:paraId="4B76CC76">
      <w:pPr>
        <w:jc w:val="center"/>
        <w:rPr>
          <w:rFonts w:ascii="宋体" w:hAnsi="宋体" w:cs="宋体"/>
          <w:b/>
          <w:color w:val="auto"/>
          <w:sz w:val="32"/>
          <w:szCs w:val="32"/>
          <w:highlight w:val="none"/>
        </w:rPr>
      </w:pPr>
    </w:p>
    <w:p w14:paraId="47A99373">
      <w:pPr>
        <w:jc w:val="center"/>
        <w:rPr>
          <w:rFonts w:ascii="宋体" w:hAnsi="宋体" w:cs="宋体"/>
          <w:b/>
          <w:color w:val="auto"/>
          <w:sz w:val="32"/>
          <w:szCs w:val="32"/>
          <w:highlight w:val="none"/>
        </w:rPr>
      </w:pPr>
    </w:p>
    <w:p w14:paraId="2BC4EF3D">
      <w:pPr>
        <w:jc w:val="center"/>
        <w:rPr>
          <w:rFonts w:ascii="宋体" w:hAnsi="宋体" w:cs="宋体"/>
          <w:b/>
          <w:color w:val="auto"/>
          <w:sz w:val="32"/>
          <w:szCs w:val="32"/>
          <w:highlight w:val="none"/>
        </w:rPr>
      </w:pPr>
    </w:p>
    <w:p w14:paraId="157521B1">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594B48BA">
      <w:pPr>
        <w:autoSpaceDE/>
        <w:autoSpaceDN/>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三、符合性审查资料</w:t>
      </w:r>
    </w:p>
    <w:p w14:paraId="67835A10">
      <w:pPr>
        <w:autoSpaceDE/>
        <w:autoSpaceDN/>
        <w:spacing w:line="420" w:lineRule="exact"/>
        <w:jc w:val="center"/>
        <w:rPr>
          <w:rFonts w:ascii="宋体" w:hAnsi="宋体" w:cs="宋体"/>
          <w:b/>
          <w:color w:val="auto"/>
          <w:sz w:val="32"/>
          <w:szCs w:val="32"/>
          <w:highlight w:val="none"/>
        </w:rPr>
      </w:pPr>
    </w:p>
    <w:tbl>
      <w:tblPr>
        <w:tblStyle w:val="23"/>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664"/>
        <w:gridCol w:w="3225"/>
        <w:gridCol w:w="736"/>
      </w:tblGrid>
      <w:tr w14:paraId="6819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84" w:type="dxa"/>
            <w:vAlign w:val="center"/>
          </w:tcPr>
          <w:p w14:paraId="26F15DE7">
            <w:pPr>
              <w:autoSpaceDE/>
              <w:autoSpaceDN/>
              <w:snapToGrid w:val="0"/>
              <w:spacing w:line="42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664" w:type="dxa"/>
            <w:vAlign w:val="center"/>
          </w:tcPr>
          <w:p w14:paraId="22A01D50">
            <w:pPr>
              <w:autoSpaceDE/>
              <w:autoSpaceDN/>
              <w:snapToGrid w:val="0"/>
              <w:spacing w:line="42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225" w:type="dxa"/>
            <w:vAlign w:val="center"/>
          </w:tcPr>
          <w:p w14:paraId="4C0781F9">
            <w:pPr>
              <w:autoSpaceDE/>
              <w:autoSpaceDN/>
              <w:snapToGrid w:val="0"/>
              <w:spacing w:line="42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736" w:type="dxa"/>
            <w:vAlign w:val="center"/>
          </w:tcPr>
          <w:p w14:paraId="0B5C6722">
            <w:pPr>
              <w:autoSpaceDE/>
              <w:autoSpaceDN/>
              <w:snapToGrid w:val="0"/>
              <w:spacing w:line="42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w:t>
            </w:r>
          </w:p>
        </w:tc>
      </w:tr>
      <w:tr w14:paraId="1AB0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15F29190">
            <w:pPr>
              <w:autoSpaceDE/>
              <w:autoSpaceDN/>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664" w:type="dxa"/>
          </w:tcPr>
          <w:p w14:paraId="4825E77F">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225" w:type="dxa"/>
            <w:vAlign w:val="center"/>
          </w:tcPr>
          <w:p w14:paraId="0C28D366">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736" w:type="dxa"/>
            <w:vAlign w:val="center"/>
          </w:tcPr>
          <w:p w14:paraId="79CF06F1">
            <w:pPr>
              <w:autoSpaceDE/>
              <w:autoSpaceDN/>
              <w:spacing w:line="420" w:lineRule="exact"/>
              <w:rPr>
                <w:rFonts w:ascii="仿宋" w:hAnsi="仿宋" w:eastAsia="仿宋" w:cs="仿宋"/>
                <w:color w:val="auto"/>
                <w:sz w:val="24"/>
                <w:highlight w:val="none"/>
              </w:rPr>
            </w:pPr>
          </w:p>
        </w:tc>
      </w:tr>
      <w:tr w14:paraId="21DF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25992DE2">
            <w:pPr>
              <w:autoSpaceDE/>
              <w:autoSpaceDN/>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664" w:type="dxa"/>
          </w:tcPr>
          <w:p w14:paraId="10587433">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225" w:type="dxa"/>
            <w:vAlign w:val="center"/>
          </w:tcPr>
          <w:p w14:paraId="6272B6A4">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736" w:type="dxa"/>
            <w:vAlign w:val="center"/>
          </w:tcPr>
          <w:p w14:paraId="7F656E46">
            <w:pPr>
              <w:autoSpaceDE/>
              <w:autoSpaceDN/>
              <w:spacing w:line="420" w:lineRule="exact"/>
              <w:rPr>
                <w:rFonts w:ascii="仿宋" w:hAnsi="仿宋" w:eastAsia="仿宋" w:cs="仿宋"/>
                <w:color w:val="auto"/>
                <w:sz w:val="24"/>
                <w:highlight w:val="none"/>
              </w:rPr>
            </w:pPr>
          </w:p>
        </w:tc>
      </w:tr>
      <w:tr w14:paraId="5115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6437C17B">
            <w:pPr>
              <w:autoSpaceDE/>
              <w:autoSpaceDN/>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664" w:type="dxa"/>
          </w:tcPr>
          <w:p w14:paraId="5C312F89">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225" w:type="dxa"/>
            <w:vAlign w:val="center"/>
          </w:tcPr>
          <w:p w14:paraId="2E38CF28">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736" w:type="dxa"/>
            <w:vAlign w:val="center"/>
          </w:tcPr>
          <w:p w14:paraId="3EEF7DAC">
            <w:pPr>
              <w:autoSpaceDE/>
              <w:autoSpaceDN/>
              <w:spacing w:line="420" w:lineRule="exact"/>
              <w:rPr>
                <w:rFonts w:ascii="仿宋" w:hAnsi="仿宋" w:eastAsia="仿宋" w:cs="仿宋"/>
                <w:color w:val="auto"/>
                <w:sz w:val="24"/>
                <w:highlight w:val="none"/>
              </w:rPr>
            </w:pPr>
          </w:p>
        </w:tc>
      </w:tr>
      <w:tr w14:paraId="5FB1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625C3DEC">
            <w:pPr>
              <w:autoSpaceDE/>
              <w:autoSpaceDN/>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664" w:type="dxa"/>
          </w:tcPr>
          <w:p w14:paraId="39AC2F71">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225" w:type="dxa"/>
            <w:vAlign w:val="center"/>
          </w:tcPr>
          <w:p w14:paraId="0BF6352F">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招标文件其它实质性要求相应的材料（“★” 系指实质性要求条款，招标文件无其它实质性要求的，无需提供）</w:t>
            </w:r>
          </w:p>
        </w:tc>
        <w:tc>
          <w:tcPr>
            <w:tcW w:w="736" w:type="dxa"/>
            <w:vAlign w:val="center"/>
          </w:tcPr>
          <w:p w14:paraId="3A649F2E">
            <w:pPr>
              <w:autoSpaceDE/>
              <w:autoSpaceDN/>
              <w:spacing w:line="420" w:lineRule="exact"/>
              <w:rPr>
                <w:rFonts w:ascii="仿宋" w:hAnsi="仿宋" w:eastAsia="仿宋" w:cs="仿宋"/>
                <w:color w:val="auto"/>
                <w:sz w:val="24"/>
                <w:highlight w:val="none"/>
              </w:rPr>
            </w:pPr>
          </w:p>
        </w:tc>
      </w:tr>
    </w:tbl>
    <w:p w14:paraId="68379221">
      <w:pPr>
        <w:rPr>
          <w:rFonts w:ascii="宋体" w:hAnsi="宋体" w:cs="宋体"/>
          <w:b/>
          <w:color w:val="auto"/>
          <w:sz w:val="32"/>
          <w:szCs w:val="32"/>
          <w:highlight w:val="none"/>
        </w:rPr>
      </w:pPr>
    </w:p>
    <w:p w14:paraId="347940E3">
      <w:pPr>
        <w:jc w:val="center"/>
        <w:rPr>
          <w:rFonts w:ascii="宋体" w:hAnsi="宋体" w:cs="宋体"/>
          <w:color w:val="auto"/>
          <w:highlight w:val="none"/>
        </w:rPr>
      </w:pPr>
      <w:r>
        <w:rPr>
          <w:rFonts w:hint="eastAsia" w:ascii="宋体" w:hAnsi="宋体" w:cs="宋体"/>
          <w:b/>
          <w:color w:val="auto"/>
          <w:sz w:val="32"/>
          <w:szCs w:val="32"/>
          <w:highlight w:val="none"/>
        </w:rPr>
        <w:t>四、评标标准相应的商务技术资料</w:t>
      </w:r>
    </w:p>
    <w:p w14:paraId="5D80EB8C">
      <w:pPr>
        <w:snapToGrid w:val="0"/>
        <w:spacing w:line="360" w:lineRule="auto"/>
        <w:jc w:val="left"/>
        <w:rPr>
          <w:rFonts w:ascii="宋体" w:hAnsi="宋体" w:cs="宋体"/>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r>
        <w:rPr>
          <w:rFonts w:hint="eastAsia" w:ascii="宋体" w:hAnsi="宋体" w:cs="宋体"/>
          <w:b/>
          <w:color w:val="auto"/>
          <w:sz w:val="24"/>
          <w:highlight w:val="none"/>
        </w:rPr>
        <w:t>）</w:t>
      </w:r>
    </w:p>
    <w:p w14:paraId="33A17656">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五、商务技术偏离表</w:t>
      </w:r>
    </w:p>
    <w:tbl>
      <w:tblPr>
        <w:tblStyle w:val="23"/>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60"/>
        <w:gridCol w:w="2762"/>
        <w:gridCol w:w="1557"/>
      </w:tblGrid>
      <w:tr w14:paraId="5E5D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14:paraId="49C33F31">
            <w:pPr>
              <w:pStyle w:val="11"/>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内容</w:t>
            </w:r>
          </w:p>
        </w:tc>
        <w:tc>
          <w:tcPr>
            <w:tcW w:w="2960" w:type="dxa"/>
            <w:vAlign w:val="center"/>
          </w:tcPr>
          <w:p w14:paraId="0322A0AA">
            <w:pPr>
              <w:pStyle w:val="11"/>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招标文件规范要求</w:t>
            </w:r>
          </w:p>
        </w:tc>
        <w:tc>
          <w:tcPr>
            <w:tcW w:w="2762" w:type="dxa"/>
            <w:vAlign w:val="center"/>
          </w:tcPr>
          <w:p w14:paraId="6DB1AF3E">
            <w:pPr>
              <w:pStyle w:val="11"/>
              <w:spacing w:line="360" w:lineRule="exact"/>
              <w:rPr>
                <w:rFonts w:ascii="仿宋" w:hAnsi="仿宋" w:eastAsia="仿宋" w:cs="仿宋"/>
                <w:color w:val="auto"/>
                <w:szCs w:val="24"/>
                <w:highlight w:val="none"/>
              </w:rPr>
            </w:pPr>
            <w:r>
              <w:rPr>
                <w:rFonts w:hint="eastAsia" w:ascii="仿宋" w:hAnsi="仿宋" w:eastAsia="仿宋" w:cs="仿宋"/>
                <w:color w:val="auto"/>
                <w:szCs w:val="24"/>
                <w:highlight w:val="none"/>
              </w:rPr>
              <w:t>投标文件对应规范</w:t>
            </w:r>
          </w:p>
        </w:tc>
        <w:tc>
          <w:tcPr>
            <w:tcW w:w="1557" w:type="dxa"/>
            <w:vAlign w:val="center"/>
          </w:tcPr>
          <w:p w14:paraId="12BF84F4">
            <w:pPr>
              <w:pStyle w:val="11"/>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偏离情况</w:t>
            </w:r>
          </w:p>
        </w:tc>
      </w:tr>
      <w:tr w14:paraId="0702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14:paraId="07552C44">
            <w:pPr>
              <w:pStyle w:val="11"/>
              <w:spacing w:line="360" w:lineRule="exact"/>
              <w:jc w:val="center"/>
              <w:rPr>
                <w:rFonts w:ascii="仿宋" w:hAnsi="仿宋" w:eastAsia="仿宋" w:cs="仿宋"/>
                <w:color w:val="auto"/>
                <w:szCs w:val="24"/>
                <w:highlight w:val="none"/>
              </w:rPr>
            </w:pPr>
          </w:p>
        </w:tc>
        <w:tc>
          <w:tcPr>
            <w:tcW w:w="2960" w:type="dxa"/>
            <w:vAlign w:val="center"/>
          </w:tcPr>
          <w:p w14:paraId="35FD9132">
            <w:pPr>
              <w:pStyle w:val="11"/>
              <w:spacing w:line="360" w:lineRule="exact"/>
              <w:jc w:val="center"/>
              <w:rPr>
                <w:rFonts w:ascii="仿宋" w:hAnsi="仿宋" w:eastAsia="仿宋" w:cs="仿宋"/>
                <w:color w:val="auto"/>
                <w:szCs w:val="24"/>
                <w:highlight w:val="none"/>
              </w:rPr>
            </w:pPr>
          </w:p>
        </w:tc>
        <w:tc>
          <w:tcPr>
            <w:tcW w:w="2762" w:type="dxa"/>
            <w:vAlign w:val="center"/>
          </w:tcPr>
          <w:p w14:paraId="72C24779">
            <w:pPr>
              <w:pStyle w:val="11"/>
              <w:spacing w:line="360" w:lineRule="exact"/>
              <w:jc w:val="center"/>
              <w:rPr>
                <w:rFonts w:ascii="仿宋" w:hAnsi="仿宋" w:eastAsia="仿宋" w:cs="仿宋"/>
                <w:color w:val="auto"/>
                <w:szCs w:val="24"/>
                <w:highlight w:val="none"/>
              </w:rPr>
            </w:pPr>
          </w:p>
        </w:tc>
        <w:tc>
          <w:tcPr>
            <w:tcW w:w="1557" w:type="dxa"/>
            <w:vAlign w:val="center"/>
          </w:tcPr>
          <w:p w14:paraId="045A1F29">
            <w:pPr>
              <w:pStyle w:val="11"/>
              <w:spacing w:line="360" w:lineRule="exact"/>
              <w:jc w:val="center"/>
              <w:rPr>
                <w:rFonts w:ascii="仿宋" w:hAnsi="仿宋" w:eastAsia="仿宋" w:cs="仿宋"/>
                <w:color w:val="auto"/>
                <w:szCs w:val="24"/>
                <w:highlight w:val="none"/>
              </w:rPr>
            </w:pPr>
          </w:p>
        </w:tc>
      </w:tr>
      <w:tr w14:paraId="0E6D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14:paraId="3E7425A9">
            <w:pPr>
              <w:pStyle w:val="11"/>
              <w:spacing w:line="360" w:lineRule="exact"/>
              <w:jc w:val="center"/>
              <w:rPr>
                <w:rFonts w:ascii="仿宋" w:hAnsi="仿宋" w:eastAsia="仿宋" w:cs="仿宋"/>
                <w:color w:val="auto"/>
                <w:szCs w:val="24"/>
                <w:highlight w:val="none"/>
              </w:rPr>
            </w:pPr>
          </w:p>
        </w:tc>
        <w:tc>
          <w:tcPr>
            <w:tcW w:w="2960" w:type="dxa"/>
            <w:vAlign w:val="center"/>
          </w:tcPr>
          <w:p w14:paraId="34B5ED5D">
            <w:pPr>
              <w:pStyle w:val="11"/>
              <w:spacing w:line="360" w:lineRule="exact"/>
              <w:jc w:val="center"/>
              <w:rPr>
                <w:rFonts w:ascii="仿宋" w:hAnsi="仿宋" w:eastAsia="仿宋" w:cs="仿宋"/>
                <w:color w:val="auto"/>
                <w:szCs w:val="24"/>
                <w:highlight w:val="none"/>
              </w:rPr>
            </w:pPr>
          </w:p>
        </w:tc>
        <w:tc>
          <w:tcPr>
            <w:tcW w:w="2762" w:type="dxa"/>
            <w:vAlign w:val="center"/>
          </w:tcPr>
          <w:p w14:paraId="1F6E585D">
            <w:pPr>
              <w:pStyle w:val="11"/>
              <w:spacing w:line="360" w:lineRule="exact"/>
              <w:jc w:val="center"/>
              <w:rPr>
                <w:rFonts w:ascii="仿宋" w:hAnsi="仿宋" w:eastAsia="仿宋" w:cs="仿宋"/>
                <w:color w:val="auto"/>
                <w:szCs w:val="24"/>
                <w:highlight w:val="none"/>
              </w:rPr>
            </w:pPr>
          </w:p>
        </w:tc>
        <w:tc>
          <w:tcPr>
            <w:tcW w:w="1557" w:type="dxa"/>
            <w:vAlign w:val="center"/>
          </w:tcPr>
          <w:p w14:paraId="210C1D1F">
            <w:pPr>
              <w:pStyle w:val="11"/>
              <w:spacing w:line="360" w:lineRule="exact"/>
              <w:jc w:val="center"/>
              <w:rPr>
                <w:rFonts w:ascii="仿宋" w:hAnsi="仿宋" w:eastAsia="仿宋" w:cs="仿宋"/>
                <w:color w:val="auto"/>
                <w:szCs w:val="24"/>
                <w:highlight w:val="none"/>
              </w:rPr>
            </w:pPr>
          </w:p>
        </w:tc>
      </w:tr>
      <w:tr w14:paraId="4110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14:paraId="5E982DC6">
            <w:pPr>
              <w:pStyle w:val="11"/>
              <w:spacing w:line="360" w:lineRule="exact"/>
              <w:jc w:val="center"/>
              <w:rPr>
                <w:rFonts w:ascii="仿宋" w:hAnsi="仿宋" w:eastAsia="仿宋" w:cs="仿宋"/>
                <w:color w:val="auto"/>
                <w:szCs w:val="24"/>
                <w:highlight w:val="none"/>
              </w:rPr>
            </w:pPr>
          </w:p>
        </w:tc>
        <w:tc>
          <w:tcPr>
            <w:tcW w:w="2960" w:type="dxa"/>
            <w:vAlign w:val="center"/>
          </w:tcPr>
          <w:p w14:paraId="5D64CFB0">
            <w:pPr>
              <w:pStyle w:val="11"/>
              <w:spacing w:line="360" w:lineRule="exact"/>
              <w:jc w:val="center"/>
              <w:rPr>
                <w:rFonts w:ascii="仿宋" w:hAnsi="仿宋" w:eastAsia="仿宋" w:cs="仿宋"/>
                <w:color w:val="auto"/>
                <w:szCs w:val="24"/>
                <w:highlight w:val="none"/>
              </w:rPr>
            </w:pPr>
          </w:p>
        </w:tc>
        <w:tc>
          <w:tcPr>
            <w:tcW w:w="2762" w:type="dxa"/>
            <w:vAlign w:val="center"/>
          </w:tcPr>
          <w:p w14:paraId="61CEAF3C">
            <w:pPr>
              <w:pStyle w:val="11"/>
              <w:spacing w:line="360" w:lineRule="exact"/>
              <w:jc w:val="center"/>
              <w:rPr>
                <w:rFonts w:ascii="仿宋" w:hAnsi="仿宋" w:eastAsia="仿宋" w:cs="仿宋"/>
                <w:color w:val="auto"/>
                <w:szCs w:val="24"/>
                <w:highlight w:val="none"/>
              </w:rPr>
            </w:pPr>
          </w:p>
        </w:tc>
        <w:tc>
          <w:tcPr>
            <w:tcW w:w="1557" w:type="dxa"/>
            <w:vAlign w:val="center"/>
          </w:tcPr>
          <w:p w14:paraId="25022990">
            <w:pPr>
              <w:pStyle w:val="11"/>
              <w:spacing w:line="360" w:lineRule="exact"/>
              <w:jc w:val="center"/>
              <w:rPr>
                <w:rFonts w:ascii="仿宋" w:hAnsi="仿宋" w:eastAsia="仿宋" w:cs="仿宋"/>
                <w:color w:val="auto"/>
                <w:szCs w:val="24"/>
                <w:highlight w:val="none"/>
              </w:rPr>
            </w:pPr>
          </w:p>
        </w:tc>
      </w:tr>
      <w:tr w14:paraId="5BC0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14:paraId="28057CE9">
            <w:pPr>
              <w:pStyle w:val="11"/>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2960" w:type="dxa"/>
            <w:vAlign w:val="center"/>
          </w:tcPr>
          <w:p w14:paraId="3849A747">
            <w:pPr>
              <w:pStyle w:val="11"/>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2762" w:type="dxa"/>
            <w:vAlign w:val="center"/>
          </w:tcPr>
          <w:p w14:paraId="42F3F3E7">
            <w:pPr>
              <w:pStyle w:val="11"/>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1557" w:type="dxa"/>
            <w:vAlign w:val="center"/>
          </w:tcPr>
          <w:p w14:paraId="22C5F6D3">
            <w:pPr>
              <w:pStyle w:val="11"/>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r>
    </w:tbl>
    <w:p w14:paraId="540C3D3F">
      <w:pPr>
        <w:pStyle w:val="11"/>
        <w:spacing w:line="360" w:lineRule="exact"/>
        <w:rPr>
          <w:rFonts w:ascii="仿宋" w:hAnsi="仿宋" w:eastAsia="仿宋" w:cs="仿宋"/>
          <w:b/>
          <w:bCs/>
          <w:color w:val="auto"/>
          <w:szCs w:val="24"/>
          <w:highlight w:val="none"/>
        </w:rPr>
      </w:pPr>
      <w:r>
        <w:rPr>
          <w:rFonts w:hint="eastAsia" w:ascii="仿宋" w:hAnsi="仿宋" w:eastAsia="仿宋" w:cs="仿宋"/>
          <w:b/>
          <w:bCs/>
          <w:color w:val="auto"/>
          <w:szCs w:val="24"/>
          <w:highlight w:val="none"/>
        </w:rPr>
        <w:t>注：</w:t>
      </w:r>
    </w:p>
    <w:p w14:paraId="48EC0CCA">
      <w:pPr>
        <w:pStyle w:val="11"/>
        <w:spacing w:line="3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此表须与招标文件“采购需求”相应标项内的所有技术规格（含技术、功能、配置、附加必备条件、售后服务、安装、验收、付款方式等）相比较且一一对应真实逐条填列，并在“偏离情况”栏注明“正偏离”、“负偏离”或“无偏离”。</w:t>
      </w:r>
    </w:p>
    <w:p w14:paraId="1E0A9D2B">
      <w:pPr>
        <w:spacing w:line="360" w:lineRule="exact"/>
        <w:rPr>
          <w:rFonts w:ascii="仿宋" w:hAnsi="仿宋" w:eastAsia="仿宋" w:cs="仿宋"/>
          <w:color w:val="auto"/>
          <w:sz w:val="28"/>
          <w:szCs w:val="28"/>
          <w:highlight w:val="none"/>
        </w:rPr>
      </w:pPr>
    </w:p>
    <w:p w14:paraId="7DE6D78B">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投标名称（电子签名）：</w:t>
      </w:r>
      <w:r>
        <w:rPr>
          <w:rFonts w:hint="eastAsia" w:ascii="仿宋" w:hAnsi="仿宋" w:eastAsia="仿宋" w:cs="仿宋"/>
          <w:color w:val="auto"/>
          <w:sz w:val="24"/>
          <w:szCs w:val="24"/>
          <w:highlight w:val="none"/>
          <w:u w:val="single"/>
        </w:rPr>
        <w:t xml:space="preserve">                               </w:t>
      </w:r>
    </w:p>
    <w:p w14:paraId="728B0680">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0FFECA19">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6E2A37C6">
      <w:pPr>
        <w:ind w:firstLine="1911" w:firstLineChars="595"/>
        <w:rPr>
          <w:rFonts w:ascii="宋体" w:hAnsi="宋体" w:cs="宋体"/>
          <w:b/>
          <w:color w:val="auto"/>
          <w:sz w:val="32"/>
          <w:szCs w:val="32"/>
          <w:highlight w:val="none"/>
        </w:rPr>
      </w:pPr>
      <w:r>
        <w:rPr>
          <w:rFonts w:hint="eastAsia" w:ascii="宋体" w:hAnsi="宋体" w:cs="宋体"/>
          <w:b/>
          <w:color w:val="auto"/>
          <w:sz w:val="32"/>
          <w:szCs w:val="32"/>
          <w:highlight w:val="none"/>
        </w:rPr>
        <w:t>六、</w:t>
      </w:r>
      <w:r>
        <w:rPr>
          <w:rFonts w:hint="eastAsia" w:ascii="宋体" w:hAnsi="宋体" w:cs="宋体"/>
          <w:b/>
          <w:color w:val="auto"/>
          <w:sz w:val="32"/>
          <w:szCs w:val="32"/>
          <w:highlight w:val="none"/>
          <w:lang w:val="zh-CN"/>
        </w:rPr>
        <w:t>政府采购供应商廉洁自律承诺书</w:t>
      </w:r>
    </w:p>
    <w:p w14:paraId="347DB19B">
      <w:pPr>
        <w:snapToGrid w:val="0"/>
        <w:spacing w:line="360" w:lineRule="auto"/>
        <w:rPr>
          <w:rFonts w:ascii="宋体" w:hAnsi="宋体" w:cs="宋体"/>
          <w:color w:val="auto"/>
          <w:sz w:val="24"/>
          <w:highlight w:val="none"/>
        </w:rPr>
      </w:pPr>
    </w:p>
    <w:p w14:paraId="6BBF6047">
      <w:pPr>
        <w:spacing w:line="42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诸暨市马剑镇人民政府</w:t>
      </w:r>
      <w:r>
        <w:rPr>
          <w:rFonts w:hint="eastAsia" w:ascii="仿宋" w:hAnsi="仿宋" w:eastAsia="仿宋" w:cs="仿宋"/>
          <w:color w:val="auto"/>
          <w:sz w:val="24"/>
          <w:highlight w:val="none"/>
        </w:rPr>
        <w:t>：</w:t>
      </w:r>
    </w:p>
    <w:p w14:paraId="320B7AC3">
      <w:pPr>
        <w:spacing w:line="42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诸暨市浣江工程咨询有限公司：</w:t>
      </w:r>
    </w:p>
    <w:p w14:paraId="2E89DFB7">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zh-CN"/>
        </w:rPr>
        <w:t>项目招标要求参加投标。在这次投标过程中和中标后，我们将严格遵守国家法律法规要求，并郑重承诺：</w:t>
      </w:r>
    </w:p>
    <w:p w14:paraId="4B177DAA">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一、不向项目有关人员及部门赠送礼金礼物、有价证券、回扣以及中介费、介绍费、咨询费等好处费； </w:t>
      </w:r>
    </w:p>
    <w:p w14:paraId="25ED4D86">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二、不为项目有关人员及部门报销应由你方单位或个人支付的费用； </w:t>
      </w:r>
    </w:p>
    <w:p w14:paraId="10EC599B">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三、不向项目有关人员及部门提供有可能影响公正的宴请和健身娱乐等活动； </w:t>
      </w:r>
    </w:p>
    <w:p w14:paraId="5D5D4BF0">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四、不为项目有关人员及部门出国（境）、旅游等提供方便；</w:t>
      </w:r>
    </w:p>
    <w:p w14:paraId="603AAFC8">
      <w:pPr>
        <w:spacing w:line="42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五、不为项目有关人员个人装修住房、婚丧嫁娶、配偶子女工作安排等提供</w:t>
      </w:r>
    </w:p>
    <w:p w14:paraId="482A4D62">
      <w:pPr>
        <w:spacing w:line="42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好处；</w:t>
      </w:r>
    </w:p>
    <w:p w14:paraId="5192378F">
      <w:pPr>
        <w:spacing w:line="42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六、严格遵守《中华人民共和国政府采购法》《中华人民共和国招标投标</w:t>
      </w:r>
    </w:p>
    <w:p w14:paraId="6D7FEFD4">
      <w:pPr>
        <w:spacing w:line="42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法》《中华人民共和国民法典》等法律法规，诚实守信，合法经营，坚决抵制各种违法违纪行为。 </w:t>
      </w:r>
    </w:p>
    <w:p w14:paraId="58BA1C93">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zh-CN"/>
        </w:rPr>
        <w:t>进行项目建设或其他经营活动，并通报市财政局。由此引起的相应损失均由我单位承担。</w:t>
      </w:r>
    </w:p>
    <w:p w14:paraId="3D129DFD">
      <w:pPr>
        <w:spacing w:line="360" w:lineRule="auto"/>
        <w:ind w:left="2"/>
        <w:jc w:val="left"/>
        <w:rPr>
          <w:rFonts w:ascii="仿宋" w:hAnsi="仿宋" w:eastAsia="仿宋" w:cs="仿宋"/>
          <w:color w:val="auto"/>
          <w:sz w:val="24"/>
          <w:highlight w:val="none"/>
          <w:lang w:val="zh-CN"/>
        </w:rPr>
      </w:pPr>
    </w:p>
    <w:p w14:paraId="7A1FE20D">
      <w:pPr>
        <w:spacing w:line="360" w:lineRule="auto"/>
        <w:ind w:left="2"/>
        <w:jc w:val="left"/>
        <w:rPr>
          <w:rFonts w:ascii="仿宋" w:hAnsi="仿宋" w:eastAsia="仿宋" w:cs="仿宋"/>
          <w:color w:val="auto"/>
          <w:sz w:val="24"/>
          <w:highlight w:val="none"/>
          <w:lang w:val="zh-CN"/>
        </w:rPr>
      </w:pPr>
    </w:p>
    <w:p w14:paraId="5924BFCC">
      <w:pPr>
        <w:spacing w:line="360" w:lineRule="auto"/>
        <w:ind w:left="2"/>
        <w:jc w:val="left"/>
        <w:rPr>
          <w:rFonts w:ascii="仿宋" w:hAnsi="仿宋" w:eastAsia="仿宋" w:cs="仿宋"/>
          <w:color w:val="auto"/>
          <w:sz w:val="24"/>
          <w:highlight w:val="none"/>
          <w:lang w:val="zh-CN"/>
        </w:rPr>
      </w:pPr>
    </w:p>
    <w:p w14:paraId="6E9B6BD2">
      <w:pPr>
        <w:spacing w:line="360" w:lineRule="auto"/>
        <w:ind w:left="2" w:leftChars="1" w:right="1120" w:firstLine="4560" w:firstLineChars="19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lang w:val="zh-CN"/>
        </w:rPr>
        <w:t xml:space="preserve">）：              </w:t>
      </w:r>
    </w:p>
    <w:p w14:paraId="53569353">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   年   月   日</w:t>
      </w:r>
    </w:p>
    <w:p w14:paraId="0CB622AA">
      <w:pPr>
        <w:spacing w:line="360" w:lineRule="auto"/>
        <w:jc w:val="center"/>
        <w:rPr>
          <w:rFonts w:ascii="仿宋" w:hAnsi="仿宋" w:eastAsia="仿宋" w:cs="仿宋"/>
          <w:b/>
          <w:bCs/>
          <w:color w:val="auto"/>
          <w:sz w:val="24"/>
          <w:highlight w:val="none"/>
        </w:rPr>
      </w:pPr>
    </w:p>
    <w:p w14:paraId="3483DF3E">
      <w:pPr>
        <w:spacing w:line="360" w:lineRule="auto"/>
        <w:jc w:val="center"/>
        <w:rPr>
          <w:rFonts w:ascii="仿宋" w:hAnsi="仿宋" w:eastAsia="仿宋" w:cs="仿宋"/>
          <w:b/>
          <w:bCs/>
          <w:color w:val="auto"/>
          <w:sz w:val="24"/>
          <w:highlight w:val="none"/>
        </w:rPr>
        <w:sectPr>
          <w:headerReference r:id="rId20" w:type="first"/>
          <w:footerReference r:id="rId22" w:type="first"/>
          <w:headerReference r:id="rId19" w:type="default"/>
          <w:footerReference r:id="rId21" w:type="default"/>
          <w:pgSz w:w="11906" w:h="16838"/>
          <w:pgMar w:top="1259" w:right="1191" w:bottom="1259" w:left="1191" w:header="709" w:footer="992" w:gutter="0"/>
          <w:cols w:space="720" w:num="1"/>
          <w:titlePg/>
          <w:docGrid w:linePitch="312" w:charSpace="0"/>
        </w:sectPr>
      </w:pPr>
    </w:p>
    <w:p w14:paraId="06D8F24D">
      <w:pPr>
        <w:spacing w:line="360" w:lineRule="auto"/>
        <w:jc w:val="center"/>
        <w:rPr>
          <w:rFonts w:ascii="宋体" w:hAnsi="宋体" w:cs="宋体"/>
          <w:b/>
          <w:color w:val="auto"/>
          <w:sz w:val="32"/>
          <w:szCs w:val="32"/>
          <w:highlight w:val="none"/>
        </w:rPr>
      </w:pPr>
      <w:bookmarkStart w:id="500" w:name="_Toc21136"/>
      <w:r>
        <w:rPr>
          <w:rFonts w:hint="eastAsia" w:ascii="宋体" w:hAnsi="宋体" w:cs="宋体"/>
          <w:b/>
          <w:color w:val="auto"/>
          <w:sz w:val="32"/>
          <w:szCs w:val="32"/>
          <w:highlight w:val="none"/>
        </w:rPr>
        <w:t>第四部分   报价文件部分</w:t>
      </w:r>
      <w:bookmarkEnd w:id="500"/>
    </w:p>
    <w:p w14:paraId="53AE9BAA">
      <w:pPr>
        <w:spacing w:line="360" w:lineRule="auto"/>
        <w:jc w:val="center"/>
        <w:rPr>
          <w:rFonts w:ascii="宋体" w:hAnsi="宋体" w:cs="宋体"/>
          <w:b/>
          <w:color w:val="auto"/>
          <w:sz w:val="36"/>
          <w:szCs w:val="36"/>
          <w:highlight w:val="none"/>
        </w:rPr>
      </w:pPr>
      <w:bookmarkStart w:id="501" w:name="_Toc8641"/>
      <w:r>
        <w:rPr>
          <w:rFonts w:hint="eastAsia" w:ascii="宋体" w:hAnsi="宋体" w:cs="宋体"/>
          <w:b/>
          <w:color w:val="auto"/>
          <w:sz w:val="36"/>
          <w:szCs w:val="36"/>
          <w:highlight w:val="none"/>
        </w:rPr>
        <w:t>目录</w:t>
      </w:r>
      <w:bookmarkEnd w:id="501"/>
    </w:p>
    <w:p w14:paraId="642EF557">
      <w:pPr>
        <w:spacing w:line="360" w:lineRule="auto"/>
        <w:jc w:val="center"/>
        <w:rPr>
          <w:rFonts w:ascii="宋体" w:hAnsi="宋体" w:cs="宋体"/>
          <w:b/>
          <w:color w:val="auto"/>
          <w:sz w:val="36"/>
          <w:szCs w:val="36"/>
          <w:highlight w:val="none"/>
        </w:rPr>
      </w:pPr>
    </w:p>
    <w:p w14:paraId="1F3A71A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258350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w:t>
      </w:r>
      <w:r>
        <w:rPr>
          <w:rFonts w:hint="eastAsia" w:ascii="仿宋" w:hAnsi="仿宋" w:eastAsia="仿宋" w:cs="仿宋"/>
          <w:b/>
          <w:bCs/>
          <w:color w:val="auto"/>
          <w:sz w:val="24"/>
          <w:highlight w:val="none"/>
        </w:rPr>
        <w:t>（如需）</w:t>
      </w:r>
      <w:r>
        <w:rPr>
          <w:rFonts w:hint="eastAsia" w:ascii="仿宋" w:hAnsi="仿宋" w:eastAsia="仿宋" w:cs="仿宋"/>
          <w:color w:val="auto"/>
          <w:sz w:val="24"/>
          <w:highlight w:val="none"/>
        </w:rPr>
        <w:t>……………………………………………………（页码）</w:t>
      </w:r>
    </w:p>
    <w:p w14:paraId="1D4E00D3">
      <w:pPr>
        <w:snapToGrid w:val="0"/>
        <w:spacing w:line="360" w:lineRule="auto"/>
        <w:ind w:right="480"/>
        <w:jc w:val="center"/>
        <w:rPr>
          <w:rFonts w:ascii="宋体" w:hAnsi="宋体" w:cs="宋体"/>
          <w:b/>
          <w:color w:val="auto"/>
          <w:sz w:val="32"/>
          <w:szCs w:val="32"/>
          <w:highlight w:val="none"/>
        </w:rPr>
      </w:pPr>
    </w:p>
    <w:p w14:paraId="1352301E">
      <w:pPr>
        <w:snapToGrid w:val="0"/>
        <w:spacing w:line="360" w:lineRule="auto"/>
        <w:ind w:right="480"/>
        <w:jc w:val="center"/>
        <w:rPr>
          <w:rFonts w:ascii="宋体" w:hAnsi="宋体" w:cs="宋体"/>
          <w:b/>
          <w:color w:val="auto"/>
          <w:sz w:val="32"/>
          <w:szCs w:val="32"/>
          <w:highlight w:val="none"/>
        </w:rPr>
      </w:pPr>
    </w:p>
    <w:p w14:paraId="50491BD9">
      <w:pPr>
        <w:snapToGrid w:val="0"/>
        <w:spacing w:line="360" w:lineRule="auto"/>
        <w:ind w:right="480"/>
        <w:jc w:val="center"/>
        <w:rPr>
          <w:rFonts w:ascii="宋体" w:hAnsi="宋体" w:cs="宋体"/>
          <w:b/>
          <w:color w:val="auto"/>
          <w:sz w:val="32"/>
          <w:szCs w:val="32"/>
          <w:highlight w:val="none"/>
        </w:rPr>
      </w:pPr>
    </w:p>
    <w:p w14:paraId="6BAF6313">
      <w:pPr>
        <w:rPr>
          <w:rFonts w:ascii="宋体" w:hAnsi="宋体" w:cs="宋体"/>
          <w:color w:val="auto"/>
          <w:kern w:val="2"/>
          <w:sz w:val="32"/>
          <w:szCs w:val="32"/>
          <w:highlight w:val="none"/>
        </w:rPr>
        <w:sectPr>
          <w:headerReference r:id="rId24" w:type="first"/>
          <w:footerReference r:id="rId26" w:type="first"/>
          <w:headerReference r:id="rId23" w:type="default"/>
          <w:footerReference r:id="rId25" w:type="default"/>
          <w:pgSz w:w="11906" w:h="16838"/>
          <w:pgMar w:top="1247" w:right="1247" w:bottom="1247" w:left="1247" w:header="283" w:footer="454" w:gutter="0"/>
          <w:cols w:space="720" w:num="1"/>
          <w:titlePg/>
          <w:docGrid w:type="lines" w:linePitch="312" w:charSpace="0"/>
        </w:sectPr>
      </w:pPr>
      <w:bookmarkStart w:id="502" w:name="_Toc26316"/>
      <w:bookmarkStart w:id="503" w:name="_Toc4852"/>
    </w:p>
    <w:p w14:paraId="38703250">
      <w:pPr>
        <w:spacing w:line="360" w:lineRule="auto"/>
        <w:jc w:val="center"/>
        <w:rPr>
          <w:b/>
          <w:bCs/>
          <w:color w:val="auto"/>
          <w:sz w:val="30"/>
          <w:szCs w:val="30"/>
          <w:highlight w:val="none"/>
        </w:rPr>
      </w:pPr>
      <w:r>
        <w:rPr>
          <w:rFonts w:hint="eastAsia"/>
          <w:b/>
          <w:bCs/>
          <w:color w:val="auto"/>
          <w:sz w:val="30"/>
          <w:szCs w:val="30"/>
          <w:highlight w:val="none"/>
        </w:rPr>
        <w:t>一、开标一览表（报价表）</w:t>
      </w:r>
      <w:bookmarkEnd w:id="502"/>
      <w:bookmarkEnd w:id="503"/>
    </w:p>
    <w:p w14:paraId="4853C9CF">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p w14:paraId="09B604F3">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项目编号：</w:t>
      </w:r>
      <w:r>
        <w:rPr>
          <w:rFonts w:hint="eastAsia" w:ascii="仿宋" w:hAnsi="仿宋" w:eastAsia="仿宋"/>
          <w:color w:val="auto"/>
          <w:sz w:val="24"/>
          <w:szCs w:val="24"/>
          <w:highlight w:val="none"/>
          <w:lang w:eastAsia="zh-CN"/>
        </w:rPr>
        <w:t>诸浣江2025-**-**</w:t>
      </w:r>
    </w:p>
    <w:p w14:paraId="51405DED">
      <w:pPr>
        <w:spacing w:line="360" w:lineRule="auto"/>
        <w:jc w:val="right"/>
        <w:rPr>
          <w:rFonts w:ascii="仿宋" w:hAnsi="仿宋" w:eastAsia="仿宋"/>
          <w:b/>
          <w:bCs/>
          <w:color w:val="auto"/>
          <w:sz w:val="24"/>
          <w:szCs w:val="24"/>
          <w:highlight w:val="none"/>
        </w:rPr>
      </w:pPr>
      <w:r>
        <w:rPr>
          <w:rFonts w:hint="eastAsia" w:ascii="仿宋" w:hAnsi="仿宋" w:eastAsia="仿宋"/>
          <w:b/>
          <w:color w:val="auto"/>
          <w:sz w:val="24"/>
          <w:szCs w:val="24"/>
        </w:rPr>
        <w:t>单位：人民币元</w:t>
      </w:r>
    </w:p>
    <w:tbl>
      <w:tblPr>
        <w:tblStyle w:val="23"/>
        <w:tblW w:w="98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
        <w:gridCol w:w="2020"/>
        <w:gridCol w:w="2686"/>
        <w:gridCol w:w="737"/>
        <w:gridCol w:w="1062"/>
        <w:gridCol w:w="951"/>
        <w:gridCol w:w="240"/>
        <w:gridCol w:w="1150"/>
        <w:gridCol w:w="10"/>
        <w:gridCol w:w="464"/>
      </w:tblGrid>
      <w:tr w14:paraId="5721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0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72589F26">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序号</w:t>
            </w:r>
          </w:p>
        </w:tc>
        <w:tc>
          <w:tcPr>
            <w:tcW w:w="202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D445F81">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项目名称</w:t>
            </w:r>
          </w:p>
        </w:tc>
        <w:tc>
          <w:tcPr>
            <w:tcW w:w="268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0C0255E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项目特征</w:t>
            </w:r>
          </w:p>
        </w:tc>
        <w:tc>
          <w:tcPr>
            <w:tcW w:w="737"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04E0DB7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计量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单位</w:t>
            </w:r>
          </w:p>
        </w:tc>
        <w:tc>
          <w:tcPr>
            <w:tcW w:w="106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F46A9E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工程量</w:t>
            </w:r>
          </w:p>
        </w:tc>
        <w:tc>
          <w:tcPr>
            <w:tcW w:w="1191" w:type="dxa"/>
            <w:gridSpan w:val="2"/>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1E77A8C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单价</w:t>
            </w:r>
          </w:p>
        </w:tc>
        <w:tc>
          <w:tcPr>
            <w:tcW w:w="1150" w:type="dxa"/>
            <w:tcBorders>
              <w:top w:val="single" w:color="auto" w:sz="4" w:space="0"/>
              <w:left w:val="single" w:color="auto" w:sz="4" w:space="0"/>
              <w:bottom w:val="single" w:color="000000" w:sz="4" w:space="0"/>
              <w:right w:val="single" w:color="auto" w:sz="4" w:space="0"/>
            </w:tcBorders>
            <w:shd w:val="clear" w:color="auto" w:fill="FFFFFF"/>
            <w:noWrap w:val="0"/>
            <w:vAlign w:val="center"/>
          </w:tcPr>
          <w:p w14:paraId="3BFEBC83">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合价</w:t>
            </w:r>
          </w:p>
        </w:tc>
        <w:tc>
          <w:tcPr>
            <w:tcW w:w="474" w:type="dxa"/>
            <w:gridSpan w:val="2"/>
            <w:tcBorders>
              <w:top w:val="single" w:color="auto" w:sz="4" w:space="0"/>
              <w:left w:val="single" w:color="auto" w:sz="4" w:space="0"/>
              <w:bottom w:val="single" w:color="000000" w:sz="4" w:space="0"/>
              <w:right w:val="single" w:color="000000" w:sz="4" w:space="0"/>
            </w:tcBorders>
            <w:shd w:val="clear" w:color="auto" w:fill="FFFFFF"/>
            <w:noWrap w:val="0"/>
            <w:vAlign w:val="center"/>
          </w:tcPr>
          <w:p w14:paraId="0A66974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备注</w:t>
            </w:r>
          </w:p>
        </w:tc>
      </w:tr>
      <w:tr w14:paraId="691F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703B3">
            <w:pPr>
              <w:keepNext w:val="0"/>
              <w:keepLines w:val="0"/>
              <w:pageBreakBefore w:val="0"/>
              <w:widowControl/>
              <w:kinsoku/>
              <w:wordWrap/>
              <w:overflowPunct/>
              <w:topLinePunct w:val="0"/>
              <w:autoSpaceDE/>
              <w:autoSpaceDN/>
              <w:bidi w:val="0"/>
              <w:adjustRightInd w:val="0"/>
              <w:snapToGrid/>
              <w:spacing w:line="300" w:lineRule="exact"/>
              <w:jc w:val="left"/>
              <w:rPr>
                <w:rFonts w:hint="eastAsia" w:ascii="仿宋" w:hAnsi="仿宋" w:eastAsia="仿宋" w:cs="仿宋"/>
                <w:i w:val="0"/>
                <w:iCs w:val="0"/>
                <w:color w:val="auto"/>
                <w:sz w:val="24"/>
                <w:szCs w:val="24"/>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AE90F">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柿界工坊（单层）</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8D9EA">
            <w:pPr>
              <w:keepNext w:val="0"/>
              <w:keepLines w:val="0"/>
              <w:pageBreakBefore w:val="0"/>
              <w:widowControl/>
              <w:kinsoku/>
              <w:wordWrap/>
              <w:overflowPunct/>
              <w:topLinePunct w:val="0"/>
              <w:autoSpaceDE/>
              <w:autoSpaceDN/>
              <w:bidi w:val="0"/>
              <w:adjustRightInd w:val="0"/>
              <w:snapToGrid/>
              <w:spacing w:line="300" w:lineRule="exact"/>
              <w:jc w:val="left"/>
              <w:rPr>
                <w:rFonts w:hint="eastAsia" w:ascii="仿宋" w:hAnsi="仿宋" w:eastAsia="仿宋" w:cs="仿宋"/>
                <w:i w:val="0"/>
                <w:iCs w:val="0"/>
                <w:color w:val="auto"/>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E25E6">
            <w:pPr>
              <w:keepNext w:val="0"/>
              <w:keepLines w:val="0"/>
              <w:pageBreakBefore w:val="0"/>
              <w:widowControl/>
              <w:kinsoku/>
              <w:wordWrap/>
              <w:overflowPunct/>
              <w:topLinePunct w:val="0"/>
              <w:autoSpaceDE/>
              <w:autoSpaceDN/>
              <w:bidi w:val="0"/>
              <w:adjustRightInd w:val="0"/>
              <w:snapToGrid/>
              <w:spacing w:line="300" w:lineRule="exact"/>
              <w:jc w:val="left"/>
              <w:rPr>
                <w:rFonts w:hint="eastAsia" w:ascii="仿宋" w:hAnsi="仿宋" w:eastAsia="仿宋" w:cs="仿宋"/>
                <w:i w:val="0"/>
                <w:iCs w:val="0"/>
                <w:color w:val="auto"/>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7B3B8">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902A9C6">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5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11C9F9F4">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B379A41">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5158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07BE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AD127">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块料楼地面</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FE328">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卫生间地砖；原地面拆除、找平、找砼、铺砖</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368C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CD147">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69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84D0726">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5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14C9D3F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B3B602F">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31BFE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2E53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C7C52">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吊顶天棚</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B77D1">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厕所铝扣板吊顶（含专用配套龙骨）</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9128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BAF2E">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69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9E500B9">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5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65C052E4">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48D9527">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3EA3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5517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13654">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现浇水磨石楼地面</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4950A">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水磨石地面：（原地面拆除）</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1、20厚DS20.0干混砂浆找平层；</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2、18厚彩色水磨石有嵌条不带图案；</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F44D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3C7C6">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929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FC2189D">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5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28020C75">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57812B4">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22D8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6D906">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9E511">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立面抹灰层拆除</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35732">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原墙面起壳粉刷层铲除</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A496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F41C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1085</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0EADAF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5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083C37BF">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89137EF">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0602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C2AD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0DBCD">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墙面喷刷涂料</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90596">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墙面白色无机乳胶漆：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1、内墙粉刷；</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2、批刮腻子（满刮两遍）抹灰面；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3、白色无机乳胶漆二遍；</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440F3">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7C61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1450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9BF935B">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5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19508E3F">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FEA8CD5">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2D09C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F7325">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BAAD3">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块料墙面</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E3788">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墙面铲除、找平、贴砖</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A426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B238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223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85D2123">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5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3585615C">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A1364DB">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2D7A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93875">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DB714">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吊顶天棚</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6FFFE">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石膏板吊顶：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1、轻钢龙骨（U50型）平面；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2、9.5厚石膏板覆面；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3、板缝贴胶带、点锈；</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4、批刮腻子（满刮两遍）石膏板或其他基层板面；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5、乳胶漆天棚面二遍；</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C4F6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728B5">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610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A19E93C">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5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4A4DAE93">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329551A">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65AB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24A37">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3902A">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满堂脚手架</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17E2E">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室内施工脚手架</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E05C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FC2D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1255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207626A">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5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6E2C9F2A">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BE3150A">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3583E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65D7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7AC44">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柿子展厅组合柜</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68244">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1号桌（每套包含4张桌子1.3m*0.75m，8张凳子0.3m*0.4m）</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BA1A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A20E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D2EF727">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5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44037B96">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B660949">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4F0C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4B7D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E60E4">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柿界工坊家具</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BB287">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2号桌（每套桌椅包含1张六边形桌子，边长0.6m，6张凳子0.3m*0.4m）</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BE9F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CDD35">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BFFC41B">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5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0F524C2D">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3701186">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5633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D3D6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E7DCE">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收银台及配套家具</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9684E">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3号桌（每套桌椅包含1张桌子3m*1m，8张凳子0.3m*0.4m）</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A5F31">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3EEE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C261B6D">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5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406EF1BB">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F9CB69D">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7FEC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A0246">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E503B">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厕所隔断</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72801">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厕所隔断</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0916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97EC6">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69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8229929">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5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584BDBAB">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A73E35E">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4E2D7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8424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A90D6">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小便器</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E625E">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成套小便器</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13DB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EBAD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F7070D5">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41E34725">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1EDC10C">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7D05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058B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43494">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大便器</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F595F">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成套瓷蹲式大便器</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A2157">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329F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843E63C">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28654514">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9301B93">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25C82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E5F5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8E4E1">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洗漱台</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0B812">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成套洗手台，含台盆及龙头等</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9F546">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F90C7">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46D0853">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3E10FF5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FCE5E3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1B26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3D01E">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FB1FB">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木质门带套</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90C3B">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成品装饰套装门</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EEA8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EB13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80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604093A">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588EFF53">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E52CFD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6E2D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FD51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4AB25">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金属（塑钢、断桥）窗</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D782D">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铝合金推拉窗</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563E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A30D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136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2C903C1">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03FB4E16">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7BF795F">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07503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FF74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1D87F">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金属门窗套</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56E81">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不锈钢窗套</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73EAC">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8C781">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344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7CD7184">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66DC7E26">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6DEB27F">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75376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2227E">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EB1BF">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人行道块料铺设</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81C60">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室外花岗岩板铺设</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FFF1F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7B6B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244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DF42D11">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5ED97D48">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50E1813">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3FD3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8601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60837">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墙体拆除及修补</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37D48">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墙体拆除及修补</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1C53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4877E">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D34E08A">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44591189">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87AB21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7033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EECFE">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BB339">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水电安装</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FDBF2">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水电安装，含人工及管线、灯具等材料</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53F4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48597">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1695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50F0E0B">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3A814644">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7570A7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7CA7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0F02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05DB1">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消防安装</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0A722">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消防安装，含人工及管线、管道、设备等材料</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EBBB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8E8D3">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1695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FC4A328">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535463A9">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8998B66">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521CC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8F1F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96584">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墙面喷刷涂料</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10093">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外墙涂料（弹性涂料）</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5D995">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A4F3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850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53EC07E">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2FAE45FA">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4013E96">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289B5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893C6">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A0EBF">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天棚喷刷涂料</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99C9F">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天棚无机多彩乳胶漆</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23C8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m2</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DE6D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530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B633B86">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1BA3321D">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37855FB">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2C8A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B975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5C1D1">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不锈钢工作台</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F8CA2">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不锈钢工作台</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FD473">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36CE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3178E9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75CB90E9">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50A12A6">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0A0A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6218E">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EF4CC">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自动分拣果蔬机械</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A8AF7">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复合式自动分拣果蔬机器（厂家二次深化设计、安装）</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2A3A6">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2C2B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FF65DE5">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3C565CF8">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577A245">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4CA0D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409B1">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CAEDC">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立式货架</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2E964">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立式货架</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D6401">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665F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23984F7">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439D2AAA">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D4CA0E8">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10F4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2ED1E">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16BAE">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服务大厅家具</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3C4B5">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根据图纸配套服务大厅组合家具</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B1D0C">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310D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E39401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21E06DCE">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2C1A2E4">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494B3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DC34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AE46E">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咖啡厅家具</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1CF68">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咖啡厅内组合家具（专业厂家设计）</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977A7">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53B7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10175DC">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62B775D9">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4CA3A49">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2C3D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A36D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7B4D6">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会议室家具</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1D036">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会议桌、电视机等组合办公家具</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1043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63BB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2119036">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1CB291E9">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5C785D8">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2074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55F2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FD5C5">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货物电梯</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26536">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货物电梯（供应厂家根据现场二次深化设计、安装）</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758FA">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3E36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554C61A">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55A93BD8">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E44E30E">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6A7B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D96CC">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3F7AE">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喷滴灌系统</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7B273">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喷滴灌系统（专业厂家二次深化设计、安装）</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02DE5">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3ED35">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757D7E8">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171F1373">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9686D25">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795CF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861CC">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084A6">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监控系统</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60944">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监控系统（智能化厂家根据现场二次专业设计、安装）</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33601">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F3B2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1191"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9AB6304">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16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6FE9645B">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1D6C82A">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1A4B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F04B3">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34</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DFC22">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内墙喷刷</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32204">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喷刷防水涂料</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3567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7FF07">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1900 </w:t>
            </w:r>
          </w:p>
        </w:tc>
        <w:tc>
          <w:tcPr>
            <w:tcW w:w="95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188B048">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39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669B4B7E">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C3EEFE5">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649A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93BB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4401D">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设计深化</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9BB50">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根据现场土建结构进行深化设计</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6C49E">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1E753">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95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7D918A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39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4A2251A3">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85E0BF7">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04F9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3496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4EA6B">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空调、制冷、通风</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F6F92">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空调、制冷、通风配套设备</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66E62">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EB86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95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DCCCD54">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39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6B02F20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4987167">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40702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7398C">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37</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D8806">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轻钢龙骨石膏板吊顶</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2EF0A">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轻钢龙骨石膏板吊顶</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8815C">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E0483">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w:t>
            </w:r>
          </w:p>
        </w:tc>
        <w:tc>
          <w:tcPr>
            <w:tcW w:w="95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E70057B">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39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73D03EE3">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949E455">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4824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551D4">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BDE7A">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墙面装饰板</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CD06D">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木龙骨基层，欧松板打底</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6F7C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8C6FE">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145</w:t>
            </w:r>
          </w:p>
        </w:tc>
        <w:tc>
          <w:tcPr>
            <w:tcW w:w="95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09057A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39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29BB0484">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DD6D522">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0ECA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BBE61">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1DDA0">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入口围墙</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581D5">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包括栅栏制作安装</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A2A41">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02167">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95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AD14B80">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39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5801D768">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74"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88E8226">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0259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61F0F">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E0117">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景观柿子（大）</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EBB1D">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庭园内造型景观柿φ18cm</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EECE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株</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294B9">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95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1AD6FE3">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400" w:type="dxa"/>
            <w:gridSpan w:val="3"/>
            <w:tcBorders>
              <w:top w:val="single" w:color="000000" w:sz="4" w:space="0"/>
              <w:left w:val="single" w:color="auto" w:sz="4" w:space="0"/>
              <w:bottom w:val="single" w:color="auto" w:sz="4" w:space="0"/>
              <w:right w:val="single" w:color="auto" w:sz="4" w:space="0"/>
            </w:tcBorders>
            <w:shd w:val="clear" w:color="auto" w:fill="FFFFFF"/>
            <w:noWrap w:val="0"/>
            <w:vAlign w:val="center"/>
          </w:tcPr>
          <w:p w14:paraId="3D887A6B">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auto" w:sz="4" w:space="0"/>
              <w:right w:val="single" w:color="auto" w:sz="4" w:space="0"/>
            </w:tcBorders>
            <w:shd w:val="clear" w:color="auto" w:fill="FFFFFF"/>
            <w:noWrap w:val="0"/>
            <w:vAlign w:val="center"/>
          </w:tcPr>
          <w:p w14:paraId="3D44144E">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7712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EFF98">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FE435">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节点柿子</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E657C">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优质、美观柿子φ10cm</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D0857">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株</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C31AC">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95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46C6F10">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400" w:type="dxa"/>
            <w:gridSpan w:val="3"/>
            <w:tcBorders>
              <w:top w:val="single" w:color="auto" w:sz="4" w:space="0"/>
              <w:left w:val="single" w:color="auto" w:sz="4" w:space="0"/>
              <w:bottom w:val="single" w:color="000000" w:sz="4" w:space="0"/>
              <w:right w:val="single" w:color="auto" w:sz="4" w:space="0"/>
            </w:tcBorders>
            <w:shd w:val="clear" w:color="auto" w:fill="FFFFFF"/>
            <w:noWrap w:val="0"/>
            <w:vAlign w:val="center"/>
          </w:tcPr>
          <w:p w14:paraId="7020251C">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auto" w:sz="4" w:space="0"/>
              <w:left w:val="single" w:color="auto" w:sz="4" w:space="0"/>
              <w:bottom w:val="single" w:color="000000" w:sz="4" w:space="0"/>
              <w:right w:val="single" w:color="auto" w:sz="4" w:space="0"/>
            </w:tcBorders>
            <w:shd w:val="clear" w:color="auto" w:fill="FFFFFF"/>
            <w:noWrap w:val="0"/>
            <w:vAlign w:val="center"/>
          </w:tcPr>
          <w:p w14:paraId="70DEB0AD">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25F1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C561B">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F3B45">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门头建造</w:t>
            </w:r>
          </w:p>
        </w:tc>
        <w:tc>
          <w:tcPr>
            <w:tcW w:w="2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F1430">
            <w:pPr>
              <w:keepNext w:val="0"/>
              <w:keepLines w:val="0"/>
              <w:pageBreakBefore w:val="0"/>
              <w:widowControl/>
              <w:suppressLineNumbers w:val="0"/>
              <w:kinsoku/>
              <w:wordWrap/>
              <w:overflowPunct/>
              <w:topLinePunct w:val="0"/>
              <w:autoSpaceDE/>
              <w:autoSpaceDN/>
              <w:bidi w:val="0"/>
              <w:adjustRightInd w:val="0"/>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仿古</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74A2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6BEFD">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95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3FD36D0">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1400" w:type="dxa"/>
            <w:gridSpan w:val="3"/>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13A0C4C6">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c>
          <w:tcPr>
            <w:tcW w:w="464"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55DAB618">
            <w:pPr>
              <w:keepNext w:val="0"/>
              <w:keepLines w:val="0"/>
              <w:pageBreakBefore w:val="0"/>
              <w:widowControl/>
              <w:kinsoku/>
              <w:wordWrap/>
              <w:overflowPunct/>
              <w:topLinePunct w:val="0"/>
              <w:autoSpaceDE/>
              <w:autoSpaceDN/>
              <w:bidi w:val="0"/>
              <w:adjustRightInd w:val="0"/>
              <w:snapToGrid/>
              <w:spacing w:line="300" w:lineRule="exact"/>
              <w:jc w:val="center"/>
              <w:rPr>
                <w:rFonts w:hint="eastAsia" w:ascii="仿宋" w:hAnsi="仿宋" w:eastAsia="仿宋" w:cs="仿宋"/>
                <w:i w:val="0"/>
                <w:iCs w:val="0"/>
                <w:color w:val="auto"/>
                <w:sz w:val="24"/>
                <w:szCs w:val="24"/>
                <w:u w:val="none"/>
              </w:rPr>
            </w:pPr>
          </w:p>
        </w:tc>
      </w:tr>
      <w:tr w14:paraId="4AC51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4C630">
            <w:pPr>
              <w:keepNext w:val="0"/>
              <w:keepLines w:val="0"/>
              <w:pageBreakBefore w:val="0"/>
              <w:widowControl/>
              <w:suppressLineNumbers w:val="0"/>
              <w:kinsoku/>
              <w:wordWrap/>
              <w:overflowPunct/>
              <w:topLinePunct w:val="0"/>
              <w:autoSpaceDE/>
              <w:autoSpaceDN/>
              <w:bidi w:val="0"/>
              <w:adjustRightInd w:val="0"/>
              <w:snapToGrid/>
              <w:spacing w:line="300" w:lineRule="exact"/>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投标合计</w:t>
            </w:r>
          </w:p>
        </w:tc>
        <w:tc>
          <w:tcPr>
            <w:tcW w:w="7300" w:type="dxa"/>
            <w:gridSpan w:val="8"/>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36B22AC">
            <w:pPr>
              <w:keepNext w:val="0"/>
              <w:keepLines w:val="0"/>
              <w:pageBreakBefore w:val="0"/>
              <w:widowControl/>
              <w:kinsoku/>
              <w:wordWrap/>
              <w:overflowPunct/>
              <w:topLinePunct w:val="0"/>
              <w:autoSpaceDE/>
              <w:autoSpaceDN/>
              <w:bidi w:val="0"/>
              <w:adjustRightInd w:val="0"/>
              <w:snapToGrid/>
              <w:spacing w:line="300" w:lineRule="exact"/>
              <w:jc w:val="left"/>
              <w:rPr>
                <w:rFonts w:hint="default"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eastAsia="zh-CN"/>
              </w:rPr>
              <w:t>（</w:t>
            </w:r>
            <w:r>
              <w:rPr>
                <w:rFonts w:hint="eastAsia" w:ascii="仿宋" w:hAnsi="仿宋" w:eastAsia="仿宋" w:cs="仿宋"/>
                <w:b/>
                <w:bCs/>
                <w:i w:val="0"/>
                <w:iCs w:val="0"/>
                <w:color w:val="auto"/>
                <w:sz w:val="24"/>
                <w:szCs w:val="24"/>
                <w:u w:val="none"/>
                <w:lang w:val="en-US" w:eastAsia="zh-CN"/>
              </w:rPr>
              <w:t>大写</w:t>
            </w:r>
            <w:r>
              <w:rPr>
                <w:rFonts w:hint="eastAsia" w:ascii="仿宋" w:hAnsi="仿宋" w:eastAsia="仿宋" w:cs="仿宋"/>
                <w:b/>
                <w:bCs/>
                <w:i w:val="0"/>
                <w:iCs w:val="0"/>
                <w:color w:val="auto"/>
                <w:sz w:val="24"/>
                <w:szCs w:val="24"/>
                <w:u w:val="none"/>
                <w:lang w:eastAsia="zh-CN"/>
              </w:rPr>
              <w:t>）：</w:t>
            </w:r>
            <w:r>
              <w:rPr>
                <w:rFonts w:hint="eastAsia" w:ascii="仿宋" w:hAnsi="仿宋" w:eastAsia="仿宋" w:cs="仿宋"/>
                <w:b/>
                <w:bCs/>
                <w:i w:val="0"/>
                <w:iCs w:val="0"/>
                <w:color w:val="auto"/>
                <w:sz w:val="24"/>
                <w:szCs w:val="24"/>
                <w:u w:val="none"/>
                <w:lang w:val="en-US" w:eastAsia="zh-CN"/>
              </w:rPr>
              <w:t xml:space="preserve">                         （小写）：</w:t>
            </w:r>
          </w:p>
        </w:tc>
      </w:tr>
    </w:tbl>
    <w:p w14:paraId="4716DAB0">
      <w:pPr>
        <w:pStyle w:val="2"/>
        <w:ind w:left="0" w:leftChars="0" w:firstLine="0" w:firstLineChars="0"/>
      </w:pPr>
    </w:p>
    <w:p w14:paraId="17066A8A">
      <w:pPr>
        <w:spacing w:line="360" w:lineRule="auto"/>
        <w:rPr>
          <w:rFonts w:ascii="仿宋" w:hAnsi="仿宋" w:eastAsia="仿宋"/>
          <w:b/>
          <w:bCs/>
          <w:color w:val="auto"/>
          <w:sz w:val="24"/>
          <w:szCs w:val="24"/>
        </w:rPr>
      </w:pPr>
      <w:r>
        <w:rPr>
          <w:rFonts w:ascii="仿宋" w:hAnsi="仿宋" w:eastAsia="仿宋"/>
          <w:b/>
          <w:bCs/>
          <w:color w:val="auto"/>
          <w:sz w:val="24"/>
          <w:szCs w:val="24"/>
        </w:rPr>
        <w:t>说明：</w:t>
      </w:r>
    </w:p>
    <w:p w14:paraId="55FB848E">
      <w:pPr>
        <w:spacing w:line="400" w:lineRule="exact"/>
        <w:rPr>
          <w:rFonts w:ascii="仿宋" w:hAnsi="仿宋" w:eastAsia="仿宋" w:cs="仿宋"/>
          <w:b/>
          <w:bCs/>
          <w:color w:val="auto"/>
          <w:sz w:val="24"/>
          <w:szCs w:val="28"/>
        </w:rPr>
      </w:pPr>
      <w:r>
        <w:rPr>
          <w:rFonts w:hint="eastAsia" w:ascii="仿宋" w:hAnsi="仿宋" w:eastAsia="仿宋" w:cs="仿宋"/>
          <w:b/>
          <w:bCs/>
          <w:color w:val="auto"/>
          <w:sz w:val="24"/>
          <w:szCs w:val="28"/>
        </w:rPr>
        <w:t>1、</w:t>
      </w:r>
      <w:r>
        <w:rPr>
          <w:rFonts w:hint="eastAsia" w:ascii="仿宋" w:hAnsi="仿宋" w:eastAsia="仿宋"/>
          <w:b/>
          <w:color w:val="auto"/>
          <w:spacing w:val="-6"/>
          <w:sz w:val="24"/>
          <w:szCs w:val="24"/>
        </w:rPr>
        <w:t>投标报价包括履行本项目所有规定服务所产生的全部</w:t>
      </w:r>
      <w:r>
        <w:rPr>
          <w:rFonts w:hint="eastAsia" w:ascii="仿宋" w:hAnsi="仿宋" w:eastAsia="仿宋"/>
          <w:b/>
          <w:color w:val="auto"/>
          <w:sz w:val="24"/>
          <w:szCs w:val="24"/>
        </w:rPr>
        <w:t>税金、利润和费用</w:t>
      </w:r>
      <w:r>
        <w:rPr>
          <w:rFonts w:hint="eastAsia" w:ascii="仿宋" w:hAnsi="仿宋" w:eastAsia="仿宋"/>
          <w:b/>
          <w:color w:val="auto"/>
          <w:spacing w:val="-6"/>
          <w:sz w:val="24"/>
          <w:szCs w:val="24"/>
        </w:rPr>
        <w:t>，</w:t>
      </w:r>
      <w:r>
        <w:rPr>
          <w:rFonts w:hint="eastAsia" w:ascii="仿宋" w:hAnsi="仿宋" w:eastAsia="仿宋" w:cs="宋体"/>
          <w:b/>
          <w:color w:val="auto"/>
          <w:sz w:val="24"/>
          <w:szCs w:val="24"/>
        </w:rPr>
        <w:t>是履行合同的最终价格。</w:t>
      </w:r>
    </w:p>
    <w:p w14:paraId="73B0451C">
      <w:pPr>
        <w:spacing w:line="400" w:lineRule="exact"/>
        <w:rPr>
          <w:rFonts w:ascii="宋体" w:hAnsi="宋体" w:cs="宋体"/>
          <w:b/>
          <w:bCs/>
          <w:color w:val="auto"/>
        </w:rPr>
      </w:pPr>
      <w:r>
        <w:rPr>
          <w:rFonts w:hint="eastAsia" w:ascii="仿宋" w:hAnsi="仿宋" w:eastAsia="仿宋" w:cs="仿宋"/>
          <w:b/>
          <w:bCs/>
          <w:color w:val="auto"/>
          <w:sz w:val="24"/>
          <w:szCs w:val="28"/>
        </w:rPr>
        <w:t>2、供应商在“政府采购云平台”进行标书关联时，在“政府采购云平台”上单独填报的开标一览表内容与加密的报价文件中提交的开标一览表内容不一致时，以加密的报价文件中提交的开标一览表（报价表）为准进行修正。</w:t>
      </w:r>
    </w:p>
    <w:p w14:paraId="0E1F5BF8">
      <w:pPr>
        <w:snapToGrid w:val="0"/>
        <w:spacing w:line="360" w:lineRule="auto"/>
        <w:rPr>
          <w:rFonts w:ascii="仿宋" w:hAnsi="仿宋" w:eastAsia="仿宋" w:cs="Arial"/>
          <w:color w:val="auto"/>
          <w:sz w:val="24"/>
          <w:highlight w:val="none"/>
        </w:rPr>
      </w:pPr>
    </w:p>
    <w:p w14:paraId="67DE4F92">
      <w:pPr>
        <w:snapToGrid w:val="0"/>
        <w:spacing w:line="360" w:lineRule="auto"/>
        <w:rPr>
          <w:rFonts w:ascii="仿宋" w:hAnsi="仿宋" w:eastAsia="仿宋" w:cs="Arial"/>
          <w:color w:val="auto"/>
          <w:sz w:val="24"/>
          <w:highlight w:val="none"/>
        </w:rPr>
      </w:pPr>
    </w:p>
    <w:p w14:paraId="5040CBEC">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投标人名称（电子签章）：</w:t>
      </w:r>
      <w:r>
        <w:rPr>
          <w:rFonts w:ascii="仿宋" w:hAnsi="仿宋" w:eastAsia="仿宋" w:cs="Arial"/>
          <w:color w:val="auto"/>
          <w:sz w:val="24"/>
          <w:highlight w:val="none"/>
        </w:rPr>
        <w:t>_________________________________</w:t>
      </w:r>
    </w:p>
    <w:p w14:paraId="14270E66">
      <w:pPr>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日期：</w:t>
      </w:r>
      <w:r>
        <w:rPr>
          <w:rFonts w:ascii="仿宋" w:hAnsi="仿宋" w:eastAsia="仿宋" w:cs="Arial"/>
          <w:color w:val="auto"/>
          <w:sz w:val="24"/>
          <w:highlight w:val="none"/>
        </w:rPr>
        <w:t>________</w:t>
      </w:r>
      <w:r>
        <w:rPr>
          <w:rFonts w:hint="eastAsia" w:ascii="仿宋" w:hAnsi="仿宋" w:eastAsia="仿宋" w:cs="Arial"/>
          <w:color w:val="auto"/>
          <w:sz w:val="24"/>
          <w:highlight w:val="none"/>
        </w:rPr>
        <w:t>年</w:t>
      </w:r>
      <w:r>
        <w:rPr>
          <w:rFonts w:ascii="仿宋" w:hAnsi="仿宋" w:eastAsia="仿宋" w:cs="Arial"/>
          <w:color w:val="auto"/>
          <w:sz w:val="24"/>
          <w:highlight w:val="none"/>
        </w:rPr>
        <w:t>____</w:t>
      </w:r>
      <w:r>
        <w:rPr>
          <w:rFonts w:hint="eastAsia" w:ascii="仿宋" w:hAnsi="仿宋" w:eastAsia="仿宋" w:cs="Arial"/>
          <w:color w:val="auto"/>
          <w:sz w:val="24"/>
          <w:highlight w:val="none"/>
        </w:rPr>
        <w:t>月</w:t>
      </w:r>
      <w:r>
        <w:rPr>
          <w:rFonts w:ascii="仿宋" w:hAnsi="仿宋" w:eastAsia="仿宋" w:cs="Arial"/>
          <w:color w:val="auto"/>
          <w:sz w:val="24"/>
          <w:highlight w:val="none"/>
        </w:rPr>
        <w:t>____</w:t>
      </w:r>
      <w:r>
        <w:rPr>
          <w:rFonts w:hint="eastAsia" w:ascii="仿宋" w:hAnsi="仿宋" w:eastAsia="仿宋" w:cs="Arial"/>
          <w:color w:val="auto"/>
          <w:sz w:val="24"/>
          <w:highlight w:val="none"/>
        </w:rPr>
        <w:t>日</w:t>
      </w:r>
    </w:p>
    <w:p w14:paraId="0E695F9A">
      <w:pPr>
        <w:widowControl/>
        <w:jc w:val="left"/>
        <w:rPr>
          <w:rFonts w:ascii="仿宋" w:hAnsi="仿宋" w:eastAsia="仿宋" w:cs="Arial"/>
          <w:color w:val="auto"/>
          <w:sz w:val="24"/>
          <w:highlight w:val="none"/>
        </w:rPr>
      </w:pPr>
      <w:r>
        <w:rPr>
          <w:rFonts w:ascii="仿宋" w:hAnsi="仿宋" w:eastAsia="仿宋" w:cs="Arial"/>
          <w:color w:val="auto"/>
          <w:sz w:val="24"/>
          <w:highlight w:val="none"/>
        </w:rPr>
        <w:br w:type="page"/>
      </w:r>
    </w:p>
    <w:p w14:paraId="5870AEA1">
      <w:pPr>
        <w:jc w:val="center"/>
        <w:rPr>
          <w:b/>
          <w:bCs/>
          <w:color w:val="auto"/>
          <w:sz w:val="30"/>
          <w:szCs w:val="30"/>
          <w:highlight w:val="none"/>
        </w:rPr>
      </w:pPr>
      <w:bookmarkStart w:id="504" w:name="_Toc30518"/>
      <w:bookmarkStart w:id="505" w:name="_Toc23555"/>
      <w:r>
        <w:rPr>
          <w:rFonts w:hint="eastAsia"/>
          <w:b/>
          <w:bCs/>
          <w:color w:val="auto"/>
          <w:sz w:val="30"/>
          <w:szCs w:val="30"/>
          <w:highlight w:val="none"/>
        </w:rPr>
        <w:t>二、中小企业声明函</w:t>
      </w:r>
      <w:bookmarkEnd w:id="504"/>
      <w:bookmarkEnd w:id="505"/>
    </w:p>
    <w:p w14:paraId="042EDC3D">
      <w:pPr>
        <w:widowControl/>
        <w:autoSpaceDE/>
        <w:autoSpaceDN/>
        <w:spacing w:line="420" w:lineRule="exact"/>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6B15F909">
      <w:pPr>
        <w:pStyle w:val="4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ECBB6F1">
      <w:pPr>
        <w:spacing w:line="360" w:lineRule="auto"/>
        <w:ind w:right="420" w:firstLine="3614" w:firstLineChars="1000"/>
        <w:rPr>
          <w:rFonts w:ascii="宋体" w:hAnsi="宋体" w:cs="宋体"/>
          <w:b/>
          <w:color w:val="auto"/>
          <w:sz w:val="36"/>
          <w:szCs w:val="36"/>
          <w:highlight w:val="none"/>
        </w:rPr>
      </w:pPr>
    </w:p>
    <w:p w14:paraId="077752A1">
      <w:pPr>
        <w:spacing w:line="360" w:lineRule="auto"/>
        <w:ind w:right="420" w:firstLine="3614" w:firstLineChars="1000"/>
        <w:rPr>
          <w:rFonts w:ascii="宋体" w:hAnsi="宋体" w:cs="宋体"/>
          <w:b/>
          <w:color w:val="auto"/>
          <w:sz w:val="36"/>
          <w:szCs w:val="36"/>
          <w:highlight w:val="none"/>
        </w:rPr>
      </w:pPr>
    </w:p>
    <w:p w14:paraId="0495A4D6">
      <w:pPr>
        <w:tabs>
          <w:tab w:val="left" w:pos="8085"/>
        </w:tabs>
        <w:spacing w:line="360" w:lineRule="auto"/>
        <w:ind w:firstLine="1285" w:firstLineChars="400"/>
        <w:jc w:val="left"/>
        <w:rPr>
          <w:rFonts w:ascii="宋体" w:hAnsi="宋体" w:cs="宋体"/>
          <w:b/>
          <w:color w:val="auto"/>
          <w:sz w:val="32"/>
          <w:szCs w:val="32"/>
          <w:highlight w:val="none"/>
        </w:rPr>
      </w:pPr>
    </w:p>
    <w:p w14:paraId="21ABBEF3">
      <w:pPr>
        <w:rPr>
          <w:color w:val="auto"/>
          <w:highlight w:val="none"/>
        </w:rPr>
      </w:pPr>
      <w:r>
        <w:rPr>
          <w:rFonts w:hint="eastAsia"/>
          <w:color w:val="auto"/>
          <w:highlight w:val="none"/>
        </w:rPr>
        <w:br w:type="page"/>
      </w:r>
    </w:p>
    <w:p w14:paraId="3AF01341">
      <w:pPr>
        <w:pStyle w:val="4"/>
        <w:jc w:val="center"/>
        <w:rPr>
          <w:rFonts w:ascii="仿宋" w:hAnsi="仿宋" w:eastAsia="仿宋" w:cs="仿宋"/>
          <w:color w:val="auto"/>
          <w:highlight w:val="none"/>
        </w:rPr>
      </w:pPr>
      <w:bookmarkStart w:id="506" w:name="_Toc12708"/>
      <w:bookmarkStart w:id="507" w:name="_Toc23678"/>
      <w:r>
        <w:rPr>
          <w:rFonts w:hint="eastAsia" w:ascii="仿宋" w:hAnsi="仿宋" w:eastAsia="仿宋" w:cs="仿宋"/>
          <w:color w:val="auto"/>
          <w:highlight w:val="none"/>
        </w:rPr>
        <w:t>第七章 附件</w:t>
      </w:r>
      <w:bookmarkEnd w:id="506"/>
      <w:bookmarkEnd w:id="507"/>
    </w:p>
    <w:p w14:paraId="7FF4B5E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bookmarkStart w:id="508" w:name="OLE_LINK14"/>
      <w:bookmarkStart w:id="509" w:name="OLE_LINK13"/>
      <w:r>
        <w:rPr>
          <w:rFonts w:hint="eastAsia" w:ascii="宋体" w:hAnsi="宋体" w:cs="宋体"/>
          <w:b/>
          <w:color w:val="auto"/>
          <w:spacing w:val="6"/>
          <w:sz w:val="32"/>
          <w:szCs w:val="32"/>
          <w:highlight w:val="none"/>
        </w:rPr>
        <w:t>残疾人福利性单位声明函</w:t>
      </w:r>
    </w:p>
    <w:bookmarkEnd w:id="508"/>
    <w:bookmarkEnd w:id="509"/>
    <w:p w14:paraId="28391F88">
      <w:pPr>
        <w:autoSpaceDE/>
        <w:autoSpaceDN/>
        <w:spacing w:line="420" w:lineRule="exact"/>
        <w:rPr>
          <w:rFonts w:ascii="宋体" w:hAnsi="宋体" w:cs="宋体"/>
          <w:b/>
          <w:color w:val="auto"/>
          <w:spacing w:val="6"/>
          <w:sz w:val="30"/>
          <w:szCs w:val="30"/>
          <w:highlight w:val="none"/>
        </w:rPr>
      </w:pPr>
    </w:p>
    <w:p w14:paraId="071F0012">
      <w:pPr>
        <w:autoSpaceDE/>
        <w:autoSpaceDN/>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8E7ED3">
      <w:pPr>
        <w:autoSpaceDE/>
        <w:autoSpaceDN/>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67E6658">
      <w:pPr>
        <w:spacing w:line="360" w:lineRule="auto"/>
        <w:ind w:firstLine="480" w:firstLineChars="200"/>
        <w:rPr>
          <w:rFonts w:ascii="仿宋" w:hAnsi="仿宋" w:eastAsia="仿宋" w:cs="仿宋"/>
          <w:color w:val="auto"/>
          <w:sz w:val="24"/>
          <w:highlight w:val="none"/>
        </w:rPr>
      </w:pPr>
    </w:p>
    <w:p w14:paraId="3AB25E9B">
      <w:pPr>
        <w:spacing w:line="360" w:lineRule="auto"/>
        <w:ind w:firstLine="480" w:firstLineChars="200"/>
        <w:rPr>
          <w:rFonts w:ascii="仿宋" w:hAnsi="仿宋" w:eastAsia="仿宋" w:cs="仿宋"/>
          <w:color w:val="auto"/>
          <w:sz w:val="24"/>
          <w:highlight w:val="none"/>
        </w:rPr>
      </w:pPr>
    </w:p>
    <w:p w14:paraId="5CE425C2">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投标人名称（电子签名）</w:t>
      </w:r>
      <w:r>
        <w:rPr>
          <w:rFonts w:hint="eastAsia" w:ascii="仿宋" w:hAnsi="仿宋" w:eastAsia="仿宋" w:cs="仿宋"/>
          <w:color w:val="auto"/>
          <w:sz w:val="24"/>
          <w:highlight w:val="none"/>
        </w:rPr>
        <w:t>：</w:t>
      </w:r>
    </w:p>
    <w:p w14:paraId="09A9A39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仿宋" w:hAnsi="仿宋" w:eastAsia="仿宋" w:cs="仿宋"/>
          <w:color w:val="auto"/>
          <w:sz w:val="24"/>
          <w:highlight w:val="none"/>
        </w:rPr>
        <w:t xml:space="preserve"> 日  期</w:t>
      </w:r>
      <w:r>
        <w:rPr>
          <w:rFonts w:hint="eastAsia" w:ascii="宋体" w:hAnsi="宋体" w:cs="宋体"/>
          <w:color w:val="auto"/>
          <w:sz w:val="24"/>
          <w:highlight w:val="none"/>
        </w:rPr>
        <w:t>：</w:t>
      </w:r>
    </w:p>
    <w:p w14:paraId="47668318">
      <w:pPr>
        <w:spacing w:line="360" w:lineRule="auto"/>
        <w:jc w:val="center"/>
        <w:rPr>
          <w:rFonts w:ascii="宋体" w:hAnsi="宋体" w:cs="宋体"/>
          <w:b/>
          <w:color w:val="auto"/>
          <w:spacing w:val="6"/>
          <w:sz w:val="32"/>
          <w:szCs w:val="32"/>
          <w:highlight w:val="none"/>
        </w:rPr>
      </w:pPr>
    </w:p>
    <w:p w14:paraId="5A22775D">
      <w:pPr>
        <w:spacing w:line="360" w:lineRule="auto"/>
        <w:jc w:val="center"/>
        <w:rPr>
          <w:rFonts w:ascii="宋体" w:hAnsi="宋体" w:cs="宋体"/>
          <w:b/>
          <w:color w:val="auto"/>
          <w:spacing w:val="6"/>
          <w:sz w:val="32"/>
          <w:szCs w:val="32"/>
          <w:highlight w:val="none"/>
        </w:rPr>
      </w:pPr>
    </w:p>
    <w:p w14:paraId="1C8AB9FC">
      <w:pPr>
        <w:jc w:val="center"/>
        <w:rPr>
          <w:rFonts w:ascii="宋体" w:hAnsi="宋体" w:cs="宋体"/>
          <w:b/>
          <w:color w:val="auto"/>
          <w:sz w:val="32"/>
          <w:szCs w:val="32"/>
          <w:highlight w:val="none"/>
        </w:rPr>
      </w:pPr>
      <w:r>
        <w:rPr>
          <w:rFonts w:hint="eastAsia" w:ascii="宋体" w:hAnsi="宋体" w:cs="宋体"/>
          <w:b/>
          <w:color w:val="auto"/>
          <w:spacing w:val="6"/>
          <w:sz w:val="32"/>
          <w:szCs w:val="32"/>
          <w:highlight w:val="none"/>
        </w:rPr>
        <w:br w:type="page"/>
      </w:r>
      <w:r>
        <w:rPr>
          <w:rFonts w:hint="eastAsia" w:ascii="宋体" w:hAnsi="宋体" w:cs="宋体"/>
          <w:b/>
          <w:color w:val="auto"/>
          <w:spacing w:val="6"/>
          <w:sz w:val="32"/>
          <w:szCs w:val="32"/>
          <w:highlight w:val="none"/>
        </w:rPr>
        <w:t>附件2：</w:t>
      </w:r>
      <w:r>
        <w:rPr>
          <w:rFonts w:hint="eastAsia" w:ascii="宋体" w:hAnsi="宋体" w:cs="宋体"/>
          <w:b/>
          <w:color w:val="auto"/>
          <w:sz w:val="32"/>
          <w:szCs w:val="32"/>
          <w:highlight w:val="none"/>
        </w:rPr>
        <w:t>中小企业声明函</w:t>
      </w:r>
    </w:p>
    <w:p w14:paraId="6257D5F2">
      <w:pPr>
        <w:spacing w:line="360" w:lineRule="auto"/>
        <w:jc w:val="center"/>
        <w:rPr>
          <w:rFonts w:ascii="宋体" w:hAnsi="宋体" w:cs="宋体"/>
          <w:b/>
          <w:color w:val="auto"/>
          <w:sz w:val="32"/>
          <w:szCs w:val="32"/>
          <w:highlight w:val="none"/>
        </w:rPr>
      </w:pPr>
      <w:bookmarkStart w:id="510" w:name="_Toc13738"/>
      <w:bookmarkStart w:id="511" w:name="_Toc15116"/>
      <w:r>
        <w:rPr>
          <w:rFonts w:hint="eastAsia" w:ascii="宋体" w:hAnsi="宋体" w:cs="宋体"/>
          <w:b/>
          <w:color w:val="auto"/>
          <w:sz w:val="32"/>
          <w:szCs w:val="32"/>
          <w:highlight w:val="none"/>
        </w:rPr>
        <w:t>中小企业声明函（工程、服务）</w:t>
      </w:r>
      <w:bookmarkEnd w:id="510"/>
    </w:p>
    <w:p w14:paraId="7073EF88">
      <w:pPr>
        <w:spacing w:line="360" w:lineRule="auto"/>
        <w:rPr>
          <w:rFonts w:ascii="宋体" w:hAnsi="宋体" w:cs="宋体"/>
          <w:color w:val="auto"/>
          <w:highlight w:val="none"/>
        </w:rPr>
      </w:pPr>
    </w:p>
    <w:p w14:paraId="3F582DED">
      <w:pPr>
        <w:autoSpaceDE/>
        <w:autoSpaceDN/>
        <w:spacing w:line="420" w:lineRule="exact"/>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（单位名称）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29AF066">
      <w:pPr>
        <w:autoSpaceDE/>
        <w:autoSpaceDN/>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3092212">
      <w:pPr>
        <w:autoSpaceDE/>
        <w:autoSpaceDN/>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B41DB81">
      <w:pPr>
        <w:autoSpaceDE/>
        <w:autoSpaceDN/>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131F2B2C">
      <w:pPr>
        <w:autoSpaceDE/>
        <w:autoSpaceDN/>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9A3A341">
      <w:pPr>
        <w:autoSpaceDE/>
        <w:autoSpaceDN/>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791F333">
      <w:pPr>
        <w:autoSpaceDE/>
        <w:autoSpaceDN/>
        <w:spacing w:line="420" w:lineRule="exact"/>
        <w:ind w:firstLine="4535"/>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4DE68DF">
      <w:pPr>
        <w:autoSpaceDE/>
        <w:autoSpaceDN/>
        <w:spacing w:line="420" w:lineRule="exact"/>
        <w:ind w:firstLine="4535"/>
        <w:jc w:val="left"/>
        <w:rPr>
          <w:rFonts w:ascii="仿宋" w:hAnsi="仿宋" w:eastAsia="仿宋" w:cs="仿宋"/>
          <w:color w:val="auto"/>
          <w:sz w:val="24"/>
          <w:highlight w:val="none"/>
        </w:rPr>
      </w:pPr>
      <w:r>
        <w:rPr>
          <w:rFonts w:hint="eastAsia" w:ascii="仿宋" w:hAnsi="仿宋" w:eastAsia="仿宋" w:cs="仿宋"/>
          <w:color w:val="auto"/>
          <w:spacing w:val="113"/>
          <w:sz w:val="24"/>
          <w:highlight w:val="none"/>
        </w:rPr>
        <w:t>日</w:t>
      </w:r>
      <w:r>
        <w:rPr>
          <w:rFonts w:hint="eastAsia" w:ascii="仿宋" w:hAnsi="仿宋" w:eastAsia="仿宋" w:cs="仿宋"/>
          <w:color w:val="auto"/>
          <w:sz w:val="24"/>
          <w:highlight w:val="none"/>
        </w:rPr>
        <w:t>期：</w:t>
      </w:r>
    </w:p>
    <w:p w14:paraId="72A4095D">
      <w:pPr>
        <w:autoSpaceDE/>
        <w:autoSpaceDN/>
        <w:spacing w:line="420" w:lineRule="exact"/>
        <w:ind w:firstLine="310" w:firstLineChars="147"/>
        <w:jc w:val="left"/>
        <w:rPr>
          <w:rFonts w:ascii="仿宋" w:hAnsi="仿宋" w:eastAsia="仿宋" w:cs="仿宋"/>
          <w:b/>
          <w:color w:val="auto"/>
          <w:highlight w:val="none"/>
        </w:rPr>
      </w:pPr>
      <w:r>
        <w:rPr>
          <w:rFonts w:hint="eastAsia" w:ascii="仿宋" w:hAnsi="仿宋" w:eastAsia="仿宋" w:cs="仿宋"/>
          <w:b/>
          <w:color w:val="auto"/>
          <w:highlight w:val="none"/>
        </w:rPr>
        <w:t>从业人员、营业收入、资产总额填报上一年度数据，无上一年度数据的新成立企业可不填报。</w:t>
      </w:r>
    </w:p>
    <w:p w14:paraId="6E651C88">
      <w:pPr>
        <w:autoSpaceDE/>
        <w:autoSpaceDN/>
        <w:spacing w:line="420" w:lineRule="exact"/>
        <w:rPr>
          <w:rFonts w:ascii="仿宋" w:hAnsi="仿宋" w:eastAsia="仿宋" w:cs="仿宋"/>
          <w:color w:val="auto"/>
          <w:sz w:val="24"/>
          <w:highlight w:val="none"/>
        </w:rPr>
      </w:pPr>
    </w:p>
    <w:p w14:paraId="0D428C73">
      <w:pPr>
        <w:autoSpaceDE/>
        <w:autoSpaceDN/>
        <w:spacing w:line="42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注：</w:t>
      </w:r>
    </w:p>
    <w:p w14:paraId="3060BD76">
      <w:pPr>
        <w:autoSpaceDE/>
        <w:autoSpaceDN/>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F71F51">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53485143">
      <w:pPr>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rPr>
        <w:t>附件3：</w:t>
      </w:r>
      <w:r>
        <w:rPr>
          <w:rFonts w:hint="eastAsia" w:ascii="宋体" w:hAnsi="宋体" w:cs="宋体"/>
          <w:b/>
          <w:color w:val="auto"/>
          <w:sz w:val="32"/>
          <w:szCs w:val="32"/>
          <w:highlight w:val="none"/>
          <w:lang w:val="zh-CN"/>
        </w:rPr>
        <w:t>联合协议</w:t>
      </w:r>
    </w:p>
    <w:p w14:paraId="34F1DA64">
      <w:pPr>
        <w:widowControl/>
        <w:autoSpaceDE/>
        <w:autoSpaceDN/>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7174882">
      <w:pPr>
        <w:autoSpaceDE/>
        <w:autoSpaceDN/>
        <w:snapToGrid w:val="0"/>
        <w:spacing w:line="420" w:lineRule="exact"/>
        <w:ind w:firstLine="576"/>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rPr>
        <w:t>（联合体所有成员名称）</w:t>
      </w:r>
      <w:r>
        <w:rPr>
          <w:rFonts w:hint="eastAsia" w:ascii="仿宋" w:hAnsi="仿宋" w:eastAsia="仿宋" w:cs="仿宋"/>
          <w:color w:val="auto"/>
          <w:sz w:val="24"/>
          <w:highlight w:val="none"/>
        </w:rPr>
        <w:t>自愿</w:t>
      </w:r>
      <w:r>
        <w:rPr>
          <w:rFonts w:hint="eastAsia" w:ascii="仿宋" w:hAnsi="仿宋" w:eastAsia="仿宋" w:cs="仿宋"/>
          <w:color w:val="auto"/>
          <w:sz w:val="24"/>
          <w:highlight w:val="none"/>
          <w:lang w:val="zh-CN"/>
        </w:rPr>
        <w:t>组成一个联合体，以一个投标人的身份</w:t>
      </w:r>
      <w:r>
        <w:rPr>
          <w:rFonts w:hint="eastAsia" w:ascii="仿宋" w:hAnsi="仿宋" w:eastAsia="仿宋" w:cs="仿宋"/>
          <w:color w:val="auto"/>
          <w:sz w:val="24"/>
          <w:highlight w:val="none"/>
        </w:rPr>
        <w:t>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诸浣江2025-**-**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投标。 </w:t>
      </w:r>
    </w:p>
    <w:p w14:paraId="724DEC28">
      <w:pPr>
        <w:autoSpaceDE/>
        <w:autoSpaceDN/>
        <w:snapToGrid w:val="0"/>
        <w:spacing w:line="420" w:lineRule="exact"/>
        <w:ind w:firstLine="57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一、各方一致决定，</w:t>
      </w:r>
      <w:r>
        <w:rPr>
          <w:rFonts w:hint="eastAsia" w:ascii="仿宋" w:hAnsi="仿宋" w:eastAsia="仿宋" w:cs="仿宋"/>
          <w:color w:val="auto"/>
          <w:sz w:val="24"/>
          <w:highlight w:val="none"/>
          <w:u w:val="single"/>
        </w:rPr>
        <w:t>（某联合体成员名称）</w:t>
      </w:r>
      <w:r>
        <w:rPr>
          <w:rFonts w:hint="eastAsia" w:ascii="仿宋" w:hAnsi="仿宋" w:eastAsia="仿宋" w:cs="仿宋"/>
          <w:color w:val="auto"/>
          <w:sz w:val="24"/>
          <w:highlight w:val="none"/>
        </w:rPr>
        <w:t>为联合体</w:t>
      </w:r>
      <w:r>
        <w:rPr>
          <w:rFonts w:hint="eastAsia" w:ascii="仿宋" w:hAnsi="仿宋" w:eastAsia="仿宋" w:cs="仿宋"/>
          <w:color w:val="auto"/>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sz w:val="24"/>
          <w:highlight w:val="none"/>
          <w:lang w:val="zh-CN"/>
        </w:rPr>
        <w:t>。</w:t>
      </w:r>
    </w:p>
    <w:p w14:paraId="64E1E91F">
      <w:pPr>
        <w:autoSpaceDE/>
        <w:autoSpaceDN/>
        <w:snapToGrid w:val="0"/>
        <w:spacing w:line="420" w:lineRule="exact"/>
        <w:ind w:firstLine="57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sz w:val="24"/>
          <w:highlight w:val="none"/>
          <w:lang w:val="zh-CN"/>
        </w:rPr>
        <w:t>授权代表根据招标文件规定及投标内容而对采购人、采购代理机构所作的任何合法承诺，包括书面澄清及相应等均对联合投标各方产生约束力。</w:t>
      </w:r>
    </w:p>
    <w:p w14:paraId="2FF41171">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三、本次联合投标中，分工如下：</w:t>
      </w:r>
      <w:r>
        <w:rPr>
          <w:rFonts w:hint="eastAsia" w:ascii="仿宋" w:hAnsi="仿宋" w:eastAsia="仿宋" w:cs="仿宋"/>
          <w:color w:val="auto"/>
          <w:sz w:val="24"/>
          <w:highlight w:val="none"/>
          <w:u w:val="single"/>
        </w:rPr>
        <w:t>（联合体其中一方成员名称）</w:t>
      </w:r>
      <w:r>
        <w:rPr>
          <w:rFonts w:hint="eastAsia" w:ascii="仿宋" w:hAnsi="仿宋" w:eastAsia="仿宋" w:cs="仿宋"/>
          <w:color w:val="auto"/>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u w:val="single"/>
        </w:rPr>
        <w:t>（联合体其中一方成员名称）</w:t>
      </w:r>
      <w:r>
        <w:rPr>
          <w:rFonts w:hint="eastAsia" w:ascii="仿宋" w:hAnsi="仿宋" w:eastAsia="仿宋" w:cs="仿宋"/>
          <w:color w:val="auto"/>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lang w:val="zh-CN"/>
        </w:rPr>
        <w:t xml:space="preserve"> ；……。</w:t>
      </w:r>
    </w:p>
    <w:p w14:paraId="46F43875">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w:t>
      </w:r>
    </w:p>
    <w:p w14:paraId="73B89D8B">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5114529">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六、有关本次联合投标的其他事宜：</w:t>
      </w:r>
    </w:p>
    <w:p w14:paraId="20B79432">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1、联合体各方不再单独参加或者与其他供应商另外组成联合体参加同一合同项下的政府采购活动。</w:t>
      </w:r>
    </w:p>
    <w:p w14:paraId="6FE5B7D1">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2、联合体中有同类资质的各方按照联合体分工承担相同工作的，按照资质等级较低的供应商确定资质等级。</w:t>
      </w:r>
    </w:p>
    <w:p w14:paraId="773CA870">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3、本协议提交采购人、采购代理机构后，联合体各方不得以任何形式对上述内容进行修改或撤销。</w:t>
      </w:r>
    </w:p>
    <w:p w14:paraId="596BA8AA">
      <w:pPr>
        <w:snapToGrid w:val="0"/>
        <w:spacing w:line="360" w:lineRule="auto"/>
        <w:ind w:firstLine="5040" w:firstLineChars="2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联合体成员名称(电子签名/公章)：</w:t>
      </w:r>
    </w:p>
    <w:p w14:paraId="16FF87DB">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sz w:val="24"/>
          <w:highlight w:val="none"/>
          <w:lang w:val="zh-CN"/>
        </w:rPr>
        <w:t>……</w:t>
      </w:r>
    </w:p>
    <w:p w14:paraId="7882B2F6">
      <w:pPr>
        <w:snapToGrid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日期：  年  月   日</w:t>
      </w:r>
    </w:p>
    <w:p w14:paraId="6A46CFCA">
      <w:pPr>
        <w:rPr>
          <w:rFonts w:ascii="宋体" w:hAnsi="宋体" w:cs="宋体"/>
          <w:color w:val="auto"/>
          <w:sz w:val="24"/>
          <w:highlight w:val="none"/>
          <w:lang w:val="zh-CN"/>
        </w:rPr>
      </w:pPr>
      <w:r>
        <w:rPr>
          <w:rFonts w:hint="eastAsia" w:ascii="宋体" w:hAnsi="宋体" w:cs="宋体"/>
          <w:color w:val="auto"/>
          <w:sz w:val="24"/>
          <w:highlight w:val="none"/>
          <w:lang w:val="zh-CN"/>
        </w:rPr>
        <w:br w:type="page"/>
      </w:r>
    </w:p>
    <w:p w14:paraId="6D23CBD2">
      <w:pPr>
        <w:snapToGrid w:val="0"/>
        <w:spacing w:before="312" w:beforeLines="10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附件4：分包意向协议</w:t>
      </w:r>
    </w:p>
    <w:p w14:paraId="10B1D063">
      <w:pPr>
        <w:widowControl/>
        <w:autoSpaceDE/>
        <w:autoSpaceDN/>
        <w:spacing w:line="400" w:lineRule="exact"/>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42FCF20A">
      <w:pPr>
        <w:autoSpaceDE/>
        <w:autoSpaceDN/>
        <w:snapToGrid w:val="0"/>
        <w:spacing w:line="40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lang w:val="zh-CN"/>
        </w:rPr>
        <w:t>若成为</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诸浣江2025-**-**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的中标供应商，将依法采取分包方式履行合同。</w:t>
      </w: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u w:val="single"/>
        </w:rPr>
        <w:t>（所有分包供应商名称）</w:t>
      </w:r>
      <w:r>
        <w:rPr>
          <w:rFonts w:hint="eastAsia" w:ascii="仿宋" w:hAnsi="仿宋" w:eastAsia="仿宋" w:cs="仿宋"/>
          <w:color w:val="auto"/>
          <w:sz w:val="24"/>
          <w:highlight w:val="none"/>
        </w:rPr>
        <w:t>达成分包意向协议</w:t>
      </w:r>
      <w:r>
        <w:rPr>
          <w:rFonts w:hint="eastAsia" w:ascii="仿宋" w:hAnsi="仿宋" w:eastAsia="仿宋" w:cs="仿宋"/>
          <w:color w:val="auto"/>
          <w:sz w:val="24"/>
          <w:highlight w:val="none"/>
          <w:lang w:val="zh-CN"/>
        </w:rPr>
        <w:t xml:space="preserve">。 </w:t>
      </w:r>
    </w:p>
    <w:p w14:paraId="541DFA6D">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lang w:val="zh-CN"/>
        </w:rPr>
        <w:t>若成为</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sz w:val="24"/>
          <w:szCs w:val="24"/>
          <w:highlight w:val="none"/>
          <w:lang w:val="zh-CN"/>
        </w:rPr>
        <w:t>的中标供应商，将依法采取分包方式履行合同。</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u w:val="single"/>
        </w:rPr>
        <w:t>（所有分包供应商名称）</w:t>
      </w:r>
      <w:r>
        <w:rPr>
          <w:rFonts w:hint="eastAsia" w:ascii="仿宋" w:hAnsi="仿宋" w:eastAsia="仿宋" w:cs="仿宋"/>
          <w:color w:val="auto"/>
          <w:sz w:val="24"/>
          <w:szCs w:val="24"/>
          <w:highlight w:val="none"/>
        </w:rPr>
        <w:t>达成分包意向协议</w:t>
      </w:r>
      <w:r>
        <w:rPr>
          <w:rFonts w:hint="eastAsia" w:ascii="仿宋" w:hAnsi="仿宋" w:eastAsia="仿宋" w:cs="仿宋"/>
          <w:color w:val="auto"/>
          <w:sz w:val="24"/>
          <w:szCs w:val="24"/>
          <w:highlight w:val="none"/>
          <w:lang w:val="zh-CN"/>
        </w:rPr>
        <w:t xml:space="preserve">。 </w:t>
      </w:r>
    </w:p>
    <w:p w14:paraId="2BD0FBF0">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一、分包标的及数量</w:t>
      </w:r>
    </w:p>
    <w:p w14:paraId="3456942B">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sz w:val="24"/>
          <w:szCs w:val="24"/>
          <w:highlight w:val="none"/>
          <w:u w:val="single"/>
        </w:rPr>
        <w:t>（某分包供应商名称）</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（某分包供应商名称），</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u w:val="single"/>
          <w:lang w:val="zh-CN"/>
        </w:rPr>
        <w:t>XX工作内容</w:t>
      </w:r>
      <w:r>
        <w:rPr>
          <w:rFonts w:hint="eastAsia" w:ascii="仿宋" w:hAnsi="仿宋" w:eastAsia="仿宋" w:cs="仿宋"/>
          <w:color w:val="auto"/>
          <w:sz w:val="24"/>
          <w:szCs w:val="24"/>
          <w:highlight w:val="none"/>
          <w:lang w:val="zh-CN"/>
        </w:rPr>
        <w:t>相应资质条件且不得再次分包；</w:t>
      </w:r>
    </w:p>
    <w:p w14:paraId="40DE666A">
      <w:pPr>
        <w:spacing w:line="400" w:lineRule="exact"/>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787A264">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二、分包工作履行期限、地点、方式</w:t>
      </w:r>
    </w:p>
    <w:p w14:paraId="3D3A650B">
      <w:pPr>
        <w:snapToGrid w:val="0"/>
        <w:spacing w:line="400" w:lineRule="exact"/>
        <w:ind w:firstLine="576"/>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6B52F774">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三、质量</w:t>
      </w:r>
    </w:p>
    <w:p w14:paraId="7625A59F">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p>
    <w:p w14:paraId="2A60ED61">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四、价款或者报酬</w:t>
      </w:r>
    </w:p>
    <w:p w14:paraId="20B7B3E3">
      <w:pPr>
        <w:snapToGrid w:val="0"/>
        <w:spacing w:line="400" w:lineRule="exact"/>
        <w:ind w:left="573" w:leftChars="273"/>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p>
    <w:p w14:paraId="21490327">
      <w:pPr>
        <w:snapToGrid w:val="0"/>
        <w:spacing w:line="400" w:lineRule="exact"/>
        <w:ind w:left="573" w:leftChars="273"/>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五、违约责任</w:t>
      </w:r>
    </w:p>
    <w:p w14:paraId="5B6CE5D6">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p>
    <w:p w14:paraId="4443121C">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六、争议解决的办法</w:t>
      </w:r>
    </w:p>
    <w:p w14:paraId="6BF54F19">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p>
    <w:p w14:paraId="52549118">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七、其他</w:t>
      </w:r>
    </w:p>
    <w:p w14:paraId="2BCD4EEA">
      <w:pPr>
        <w:snapToGrid w:val="0"/>
        <w:spacing w:line="400" w:lineRule="exact"/>
        <w:ind w:firstLine="576"/>
        <w:rPr>
          <w:rFonts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u w:val="single"/>
        </w:rPr>
        <w:t>（分包供应商名称）提供的产品全部由小微企业制造，</w:t>
      </w:r>
      <w:r>
        <w:rPr>
          <w:rFonts w:hint="eastAsia" w:ascii="仿宋" w:hAnsi="仿宋" w:eastAsia="仿宋" w:cs="仿宋"/>
          <w:color w:val="auto"/>
          <w:sz w:val="24"/>
          <w:szCs w:val="24"/>
          <w:highlight w:val="none"/>
        </w:rPr>
        <w:t>其合同份额占到合同总金额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%以上。</w:t>
      </w:r>
      <w:r>
        <w:rPr>
          <w:rFonts w:hint="eastAsia" w:ascii="仿宋" w:hAnsi="仿宋" w:eastAsia="仿宋" w:cs="仿宋"/>
          <w:b/>
          <w:color w:val="auto"/>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14:paraId="20C540C3">
      <w:pPr>
        <w:snapToGrid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投标人名称(电子签名)：</w:t>
      </w:r>
    </w:p>
    <w:p w14:paraId="28F92649">
      <w:pPr>
        <w:snapToGrid w:val="0"/>
        <w:spacing w:line="400" w:lineRule="exact"/>
        <w:ind w:firstLine="5640" w:firstLineChars="235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分包供应商名称：</w:t>
      </w:r>
    </w:p>
    <w:p w14:paraId="212E086C">
      <w:pPr>
        <w:snapToGrid w:val="0"/>
        <w:spacing w:line="400" w:lineRule="exact"/>
        <w:ind w:firstLine="5760" w:firstLineChars="2400"/>
        <w:rPr>
          <w:rFonts w:ascii="仿宋" w:hAnsi="仿宋" w:eastAsia="仿宋" w:cs="仿宋"/>
          <w:color w:val="auto"/>
          <w:highlight w:val="none"/>
        </w:rPr>
      </w:pPr>
      <w:r>
        <w:rPr>
          <w:rFonts w:hint="eastAsia" w:ascii="仿宋" w:hAnsi="仿宋" w:eastAsia="仿宋" w:cs="仿宋"/>
          <w:color w:val="auto"/>
          <w:sz w:val="24"/>
          <w:highlight w:val="none"/>
          <w:lang w:val="zh-CN"/>
        </w:rPr>
        <w:t>……</w:t>
      </w:r>
    </w:p>
    <w:p w14:paraId="619C0CCF">
      <w:p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r>
        <w:rPr>
          <w:rFonts w:hint="eastAsia" w:ascii="仿宋" w:hAnsi="仿宋" w:eastAsia="仿宋" w:cs="仿宋"/>
          <w:color w:val="auto"/>
          <w:sz w:val="24"/>
          <w:highlight w:val="none"/>
          <w:lang w:val="zh-CN"/>
        </w:rPr>
        <w:t>日期：  年  月   日</w:t>
      </w:r>
      <w:bookmarkEnd w:id="511"/>
    </w:p>
    <w:p w14:paraId="574899E2">
      <w:pPr>
        <w:rPr>
          <w:rFonts w:ascii="宋体" w:hAnsi="宋体" w:cs="宋体"/>
          <w:color w:val="auto"/>
          <w:highlight w:val="none"/>
        </w:rPr>
      </w:pPr>
    </w:p>
    <w:sectPr>
      <w:pgSz w:w="11906" w:h="16838"/>
      <w:pgMar w:top="1440" w:right="1259" w:bottom="1440" w:left="12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3198D1DE">
        <w:pPr>
          <w:pStyle w:val="12"/>
          <w:ind w:firstLine="360"/>
          <w:jc w:val="center"/>
        </w:pPr>
      </w:p>
    </w:sdtContent>
  </w:sdt>
  <w:p w14:paraId="55CE4D59">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302A1">
    <w:pPr>
      <w:pStyle w:val="12"/>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C2923">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81C2923">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57917">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C2D8A">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790C2D8A">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501BF">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40B66">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2F440B66">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21997">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487A2">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D5487A2">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872A0">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EDDCF">
                          <w:pPr>
                            <w:pStyle w:val="1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7AEDDCF">
                    <w:pPr>
                      <w:pStyle w:val="1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71C4B">
    <w:pPr>
      <w:pStyle w:val="1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134E5">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1134E5">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06606">
    <w:pPr>
      <w:pStyle w:val="12"/>
      <w:framePr w:wrap="around" w:vAnchor="text" w:hAnchor="margin" w:xAlign="center" w:y="1"/>
      <w:rPr>
        <w:rStyle w:val="27"/>
      </w:rPr>
    </w:pPr>
    <w:r>
      <w:fldChar w:fldCharType="begin"/>
    </w:r>
    <w:r>
      <w:rPr>
        <w:rStyle w:val="27"/>
      </w:rPr>
      <w:instrText xml:space="preserve">PAGE  </w:instrText>
    </w:r>
    <w:r>
      <w:fldChar w:fldCharType="end"/>
    </w:r>
  </w:p>
  <w:p w14:paraId="434889E7">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9515">
    <w:pPr>
      <w:pStyle w:val="12"/>
      <w:jc w:val="center"/>
      <w:rPr>
        <w:rFonts w:eastAsia="宋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D635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DFD635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21658">
    <w:pPr>
      <w:pStyle w:val="12"/>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3E87F">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833E87F">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4A11F">
    <w:pPr>
      <w:pStyle w:val="12"/>
      <w:framePr w:wrap="around" w:vAnchor="text" w:hAnchor="margin" w:xAlign="right" w:y="1"/>
      <w:rPr>
        <w:rStyle w:val="27"/>
      </w:rPr>
    </w:pPr>
    <w:r>
      <w:rPr>
        <w:rStyle w:val="27"/>
      </w:rPr>
      <w:fldChar w:fldCharType="begin"/>
    </w:r>
    <w:r>
      <w:rPr>
        <w:rStyle w:val="27"/>
      </w:rPr>
      <w:instrText xml:space="preserve">PAGE  </w:instrText>
    </w:r>
    <w:r>
      <w:rPr>
        <w:rStyle w:val="27"/>
      </w:rPr>
      <w:fldChar w:fldCharType="end"/>
    </w:r>
  </w:p>
  <w:p w14:paraId="542CCDFF">
    <w:pPr>
      <w:pStyle w:val="1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3807">
    <w:pPr>
      <w:pStyle w:val="12"/>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4E940">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724E940">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D814">
    <w:pPr>
      <w:pStyle w:val="12"/>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BF0A0C">
                          <w:pPr>
                            <w:pStyle w:val="12"/>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00BF0A0C">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A41F">
    <w:pPr>
      <w:pStyle w:val="12"/>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38FEA">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77A38FEA">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A2116">
    <w:pPr>
      <w:pStyle w:val="14"/>
      <w:pBdr>
        <w:bottom w:val="single" w:color="auto" w:sz="6" w:space="0"/>
      </w:pBdr>
      <w:tabs>
        <w:tab w:val="center" w:pos="4535"/>
        <w:tab w:val="right" w:pos="9070"/>
        <w:tab w:val="clear" w:pos="4153"/>
        <w:tab w:val="clear" w:pos="8306"/>
      </w:tabs>
      <w:jc w:val="right"/>
      <w:rPr>
        <w:rFonts w:ascii="宋体" w:hAnsi="宋体" w:eastAsia="宋体" w:cs="宋体"/>
      </w:rPr>
    </w:pPr>
    <w:r>
      <w:rPr>
        <w:rFonts w:hint="eastAsia" w:ascii="宋体" w:hAnsi="宋体" w:eastAsia="宋体" w:cs="宋体"/>
      </w:rPr>
      <w:t>诸暨市浣江工程咨询有限公司</w:t>
    </w:r>
    <w:r>
      <w:rPr>
        <w:rFonts w:hint="eastAsia" w:ascii="宋体" w:hAnsi="宋体" w:eastAsia="宋体" w:cs="宋体"/>
        <w:lang w:val="zh-CN"/>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8534">
    <w:pPr>
      <w:pStyle w:val="14"/>
      <w:pBdr>
        <w:bottom w:val="single" w:color="auto" w:sz="6" w:space="0"/>
      </w:pBdr>
      <w:tabs>
        <w:tab w:val="center" w:pos="4535"/>
        <w:tab w:val="right" w:pos="9070"/>
        <w:tab w:val="clear" w:pos="4153"/>
        <w:tab w:val="clear" w:pos="8306"/>
      </w:tabs>
      <w:rPr>
        <w:rFonts w:ascii="宋体" w:hAnsi="宋体" w:eastAsia="宋体" w:cs="宋体"/>
      </w:rPr>
    </w:pPr>
    <w:r>
      <w:rPr>
        <w:rFonts w:hint="eastAsia" w:ascii="宋体" w:hAnsi="宋体" w:eastAsia="宋体" w:cs="宋体"/>
      </w:rPr>
      <w:t>诸暨市浣江工程咨询有限公司</w:t>
    </w:r>
    <w:r>
      <w:rPr>
        <w:rFonts w:hint="eastAsia" w:ascii="宋体" w:hAnsi="宋体" w:eastAsia="宋体" w:cs="宋体"/>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44FA">
    <w:pPr>
      <w:pStyle w:val="14"/>
      <w:jc w:val="right"/>
      <w:rPr>
        <w:rFonts w:ascii="宋体" w:hAnsi="宋体" w:eastAsia="宋体" w:cs="宋体"/>
      </w:rPr>
    </w:pPr>
    <w:r>
      <w:rPr>
        <w:rFonts w:hint="eastAsia" w:ascii="宋体" w:hAnsi="宋体" w:eastAsia="宋体" w:cs="宋体"/>
      </w:rPr>
      <w:t>诸暨市浣江工程咨询有限公司</w:t>
    </w:r>
    <w:r>
      <w:rPr>
        <w:rFonts w:hint="eastAsia" w:ascii="宋体" w:hAnsi="宋体" w:eastAsia="宋体" w:cs="宋体"/>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F1E5C">
    <w:pPr>
      <w:pStyle w:val="14"/>
      <w:jc w:val="right"/>
      <w:rPr>
        <w:rFonts w:ascii="宋体" w:hAnsi="宋体" w:eastAsia="宋体" w:cs="宋体"/>
      </w:rPr>
    </w:pPr>
    <w:r>
      <w:rPr>
        <w:rFonts w:hint="eastAsia" w:ascii="宋体" w:hAnsi="宋体" w:eastAsia="宋体" w:cs="宋体"/>
      </w:rPr>
      <w:t>诸暨市浣江工程咨询有限公司</w:t>
    </w:r>
    <w:r>
      <w:rPr>
        <w:rFonts w:hint="eastAsia" w:ascii="宋体" w:hAnsi="宋体" w:eastAsia="宋体" w:cs="宋体"/>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C9600">
    <w:pPr>
      <w:pStyle w:val="14"/>
      <w:pBdr>
        <w:bottom w:val="single" w:color="auto" w:sz="6" w:space="0"/>
      </w:pBdr>
      <w:tabs>
        <w:tab w:val="center" w:pos="4535"/>
        <w:tab w:val="right" w:pos="9070"/>
        <w:tab w:val="clear" w:pos="4153"/>
        <w:tab w:val="clear" w:pos="8306"/>
      </w:tabs>
      <w:jc w:val="right"/>
      <w:rPr>
        <w:rFonts w:ascii="仿宋_GB2312" w:eastAsia="仿宋_GB2312"/>
        <w:i/>
        <w:u w:val="single"/>
      </w:rPr>
    </w:pPr>
    <w:r>
      <w:t></w:t>
    </w:r>
    <w:r>
      <w:rPr>
        <w:rFonts w:hint="eastAsia" w:ascii="等线" w:hAnsi="等线" w:eastAsia="等线" w:cs="等线"/>
      </w:rPr>
      <w:t></w:t>
    </w:r>
    <w:r>
      <w:rPr>
        <w:rFonts w:hint="eastAsia" w:ascii="宋体" w:hAnsi="宋体" w:eastAsia="宋体" w:cs="宋体"/>
      </w:rPr>
      <w:t>诸暨市浣江工程咨询有限公司</w:t>
    </w:r>
    <w:r>
      <w:rPr>
        <w:rFonts w:hint="eastAsia" w:ascii="宋体" w:hAnsi="宋体" w:eastAsia="宋体" w:cs="宋体"/>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857D1">
    <w:pPr>
      <w:pStyle w:val="14"/>
      <w:pBdr>
        <w:bottom w:val="single" w:color="auto" w:sz="6" w:space="0"/>
      </w:pBdr>
      <w:tabs>
        <w:tab w:val="center" w:pos="4535"/>
        <w:tab w:val="right" w:pos="9070"/>
        <w:tab w:val="clear" w:pos="4153"/>
        <w:tab w:val="clear" w:pos="8306"/>
      </w:tabs>
      <w:jc w:val="right"/>
      <w:rPr>
        <w:rFonts w:ascii="宋体" w:hAnsi="宋体" w:eastAsia="宋体" w:cs="宋体"/>
      </w:rPr>
    </w:pPr>
    <w:r>
      <w:rPr>
        <w:rFonts w:hint="eastAsia" w:ascii="宋体" w:hAnsi="宋体" w:eastAsia="宋体" w:cs="宋体"/>
      </w:rPr>
      <w:t>诸暨市浣江工程咨询有限公司</w:t>
    </w:r>
    <w:r>
      <w:rPr>
        <w:rFonts w:hint="eastAsia" w:ascii="宋体" w:hAnsi="宋体" w:eastAsia="宋体" w:cs="宋体"/>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E3B7">
    <w:pPr>
      <w:pStyle w:val="14"/>
      <w:pBdr>
        <w:bottom w:val="single" w:color="auto" w:sz="4" w:space="0"/>
      </w:pBdr>
      <w:tabs>
        <w:tab w:val="left" w:pos="7412"/>
        <w:tab w:val="clear" w:pos="4153"/>
      </w:tabs>
      <w:jc w:val="right"/>
    </w:pPr>
    <w:r>
      <w:t></w:t>
    </w:r>
    <w:r>
      <w:rPr>
        <w:rFonts w:hint="eastAsia" w:ascii="等线" w:hAnsi="等线" w:eastAsia="等线" w:cs="等线"/>
      </w:rPr>
      <w:t></w:t>
    </w:r>
    <w:r>
      <w:rPr>
        <w:rFonts w:hint="eastAsia" w:ascii="宋体" w:hAnsi="宋体" w:eastAsia="宋体" w:cs="宋体"/>
      </w:rPr>
      <w:t>诸暨市浣江工程咨询有限公司</w:t>
    </w:r>
    <w:r>
      <w:rPr>
        <w:rFonts w:hint="eastAsia" w:ascii="宋体" w:hAnsi="宋体" w:eastAsia="宋体" w:cs="宋体"/>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B5CD1">
    <w:pPr>
      <w:pStyle w:val="14"/>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ascii="宋体" w:hAnsi="宋体" w:eastAsia="宋体" w:cs="宋体"/>
      </w:rPr>
      <w:t>诸暨市浣江工程咨询有限公司</w:t>
    </w:r>
    <w:r>
      <w:rPr>
        <w:rFonts w:hint="eastAsia" w:ascii="宋体" w:hAnsi="宋体" w:eastAsia="宋体" w:cs="宋体"/>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048DD">
    <w:pPr>
      <w:pStyle w:val="14"/>
      <w:jc w:val="right"/>
    </w:pPr>
    <w:r>
      <w:t></w:t>
    </w:r>
    <w:r>
      <w:rPr>
        <w:rFonts w:hint="eastAsia" w:ascii="宋体" w:hAnsi="宋体" w:eastAsia="宋体" w:cs="宋体"/>
      </w:rPr>
      <w:t>诸暨市浣江工程咨询有限公司</w:t>
    </w:r>
    <w:r>
      <w:rPr>
        <w:rFonts w:hint="eastAsia" w:ascii="宋体" w:hAnsi="宋体" w:eastAsia="宋体" w:cs="宋体"/>
        <w:lang w:val="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2225E">
    <w:pPr>
      <w:pStyle w:val="14"/>
      <w:pBdr>
        <w:bottom w:val="single" w:color="auto" w:sz="6" w:space="0"/>
      </w:pBdr>
      <w:tabs>
        <w:tab w:val="center" w:pos="4535"/>
        <w:tab w:val="right" w:pos="9070"/>
        <w:tab w:val="clear" w:pos="4153"/>
        <w:tab w:val="clear" w:pos="8306"/>
      </w:tabs>
      <w:jc w:val="right"/>
    </w:pPr>
    <w:r>
      <w:rPr>
        <w:rFonts w:hint="eastAsia" w:ascii="宋体" w:hAnsi="宋体" w:eastAsia="宋体" w:cs="宋体"/>
      </w:rPr>
      <w:t>诸暨市浣江工程咨询有限公司</w:t>
    </w:r>
    <w:r>
      <w:rPr>
        <w:rFonts w:hint="eastAsia" w:ascii="宋体" w:hAnsi="宋体" w:eastAsia="宋体" w:cs="宋体"/>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A335A"/>
    <w:multiLevelType w:val="singleLevel"/>
    <w:tmpl w:val="8BFA335A"/>
    <w:lvl w:ilvl="0" w:tentative="0">
      <w:start w:val="1"/>
      <w:numFmt w:val="decimal"/>
      <w:suff w:val="nothing"/>
      <w:lvlText w:val="%1、"/>
      <w:lvlJc w:val="left"/>
    </w:lvl>
  </w:abstractNum>
  <w:abstractNum w:abstractNumId="1">
    <w:nsid w:val="B2EF3969"/>
    <w:multiLevelType w:val="singleLevel"/>
    <w:tmpl w:val="B2EF3969"/>
    <w:lvl w:ilvl="0" w:tentative="0">
      <w:start w:val="1"/>
      <w:numFmt w:val="decimal"/>
      <w:suff w:val="nothing"/>
      <w:lvlText w:val="%1"/>
      <w:lvlJc w:val="left"/>
      <w:pPr>
        <w:ind w:left="425" w:hanging="425"/>
      </w:pPr>
      <w:rPr>
        <w:rFonts w:hint="default"/>
      </w:rPr>
    </w:lvl>
  </w:abstractNum>
  <w:abstractNum w:abstractNumId="2">
    <w:nsid w:val="BF00600E"/>
    <w:multiLevelType w:val="singleLevel"/>
    <w:tmpl w:val="BF00600E"/>
    <w:lvl w:ilvl="0" w:tentative="0">
      <w:start w:val="1"/>
      <w:numFmt w:val="upperLetter"/>
      <w:lvlText w:val="%1."/>
      <w:lvlJc w:val="left"/>
      <w:pPr>
        <w:tabs>
          <w:tab w:val="left" w:pos="312"/>
        </w:tabs>
      </w:pPr>
    </w:lvl>
  </w:abstractNum>
  <w:abstractNum w:abstractNumId="3">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28C952E"/>
    <w:multiLevelType w:val="singleLevel"/>
    <w:tmpl w:val="228C952E"/>
    <w:lvl w:ilvl="0" w:tentative="0">
      <w:start w:val="2"/>
      <w:numFmt w:val="decimal"/>
      <w:suff w:val="nothing"/>
      <w:lvlText w:val="%1、"/>
      <w:lvlJc w:val="left"/>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7F140C8"/>
    <w:multiLevelType w:val="singleLevel"/>
    <w:tmpl w:val="47F140C8"/>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8">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7"/>
  </w:num>
  <w:num w:numId="2">
    <w:abstractNumId w:val="8"/>
  </w:num>
  <w:num w:numId="3">
    <w:abstractNumId w:val="3"/>
  </w:num>
  <w:num w:numId="4">
    <w:abstractNumId w:val="5"/>
  </w:num>
  <w:num w:numId="5">
    <w:abstractNumId w:val="4"/>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4NzgwMTMwMzhjZDc5Y2VmMTVmYzA1ZDVhMjZkZWMifQ=="/>
  </w:docVars>
  <w:rsids>
    <w:rsidRoot w:val="002313B7"/>
    <w:rsid w:val="002313B7"/>
    <w:rsid w:val="00247FE8"/>
    <w:rsid w:val="00850BDC"/>
    <w:rsid w:val="008D7A53"/>
    <w:rsid w:val="00AB5066"/>
    <w:rsid w:val="00B81065"/>
    <w:rsid w:val="01A00F26"/>
    <w:rsid w:val="029A38EC"/>
    <w:rsid w:val="02E5725D"/>
    <w:rsid w:val="03D014DC"/>
    <w:rsid w:val="045C76EE"/>
    <w:rsid w:val="058C0892"/>
    <w:rsid w:val="05E1607F"/>
    <w:rsid w:val="07D967FC"/>
    <w:rsid w:val="0842480A"/>
    <w:rsid w:val="089A2898"/>
    <w:rsid w:val="08C77405"/>
    <w:rsid w:val="0A2D66FD"/>
    <w:rsid w:val="0BB22A26"/>
    <w:rsid w:val="0BE466BD"/>
    <w:rsid w:val="0C916A6A"/>
    <w:rsid w:val="0CBF7754"/>
    <w:rsid w:val="0CF27FC3"/>
    <w:rsid w:val="0D240982"/>
    <w:rsid w:val="0D865199"/>
    <w:rsid w:val="0DA63A8D"/>
    <w:rsid w:val="0E032C8D"/>
    <w:rsid w:val="0E193EFB"/>
    <w:rsid w:val="0E545297"/>
    <w:rsid w:val="0F4A0448"/>
    <w:rsid w:val="0F582EC7"/>
    <w:rsid w:val="112B1137"/>
    <w:rsid w:val="11B22984"/>
    <w:rsid w:val="11D87F8D"/>
    <w:rsid w:val="12251078"/>
    <w:rsid w:val="1276718C"/>
    <w:rsid w:val="13972CDA"/>
    <w:rsid w:val="13C06F2A"/>
    <w:rsid w:val="1457491F"/>
    <w:rsid w:val="14664CE4"/>
    <w:rsid w:val="14A10B0A"/>
    <w:rsid w:val="14E9433B"/>
    <w:rsid w:val="154A11A2"/>
    <w:rsid w:val="157601E9"/>
    <w:rsid w:val="15B4486D"/>
    <w:rsid w:val="16BE3BF5"/>
    <w:rsid w:val="17D66D1D"/>
    <w:rsid w:val="188121DA"/>
    <w:rsid w:val="18BD3791"/>
    <w:rsid w:val="191C4C03"/>
    <w:rsid w:val="19DF45C4"/>
    <w:rsid w:val="1AE94FB9"/>
    <w:rsid w:val="1AF26D6C"/>
    <w:rsid w:val="1B837FA0"/>
    <w:rsid w:val="1B917B2A"/>
    <w:rsid w:val="1C0577C1"/>
    <w:rsid w:val="1C083E41"/>
    <w:rsid w:val="1CB41354"/>
    <w:rsid w:val="1DB00010"/>
    <w:rsid w:val="1E022661"/>
    <w:rsid w:val="1E2A6014"/>
    <w:rsid w:val="1EC65D3D"/>
    <w:rsid w:val="1EE53CE9"/>
    <w:rsid w:val="1EF90A2F"/>
    <w:rsid w:val="1F1861CE"/>
    <w:rsid w:val="1F234F3D"/>
    <w:rsid w:val="1F6F18B7"/>
    <w:rsid w:val="1F947BE9"/>
    <w:rsid w:val="1FB461D9"/>
    <w:rsid w:val="1FDE3C53"/>
    <w:rsid w:val="212D38AA"/>
    <w:rsid w:val="21BE719F"/>
    <w:rsid w:val="21C916A0"/>
    <w:rsid w:val="21E169EA"/>
    <w:rsid w:val="227A4A71"/>
    <w:rsid w:val="229B5FC4"/>
    <w:rsid w:val="236A4649"/>
    <w:rsid w:val="23DC121C"/>
    <w:rsid w:val="24572FDD"/>
    <w:rsid w:val="251F61A7"/>
    <w:rsid w:val="257B7155"/>
    <w:rsid w:val="25A44734"/>
    <w:rsid w:val="26755B40"/>
    <w:rsid w:val="26D34FE1"/>
    <w:rsid w:val="28060F58"/>
    <w:rsid w:val="293E185F"/>
    <w:rsid w:val="299264A6"/>
    <w:rsid w:val="2A0D6239"/>
    <w:rsid w:val="2A174D51"/>
    <w:rsid w:val="2ADB2B70"/>
    <w:rsid w:val="2B8B753A"/>
    <w:rsid w:val="2C70553A"/>
    <w:rsid w:val="2C9E20A7"/>
    <w:rsid w:val="2EF835C5"/>
    <w:rsid w:val="2FBB48D4"/>
    <w:rsid w:val="2FC84E04"/>
    <w:rsid w:val="32075FF9"/>
    <w:rsid w:val="3333739F"/>
    <w:rsid w:val="33787717"/>
    <w:rsid w:val="34117D59"/>
    <w:rsid w:val="344636F8"/>
    <w:rsid w:val="349A055A"/>
    <w:rsid w:val="349A7899"/>
    <w:rsid w:val="355754E9"/>
    <w:rsid w:val="35E054DE"/>
    <w:rsid w:val="36534CD6"/>
    <w:rsid w:val="37B012C9"/>
    <w:rsid w:val="37E7038F"/>
    <w:rsid w:val="38211DDE"/>
    <w:rsid w:val="38673C95"/>
    <w:rsid w:val="38B70676"/>
    <w:rsid w:val="38CC12E1"/>
    <w:rsid w:val="38DD3F57"/>
    <w:rsid w:val="395779A2"/>
    <w:rsid w:val="3A3074D4"/>
    <w:rsid w:val="3AA27206"/>
    <w:rsid w:val="3AA30888"/>
    <w:rsid w:val="3AB46F3A"/>
    <w:rsid w:val="3CAE71A8"/>
    <w:rsid w:val="3D8167F9"/>
    <w:rsid w:val="3DC41242"/>
    <w:rsid w:val="3E322F2B"/>
    <w:rsid w:val="3E4D56DB"/>
    <w:rsid w:val="3F43088C"/>
    <w:rsid w:val="405666FF"/>
    <w:rsid w:val="40913F14"/>
    <w:rsid w:val="41483848"/>
    <w:rsid w:val="41617D85"/>
    <w:rsid w:val="41712DA6"/>
    <w:rsid w:val="42415557"/>
    <w:rsid w:val="425702A2"/>
    <w:rsid w:val="433C6DC8"/>
    <w:rsid w:val="4340580E"/>
    <w:rsid w:val="43D90D3F"/>
    <w:rsid w:val="44B44D49"/>
    <w:rsid w:val="45997458"/>
    <w:rsid w:val="4622764B"/>
    <w:rsid w:val="472D42FC"/>
    <w:rsid w:val="48034A46"/>
    <w:rsid w:val="48317622"/>
    <w:rsid w:val="48A44149"/>
    <w:rsid w:val="48F549A5"/>
    <w:rsid w:val="495E1BFE"/>
    <w:rsid w:val="4AA82C5A"/>
    <w:rsid w:val="4BB97727"/>
    <w:rsid w:val="4C954286"/>
    <w:rsid w:val="4D9140D6"/>
    <w:rsid w:val="4E151645"/>
    <w:rsid w:val="4F3A72ED"/>
    <w:rsid w:val="4F5F2F3F"/>
    <w:rsid w:val="4FE70DC0"/>
    <w:rsid w:val="504A225C"/>
    <w:rsid w:val="50750A4B"/>
    <w:rsid w:val="50F86D32"/>
    <w:rsid w:val="510F61EC"/>
    <w:rsid w:val="516A3A56"/>
    <w:rsid w:val="518A16D2"/>
    <w:rsid w:val="52977C06"/>
    <w:rsid w:val="52AC1E7E"/>
    <w:rsid w:val="52F42D4F"/>
    <w:rsid w:val="53097E97"/>
    <w:rsid w:val="53B556BD"/>
    <w:rsid w:val="543E3C9D"/>
    <w:rsid w:val="54972DB4"/>
    <w:rsid w:val="54C737A2"/>
    <w:rsid w:val="54CA23B9"/>
    <w:rsid w:val="55545149"/>
    <w:rsid w:val="56EA3CC4"/>
    <w:rsid w:val="578E4942"/>
    <w:rsid w:val="57B46CF0"/>
    <w:rsid w:val="57DB56AE"/>
    <w:rsid w:val="5865352B"/>
    <w:rsid w:val="59A02160"/>
    <w:rsid w:val="5A784FEE"/>
    <w:rsid w:val="5A7D1D5B"/>
    <w:rsid w:val="5BB74FAE"/>
    <w:rsid w:val="5C5023BF"/>
    <w:rsid w:val="5C5C6AC8"/>
    <w:rsid w:val="5C7560D1"/>
    <w:rsid w:val="5CE13766"/>
    <w:rsid w:val="5CFC5526"/>
    <w:rsid w:val="5DE132F2"/>
    <w:rsid w:val="5ECB647C"/>
    <w:rsid w:val="5F2F41B6"/>
    <w:rsid w:val="60161979"/>
    <w:rsid w:val="61045C75"/>
    <w:rsid w:val="613C3F3C"/>
    <w:rsid w:val="616E30EF"/>
    <w:rsid w:val="61A11716"/>
    <w:rsid w:val="61CA3A08"/>
    <w:rsid w:val="61DF3864"/>
    <w:rsid w:val="625D09ED"/>
    <w:rsid w:val="62BD1D72"/>
    <w:rsid w:val="63B31061"/>
    <w:rsid w:val="65C32B68"/>
    <w:rsid w:val="67CE7379"/>
    <w:rsid w:val="680256B8"/>
    <w:rsid w:val="68E85E7D"/>
    <w:rsid w:val="69152D1F"/>
    <w:rsid w:val="699A0AA8"/>
    <w:rsid w:val="6AFF300A"/>
    <w:rsid w:val="6EC45750"/>
    <w:rsid w:val="6F863CF9"/>
    <w:rsid w:val="6F904A19"/>
    <w:rsid w:val="6F983387"/>
    <w:rsid w:val="70443070"/>
    <w:rsid w:val="71233BF1"/>
    <w:rsid w:val="713E301F"/>
    <w:rsid w:val="71A3096B"/>
    <w:rsid w:val="72D53EA8"/>
    <w:rsid w:val="72DE6D6E"/>
    <w:rsid w:val="73205559"/>
    <w:rsid w:val="73903399"/>
    <w:rsid w:val="73E21E46"/>
    <w:rsid w:val="742A7022"/>
    <w:rsid w:val="74980D17"/>
    <w:rsid w:val="74F3598D"/>
    <w:rsid w:val="75E11C8A"/>
    <w:rsid w:val="76BD26F7"/>
    <w:rsid w:val="780749FD"/>
    <w:rsid w:val="784C3351"/>
    <w:rsid w:val="78A07BDA"/>
    <w:rsid w:val="79872B48"/>
    <w:rsid w:val="79C53B6E"/>
    <w:rsid w:val="79FE5700"/>
    <w:rsid w:val="7A8F3EAF"/>
    <w:rsid w:val="7B97240F"/>
    <w:rsid w:val="7BDF0A19"/>
    <w:rsid w:val="7C1A7CA3"/>
    <w:rsid w:val="7C354ADD"/>
    <w:rsid w:val="7C732E8F"/>
    <w:rsid w:val="7D3F3267"/>
    <w:rsid w:val="7E6A3164"/>
    <w:rsid w:val="7F6A4EF8"/>
    <w:rsid w:val="7F845923"/>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line="360" w:lineRule="auto"/>
      <w:jc w:val="left"/>
      <w:outlineLvl w:val="2"/>
    </w:pPr>
    <w:rPr>
      <w:rFonts w:ascii="华文中宋" w:hAnsi="华文中宋" w:eastAsia="华文中宋"/>
      <w:b/>
      <w:bCs/>
      <w:sz w:val="30"/>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rPr>
      <w:rFonts w:ascii="Times New Roman" w:hAnsi="Times New Roman"/>
    </w:rPr>
  </w:style>
  <w:style w:type="paragraph" w:styleId="3">
    <w:name w:val="Body Text Indent"/>
    <w:basedOn w:val="1"/>
    <w:next w:val="1"/>
    <w:qFormat/>
    <w:uiPriority w:val="99"/>
    <w:pPr>
      <w:spacing w:line="480" w:lineRule="exact"/>
      <w:ind w:firstLine="480" w:firstLineChars="200"/>
    </w:pPr>
    <w:rPr>
      <w:rFonts w:ascii="宋体" w:hAnsi="宋体"/>
      <w:sz w:val="24"/>
    </w:rPr>
  </w:style>
  <w:style w:type="paragraph" w:styleId="8">
    <w:name w:val="Normal Indent"/>
    <w:basedOn w:val="1"/>
    <w:next w:val="3"/>
    <w:qFormat/>
    <w:uiPriority w:val="99"/>
    <w:pPr>
      <w:widowControl/>
      <w:snapToGrid w:val="0"/>
      <w:spacing w:line="480" w:lineRule="exact"/>
      <w:ind w:firstLine="567"/>
    </w:pPr>
    <w:rPr>
      <w:rFonts w:ascii="宋体"/>
      <w:kern w:val="28"/>
      <w:sz w:val="28"/>
      <w:szCs w:val="20"/>
    </w:rPr>
  </w:style>
  <w:style w:type="paragraph" w:styleId="9">
    <w:name w:val="Body Text"/>
    <w:basedOn w:val="1"/>
    <w:qFormat/>
    <w:uiPriority w:val="0"/>
    <w:pPr>
      <w:spacing w:after="120"/>
    </w:pPr>
  </w:style>
  <w:style w:type="paragraph" w:styleId="10">
    <w:name w:val="toc 3"/>
    <w:basedOn w:val="1"/>
    <w:next w:val="1"/>
    <w:qFormat/>
    <w:uiPriority w:val="0"/>
    <w:pPr>
      <w:ind w:left="840" w:leftChars="400"/>
    </w:pPr>
  </w:style>
  <w:style w:type="paragraph" w:styleId="11">
    <w:name w:val="Plain Text"/>
    <w:basedOn w:val="1"/>
    <w:next w:val="8"/>
    <w:qFormat/>
    <w:uiPriority w:val="0"/>
    <w:pPr>
      <w:autoSpaceDE/>
      <w:autoSpaceDN/>
      <w:adjustRightInd/>
    </w:pPr>
    <w:rPr>
      <w:rFonts w:asciiTheme="minorHAnsi" w:hAnsiTheme="minorHAnsi" w:eastAsiaTheme="minorEastAsia" w:cstheme="minorBidi"/>
      <w:color w:val="auto"/>
      <w:kern w:val="2"/>
      <w:sz w:val="24"/>
      <w:szCs w:val="22"/>
    </w:rPr>
  </w:style>
  <w:style w:type="paragraph" w:styleId="12">
    <w:name w:val="footer"/>
    <w:basedOn w:val="1"/>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5">
    <w:name w:val="toc 1"/>
    <w:basedOn w:val="1"/>
    <w:next w:val="1"/>
    <w:qFormat/>
    <w:uiPriority w:val="99"/>
  </w:style>
  <w:style w:type="paragraph" w:styleId="16">
    <w:name w:val="Subtitle"/>
    <w:basedOn w:val="1"/>
    <w:next w:val="1"/>
    <w:qFormat/>
    <w:uiPriority w:val="0"/>
    <w:pPr>
      <w:spacing w:line="360" w:lineRule="auto"/>
      <w:jc w:val="center"/>
      <w:outlineLvl w:val="1"/>
    </w:pPr>
    <w:rPr>
      <w:rFonts w:ascii="华文中宋" w:hAnsi="华文中宋" w:eastAsia="华文中宋"/>
      <w:b/>
      <w:bCs/>
      <w:sz w:val="32"/>
      <w:szCs w:val="32"/>
    </w:rPr>
  </w:style>
  <w:style w:type="paragraph" w:styleId="17">
    <w:name w:val="toc 6"/>
    <w:basedOn w:val="1"/>
    <w:next w:val="1"/>
    <w:semiHidden/>
    <w:qFormat/>
    <w:uiPriority w:val="0"/>
    <w:pPr>
      <w:ind w:left="2100" w:leftChars="1000"/>
    </w:pPr>
  </w:style>
  <w:style w:type="paragraph" w:styleId="18">
    <w:name w:val="Body Text Indent 3"/>
    <w:basedOn w:val="1"/>
    <w:qFormat/>
    <w:uiPriority w:val="99"/>
    <w:pPr>
      <w:spacing w:line="360" w:lineRule="auto"/>
      <w:ind w:firstLine="420"/>
    </w:pPr>
    <w:rPr>
      <w:sz w:val="24"/>
      <w:szCs w:val="20"/>
    </w:rPr>
  </w:style>
  <w:style w:type="paragraph" w:styleId="19">
    <w:name w:val="toc 2"/>
    <w:basedOn w:val="1"/>
    <w:next w:val="1"/>
    <w:qFormat/>
    <w:uiPriority w:val="0"/>
    <w:pPr>
      <w:ind w:left="420" w:leftChars="200"/>
    </w:pPr>
  </w:style>
  <w:style w:type="paragraph" w:styleId="20">
    <w:name w:val="Normal (Web)"/>
    <w:basedOn w:val="1"/>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21">
    <w:name w:val="Title"/>
    <w:basedOn w:val="1"/>
    <w:qFormat/>
    <w:uiPriority w:val="99"/>
    <w:pPr>
      <w:widowControl/>
      <w:overflowPunct w:val="0"/>
      <w:jc w:val="center"/>
      <w:textAlignment w:val="baseline"/>
    </w:pPr>
    <w:rPr>
      <w:b/>
      <w:sz w:val="24"/>
      <w:szCs w:val="20"/>
      <w:lang w:val="en-GB"/>
    </w:rPr>
  </w:style>
  <w:style w:type="paragraph" w:styleId="22">
    <w:name w:val="Body Text First Indent"/>
    <w:basedOn w:val="9"/>
    <w:next w:val="17"/>
    <w:qFormat/>
    <w:uiPriority w:val="99"/>
    <w:pPr>
      <w:ind w:firstLine="420"/>
    </w:pPr>
    <w:rPr>
      <w:szCs w:val="20"/>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Hyperlink"/>
    <w:basedOn w:val="25"/>
    <w:qFormat/>
    <w:uiPriority w:val="0"/>
    <w:rPr>
      <w:color w:val="0000FF"/>
      <w:u w:val="single"/>
    </w:rPr>
  </w:style>
  <w:style w:type="paragraph" w:customStyle="1" w:styleId="29">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30">
    <w:name w:val="表格文字"/>
    <w:basedOn w:val="31"/>
    <w:next w:val="9"/>
    <w:qFormat/>
    <w:uiPriority w:val="0"/>
    <w:pPr>
      <w:spacing w:line="420" w:lineRule="atLeast"/>
      <w:textAlignment w:val="baseline"/>
    </w:pPr>
  </w:style>
  <w:style w:type="paragraph" w:customStyle="1" w:styleId="31">
    <w:name w:val="表格"/>
    <w:basedOn w:val="1"/>
    <w:uiPriority w:val="0"/>
    <w:pPr>
      <w:snapToGrid w:val="0"/>
      <w:ind w:firstLine="42" w:firstLineChars="21"/>
    </w:pPr>
    <w:rPr>
      <w:rFonts w:ascii="宋体" w:hAnsi="宋体"/>
      <w:kern w:val="0"/>
      <w:sz w:val="20"/>
      <w:szCs w:val="20"/>
    </w:rPr>
  </w:style>
  <w:style w:type="paragraph" w:customStyle="1" w:styleId="32">
    <w:name w:val="表格文字（两侧对齐）"/>
    <w:basedOn w:val="1"/>
    <w:qFormat/>
    <w:uiPriority w:val="0"/>
    <w:pPr>
      <w:snapToGrid w:val="0"/>
    </w:pPr>
    <w:rPr>
      <w:sz w:val="20"/>
      <w:szCs w:val="24"/>
    </w:rPr>
  </w:style>
  <w:style w:type="character" w:customStyle="1" w:styleId="33">
    <w:name w:val="bookmark-item"/>
    <w:basedOn w:val="25"/>
    <w:qFormat/>
    <w:uiPriority w:val="0"/>
  </w:style>
  <w:style w:type="character" w:customStyle="1" w:styleId="34">
    <w:name w:val="apple-converted-space"/>
    <w:basedOn w:val="25"/>
    <w:qFormat/>
    <w:uiPriority w:val="0"/>
  </w:style>
  <w:style w:type="paragraph" w:styleId="35">
    <w:name w:val="List Paragraph"/>
    <w:basedOn w:val="1"/>
    <w:qFormat/>
    <w:uiPriority w:val="99"/>
    <w:pPr>
      <w:spacing w:line="360" w:lineRule="auto"/>
      <w:ind w:firstLine="200" w:firstLineChars="200"/>
    </w:pPr>
    <w:rPr>
      <w:rFonts w:eastAsia="楷体_GB2312" w:cs="Lucida Sans"/>
      <w:sz w:val="24"/>
    </w:rPr>
  </w:style>
  <w:style w:type="paragraph" w:customStyle="1" w:styleId="36">
    <w:name w:val="Body Text First Indent 21"/>
    <w:basedOn w:val="37"/>
    <w:qFormat/>
    <w:uiPriority w:val="0"/>
    <w:pPr>
      <w:autoSpaceDE/>
      <w:autoSpaceDN/>
      <w:adjustRightInd/>
      <w:ind w:firstLine="420"/>
    </w:pPr>
    <w:rPr>
      <w:rFonts w:cs="宋体" w:asciiTheme="minorHAnsi" w:hAnsiTheme="minorHAnsi" w:eastAsiaTheme="minorEastAsia"/>
      <w:color w:val="auto"/>
      <w:kern w:val="2"/>
      <w:szCs w:val="24"/>
    </w:rPr>
  </w:style>
  <w:style w:type="paragraph" w:customStyle="1" w:styleId="37">
    <w:name w:val="Body Text Indent1"/>
    <w:basedOn w:val="1"/>
    <w:next w:val="1"/>
    <w:qFormat/>
    <w:uiPriority w:val="0"/>
    <w:pPr>
      <w:ind w:left="420" w:leftChars="200"/>
    </w:pPr>
  </w:style>
  <w:style w:type="paragraph" w:customStyle="1" w:styleId="38">
    <w:name w:val="正文2"/>
    <w:basedOn w:val="1"/>
    <w:qFormat/>
    <w:uiPriority w:val="99"/>
    <w:pPr>
      <w:spacing w:before="156" w:line="360" w:lineRule="auto"/>
      <w:ind w:firstLine="510" w:firstLineChars="200"/>
    </w:pPr>
    <w:rPr>
      <w:sz w:val="24"/>
      <w:szCs w:val="20"/>
    </w:rPr>
  </w:style>
  <w:style w:type="paragraph" w:customStyle="1" w:styleId="3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0">
    <w:name w:val="正文首行缩进 21"/>
    <w:basedOn w:val="41"/>
    <w:qFormat/>
    <w:uiPriority w:val="0"/>
    <w:pPr>
      <w:ind w:firstLine="420"/>
    </w:pPr>
    <w:rPr>
      <w:rFonts w:cs="宋体"/>
    </w:rPr>
  </w:style>
  <w:style w:type="paragraph" w:customStyle="1" w:styleId="41">
    <w:name w:val="正文文本缩进1"/>
    <w:basedOn w:val="1"/>
    <w:next w:val="1"/>
    <w:qFormat/>
    <w:uiPriority w:val="0"/>
    <w:pPr>
      <w:spacing w:after="120"/>
      <w:ind w:left="420" w:leftChars="200"/>
    </w:pPr>
  </w:style>
  <w:style w:type="paragraph" w:customStyle="1" w:styleId="42">
    <w:name w:val="Body Text 31"/>
    <w:basedOn w:val="1"/>
    <w:qFormat/>
    <w:uiPriority w:val="0"/>
    <w:pPr>
      <w:spacing w:after="120"/>
    </w:pPr>
    <w:rPr>
      <w:sz w:val="16"/>
      <w:szCs w:val="16"/>
    </w:rPr>
  </w:style>
  <w:style w:type="paragraph" w:customStyle="1" w:styleId="43">
    <w:name w:val="纯文本_0_0"/>
    <w:basedOn w:val="44"/>
    <w:qFormat/>
    <w:uiPriority w:val="99"/>
    <w:rPr>
      <w:rFonts w:ascii="宋体" w:hAnsi="Courier New"/>
      <w:szCs w:val="20"/>
    </w:rPr>
  </w:style>
  <w:style w:type="paragraph" w:customStyle="1" w:styleId="44">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46">
    <w:name w:val="正文缩进1"/>
    <w:basedOn w:val="1"/>
    <w:next w:val="3"/>
    <w:qFormat/>
    <w:uiPriority w:val="0"/>
    <w:pPr>
      <w:snapToGrid w:val="0"/>
      <w:spacing w:after="120" w:line="360" w:lineRule="auto"/>
      <w:ind w:left="420" w:leftChars="200" w:firstLine="480" w:firstLineChars="200"/>
    </w:pPr>
    <w:rPr>
      <w:sz w:val="24"/>
    </w:rPr>
  </w:style>
  <w:style w:type="paragraph" w:customStyle="1" w:styleId="47">
    <w:name w:val="索引 11"/>
    <w:basedOn w:val="1"/>
    <w:next w:val="1"/>
    <w:qFormat/>
    <w:uiPriority w:val="0"/>
    <w:pPr>
      <w:spacing w:line="360" w:lineRule="auto"/>
    </w:pPr>
    <w:rPr>
      <w:rFonts w:ascii="仿宋_GB2312" w:eastAsia="仿宋_GB2312"/>
      <w:sz w:val="24"/>
      <w:szCs w:val="20"/>
    </w:rPr>
  </w:style>
  <w:style w:type="paragraph" w:customStyle="1" w:styleId="48">
    <w:name w:val="纯文本1"/>
    <w:basedOn w:val="1"/>
    <w:qFormat/>
    <w:uiPriority w:val="0"/>
    <w:rPr>
      <w:rFonts w:ascii="宋体" w:hAnsi="Courier New" w:cs="Courier New"/>
    </w:rPr>
  </w:style>
  <w:style w:type="paragraph" w:customStyle="1" w:styleId="49">
    <w:name w:val="text-tag"/>
    <w:basedOn w:val="1"/>
    <w:semiHidden/>
    <w:qFormat/>
    <w:uiPriority w:val="99"/>
    <w:pPr>
      <w:widowControl/>
      <w:adjustRightInd/>
      <w:spacing w:before="100" w:beforeAutospacing="1" w:after="100" w:afterAutospacing="1"/>
      <w:jc w:val="left"/>
    </w:pPr>
    <w:rPr>
      <w:rFonts w:ascii="宋体" w:hAnsi="宋体" w:cs="宋体"/>
      <w:sz w:val="24"/>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3">
    <w:name w:val="font31"/>
    <w:basedOn w:val="25"/>
    <w:qFormat/>
    <w:uiPriority w:val="0"/>
    <w:rPr>
      <w:rFonts w:hint="eastAsia" w:ascii="仿宋" w:hAnsi="仿宋" w:eastAsia="仿宋" w:cs="仿宋"/>
      <w:b/>
      <w:bCs/>
      <w:color w:val="000000"/>
      <w:sz w:val="24"/>
      <w:szCs w:val="24"/>
      <w:u w:val="none"/>
    </w:rPr>
  </w:style>
  <w:style w:type="paragraph" w:customStyle="1" w:styleId="54">
    <w:name w:val="无间隔1"/>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customStyle="1" w:styleId="55">
    <w:name w:val="CM26"/>
    <w:basedOn w:val="1"/>
    <w:next w:val="1"/>
    <w:autoRedefine/>
    <w:qFormat/>
    <w:uiPriority w:val="99"/>
    <w:pPr>
      <w:autoSpaceDE w:val="0"/>
      <w:autoSpaceDN w:val="0"/>
      <w:adjustRightInd w:val="0"/>
      <w:spacing w:line="400" w:lineRule="atLeast"/>
      <w:jc w:val="left"/>
    </w:pPr>
    <w:rPr>
      <w:rFonts w:ascii="宋体" w:hAnsi="宋体" w:cs="宋体"/>
      <w:kern w:val="0"/>
      <w:sz w:val="24"/>
    </w:rPr>
  </w:style>
  <w:style w:type="paragraph" w:customStyle="1" w:styleId="56">
    <w:name w:val="No Spacing"/>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rPr>
  </w:style>
  <w:style w:type="paragraph" w:customStyle="1" w:styleId="57">
    <w:name w:val="Plain Text"/>
    <w:basedOn w:val="1"/>
    <w:next w:val="1"/>
    <w:qFormat/>
    <w:uiPriority w:val="0"/>
    <w:pPr>
      <w:widowControl/>
      <w:overflowPunct w:val="0"/>
      <w:jc w:val="left"/>
      <w:textAlignment w:val="baseline"/>
    </w:pPr>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18030</Words>
  <Characters>19285</Characters>
  <Lines>321</Lines>
  <Paragraphs>90</Paragraphs>
  <TotalTime>35</TotalTime>
  <ScaleCrop>false</ScaleCrop>
  <LinksUpToDate>false</LinksUpToDate>
  <CharactersWithSpaces>19480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2023-12-29T03:08:00Z</dcterms:created>
  <dc:creator>Administrator</dc:creator>
  <cp:lastModifiedBy>天下称雄</cp:lastModifiedBy>
  <dcterms:modified xsi:type="dcterms:W3CDTF">2025-01-24T05:24:04Z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E53104BE84D04ED3A3B0DE731A01B1E5_13</vt:lpwstr>
  </property>
  <property fmtid="{D5CDD505-2E9C-101B-9397-08002B2CF9AE}" pid="4" name="KSOTemplateDocerSaveRecord">
    <vt:lpwstr>eyJoZGlkIjoiYzY4NzgwMTMwMzhjZDc5Y2VmMTVmYzA1ZDVhMjZkZWMiLCJ1c2VySWQiOiI5NjA2Mzg2NDMifQ==</vt:lpwstr>
  </property>
</Properties>
</file>