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AB48F">
      <w:pPr>
        <w:autoSpaceDE/>
        <w:autoSpaceDN/>
        <w:spacing w:line="360" w:lineRule="auto"/>
        <w:jc w:val="center"/>
        <w:rPr>
          <w:rFonts w:hint="eastAsia" w:ascii="仿宋" w:hAnsi="仿宋" w:eastAsia="仿宋" w:cs="黑体"/>
          <w:color w:val="auto"/>
          <w:sz w:val="30"/>
          <w:szCs w:val="30"/>
          <w:highlight w:val="none"/>
        </w:rPr>
      </w:pPr>
      <w:r>
        <w:rPr>
          <w:rFonts w:hint="eastAsia" w:ascii="宋体" w:hAnsi="宋体" w:cs="宋体"/>
          <w:b/>
          <w:bCs/>
          <w:color w:val="auto"/>
          <w:sz w:val="36"/>
          <w:szCs w:val="36"/>
          <w:highlight w:val="none"/>
          <w:lang w:eastAsia="zh-CN"/>
        </w:rPr>
        <w:t>诸暨市东和乡应急救援服务采购项目（第三次）</w:t>
      </w:r>
    </w:p>
    <w:p w14:paraId="4BC03FC3">
      <w:pPr>
        <w:autoSpaceDE/>
        <w:autoSpaceDN/>
        <w:spacing w:line="360" w:lineRule="auto"/>
        <w:jc w:val="center"/>
        <w:rPr>
          <w:rFonts w:hint="eastAsia" w:ascii="仿宋" w:hAnsi="仿宋" w:eastAsia="仿宋" w:cs="黑体"/>
          <w:color w:val="auto"/>
          <w:sz w:val="30"/>
          <w:szCs w:val="30"/>
          <w:highlight w:val="none"/>
        </w:rPr>
      </w:pPr>
    </w:p>
    <w:p w14:paraId="666F7826">
      <w:pPr>
        <w:autoSpaceDE/>
        <w:autoSpaceDN/>
        <w:spacing w:line="360" w:lineRule="auto"/>
        <w:jc w:val="center"/>
        <w:rPr>
          <w:rFonts w:ascii="仿宋" w:hAnsi="仿宋" w:eastAsia="仿宋" w:cs="黑体"/>
          <w:color w:val="auto"/>
          <w:sz w:val="30"/>
          <w:szCs w:val="30"/>
          <w:highlight w:val="none"/>
        </w:rPr>
      </w:pPr>
      <w:r>
        <w:rPr>
          <w:rFonts w:hint="eastAsia" w:ascii="仿宋" w:hAnsi="仿宋" w:eastAsia="仿宋" w:cs="黑体"/>
          <w:color w:val="auto"/>
          <w:sz w:val="30"/>
          <w:szCs w:val="30"/>
          <w:highlight w:val="none"/>
        </w:rPr>
        <w:t>（项目编号：</w:t>
      </w:r>
      <w:r>
        <w:rPr>
          <w:rFonts w:hint="eastAsia" w:ascii="仿宋" w:hAnsi="仿宋" w:eastAsia="仿宋" w:cs="黑体"/>
          <w:color w:val="auto"/>
          <w:sz w:val="30"/>
          <w:szCs w:val="30"/>
          <w:highlight w:val="none"/>
          <w:lang w:eastAsia="zh-CN"/>
        </w:rPr>
        <w:t>绍兴盈伽2025-02-18</w:t>
      </w:r>
      <w:r>
        <w:rPr>
          <w:rFonts w:hint="eastAsia" w:ascii="仿宋" w:hAnsi="仿宋" w:eastAsia="仿宋" w:cs="黑体"/>
          <w:color w:val="auto"/>
          <w:sz w:val="30"/>
          <w:szCs w:val="30"/>
          <w:highlight w:val="none"/>
        </w:rPr>
        <w:t>）</w:t>
      </w:r>
    </w:p>
    <w:p w14:paraId="74A6858D">
      <w:pPr>
        <w:spacing w:before="1800" w:beforeLines="750" w:line="360" w:lineRule="auto"/>
        <w:jc w:val="center"/>
        <w:rPr>
          <w:rFonts w:ascii="宋体" w:hAnsi="宋体"/>
          <w:b/>
          <w:color w:val="auto"/>
          <w:spacing w:val="283"/>
          <w:sz w:val="84"/>
          <w:szCs w:val="84"/>
          <w:highlight w:val="none"/>
        </w:rPr>
      </w:pPr>
      <w:r>
        <w:rPr>
          <w:rFonts w:hint="eastAsia" w:ascii="宋体" w:hAnsi="宋体"/>
          <w:b/>
          <w:color w:val="auto"/>
          <w:spacing w:val="283"/>
          <w:sz w:val="84"/>
          <w:szCs w:val="84"/>
          <w:highlight w:val="none"/>
        </w:rPr>
        <w:t>招标文件</w:t>
      </w:r>
    </w:p>
    <w:p w14:paraId="10D83E3C">
      <w:pPr>
        <w:autoSpaceDE/>
        <w:autoSpaceDN/>
        <w:spacing w:after="1440" w:afterLines="600" w:line="360" w:lineRule="auto"/>
        <w:jc w:val="center"/>
        <w:rPr>
          <w:rFonts w:ascii="宋体" w:hAnsi="宋体"/>
          <w:b/>
          <w:color w:val="auto"/>
          <w:spacing w:val="36"/>
          <w:sz w:val="36"/>
          <w:highlight w:val="none"/>
        </w:rPr>
      </w:pPr>
      <w:bookmarkStart w:id="0" w:name="_Toc5595"/>
      <w:r>
        <w:rPr>
          <w:rFonts w:hint="eastAsia" w:ascii="宋体" w:hAnsi="宋体"/>
          <w:b/>
          <w:color w:val="auto"/>
          <w:spacing w:val="36"/>
          <w:sz w:val="36"/>
          <w:highlight w:val="none"/>
        </w:rPr>
        <w:t>（电子招投标）</w:t>
      </w:r>
      <w:bookmarkEnd w:id="0"/>
    </w:p>
    <w:p w14:paraId="37C44198">
      <w:pPr>
        <w:autoSpaceDE/>
        <w:autoSpaceDN/>
        <w:spacing w:after="1200" w:afterLines="500" w:line="360" w:lineRule="auto"/>
        <w:jc w:val="center"/>
        <w:rPr>
          <w:rFonts w:ascii="宋体" w:hAnsi="宋体"/>
          <w:b/>
          <w:color w:val="auto"/>
          <w:spacing w:val="36"/>
          <w:sz w:val="36"/>
          <w:highlight w:val="none"/>
        </w:rPr>
      </w:pPr>
    </w:p>
    <w:p w14:paraId="2D23D0CD">
      <w:pPr>
        <w:autoSpaceDE/>
        <w:autoSpaceDN/>
        <w:spacing w:line="360" w:lineRule="auto"/>
        <w:ind w:firstLine="1134"/>
        <w:jc w:val="left"/>
        <w:rPr>
          <w:rFonts w:hint="eastAsia" w:ascii="宋体" w:hAnsi="宋体"/>
          <w:b/>
          <w:color w:val="auto"/>
          <w:sz w:val="30"/>
          <w:szCs w:val="30"/>
          <w:highlight w:val="none"/>
          <w:lang w:eastAsia="zh-CN"/>
        </w:rPr>
      </w:pPr>
      <w:r>
        <w:rPr>
          <w:rFonts w:hint="eastAsia" w:ascii="宋体" w:hAnsi="宋体"/>
          <w:b/>
          <w:color w:val="auto"/>
          <w:spacing w:val="210"/>
          <w:sz w:val="30"/>
          <w:szCs w:val="30"/>
          <w:highlight w:val="none"/>
        </w:rPr>
        <w:t>采购</w:t>
      </w:r>
      <w:r>
        <w:rPr>
          <w:rFonts w:hint="eastAsia" w:ascii="宋体" w:hAnsi="宋体"/>
          <w:b/>
          <w:color w:val="auto"/>
          <w:spacing w:val="36"/>
          <w:sz w:val="30"/>
          <w:szCs w:val="30"/>
          <w:highlight w:val="none"/>
        </w:rPr>
        <w:t>人：</w:t>
      </w:r>
      <w:r>
        <w:rPr>
          <w:rFonts w:hint="eastAsia" w:ascii="宋体" w:hAnsi="宋体"/>
          <w:b/>
          <w:color w:val="auto"/>
          <w:sz w:val="30"/>
          <w:szCs w:val="30"/>
          <w:highlight w:val="none"/>
          <w:lang w:eastAsia="zh-CN"/>
        </w:rPr>
        <w:t>诸暨市东和乡人民</w:t>
      </w:r>
    </w:p>
    <w:p w14:paraId="4E9E34AC">
      <w:pPr>
        <w:autoSpaceDE/>
        <w:autoSpaceDN/>
        <w:spacing w:line="360" w:lineRule="auto"/>
        <w:ind w:firstLine="1134"/>
        <w:jc w:val="left"/>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lang w:eastAsia="zh-CN"/>
        </w:rPr>
        <w:t>政府</w:t>
      </w:r>
      <w:r>
        <w:rPr>
          <w:rFonts w:hint="eastAsia" w:ascii="宋体" w:hAnsi="宋体"/>
          <w:b/>
          <w:color w:val="auto"/>
          <w:sz w:val="30"/>
          <w:szCs w:val="30"/>
          <w:highlight w:val="none"/>
        </w:rPr>
        <w:t>采购代理机构：</w:t>
      </w:r>
      <w:r>
        <w:rPr>
          <w:rFonts w:hint="eastAsia" w:ascii="宋体" w:hAnsi="宋体"/>
          <w:b/>
          <w:color w:val="auto"/>
          <w:sz w:val="30"/>
          <w:szCs w:val="30"/>
          <w:highlight w:val="none"/>
          <w:lang w:eastAsia="zh-CN"/>
        </w:rPr>
        <w:t>绍兴盈伽工程咨询有限公司</w:t>
      </w:r>
    </w:p>
    <w:p w14:paraId="308E01A9">
      <w:pPr>
        <w:spacing w:line="360" w:lineRule="auto"/>
        <w:jc w:val="center"/>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rPr>
        <w:t>二〇二</w:t>
      </w:r>
      <w:r>
        <w:rPr>
          <w:rFonts w:hint="eastAsia" w:ascii="宋体" w:hAnsi="宋体" w:cs="宋体"/>
          <w:b/>
          <w:bCs/>
          <w:color w:val="auto"/>
          <w:w w:val="95"/>
          <w:sz w:val="30"/>
          <w:szCs w:val="30"/>
          <w:highlight w:val="none"/>
          <w:lang w:val="en-US" w:eastAsia="zh-CN"/>
        </w:rPr>
        <w:t>五</w:t>
      </w:r>
      <w:r>
        <w:rPr>
          <w:rFonts w:hint="eastAsia" w:ascii="宋体" w:hAnsi="宋体" w:cs="宋体"/>
          <w:b/>
          <w:bCs/>
          <w:color w:val="auto"/>
          <w:w w:val="95"/>
          <w:sz w:val="30"/>
          <w:szCs w:val="30"/>
          <w:highlight w:val="none"/>
        </w:rPr>
        <w:t>年</w:t>
      </w:r>
      <w:r>
        <w:rPr>
          <w:rFonts w:hint="eastAsia" w:ascii="宋体" w:hAnsi="宋体" w:cs="宋体"/>
          <w:b/>
          <w:bCs/>
          <w:color w:val="auto"/>
          <w:w w:val="95"/>
          <w:sz w:val="30"/>
          <w:szCs w:val="30"/>
          <w:highlight w:val="none"/>
          <w:lang w:val="en-US" w:eastAsia="zh-CN"/>
        </w:rPr>
        <w:t>二</w:t>
      </w:r>
      <w:r>
        <w:rPr>
          <w:rFonts w:hint="eastAsia" w:ascii="宋体" w:hAnsi="宋体" w:cs="宋体"/>
          <w:b/>
          <w:bCs/>
          <w:color w:val="auto"/>
          <w:w w:val="95"/>
          <w:sz w:val="30"/>
          <w:szCs w:val="30"/>
          <w:highlight w:val="none"/>
        </w:rPr>
        <w:t>月</w:t>
      </w:r>
    </w:p>
    <w:p w14:paraId="3711A0F7">
      <w:pPr>
        <w:spacing w:line="360" w:lineRule="auto"/>
        <w:rPr>
          <w:rFonts w:ascii="宋体" w:hAnsi="宋体" w:cs="楷体_GB2312"/>
          <w:b/>
          <w:bCs/>
          <w:color w:val="auto"/>
          <w:w w:val="95"/>
          <w:sz w:val="30"/>
          <w:szCs w:val="30"/>
          <w:highlight w:val="none"/>
        </w:rPr>
        <w:sectPr>
          <w:headerReference r:id="rId3" w:type="default"/>
          <w:footerReference r:id="rId4" w:type="default"/>
          <w:pgSz w:w="11910" w:h="16840"/>
          <w:pgMar w:top="1440" w:right="1260" w:bottom="1700" w:left="1420" w:header="850" w:footer="1508" w:gutter="0"/>
          <w:pgNumType w:fmt="numberInDash"/>
          <w:cols w:space="720" w:num="1"/>
          <w:docGrid w:linePitch="286" w:charSpace="0"/>
        </w:sectPr>
      </w:pPr>
    </w:p>
    <w:sdt>
      <w:sdtPr>
        <w:rPr>
          <w:rFonts w:hint="eastAsia" w:ascii="宋体" w:hAnsi="宋体" w:cs="宋体"/>
          <w:color w:val="auto"/>
          <w:sz w:val="32"/>
          <w:szCs w:val="32"/>
          <w:highlight w:val="none"/>
        </w:rPr>
        <w:id w:val="147480446"/>
        <w15:color w:val="DBDBDB"/>
        <w:docPartObj>
          <w:docPartGallery w:val="Table of Contents"/>
          <w:docPartUnique/>
        </w:docPartObj>
      </w:sdtPr>
      <w:sdtEndPr>
        <w:rPr>
          <w:rFonts w:hint="eastAsia" w:ascii="宋体" w:hAnsi="宋体" w:cs="宋体"/>
          <w:color w:val="auto"/>
          <w:sz w:val="32"/>
          <w:szCs w:val="32"/>
          <w:highlight w:val="none"/>
        </w:rPr>
      </w:sdtEndPr>
      <w:sdtContent>
        <w:p w14:paraId="08BEF647">
          <w:pPr>
            <w:spacing w:line="360" w:lineRule="auto"/>
            <w:jc w:val="center"/>
            <w:rPr>
              <w:rFonts w:ascii="宋体" w:hAnsi="宋体" w:cs="宋体"/>
              <w:color w:val="auto"/>
              <w:sz w:val="32"/>
              <w:szCs w:val="32"/>
              <w:highlight w:val="none"/>
            </w:rPr>
          </w:pPr>
          <w:bookmarkStart w:id="1" w:name="_Toc31837"/>
          <w:r>
            <w:rPr>
              <w:rFonts w:hint="eastAsia" w:ascii="宋体" w:hAnsi="宋体" w:cs="宋体"/>
              <w:color w:val="auto"/>
              <w:spacing w:val="57"/>
              <w:sz w:val="44"/>
              <w:szCs w:val="44"/>
              <w:highlight w:val="none"/>
            </w:rPr>
            <w:t>目录</w:t>
          </w:r>
        </w:p>
        <w:p w14:paraId="2D54D826">
          <w:pPr>
            <w:pStyle w:val="11"/>
            <w:tabs>
              <w:tab w:val="right" w:leader="dot" w:pos="9230"/>
            </w:tabs>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TOC \o "1-3" \h \u </w:instrText>
          </w:r>
          <w:r>
            <w:rPr>
              <w:rFonts w:hint="eastAsia" w:ascii="宋体" w:hAnsi="宋体" w:cs="宋体"/>
              <w:color w:val="auto"/>
              <w:sz w:val="30"/>
              <w:szCs w:val="30"/>
              <w:highlight w:val="none"/>
            </w:rPr>
            <w:fldChar w:fldCharType="separate"/>
          </w:r>
          <w:r>
            <w:rPr>
              <w:color w:val="auto"/>
              <w:highlight w:val="none"/>
            </w:rPr>
            <w:fldChar w:fldCharType="begin"/>
          </w:r>
          <w:r>
            <w:rPr>
              <w:color w:val="auto"/>
              <w:highlight w:val="none"/>
            </w:rPr>
            <w:instrText xml:space="preserve"> HYPERLINK \l "_Toc830" </w:instrText>
          </w:r>
          <w:r>
            <w:rPr>
              <w:color w:val="auto"/>
              <w:highlight w:val="none"/>
            </w:rPr>
            <w:fldChar w:fldCharType="separate"/>
          </w:r>
          <w:r>
            <w:rPr>
              <w:rFonts w:hint="eastAsia" w:ascii="宋体" w:hAnsi="宋体" w:cs="宋体"/>
              <w:color w:val="auto"/>
              <w:sz w:val="30"/>
              <w:szCs w:val="30"/>
              <w:highlight w:val="none"/>
            </w:rPr>
            <w:t>第一章 招标公告</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_Toc830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1</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6623456F">
          <w:pPr>
            <w:pStyle w:val="11"/>
            <w:tabs>
              <w:tab w:val="right" w:leader="dot" w:pos="9230"/>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"_Toc31020" </w:instrText>
          </w:r>
          <w:r>
            <w:rPr>
              <w:color w:val="auto"/>
              <w:highlight w:val="none"/>
            </w:rPr>
            <w:fldChar w:fldCharType="separate"/>
          </w:r>
          <w:r>
            <w:rPr>
              <w:rFonts w:hint="eastAsia" w:ascii="宋体" w:hAnsi="宋体" w:cs="宋体"/>
              <w:color w:val="auto"/>
              <w:sz w:val="30"/>
              <w:szCs w:val="30"/>
              <w:highlight w:val="none"/>
            </w:rPr>
            <w:t>第二章 投标人须知</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_Toc31020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4</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5C4928A4">
          <w:pPr>
            <w:pStyle w:val="11"/>
            <w:tabs>
              <w:tab w:val="right" w:leader="dot" w:pos="9230"/>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"_Toc21669" </w:instrText>
          </w:r>
          <w:r>
            <w:rPr>
              <w:color w:val="auto"/>
              <w:highlight w:val="none"/>
            </w:rPr>
            <w:fldChar w:fldCharType="separate"/>
          </w:r>
          <w:r>
            <w:rPr>
              <w:rFonts w:hint="eastAsia" w:ascii="宋体" w:hAnsi="宋体" w:cs="宋体"/>
              <w:color w:val="auto"/>
              <w:sz w:val="30"/>
              <w:szCs w:val="30"/>
              <w:highlight w:val="none"/>
            </w:rPr>
            <w:t>第三章 采购需求</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_Toc21669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16</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707DC54D">
          <w:pPr>
            <w:pStyle w:val="11"/>
            <w:tabs>
              <w:tab w:val="right" w:leader="dot" w:pos="9230"/>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"_Toc3421" </w:instrText>
          </w:r>
          <w:r>
            <w:rPr>
              <w:color w:val="auto"/>
              <w:highlight w:val="none"/>
            </w:rPr>
            <w:fldChar w:fldCharType="separate"/>
          </w:r>
          <w:r>
            <w:rPr>
              <w:rFonts w:hint="eastAsia" w:ascii="宋体" w:hAnsi="宋体" w:cs="宋体"/>
              <w:color w:val="auto"/>
              <w:sz w:val="30"/>
              <w:szCs w:val="30"/>
              <w:highlight w:val="none"/>
            </w:rPr>
            <w:t>第四章 评标办法</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_Toc3421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16</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5F7B90B3">
          <w:pPr>
            <w:pStyle w:val="11"/>
            <w:tabs>
              <w:tab w:val="right" w:leader="dot" w:pos="9230"/>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"_Toc14586" </w:instrText>
          </w:r>
          <w:r>
            <w:rPr>
              <w:color w:val="auto"/>
              <w:highlight w:val="none"/>
            </w:rPr>
            <w:fldChar w:fldCharType="separate"/>
          </w:r>
          <w:r>
            <w:rPr>
              <w:rFonts w:hint="eastAsia" w:ascii="宋体" w:hAnsi="宋体" w:cs="宋体"/>
              <w:color w:val="auto"/>
              <w:sz w:val="30"/>
              <w:szCs w:val="30"/>
              <w:highlight w:val="none"/>
            </w:rPr>
            <w:t>第五章 拟签订的合同文本</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_Toc14586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34</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6861B8E1">
          <w:pPr>
            <w:pStyle w:val="11"/>
            <w:tabs>
              <w:tab w:val="right" w:leader="dot" w:pos="9230"/>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"_Toc20295" </w:instrText>
          </w:r>
          <w:r>
            <w:rPr>
              <w:color w:val="auto"/>
              <w:highlight w:val="none"/>
            </w:rPr>
            <w:fldChar w:fldCharType="separate"/>
          </w:r>
          <w:r>
            <w:rPr>
              <w:rFonts w:hint="eastAsia" w:ascii="宋体" w:hAnsi="宋体" w:cs="宋体"/>
              <w:color w:val="auto"/>
              <w:sz w:val="30"/>
              <w:szCs w:val="30"/>
              <w:highlight w:val="none"/>
            </w:rPr>
            <w:t>第六章 应提交的有关格式范例</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_Toc20295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43</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752FB643">
          <w:pPr>
            <w:pStyle w:val="11"/>
            <w:tabs>
              <w:tab w:val="right" w:leader="dot" w:pos="9230"/>
            </w:tabs>
            <w:spacing w:line="360" w:lineRule="auto"/>
            <w:rPr>
              <w:rFonts w:ascii="宋体" w:hAnsi="宋体" w:cs="宋体"/>
              <w:color w:val="auto"/>
              <w:sz w:val="30"/>
              <w:szCs w:val="30"/>
              <w:highlight w:val="none"/>
            </w:rPr>
          </w:pPr>
          <w:r>
            <w:rPr>
              <w:color w:val="auto"/>
              <w:highlight w:val="none"/>
            </w:rPr>
            <w:fldChar w:fldCharType="begin"/>
          </w:r>
          <w:r>
            <w:rPr>
              <w:color w:val="auto"/>
              <w:highlight w:val="none"/>
            </w:rPr>
            <w:instrText xml:space="preserve"> HYPERLINK \l "_Toc12708" </w:instrText>
          </w:r>
          <w:r>
            <w:rPr>
              <w:color w:val="auto"/>
              <w:highlight w:val="none"/>
            </w:rPr>
            <w:fldChar w:fldCharType="separate"/>
          </w:r>
          <w:r>
            <w:rPr>
              <w:rFonts w:hint="eastAsia" w:ascii="宋体" w:hAnsi="宋体" w:cs="宋体"/>
              <w:color w:val="auto"/>
              <w:sz w:val="30"/>
              <w:szCs w:val="30"/>
              <w:highlight w:val="none"/>
            </w:rPr>
            <w:t>第七章 附件</w:t>
          </w:r>
          <w:r>
            <w:rPr>
              <w:rFonts w:hint="eastAsia" w:ascii="宋体" w:hAnsi="宋体" w:cs="宋体"/>
              <w:color w:val="auto"/>
              <w:sz w:val="30"/>
              <w:szCs w:val="30"/>
              <w:highlight w:val="none"/>
            </w:rPr>
            <w:tab/>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PAGEREF _Toc12708 \h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57</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rPr>
            <w:fldChar w:fldCharType="end"/>
          </w:r>
        </w:p>
        <w:p w14:paraId="44526FEA">
          <w:pPr>
            <w:spacing w:line="360" w:lineRule="auto"/>
            <w:rPr>
              <w:color w:val="auto"/>
              <w:highlight w:val="none"/>
            </w:rPr>
          </w:pPr>
          <w:r>
            <w:rPr>
              <w:rFonts w:hint="eastAsia" w:ascii="宋体" w:hAnsi="宋体" w:cs="宋体"/>
              <w:color w:val="auto"/>
              <w:sz w:val="30"/>
              <w:szCs w:val="30"/>
              <w:highlight w:val="none"/>
            </w:rPr>
            <w:fldChar w:fldCharType="end"/>
          </w:r>
        </w:p>
      </w:sdtContent>
    </w:sdt>
    <w:p w14:paraId="5DEBBDBD">
      <w:pPr>
        <w:spacing w:before="240" w:beforeLines="100" w:line="360" w:lineRule="auto"/>
        <w:jc w:val="center"/>
        <w:rPr>
          <w:rStyle w:val="19"/>
          <w:rFonts w:ascii="宋体" w:hAnsi="宋体" w:cs="宋体"/>
          <w:b/>
          <w:color w:val="auto"/>
          <w:sz w:val="28"/>
          <w:szCs w:val="28"/>
          <w:highlight w:val="none"/>
          <w:u w:val="none"/>
        </w:rPr>
      </w:pPr>
      <w:r>
        <w:rPr>
          <w:rFonts w:hint="eastAsia" w:ascii="宋体" w:hAnsi="宋体" w:cs="宋体"/>
          <w:b/>
          <w:color w:val="auto"/>
          <w:sz w:val="28"/>
          <w:szCs w:val="28"/>
          <w:highlight w:val="none"/>
        </w:rPr>
        <w:t>请各位投标人详细阅读各项条款</w:t>
      </w:r>
      <w:bookmarkEnd w:id="1"/>
    </w:p>
    <w:p w14:paraId="3A9CEFAC">
      <w:pPr>
        <w:spacing w:line="360" w:lineRule="auto"/>
        <w:rPr>
          <w:rStyle w:val="19"/>
          <w:rFonts w:ascii="宋体" w:hAnsi="宋体"/>
          <w:color w:val="auto"/>
          <w:sz w:val="30"/>
          <w:highlight w:val="none"/>
        </w:rPr>
      </w:pPr>
    </w:p>
    <w:p w14:paraId="34F2286C">
      <w:pPr>
        <w:tabs>
          <w:tab w:val="center" w:pos="4615"/>
        </w:tabs>
        <w:jc w:val="left"/>
        <w:rPr>
          <w:color w:val="auto"/>
          <w:highlight w:val="none"/>
        </w:rPr>
        <w:sectPr>
          <w:pgSz w:w="11910" w:h="16840"/>
          <w:pgMar w:top="1440" w:right="1260" w:bottom="1700" w:left="1420" w:header="850" w:footer="1508" w:gutter="0"/>
          <w:pgNumType w:fmt="numberInDash"/>
          <w:cols w:space="720" w:num="1"/>
          <w:docGrid w:linePitch="286" w:charSpace="0"/>
        </w:sectPr>
      </w:pPr>
      <w:r>
        <w:rPr>
          <w:rFonts w:hint="eastAsia"/>
          <w:color w:val="auto"/>
          <w:highlight w:val="none"/>
        </w:rPr>
        <w:tab/>
      </w:r>
    </w:p>
    <w:p w14:paraId="2DA649D8">
      <w:pPr>
        <w:pStyle w:val="3"/>
        <w:spacing w:before="100" w:after="100" w:line="240" w:lineRule="auto"/>
        <w:jc w:val="center"/>
        <w:rPr>
          <w:rFonts w:ascii="宋体" w:hAnsi="宋体" w:cs="宋体"/>
          <w:color w:val="auto"/>
          <w:sz w:val="36"/>
          <w:szCs w:val="36"/>
          <w:highlight w:val="none"/>
        </w:rPr>
      </w:pPr>
      <w:bookmarkStart w:id="2" w:name="_Toc125344501"/>
      <w:bookmarkStart w:id="3" w:name="_Toc6838"/>
      <w:bookmarkStart w:id="4" w:name="_Toc830"/>
      <w:r>
        <w:rPr>
          <w:rFonts w:hint="eastAsia" w:ascii="宋体" w:hAnsi="宋体" w:cs="宋体"/>
          <w:color w:val="auto"/>
          <w:sz w:val="36"/>
          <w:szCs w:val="36"/>
          <w:highlight w:val="none"/>
        </w:rPr>
        <w:t>第一章  招标公告</w:t>
      </w:r>
      <w:bookmarkEnd w:id="2"/>
      <w:bookmarkEnd w:id="3"/>
      <w:bookmarkEnd w:id="4"/>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2C515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6" w:hRule="atLeast"/>
          <w:jc w:val="center"/>
        </w:trPr>
        <w:tc>
          <w:tcPr>
            <w:tcW w:w="9628" w:type="dxa"/>
            <w:tcBorders>
              <w:top w:val="single" w:color="auto" w:sz="12" w:space="0"/>
            </w:tcBorders>
          </w:tcPr>
          <w:p w14:paraId="5CFF7C7A">
            <w:pPr>
              <w:spacing w:line="40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项目概况</w:t>
            </w:r>
          </w:p>
          <w:p w14:paraId="316C8779">
            <w:pPr>
              <w:autoSpaceDE/>
              <w:autoSpaceDN/>
              <w:adjustRightInd/>
              <w:spacing w:line="360" w:lineRule="exact"/>
              <w:ind w:firstLine="480" w:firstLineChars="200"/>
              <w:rPr>
                <w:rFonts w:ascii="仿宋" w:hAnsi="仿宋" w:eastAsia="仿宋" w:cs="仿宋"/>
                <w:b/>
                <w:color w:val="auto"/>
                <w:sz w:val="24"/>
                <w:szCs w:val="24"/>
                <w:highlight w:val="none"/>
              </w:rPr>
            </w:pPr>
            <w:r>
              <w:rPr>
                <w:rFonts w:hint="eastAsia" w:ascii="仿宋" w:hAnsi="仿宋" w:eastAsia="仿宋"/>
                <w:color w:val="auto"/>
                <w:sz w:val="24"/>
                <w:szCs w:val="24"/>
                <w:highlight w:val="none"/>
                <w:u w:val="single"/>
                <w:lang w:eastAsia="zh-CN"/>
              </w:rPr>
              <w:t xml:space="preserve">诸暨市东和乡应急救援服务采购项目 </w:t>
            </w:r>
            <w:r>
              <w:rPr>
                <w:rFonts w:hint="eastAsia" w:ascii="仿宋" w:hAnsi="仿宋" w:eastAsia="仿宋" w:cs="仿宋"/>
                <w:color w:val="auto"/>
                <w:sz w:val="24"/>
                <w:szCs w:val="24"/>
                <w:highlight w:val="none"/>
              </w:rPr>
              <w:t>的潜在投标人应在</w:t>
            </w:r>
            <w:r>
              <w:rPr>
                <w:rFonts w:hint="eastAsia" w:ascii="仿宋" w:hAnsi="仿宋" w:eastAsia="仿宋" w:cs="仿宋"/>
                <w:color w:val="auto"/>
                <w:sz w:val="24"/>
                <w:szCs w:val="24"/>
                <w:highlight w:val="none"/>
                <w:u w:val="single"/>
              </w:rPr>
              <w:t>政府采购云平台</w:t>
            </w:r>
            <w:r>
              <w:rPr>
                <w:rStyle w:val="21"/>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https://www.zcygov.cn/</w:t>
            </w:r>
            <w:r>
              <w:rPr>
                <w:rStyle w:val="21"/>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获取（下载）招标文件，并于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10</w:t>
            </w:r>
            <w:r>
              <w:rPr>
                <w:rFonts w:hint="eastAsia" w:ascii="仿宋" w:hAnsi="仿宋" w:eastAsia="仿宋" w:cs="仿宋"/>
                <w:color w:val="auto"/>
                <w:sz w:val="24"/>
                <w:szCs w:val="24"/>
                <w:highlight w:val="none"/>
                <w:u w:val="single"/>
              </w:rPr>
              <w:t>日 09 点</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0分（北京时间）</w:t>
            </w:r>
            <w:r>
              <w:rPr>
                <w:rFonts w:hint="eastAsia" w:ascii="仿宋" w:hAnsi="仿宋" w:eastAsia="仿宋" w:cs="仿宋"/>
                <w:color w:val="auto"/>
                <w:sz w:val="24"/>
                <w:szCs w:val="24"/>
                <w:highlight w:val="none"/>
              </w:rPr>
              <w:t>前递交（上传）投标文件。</w:t>
            </w:r>
          </w:p>
        </w:tc>
      </w:tr>
    </w:tbl>
    <w:p w14:paraId="178B77AB">
      <w:pPr>
        <w:spacing w:before="60" w:after="60"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14:paraId="54142FD8">
      <w:pPr>
        <w:pStyle w:val="12"/>
        <w:spacing w:before="60" w:beforeAutospacing="0" w:after="60" w:afterAutospacing="0" w:line="400" w:lineRule="exact"/>
        <w:ind w:firstLine="480" w:firstLineChars="200"/>
        <w:rPr>
          <w:rFonts w:hint="eastAsia" w:ascii="仿宋" w:hAnsi="仿宋" w:eastAsia="仿宋" w:cs="仿宋"/>
          <w:color w:val="auto"/>
          <w:highlight w:val="none"/>
          <w:lang w:eastAsia="zh-CN"/>
        </w:rPr>
      </w:pPr>
      <w:bookmarkStart w:id="5" w:name="_Toc91899903"/>
      <w:bookmarkStart w:id="6" w:name="第三部分"/>
      <w:bookmarkStart w:id="7" w:name="_Toc164416483"/>
      <w:r>
        <w:rPr>
          <w:rFonts w:hint="eastAsia" w:ascii="仿宋" w:hAnsi="仿宋" w:eastAsia="仿宋" w:cs="仿宋"/>
          <w:color w:val="auto"/>
          <w:highlight w:val="none"/>
        </w:rPr>
        <w:t>项目编号：</w:t>
      </w:r>
      <w:r>
        <w:rPr>
          <w:rFonts w:hint="eastAsia" w:ascii="仿宋" w:hAnsi="仿宋" w:eastAsia="仿宋" w:cs="仿宋"/>
          <w:color w:val="auto"/>
          <w:highlight w:val="none"/>
          <w:lang w:eastAsia="zh-CN"/>
        </w:rPr>
        <w:t>绍兴盈伽2025-02-18</w:t>
      </w:r>
    </w:p>
    <w:p w14:paraId="623972A5">
      <w:pPr>
        <w:pStyle w:val="12"/>
        <w:spacing w:before="60" w:beforeAutospacing="0" w:after="60" w:afterAutospacing="0" w:line="400" w:lineRule="exact"/>
        <w:ind w:firstLine="480" w:firstLineChars="200"/>
        <w:rPr>
          <w:rFonts w:hint="eastAsia" w:ascii="仿宋" w:hAnsi="仿宋" w:eastAsia="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olor w:val="auto"/>
          <w:sz w:val="24"/>
          <w:szCs w:val="24"/>
          <w:highlight w:val="none"/>
          <w:lang w:eastAsia="zh-CN"/>
        </w:rPr>
        <w:t>诸暨市东和乡应急救援服务采购项目（第三次）</w:t>
      </w:r>
    </w:p>
    <w:p w14:paraId="3EDFFFAD">
      <w:pPr>
        <w:pStyle w:val="12"/>
        <w:spacing w:before="60" w:beforeAutospacing="0" w:after="6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预算金额（元）：</w:t>
      </w:r>
      <w:r>
        <w:rPr>
          <w:rFonts w:hint="eastAsia" w:ascii="仿宋" w:hAnsi="仿宋" w:eastAsia="仿宋" w:cs="仿宋"/>
          <w:color w:val="auto"/>
          <w:highlight w:val="none"/>
          <w:lang w:val="en-US" w:eastAsia="zh-CN"/>
        </w:rPr>
        <w:t>600000</w:t>
      </w:r>
    </w:p>
    <w:p w14:paraId="2549A0B6">
      <w:pPr>
        <w:pStyle w:val="12"/>
        <w:spacing w:before="60" w:beforeAutospacing="0" w:after="6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最高限价（元）：</w:t>
      </w:r>
      <w:r>
        <w:rPr>
          <w:rFonts w:hint="eastAsia" w:ascii="仿宋" w:hAnsi="仿宋" w:eastAsia="仿宋" w:cs="仿宋"/>
          <w:color w:val="auto"/>
          <w:highlight w:val="none"/>
          <w:lang w:val="en-US" w:eastAsia="zh-CN"/>
        </w:rPr>
        <w:t>600000</w:t>
      </w:r>
    </w:p>
    <w:p w14:paraId="4983190B">
      <w:pPr>
        <w:pStyle w:val="12"/>
        <w:spacing w:before="60" w:beforeAutospacing="0" w:after="60" w:afterAutospacing="0" w:line="40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采购需求：</w:t>
      </w:r>
      <w:r>
        <w:rPr>
          <w:rFonts w:hint="eastAsia" w:ascii="仿宋" w:hAnsi="仿宋" w:eastAsia="仿宋"/>
          <w:color w:val="auto"/>
          <w:sz w:val="24"/>
          <w:szCs w:val="24"/>
          <w:highlight w:val="none"/>
          <w:lang w:eastAsia="zh-CN"/>
        </w:rPr>
        <w:t>诸暨市东和乡应急救援服务采购项目（第三次）</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rPr>
        <w:t>，主要服务内容为安全生产应急救援服务、安全生产突发事件、事故等应急救援服务，安全生产、消防安全宣传服务等内容，采购预算金额为</w:t>
      </w:r>
      <w:r>
        <w:rPr>
          <w:rFonts w:hint="eastAsia" w:ascii="仿宋" w:hAnsi="仿宋" w:eastAsia="仿宋" w:cs="仿宋"/>
          <w:color w:val="auto"/>
          <w:highlight w:val="none"/>
          <w:lang w:eastAsia="zh-CN"/>
        </w:rPr>
        <w:t>60</w:t>
      </w:r>
      <w:r>
        <w:rPr>
          <w:rFonts w:hint="eastAsia" w:ascii="仿宋" w:hAnsi="仿宋" w:eastAsia="仿宋" w:cs="仿宋"/>
          <w:color w:val="auto"/>
          <w:highlight w:val="none"/>
        </w:rPr>
        <w:t>万元，具体内容详见采购需求。</w:t>
      </w:r>
    </w:p>
    <w:p w14:paraId="2DB94C76">
      <w:pPr>
        <w:pStyle w:val="12"/>
        <w:spacing w:before="60" w:beforeAutospacing="0" w:after="60" w:afterAutospacing="0" w:line="40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合同履约期限：自合同签订之日起一年或本项目预算金额满止</w:t>
      </w:r>
      <w:r>
        <w:rPr>
          <w:rFonts w:hint="eastAsia" w:ascii="仿宋" w:hAnsi="仿宋" w:eastAsia="仿宋" w:cs="仿宋"/>
          <w:color w:val="auto"/>
          <w:highlight w:val="none"/>
          <w:lang w:eastAsia="zh-CN"/>
        </w:rPr>
        <w:t>。</w:t>
      </w:r>
    </w:p>
    <w:p w14:paraId="766303A2">
      <w:pPr>
        <w:pStyle w:val="12"/>
        <w:spacing w:before="60" w:beforeAutospacing="0" w:after="60" w:afterAutospacing="0" w:line="400" w:lineRule="exact"/>
        <w:ind w:firstLine="480" w:firstLineChars="200"/>
        <w:rPr>
          <w:rFonts w:eastAsia="宋体" w:cs="宋体"/>
          <w:color w:val="auto"/>
          <w:highlight w:val="none"/>
        </w:rPr>
      </w:pPr>
      <w:r>
        <w:rPr>
          <w:rFonts w:hint="eastAsia" w:ascii="仿宋" w:hAnsi="仿宋" w:eastAsia="仿宋" w:cs="仿宋"/>
          <w:color w:val="auto"/>
          <w:highlight w:val="none"/>
        </w:rPr>
        <w:t>本项目</w:t>
      </w:r>
      <w:r>
        <w:rPr>
          <w:rFonts w:hint="eastAsia" w:ascii="仿宋" w:hAnsi="仿宋" w:eastAsia="仿宋" w:cs="仿宋"/>
          <w:b/>
          <w:bCs/>
          <w:color w:val="auto"/>
          <w:highlight w:val="none"/>
        </w:rPr>
        <w:t>（否）</w:t>
      </w:r>
      <w:r>
        <w:rPr>
          <w:rFonts w:hint="eastAsia" w:ascii="仿宋" w:hAnsi="仿宋" w:eastAsia="仿宋" w:cs="仿宋"/>
          <w:color w:val="auto"/>
          <w:highlight w:val="none"/>
        </w:rPr>
        <w:t>接受联合体投标</w:t>
      </w:r>
    </w:p>
    <w:p w14:paraId="393DEDAD">
      <w:pPr>
        <w:spacing w:line="400" w:lineRule="exact"/>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14:paraId="73CB6E75">
      <w:pPr>
        <w:pStyle w:val="12"/>
        <w:spacing w:before="60" w:beforeAutospacing="0" w:after="60" w:afterAutospacing="0" w:line="400" w:lineRule="exact"/>
        <w:ind w:firstLine="556"/>
        <w:rPr>
          <w:rFonts w:ascii="仿宋" w:hAnsi="仿宋" w:eastAsia="仿宋" w:cs="仿宋"/>
          <w:color w:val="auto"/>
          <w:highlight w:val="none"/>
        </w:rPr>
      </w:pPr>
      <w:r>
        <w:rPr>
          <w:rFonts w:hint="eastAsia" w:ascii="仿宋" w:hAnsi="仿宋" w:eastAsia="仿宋" w:cs="仿宋"/>
          <w:b/>
          <w:bCs/>
          <w:color w:val="auto"/>
          <w:highlight w:val="none"/>
        </w:rPr>
        <w:t>1.</w:t>
      </w:r>
      <w:r>
        <w:rPr>
          <w:rFonts w:hint="eastAsia" w:ascii="仿宋" w:hAnsi="仿宋" w:eastAsia="仿宋" w:cs="仿宋"/>
          <w:color w:val="auto"/>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175C7CB3">
      <w:pPr>
        <w:pStyle w:val="12"/>
        <w:spacing w:before="60" w:beforeAutospacing="0" w:after="60" w:afterAutospacing="0" w:line="400" w:lineRule="exact"/>
        <w:ind w:firstLine="556"/>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color w:val="auto"/>
          <w:highlight w:val="none"/>
        </w:rPr>
        <w:t>落实政府采购政策需满足的资格要求：专门面向中小企业；</w:t>
      </w:r>
    </w:p>
    <w:p w14:paraId="3A9AA53D">
      <w:pPr>
        <w:pStyle w:val="12"/>
        <w:spacing w:before="60" w:beforeAutospacing="0" w:after="60" w:afterAutospacing="0" w:line="400" w:lineRule="exact"/>
        <w:ind w:firstLine="556"/>
        <w:rPr>
          <w:rFonts w:eastAsia="宋体" w:cs="宋体"/>
          <w:color w:val="auto"/>
          <w:highlight w:val="none"/>
        </w:rPr>
      </w:pPr>
      <w:r>
        <w:rPr>
          <w:rFonts w:hint="eastAsia" w:ascii="仿宋" w:hAnsi="仿宋" w:eastAsia="仿宋" w:cs="仿宋"/>
          <w:b/>
          <w:bCs/>
          <w:color w:val="auto"/>
          <w:highlight w:val="none"/>
        </w:rPr>
        <w:t>3.</w:t>
      </w:r>
      <w:r>
        <w:rPr>
          <w:rFonts w:hint="eastAsia" w:ascii="仿宋" w:hAnsi="仿宋" w:eastAsia="仿宋" w:cs="仿宋"/>
          <w:color w:val="auto"/>
          <w:highlight w:val="none"/>
        </w:rPr>
        <w:t>本项目的特定资格要求：无。</w:t>
      </w:r>
    </w:p>
    <w:p w14:paraId="70C06D88">
      <w:pPr>
        <w:spacing w:before="60" w:after="60"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p>
    <w:p w14:paraId="7E5922F4">
      <w:pPr>
        <w:pStyle w:val="12"/>
        <w:spacing w:before="60" w:beforeAutospacing="0" w:after="60" w:afterAutospacing="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时间：</w:t>
      </w:r>
      <w:r>
        <w:rPr>
          <w:rFonts w:hint="eastAsia" w:ascii="仿宋" w:hAnsi="仿宋" w:eastAsia="仿宋" w:cs="仿宋"/>
          <w:color w:val="auto"/>
          <w:highlight w:val="none"/>
          <w:u w:val="single"/>
        </w:rPr>
        <w:t>__/__</w:t>
      </w:r>
      <w:r>
        <w:rPr>
          <w:rFonts w:hint="eastAsia" w:ascii="仿宋" w:hAnsi="仿宋" w:eastAsia="仿宋" w:cs="仿宋"/>
          <w:color w:val="auto"/>
          <w:highlight w:val="none"/>
        </w:rPr>
        <w:t>至</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 xml:space="preserve">10 </w:t>
      </w:r>
      <w:r>
        <w:rPr>
          <w:rFonts w:hint="eastAsia" w:ascii="仿宋" w:hAnsi="仿宋" w:eastAsia="仿宋" w:cs="仿宋"/>
          <w:color w:val="auto"/>
          <w:highlight w:val="none"/>
          <w:u w:val="single"/>
        </w:rPr>
        <w:t>日</w:t>
      </w:r>
      <w:r>
        <w:rPr>
          <w:rFonts w:hint="eastAsia" w:ascii="仿宋" w:hAnsi="仿宋" w:eastAsia="仿宋" w:cs="仿宋"/>
          <w:color w:val="auto"/>
          <w:highlight w:val="none"/>
        </w:rPr>
        <w:t>，每天上午</w:t>
      </w:r>
      <w:r>
        <w:rPr>
          <w:rFonts w:hint="eastAsia" w:ascii="仿宋" w:hAnsi="仿宋" w:eastAsia="仿宋" w:cs="仿宋"/>
          <w:color w:val="auto"/>
          <w:highlight w:val="none"/>
          <w:u w:val="single"/>
        </w:rPr>
        <w:t>00:00</w:t>
      </w:r>
      <w:r>
        <w:rPr>
          <w:rFonts w:hint="eastAsia" w:ascii="仿宋" w:hAnsi="仿宋" w:eastAsia="仿宋" w:cs="仿宋"/>
          <w:color w:val="auto"/>
          <w:highlight w:val="none"/>
        </w:rPr>
        <w:t>至</w:t>
      </w:r>
      <w:r>
        <w:rPr>
          <w:rFonts w:hint="eastAsia" w:ascii="仿宋" w:hAnsi="仿宋" w:eastAsia="仿宋" w:cs="仿宋"/>
          <w:color w:val="auto"/>
          <w:highlight w:val="none"/>
          <w:u w:val="single"/>
        </w:rPr>
        <w:t>12:00</w:t>
      </w:r>
      <w:r>
        <w:rPr>
          <w:rFonts w:hint="eastAsia" w:ascii="仿宋" w:hAnsi="仿宋" w:eastAsia="仿宋" w:cs="仿宋"/>
          <w:color w:val="auto"/>
          <w:highlight w:val="none"/>
        </w:rPr>
        <w:t>，下午</w:t>
      </w:r>
      <w:r>
        <w:rPr>
          <w:rFonts w:hint="eastAsia" w:ascii="仿宋" w:hAnsi="仿宋" w:eastAsia="仿宋" w:cs="仿宋"/>
          <w:color w:val="auto"/>
          <w:highlight w:val="none"/>
          <w:u w:val="single"/>
        </w:rPr>
        <w:t>12:00</w:t>
      </w:r>
      <w:r>
        <w:rPr>
          <w:rFonts w:hint="eastAsia" w:ascii="仿宋" w:hAnsi="仿宋" w:eastAsia="仿宋" w:cs="仿宋"/>
          <w:color w:val="auto"/>
          <w:highlight w:val="none"/>
        </w:rPr>
        <w:t>至</w:t>
      </w:r>
      <w:r>
        <w:rPr>
          <w:rFonts w:hint="eastAsia" w:ascii="仿宋" w:hAnsi="仿宋" w:eastAsia="仿宋" w:cs="仿宋"/>
          <w:color w:val="auto"/>
          <w:highlight w:val="none"/>
          <w:u w:val="single"/>
        </w:rPr>
        <w:t>23:59</w:t>
      </w:r>
      <w:r>
        <w:rPr>
          <w:rFonts w:hint="eastAsia" w:ascii="仿宋" w:hAnsi="仿宋" w:eastAsia="仿宋" w:cs="仿宋"/>
          <w:color w:val="auto"/>
          <w:highlight w:val="none"/>
        </w:rPr>
        <w:t>（北京时间，线上获取法定节假日均可，线下获取文件法定节假日除外）</w:t>
      </w:r>
    </w:p>
    <w:p w14:paraId="3354A109">
      <w:pPr>
        <w:pStyle w:val="12"/>
        <w:spacing w:before="60" w:beforeAutospacing="0" w:after="60" w:afterAutospacing="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地点（网址）：政府采购云平台（https://www.zcygov.cn/）</w:t>
      </w:r>
    </w:p>
    <w:p w14:paraId="6C2B6BA0">
      <w:pPr>
        <w:pStyle w:val="12"/>
        <w:spacing w:before="60" w:beforeAutospacing="0" w:after="60" w:afterAutospacing="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方式：</w:t>
      </w:r>
      <w:r>
        <w:rPr>
          <w:rStyle w:val="17"/>
          <w:rFonts w:hint="eastAsia" w:ascii="仿宋" w:hAnsi="仿宋" w:eastAsia="仿宋" w:cs="仿宋"/>
          <w:b w:val="0"/>
          <w:color w:val="auto"/>
          <w:highlight w:val="none"/>
        </w:rPr>
        <w:t>潜在供应商登录政府采购云平台，在线申请获取招标文件（进入“项目采购”应用，在获取招标文件菜单中选择项目，申请获取招标文件）。</w:t>
      </w:r>
      <w:r>
        <w:rPr>
          <w:rFonts w:hint="eastAsia" w:ascii="仿宋" w:hAnsi="仿宋" w:eastAsia="仿宋" w:cs="仿宋"/>
          <w:color w:val="auto"/>
          <w:highlight w:val="none"/>
        </w:rPr>
        <w:t>仅需浏览招标文件的供应商可点击“游客，浏览招标文件”直接下载招标文件浏览。</w:t>
      </w:r>
    </w:p>
    <w:p w14:paraId="4040ED02">
      <w:pPr>
        <w:pStyle w:val="12"/>
        <w:spacing w:before="60" w:beforeAutospacing="0" w:after="60" w:afterAutospacing="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售价（元）：免费</w:t>
      </w:r>
    </w:p>
    <w:p w14:paraId="5BC1E749">
      <w:pPr>
        <w:spacing w:before="60" w:after="60"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四、提交投标文件截止时间、开标时间和地点</w:t>
      </w:r>
    </w:p>
    <w:p w14:paraId="0AC13CAD">
      <w:pPr>
        <w:pStyle w:val="12"/>
        <w:spacing w:before="60" w:beforeAutospacing="0" w:after="60" w:afterAutospacing="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提交投标文件截止时间：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 xml:space="preserve">10 </w:t>
      </w:r>
      <w:r>
        <w:rPr>
          <w:rFonts w:hint="eastAsia" w:ascii="仿宋" w:hAnsi="仿宋" w:eastAsia="仿宋" w:cs="仿宋"/>
          <w:color w:val="auto"/>
          <w:highlight w:val="none"/>
          <w:u w:val="single"/>
        </w:rPr>
        <w:t>日 09 :</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u w:val="single"/>
        </w:rPr>
        <w:t>0</w:t>
      </w:r>
      <w:r>
        <w:rPr>
          <w:rFonts w:hint="eastAsia" w:ascii="仿宋" w:hAnsi="仿宋" w:eastAsia="仿宋" w:cs="仿宋"/>
          <w:color w:val="auto"/>
          <w:highlight w:val="none"/>
        </w:rPr>
        <w:t>（北京时间）</w:t>
      </w:r>
    </w:p>
    <w:p w14:paraId="3CB10441">
      <w:pPr>
        <w:pStyle w:val="12"/>
        <w:spacing w:before="60" w:beforeAutospacing="0" w:after="60" w:afterAutospacing="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投标地点（网址）：政府采购云平台（https://www.zcygov.cn/）</w:t>
      </w:r>
    </w:p>
    <w:p w14:paraId="33BA7434">
      <w:pPr>
        <w:pStyle w:val="12"/>
        <w:spacing w:before="60" w:beforeAutospacing="0" w:after="60" w:afterAutospacing="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10</w:t>
      </w:r>
      <w:bookmarkStart w:id="518" w:name="_GoBack"/>
      <w:bookmarkEnd w:id="518"/>
      <w:r>
        <w:rPr>
          <w:rFonts w:hint="eastAsia" w:ascii="仿宋" w:hAnsi="仿宋" w:eastAsia="仿宋" w:cs="仿宋"/>
          <w:color w:val="auto"/>
          <w:highlight w:val="none"/>
          <w:u w:val="single"/>
        </w:rPr>
        <w:t>日 09 点</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u w:val="single"/>
        </w:rPr>
        <w:t>0分</w:t>
      </w:r>
      <w:r>
        <w:rPr>
          <w:rFonts w:hint="eastAsia" w:ascii="仿宋" w:hAnsi="仿宋" w:eastAsia="仿宋" w:cs="仿宋"/>
          <w:color w:val="auto"/>
          <w:highlight w:val="none"/>
        </w:rPr>
        <w:t>（北京时间）</w:t>
      </w:r>
    </w:p>
    <w:p w14:paraId="700D4B3D">
      <w:pPr>
        <w:pStyle w:val="12"/>
        <w:spacing w:before="60" w:beforeAutospacing="0" w:after="60" w:afterAutospacing="0" w:line="380" w:lineRule="exact"/>
        <w:ind w:firstLine="480" w:firstLineChars="200"/>
        <w:rPr>
          <w:rFonts w:eastAsia="宋体" w:cs="宋体"/>
          <w:color w:val="auto"/>
          <w:highlight w:val="none"/>
        </w:rPr>
      </w:pPr>
      <w:r>
        <w:rPr>
          <w:rFonts w:hint="eastAsia" w:ascii="仿宋" w:hAnsi="仿宋" w:eastAsia="仿宋" w:cs="仿宋"/>
          <w:color w:val="auto"/>
          <w:highlight w:val="none"/>
        </w:rPr>
        <w:t>开标地点（网址）：政府采购云平台（https://www.zcygov.cn/</w:t>
      </w:r>
      <w:r>
        <w:rPr>
          <w:rFonts w:hint="eastAsia" w:eastAsia="宋体" w:cs="宋体"/>
          <w:color w:val="auto"/>
          <w:highlight w:val="none"/>
        </w:rPr>
        <w:t>）</w:t>
      </w:r>
    </w:p>
    <w:p w14:paraId="77D8C4B9">
      <w:pPr>
        <w:spacing w:before="60" w:after="60"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p>
    <w:p w14:paraId="7C4277A1">
      <w:pPr>
        <w:pStyle w:val="12"/>
        <w:spacing w:before="60" w:beforeAutospacing="0" w:after="60" w:afterAutospacing="0" w:line="400" w:lineRule="exact"/>
        <w:ind w:firstLine="556"/>
        <w:rPr>
          <w:rFonts w:eastAsia="宋体" w:cs="宋体"/>
          <w:color w:val="auto"/>
          <w:highlight w:val="none"/>
        </w:rPr>
      </w:pPr>
      <w:r>
        <w:rPr>
          <w:rFonts w:hint="eastAsia" w:ascii="仿宋" w:hAnsi="仿宋" w:eastAsia="仿宋" w:cs="仿宋"/>
          <w:color w:val="auto"/>
          <w:highlight w:val="none"/>
        </w:rPr>
        <w:t>自本公告发布之日起5个工作日</w:t>
      </w:r>
      <w:r>
        <w:rPr>
          <w:rFonts w:hint="eastAsia" w:eastAsia="宋体" w:cs="宋体"/>
          <w:color w:val="auto"/>
          <w:highlight w:val="none"/>
        </w:rPr>
        <w:t>。</w:t>
      </w:r>
    </w:p>
    <w:p w14:paraId="752515EB">
      <w:pPr>
        <w:spacing w:before="60" w:after="60"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六、其他补充事宜</w:t>
      </w:r>
    </w:p>
    <w:p w14:paraId="04D09DA2">
      <w:pPr>
        <w:spacing w:line="38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ECBE8C">
      <w:pPr>
        <w:pStyle w:val="12"/>
        <w:spacing w:before="0" w:beforeAutospacing="0" w:after="0" w:afterAutospacing="0" w:line="380" w:lineRule="exact"/>
        <w:ind w:firstLine="482" w:firstLineChars="200"/>
        <w:rPr>
          <w:rFonts w:ascii="仿宋" w:hAnsi="仿宋" w:eastAsia="仿宋" w:cs="仿宋"/>
          <w:b/>
          <w:bCs/>
          <w:color w:val="auto"/>
          <w:highlight w:val="none"/>
          <w:u w:val="single"/>
        </w:rPr>
      </w:pPr>
      <w:r>
        <w:rPr>
          <w:rFonts w:hint="eastAsia" w:ascii="仿宋" w:hAnsi="仿宋" w:eastAsia="仿宋" w:cs="仿宋"/>
          <w:b/>
          <w:bCs/>
          <w:color w:val="auto"/>
          <w:highlight w:val="none"/>
        </w:rPr>
        <w:t>2.其他事项：</w:t>
      </w:r>
    </w:p>
    <w:p w14:paraId="416253F4">
      <w:pPr>
        <w:pStyle w:val="12"/>
        <w:spacing w:before="0" w:beforeAutospacing="0" w:after="0" w:afterAutospacing="0" w:line="380" w:lineRule="exact"/>
        <w:ind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（1）需要落实的政府采购政策：包括节约资源、保护环境、支持创新、促进中小企业发展等，详见招标文件的第二章投标人须知-总则。</w:t>
      </w:r>
    </w:p>
    <w:p w14:paraId="2E62B60A">
      <w:pPr>
        <w:pStyle w:val="12"/>
        <w:spacing w:before="0" w:beforeAutospacing="0" w:after="0" w:afterAutospacing="0" w:line="38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（2）电子招投标（电子交易）说明：</w:t>
      </w:r>
    </w:p>
    <w:p w14:paraId="50DAE58A">
      <w:pPr>
        <w:spacing w:line="3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color w:val="auto"/>
          <w:sz w:val="24"/>
          <w:szCs w:val="24"/>
          <w:highlight w:val="none"/>
        </w:rPr>
        <w:t>备份投标文件的制作、递交详见招标文件第二章第15点—“备份投标文件”；</w:t>
      </w:r>
      <w:r>
        <w:rPr>
          <w:rFonts w:hint="eastAsia" w:ascii="仿宋" w:hAnsi="仿宋" w:eastAsia="仿宋" w:cs="仿宋"/>
          <w:color w:val="auto"/>
          <w:sz w:val="24"/>
          <w:szCs w:val="24"/>
          <w:highlight w:val="none"/>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24EA8A6F">
      <w:pPr>
        <w:spacing w:line="3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390A53C">
      <w:pPr>
        <w:spacing w:line="3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6B28CD">
      <w:pPr>
        <w:spacing w:line="380" w:lineRule="exact"/>
        <w:ind w:firstLine="480" w:firstLineChars="200"/>
        <w:rPr>
          <w:rFonts w:ascii="宋体" w:hAnsi="宋体" w:cs="宋体"/>
          <w:color w:val="auto"/>
          <w:sz w:val="24"/>
          <w:szCs w:val="24"/>
          <w:highlight w:val="none"/>
        </w:rPr>
      </w:pPr>
      <w:r>
        <w:rPr>
          <w:rFonts w:hint="eastAsia" w:ascii="仿宋" w:hAnsi="仿宋" w:eastAsia="仿宋" w:cs="仿宋"/>
          <w:color w:val="auto"/>
          <w:sz w:val="24"/>
          <w:szCs w:val="24"/>
          <w:highlight w:val="none"/>
        </w:rPr>
        <w:t>（5）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r>
        <w:rPr>
          <w:rFonts w:hint="eastAsia" w:ascii="宋体" w:hAnsi="宋体" w:cs="宋体"/>
          <w:color w:val="auto"/>
          <w:sz w:val="24"/>
          <w:szCs w:val="24"/>
          <w:highlight w:val="none"/>
        </w:rPr>
        <w:t>。</w:t>
      </w:r>
    </w:p>
    <w:p w14:paraId="719A040A">
      <w:pPr>
        <w:spacing w:before="60" w:after="60"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七、对本次采购提出询问、质疑、投诉，请按以下方式联系</w:t>
      </w:r>
    </w:p>
    <w:p w14:paraId="11D0B36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00C0417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b w:val="0"/>
          <w:bCs/>
          <w:color w:val="auto"/>
          <w:kern w:val="2"/>
          <w:sz w:val="24"/>
          <w:szCs w:val="21"/>
          <w:highlight w:val="none"/>
          <w:lang w:val="en-US" w:eastAsia="zh-CN" w:bidi="ar-SA"/>
        </w:rPr>
        <w:t>诸暨市东和乡人民政府</w:t>
      </w:r>
    </w:p>
    <w:p w14:paraId="3360200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color w:val="auto"/>
          <w:sz w:val="24"/>
          <w:szCs w:val="24"/>
          <w:highlight w:val="none"/>
          <w:lang w:val="en-US" w:eastAsia="zh-CN"/>
        </w:rPr>
        <w:t>地    址</w:t>
      </w:r>
      <w:r>
        <w:rPr>
          <w:rFonts w:hint="eastAsia" w:ascii="仿宋" w:hAnsi="仿宋" w:eastAsia="仿宋" w:cs="仿宋"/>
          <w:b w:val="0"/>
          <w:bCs/>
          <w:color w:val="auto"/>
          <w:kern w:val="2"/>
          <w:sz w:val="24"/>
          <w:szCs w:val="21"/>
          <w:highlight w:val="none"/>
          <w:lang w:val="en-US" w:eastAsia="zh-CN" w:bidi="ar-SA"/>
        </w:rPr>
        <w:t>：诸暨市东和乡人民政府</w:t>
      </w:r>
    </w:p>
    <w:p w14:paraId="745E1E5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项目联系人（询问）：徐佳</w:t>
      </w:r>
    </w:p>
    <w:p w14:paraId="47EF994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项目联系方式（询问）：18458534346（工作电话）</w:t>
      </w:r>
    </w:p>
    <w:p w14:paraId="7B8A37C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质疑联系人：袁建鑫 </w:t>
      </w:r>
    </w:p>
    <w:p w14:paraId="2A8D5A5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质疑联系方式：13575576277 （工作电话）</w:t>
      </w:r>
    </w:p>
    <w:p w14:paraId="36745EF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lang w:val="en-US" w:eastAsia="zh-CN"/>
        </w:rPr>
      </w:pPr>
    </w:p>
    <w:p w14:paraId="765E0E6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.采购代理机构信息</w:t>
      </w:r>
    </w:p>
    <w:p w14:paraId="069877D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绍兴盈伽工程咨询有限公司</w:t>
      </w:r>
    </w:p>
    <w:p w14:paraId="79CE3B1F">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址：浙江省诸暨市陶朱街道宝利路亿泽新疆大厦A座</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楼</w:t>
      </w:r>
      <w:r>
        <w:rPr>
          <w:rFonts w:hint="eastAsia" w:ascii="仿宋" w:hAnsi="仿宋" w:eastAsia="仿宋" w:cs="仿宋"/>
          <w:color w:val="auto"/>
          <w:sz w:val="24"/>
          <w:highlight w:val="none"/>
          <w:lang w:val="en-US" w:eastAsia="zh-CN"/>
        </w:rPr>
        <w:t>1906</w:t>
      </w:r>
    </w:p>
    <w:p w14:paraId="341AB86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孟工</w:t>
      </w:r>
    </w:p>
    <w:p w14:paraId="2BF9D5A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18258581933</w:t>
      </w:r>
      <w:r>
        <w:rPr>
          <w:rFonts w:hint="eastAsia" w:ascii="仿宋" w:hAnsi="仿宋" w:eastAsia="仿宋" w:cs="仿宋"/>
          <w:color w:val="auto"/>
          <w:sz w:val="24"/>
          <w:highlight w:val="none"/>
          <w:lang w:eastAsia="zh-CN"/>
        </w:rPr>
        <w:t>（工作电话）</w:t>
      </w:r>
    </w:p>
    <w:p w14:paraId="07A2234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孟工</w:t>
      </w:r>
    </w:p>
    <w:p w14:paraId="74527D3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13675724098</w:t>
      </w:r>
      <w:r>
        <w:rPr>
          <w:rFonts w:hint="eastAsia" w:ascii="仿宋" w:hAnsi="仿宋" w:eastAsia="仿宋" w:cs="仿宋"/>
          <w:color w:val="auto"/>
          <w:sz w:val="24"/>
          <w:highlight w:val="none"/>
          <w:lang w:eastAsia="zh-CN"/>
        </w:rPr>
        <w:t>（工作电话）</w:t>
      </w:r>
    </w:p>
    <w:p w14:paraId="210D6FF7">
      <w:pPr>
        <w:pStyle w:val="12"/>
        <w:spacing w:before="0" w:beforeAutospacing="0" w:after="156" w:afterLines="50" w:afterAutospacing="0" w:line="300" w:lineRule="exact"/>
        <w:ind w:firstLine="556"/>
        <w:rPr>
          <w:rFonts w:hint="eastAsia" w:ascii="仿宋" w:hAnsi="仿宋" w:eastAsia="仿宋" w:cs="仿宋"/>
          <w:color w:val="auto"/>
          <w:sz w:val="21"/>
          <w:szCs w:val="21"/>
          <w:highlight w:val="none"/>
        </w:rPr>
      </w:pPr>
    </w:p>
    <w:p w14:paraId="3432CF5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29F5CB5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称：诸暨市财政局</w:t>
      </w:r>
    </w:p>
    <w:p w14:paraId="669739FD">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址：诸暨市人民中路356号</w:t>
      </w:r>
    </w:p>
    <w:p w14:paraId="01F5E28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真：0575-87023633</w:t>
      </w:r>
    </w:p>
    <w:p w14:paraId="4599E67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人：吕雅玲</w:t>
      </w:r>
    </w:p>
    <w:p w14:paraId="4E876C7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监督投诉电话：0575-87113461</w:t>
      </w:r>
    </w:p>
    <w:p w14:paraId="704AA477">
      <w:pPr>
        <w:pStyle w:val="12"/>
        <w:spacing w:before="0" w:beforeAutospacing="0" w:after="156" w:afterLines="50" w:afterAutospacing="0" w:line="300" w:lineRule="exact"/>
        <w:ind w:firstLine="556"/>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381244AE">
      <w:pPr>
        <w:spacing w:line="360" w:lineRule="auto"/>
        <w:rPr>
          <w:rFonts w:ascii="仿宋" w:hAnsi="仿宋" w:eastAsia="仿宋" w:cs="仿宋"/>
          <w:color w:val="auto"/>
          <w:highlight w:val="none"/>
        </w:rPr>
        <w:sectPr>
          <w:headerReference r:id="rId6" w:type="first"/>
          <w:footerReference r:id="rId9" w:type="first"/>
          <w:headerReference r:id="rId5" w:type="default"/>
          <w:footerReference r:id="rId7" w:type="default"/>
          <w:footerReference r:id="rId8" w:type="even"/>
          <w:pgSz w:w="11906" w:h="16838"/>
          <w:pgMar w:top="1021" w:right="1247" w:bottom="1021" w:left="1247" w:header="454" w:footer="454" w:gutter="0"/>
          <w:pgNumType w:start="1"/>
          <w:cols w:space="720" w:num="1"/>
          <w:titlePg/>
          <w:docGrid w:type="lines" w:linePitch="312" w:charSpace="0"/>
        </w:sectPr>
      </w:pPr>
    </w:p>
    <w:p w14:paraId="28AE6928">
      <w:pPr>
        <w:pStyle w:val="3"/>
        <w:spacing w:before="100" w:after="100" w:line="240" w:lineRule="auto"/>
        <w:jc w:val="center"/>
        <w:rPr>
          <w:rFonts w:ascii="宋体" w:hAnsi="宋体" w:cs="宋体"/>
          <w:color w:val="auto"/>
          <w:sz w:val="36"/>
          <w:szCs w:val="36"/>
          <w:highlight w:val="none"/>
        </w:rPr>
      </w:pPr>
      <w:bookmarkStart w:id="8" w:name="_Toc31020"/>
      <w:bookmarkStart w:id="9" w:name="_Toc2703"/>
      <w:bookmarkStart w:id="10" w:name="_Toc18941"/>
      <w:r>
        <w:rPr>
          <w:rFonts w:hint="eastAsia" w:ascii="宋体" w:hAnsi="宋体" w:cs="宋体"/>
          <w:color w:val="auto"/>
          <w:sz w:val="36"/>
          <w:szCs w:val="36"/>
          <w:highlight w:val="none"/>
        </w:rPr>
        <w:t>第二章 投标人须知</w:t>
      </w:r>
      <w:bookmarkEnd w:id="8"/>
      <w:bookmarkEnd w:id="9"/>
      <w:bookmarkEnd w:id="10"/>
    </w:p>
    <w:p w14:paraId="765275E9">
      <w:pPr>
        <w:autoSpaceDE/>
        <w:autoSpaceDN/>
        <w:snapToGrid w:val="0"/>
        <w:spacing w:before="100"/>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4"/>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14:paraId="7648D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45" w:type="dxa"/>
            <w:tcBorders>
              <w:top w:val="single" w:color="auto" w:sz="4" w:space="0"/>
              <w:bottom w:val="single" w:color="auto" w:sz="4" w:space="0"/>
              <w:right w:val="single" w:color="auto" w:sz="4" w:space="0"/>
            </w:tcBorders>
            <w:vAlign w:val="center"/>
          </w:tcPr>
          <w:p w14:paraId="25B6166C">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14:paraId="415A7D62">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14:paraId="6B014F14">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09AF5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6F75AB38">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813" w:type="dxa"/>
            <w:tcBorders>
              <w:top w:val="single" w:color="000000" w:sz="8" w:space="0"/>
              <w:left w:val="single" w:color="auto" w:sz="4" w:space="0"/>
              <w:bottom w:val="single" w:color="000000" w:sz="8" w:space="0"/>
              <w:right w:val="single" w:color="000000" w:sz="8" w:space="0"/>
            </w:tcBorders>
            <w:vAlign w:val="center"/>
          </w:tcPr>
          <w:p w14:paraId="79A63A73">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14:paraId="24576BBD">
            <w:pPr>
              <w:autoSpaceDE/>
              <w:autoSpaceDN/>
              <w:snapToGrid w:val="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lang w:val="zh-CN"/>
              </w:rPr>
              <w:t>本项目采用</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b/>
                <w:bCs/>
                <w:color w:val="auto"/>
                <w:sz w:val="24"/>
                <w:szCs w:val="24"/>
                <w:highlight w:val="none"/>
                <w:u w:val="single"/>
                <w:lang w:val="zh-CN"/>
              </w:rPr>
              <w:t xml:space="preserve"> 综合评分法 </w:t>
            </w:r>
            <w:r>
              <w:rPr>
                <w:rFonts w:hint="eastAsia" w:ascii="仿宋" w:hAnsi="仿宋" w:eastAsia="仿宋" w:cs="仿宋"/>
                <w:color w:val="auto"/>
                <w:sz w:val="24"/>
                <w:szCs w:val="24"/>
                <w:highlight w:val="none"/>
                <w:u w:val="single"/>
                <w:lang w:val="zh-CN"/>
              </w:rPr>
              <w:t xml:space="preserve">           </w:t>
            </w:r>
          </w:p>
        </w:tc>
      </w:tr>
      <w:tr w14:paraId="0745B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5FDB4ACE">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1813" w:type="dxa"/>
            <w:tcBorders>
              <w:top w:val="single" w:color="000000" w:sz="8" w:space="0"/>
              <w:left w:val="single" w:color="auto" w:sz="4" w:space="0"/>
              <w:bottom w:val="single" w:color="000000" w:sz="8" w:space="0"/>
              <w:right w:val="single" w:color="000000" w:sz="8" w:space="0"/>
            </w:tcBorders>
            <w:vAlign w:val="center"/>
          </w:tcPr>
          <w:p w14:paraId="6B081131">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14:paraId="58CFB178">
            <w:pPr>
              <w:autoSpaceDE/>
              <w:autoSpaceDN/>
              <w:snapToGrid w:val="0"/>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有关本项目实施所需的所有费用（含税费）均计入报价。</w:t>
            </w:r>
          </w:p>
          <w:p w14:paraId="715ED4A1">
            <w:pPr>
              <w:autoSpaceDE/>
              <w:autoSpaceDN/>
              <w:snapToGrid w:val="0"/>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sz w:val="24"/>
                <w:szCs w:val="24"/>
                <w:highlight w:val="none"/>
                <w:lang w:val="zh-CN"/>
              </w:rPr>
              <w:t>。投标文件中价格全部采用人民币报价。</w:t>
            </w:r>
          </w:p>
          <w:p w14:paraId="5710F792">
            <w:pPr>
              <w:autoSpaceDE/>
              <w:autoSpaceDN/>
              <w:snapToGrid w:val="0"/>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招标文件未列明，而投标人认为必需的费用也需列入报价。</w:t>
            </w:r>
          </w:p>
          <w:p w14:paraId="1BAF3CA4">
            <w:pPr>
              <w:autoSpaceDE/>
              <w:autoSpaceDN/>
              <w:snapToGrid w:val="0"/>
              <w:jc w:val="left"/>
              <w:rPr>
                <w:rFonts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投标报价出现下列情形的，投标无效：</w:t>
            </w:r>
          </w:p>
          <w:p w14:paraId="1C694EC4">
            <w:pPr>
              <w:pStyle w:val="22"/>
              <w:numPr>
                <w:ilvl w:val="0"/>
                <w:numId w:val="1"/>
              </w:numPr>
              <w:autoSpaceDE/>
              <w:autoSpaceDN/>
              <w:snapToGrid w:val="0"/>
              <w:spacing w:line="240" w:lineRule="auto"/>
              <w:ind w:left="0" w:firstLineChars="0"/>
              <w:jc w:val="left"/>
              <w:rPr>
                <w:rFonts w:ascii="仿宋" w:hAnsi="仿宋" w:eastAsia="仿宋" w:cs="仿宋"/>
                <w:bCs/>
                <w:color w:val="auto"/>
                <w:szCs w:val="24"/>
                <w:highlight w:val="none"/>
                <w:lang w:val="zh-CN"/>
              </w:rPr>
            </w:pPr>
            <w:r>
              <w:rPr>
                <w:rFonts w:hint="eastAsia" w:ascii="仿宋" w:hAnsi="仿宋" w:eastAsia="仿宋" w:cs="仿宋"/>
                <w:b/>
                <w:color w:val="auto"/>
                <w:szCs w:val="24"/>
                <w:highlight w:val="none"/>
                <w:lang w:val="zh-CN"/>
              </w:rPr>
              <w:t>①</w:t>
            </w:r>
            <w:r>
              <w:rPr>
                <w:rFonts w:hint="eastAsia" w:ascii="仿宋" w:hAnsi="仿宋" w:eastAsia="仿宋" w:cs="仿宋"/>
                <w:bCs/>
                <w:color w:val="auto"/>
                <w:szCs w:val="24"/>
                <w:highlight w:val="none"/>
                <w:lang w:val="zh-CN"/>
              </w:rPr>
              <w:t>投标文件出现不是唯一的、有选择性投标报价的；</w:t>
            </w:r>
          </w:p>
          <w:p w14:paraId="048734D9">
            <w:pPr>
              <w:pStyle w:val="22"/>
              <w:numPr>
                <w:ilvl w:val="0"/>
                <w:numId w:val="1"/>
              </w:numPr>
              <w:autoSpaceDE/>
              <w:autoSpaceDN/>
              <w:snapToGrid w:val="0"/>
              <w:spacing w:line="240" w:lineRule="auto"/>
              <w:ind w:left="0" w:firstLineChars="0"/>
              <w:jc w:val="left"/>
              <w:rPr>
                <w:rFonts w:ascii="仿宋" w:hAnsi="仿宋" w:eastAsia="仿宋" w:cs="仿宋"/>
                <w:bCs/>
                <w:color w:val="auto"/>
                <w:szCs w:val="24"/>
                <w:highlight w:val="none"/>
                <w:lang w:val="zh-CN"/>
              </w:rPr>
            </w:pPr>
            <w:r>
              <w:rPr>
                <w:rFonts w:hint="eastAsia" w:ascii="仿宋" w:hAnsi="仿宋" w:eastAsia="仿宋" w:cs="仿宋"/>
                <w:b/>
                <w:color w:val="auto"/>
                <w:szCs w:val="24"/>
                <w:highlight w:val="none"/>
                <w:lang w:val="zh-CN"/>
              </w:rPr>
              <w:t>②</w:t>
            </w:r>
            <w:r>
              <w:rPr>
                <w:rFonts w:hint="eastAsia" w:ascii="仿宋" w:hAnsi="仿宋" w:eastAsia="仿宋" w:cs="仿宋"/>
                <w:bCs/>
                <w:color w:val="auto"/>
                <w:szCs w:val="24"/>
                <w:highlight w:val="none"/>
                <w:lang w:val="zh-CN"/>
              </w:rPr>
              <w:t>投标报价超过招标文件中规定的预算金额或者最高限价的;</w:t>
            </w:r>
          </w:p>
          <w:p w14:paraId="54DC5944">
            <w:pPr>
              <w:pStyle w:val="22"/>
              <w:numPr>
                <w:ilvl w:val="0"/>
                <w:numId w:val="1"/>
              </w:numPr>
              <w:autoSpaceDE/>
              <w:autoSpaceDN/>
              <w:spacing w:line="240" w:lineRule="auto"/>
              <w:ind w:left="0" w:firstLineChars="0"/>
              <w:rPr>
                <w:rFonts w:ascii="仿宋" w:hAnsi="仿宋" w:eastAsia="仿宋" w:cs="仿宋"/>
                <w:bCs/>
                <w:color w:val="auto"/>
                <w:szCs w:val="24"/>
                <w:highlight w:val="none"/>
                <w:lang w:val="zh-CN"/>
              </w:rPr>
            </w:pPr>
            <w:r>
              <w:rPr>
                <w:rFonts w:hint="eastAsia" w:ascii="仿宋" w:hAnsi="仿宋" w:eastAsia="仿宋" w:cs="仿宋"/>
                <w:b/>
                <w:color w:val="auto"/>
                <w:szCs w:val="24"/>
                <w:highlight w:val="none"/>
                <w:lang w:val="zh-CN"/>
              </w:rPr>
              <w:t>③</w:t>
            </w:r>
            <w:r>
              <w:rPr>
                <w:rFonts w:hint="eastAsia" w:ascii="仿宋" w:hAnsi="仿宋" w:eastAsia="仿宋" w:cs="仿宋"/>
                <w:bCs/>
                <w:color w:val="auto"/>
                <w:szCs w:val="24"/>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F5B99A">
            <w:pPr>
              <w:pStyle w:val="22"/>
              <w:numPr>
                <w:ilvl w:val="0"/>
                <w:numId w:val="1"/>
              </w:numPr>
              <w:autoSpaceDE/>
              <w:autoSpaceDN/>
              <w:spacing w:line="240" w:lineRule="auto"/>
              <w:ind w:left="0" w:firstLineChars="0"/>
              <w:rPr>
                <w:rFonts w:ascii="仿宋" w:hAnsi="仿宋" w:eastAsia="仿宋" w:cs="仿宋"/>
                <w:bCs/>
                <w:color w:val="auto"/>
                <w:szCs w:val="24"/>
                <w:highlight w:val="none"/>
                <w:lang w:val="zh-CN"/>
              </w:rPr>
            </w:pPr>
            <w:r>
              <w:rPr>
                <w:rFonts w:hint="eastAsia" w:ascii="仿宋" w:hAnsi="仿宋" w:eastAsia="仿宋" w:cs="仿宋"/>
                <w:b/>
                <w:color w:val="auto"/>
                <w:szCs w:val="24"/>
                <w:highlight w:val="none"/>
              </w:rPr>
              <w:t>④</w:t>
            </w:r>
            <w:r>
              <w:rPr>
                <w:rFonts w:hint="eastAsia" w:ascii="仿宋" w:hAnsi="仿宋" w:eastAsia="仿宋" w:cs="仿宋"/>
                <w:bCs/>
                <w:color w:val="auto"/>
                <w:szCs w:val="24"/>
                <w:highlight w:val="none"/>
              </w:rPr>
              <w:t>投标人对根据修正原则修正后的报价不确认的。</w:t>
            </w:r>
          </w:p>
        </w:tc>
      </w:tr>
      <w:tr w14:paraId="19EEC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8" w:hRule="atLeast"/>
          <w:tblHeader/>
          <w:jc w:val="center"/>
        </w:trPr>
        <w:tc>
          <w:tcPr>
            <w:tcW w:w="645" w:type="dxa"/>
            <w:tcBorders>
              <w:top w:val="single" w:color="auto" w:sz="4" w:space="0"/>
              <w:bottom w:val="single" w:color="auto" w:sz="4" w:space="0"/>
              <w:right w:val="single" w:color="auto" w:sz="4" w:space="0"/>
            </w:tcBorders>
            <w:vAlign w:val="center"/>
          </w:tcPr>
          <w:p w14:paraId="0661D24A">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1813" w:type="dxa"/>
            <w:tcBorders>
              <w:top w:val="single" w:color="000000" w:sz="8" w:space="0"/>
              <w:left w:val="single" w:color="auto" w:sz="4" w:space="0"/>
              <w:bottom w:val="single" w:color="000000" w:sz="8" w:space="0"/>
              <w:right w:val="single" w:color="000000" w:sz="8" w:space="0"/>
            </w:tcBorders>
            <w:vAlign w:val="center"/>
          </w:tcPr>
          <w:p w14:paraId="255E55CB">
            <w:pPr>
              <w:autoSpaceDE/>
              <w:autoSpaceDN/>
              <w:snapToGrid w:val="0"/>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14:paraId="40C83D0E">
            <w:pPr>
              <w:autoSpaceDE/>
              <w:autoSpaceDN/>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A同意将非主体、非关键性的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分包。</w:t>
            </w:r>
          </w:p>
          <w:p w14:paraId="1408E3AB">
            <w:pPr>
              <w:autoSpaceDE/>
              <w:autoSpaceDN/>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F0FE"/>
            </w:r>
            <w:r>
              <w:rPr>
                <w:rFonts w:hint="eastAsia" w:ascii="仿宋" w:hAnsi="仿宋" w:eastAsia="仿宋" w:cs="仿宋"/>
                <w:color w:val="auto"/>
                <w:sz w:val="24"/>
                <w:szCs w:val="24"/>
                <w:highlight w:val="none"/>
              </w:rPr>
              <w:t xml:space="preserve"> B不同意分包。</w:t>
            </w:r>
          </w:p>
        </w:tc>
      </w:tr>
      <w:tr w14:paraId="7EC2C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jc w:val="center"/>
        </w:trPr>
        <w:tc>
          <w:tcPr>
            <w:tcW w:w="645" w:type="dxa"/>
            <w:tcBorders>
              <w:top w:val="single" w:color="auto" w:sz="4" w:space="0"/>
              <w:right w:val="single" w:color="auto" w:sz="4" w:space="0"/>
            </w:tcBorders>
            <w:vAlign w:val="center"/>
          </w:tcPr>
          <w:p w14:paraId="739311A3">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1813" w:type="dxa"/>
            <w:tcBorders>
              <w:top w:val="single" w:color="000000" w:sz="8" w:space="0"/>
              <w:left w:val="single" w:color="auto" w:sz="4" w:space="0"/>
              <w:right w:val="single" w:color="000000" w:sz="8" w:space="0"/>
            </w:tcBorders>
            <w:vAlign w:val="center"/>
          </w:tcPr>
          <w:p w14:paraId="11435239">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资格文件</w:t>
            </w:r>
          </w:p>
        </w:tc>
        <w:tc>
          <w:tcPr>
            <w:tcW w:w="7125" w:type="dxa"/>
            <w:tcBorders>
              <w:top w:val="single" w:color="000000" w:sz="8" w:space="0"/>
              <w:left w:val="single" w:color="000000" w:sz="2" w:space="0"/>
              <w:right w:val="single" w:color="000000" w:sz="8" w:space="0"/>
            </w:tcBorders>
            <w:vAlign w:val="center"/>
          </w:tcPr>
          <w:p w14:paraId="699DF4BE">
            <w:pPr>
              <w:pStyle w:val="22"/>
              <w:numPr>
                <w:ilvl w:val="0"/>
                <w:numId w:val="2"/>
              </w:numPr>
              <w:autoSpaceDE/>
              <w:autoSpaceDN/>
              <w:snapToGrid w:val="0"/>
              <w:spacing w:line="240" w:lineRule="auto"/>
              <w:ind w:left="0"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t>①</w:t>
            </w:r>
            <w:r>
              <w:rPr>
                <w:rFonts w:hint="eastAsia" w:ascii="仿宋" w:hAnsi="仿宋" w:eastAsia="仿宋" w:cs="仿宋"/>
                <w:color w:val="auto"/>
                <w:szCs w:val="24"/>
                <w:highlight w:val="none"/>
              </w:rPr>
              <w:t>符合参加政府采购活动应当具备的一般条件的承诺函；</w:t>
            </w:r>
          </w:p>
          <w:p w14:paraId="130A0596">
            <w:pPr>
              <w:pStyle w:val="22"/>
              <w:numPr>
                <w:ilvl w:val="0"/>
                <w:numId w:val="2"/>
              </w:numPr>
              <w:autoSpaceDE/>
              <w:autoSpaceDN/>
              <w:snapToGrid w:val="0"/>
              <w:spacing w:line="240" w:lineRule="auto"/>
              <w:ind w:left="0"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t>②</w:t>
            </w:r>
            <w:r>
              <w:rPr>
                <w:rFonts w:hint="eastAsia" w:ascii="仿宋" w:hAnsi="仿宋" w:eastAsia="仿宋" w:cs="仿宋"/>
                <w:color w:val="auto"/>
                <w:szCs w:val="24"/>
                <w:highlight w:val="none"/>
              </w:rPr>
              <w:t>落实政府采购政策需满足的资格要求：专门面向中小企业，提供中小企业声明函；</w:t>
            </w:r>
          </w:p>
          <w:p w14:paraId="596F0991">
            <w:pPr>
              <w:pStyle w:val="22"/>
              <w:numPr>
                <w:ilvl w:val="0"/>
                <w:numId w:val="2"/>
              </w:numPr>
              <w:autoSpaceDE/>
              <w:autoSpaceDN/>
              <w:snapToGrid w:val="0"/>
              <w:spacing w:line="240" w:lineRule="auto"/>
              <w:ind w:left="0"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lang w:eastAsia="zh-CN"/>
              </w:rPr>
              <w:t>③</w:t>
            </w:r>
            <w:r>
              <w:rPr>
                <w:rFonts w:hint="eastAsia" w:ascii="仿宋" w:hAnsi="仿宋" w:eastAsia="仿宋" w:cs="仿宋"/>
                <w:color w:val="auto"/>
                <w:szCs w:val="24"/>
                <w:highlight w:val="none"/>
              </w:rPr>
              <w:t>本项目的特定资格要求：无。</w:t>
            </w:r>
          </w:p>
          <w:p w14:paraId="762467FF">
            <w:pPr>
              <w:autoSpaceDE/>
              <w:autoSpaceDN/>
              <w:rPr>
                <w:rFonts w:ascii="仿宋" w:hAnsi="仿宋" w:eastAsia="仿宋" w:cs="仿宋"/>
                <w:b/>
                <w:snapToGrid w:val="0"/>
                <w:color w:val="auto"/>
                <w:sz w:val="24"/>
                <w:szCs w:val="24"/>
                <w:highlight w:val="none"/>
              </w:rPr>
            </w:pPr>
            <w:r>
              <w:rPr>
                <w:rFonts w:hint="eastAsia" w:ascii="仿宋" w:hAnsi="仿宋" w:eastAsia="仿宋" w:cs="仿宋"/>
                <w:b/>
                <w:color w:val="auto"/>
                <w:sz w:val="24"/>
                <w:szCs w:val="24"/>
                <w:highlight w:val="none"/>
                <w:lang w:val="zh-CN"/>
              </w:rPr>
              <w:t>投标人未提供有效的资格证明文件的，视为投标人不具备招标文件中规定的资格要求，其投标无效。</w:t>
            </w:r>
          </w:p>
        </w:tc>
      </w:tr>
      <w:tr w14:paraId="26251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58" w:hRule="atLeast"/>
          <w:tblHeader/>
          <w:jc w:val="center"/>
        </w:trPr>
        <w:tc>
          <w:tcPr>
            <w:tcW w:w="645" w:type="dxa"/>
            <w:tcBorders>
              <w:top w:val="single" w:color="auto" w:sz="4" w:space="0"/>
              <w:right w:val="single" w:color="auto" w:sz="4" w:space="0"/>
            </w:tcBorders>
            <w:vAlign w:val="center"/>
          </w:tcPr>
          <w:p w14:paraId="2350E7FE">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p>
        </w:tc>
        <w:tc>
          <w:tcPr>
            <w:tcW w:w="1813" w:type="dxa"/>
            <w:tcBorders>
              <w:top w:val="single" w:color="000000" w:sz="8" w:space="0"/>
              <w:left w:val="single" w:color="auto" w:sz="4" w:space="0"/>
              <w:right w:val="single" w:color="000000" w:sz="8" w:space="0"/>
            </w:tcBorders>
            <w:vAlign w:val="center"/>
          </w:tcPr>
          <w:p w14:paraId="411B2D64">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商务技术文件</w:t>
            </w:r>
          </w:p>
        </w:tc>
        <w:tc>
          <w:tcPr>
            <w:tcW w:w="7125" w:type="dxa"/>
            <w:tcBorders>
              <w:top w:val="single" w:color="000000" w:sz="8" w:space="0"/>
              <w:left w:val="single" w:color="000000" w:sz="2" w:space="0"/>
              <w:right w:val="single" w:color="000000" w:sz="8" w:space="0"/>
            </w:tcBorders>
            <w:vAlign w:val="center"/>
          </w:tcPr>
          <w:p w14:paraId="5AE14FEE">
            <w:pPr>
              <w:pStyle w:val="22"/>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rPr>
              <w:t>①</w:t>
            </w:r>
            <w:r>
              <w:rPr>
                <w:rFonts w:hint="eastAsia" w:ascii="仿宋" w:hAnsi="仿宋" w:eastAsia="仿宋" w:cs="仿宋"/>
                <w:color w:val="auto"/>
                <w:szCs w:val="24"/>
                <w:highlight w:val="none"/>
              </w:rPr>
              <w:t>投标函；</w:t>
            </w:r>
          </w:p>
          <w:p w14:paraId="2612CB50">
            <w:pPr>
              <w:pStyle w:val="22"/>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rPr>
              <w:t>②</w:t>
            </w:r>
            <w:r>
              <w:rPr>
                <w:rFonts w:hint="eastAsia" w:ascii="仿宋" w:hAnsi="仿宋" w:eastAsia="仿宋" w:cs="仿宋"/>
                <w:color w:val="auto"/>
                <w:szCs w:val="24"/>
                <w:highlight w:val="none"/>
              </w:rPr>
              <w:t>授权委托书或法定代表人（单位负责人、自然人本人）身份证明；</w:t>
            </w:r>
          </w:p>
          <w:p w14:paraId="31FA38CB">
            <w:pPr>
              <w:pStyle w:val="22"/>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rPr>
              <w:t>③</w:t>
            </w:r>
            <w:r>
              <w:rPr>
                <w:rFonts w:hint="eastAsia" w:ascii="仿宋" w:hAnsi="仿宋" w:eastAsia="仿宋" w:cs="仿宋"/>
                <w:color w:val="auto"/>
                <w:szCs w:val="24"/>
                <w:highlight w:val="none"/>
              </w:rPr>
              <w:t>联合协议（如需）；</w:t>
            </w:r>
          </w:p>
          <w:p w14:paraId="3F156F14">
            <w:pPr>
              <w:pStyle w:val="22"/>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rPr>
              <w:t>④</w:t>
            </w:r>
            <w:r>
              <w:rPr>
                <w:rFonts w:hint="eastAsia" w:ascii="仿宋" w:hAnsi="仿宋" w:eastAsia="仿宋" w:cs="仿宋"/>
                <w:color w:val="auto"/>
                <w:szCs w:val="24"/>
                <w:highlight w:val="none"/>
              </w:rPr>
              <w:t>分包意向协议（如需）；</w:t>
            </w:r>
          </w:p>
          <w:p w14:paraId="03E49C9F">
            <w:pPr>
              <w:pStyle w:val="22"/>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rPr>
              <w:t>⑤</w:t>
            </w:r>
            <w:r>
              <w:rPr>
                <w:rFonts w:hint="eastAsia" w:ascii="仿宋" w:hAnsi="仿宋" w:eastAsia="仿宋" w:cs="仿宋"/>
                <w:color w:val="auto"/>
                <w:szCs w:val="24"/>
                <w:highlight w:val="none"/>
              </w:rPr>
              <w:t>符合性审查资料；</w:t>
            </w:r>
          </w:p>
          <w:p w14:paraId="64F126C2">
            <w:pPr>
              <w:pStyle w:val="22"/>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rPr>
              <w:t>⑥</w:t>
            </w:r>
            <w:r>
              <w:rPr>
                <w:rFonts w:hint="eastAsia" w:ascii="仿宋" w:hAnsi="仿宋" w:eastAsia="仿宋" w:cs="仿宋"/>
                <w:color w:val="auto"/>
                <w:szCs w:val="24"/>
                <w:highlight w:val="none"/>
              </w:rPr>
              <w:t>评标标准相应的商务技术资料；</w:t>
            </w:r>
          </w:p>
          <w:p w14:paraId="28D06BB1">
            <w:pPr>
              <w:pStyle w:val="22"/>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rPr>
              <w:t>⑦</w:t>
            </w:r>
            <w:r>
              <w:rPr>
                <w:rFonts w:hint="eastAsia" w:ascii="仿宋" w:hAnsi="仿宋" w:eastAsia="仿宋" w:cs="仿宋"/>
                <w:color w:val="auto"/>
                <w:szCs w:val="24"/>
                <w:highlight w:val="none"/>
              </w:rPr>
              <w:t>商务技术偏离表；</w:t>
            </w:r>
          </w:p>
          <w:p w14:paraId="47209830">
            <w:pPr>
              <w:pStyle w:val="22"/>
              <w:numPr>
                <w:ilvl w:val="0"/>
                <w:numId w:val="3"/>
              </w:numPr>
              <w:autoSpaceDE/>
              <w:autoSpaceDN/>
              <w:snapToGrid w:val="0"/>
              <w:spacing w:line="240" w:lineRule="auto"/>
              <w:ind w:left="0" w:firstLineChars="0"/>
              <w:rPr>
                <w:rFonts w:ascii="仿宋" w:hAnsi="仿宋" w:eastAsia="仿宋" w:cs="仿宋"/>
                <w:color w:val="auto"/>
                <w:szCs w:val="24"/>
                <w:highlight w:val="none"/>
                <w:lang w:val="zh-CN"/>
              </w:rPr>
            </w:pPr>
            <w:r>
              <w:rPr>
                <w:rFonts w:hint="eastAsia" w:ascii="仿宋" w:hAnsi="仿宋" w:eastAsia="仿宋" w:cs="仿宋"/>
                <w:b/>
                <w:bCs/>
                <w:color w:val="auto"/>
                <w:szCs w:val="24"/>
                <w:highlight w:val="none"/>
                <w:lang w:val="zh-CN"/>
              </w:rPr>
              <w:t>⑧</w:t>
            </w:r>
            <w:r>
              <w:rPr>
                <w:rFonts w:hint="eastAsia" w:ascii="仿宋" w:hAnsi="仿宋" w:eastAsia="仿宋" w:cs="仿宋"/>
                <w:color w:val="auto"/>
                <w:szCs w:val="24"/>
                <w:highlight w:val="none"/>
                <w:lang w:val="zh-CN"/>
              </w:rPr>
              <w:t>政府采购供应商廉洁自律承诺书。</w:t>
            </w:r>
          </w:p>
          <w:p w14:paraId="42F3E59B">
            <w:pPr>
              <w:autoSpaceDE/>
              <w:autoSpaceDN/>
              <w:rPr>
                <w:rFonts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投标文件项目不齐全或内容虚假的，将视为无效投标。</w:t>
            </w:r>
          </w:p>
        </w:tc>
      </w:tr>
      <w:tr w14:paraId="21197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jc w:val="center"/>
        </w:trPr>
        <w:tc>
          <w:tcPr>
            <w:tcW w:w="645" w:type="dxa"/>
            <w:tcBorders>
              <w:top w:val="single" w:color="auto" w:sz="4" w:space="0"/>
              <w:right w:val="single" w:color="auto" w:sz="4" w:space="0"/>
            </w:tcBorders>
            <w:vAlign w:val="center"/>
          </w:tcPr>
          <w:p w14:paraId="283B021D">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p>
        </w:tc>
        <w:tc>
          <w:tcPr>
            <w:tcW w:w="1813" w:type="dxa"/>
            <w:tcBorders>
              <w:top w:val="single" w:color="000000" w:sz="8" w:space="0"/>
              <w:left w:val="single" w:color="auto" w:sz="4" w:space="0"/>
              <w:right w:val="single" w:color="000000" w:sz="8" w:space="0"/>
            </w:tcBorders>
            <w:vAlign w:val="center"/>
          </w:tcPr>
          <w:p w14:paraId="47951833">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报价文件</w:t>
            </w:r>
          </w:p>
        </w:tc>
        <w:tc>
          <w:tcPr>
            <w:tcW w:w="7125" w:type="dxa"/>
            <w:tcBorders>
              <w:top w:val="single" w:color="000000" w:sz="8" w:space="0"/>
              <w:left w:val="single" w:color="000000" w:sz="2" w:space="0"/>
              <w:right w:val="single" w:color="000000" w:sz="8" w:space="0"/>
            </w:tcBorders>
            <w:vAlign w:val="center"/>
          </w:tcPr>
          <w:p w14:paraId="6A8CCC23">
            <w:pPr>
              <w:pStyle w:val="22"/>
              <w:numPr>
                <w:ilvl w:val="0"/>
                <w:numId w:val="4"/>
              </w:numPr>
              <w:autoSpaceDE/>
              <w:autoSpaceDN/>
              <w:snapToGrid w:val="0"/>
              <w:spacing w:line="240" w:lineRule="auto"/>
              <w:ind w:left="0"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t>①</w:t>
            </w:r>
            <w:r>
              <w:rPr>
                <w:rFonts w:hint="eastAsia" w:ascii="仿宋" w:hAnsi="仿宋" w:eastAsia="仿宋" w:cs="仿宋"/>
                <w:color w:val="auto"/>
                <w:szCs w:val="24"/>
                <w:highlight w:val="none"/>
              </w:rPr>
              <w:t>开标一览表（报价表）；</w:t>
            </w:r>
          </w:p>
          <w:p w14:paraId="13A6E430">
            <w:pPr>
              <w:pStyle w:val="22"/>
              <w:numPr>
                <w:ilvl w:val="0"/>
                <w:numId w:val="4"/>
              </w:numPr>
              <w:autoSpaceDE/>
              <w:autoSpaceDN/>
              <w:snapToGrid w:val="0"/>
              <w:spacing w:line="240" w:lineRule="auto"/>
              <w:ind w:left="0" w:firstLineChars="0"/>
              <w:rPr>
                <w:rFonts w:ascii="仿宋" w:hAnsi="仿宋" w:eastAsia="仿宋" w:cs="仿宋"/>
                <w:color w:val="auto"/>
                <w:szCs w:val="24"/>
                <w:highlight w:val="none"/>
              </w:rPr>
            </w:pPr>
            <w:r>
              <w:rPr>
                <w:rFonts w:hint="eastAsia" w:ascii="仿宋" w:hAnsi="仿宋" w:eastAsia="仿宋" w:cs="仿宋"/>
                <w:b/>
                <w:bCs/>
                <w:color w:val="auto"/>
                <w:szCs w:val="24"/>
                <w:highlight w:val="none"/>
              </w:rPr>
              <w:t>②</w:t>
            </w:r>
            <w:r>
              <w:rPr>
                <w:rFonts w:hint="eastAsia" w:ascii="仿宋" w:hAnsi="仿宋" w:eastAsia="仿宋" w:cs="仿宋"/>
                <w:color w:val="auto"/>
                <w:szCs w:val="24"/>
                <w:highlight w:val="none"/>
              </w:rPr>
              <w:t>中小企业声明函</w:t>
            </w:r>
            <w:r>
              <w:rPr>
                <w:rFonts w:hint="eastAsia" w:ascii="仿宋" w:hAnsi="仿宋" w:eastAsia="仿宋" w:cs="仿宋"/>
                <w:b/>
                <w:bCs/>
                <w:color w:val="auto"/>
                <w:szCs w:val="24"/>
                <w:highlight w:val="none"/>
              </w:rPr>
              <w:t>（如需）</w:t>
            </w:r>
            <w:r>
              <w:rPr>
                <w:rFonts w:hint="eastAsia" w:ascii="仿宋" w:hAnsi="仿宋" w:eastAsia="仿宋" w:cs="仿宋"/>
                <w:color w:val="auto"/>
                <w:szCs w:val="24"/>
                <w:highlight w:val="none"/>
              </w:rPr>
              <w:t>。</w:t>
            </w:r>
          </w:p>
          <w:p w14:paraId="625623DE">
            <w:pPr>
              <w:autoSpaceDE/>
              <w:autoSpaceDN/>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w:t>
            </w:r>
            <w:r>
              <w:rPr>
                <w:rFonts w:hint="eastAsia" w:ascii="仿宋" w:hAnsi="仿宋" w:eastAsia="仿宋" w:cs="仿宋"/>
                <w:b/>
                <w:color w:val="auto"/>
                <w:sz w:val="24"/>
                <w:szCs w:val="24"/>
                <w:highlight w:val="none"/>
                <w:lang w:val="zh-CN"/>
              </w:rPr>
              <w:t>将视为无效投标。</w:t>
            </w:r>
          </w:p>
        </w:tc>
      </w:tr>
      <w:tr w14:paraId="50F11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7E1D1C14">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w:t>
            </w:r>
          </w:p>
        </w:tc>
        <w:tc>
          <w:tcPr>
            <w:tcW w:w="1813" w:type="dxa"/>
            <w:tcBorders>
              <w:top w:val="single" w:color="000000" w:sz="8" w:space="0"/>
              <w:left w:val="single" w:color="auto" w:sz="4" w:space="0"/>
              <w:bottom w:val="single" w:color="000000" w:sz="8" w:space="0"/>
              <w:right w:val="single" w:color="000000" w:sz="8" w:space="0"/>
            </w:tcBorders>
            <w:vAlign w:val="center"/>
          </w:tcPr>
          <w:p w14:paraId="66B867BF">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14:paraId="23403F99">
            <w:pPr>
              <w:autoSpaceDE/>
              <w:autoSpaceDN/>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F0FE"/>
            </w:r>
            <w:r>
              <w:rPr>
                <w:rFonts w:hint="eastAsia" w:ascii="仿宋" w:hAnsi="仿宋" w:eastAsia="仿宋" w:cs="仿宋"/>
                <w:color w:val="auto"/>
                <w:sz w:val="24"/>
                <w:szCs w:val="24"/>
                <w:highlight w:val="none"/>
              </w:rPr>
              <w:t>A不组织。</w:t>
            </w:r>
          </w:p>
          <w:p w14:paraId="191455D9">
            <w:pPr>
              <w:autoSpaceDE/>
              <w:autoSpaceDN/>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☐B组织，时间：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6118F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jc w:val="center"/>
        </w:trPr>
        <w:tc>
          <w:tcPr>
            <w:tcW w:w="645" w:type="dxa"/>
            <w:tcBorders>
              <w:top w:val="single" w:color="auto" w:sz="4" w:space="0"/>
              <w:bottom w:val="single" w:color="auto" w:sz="4" w:space="0"/>
              <w:right w:val="single" w:color="auto" w:sz="4" w:space="0"/>
            </w:tcBorders>
            <w:vAlign w:val="center"/>
          </w:tcPr>
          <w:p w14:paraId="140C5AF8">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w:t>
            </w:r>
          </w:p>
        </w:tc>
        <w:tc>
          <w:tcPr>
            <w:tcW w:w="1813" w:type="dxa"/>
            <w:tcBorders>
              <w:top w:val="single" w:color="000000" w:sz="8" w:space="0"/>
              <w:left w:val="single" w:color="auto" w:sz="4" w:space="0"/>
              <w:bottom w:val="single" w:color="000000" w:sz="8" w:space="0"/>
              <w:right w:val="single" w:color="000000" w:sz="8" w:space="0"/>
            </w:tcBorders>
            <w:vAlign w:val="center"/>
          </w:tcPr>
          <w:p w14:paraId="01B2520F">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14:paraId="0838D7A9">
            <w:pPr>
              <w:autoSpaceDE/>
              <w:autoSpaceDN/>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F0FE"/>
            </w:r>
            <w:r>
              <w:rPr>
                <w:rFonts w:hint="eastAsia" w:ascii="仿宋" w:hAnsi="仿宋" w:eastAsia="仿宋" w:cs="仿宋"/>
                <w:color w:val="auto"/>
                <w:sz w:val="24"/>
                <w:szCs w:val="24"/>
                <w:highlight w:val="none"/>
              </w:rPr>
              <w:t xml:space="preserve"> A不要求提供。</w:t>
            </w:r>
          </w:p>
          <w:p w14:paraId="23CA297A">
            <w:pPr>
              <w:autoSpaceDE/>
              <w:autoSpaceDN/>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☐B要求提供：</w:t>
            </w:r>
            <w:r>
              <w:rPr>
                <w:rFonts w:hint="eastAsia" w:ascii="仿宋" w:hAnsi="仿宋" w:eastAsia="仿宋" w:cs="仿宋"/>
                <w:color w:val="auto"/>
                <w:sz w:val="24"/>
                <w:szCs w:val="24"/>
                <w:highlight w:val="none"/>
                <w:u w:val="single"/>
              </w:rPr>
              <w:t xml:space="preserve">       </w:t>
            </w:r>
          </w:p>
        </w:tc>
      </w:tr>
      <w:tr w14:paraId="335F9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0B9AF07">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w:t>
            </w:r>
          </w:p>
        </w:tc>
        <w:tc>
          <w:tcPr>
            <w:tcW w:w="1813" w:type="dxa"/>
            <w:tcBorders>
              <w:top w:val="single" w:color="000000" w:sz="8" w:space="0"/>
              <w:left w:val="single" w:color="000000" w:sz="2" w:space="0"/>
              <w:bottom w:val="single" w:color="000000" w:sz="8" w:space="0"/>
              <w:right w:val="single" w:color="000000" w:sz="8" w:space="0"/>
            </w:tcBorders>
            <w:vAlign w:val="center"/>
          </w:tcPr>
          <w:p w14:paraId="582BC52F">
            <w:pPr>
              <w:autoSpaceDE/>
              <w:autoSpaceDN/>
              <w:snapToGrid w:val="0"/>
              <w:jc w:val="center"/>
              <w:rPr>
                <w:rFonts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14:paraId="37AAA60C">
            <w:pPr>
              <w:autoSpaceDE/>
              <w:autoSpaceDN/>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 xml:space="preserve"> A不组织。</w:t>
            </w:r>
          </w:p>
          <w:p w14:paraId="723B07B9">
            <w:pPr>
              <w:autoSpaceDE/>
              <w:autoSpaceDN/>
              <w:rPr>
                <w:rFonts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B组织。</w:t>
            </w:r>
          </w:p>
        </w:tc>
      </w:tr>
      <w:tr w14:paraId="6AB84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1614ED1">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w:t>
            </w:r>
          </w:p>
        </w:tc>
        <w:tc>
          <w:tcPr>
            <w:tcW w:w="1813" w:type="dxa"/>
            <w:tcBorders>
              <w:top w:val="single" w:color="000000" w:sz="8" w:space="0"/>
              <w:left w:val="single" w:color="000000" w:sz="2" w:space="0"/>
              <w:bottom w:val="single" w:color="000000" w:sz="8" w:space="0"/>
              <w:right w:val="single" w:color="000000" w:sz="8" w:space="0"/>
            </w:tcBorders>
            <w:vAlign w:val="center"/>
          </w:tcPr>
          <w:p w14:paraId="73FC548D">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14:paraId="05E57B7C">
            <w:pPr>
              <w:autoSpaceDE/>
              <w:autoSpaceDN/>
              <w:snapToGrid w:val="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投标保证金：/；</w:t>
            </w:r>
          </w:p>
          <w:p w14:paraId="58B2F229">
            <w:pPr>
              <w:autoSpaceDE/>
              <w:autoSpaceDN/>
              <w:snapToGrid w:val="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②</w:t>
            </w:r>
            <w:r>
              <w:rPr>
                <w:rFonts w:hint="eastAsia" w:ascii="仿宋" w:hAnsi="仿宋" w:eastAsia="仿宋" w:cs="仿宋"/>
                <w:color w:val="auto"/>
                <w:sz w:val="24"/>
                <w:szCs w:val="24"/>
                <w:highlight w:val="none"/>
              </w:rPr>
              <w:t>履约保证金：按采购需求要求执行。</w:t>
            </w:r>
          </w:p>
        </w:tc>
      </w:tr>
      <w:tr w14:paraId="20103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98C3E5B">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w:t>
            </w:r>
          </w:p>
        </w:tc>
        <w:tc>
          <w:tcPr>
            <w:tcW w:w="1813" w:type="dxa"/>
            <w:tcBorders>
              <w:top w:val="single" w:color="000000" w:sz="8" w:space="0"/>
              <w:left w:val="single" w:color="000000" w:sz="2" w:space="0"/>
              <w:bottom w:val="single" w:color="000000" w:sz="8" w:space="0"/>
              <w:right w:val="single" w:color="000000" w:sz="8" w:space="0"/>
            </w:tcBorders>
            <w:vAlign w:val="center"/>
          </w:tcPr>
          <w:p w14:paraId="4BC45B2D">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2D90D5A2">
            <w:pPr>
              <w:autoSpaceDE/>
              <w:autoSpaceDN/>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8806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A1899B2">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w:t>
            </w:r>
          </w:p>
        </w:tc>
        <w:tc>
          <w:tcPr>
            <w:tcW w:w="1813" w:type="dxa"/>
            <w:tcBorders>
              <w:top w:val="single" w:color="000000" w:sz="8" w:space="0"/>
              <w:left w:val="single" w:color="000000" w:sz="2" w:space="0"/>
              <w:bottom w:val="single" w:color="000000" w:sz="8" w:space="0"/>
              <w:right w:val="single" w:color="000000" w:sz="8" w:space="0"/>
            </w:tcBorders>
            <w:vAlign w:val="center"/>
          </w:tcPr>
          <w:p w14:paraId="7914378B">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4587F378">
            <w:pPr>
              <w:autoSpaceDE/>
              <w:autoSpaceDN/>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A货物类，单一产品或核心产品为：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u w:val="single"/>
              </w:rPr>
              <w:t xml:space="preserve"> </w:t>
            </w:r>
          </w:p>
          <w:p w14:paraId="22D08EC9">
            <w:pPr>
              <w:autoSpaceDE/>
              <w:autoSpaceDN/>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B服务类：</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tc>
      </w:tr>
      <w:tr w14:paraId="68C46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A5AF125">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w:t>
            </w:r>
          </w:p>
        </w:tc>
        <w:tc>
          <w:tcPr>
            <w:tcW w:w="1813" w:type="dxa"/>
            <w:tcBorders>
              <w:top w:val="single" w:color="000000" w:sz="8" w:space="0"/>
              <w:left w:val="single" w:color="000000" w:sz="2" w:space="0"/>
              <w:bottom w:val="single" w:color="000000" w:sz="8" w:space="0"/>
              <w:right w:val="single" w:color="000000" w:sz="8" w:space="0"/>
            </w:tcBorders>
            <w:vAlign w:val="center"/>
          </w:tcPr>
          <w:p w14:paraId="7402DCC7">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14:paraId="4E07D8D4">
            <w:pPr>
              <w:autoSpaceDE/>
              <w:autoSpaceDN/>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采购标的：详见招标文件采购需求；</w:t>
            </w:r>
          </w:p>
          <w:p w14:paraId="1638C72C">
            <w:pPr>
              <w:autoSpaceDE/>
              <w:autoSpaceDN/>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②</w:t>
            </w:r>
            <w:r>
              <w:rPr>
                <w:rFonts w:hint="eastAsia" w:ascii="仿宋" w:hAnsi="仿宋" w:eastAsia="仿宋" w:cs="仿宋"/>
                <w:color w:val="auto"/>
                <w:sz w:val="24"/>
                <w:szCs w:val="24"/>
                <w:highlight w:val="none"/>
              </w:rPr>
              <w:t>采购标的对应的中小企业划分标准所属行业：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租赁和商务服务业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5BAACBA">
            <w:pPr>
              <w:autoSpaceDE/>
              <w:autoSpaceDN/>
              <w:ind w:firstLine="482" w:firstLineChars="200"/>
              <w:rPr>
                <w:rFonts w:ascii="仿宋" w:hAnsi="仿宋" w:eastAsia="仿宋" w:cs="仿宋"/>
                <w:color w:val="auto"/>
                <w:highlight w:val="none"/>
              </w:rPr>
            </w:pPr>
            <w:r>
              <w:rPr>
                <w:rFonts w:hint="eastAsia" w:ascii="仿宋" w:hAnsi="仿宋" w:eastAsia="仿宋" w:cs="仿宋"/>
                <w:b/>
                <w:bCs/>
                <w:color w:val="auto"/>
                <w:sz w:val="24"/>
                <w:szCs w:val="24"/>
                <w:highlight w:val="none"/>
              </w:rPr>
              <w:t>注：供应商在出具《中小企业声明函》前，可通过工业和信息化部官网公共服务平台“中小企业规模类型自测小程序”自测企业规模类型。自测时企业所属行业请选择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eastAsia="zh-CN"/>
              </w:rPr>
              <w:t>租赁和商务服务业</w:t>
            </w:r>
            <w:r>
              <w:rPr>
                <w:rFonts w:hint="eastAsia" w:ascii="仿宋" w:hAnsi="仿宋" w:eastAsia="仿宋" w:cs="仿宋"/>
                <w:b/>
                <w:bCs/>
                <w:color w:val="auto"/>
                <w:sz w:val="24"/>
                <w:szCs w:val="24"/>
                <w:highlight w:val="none"/>
                <w:u w:val="single"/>
              </w:rPr>
              <w:t xml:space="preserve">  。</w:t>
            </w:r>
          </w:p>
        </w:tc>
      </w:tr>
      <w:tr w14:paraId="3EE50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45" w:type="dxa"/>
            <w:tcBorders>
              <w:top w:val="single" w:color="auto" w:sz="4" w:space="0"/>
              <w:left w:val="single" w:color="000000" w:sz="8" w:space="0"/>
              <w:right w:val="single" w:color="000000" w:sz="2" w:space="0"/>
            </w:tcBorders>
            <w:vAlign w:val="center"/>
          </w:tcPr>
          <w:p w14:paraId="7C27AF75">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w:t>
            </w:r>
          </w:p>
        </w:tc>
        <w:tc>
          <w:tcPr>
            <w:tcW w:w="1813" w:type="dxa"/>
            <w:tcBorders>
              <w:top w:val="single" w:color="000000" w:sz="8" w:space="0"/>
              <w:left w:val="single" w:color="000000" w:sz="2" w:space="0"/>
              <w:right w:val="single" w:color="000000" w:sz="8" w:space="0"/>
            </w:tcBorders>
            <w:vAlign w:val="center"/>
          </w:tcPr>
          <w:p w14:paraId="12F5FD3B">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7125" w:type="dxa"/>
            <w:tcBorders>
              <w:top w:val="single" w:color="000000" w:sz="8" w:space="0"/>
              <w:left w:val="single" w:color="000000" w:sz="2" w:space="0"/>
              <w:right w:val="single" w:color="000000" w:sz="8" w:space="0"/>
            </w:tcBorders>
            <w:vAlign w:val="center"/>
          </w:tcPr>
          <w:p w14:paraId="1805FED9">
            <w:pPr>
              <w:autoSpaceDE/>
              <w:autoSpaceDN/>
              <w:ind w:firstLine="480" w:firstLineChars="200"/>
              <w:rPr>
                <w:rFonts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1D626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F53D783">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w:t>
            </w:r>
          </w:p>
        </w:tc>
        <w:tc>
          <w:tcPr>
            <w:tcW w:w="1813" w:type="dxa"/>
            <w:tcBorders>
              <w:top w:val="single" w:color="000000" w:sz="8" w:space="0"/>
              <w:left w:val="single" w:color="000000" w:sz="2" w:space="0"/>
              <w:bottom w:val="single" w:color="000000" w:sz="8" w:space="0"/>
              <w:right w:val="single" w:color="000000" w:sz="8" w:space="0"/>
            </w:tcBorders>
            <w:vAlign w:val="center"/>
          </w:tcPr>
          <w:p w14:paraId="6C7E9231">
            <w:pPr>
              <w:autoSpaceDE/>
              <w:autoSpaceDN/>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tc>
        <w:tc>
          <w:tcPr>
            <w:tcW w:w="7125" w:type="dxa"/>
            <w:tcBorders>
              <w:top w:val="single" w:color="000000" w:sz="8" w:space="0"/>
              <w:left w:val="single" w:color="000000" w:sz="2" w:space="0"/>
              <w:bottom w:val="single" w:color="000000" w:sz="8" w:space="0"/>
              <w:right w:val="single" w:color="000000" w:sz="8" w:space="0"/>
            </w:tcBorders>
            <w:vAlign w:val="center"/>
          </w:tcPr>
          <w:p w14:paraId="00C7B0A6">
            <w:pPr>
              <w:pStyle w:val="8"/>
              <w:adjustRightInd w:val="0"/>
              <w:rPr>
                <w:rFonts w:ascii="仿宋" w:hAnsi="仿宋" w:eastAsia="仿宋" w:cs="仿宋"/>
                <w:snapToGrid w:val="0"/>
                <w:color w:val="auto"/>
                <w:kern w:val="28"/>
                <w:szCs w:val="24"/>
                <w:highlight w:val="none"/>
              </w:rPr>
            </w:pPr>
            <w:r>
              <w:rPr>
                <w:rFonts w:hint="eastAsia" w:ascii="仿宋" w:hAnsi="仿宋" w:eastAsia="仿宋" w:cs="仿宋"/>
                <w:snapToGrid w:val="0"/>
                <w:color w:val="auto"/>
                <w:kern w:val="28"/>
                <w:szCs w:val="24"/>
                <w:highlight w:val="none"/>
                <w:lang w:eastAsia="zh-CN"/>
              </w:rPr>
              <w:t>绍兴盈伽工程咨询有限公司</w:t>
            </w:r>
            <w:r>
              <w:rPr>
                <w:rFonts w:hint="eastAsia" w:ascii="仿宋" w:hAnsi="仿宋" w:eastAsia="仿宋" w:cs="仿宋"/>
                <w:snapToGrid w:val="0"/>
                <w:color w:val="auto"/>
                <w:kern w:val="28"/>
                <w:szCs w:val="24"/>
                <w:highlight w:val="none"/>
              </w:rPr>
              <w:t>邮箱（</w:t>
            </w:r>
            <w:r>
              <w:rPr>
                <w:rFonts w:hint="eastAsia" w:ascii="仿宋" w:hAnsi="仿宋" w:eastAsia="仿宋" w:cs="仿宋"/>
                <w:snapToGrid w:val="0"/>
                <w:color w:val="auto"/>
                <w:kern w:val="28"/>
                <w:szCs w:val="24"/>
                <w:highlight w:val="none"/>
              </w:rPr>
              <w:fldChar w:fldCharType="begin"/>
            </w:r>
            <w:r>
              <w:rPr>
                <w:rFonts w:hint="eastAsia" w:ascii="仿宋" w:hAnsi="仿宋" w:eastAsia="仿宋" w:cs="仿宋"/>
                <w:snapToGrid w:val="0"/>
                <w:color w:val="auto"/>
                <w:kern w:val="28"/>
                <w:szCs w:val="24"/>
                <w:highlight w:val="none"/>
              </w:rPr>
              <w:instrText xml:space="preserve"> HYPERLINK "mailto:zjztb001@aliyun.com" </w:instrText>
            </w:r>
            <w:r>
              <w:rPr>
                <w:rFonts w:hint="eastAsia" w:ascii="仿宋" w:hAnsi="仿宋" w:eastAsia="仿宋" w:cs="仿宋"/>
                <w:snapToGrid w:val="0"/>
                <w:color w:val="auto"/>
                <w:kern w:val="28"/>
                <w:szCs w:val="24"/>
                <w:highlight w:val="none"/>
              </w:rPr>
              <w:fldChar w:fldCharType="separate"/>
            </w:r>
            <w:r>
              <w:rPr>
                <w:rFonts w:hint="eastAsia" w:ascii="仿宋" w:hAnsi="仿宋" w:eastAsia="仿宋" w:cs="仿宋"/>
                <w:snapToGrid w:val="0"/>
                <w:color w:val="auto"/>
                <w:kern w:val="28"/>
                <w:szCs w:val="24"/>
                <w:highlight w:val="none"/>
                <w:lang w:val="en-US" w:eastAsia="zh-CN"/>
              </w:rPr>
              <w:t>3652086121@qq.com</w:t>
            </w:r>
            <w:r>
              <w:rPr>
                <w:rFonts w:hint="eastAsia" w:ascii="仿宋" w:hAnsi="仿宋" w:eastAsia="仿宋" w:cs="仿宋"/>
                <w:snapToGrid w:val="0"/>
                <w:color w:val="auto"/>
                <w:kern w:val="28"/>
                <w:szCs w:val="24"/>
                <w:highlight w:val="none"/>
              </w:rPr>
              <w:fldChar w:fldCharType="end"/>
            </w:r>
            <w:r>
              <w:rPr>
                <w:rFonts w:hint="eastAsia" w:ascii="仿宋" w:hAnsi="仿宋" w:eastAsia="仿宋" w:cs="仿宋"/>
                <w:snapToGrid w:val="0"/>
                <w:color w:val="auto"/>
                <w:kern w:val="28"/>
                <w:szCs w:val="24"/>
                <w:highlight w:val="none"/>
              </w:rPr>
              <w:t>）</w:t>
            </w:r>
          </w:p>
        </w:tc>
      </w:tr>
      <w:tr w14:paraId="349DA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687C22D">
            <w:pPr>
              <w:autoSpaceDE/>
              <w:autoSpaceDN/>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w:t>
            </w:r>
          </w:p>
        </w:tc>
        <w:tc>
          <w:tcPr>
            <w:tcW w:w="1813" w:type="dxa"/>
            <w:tcBorders>
              <w:top w:val="single" w:color="000000" w:sz="8" w:space="0"/>
              <w:left w:val="single" w:color="000000" w:sz="2" w:space="0"/>
              <w:bottom w:val="single" w:color="000000" w:sz="8" w:space="0"/>
              <w:right w:val="single" w:color="000000" w:sz="8" w:space="0"/>
            </w:tcBorders>
            <w:vAlign w:val="center"/>
          </w:tcPr>
          <w:p w14:paraId="45969B98">
            <w:pPr>
              <w:pStyle w:val="8"/>
              <w:spacing w:line="300" w:lineRule="exact"/>
              <w:jc w:val="center"/>
              <w:rPr>
                <w:rFonts w:ascii="仿宋" w:hAnsi="仿宋" w:eastAsia="仿宋" w:cs="仿宋"/>
                <w:snapToGrid w:val="0"/>
                <w:color w:val="auto"/>
                <w:kern w:val="28"/>
                <w:szCs w:val="24"/>
                <w:highlight w:val="none"/>
              </w:rPr>
            </w:pPr>
            <w:r>
              <w:rPr>
                <w:rFonts w:hint="eastAsia" w:ascii="仿宋" w:hAnsi="仿宋" w:eastAsia="仿宋" w:cs="仿宋"/>
                <w:b/>
                <w:bCs/>
                <w:snapToGrid w:val="0"/>
                <w:color w:val="auto"/>
                <w:kern w:val="28"/>
                <w:szCs w:val="24"/>
                <w:highlight w:val="none"/>
              </w:rPr>
              <w:t>其他</w:t>
            </w:r>
          </w:p>
        </w:tc>
        <w:tc>
          <w:tcPr>
            <w:tcW w:w="7125" w:type="dxa"/>
            <w:tcBorders>
              <w:top w:val="single" w:color="000000" w:sz="8" w:space="0"/>
              <w:left w:val="single" w:color="000000" w:sz="2" w:space="0"/>
              <w:bottom w:val="single" w:color="000000" w:sz="8" w:space="0"/>
              <w:right w:val="single" w:color="000000" w:sz="8" w:space="0"/>
            </w:tcBorders>
            <w:vAlign w:val="center"/>
          </w:tcPr>
          <w:p w14:paraId="5C9A0C55">
            <w:pPr>
              <w:snapToGrid w:val="0"/>
              <w:spacing w:line="360" w:lineRule="atLeas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①招标代理服务费由中标人支付，具体收费标准参照国家发改委【2011】534号文件和国家计委【2002】1980号文件执行，收费基数为合同总金额。招标代理服务费=（100万*1.5%）+（超出100万部分*0.8%）。</w:t>
            </w:r>
          </w:p>
          <w:tbl>
            <w:tblPr>
              <w:tblStyle w:val="15"/>
              <w:tblW w:w="6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6"/>
              <w:gridCol w:w="3675"/>
            </w:tblGrid>
            <w:tr w14:paraId="492F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vAlign w:val="center"/>
                </w:tcPr>
                <w:p w14:paraId="1E85361E">
                  <w:pPr>
                    <w:widowControl/>
                    <w:spacing w:line="360" w:lineRule="atLeast"/>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bidi="ar"/>
                    </w:rPr>
                    <w:t>合同金额（万元）</w:t>
                  </w:r>
                </w:p>
              </w:tc>
              <w:tc>
                <w:tcPr>
                  <w:tcW w:w="3675" w:type="dxa"/>
                  <w:vAlign w:val="center"/>
                </w:tcPr>
                <w:p w14:paraId="169B88ED">
                  <w:pPr>
                    <w:widowControl/>
                    <w:spacing w:line="360" w:lineRule="atLeast"/>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bidi="ar"/>
                    </w:rPr>
                    <w:t>服务</w:t>
                  </w:r>
                  <w:r>
                    <w:rPr>
                      <w:rFonts w:hint="eastAsia" w:ascii="仿宋" w:hAnsi="仿宋" w:eastAsia="仿宋" w:cs="仿宋"/>
                      <w:b/>
                      <w:bCs/>
                      <w:color w:val="auto"/>
                      <w:sz w:val="24"/>
                      <w:szCs w:val="24"/>
                      <w:highlight w:val="none"/>
                      <w:lang w:bidi="ar"/>
                    </w:rPr>
                    <w:t>类收费费率</w:t>
                  </w:r>
                </w:p>
              </w:tc>
            </w:tr>
            <w:tr w14:paraId="2AD0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vAlign w:val="center"/>
                </w:tcPr>
                <w:p w14:paraId="1992A306">
                  <w:pPr>
                    <w:widowControl/>
                    <w:spacing w:line="36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100以下（含）</w:t>
                  </w:r>
                </w:p>
              </w:tc>
              <w:tc>
                <w:tcPr>
                  <w:tcW w:w="3675" w:type="dxa"/>
                  <w:vAlign w:val="center"/>
                </w:tcPr>
                <w:p w14:paraId="7F65DB83">
                  <w:pPr>
                    <w:widowControl/>
                    <w:spacing w:line="360" w:lineRule="atLeas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1.5％</w:t>
                  </w:r>
                </w:p>
              </w:tc>
            </w:tr>
            <w:tr w14:paraId="517A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vAlign w:val="center"/>
                </w:tcPr>
                <w:p w14:paraId="71DB516D">
                  <w:pPr>
                    <w:spacing w:line="300" w:lineRule="auto"/>
                    <w:jc w:val="center"/>
                    <w:rPr>
                      <w:rFonts w:ascii="仿宋" w:hAnsi="仿宋" w:eastAsia="仿宋" w:cs="仿宋"/>
                      <w:color w:val="auto"/>
                      <w:sz w:val="24"/>
                      <w:szCs w:val="24"/>
                      <w:highlight w:val="none"/>
                      <w:lang w:bidi="ar"/>
                    </w:rPr>
                  </w:pPr>
                  <w:r>
                    <w:rPr>
                      <w:rStyle w:val="17"/>
                      <w:rFonts w:hint="eastAsia" w:ascii="仿宋" w:hAnsi="仿宋" w:eastAsia="仿宋" w:cs="宋体"/>
                      <w:b w:val="0"/>
                      <w:color w:val="auto"/>
                      <w:sz w:val="24"/>
                      <w:szCs w:val="24"/>
                      <w:highlight w:val="none"/>
                    </w:rPr>
                    <w:t>100～500部分</w:t>
                  </w:r>
                </w:p>
              </w:tc>
              <w:tc>
                <w:tcPr>
                  <w:tcW w:w="3675" w:type="dxa"/>
                  <w:vAlign w:val="center"/>
                </w:tcPr>
                <w:p w14:paraId="51F20808">
                  <w:pPr>
                    <w:spacing w:line="300" w:lineRule="auto"/>
                    <w:jc w:val="center"/>
                    <w:rPr>
                      <w:rFonts w:ascii="仿宋" w:hAnsi="仿宋" w:eastAsia="仿宋" w:cs="仿宋"/>
                      <w:color w:val="auto"/>
                      <w:sz w:val="24"/>
                      <w:szCs w:val="24"/>
                      <w:highlight w:val="none"/>
                      <w:lang w:bidi="ar"/>
                    </w:rPr>
                  </w:pPr>
                  <w:r>
                    <w:rPr>
                      <w:rStyle w:val="17"/>
                      <w:rFonts w:hint="eastAsia" w:ascii="仿宋" w:hAnsi="仿宋" w:eastAsia="仿宋" w:cs="宋体"/>
                      <w:b w:val="0"/>
                      <w:color w:val="auto"/>
                      <w:sz w:val="24"/>
                      <w:szCs w:val="24"/>
                      <w:highlight w:val="none"/>
                    </w:rPr>
                    <w:t>0.8%</w:t>
                  </w:r>
                </w:p>
              </w:tc>
            </w:tr>
          </w:tbl>
          <w:p w14:paraId="6948FD7E">
            <w:pPr>
              <w:snapToGrid w:val="0"/>
              <w:spacing w:line="360" w:lineRule="atLeas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采购代理费不足3000元按3000元收取。</w:t>
            </w:r>
          </w:p>
          <w:p w14:paraId="0C52DDDB">
            <w:pPr>
              <w:snapToGrid w:val="0"/>
              <w:spacing w:line="360" w:lineRule="atLeas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2、收取方式：本项目的招标代理服务费由中标人支付，在领取中标通知书时一次性付清。</w:t>
            </w:r>
          </w:p>
          <w:p w14:paraId="6C61B5F5">
            <w:pPr>
              <w:snapToGrid w:val="0"/>
              <w:spacing w:line="360" w:lineRule="atLeast"/>
              <w:rPr>
                <w:rFonts w:ascii="仿宋" w:hAnsi="仿宋" w:eastAsia="仿宋" w:cs="仿宋"/>
                <w:snapToGrid w:val="0"/>
                <w:color w:val="auto"/>
                <w:kern w:val="28"/>
                <w:sz w:val="24"/>
                <w:szCs w:val="24"/>
                <w:highlight w:val="none"/>
              </w:rPr>
            </w:pPr>
            <w:r>
              <w:rPr>
                <w:rFonts w:hint="eastAsia" w:ascii="仿宋" w:hAnsi="仿宋" w:eastAsia="仿宋" w:cs="仿宋"/>
                <w:b/>
                <w:color w:val="auto"/>
                <w:sz w:val="24"/>
                <w:szCs w:val="24"/>
                <w:highlight w:val="none"/>
                <w:lang w:val="en-US" w:eastAsia="zh-CN"/>
              </w:rPr>
              <w:t>3.收款账户信息：绍兴盈伽工程咨询有限公司，开户行：诸暨农商陶朱支行和泰路分理处，账号：201000337290760。</w:t>
            </w:r>
          </w:p>
        </w:tc>
      </w:tr>
    </w:tbl>
    <w:p w14:paraId="2BF1C355">
      <w:pPr>
        <w:rPr>
          <w:rFonts w:ascii="等线" w:hAnsi="等线" w:eastAsia="等线" w:cs="等线"/>
          <w:color w:val="auto"/>
          <w:highlight w:val="none"/>
        </w:rPr>
      </w:pPr>
    </w:p>
    <w:p w14:paraId="1A318ACA">
      <w:pPr>
        <w:rPr>
          <w:rFonts w:ascii="宋体" w:hAnsi="宋体" w:cs="宋体"/>
          <w:b/>
          <w:color w:val="auto"/>
          <w:sz w:val="32"/>
          <w:szCs w:val="20"/>
          <w:highlight w:val="none"/>
        </w:rPr>
      </w:pPr>
      <w:bookmarkStart w:id="11" w:name="_Toc23904"/>
      <w:r>
        <w:rPr>
          <w:rFonts w:hint="eastAsia" w:ascii="宋体" w:hAnsi="宋体" w:cs="宋体"/>
          <w:b/>
          <w:color w:val="auto"/>
          <w:sz w:val="32"/>
          <w:szCs w:val="20"/>
          <w:highlight w:val="none"/>
        </w:rPr>
        <w:br w:type="page"/>
      </w:r>
    </w:p>
    <w:p w14:paraId="24F93301">
      <w:pPr>
        <w:adjustRightInd/>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一、总则</w:t>
      </w:r>
      <w:bookmarkEnd w:id="11"/>
    </w:p>
    <w:p w14:paraId="1BC24E91">
      <w:pPr>
        <w:snapToGrid w:val="0"/>
        <w:spacing w:line="42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57FF4C16">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4C9DD639">
      <w:pPr>
        <w:adjustRightInd/>
        <w:spacing w:line="400" w:lineRule="exact"/>
        <w:rPr>
          <w:rFonts w:ascii="仿宋" w:hAnsi="仿宋" w:eastAsia="仿宋" w:cs="仿宋"/>
          <w:b/>
          <w:color w:val="auto"/>
          <w:sz w:val="24"/>
          <w:highlight w:val="none"/>
        </w:rPr>
      </w:pPr>
      <w:bookmarkStart w:id="12" w:name="_Toc16124"/>
      <w:r>
        <w:rPr>
          <w:rFonts w:hint="eastAsia" w:ascii="仿宋" w:hAnsi="仿宋" w:eastAsia="仿宋" w:cs="仿宋"/>
          <w:b/>
          <w:color w:val="auto"/>
          <w:sz w:val="24"/>
          <w:highlight w:val="none"/>
        </w:rPr>
        <w:t>2.定义</w:t>
      </w:r>
      <w:bookmarkEnd w:id="12"/>
    </w:p>
    <w:p w14:paraId="724AAE2B">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BF87570">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60F1B2A3">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035A0F93">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D442C4C">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w:t>
      </w:r>
    </w:p>
    <w:p w14:paraId="0B0E2E7C">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4A618C8B">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sz w:val="24"/>
          <w:highlight w:val="none"/>
        </w:rPr>
        <w:sym w:font="Wingdings" w:char="F0FE"/>
      </w:r>
      <w:r>
        <w:rPr>
          <w:rFonts w:hint="eastAsia" w:ascii="仿宋" w:hAnsi="仿宋" w:eastAsia="仿宋" w:cs="仿宋"/>
          <w:color w:val="auto"/>
          <w:sz w:val="24"/>
          <w:highlight w:val="none"/>
        </w:rPr>
        <w:t>” 系指适用本项目的要求，“☐” 系指不适用本项目的要求。</w:t>
      </w:r>
    </w:p>
    <w:p w14:paraId="73FA060C">
      <w:pPr>
        <w:spacing w:line="420" w:lineRule="exact"/>
        <w:rPr>
          <w:rFonts w:ascii="仿宋" w:hAnsi="仿宋" w:eastAsia="仿宋" w:cs="仿宋"/>
          <w:color w:val="auto"/>
          <w:sz w:val="24"/>
          <w:highlight w:val="none"/>
        </w:rPr>
      </w:pPr>
      <w:r>
        <w:rPr>
          <w:rFonts w:hint="eastAsia" w:ascii="仿宋" w:hAnsi="仿宋" w:eastAsia="仿宋" w:cs="仿宋"/>
          <w:b/>
          <w:color w:val="auto"/>
          <w:sz w:val="24"/>
          <w:highlight w:val="none"/>
        </w:rPr>
        <w:t>3.采购项目需要落实的政府采购政策</w:t>
      </w:r>
    </w:p>
    <w:p w14:paraId="06522F49">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10CB2D5">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3EBC6717">
      <w:pPr>
        <w:spacing w:line="42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13C493CC">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53F8A3B4">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6370DF1">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8720165">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9C8AE07">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F4975F5">
      <w:pPr>
        <w:widowControl/>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sz w:val="24"/>
          <w:highlight w:val="none"/>
        </w:rPr>
        <w:t>在政府采购活动中，投标人提供的货物、工程或者服务符合下列情形的，享受中小企业扶持政策：</w:t>
      </w:r>
    </w:p>
    <w:p w14:paraId="6AD22D6E">
      <w:pPr>
        <w:widowControl/>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3.3.2.1在货物采购项目中，货物由中小企业制造，即货物由中小企业生产且使用该中小企业商号或者注册商标；</w:t>
      </w:r>
    </w:p>
    <w:p w14:paraId="0A30D31E">
      <w:pPr>
        <w:widowControl/>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3.3.2.2在工程采购项目中，工程由中小企业承建，即工程施工单位为中小企业；</w:t>
      </w:r>
    </w:p>
    <w:p w14:paraId="722F0948">
      <w:pPr>
        <w:widowControl/>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3.3.2.3在服务采购项目中，服务由中小企业承接，即提供服务的人员为中小企业依照《中华人民共和国民法典》订立劳动合同的从业人员。</w:t>
      </w:r>
    </w:p>
    <w:p w14:paraId="53CEF778">
      <w:pPr>
        <w:widowControl/>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在货物采购项目中，投标人提供的货物既有中小企业制造货物，也有大型企业制造货物的，不享受中小企业扶持政策。</w:t>
      </w:r>
    </w:p>
    <w:p w14:paraId="63E7367F">
      <w:pPr>
        <w:widowControl/>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以联合体形式参加政府采购活动，联合体各方均为中小企业的，联合体视同中小企业。其中，联合体各方均为小微企业的，联合体视同小微企业。</w:t>
      </w:r>
    </w:p>
    <w:p w14:paraId="614C07EF">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sz w:val="24"/>
          <w:highlight w:val="none"/>
        </w:rPr>
        <w:t>20%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highlight w:val="none"/>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1F2EBF7D">
      <w:pPr>
        <w:spacing w:line="42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3.3.4</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w:t>
      </w:r>
    </w:p>
    <w:p w14:paraId="587D9C48">
      <w:pPr>
        <w:spacing w:line="42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3.3.5</w:t>
      </w:r>
      <w:r>
        <w:rPr>
          <w:rFonts w:hint="eastAsia" w:ascii="仿宋" w:hAnsi="仿宋" w:eastAsia="仿宋" w:cs="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1B7756C">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3E4271DF">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3.3.7中小企业享受扶持政策获得政府采购合同的，小微企业不得将合同分包给大中型企业，中型企业不得将合同分包给大型企业。 </w:t>
      </w:r>
    </w:p>
    <w:p w14:paraId="0B4F4B81">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3.3.8采购人严格贯彻落实《保障中小企业款项支付条例》，按规定向中小企业支付款项。</w:t>
      </w:r>
    </w:p>
    <w:p w14:paraId="56B0D7C5">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3.3.9中小企业信用融资：供应商中标后可在政府采购云平台申请政采贷：操作路径：登录政府采购云平台-金融服务中心-【融资服务】。</w:t>
      </w:r>
    </w:p>
    <w:p w14:paraId="339016E7">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2D739F0A">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7E52B203">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502A0AB2">
      <w:pPr>
        <w:spacing w:line="420" w:lineRule="exact"/>
        <w:rPr>
          <w:rFonts w:ascii="仿宋" w:hAnsi="仿宋" w:eastAsia="仿宋" w:cs="仿宋"/>
          <w:color w:val="auto"/>
          <w:sz w:val="24"/>
          <w:highlight w:val="none"/>
        </w:rPr>
      </w:pPr>
      <w:r>
        <w:rPr>
          <w:rFonts w:hint="eastAsia" w:ascii="仿宋" w:hAnsi="仿宋" w:eastAsia="仿宋" w:cs="仿宋"/>
          <w:b/>
          <w:color w:val="auto"/>
          <w:sz w:val="24"/>
          <w:highlight w:val="none"/>
        </w:rPr>
        <w:t>4.询问、质疑、投诉</w:t>
      </w:r>
    </w:p>
    <w:p w14:paraId="25C3D3EB">
      <w:pPr>
        <w:spacing w:line="42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lang w:val="zh-CN"/>
        </w:rPr>
        <w:t>4.1供应商询问</w:t>
      </w:r>
    </w:p>
    <w:p w14:paraId="49994655">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0B9EED">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4.2供应商质疑</w:t>
      </w:r>
    </w:p>
    <w:p w14:paraId="746209BE">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kern w:val="0"/>
          <w:highlight w:val="none"/>
          <w:lang w:val="zh-CN"/>
        </w:rPr>
        <w:t>4.2</w:t>
      </w:r>
      <w:r>
        <w:rPr>
          <w:rFonts w:hint="eastAsia" w:ascii="仿宋" w:hAnsi="仿宋" w:eastAsia="仿宋" w:cs="仿宋"/>
          <w:color w:val="auto"/>
          <w:highlight w:val="none"/>
        </w:rPr>
        <w:t>.1提出质疑的供应商应当是参与所质疑项目采购活动的供应商。潜在供应商已依法获取其可质疑的招标文件的，可以对该文件提出质疑。</w:t>
      </w:r>
    </w:p>
    <w:p w14:paraId="08199117">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kern w:val="0"/>
          <w:highlight w:val="none"/>
          <w:lang w:val="zh-CN"/>
        </w:rPr>
        <w:t>4.2</w:t>
      </w:r>
      <w:r>
        <w:rPr>
          <w:rFonts w:hint="eastAsia" w:ascii="仿宋" w:hAnsi="仿宋" w:eastAsia="仿宋" w:cs="仿宋"/>
          <w:color w:val="auto"/>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2979CEED">
      <w:pPr>
        <w:pStyle w:val="4"/>
        <w:spacing w:line="420" w:lineRule="exact"/>
        <w:ind w:firstLine="480" w:firstLineChars="200"/>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14:paraId="0BF94D36">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4.2.2.2对采购过程提出质疑的，质疑期限为各采购程序环节结束之日起计算。对同一采购程序环节的质疑，供应商须一次性提出。</w:t>
      </w:r>
    </w:p>
    <w:p w14:paraId="7B81387A">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4.2.2.3对采购结果提出质疑的，质疑期限自采购结果公告期限届满之日起计算。</w:t>
      </w:r>
    </w:p>
    <w:p w14:paraId="49454A0F">
      <w:pPr>
        <w:pStyle w:val="8"/>
        <w:spacing w:line="420" w:lineRule="exact"/>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4.2.2.4针对采购文件中特定资格条件、采购需求、评分办法提出的质疑，应向采购人提出；对采购文件中其他内容、采购过程、采购结果提出的质疑，应向采购代理机构提出。</w:t>
      </w:r>
    </w:p>
    <w:p w14:paraId="7222914C">
      <w:pPr>
        <w:pStyle w:val="8"/>
        <w:spacing w:line="420" w:lineRule="exact"/>
        <w:ind w:firstLine="480" w:firstLineChars="20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w:t>
      </w:r>
      <w:r>
        <w:rPr>
          <w:rFonts w:hint="eastAsia" w:ascii="仿宋" w:hAnsi="仿宋" w:eastAsia="仿宋" w:cs="仿宋"/>
          <w:color w:val="auto"/>
          <w:highlight w:val="none"/>
        </w:rPr>
        <w:t>供应商提出质疑应当提交质疑函和必要的证明材料。质疑函应当包括下列内容：</w:t>
      </w:r>
    </w:p>
    <w:p w14:paraId="1477D65A">
      <w:pPr>
        <w:pStyle w:val="8"/>
        <w:spacing w:line="420" w:lineRule="exact"/>
        <w:ind w:firstLine="480" w:firstLineChars="20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4.2.3.1供应商的姓名或者名称、地址、邮编、联系人及联系电话；</w:t>
      </w:r>
    </w:p>
    <w:p w14:paraId="2A8B74BC">
      <w:pPr>
        <w:pStyle w:val="8"/>
        <w:spacing w:line="420" w:lineRule="exact"/>
        <w:ind w:firstLine="480" w:firstLineChars="20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4.2.3.2质疑项目的名称、编号；</w:t>
      </w:r>
    </w:p>
    <w:p w14:paraId="69A4CFEF">
      <w:pPr>
        <w:pStyle w:val="8"/>
        <w:spacing w:line="420" w:lineRule="exact"/>
        <w:ind w:firstLine="480" w:firstLineChars="20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4.2.3.3具体、明确的质疑事项和与质疑事项相关的请求；</w:t>
      </w:r>
    </w:p>
    <w:p w14:paraId="0D7ADBEC">
      <w:pPr>
        <w:pStyle w:val="8"/>
        <w:spacing w:line="420" w:lineRule="exact"/>
        <w:ind w:firstLine="480" w:firstLineChars="20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4.2.3.4事实依据；</w:t>
      </w:r>
    </w:p>
    <w:p w14:paraId="04CFBC8C">
      <w:pPr>
        <w:pStyle w:val="8"/>
        <w:spacing w:line="420" w:lineRule="exact"/>
        <w:ind w:firstLine="480" w:firstLineChars="20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4.2.3.5必要的法律依据；</w:t>
      </w:r>
    </w:p>
    <w:p w14:paraId="3149F8FB">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kern w:val="0"/>
          <w:highlight w:val="none"/>
          <w:lang w:val="zh-CN"/>
        </w:rPr>
        <w:t>4.2.</w:t>
      </w:r>
      <w:r>
        <w:rPr>
          <w:rFonts w:hint="eastAsia" w:ascii="仿宋" w:hAnsi="仿宋" w:eastAsia="仿宋" w:cs="仿宋"/>
          <w:color w:val="auto"/>
          <w:highlight w:val="none"/>
        </w:rPr>
        <w:t>3.6提出质疑的日期。</w:t>
      </w:r>
    </w:p>
    <w:p w14:paraId="60C8C568">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供应商可以在浙江政府采购网下载专区下载《政府采购供应商质疑函范本》。</w:t>
      </w:r>
    </w:p>
    <w:p w14:paraId="7C3C3857">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D9A1952">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4.2.5询问或者质疑事项可能影响采购结果的，采购人应当暂停签订合同，已经签订合同的，应当中止履行合同。</w:t>
      </w:r>
    </w:p>
    <w:p w14:paraId="0E940807">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4.3质疑供应商投诉</w:t>
      </w:r>
    </w:p>
    <w:p w14:paraId="43C6B14A">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6DF00FCD">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4.3.2供应商投诉的事项不得超出已质疑事项的范围，基于质疑答复内容提出的投诉事项除外。</w:t>
      </w:r>
    </w:p>
    <w:p w14:paraId="6288B354">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501C84D2">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以联合体形式参加政府采购活动的，其投诉应当由组成联合体的所有供应商共同提出。供应商可以在浙江政府采购网下载专区下载《政府采购供应商投诉书范本》。</w:t>
      </w:r>
    </w:p>
    <w:p w14:paraId="250D1A9B">
      <w:pPr>
        <w:pStyle w:val="8"/>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29B686">
      <w:pPr>
        <w:autoSpaceDE/>
        <w:autoSpaceDN/>
        <w:adjustRightInd/>
        <w:spacing w:line="360" w:lineRule="auto"/>
        <w:jc w:val="center"/>
        <w:rPr>
          <w:rFonts w:ascii="仿宋" w:hAnsi="仿宋" w:eastAsia="仿宋" w:cs="仿宋"/>
          <w:b/>
          <w:color w:val="auto"/>
          <w:sz w:val="32"/>
          <w:szCs w:val="20"/>
          <w:highlight w:val="none"/>
        </w:rPr>
      </w:pPr>
      <w:bookmarkStart w:id="13" w:name="_Toc2187"/>
      <w:r>
        <w:rPr>
          <w:rFonts w:hint="eastAsia" w:ascii="仿宋" w:hAnsi="仿宋" w:eastAsia="仿宋" w:cs="仿宋"/>
          <w:b/>
          <w:color w:val="auto"/>
          <w:sz w:val="32"/>
          <w:szCs w:val="20"/>
          <w:highlight w:val="none"/>
        </w:rPr>
        <w:t>二、招标文件的构成、澄清、补充、修改</w:t>
      </w:r>
      <w:bookmarkEnd w:id="13"/>
    </w:p>
    <w:p w14:paraId="790BC397">
      <w:pPr>
        <w:pStyle w:val="8"/>
        <w:spacing w:line="42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5．招标文件的构成</w:t>
      </w:r>
    </w:p>
    <w:p w14:paraId="124FFB2B">
      <w:pPr>
        <w:pStyle w:val="8"/>
        <w:spacing w:line="420" w:lineRule="exact"/>
        <w:ind w:firstLine="482" w:firstLineChars="200"/>
        <w:rPr>
          <w:rFonts w:ascii="仿宋" w:hAnsi="仿宋" w:eastAsia="仿宋" w:cs="仿宋"/>
          <w:b/>
          <w:bCs/>
          <w:color w:val="auto"/>
          <w:szCs w:val="24"/>
          <w:highlight w:val="none"/>
        </w:rPr>
      </w:pPr>
      <w:r>
        <w:rPr>
          <w:rFonts w:hint="eastAsia" w:ascii="仿宋" w:hAnsi="仿宋" w:eastAsia="仿宋" w:cs="仿宋"/>
          <w:b/>
          <w:bCs/>
          <w:color w:val="auto"/>
          <w:szCs w:val="24"/>
          <w:highlight w:val="none"/>
        </w:rPr>
        <w:t>5.1 招标文件包括下列文件及附件：</w:t>
      </w:r>
    </w:p>
    <w:p w14:paraId="2F9D2EB4">
      <w:pPr>
        <w:pStyle w:val="8"/>
        <w:tabs>
          <w:tab w:val="left" w:pos="840"/>
        </w:tabs>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5.1.1招标公告；</w:t>
      </w:r>
    </w:p>
    <w:p w14:paraId="647AC518">
      <w:pPr>
        <w:pStyle w:val="8"/>
        <w:tabs>
          <w:tab w:val="left" w:pos="840"/>
        </w:tabs>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5.1.2投标人须知；</w:t>
      </w:r>
    </w:p>
    <w:p w14:paraId="5191EDFD">
      <w:pPr>
        <w:pStyle w:val="8"/>
        <w:tabs>
          <w:tab w:val="left" w:pos="840"/>
        </w:tabs>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5.1.3采购需求；</w:t>
      </w:r>
    </w:p>
    <w:p w14:paraId="74123353">
      <w:pPr>
        <w:pStyle w:val="8"/>
        <w:tabs>
          <w:tab w:val="left" w:pos="840"/>
        </w:tabs>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5.1.4评标办法；</w:t>
      </w:r>
    </w:p>
    <w:p w14:paraId="135C3F9A">
      <w:pPr>
        <w:pStyle w:val="8"/>
        <w:tabs>
          <w:tab w:val="left" w:pos="840"/>
        </w:tabs>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5.1.5拟签订的合同文本；</w:t>
      </w:r>
    </w:p>
    <w:p w14:paraId="30AA313A">
      <w:pPr>
        <w:pStyle w:val="8"/>
        <w:tabs>
          <w:tab w:val="left" w:pos="840"/>
        </w:tabs>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highlight w:val="none"/>
        </w:rPr>
        <w:t>5.1.6</w:t>
      </w:r>
      <w:r>
        <w:rPr>
          <w:rFonts w:hint="eastAsia" w:ascii="仿宋" w:hAnsi="仿宋" w:eastAsia="仿宋" w:cs="仿宋"/>
          <w:color w:val="auto"/>
          <w:szCs w:val="24"/>
          <w:highlight w:val="none"/>
        </w:rPr>
        <w:t>应提交的有关格式范例。</w:t>
      </w:r>
    </w:p>
    <w:p w14:paraId="1F007C52">
      <w:pPr>
        <w:spacing w:line="42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5.2与本项目有关的澄清、补充、修改的内容为招标文件的组成部分。</w:t>
      </w:r>
    </w:p>
    <w:p w14:paraId="4E7093E0">
      <w:pPr>
        <w:pStyle w:val="8"/>
        <w:spacing w:line="42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6.招标文件的澄清、补充、修改</w:t>
      </w:r>
    </w:p>
    <w:p w14:paraId="20699CD2">
      <w:pPr>
        <w:pStyle w:val="23"/>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24ABD16E">
      <w:pPr>
        <w:pStyle w:val="23"/>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14:paraId="29A4544B">
      <w:pPr>
        <w:pStyle w:val="23"/>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6.3当招标文件与澄清、补充、修改就同一内容表述不一致的以最后发出的文件或公告为准。</w:t>
      </w:r>
    </w:p>
    <w:p w14:paraId="5A558499">
      <w:pPr>
        <w:autoSpaceDE/>
        <w:autoSpaceDN/>
        <w:adjustRightInd/>
        <w:spacing w:line="360" w:lineRule="auto"/>
        <w:jc w:val="center"/>
        <w:rPr>
          <w:rFonts w:ascii="仿宋" w:hAnsi="仿宋" w:eastAsia="仿宋" w:cs="仿宋"/>
          <w:b/>
          <w:color w:val="auto"/>
          <w:sz w:val="30"/>
          <w:szCs w:val="20"/>
          <w:highlight w:val="none"/>
        </w:rPr>
      </w:pPr>
      <w:bookmarkStart w:id="14" w:name="_Toc23465"/>
      <w:r>
        <w:rPr>
          <w:rFonts w:hint="eastAsia" w:ascii="仿宋" w:hAnsi="仿宋" w:eastAsia="仿宋" w:cs="仿宋"/>
          <w:b/>
          <w:color w:val="auto"/>
          <w:sz w:val="30"/>
          <w:szCs w:val="20"/>
          <w:highlight w:val="none"/>
        </w:rPr>
        <w:t>三、投标</w:t>
      </w:r>
      <w:bookmarkEnd w:id="14"/>
    </w:p>
    <w:p w14:paraId="68CA22C3">
      <w:pPr>
        <w:pStyle w:val="8"/>
        <w:spacing w:line="42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7.招标文件的获取</w:t>
      </w:r>
    </w:p>
    <w:p w14:paraId="3F2A2C70">
      <w:pPr>
        <w:spacing w:line="42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75081335">
      <w:pPr>
        <w:pStyle w:val="8"/>
        <w:spacing w:line="42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8.开标前答疑会或现场考察</w:t>
      </w:r>
    </w:p>
    <w:p w14:paraId="62EDBAC5">
      <w:pPr>
        <w:pStyle w:val="8"/>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采购人组织潜在投标人现场考察或者召开开标前答疑会的，潜在投标人按第二章投标人须知前附表的规定参加现场考察或者开标前答疑会。</w:t>
      </w:r>
    </w:p>
    <w:p w14:paraId="4DDDE53B">
      <w:pPr>
        <w:pStyle w:val="8"/>
        <w:spacing w:line="420" w:lineRule="exact"/>
        <w:rPr>
          <w:rFonts w:ascii="仿宋" w:hAnsi="仿宋" w:eastAsia="仿宋" w:cs="仿宋"/>
          <w:b/>
          <w:color w:val="auto"/>
          <w:szCs w:val="24"/>
          <w:highlight w:val="none"/>
        </w:rPr>
      </w:pPr>
      <w:r>
        <w:rPr>
          <w:rFonts w:hint="eastAsia" w:ascii="仿宋" w:hAnsi="仿宋" w:eastAsia="仿宋" w:cs="仿宋"/>
          <w:b/>
          <w:color w:val="auto"/>
          <w:kern w:val="28"/>
          <w:szCs w:val="24"/>
          <w:highlight w:val="none"/>
        </w:rPr>
        <w:t>9.投标保证金</w:t>
      </w:r>
    </w:p>
    <w:p w14:paraId="311BE4E1">
      <w:pPr>
        <w:pStyle w:val="4"/>
        <w:spacing w:line="420" w:lineRule="exact"/>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677A79E0">
      <w:pPr>
        <w:pStyle w:val="8"/>
        <w:spacing w:line="42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10.投标文件的语言</w:t>
      </w:r>
    </w:p>
    <w:p w14:paraId="63081613">
      <w:pPr>
        <w:spacing w:line="42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B63EBE2">
      <w:pPr>
        <w:pStyle w:val="8"/>
        <w:spacing w:line="42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11.投标文件的组成</w:t>
      </w:r>
    </w:p>
    <w:p w14:paraId="761897DB">
      <w:pPr>
        <w:snapToGrid w:val="0"/>
        <w:spacing w:line="42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3F3C20CB">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4DF57E89">
      <w:pPr>
        <w:pStyle w:val="24"/>
        <w:ind w:firstLine="480" w:firstLineChars="200"/>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11.1.2具有独立承担民事责任能力的证明材料；</w:t>
      </w:r>
    </w:p>
    <w:p w14:paraId="001C1C66">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11.1.3落实政府采购政策需满足的资格要求（如需）；</w:t>
      </w:r>
    </w:p>
    <w:p w14:paraId="25901D07">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11.1.4本项目的特定资格要求（如需）。</w:t>
      </w:r>
    </w:p>
    <w:p w14:paraId="6D062CF2">
      <w:pPr>
        <w:snapToGrid w:val="0"/>
        <w:spacing w:line="420" w:lineRule="exact"/>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581505E7">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067BA98A">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B60A13B">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11.2.3联合协议（如需）；</w:t>
      </w:r>
    </w:p>
    <w:p w14:paraId="05D46DBB">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11.2.4分包意向协议（如需）；</w:t>
      </w:r>
    </w:p>
    <w:p w14:paraId="53620932">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14:paraId="3799720C">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11.2.6评标标准相应的商务技术资料（如需）；</w:t>
      </w:r>
    </w:p>
    <w:p w14:paraId="272C507A">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CFF3F76">
      <w:pPr>
        <w:snapToGrid w:val="0"/>
        <w:spacing w:line="42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340291E">
      <w:pPr>
        <w:snapToGrid w:val="0"/>
        <w:spacing w:line="420" w:lineRule="exact"/>
        <w:ind w:firstLine="482" w:firstLineChars="200"/>
        <w:rPr>
          <w:rFonts w:ascii="仿宋" w:hAnsi="仿宋" w:eastAsia="仿宋" w:cs="仿宋"/>
          <w:b/>
          <w:bCs/>
          <w:color w:val="auto"/>
          <w:sz w:val="24"/>
          <w:highlight w:val="none"/>
          <w:u w:val="singl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 xml:space="preserve">3报价文件： </w:t>
      </w:r>
    </w:p>
    <w:p w14:paraId="6DB0F363">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69E966F7">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r>
        <w:rPr>
          <w:rFonts w:hint="eastAsia" w:ascii="仿宋" w:hAnsi="仿宋" w:eastAsia="仿宋" w:cs="仿宋"/>
          <w:b/>
          <w:bCs/>
          <w:color w:val="auto"/>
          <w:sz w:val="24"/>
          <w:highlight w:val="none"/>
        </w:rPr>
        <w:t>（如需）</w:t>
      </w:r>
      <w:r>
        <w:rPr>
          <w:rFonts w:hint="eastAsia" w:ascii="仿宋" w:hAnsi="仿宋" w:eastAsia="仿宋" w:cs="仿宋"/>
          <w:color w:val="auto"/>
          <w:sz w:val="24"/>
          <w:highlight w:val="none"/>
        </w:rPr>
        <w:t>。</w:t>
      </w:r>
    </w:p>
    <w:p w14:paraId="0312CC3C">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11.4投标文件含有采购人不能接受的附加条件的，投标无效；投标人提供虚假材料投标的，投标无效。</w:t>
      </w:r>
    </w:p>
    <w:p w14:paraId="350A39D9">
      <w:pPr>
        <w:pStyle w:val="23"/>
        <w:snapToGrid w:val="0"/>
        <w:spacing w:before="0" w:line="420" w:lineRule="exact"/>
        <w:ind w:firstLine="0" w:firstLineChars="0"/>
        <w:rPr>
          <w:rFonts w:ascii="仿宋" w:hAnsi="仿宋" w:eastAsia="仿宋" w:cs="仿宋"/>
          <w:b/>
          <w:color w:val="auto"/>
          <w:szCs w:val="24"/>
          <w:highlight w:val="none"/>
        </w:rPr>
      </w:pPr>
      <w:bookmarkStart w:id="15" w:name="_Toc8735"/>
      <w:r>
        <w:rPr>
          <w:rFonts w:hint="eastAsia" w:ascii="仿宋" w:hAnsi="仿宋" w:eastAsia="仿宋" w:cs="仿宋"/>
          <w:b/>
          <w:color w:val="auto"/>
          <w:szCs w:val="24"/>
          <w:highlight w:val="none"/>
        </w:rPr>
        <w:t>12</w:t>
      </w:r>
      <w:r>
        <w:rPr>
          <w:rFonts w:hint="eastAsia" w:ascii="仿宋" w:hAnsi="仿宋" w:eastAsia="仿宋" w:cs="仿宋"/>
          <w:b/>
          <w:color w:val="auto"/>
          <w:szCs w:val="24"/>
          <w:highlight w:val="none"/>
          <w:lang w:val="zh-CN"/>
        </w:rPr>
        <w:t>.</w:t>
      </w:r>
      <w:r>
        <w:rPr>
          <w:rFonts w:hint="eastAsia" w:ascii="仿宋" w:hAnsi="仿宋" w:eastAsia="仿宋" w:cs="仿宋"/>
          <w:b/>
          <w:color w:val="auto"/>
          <w:szCs w:val="24"/>
          <w:highlight w:val="none"/>
        </w:rPr>
        <w:t>投标文件的编制</w:t>
      </w:r>
      <w:bookmarkEnd w:id="15"/>
    </w:p>
    <w:p w14:paraId="0C1ECC53">
      <w:pPr>
        <w:spacing w:line="42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lang w:val="zh-CN"/>
        </w:rPr>
        <w:t>12.1投标文件分为资格文件、商务技术文件、报价文件三部分。各投标人在编制投标文件时请按照招标文件第六</w:t>
      </w:r>
      <w:r>
        <w:rPr>
          <w:rFonts w:hint="eastAsia" w:ascii="仿宋" w:hAnsi="仿宋" w:eastAsia="仿宋" w:cs="仿宋"/>
          <w:color w:val="auto"/>
          <w:sz w:val="24"/>
          <w:highlight w:val="none"/>
        </w:rPr>
        <w:t>章</w:t>
      </w:r>
      <w:r>
        <w:rPr>
          <w:rFonts w:hint="eastAsia" w:ascii="仿宋" w:hAnsi="仿宋" w:eastAsia="仿宋" w:cs="仿宋"/>
          <w:color w:val="auto"/>
          <w:sz w:val="24"/>
          <w:highlight w:val="none"/>
          <w:lang w:val="zh-CN"/>
        </w:rPr>
        <w:t>规定的格式进行，混乱的编排导致投标文件被误读或评标委员会查找不到有效文件是投标人的风险。</w:t>
      </w:r>
    </w:p>
    <w:p w14:paraId="6C02BF9A">
      <w:pPr>
        <w:spacing w:line="42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58F469C">
      <w:pPr>
        <w:spacing w:line="42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12.3使用“政采云电子交易客户端”需要提前申领CA数字证书，申领流程请自行前往“浙江政府采购网-下载专区-电子交易客户端-CA驱动和申领流程”进行查阅。</w:t>
      </w:r>
    </w:p>
    <w:p w14:paraId="6DDED1C2">
      <w:pPr>
        <w:spacing w:line="42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12.4投标人应充分考虑完成平台注册、申领CA证书等所需时间，如未在“政府采购云平台”系统内完成相关流程，而引起的投标或响应无效的责任自负。</w:t>
      </w:r>
    </w:p>
    <w:p w14:paraId="7AEFDCB1">
      <w:pPr>
        <w:snapToGrid w:val="0"/>
        <w:spacing w:line="42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7C71A08F">
      <w:pPr>
        <w:pStyle w:val="23"/>
        <w:snapToGrid w:val="0"/>
        <w:spacing w:before="0" w:line="420" w:lineRule="exact"/>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13.1投标文件按照招标文件第六章格式要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5D87842B">
      <w:pPr>
        <w:pStyle w:val="23"/>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13.2为确保网上操作合法、有效和安全，投标人应当在投标截止时间前完成在“政府采购云平台”的身份认证，确保在电子投标过程中能够对相关数据电文进行加密和使用电子签章（签名）。</w:t>
      </w:r>
    </w:p>
    <w:p w14:paraId="176B0772">
      <w:pPr>
        <w:pStyle w:val="23"/>
        <w:snapToGrid w:val="0"/>
        <w:spacing w:before="0" w:line="420" w:lineRule="exact"/>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13.3招标文件对投标文件签署、盖章的要求适用于电子签章（签名）。</w:t>
      </w:r>
    </w:p>
    <w:p w14:paraId="13BEF0F6">
      <w:pPr>
        <w:pStyle w:val="23"/>
        <w:spacing w:before="0" w:line="42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0F85750A">
      <w:pPr>
        <w:pStyle w:val="23"/>
        <w:spacing w:before="0" w:line="42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供应商应当在投标截止时间前完成投标文件的传输提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BB6889D">
      <w:pPr>
        <w:pStyle w:val="23"/>
        <w:spacing w:before="0" w:line="42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9BB9BB4">
      <w:pPr>
        <w:pStyle w:val="23"/>
        <w:spacing w:before="0" w:line="420" w:lineRule="exact"/>
        <w:ind w:firstLine="480"/>
        <w:rPr>
          <w:rFonts w:ascii="仿宋" w:hAnsi="仿宋" w:eastAsia="仿宋" w:cs="仿宋"/>
          <w:color w:val="auto"/>
          <w:szCs w:val="24"/>
          <w:highlight w:val="none"/>
          <w:u w:val="singl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0949B09">
      <w:pPr>
        <w:pStyle w:val="8"/>
        <w:spacing w:line="420" w:lineRule="exact"/>
        <w:rPr>
          <w:rFonts w:ascii="仿宋" w:hAnsi="仿宋" w:eastAsia="仿宋" w:cs="仿宋"/>
          <w:b/>
          <w:color w:val="auto"/>
          <w:szCs w:val="24"/>
          <w:highlight w:val="none"/>
        </w:rPr>
      </w:pPr>
      <w:r>
        <w:rPr>
          <w:rFonts w:hint="eastAsia" w:ascii="仿宋" w:hAnsi="仿宋" w:eastAsia="仿宋" w:cs="仿宋"/>
          <w:b/>
          <w:color w:val="auto"/>
          <w:szCs w:val="24"/>
          <w:highlight w:val="none"/>
        </w:rPr>
        <w:t>15.备份投标文件</w:t>
      </w:r>
    </w:p>
    <w:p w14:paraId="44B38372">
      <w:pPr>
        <w:pStyle w:val="8"/>
        <w:spacing w:line="420" w:lineRule="exact"/>
        <w:ind w:firstLine="360" w:firstLineChars="150"/>
        <w:rPr>
          <w:rFonts w:ascii="仿宋" w:hAnsi="仿宋" w:eastAsia="仿宋" w:cs="仿宋"/>
          <w:b/>
          <w:color w:val="auto"/>
          <w:szCs w:val="24"/>
          <w:highlight w:val="none"/>
        </w:rPr>
      </w:pPr>
      <w:r>
        <w:rPr>
          <w:rFonts w:hint="eastAsia" w:ascii="仿宋" w:hAnsi="仿宋" w:eastAsia="仿宋" w:cs="仿宋"/>
          <w:color w:val="auto"/>
          <w:szCs w:val="24"/>
          <w:highlight w:val="none"/>
        </w:rPr>
        <w:t>15.1投标人在电子交易平台传输递交投标文件后，还可以在投标截止时间前向</w:t>
      </w:r>
      <w:r>
        <w:rPr>
          <w:rFonts w:hint="eastAsia" w:ascii="仿宋" w:hAnsi="仿宋" w:eastAsia="仿宋" w:cs="仿宋"/>
          <w:bCs/>
          <w:color w:val="auto"/>
          <w:szCs w:val="24"/>
          <w:highlight w:val="none"/>
          <w:lang w:eastAsia="zh-CN"/>
        </w:rPr>
        <w:t>绍兴盈伽工程咨询有限公司</w:t>
      </w:r>
      <w:r>
        <w:rPr>
          <w:rFonts w:hint="eastAsia" w:ascii="仿宋" w:hAnsi="仿宋" w:eastAsia="仿宋" w:cs="仿宋"/>
          <w:bCs/>
          <w:color w:val="auto"/>
          <w:szCs w:val="24"/>
          <w:highlight w:val="none"/>
        </w:rPr>
        <w:t>邮箱（</w:t>
      </w:r>
      <w:r>
        <w:rPr>
          <w:rFonts w:hint="eastAsia" w:ascii="仿宋" w:hAnsi="仿宋" w:eastAsia="仿宋" w:cs="仿宋"/>
          <w:color w:val="auto"/>
          <w:szCs w:val="24"/>
          <w:highlight w:val="none"/>
          <w:lang w:eastAsia="zh-CN"/>
        </w:rPr>
        <w:t>3652086121</w:t>
      </w:r>
      <w:r>
        <w:rPr>
          <w:rFonts w:hint="eastAsia" w:ascii="仿宋" w:hAnsi="仿宋" w:eastAsia="仿宋" w:cs="仿宋"/>
          <w:color w:val="auto"/>
          <w:szCs w:val="24"/>
          <w:highlight w:val="none"/>
        </w:rPr>
        <w:t>@qq.com）递交备份投标文件1份，</w:t>
      </w:r>
      <w:r>
        <w:rPr>
          <w:rFonts w:hint="eastAsia" w:ascii="仿宋" w:hAnsi="仿宋" w:eastAsia="仿宋" w:cs="仿宋"/>
          <w:b/>
          <w:color w:val="auto"/>
          <w:szCs w:val="24"/>
          <w:highlight w:val="none"/>
        </w:rPr>
        <w:t>但采购人、采购代理机构不强制或变相强制投标人提交备份投标文件。</w:t>
      </w:r>
    </w:p>
    <w:p w14:paraId="202635E7">
      <w:pPr>
        <w:pStyle w:val="8"/>
        <w:spacing w:line="400" w:lineRule="exact"/>
        <w:ind w:firstLine="480" w:firstLineChars="200"/>
        <w:rPr>
          <w:rFonts w:ascii="仿宋" w:hAnsi="仿宋" w:eastAsia="仿宋" w:cs="仿宋"/>
          <w:b/>
          <w:color w:val="auto"/>
          <w:szCs w:val="24"/>
          <w:highlight w:val="none"/>
        </w:rPr>
      </w:pPr>
      <w:r>
        <w:rPr>
          <w:rFonts w:hint="eastAsia" w:ascii="仿宋" w:hAnsi="仿宋" w:eastAsia="仿宋" w:cs="仿宋"/>
          <w:color w:val="auto"/>
          <w:szCs w:val="24"/>
          <w:highlight w:val="none"/>
        </w:rPr>
        <w:t>15.2备份投标文件须在“政采云投标客户端”制作生成。</w:t>
      </w:r>
    </w:p>
    <w:p w14:paraId="600C0835">
      <w:pPr>
        <w:pStyle w:val="8"/>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15.3采购代理机构将拒绝接受逾期送达的备份投标文件。</w:t>
      </w:r>
    </w:p>
    <w:p w14:paraId="3F8B441C">
      <w:pPr>
        <w:pStyle w:val="8"/>
        <w:spacing w:line="420" w:lineRule="exact"/>
        <w:ind w:firstLine="479" w:firstLineChars="199"/>
        <w:rPr>
          <w:rFonts w:ascii="仿宋" w:hAnsi="仿宋" w:eastAsia="仿宋" w:cs="仿宋"/>
          <w:b/>
          <w:color w:val="auto"/>
          <w:szCs w:val="24"/>
          <w:highlight w:val="none"/>
        </w:rPr>
      </w:pPr>
      <w:r>
        <w:rPr>
          <w:rFonts w:hint="eastAsia" w:ascii="仿宋" w:hAnsi="仿宋" w:eastAsia="仿宋" w:cs="仿宋"/>
          <w:b/>
          <w:color w:val="auto"/>
          <w:szCs w:val="24"/>
          <w:highlight w:val="none"/>
        </w:rPr>
        <w:t>15.4投标人仅提交备份投标文件，没有在电子交易平台传输递交投标文件的，投标无效。</w:t>
      </w:r>
    </w:p>
    <w:p w14:paraId="06F36A39">
      <w:pPr>
        <w:pStyle w:val="8"/>
        <w:spacing w:line="420" w:lineRule="exact"/>
        <w:ind w:firstLine="477" w:firstLineChars="199"/>
        <w:rPr>
          <w:rFonts w:ascii="仿宋" w:hAnsi="仿宋" w:eastAsia="仿宋" w:cs="仿宋"/>
          <w:color w:val="auto"/>
          <w:szCs w:val="24"/>
          <w:highlight w:val="none"/>
        </w:rPr>
      </w:pPr>
      <w:r>
        <w:rPr>
          <w:rFonts w:hint="eastAsia" w:ascii="仿宋" w:hAnsi="仿宋" w:eastAsia="仿宋" w:cs="仿宋"/>
          <w:color w:val="auto"/>
          <w:szCs w:val="24"/>
          <w:highlight w:val="none"/>
        </w:rPr>
        <w:t>15.5投标文件如有补充、修改，备份投标文件应同步调整并再次提交，采购代理机构以最新备份投标文件为准。</w:t>
      </w:r>
    </w:p>
    <w:p w14:paraId="4FB0A652">
      <w:pPr>
        <w:pStyle w:val="23"/>
        <w:spacing w:before="0" w:line="42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149EB142">
      <w:pPr>
        <w:pStyle w:val="5"/>
        <w:spacing w:line="420" w:lineRule="exact"/>
        <w:ind w:firstLine="360" w:firstLineChars="150"/>
        <w:rPr>
          <w:rFonts w:ascii="仿宋" w:hAnsi="仿宋" w:eastAsia="仿宋" w:cs="仿宋"/>
          <w:color w:val="auto"/>
          <w:highlight w:val="none"/>
        </w:rPr>
      </w:pPr>
      <w:r>
        <w:rPr>
          <w:rFonts w:hint="eastAsia" w:ascii="仿宋" w:hAnsi="仿宋" w:eastAsia="仿宋" w:cs="仿宋"/>
          <w:color w:val="auto"/>
          <w:highlight w:val="none"/>
        </w:rPr>
        <w:t>有招标文件第四章第4.2项规定的情形之一的，投标无效。</w:t>
      </w:r>
    </w:p>
    <w:p w14:paraId="0336608A">
      <w:pPr>
        <w:pStyle w:val="23"/>
        <w:spacing w:before="0" w:line="42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0E399675">
      <w:pPr>
        <w:spacing w:line="42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color w:val="auto"/>
          <w:sz w:val="24"/>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highlight w:val="none"/>
        </w:rPr>
        <w:t>诺的投标有效期少于招标文件中载明的投标有效期的，投标无效。</w:t>
      </w:r>
    </w:p>
    <w:p w14:paraId="0D7FE87A">
      <w:pPr>
        <w:pStyle w:val="23"/>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CB1BD0E">
      <w:pPr>
        <w:pStyle w:val="23"/>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9DEEAB2">
      <w:pPr>
        <w:pStyle w:val="23"/>
        <w:autoSpaceDE/>
        <w:autoSpaceDN/>
        <w:spacing w:before="120" w:beforeLines="50"/>
        <w:ind w:firstLine="0" w:firstLineChars="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17B98D2C">
      <w:pPr>
        <w:pStyle w:val="26"/>
        <w:spacing w:before="0" w:line="420" w:lineRule="exact"/>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1DDD7B3E">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075857A7">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18.2开标时，电子交易平台按开标时间自动提取所有投标文件。采购代理机构依托电子交易平台发起开始解密指令，投标人按照平台提示在招标文件规定时间内完成在线解密。</w:t>
      </w:r>
    </w:p>
    <w:p w14:paraId="5AA78621">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电子加密投标文件”因在线解密异常而导致无法按时解密，投标人提供了“备份投标文件”的，以“备份投标文件”作为依据，否则视为投标文件撤回。“电子加密投标文件”已按时解密的，“备份投标文件”自动失效。</w:t>
      </w:r>
    </w:p>
    <w:p w14:paraId="68F3D0AA">
      <w:pPr>
        <w:pStyle w:val="26"/>
        <w:spacing w:before="0" w:line="420" w:lineRule="exact"/>
        <w:ind w:left="0" w:firstLine="0"/>
        <w:contextualSpacing/>
        <w:rPr>
          <w:rFonts w:ascii="仿宋" w:hAnsi="仿宋" w:eastAsia="仿宋" w:cs="仿宋"/>
          <w:b/>
          <w:color w:val="auto"/>
          <w:sz w:val="24"/>
          <w:highlight w:val="none"/>
        </w:rPr>
      </w:pPr>
      <w:r>
        <w:rPr>
          <w:rFonts w:hint="eastAsia" w:ascii="仿宋" w:hAnsi="仿宋" w:eastAsia="仿宋" w:cs="仿宋"/>
          <w:b/>
          <w:color w:val="auto"/>
          <w:sz w:val="24"/>
          <w:highlight w:val="none"/>
        </w:rPr>
        <w:t>19</w:t>
      </w:r>
      <w:r>
        <w:rPr>
          <w:rFonts w:hint="eastAsia" w:ascii="仿宋" w:hAnsi="仿宋" w:eastAsia="仿宋" w:cs="仿宋"/>
          <w:b/>
          <w:color w:val="auto"/>
          <w:sz w:val="24"/>
          <w:szCs w:val="24"/>
          <w:highlight w:val="none"/>
        </w:rPr>
        <w:t>.</w:t>
      </w:r>
      <w:r>
        <w:rPr>
          <w:rFonts w:hint="eastAsia" w:ascii="仿宋" w:hAnsi="仿宋" w:eastAsia="仿宋" w:cs="仿宋"/>
          <w:b/>
          <w:color w:val="auto"/>
          <w:sz w:val="24"/>
          <w:highlight w:val="none"/>
        </w:rPr>
        <w:t>资格审查</w:t>
      </w:r>
    </w:p>
    <w:p w14:paraId="553B7316">
      <w:pPr>
        <w:pStyle w:val="23"/>
        <w:spacing w:before="0" w:line="42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19.1开标后，采购人或采购代理机构将依法对投标人的资格进行审查。</w:t>
      </w:r>
    </w:p>
    <w:p w14:paraId="78055E9A">
      <w:pPr>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19.2采购人或采购代理机构依据法律法规和招标文件的规定，对投标人的基本资格条件、特定资格条件进行审查。</w:t>
      </w:r>
    </w:p>
    <w:p w14:paraId="0E218DD0">
      <w:pPr>
        <w:pStyle w:val="23"/>
        <w:spacing w:before="0" w:line="42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szCs w:val="24"/>
          <w:highlight w:val="none"/>
        </w:rPr>
        <w:t>有效资格证明材料的，视为投标人不具备招标文件中规定的资格要求，其投标无效。</w:t>
      </w:r>
    </w:p>
    <w:p w14:paraId="0F23386C">
      <w:pPr>
        <w:pStyle w:val="23"/>
        <w:spacing w:before="0" w:line="42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19.4对未通过资格审查的投标人，采购人或采购代理机构告知其未通过的原因。</w:t>
      </w:r>
    </w:p>
    <w:p w14:paraId="25E442FA">
      <w:pPr>
        <w:pStyle w:val="23"/>
        <w:spacing w:before="0" w:line="420" w:lineRule="exact"/>
        <w:ind w:firstLine="480"/>
        <w:rPr>
          <w:rFonts w:ascii="仿宋" w:hAnsi="仿宋" w:eastAsia="仿宋" w:cs="仿宋"/>
          <w:color w:val="auto"/>
          <w:highlight w:val="none"/>
        </w:rPr>
      </w:pPr>
      <w:r>
        <w:rPr>
          <w:rFonts w:hint="eastAsia" w:ascii="仿宋" w:hAnsi="仿宋" w:eastAsia="仿宋" w:cs="仿宋"/>
          <w:color w:val="auto"/>
          <w:szCs w:val="24"/>
          <w:highlight w:val="none"/>
        </w:rPr>
        <w:t>19.</w:t>
      </w:r>
      <w:r>
        <w:rPr>
          <w:rFonts w:hint="eastAsia" w:ascii="仿宋" w:hAnsi="仿宋" w:eastAsia="仿宋" w:cs="仿宋"/>
          <w:color w:val="auto"/>
          <w:highlight w:val="none"/>
        </w:rPr>
        <w:t>5合格投标人不足3家的，不再评标。</w:t>
      </w:r>
    </w:p>
    <w:p w14:paraId="5E75BFD1">
      <w:pPr>
        <w:pStyle w:val="23"/>
        <w:spacing w:before="0" w:line="42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4E56E2E9">
      <w:pPr>
        <w:pStyle w:val="23"/>
        <w:spacing w:before="0" w:line="420" w:lineRule="exact"/>
        <w:ind w:firstLine="495"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20.1信用信息查询渠道及截止时间：采购代理机构将通过“信用中国”网站(www.creditchina.gov.cn)、中国政府采购网(www.ccgp.gov.cn)渠道查询投标人投标截止时间当天的信用记录。</w:t>
      </w:r>
    </w:p>
    <w:p w14:paraId="6B059DC9">
      <w:pPr>
        <w:pStyle w:val="23"/>
        <w:spacing w:before="0" w:line="420" w:lineRule="exact"/>
        <w:ind w:firstLine="495"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20.2信用信息查询记录和证据留存的具体方式：现场查询的投标人的信用记录、查询结果经确认后将与采购文件一起存档。</w:t>
      </w:r>
    </w:p>
    <w:p w14:paraId="285985F5">
      <w:pPr>
        <w:pStyle w:val="23"/>
        <w:spacing w:before="0" w:line="420" w:lineRule="exact"/>
        <w:ind w:firstLine="495"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20.3信用信息的使用规则：经查询列入失信被执行人名单、重大税收违法案件当事人名单、政府采购严重违法失信行为记录名单的投标人将被拒绝参与政府采购活动。</w:t>
      </w:r>
    </w:p>
    <w:p w14:paraId="5F08079D">
      <w:pPr>
        <w:pStyle w:val="23"/>
        <w:spacing w:before="0" w:line="420" w:lineRule="exact"/>
        <w:ind w:firstLine="480"/>
        <w:rPr>
          <w:rFonts w:ascii="仿宋" w:hAnsi="仿宋" w:eastAsia="仿宋" w:cs="仿宋"/>
          <w:color w:val="auto"/>
          <w:highlight w:val="none"/>
        </w:rPr>
      </w:pPr>
      <w:r>
        <w:rPr>
          <w:rFonts w:hint="eastAsia" w:ascii="仿宋" w:hAnsi="仿宋" w:eastAsia="仿宋" w:cs="仿宋"/>
          <w:color w:val="auto"/>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4DFC8D08">
      <w:pPr>
        <w:autoSpaceDE/>
        <w:autoSpaceDN/>
        <w:snapToGrid w:val="0"/>
        <w:spacing w:before="120" w:beforeLines="50" w:line="360" w:lineRule="auto"/>
        <w:jc w:val="center"/>
        <w:rPr>
          <w:rFonts w:ascii="仿宋" w:hAnsi="仿宋" w:eastAsia="仿宋" w:cs="仿宋"/>
          <w:b/>
          <w:color w:val="auto"/>
          <w:sz w:val="32"/>
          <w:szCs w:val="32"/>
          <w:highlight w:val="none"/>
        </w:rPr>
      </w:pPr>
      <w:bookmarkStart w:id="16" w:name="_Toc25016"/>
      <w:r>
        <w:rPr>
          <w:rFonts w:hint="eastAsia" w:ascii="仿宋" w:hAnsi="仿宋" w:eastAsia="仿宋" w:cs="仿宋"/>
          <w:b/>
          <w:color w:val="auto"/>
          <w:sz w:val="32"/>
          <w:szCs w:val="32"/>
          <w:highlight w:val="none"/>
        </w:rPr>
        <w:t>五、评标</w:t>
      </w:r>
      <w:bookmarkEnd w:id="16"/>
    </w:p>
    <w:p w14:paraId="7AE35176">
      <w:pPr>
        <w:pStyle w:val="23"/>
        <w:spacing w:before="0" w:line="420" w:lineRule="exact"/>
        <w:ind w:firstLine="495"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21. 评标委员会将根据招标文件和有关规定，履行评标工作职责，并按照评标方法及评分标准，全面衡量各投标人对招标文件的响应情况。对实质上响应招标文件的投标人，按照评审因素进行评审。详见招标文件第四章评标办法。</w:t>
      </w:r>
    </w:p>
    <w:p w14:paraId="503E972E">
      <w:pPr>
        <w:autoSpaceDE/>
        <w:autoSpaceDN/>
        <w:snapToGrid w:val="0"/>
        <w:spacing w:before="120" w:beforeLines="50" w:line="360" w:lineRule="auto"/>
        <w:jc w:val="center"/>
        <w:rPr>
          <w:rFonts w:ascii="仿宋" w:hAnsi="仿宋" w:eastAsia="仿宋" w:cs="仿宋"/>
          <w:b/>
          <w:color w:val="auto"/>
          <w:sz w:val="32"/>
          <w:szCs w:val="32"/>
          <w:highlight w:val="none"/>
        </w:rPr>
      </w:pPr>
      <w:bookmarkStart w:id="17" w:name="_Toc12974"/>
      <w:r>
        <w:rPr>
          <w:rFonts w:hint="eastAsia" w:ascii="仿宋" w:hAnsi="仿宋" w:eastAsia="仿宋" w:cs="仿宋"/>
          <w:b/>
          <w:color w:val="auto"/>
          <w:sz w:val="32"/>
          <w:szCs w:val="32"/>
          <w:highlight w:val="none"/>
        </w:rPr>
        <w:t>六、定标</w:t>
      </w:r>
      <w:bookmarkEnd w:id="17"/>
    </w:p>
    <w:p w14:paraId="040ED465">
      <w:pPr>
        <w:pStyle w:val="5"/>
        <w:spacing w:line="420" w:lineRule="exact"/>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38FE559A">
      <w:pPr>
        <w:pStyle w:val="23"/>
        <w:snapToGrid w:val="0"/>
        <w:spacing w:before="0" w:line="420" w:lineRule="exact"/>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采购人将自收到评审报告之日起5个工作日内通过电子交易平台在评审报告推荐的中标候选人中确定中标供应商，并将结果确认书面提交给采购代理机构。</w:t>
      </w:r>
    </w:p>
    <w:p w14:paraId="05C1C777">
      <w:pPr>
        <w:pStyle w:val="23"/>
        <w:snapToGrid w:val="0"/>
        <w:spacing w:before="0" w:line="42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F9CC460">
      <w:pPr>
        <w:widowControl/>
        <w:shd w:val="clear" w:color="auto" w:fill="FFFFFF"/>
        <w:spacing w:line="42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23.1自中标人确定之日起2个工作日内，采购代理机构向中标人发出中标通知书，同时编制发布采购结果公告。</w:t>
      </w:r>
    </w:p>
    <w:p w14:paraId="145731F9">
      <w:pPr>
        <w:widowControl/>
        <w:shd w:val="clear" w:color="auto" w:fill="FFFFFF"/>
        <w:spacing w:line="42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23.2公告期限为1个工作日。</w:t>
      </w:r>
    </w:p>
    <w:p w14:paraId="3415B7D7">
      <w:pPr>
        <w:autoSpaceDE/>
        <w:autoSpaceDN/>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516494E">
      <w:pPr>
        <w:pStyle w:val="5"/>
        <w:spacing w:line="420" w:lineRule="exact"/>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合同主要条款详见第五章拟签订的合同文本。</w:t>
      </w:r>
    </w:p>
    <w:p w14:paraId="65BC02BD">
      <w:pPr>
        <w:pStyle w:val="5"/>
        <w:spacing w:line="420" w:lineRule="exact"/>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5357295D">
      <w:pPr>
        <w:widowControl/>
        <w:shd w:val="clear" w:color="auto" w:fill="FFFFFF"/>
        <w:spacing w:line="42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25.1 采购人与中标人应当在中标通知书发出之日起三十日内，按照招标文件确定的事项签订政府采购合同，并在合同签订之日起2个工作日内依法发布合同公告。</w:t>
      </w:r>
    </w:p>
    <w:p w14:paraId="52542BEB">
      <w:pPr>
        <w:pStyle w:val="23"/>
        <w:snapToGrid w:val="0"/>
        <w:spacing w:before="0" w:line="420" w:lineRule="exact"/>
        <w:ind w:firstLine="480"/>
        <w:rPr>
          <w:rFonts w:ascii="仿宋" w:hAnsi="仿宋" w:eastAsia="仿宋" w:cs="仿宋"/>
          <w:color w:val="auto"/>
          <w:highlight w:val="none"/>
          <w:lang w:val="zh-CN"/>
        </w:rPr>
      </w:pPr>
      <w:r>
        <w:rPr>
          <w:rFonts w:hint="eastAsia" w:ascii="仿宋" w:hAnsi="仿宋" w:eastAsia="仿宋" w:cs="仿宋"/>
          <w:color w:val="auto"/>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7FD7992">
      <w:pPr>
        <w:pStyle w:val="23"/>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693A8BE8">
      <w:pPr>
        <w:pStyle w:val="23"/>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25.4如签订合同并生效后，供应商无故拒绝或延期，除按照合同条款处理外，将上报政府采购监管部门予以处理。</w:t>
      </w:r>
    </w:p>
    <w:p w14:paraId="328D702E">
      <w:pPr>
        <w:pStyle w:val="23"/>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25.5中标供应商拒绝与采购人签订合同的，采购人应当重新开展政府采购活动。</w:t>
      </w:r>
    </w:p>
    <w:p w14:paraId="2C40BE6D">
      <w:pPr>
        <w:pStyle w:val="23"/>
        <w:snapToGrid w:val="0"/>
        <w:spacing w:before="0" w:line="420" w:lineRule="exact"/>
        <w:ind w:firstLine="480"/>
        <w:rPr>
          <w:rFonts w:ascii="仿宋" w:hAnsi="仿宋" w:eastAsia="仿宋" w:cs="仿宋"/>
          <w:color w:val="auto"/>
          <w:highlight w:val="none"/>
        </w:rPr>
      </w:pPr>
      <w:r>
        <w:rPr>
          <w:rFonts w:hint="eastAsia" w:ascii="仿宋" w:hAnsi="仿宋" w:eastAsia="仿宋" w:cs="仿宋"/>
          <w:color w:val="auto"/>
          <w:highlight w:val="none"/>
        </w:rPr>
        <w:t>25.6采购合同由采购人与中标供应商根据招标文件、投标文件等内容签订并公告。</w:t>
      </w:r>
    </w:p>
    <w:p w14:paraId="13BD9208">
      <w:pPr>
        <w:pStyle w:val="5"/>
        <w:spacing w:line="420" w:lineRule="exact"/>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088F7BFB">
      <w:pPr>
        <w:tabs>
          <w:tab w:val="left" w:pos="0"/>
        </w:tabs>
        <w:spacing w:line="420" w:lineRule="exact"/>
        <w:ind w:firstLine="482"/>
        <w:rPr>
          <w:rFonts w:ascii="仿宋" w:hAnsi="仿宋" w:eastAsia="仿宋" w:cs="仿宋"/>
          <w:b/>
          <w:color w:val="auto"/>
          <w:sz w:val="24"/>
          <w:highlight w:val="none"/>
        </w:rPr>
      </w:pPr>
      <w:r>
        <w:rPr>
          <w:rFonts w:hint="eastAsia" w:ascii="仿宋" w:hAnsi="仿宋" w:eastAsia="仿宋" w:cs="仿宋"/>
          <w:color w:val="auto"/>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w:t>
      </w:r>
      <w:r>
        <w:rPr>
          <w:rFonts w:hint="eastAsia" w:ascii="仿宋" w:hAnsi="仿宋" w:eastAsia="仿宋" w:cs="仿宋"/>
          <w:b/>
          <w:color w:val="auto"/>
          <w:sz w:val="24"/>
          <w:highlight w:val="none"/>
        </w:rPr>
        <w:t>采购人不得拒收履约保函。</w:t>
      </w:r>
    </w:p>
    <w:p w14:paraId="48512826">
      <w:pPr>
        <w:tabs>
          <w:tab w:val="left" w:pos="0"/>
        </w:tabs>
        <w:spacing w:line="420" w:lineRule="exact"/>
        <w:ind w:firstLine="482"/>
        <w:rPr>
          <w:rFonts w:ascii="仿宋" w:hAnsi="仿宋" w:eastAsia="仿宋" w:cs="仿宋"/>
          <w:b/>
          <w:color w:val="auto"/>
          <w:sz w:val="32"/>
          <w:highlight w:val="none"/>
        </w:rPr>
      </w:pPr>
      <w:r>
        <w:rPr>
          <w:rFonts w:hint="eastAsia" w:ascii="仿宋" w:hAnsi="仿宋" w:eastAsia="仿宋" w:cs="仿宋"/>
          <w:color w:val="auto"/>
          <w:sz w:val="24"/>
          <w:highlight w:val="none"/>
        </w:rPr>
        <w:t>供应商可登录政府采购云平台-【金融服务】—【我的项目】—【已备案合同】以保函形式提供。政府采购云平台金融专线400-903-9583。</w:t>
      </w:r>
    </w:p>
    <w:p w14:paraId="33F30C91">
      <w:pPr>
        <w:autoSpaceDE/>
        <w:autoSpaceDN/>
        <w:snapToGrid w:val="0"/>
        <w:spacing w:before="120" w:beforeLines="50"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4F84756">
      <w:pPr>
        <w:pStyle w:val="23"/>
        <w:autoSpaceDE/>
        <w:autoSpaceDN/>
        <w:snapToGrid w:val="0"/>
        <w:spacing w:before="0" w:line="420" w:lineRule="atLeast"/>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27.</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7408EE22">
      <w:pPr>
        <w:pStyle w:val="23"/>
        <w:autoSpaceDE/>
        <w:autoSpaceDN/>
        <w:snapToGrid w:val="0"/>
        <w:spacing w:before="0" w:line="420" w:lineRule="atLeast"/>
        <w:ind w:firstLine="480"/>
        <w:rPr>
          <w:rFonts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6FE13004">
      <w:pPr>
        <w:pStyle w:val="23"/>
        <w:autoSpaceDE/>
        <w:autoSpaceDN/>
        <w:snapToGrid w:val="0"/>
        <w:spacing w:before="0" w:line="420" w:lineRule="atLeast"/>
        <w:ind w:firstLine="480"/>
        <w:rPr>
          <w:rFonts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7F39B089">
      <w:pPr>
        <w:pStyle w:val="23"/>
        <w:autoSpaceDE/>
        <w:autoSpaceDN/>
        <w:snapToGrid w:val="0"/>
        <w:spacing w:before="0" w:line="420" w:lineRule="atLeast"/>
        <w:ind w:firstLine="480"/>
        <w:rPr>
          <w:rFonts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01BC08E5">
      <w:pPr>
        <w:pStyle w:val="23"/>
        <w:autoSpaceDE/>
        <w:autoSpaceDN/>
        <w:snapToGrid w:val="0"/>
        <w:spacing w:before="0" w:line="420" w:lineRule="atLeast"/>
        <w:ind w:firstLine="480"/>
        <w:rPr>
          <w:rFonts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32B860D1">
      <w:pPr>
        <w:pStyle w:val="23"/>
        <w:autoSpaceDE/>
        <w:autoSpaceDN/>
        <w:snapToGrid w:val="0"/>
        <w:spacing w:before="0" w:line="420" w:lineRule="atLeast"/>
        <w:ind w:firstLine="480"/>
        <w:rPr>
          <w:rFonts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146AEA4D">
      <w:pPr>
        <w:pStyle w:val="23"/>
        <w:autoSpaceDE/>
        <w:autoSpaceDN/>
        <w:snapToGrid w:val="0"/>
        <w:spacing w:before="0" w:line="420" w:lineRule="atLeast"/>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28.</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4434D26F">
      <w:pPr>
        <w:snapToGrid w:val="0"/>
        <w:spacing w:before="120" w:beforeLines="50"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77F2F365">
      <w:pPr>
        <w:pStyle w:val="5"/>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29.验收</w:t>
      </w:r>
    </w:p>
    <w:p w14:paraId="32EDA3D2">
      <w:pPr>
        <w:tabs>
          <w:tab w:val="left" w:pos="0"/>
        </w:tabs>
        <w:autoSpaceDE/>
        <w:autoSpaceDN/>
        <w:spacing w:line="42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109C5FF">
      <w:pPr>
        <w:tabs>
          <w:tab w:val="left" w:pos="0"/>
        </w:tabs>
        <w:autoSpaceDE/>
        <w:autoSpaceDN/>
        <w:spacing w:line="42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29.2采购人可以邀请参加本项目的其他投标人或者第三方机构参与验收。参与验收的投标人或者第三方机构的意见作为验收书的参考资料一并存档。</w:t>
      </w:r>
    </w:p>
    <w:p w14:paraId="4B27DB5C">
      <w:pPr>
        <w:tabs>
          <w:tab w:val="left" w:pos="0"/>
        </w:tabs>
        <w:autoSpaceDE/>
        <w:autoSpaceDN/>
        <w:spacing w:line="42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390075">
      <w:pPr>
        <w:tabs>
          <w:tab w:val="left" w:pos="0"/>
        </w:tabs>
        <w:autoSpaceDE/>
        <w:autoSpaceDN/>
        <w:spacing w:line="420" w:lineRule="exact"/>
        <w:ind w:firstLine="482"/>
        <w:rPr>
          <w:rFonts w:ascii="宋体" w:hAnsi="宋体" w:cs="宋体"/>
          <w:color w:val="auto"/>
          <w:sz w:val="18"/>
          <w:szCs w:val="18"/>
          <w:highlight w:val="none"/>
        </w:rPr>
      </w:pPr>
      <w:r>
        <w:rPr>
          <w:rFonts w:hint="eastAsia" w:ascii="仿宋" w:hAnsi="仿宋" w:eastAsia="仿宋" w:cs="仿宋"/>
          <w:color w:val="auto"/>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
    <w:p w14:paraId="5B4AB3C0">
      <w:pPr>
        <w:tabs>
          <w:tab w:val="left" w:pos="0"/>
        </w:tabs>
        <w:autoSpaceDE/>
        <w:autoSpaceDN/>
        <w:spacing w:line="420" w:lineRule="exact"/>
        <w:ind w:firstLine="482"/>
        <w:rPr>
          <w:rFonts w:ascii="宋体" w:hAnsi="宋体" w:cs="宋体"/>
          <w:color w:val="auto"/>
          <w:sz w:val="24"/>
          <w:highlight w:val="none"/>
        </w:rPr>
        <w:sectPr>
          <w:headerReference r:id="rId11" w:type="first"/>
          <w:footerReference r:id="rId14" w:type="first"/>
          <w:headerReference r:id="rId10" w:type="default"/>
          <w:footerReference r:id="rId12" w:type="default"/>
          <w:footerReference r:id="rId13" w:type="even"/>
          <w:pgSz w:w="11906" w:h="16838"/>
          <w:pgMar w:top="1247" w:right="1236" w:bottom="1247" w:left="1236" w:header="567" w:footer="992" w:gutter="0"/>
          <w:cols w:space="720" w:num="1"/>
          <w:titlePg/>
          <w:docGrid w:linePitch="312" w:charSpace="0"/>
        </w:sectPr>
      </w:pPr>
      <w:bookmarkStart w:id="18" w:name="_Hlt75236290"/>
      <w:bookmarkEnd w:id="18"/>
      <w:bookmarkStart w:id="19" w:name="_Hlt74729768"/>
      <w:bookmarkEnd w:id="19"/>
      <w:bookmarkStart w:id="20" w:name="_Hlt68072990"/>
      <w:bookmarkEnd w:id="20"/>
      <w:bookmarkStart w:id="21" w:name="_Hlt74707468"/>
      <w:bookmarkEnd w:id="21"/>
      <w:bookmarkStart w:id="22" w:name="_Hlt75236011"/>
      <w:bookmarkEnd w:id="22"/>
      <w:bookmarkStart w:id="23" w:name="_Hlt74714665"/>
      <w:bookmarkEnd w:id="23"/>
      <w:bookmarkStart w:id="24" w:name="_Hlt68072998"/>
      <w:bookmarkEnd w:id="24"/>
      <w:bookmarkStart w:id="25" w:name="_Hlt68057669"/>
      <w:bookmarkEnd w:id="25"/>
      <w:bookmarkStart w:id="26" w:name="_Hlt75236101"/>
      <w:bookmarkEnd w:id="26"/>
      <w:bookmarkStart w:id="27" w:name="_Hlt68403820"/>
      <w:bookmarkEnd w:id="27"/>
      <w:bookmarkStart w:id="28" w:name="_Hlt68073093"/>
      <w:bookmarkEnd w:id="28"/>
      <w:bookmarkStart w:id="29" w:name="_Hlt74730295"/>
      <w:bookmarkEnd w:id="29"/>
    </w:p>
    <w:bookmarkEnd w:id="6"/>
    <w:bookmarkEnd w:id="7"/>
    <w:p w14:paraId="3E59D333">
      <w:pPr>
        <w:pStyle w:val="3"/>
        <w:spacing w:before="100" w:after="200" w:line="240" w:lineRule="auto"/>
        <w:jc w:val="center"/>
        <w:rPr>
          <w:rFonts w:ascii="宋体" w:hAnsi="宋体" w:cs="宋体"/>
          <w:color w:val="auto"/>
          <w:sz w:val="36"/>
          <w:szCs w:val="36"/>
          <w:highlight w:val="none"/>
        </w:rPr>
      </w:pPr>
      <w:bookmarkStart w:id="30" w:name="_Toc21669"/>
      <w:bookmarkStart w:id="31" w:name="_Toc30331"/>
      <w:r>
        <w:rPr>
          <w:rFonts w:hint="eastAsia" w:ascii="宋体" w:hAnsi="宋体" w:cs="宋体"/>
          <w:color w:val="auto"/>
          <w:sz w:val="36"/>
          <w:szCs w:val="36"/>
          <w:highlight w:val="none"/>
        </w:rPr>
        <w:t>第三章   采购需求</w:t>
      </w:r>
      <w:bookmarkEnd w:id="30"/>
      <w:bookmarkEnd w:id="31"/>
    </w:p>
    <w:p w14:paraId="76B7DE76">
      <w:pPr>
        <w:keepNext w:val="0"/>
        <w:keepLines w:val="0"/>
        <w:widowControl w:val="0"/>
        <w:numPr>
          <w:ilvl w:val="0"/>
          <w:numId w:val="0"/>
        </w:numPr>
        <w:suppressLineNumbers w:val="0"/>
        <w:autoSpaceDE w:val="0"/>
        <w:autoSpaceDN/>
        <w:spacing w:before="0" w:beforeAutospacing="0" w:after="0" w:afterAutospacing="0"/>
        <w:ind w:left="0" w:leftChars="0" w:right="0" w:rightChars="0" w:firstLine="0" w:firstLineChars="0"/>
        <w:jc w:val="both"/>
        <w:rPr>
          <w:rFonts w:hint="eastAsia" w:ascii="仿宋" w:hAnsi="仿宋" w:eastAsia="仿宋" w:cs="仿宋"/>
          <w:b/>
          <w:bCs w:val="0"/>
          <w:color w:val="auto"/>
          <w:kern w:val="2"/>
          <w:sz w:val="24"/>
          <w:szCs w:val="24"/>
          <w:highlight w:val="none"/>
          <w:lang w:val="en-US" w:eastAsia="zh-CN" w:bidi="ar"/>
        </w:rPr>
      </w:pPr>
      <w:bookmarkStart w:id="32" w:name="_Toc20153"/>
      <w:bookmarkStart w:id="33" w:name="_Toc3421"/>
      <w:bookmarkStart w:id="34" w:name="_Toc5433"/>
      <w:r>
        <w:rPr>
          <w:rFonts w:hint="eastAsia" w:ascii="仿宋" w:hAnsi="仿宋" w:eastAsia="仿宋" w:cs="仿宋"/>
          <w:b/>
          <w:bCs w:val="0"/>
          <w:color w:val="auto"/>
          <w:kern w:val="2"/>
          <w:sz w:val="24"/>
          <w:szCs w:val="24"/>
          <w:highlight w:val="none"/>
          <w:lang w:val="en-US" w:eastAsia="zh-CN" w:bidi="ar"/>
        </w:rPr>
        <w:t>（一）项目概况</w:t>
      </w:r>
      <w:bookmarkEnd w:id="32"/>
    </w:p>
    <w:p w14:paraId="32E93C6E">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采购人根据相关文件要求，结合实际，拟购买专业的社会化服务模式，实现“监管专业化、处置专业化、服务专业化”的目标，全力打造素质过硬、装备配套、协同作战、一专多能的应急消防救援队，主要履行辖区应急管理（安全生产）监督管理、综合防灾减灾和突发公共事件（自然灾害）前期处置等职责。</w:t>
      </w:r>
    </w:p>
    <w:p w14:paraId="365371ED">
      <w:pPr>
        <w:keepNext w:val="0"/>
        <w:keepLines w:val="0"/>
        <w:widowControl w:val="0"/>
        <w:numPr>
          <w:ilvl w:val="0"/>
          <w:numId w:val="0"/>
        </w:numPr>
        <w:suppressLineNumbers w:val="0"/>
        <w:autoSpaceDE w:val="0"/>
        <w:autoSpaceDN/>
        <w:spacing w:before="0" w:beforeAutospacing="0" w:after="0" w:afterAutospacing="0"/>
        <w:ind w:left="0" w:leftChars="0" w:right="0" w:rightChars="0" w:firstLine="0" w:firstLineChars="0"/>
        <w:jc w:val="both"/>
        <w:rPr>
          <w:rFonts w:hint="eastAsia" w:ascii="仿宋" w:hAnsi="仿宋" w:eastAsia="仿宋" w:cs="仿宋"/>
          <w:b/>
          <w:bCs w:val="0"/>
          <w:color w:val="auto"/>
          <w:kern w:val="2"/>
          <w:sz w:val="24"/>
          <w:szCs w:val="24"/>
          <w:highlight w:val="none"/>
          <w:lang w:val="en-US" w:eastAsia="zh-CN" w:bidi="ar"/>
        </w:rPr>
      </w:pPr>
      <w:bookmarkStart w:id="35" w:name="_Toc19522"/>
      <w:r>
        <w:rPr>
          <w:rFonts w:hint="eastAsia" w:ascii="仿宋" w:hAnsi="仿宋" w:eastAsia="仿宋" w:cs="仿宋"/>
          <w:b/>
          <w:bCs w:val="0"/>
          <w:color w:val="auto"/>
          <w:kern w:val="2"/>
          <w:sz w:val="24"/>
          <w:szCs w:val="24"/>
          <w:highlight w:val="none"/>
          <w:lang w:val="en-US" w:eastAsia="zh-CN" w:bidi="ar"/>
        </w:rPr>
        <w:t>（二）服务目标</w:t>
      </w:r>
      <w:bookmarkEnd w:id="35"/>
    </w:p>
    <w:p w14:paraId="3CC93D77">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围绕安全生产和应急消防管理相协同、预防和救援一体化的目标，整合各部门资源，坚持夯实基础、优化职能、高效运转的原则，在乡现有应急体系基础上，进一步增配增强应急救援及处置力量，建立完善辖区应急消防管理体系，不断提升辖区应急管理水平及能力。</w:t>
      </w:r>
    </w:p>
    <w:p w14:paraId="7FAEB061">
      <w:pPr>
        <w:keepNext w:val="0"/>
        <w:keepLines w:val="0"/>
        <w:widowControl w:val="0"/>
        <w:numPr>
          <w:ilvl w:val="0"/>
          <w:numId w:val="0"/>
        </w:numPr>
        <w:suppressLineNumbers w:val="0"/>
        <w:autoSpaceDE w:val="0"/>
        <w:autoSpaceDN/>
        <w:spacing w:before="0" w:beforeAutospacing="0" w:after="0" w:afterAutospacing="0"/>
        <w:ind w:left="0" w:leftChars="0" w:right="0" w:rightChars="0" w:firstLine="0" w:firstLineChars="0"/>
        <w:jc w:val="both"/>
        <w:rPr>
          <w:rFonts w:hint="eastAsia"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lang w:val="en-US" w:eastAsia="zh-CN" w:bidi="ar-SA"/>
        </w:rPr>
        <w:t>（三）</w:t>
      </w:r>
      <w:r>
        <w:rPr>
          <w:rFonts w:hint="eastAsia" w:ascii="仿宋" w:hAnsi="仿宋" w:eastAsia="仿宋" w:cs="仿宋"/>
          <w:b/>
          <w:bCs w:val="0"/>
          <w:color w:val="auto"/>
          <w:kern w:val="2"/>
          <w:sz w:val="24"/>
          <w:szCs w:val="24"/>
          <w:highlight w:val="none"/>
          <w:lang w:val="en-US" w:eastAsia="zh-CN" w:bidi="ar"/>
        </w:rPr>
        <w:t>服务内容</w:t>
      </w:r>
    </w:p>
    <w:p w14:paraId="1933B8FD">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1.抢险救援</w:t>
      </w:r>
    </w:p>
    <w:p w14:paraId="27AB6693">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熟悉掌握周边社区及企业地形道路、消防设施等情况，第一时间实施救援，提高救援效率，减少损失，杜绝伤亡，并根据到场后火势情况，迅速向镇应消办报告火情，或请求增援。</w:t>
      </w:r>
    </w:p>
    <w:p w14:paraId="45E4443E">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2.日常排查</w:t>
      </w:r>
    </w:p>
    <w:p w14:paraId="5698A1D5">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由采购人应急消防管理站统一领导，协助做好周边社区、企业、居民建筑、出租户、沿街商户、避灾场所及其他建筑工地巡查等工作，及时发现和协助消除安全隐患，并做好巡查记录，建立工作台账。</w:t>
      </w:r>
    </w:p>
    <w:p w14:paraId="7C5957BA">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3.宣传</w:t>
      </w:r>
    </w:p>
    <w:p w14:paraId="47471791">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协助镇开展片区安全生产、消防安全、防灾减灾、应急救援等相关知识宣传，指导帮助各单位开展消防安全、应急救援、防汛防台应急演练等工作。</w:t>
      </w:r>
    </w:p>
    <w:p w14:paraId="61CD3186">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4.微站拉练</w:t>
      </w:r>
    </w:p>
    <w:p w14:paraId="61E86941">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负责维护镇微型消防救援站的日常管理，定期会同各村（社）或其他站点开展各类演练，提升应急救援响应能力。</w:t>
      </w:r>
    </w:p>
    <w:p w14:paraId="6995FAB4">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各供应商需结合上述要求在投标文件中分别对抢险救援、日常排查、宣传、微站拉练出具可行且匹配的服务方案。</w:t>
      </w:r>
    </w:p>
    <w:p w14:paraId="7C1A3003">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lang w:val="en-US" w:eastAsia="zh-CN" w:bidi="ar"/>
        </w:rPr>
        <w:t>（四）项目团队要求</w:t>
      </w:r>
    </w:p>
    <w:p w14:paraId="41BAAC7D">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1、项目负责人应具有注册安全工程师或安全类中级及以上职称人员。</w:t>
      </w:r>
    </w:p>
    <w:p w14:paraId="078ECA96">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2、项目团队人员需按本项目实际需要配备专业的技术人员，所有配备人员须按要求统一着装，投标人须为工作人员配备统一的服装（1套冬装、1套秋装、2套夏装以及相关装备（无人机、车辆、投影仪等装备）；</w:t>
      </w:r>
    </w:p>
    <w:p w14:paraId="16892708">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3、拟派本项目团队成员需在正常工作时间常驻服务片区，需要配合镇应急和消防安全委员会做好相关工作，要求投标人承诺保证拟派的人员到岗到位；因工作的特殊性，中标人须为所有安全生产人员购买意外商业保险，费用包含在投标报价中；中标后须在项目地范围内设立用于本项目平台系统建设的场所，接受镇应急和消防安全委员会的领导和监管，所有费用均已经包含在投标报价中；中标人应在中标后十日内将车辆、人员和办公场地落实到位，采购人将按相关要求予以验收，验收不合格视为投标人无能力响应，采购人有权单方面终止合同，由此导致的后果及损失由投标人负全部责任。投标时针对上述内容需提供相关承诺书，格式自拟。</w:t>
      </w:r>
    </w:p>
    <w:p w14:paraId="5F680BF5">
      <w:pPr>
        <w:keepNext w:val="0"/>
        <w:keepLines w:val="0"/>
        <w:widowControl w:val="0"/>
        <w:suppressLineNumbers w:val="0"/>
        <w:autoSpaceDE w:val="0"/>
        <w:autoSpaceDN/>
        <w:adjustRightInd w:val="0"/>
        <w:snapToGrid w:val="0"/>
        <w:spacing w:before="0" w:beforeAutospacing="0" w:after="0" w:afterAutospacing="0"/>
        <w:ind w:left="0" w:right="0"/>
        <w:jc w:val="both"/>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lang w:val="en-US" w:eastAsia="zh-CN" w:bidi="ar"/>
        </w:rPr>
        <w:t>（五）报价说明及服务期限：</w:t>
      </w:r>
    </w:p>
    <w:p w14:paraId="10F29727">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1、本次报价方式为总价包干，全部采用人民币报价。</w:t>
      </w:r>
    </w:p>
    <w:p w14:paraId="6EDC3658">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此报价应充分考虑合同实施过程中可能涉及的全部内容，包含但不仅限于完成本项目各项服务可能发生的全部费用及投标人的利润和应交纳的税金等（包括人员工资、《劳动合同法》规定的各种社会保险费、人员食宿与交通、工具、办公费等）。投标人对合同内容的费用、质量、安全、文明服务等实行全面承包。</w:t>
      </w:r>
    </w:p>
    <w:p w14:paraId="6DD029E9">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完成本项目服务所涉及的一切费用由供应商承担。费用清单需详细列明，不详细的部分采购人有权按最好效果、最高标准执行。</w:t>
      </w:r>
    </w:p>
    <w:p w14:paraId="4EBA6E21">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3、根据浙江省与诸暨市相关文件规定，并结合本项目具体情况缴纳基本社会保险企业承担部分（基本养老保险、基本医疗保险、失业保险、工伤保险、生育保险）。</w:t>
      </w:r>
    </w:p>
    <w:p w14:paraId="64836805">
      <w:pPr>
        <w:keepNext w:val="0"/>
        <w:keepLines w:val="0"/>
        <w:widowControl w:val="0"/>
        <w:suppressLineNumbers w:val="0"/>
        <w:autoSpaceDE w:val="0"/>
        <w:autoSpaceDN/>
        <w:snapToGrid w:val="0"/>
        <w:spacing w:before="0" w:beforeAutospacing="0" w:after="0" w:afterAutospacing="0"/>
        <w:ind w:left="0" w:right="0"/>
        <w:jc w:val="both"/>
        <w:rPr>
          <w:rFonts w:hint="eastAsia" w:ascii="仿宋" w:hAnsi="仿宋" w:eastAsia="仿宋" w:cs="仿宋"/>
          <w:b/>
          <w:bCs w:val="0"/>
          <w:color w:val="auto"/>
          <w:kern w:val="2"/>
          <w:sz w:val="24"/>
          <w:szCs w:val="24"/>
          <w:highlight w:val="none"/>
        </w:rPr>
      </w:pPr>
      <w:r>
        <w:rPr>
          <w:rFonts w:hint="eastAsia" w:ascii="仿宋" w:hAnsi="仿宋" w:eastAsia="仿宋" w:cs="仿宋"/>
          <w:b/>
          <w:bCs/>
          <w:color w:val="auto"/>
          <w:kern w:val="2"/>
          <w:sz w:val="24"/>
          <w:szCs w:val="24"/>
          <w:highlight w:val="none"/>
          <w:lang w:val="en-US" w:eastAsia="zh-CN" w:bidi="ar"/>
        </w:rPr>
        <w:t>（六）</w:t>
      </w:r>
      <w:r>
        <w:rPr>
          <w:rFonts w:hint="eastAsia" w:ascii="仿宋" w:hAnsi="仿宋" w:eastAsia="仿宋" w:cs="仿宋"/>
          <w:b/>
          <w:bCs w:val="0"/>
          <w:color w:val="auto"/>
          <w:kern w:val="2"/>
          <w:sz w:val="24"/>
          <w:szCs w:val="24"/>
          <w:highlight w:val="none"/>
          <w:lang w:val="en-US" w:eastAsia="zh-CN" w:bidi="ar"/>
        </w:rPr>
        <w:t>监督考评办法</w:t>
      </w:r>
    </w:p>
    <w:p w14:paraId="5AFEDCAB">
      <w:pPr>
        <w:keepNext w:val="0"/>
        <w:keepLines w:val="0"/>
        <w:widowControl w:val="0"/>
        <w:suppressLineNumbers w:val="0"/>
        <w:autoSpaceDE w:val="0"/>
        <w:autoSpaceDN/>
        <w:spacing w:before="0" w:beforeAutospacing="0" w:after="0" w:afterAutospacing="0"/>
        <w:ind w:left="0" w:right="0" w:firstLine="482"/>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 xml:space="preserve">（一）项目实施过程中，采购人有权对中标人的服务质量进行考核。考核频率为每月度一次，如达不到上述服务质量水平的，采购人将发出书面整改通知要求中标人予以整改,未及时整改扣当月考核分，连续两月考核未达标且未进行整改的，采购人有权提前终止合同。 </w:t>
      </w:r>
    </w:p>
    <w:p w14:paraId="34F7E929">
      <w:pPr>
        <w:keepNext w:val="0"/>
        <w:keepLines w:val="0"/>
        <w:widowControl w:val="0"/>
        <w:suppressLineNumbers w:val="0"/>
        <w:autoSpaceDE w:val="0"/>
        <w:autoSpaceDN/>
        <w:spacing w:before="0" w:beforeAutospacing="0" w:after="0" w:afterAutospacing="0"/>
        <w:ind w:left="0" w:right="0" w:firstLine="482"/>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二）所有人员均须持有合法有效身份证、健康证，无重大疾病史和传染病史，无残疾及其它生理缺陷。采购人对中标人派遣的人员进行考评，如素质不达标的，将予以劝退。同时，中标人有义务保证合格人员的稳定性（原则上半年内不予更换人员）。</w:t>
      </w:r>
    </w:p>
    <w:p w14:paraId="55C101DB">
      <w:pPr>
        <w:keepNext w:val="0"/>
        <w:keepLines w:val="0"/>
        <w:widowControl w:val="0"/>
        <w:suppressLineNumbers w:val="0"/>
        <w:autoSpaceDE w:val="0"/>
        <w:autoSpaceDN/>
        <w:spacing w:before="0" w:beforeAutospacing="0" w:after="0" w:afterAutospacing="0"/>
        <w:ind w:left="0" w:right="0" w:firstLine="482"/>
        <w:jc w:val="both"/>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 xml:space="preserve">（三）中标人须按照采购人制定的考核细则进行考核。 </w:t>
      </w:r>
    </w:p>
    <w:p w14:paraId="38054BBB">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lang w:val="en-US" w:eastAsia="zh-CN" w:bidi="ar"/>
        </w:rPr>
        <w:t>（七）履约保证金及付款方式</w:t>
      </w:r>
    </w:p>
    <w:p w14:paraId="1181845A">
      <w:pPr>
        <w:keepNext w:val="0"/>
        <w:keepLines w:val="0"/>
        <w:widowControl w:val="0"/>
        <w:suppressLineNumbers w:val="0"/>
        <w:autoSpaceDE w:val="0"/>
        <w:autoSpaceDN/>
        <w:spacing w:before="0" w:beforeAutospacing="0" w:after="0" w:afterAutospacing="0"/>
        <w:ind w:left="0" w:right="0" w:firstLine="482"/>
        <w:jc w:val="both"/>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lang w:val="en-US" w:eastAsia="zh-CN" w:bidi="ar"/>
        </w:rPr>
        <w:t>1.履约保证金：</w:t>
      </w:r>
      <w:r>
        <w:rPr>
          <w:rFonts w:hint="eastAsia" w:ascii="仿宋" w:hAnsi="仿宋" w:eastAsia="仿宋" w:cs="仿宋"/>
          <w:color w:val="auto"/>
          <w:kern w:val="2"/>
          <w:sz w:val="24"/>
          <w:szCs w:val="24"/>
          <w:highlight w:val="none"/>
          <w:lang w:val="en-US" w:eastAsia="zh-CN" w:bidi="ar"/>
        </w:rPr>
        <w:t>合同签订前，中标人须向采购人缴纳合同金额1%的履约保证金，服务期满后无任何问题15天内退回（不计息）。</w:t>
      </w:r>
    </w:p>
    <w:p w14:paraId="416C23F2">
      <w:pPr>
        <w:keepNext w:val="0"/>
        <w:keepLines w:val="0"/>
        <w:widowControl w:val="0"/>
        <w:suppressLineNumbers w:val="0"/>
        <w:autoSpaceDE w:val="0"/>
        <w:autoSpaceDN/>
        <w:spacing w:before="0" w:beforeAutospacing="0" w:after="0" w:afterAutospacing="0"/>
        <w:ind w:left="0" w:right="0" w:firstLine="480" w:firstLineChars="200"/>
        <w:jc w:val="both"/>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注：中标单位通过基本账户银行转账或电汇方式缴纳履约保证金</w:t>
      </w:r>
    </w:p>
    <w:p w14:paraId="4C94C6A8">
      <w:pPr>
        <w:keepNext w:val="0"/>
        <w:keepLines w:val="0"/>
        <w:widowControl w:val="0"/>
        <w:suppressLineNumbers w:val="0"/>
        <w:autoSpaceDE w:val="0"/>
        <w:autoSpaceDN/>
        <w:spacing w:before="0" w:beforeAutospacing="0" w:after="0" w:afterAutospacing="0"/>
        <w:ind w:left="0" w:right="0" w:firstLine="480" w:firstLineChars="200"/>
        <w:jc w:val="both"/>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收款单位：诸暨市东和乡人民政府</w:t>
      </w:r>
    </w:p>
    <w:p w14:paraId="7C3DF0B7">
      <w:pPr>
        <w:keepNext w:val="0"/>
        <w:keepLines w:val="0"/>
        <w:widowControl w:val="0"/>
        <w:suppressLineNumbers w:val="0"/>
        <w:autoSpaceDE w:val="0"/>
        <w:autoSpaceDN/>
        <w:spacing w:before="0" w:beforeAutospacing="0" w:after="0" w:afterAutospacing="0"/>
        <w:ind w:left="0" w:right="0" w:firstLine="480" w:firstLineChars="200"/>
        <w:jc w:val="both"/>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开户银行：农商银行赵家支行</w:t>
      </w:r>
    </w:p>
    <w:p w14:paraId="2840F60A">
      <w:pPr>
        <w:keepNext w:val="0"/>
        <w:keepLines w:val="0"/>
        <w:widowControl w:val="0"/>
        <w:suppressLineNumbers w:val="0"/>
        <w:autoSpaceDE w:val="0"/>
        <w:autoSpaceDN/>
        <w:spacing w:before="0" w:beforeAutospacing="0" w:after="0" w:afterAutospacing="0"/>
        <w:ind w:left="0" w:right="0" w:firstLine="480" w:firstLineChars="200"/>
        <w:jc w:val="both"/>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银行帐号：201000032495276</w:t>
      </w:r>
    </w:p>
    <w:p w14:paraId="015764A2">
      <w:pPr>
        <w:keepNext w:val="0"/>
        <w:keepLines w:val="0"/>
        <w:widowControl w:val="0"/>
        <w:suppressLineNumbers w:val="0"/>
        <w:autoSpaceDE w:val="0"/>
        <w:autoSpaceDN/>
        <w:spacing w:before="0" w:beforeAutospacing="0" w:after="0" w:afterAutospacing="0"/>
        <w:ind w:left="0" w:leftChars="0" w:right="0" w:firstLine="482" w:firstLineChars="200"/>
        <w:jc w:val="both"/>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lang w:val="en-US" w:eastAsia="zh-CN" w:bidi="ar"/>
        </w:rPr>
        <w:t>2.付款方式</w:t>
      </w:r>
    </w:p>
    <w:p w14:paraId="43508568">
      <w:pPr>
        <w:keepNext w:val="0"/>
        <w:keepLines w:val="0"/>
        <w:widowControl w:val="0"/>
        <w:suppressLineNumbers w:val="0"/>
        <w:autoSpaceDE w:val="0"/>
        <w:autoSpaceDN/>
        <w:spacing w:before="0" w:beforeAutospacing="0" w:after="0" w:afterAutospacing="0"/>
        <w:ind w:left="0" w:right="0" w:firstLine="480" w:firstLineChars="200"/>
        <w:jc w:val="both"/>
        <w:rPr>
          <w:rFonts w:hint="eastAsia" w:ascii="仿宋" w:hAnsi="仿宋" w:eastAsia="仿宋" w:cs="仿宋"/>
          <w:b w:val="0"/>
          <w:bCs w:val="0"/>
          <w:color w:val="auto"/>
          <w:kern w:val="2"/>
          <w:sz w:val="24"/>
          <w:szCs w:val="24"/>
          <w:highlight w:val="none"/>
          <w:lang w:val="en-US" w:eastAsia="zh-CN" w:bidi="ar"/>
        </w:rPr>
      </w:pPr>
      <w:bookmarkStart w:id="36" w:name="_Toc418865233"/>
      <w:bookmarkStart w:id="37" w:name="_Toc223249716"/>
      <w:bookmarkStart w:id="38" w:name="_Toc132888838"/>
      <w:bookmarkStart w:id="39" w:name="_Toc16131"/>
      <w:r>
        <w:rPr>
          <w:rFonts w:hint="eastAsia" w:ascii="仿宋" w:hAnsi="仿宋" w:eastAsia="仿宋" w:cs="仿宋"/>
          <w:b w:val="0"/>
          <w:bCs w:val="0"/>
          <w:color w:val="auto"/>
          <w:kern w:val="2"/>
          <w:sz w:val="24"/>
          <w:szCs w:val="24"/>
          <w:highlight w:val="none"/>
          <w:lang w:val="en-US" w:eastAsia="zh-CN" w:bidi="ar"/>
        </w:rPr>
        <w:t>1、合同生效以及具备实施条件后7个工作日内，采购人支付中标人合同总金额的30%（在签订合同时，中标人明确表示无需预付款或者主动要求降低预付款比例的，采购人可不适用前述规定；支付预付款的，中标人应当向采购人提交发票以及银行、保险公司等金融机构出具的预付款保函）；</w:t>
      </w:r>
    </w:p>
    <w:p w14:paraId="587B98D6">
      <w:pPr>
        <w:keepNext w:val="0"/>
        <w:keepLines w:val="0"/>
        <w:widowControl w:val="0"/>
        <w:suppressLineNumbers w:val="0"/>
        <w:autoSpaceDE w:val="0"/>
        <w:autoSpaceDN/>
        <w:spacing w:before="0" w:beforeAutospacing="0" w:after="0" w:afterAutospacing="0"/>
        <w:ind w:left="0" w:right="0" w:firstLine="480" w:firstLineChars="200"/>
        <w:jc w:val="both"/>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2、完成合同内所有服务内容，经履约验收合格后，支付剩余合同款项。</w:t>
      </w:r>
    </w:p>
    <w:bookmarkEnd w:id="36"/>
    <w:bookmarkEnd w:id="37"/>
    <w:bookmarkEnd w:id="38"/>
    <w:bookmarkEnd w:id="39"/>
    <w:p w14:paraId="0EF40A2A">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lang w:val="en-US" w:eastAsia="zh-CN" w:bidi="ar"/>
        </w:rPr>
        <w:t>（八）最高限价</w:t>
      </w:r>
    </w:p>
    <w:p w14:paraId="06B1145B">
      <w:pPr>
        <w:keepNext w:val="0"/>
        <w:keepLines w:val="0"/>
        <w:widowControl w:val="0"/>
        <w:suppressLineNumbers w:val="0"/>
        <w:autoSpaceDE w:val="0"/>
        <w:autoSpaceDN/>
        <w:spacing w:before="0" w:beforeAutospacing="0" w:after="0" w:afterAutospacing="0"/>
        <w:ind w:left="0" w:right="0" w:firstLine="482" w:firstLineChars="200"/>
        <w:jc w:val="both"/>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lang w:val="en-US" w:eastAsia="zh-CN" w:bidi="ar"/>
        </w:rPr>
        <w:t>本次采购最高限价为人民币陆拾万元整（¥600000.00），任何超过最高限价的报价将被认定为无效报价。</w:t>
      </w:r>
    </w:p>
    <w:p w14:paraId="56084536">
      <w:pPr>
        <w:pStyle w:val="12"/>
        <w:keepNext w:val="0"/>
        <w:keepLines w:val="0"/>
        <w:widowControl w:val="0"/>
        <w:suppressLineNumbers w:val="0"/>
        <w:spacing w:before="0" w:beforeAutospacing="0" w:after="0" w:afterAutospacing="0"/>
        <w:ind w:left="0" w:right="0" w:firstLine="482" w:firstLineChars="200"/>
        <w:jc w:val="left"/>
        <w:rPr>
          <w:rFonts w:hint="eastAsia"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lang w:val="en-US" w:eastAsia="zh-CN" w:bidi="ar"/>
        </w:rPr>
        <w:t xml:space="preserve"> </w:t>
      </w:r>
    </w:p>
    <w:p w14:paraId="0C135418">
      <w:pPr>
        <w:spacing w:line="240" w:lineRule="auto"/>
        <w:jc w:val="both"/>
        <w:outlineLvl w:val="1"/>
        <w:rPr>
          <w:rFonts w:hint="eastAsia" w:ascii="仿宋" w:hAnsi="仿宋" w:eastAsia="仿宋" w:cs="仿宋"/>
          <w:color w:val="auto"/>
          <w:sz w:val="24"/>
          <w:highlight w:val="none"/>
          <w:lang w:val="en-US" w:eastAsia="zh-CN"/>
        </w:rPr>
      </w:pPr>
      <w:r>
        <w:rPr>
          <w:rFonts w:hint="eastAsia" w:ascii="仿宋" w:hAnsi="仿宋" w:eastAsia="仿宋" w:cs="仿宋"/>
          <w:b/>
          <w:bCs w:val="0"/>
          <w:color w:val="auto"/>
          <w:kern w:val="2"/>
          <w:sz w:val="24"/>
          <w:szCs w:val="24"/>
          <w:highlight w:val="none"/>
          <w:lang w:val="en-US" w:eastAsia="zh-CN" w:bidi="ar"/>
        </w:rPr>
        <w:t>注：以上“★”项为实质性响应条款，未实质响应或不满足则作无效投标处理</w:t>
      </w:r>
    </w:p>
    <w:p w14:paraId="78BC06FC">
      <w:pPr>
        <w:spacing w:line="240" w:lineRule="auto"/>
        <w:jc w:val="both"/>
        <w:outlineLvl w:val="1"/>
        <w:rPr>
          <w:rFonts w:hint="eastAsia" w:ascii="宋体" w:hAnsi="宋体" w:cs="宋体"/>
          <w:color w:val="auto"/>
          <w:sz w:val="24"/>
          <w:highlight w:val="none"/>
          <w:lang w:val="en-US" w:eastAsia="zh-CN"/>
        </w:rPr>
      </w:pPr>
    </w:p>
    <w:p w14:paraId="45583E88">
      <w:pP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br w:type="page"/>
      </w:r>
    </w:p>
    <w:p w14:paraId="167B460C">
      <w:pPr>
        <w:pStyle w:val="3"/>
        <w:spacing w:before="100" w:after="100" w:line="24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 xml:space="preserve">第四章   </w:t>
      </w:r>
      <w:bookmarkStart w:id="40" w:name="_Toc184313272"/>
      <w:bookmarkEnd w:id="40"/>
      <w:bookmarkStart w:id="41" w:name="_Toc184312133"/>
      <w:bookmarkEnd w:id="41"/>
      <w:bookmarkStart w:id="42" w:name="_Toc184310309"/>
      <w:bookmarkEnd w:id="42"/>
      <w:bookmarkStart w:id="43" w:name="_Toc184308055"/>
      <w:bookmarkEnd w:id="43"/>
      <w:bookmarkStart w:id="44" w:name="_Toc184308080"/>
      <w:bookmarkEnd w:id="44"/>
      <w:bookmarkStart w:id="45" w:name="_Toc184313251"/>
      <w:bookmarkEnd w:id="45"/>
      <w:bookmarkStart w:id="46" w:name="_Toc184308040"/>
      <w:bookmarkEnd w:id="46"/>
      <w:bookmarkStart w:id="47" w:name="_Toc184313286"/>
      <w:bookmarkEnd w:id="47"/>
      <w:bookmarkStart w:id="48" w:name="_Toc184310286"/>
      <w:bookmarkEnd w:id="48"/>
      <w:bookmarkStart w:id="49" w:name="_Toc184312075"/>
      <w:bookmarkEnd w:id="49"/>
      <w:bookmarkStart w:id="50" w:name="_Toc184310296"/>
      <w:bookmarkEnd w:id="50"/>
      <w:bookmarkStart w:id="51" w:name="_Toc184312134"/>
      <w:bookmarkEnd w:id="51"/>
      <w:bookmarkStart w:id="52" w:name="_Toc184313282"/>
      <w:bookmarkEnd w:id="52"/>
      <w:bookmarkStart w:id="53" w:name="_Toc184308043"/>
      <w:bookmarkEnd w:id="53"/>
      <w:bookmarkStart w:id="54" w:name="_Toc184310293"/>
      <w:bookmarkEnd w:id="54"/>
      <w:bookmarkStart w:id="55" w:name="_Toc184308104"/>
      <w:bookmarkEnd w:id="55"/>
      <w:bookmarkStart w:id="56" w:name="_Toc184314441"/>
      <w:bookmarkEnd w:id="56"/>
      <w:bookmarkStart w:id="57" w:name="_Toc184314440"/>
      <w:bookmarkEnd w:id="57"/>
      <w:bookmarkStart w:id="58" w:name="_Toc184314453"/>
      <w:bookmarkEnd w:id="58"/>
      <w:bookmarkStart w:id="59" w:name="_Toc184312099"/>
      <w:bookmarkEnd w:id="59"/>
      <w:bookmarkStart w:id="60" w:name="_Toc184308071"/>
      <w:bookmarkEnd w:id="60"/>
      <w:bookmarkStart w:id="61" w:name="_Toc184312076"/>
      <w:bookmarkEnd w:id="61"/>
      <w:bookmarkStart w:id="62" w:name="_Toc184313257"/>
      <w:bookmarkEnd w:id="62"/>
      <w:bookmarkStart w:id="63" w:name="_Toc184308044"/>
      <w:bookmarkEnd w:id="63"/>
      <w:bookmarkStart w:id="64" w:name="_Toc184313291"/>
      <w:bookmarkEnd w:id="64"/>
      <w:bookmarkStart w:id="65" w:name="_Toc184308073"/>
      <w:bookmarkEnd w:id="65"/>
      <w:bookmarkStart w:id="66" w:name="_Toc184310305"/>
      <w:bookmarkEnd w:id="66"/>
      <w:bookmarkStart w:id="67" w:name="_Toc184314458"/>
      <w:bookmarkEnd w:id="67"/>
      <w:bookmarkStart w:id="68" w:name="_Toc184310304"/>
      <w:bookmarkEnd w:id="68"/>
      <w:bookmarkStart w:id="69" w:name="_Toc184310273"/>
      <w:bookmarkEnd w:id="69"/>
      <w:bookmarkStart w:id="70" w:name="_Toc184308075"/>
      <w:bookmarkEnd w:id="70"/>
      <w:bookmarkStart w:id="71" w:name="_Toc184308069"/>
      <w:bookmarkEnd w:id="71"/>
      <w:bookmarkStart w:id="72" w:name="_Toc184312070"/>
      <w:bookmarkEnd w:id="72"/>
      <w:bookmarkStart w:id="73" w:name="_Toc184314464"/>
      <w:bookmarkEnd w:id="73"/>
      <w:bookmarkStart w:id="74" w:name="_Toc184312078"/>
      <w:bookmarkEnd w:id="74"/>
      <w:bookmarkStart w:id="75" w:name="_Toc184314449"/>
      <w:bookmarkEnd w:id="75"/>
      <w:bookmarkStart w:id="76" w:name="_Toc184308061"/>
      <w:bookmarkEnd w:id="76"/>
      <w:bookmarkStart w:id="77" w:name="_Toc184310295"/>
      <w:bookmarkEnd w:id="77"/>
      <w:bookmarkStart w:id="78" w:name="_Toc184314469"/>
      <w:bookmarkEnd w:id="78"/>
      <w:bookmarkStart w:id="79" w:name="_Toc184308087"/>
      <w:bookmarkEnd w:id="79"/>
      <w:bookmarkStart w:id="80" w:name="_Toc184314430"/>
      <w:bookmarkEnd w:id="80"/>
      <w:bookmarkStart w:id="81" w:name="_Toc184308053"/>
      <w:bookmarkEnd w:id="81"/>
      <w:bookmarkStart w:id="82" w:name="_Toc184314454"/>
      <w:bookmarkEnd w:id="82"/>
      <w:bookmarkStart w:id="83" w:name="_Toc184312106"/>
      <w:bookmarkEnd w:id="83"/>
      <w:bookmarkStart w:id="84" w:name="_Toc184310340"/>
      <w:bookmarkEnd w:id="84"/>
      <w:bookmarkStart w:id="85" w:name="_Toc184312104"/>
      <w:bookmarkEnd w:id="85"/>
      <w:bookmarkStart w:id="86" w:name="_Toc184313268"/>
      <w:bookmarkEnd w:id="86"/>
      <w:bookmarkStart w:id="87" w:name="_Toc184310308"/>
      <w:bookmarkEnd w:id="87"/>
      <w:bookmarkStart w:id="88" w:name="_Toc184310335"/>
      <w:bookmarkEnd w:id="88"/>
      <w:bookmarkStart w:id="89" w:name="_Toc184312118"/>
      <w:bookmarkEnd w:id="89"/>
      <w:bookmarkStart w:id="90" w:name="_Toc184314438"/>
      <w:bookmarkEnd w:id="90"/>
      <w:bookmarkStart w:id="91" w:name="_Toc184308095"/>
      <w:bookmarkEnd w:id="91"/>
      <w:bookmarkStart w:id="92" w:name="_Toc184308066"/>
      <w:bookmarkEnd w:id="92"/>
      <w:bookmarkStart w:id="93" w:name="_Toc184314429"/>
      <w:bookmarkEnd w:id="93"/>
      <w:bookmarkStart w:id="94" w:name="_Toc184313246"/>
      <w:bookmarkEnd w:id="94"/>
      <w:bookmarkStart w:id="95" w:name="_Toc184312138"/>
      <w:bookmarkEnd w:id="95"/>
      <w:bookmarkStart w:id="96" w:name="_Toc184310319"/>
      <w:bookmarkEnd w:id="96"/>
      <w:bookmarkStart w:id="97" w:name="_Toc184312074"/>
      <w:bookmarkEnd w:id="97"/>
      <w:bookmarkStart w:id="98" w:name="_Toc184310315"/>
      <w:bookmarkEnd w:id="98"/>
      <w:bookmarkStart w:id="99" w:name="_Toc184310280"/>
      <w:bookmarkEnd w:id="99"/>
      <w:bookmarkStart w:id="100" w:name="_Toc184314468"/>
      <w:bookmarkEnd w:id="100"/>
      <w:bookmarkStart w:id="101" w:name="_Toc184310298"/>
      <w:bookmarkEnd w:id="101"/>
      <w:bookmarkStart w:id="102" w:name="_Toc184314425"/>
      <w:bookmarkEnd w:id="102"/>
      <w:bookmarkStart w:id="103" w:name="_Toc184312139"/>
      <w:bookmarkEnd w:id="103"/>
      <w:bookmarkStart w:id="104" w:name="_Toc184314448"/>
      <w:bookmarkEnd w:id="104"/>
      <w:bookmarkStart w:id="105" w:name="_Toc184310334"/>
      <w:bookmarkEnd w:id="105"/>
      <w:bookmarkStart w:id="106" w:name="_Toc184308102"/>
      <w:bookmarkEnd w:id="106"/>
      <w:bookmarkStart w:id="107" w:name="_Toc184308046"/>
      <w:bookmarkEnd w:id="107"/>
      <w:bookmarkStart w:id="108" w:name="_Toc184313283"/>
      <w:bookmarkEnd w:id="108"/>
      <w:bookmarkStart w:id="109" w:name="_Toc184308050"/>
      <w:bookmarkEnd w:id="109"/>
      <w:bookmarkStart w:id="110" w:name="_Toc184312127"/>
      <w:bookmarkEnd w:id="110"/>
      <w:bookmarkStart w:id="111" w:name="_Toc184313280"/>
      <w:bookmarkEnd w:id="111"/>
      <w:bookmarkStart w:id="112" w:name="_Toc184310329"/>
      <w:bookmarkEnd w:id="112"/>
      <w:bookmarkStart w:id="113" w:name="_Toc184314474"/>
      <w:bookmarkEnd w:id="113"/>
      <w:bookmarkStart w:id="114" w:name="_Toc184313277"/>
      <w:bookmarkEnd w:id="114"/>
      <w:bookmarkStart w:id="115" w:name="_Toc184312077"/>
      <w:bookmarkEnd w:id="115"/>
      <w:bookmarkStart w:id="116" w:name="_Toc184310303"/>
      <w:bookmarkEnd w:id="116"/>
      <w:bookmarkStart w:id="117" w:name="_Toc184312094"/>
      <w:bookmarkEnd w:id="117"/>
      <w:bookmarkStart w:id="118" w:name="_Toc184313287"/>
      <w:bookmarkEnd w:id="118"/>
      <w:bookmarkStart w:id="119" w:name="_Toc184314470"/>
      <w:bookmarkEnd w:id="119"/>
      <w:bookmarkStart w:id="120" w:name="_Toc184313252"/>
      <w:bookmarkEnd w:id="120"/>
      <w:bookmarkStart w:id="121" w:name="_Toc184310301"/>
      <w:bookmarkEnd w:id="121"/>
      <w:bookmarkStart w:id="122" w:name="_Toc184310291"/>
      <w:bookmarkEnd w:id="122"/>
      <w:bookmarkStart w:id="123" w:name="_Toc184308068"/>
      <w:bookmarkEnd w:id="123"/>
      <w:bookmarkStart w:id="124" w:name="_Toc184313285"/>
      <w:bookmarkEnd w:id="124"/>
      <w:bookmarkStart w:id="125" w:name="_Toc184314467"/>
      <w:bookmarkEnd w:id="125"/>
      <w:bookmarkStart w:id="126" w:name="_Toc184314462"/>
      <w:bookmarkEnd w:id="126"/>
      <w:bookmarkStart w:id="127" w:name="_Toc184313247"/>
      <w:bookmarkEnd w:id="127"/>
      <w:bookmarkStart w:id="128" w:name="_Toc184313238"/>
      <w:bookmarkEnd w:id="128"/>
      <w:bookmarkStart w:id="129" w:name="_Toc184313249"/>
      <w:bookmarkEnd w:id="129"/>
      <w:bookmarkStart w:id="130" w:name="_Toc184310321"/>
      <w:bookmarkEnd w:id="130"/>
      <w:bookmarkStart w:id="131" w:name="_Toc184312072"/>
      <w:bookmarkEnd w:id="131"/>
      <w:bookmarkStart w:id="132" w:name="_Toc184314477"/>
      <w:bookmarkEnd w:id="132"/>
      <w:bookmarkStart w:id="133" w:name="_Toc184308083"/>
      <w:bookmarkEnd w:id="133"/>
      <w:bookmarkStart w:id="134" w:name="_Toc184308084"/>
      <w:bookmarkEnd w:id="134"/>
      <w:bookmarkStart w:id="135" w:name="_Toc184314431"/>
      <w:bookmarkEnd w:id="135"/>
      <w:bookmarkStart w:id="136" w:name="_Toc184310276"/>
      <w:bookmarkEnd w:id="136"/>
      <w:bookmarkStart w:id="137" w:name="_Toc184312069"/>
      <w:bookmarkEnd w:id="137"/>
      <w:bookmarkStart w:id="138" w:name="_Toc184313304"/>
      <w:bookmarkEnd w:id="138"/>
      <w:bookmarkStart w:id="139" w:name="_Toc184314450"/>
      <w:bookmarkEnd w:id="139"/>
      <w:bookmarkStart w:id="140" w:name="_Toc184308096"/>
      <w:bookmarkEnd w:id="140"/>
      <w:bookmarkStart w:id="141" w:name="_Toc184308076"/>
      <w:bookmarkEnd w:id="141"/>
      <w:bookmarkStart w:id="142" w:name="_Toc184312137"/>
      <w:bookmarkEnd w:id="142"/>
      <w:bookmarkStart w:id="143" w:name="_Toc184310275"/>
      <w:bookmarkEnd w:id="143"/>
      <w:bookmarkStart w:id="144" w:name="_Toc184312121"/>
      <w:bookmarkEnd w:id="144"/>
      <w:bookmarkStart w:id="145" w:name="_Toc184312107"/>
      <w:bookmarkEnd w:id="145"/>
      <w:bookmarkStart w:id="146" w:name="_Toc184313309"/>
      <w:bookmarkEnd w:id="146"/>
      <w:bookmarkStart w:id="147" w:name="_Toc184308092"/>
      <w:bookmarkEnd w:id="147"/>
      <w:bookmarkStart w:id="148" w:name="_Toc184314457"/>
      <w:bookmarkEnd w:id="148"/>
      <w:bookmarkStart w:id="149" w:name="_Toc184312109"/>
      <w:bookmarkEnd w:id="149"/>
      <w:bookmarkStart w:id="150" w:name="_Toc184314443"/>
      <w:bookmarkEnd w:id="150"/>
      <w:bookmarkStart w:id="151" w:name="_Toc184308085"/>
      <w:bookmarkEnd w:id="151"/>
      <w:bookmarkStart w:id="152" w:name="_Toc184310313"/>
      <w:bookmarkEnd w:id="152"/>
      <w:bookmarkStart w:id="153" w:name="_Toc184313296"/>
      <w:bookmarkEnd w:id="153"/>
      <w:bookmarkStart w:id="154" w:name="_Toc184313264"/>
      <w:bookmarkEnd w:id="154"/>
      <w:bookmarkStart w:id="155" w:name="_Toc184310302"/>
      <w:bookmarkEnd w:id="155"/>
      <w:bookmarkStart w:id="156" w:name="_Toc184312082"/>
      <w:bookmarkEnd w:id="156"/>
      <w:bookmarkStart w:id="157" w:name="_Toc184314417"/>
      <w:bookmarkEnd w:id="157"/>
      <w:bookmarkStart w:id="158" w:name="_Toc184314479"/>
      <w:bookmarkEnd w:id="158"/>
      <w:bookmarkStart w:id="159" w:name="_Toc184314476"/>
      <w:bookmarkEnd w:id="159"/>
      <w:bookmarkStart w:id="160" w:name="_Toc184308097"/>
      <w:bookmarkEnd w:id="160"/>
      <w:bookmarkStart w:id="161" w:name="_Toc184313308"/>
      <w:bookmarkEnd w:id="161"/>
      <w:bookmarkStart w:id="162" w:name="_Toc184312110"/>
      <w:bookmarkEnd w:id="162"/>
      <w:bookmarkStart w:id="163" w:name="_Toc184310331"/>
      <w:bookmarkEnd w:id="163"/>
      <w:bookmarkStart w:id="164" w:name="_Toc184312084"/>
      <w:bookmarkEnd w:id="164"/>
      <w:bookmarkStart w:id="165" w:name="_Toc184308106"/>
      <w:bookmarkEnd w:id="165"/>
      <w:bookmarkStart w:id="166" w:name="_Toc184314442"/>
      <w:bookmarkEnd w:id="166"/>
      <w:bookmarkStart w:id="167" w:name="_Toc184308088"/>
      <w:bookmarkEnd w:id="167"/>
      <w:bookmarkStart w:id="168" w:name="_Toc184308074"/>
      <w:bookmarkEnd w:id="168"/>
      <w:bookmarkStart w:id="169" w:name="_Toc184310317"/>
      <w:bookmarkEnd w:id="169"/>
      <w:bookmarkStart w:id="170" w:name="_Toc184314410"/>
      <w:bookmarkEnd w:id="170"/>
      <w:bookmarkStart w:id="171" w:name="_Toc184310337"/>
      <w:bookmarkEnd w:id="171"/>
      <w:bookmarkStart w:id="172" w:name="_Toc184313292"/>
      <w:bookmarkEnd w:id="172"/>
      <w:bookmarkStart w:id="173" w:name="_Toc184313305"/>
      <w:bookmarkEnd w:id="173"/>
      <w:bookmarkStart w:id="174" w:name="_Toc184310284"/>
      <w:bookmarkEnd w:id="174"/>
      <w:bookmarkStart w:id="175" w:name="_Toc184313248"/>
      <w:bookmarkEnd w:id="175"/>
      <w:bookmarkStart w:id="176" w:name="_Toc184308100"/>
      <w:bookmarkEnd w:id="176"/>
      <w:bookmarkStart w:id="177" w:name="_Toc184313307"/>
      <w:bookmarkEnd w:id="177"/>
      <w:bookmarkStart w:id="178" w:name="_Toc184310311"/>
      <w:bookmarkEnd w:id="178"/>
      <w:bookmarkStart w:id="179" w:name="_Toc184312092"/>
      <w:bookmarkEnd w:id="179"/>
      <w:bookmarkStart w:id="180" w:name="_Toc184313243"/>
      <w:bookmarkEnd w:id="180"/>
      <w:bookmarkStart w:id="181" w:name="_Toc184314439"/>
      <w:bookmarkEnd w:id="181"/>
      <w:bookmarkStart w:id="182" w:name="_Toc184312108"/>
      <w:bookmarkEnd w:id="182"/>
      <w:bookmarkStart w:id="183" w:name="_Toc184310327"/>
      <w:bookmarkEnd w:id="183"/>
      <w:bookmarkStart w:id="184" w:name="_Toc184313269"/>
      <w:bookmarkEnd w:id="184"/>
      <w:bookmarkStart w:id="185" w:name="_Toc184314451"/>
      <w:bookmarkEnd w:id="185"/>
      <w:bookmarkStart w:id="186" w:name="_Toc184313293"/>
      <w:bookmarkEnd w:id="186"/>
      <w:bookmarkStart w:id="187" w:name="_Toc184314472"/>
      <w:bookmarkEnd w:id="187"/>
      <w:bookmarkStart w:id="188" w:name="_Toc184312087"/>
      <w:bookmarkEnd w:id="188"/>
      <w:bookmarkStart w:id="189" w:name="_Toc184314475"/>
      <w:bookmarkEnd w:id="189"/>
      <w:bookmarkStart w:id="190" w:name="_Toc184308037"/>
      <w:bookmarkEnd w:id="190"/>
      <w:bookmarkStart w:id="191" w:name="_Toc184308099"/>
      <w:bookmarkEnd w:id="191"/>
      <w:bookmarkStart w:id="192" w:name="_Toc184308039"/>
      <w:bookmarkEnd w:id="192"/>
      <w:bookmarkStart w:id="193" w:name="_Toc184314413"/>
      <w:bookmarkEnd w:id="193"/>
      <w:bookmarkStart w:id="194" w:name="_Toc184308052"/>
      <w:bookmarkEnd w:id="194"/>
      <w:bookmarkStart w:id="195" w:name="_Toc184310292"/>
      <w:bookmarkEnd w:id="195"/>
      <w:bookmarkStart w:id="196" w:name="_Toc184314465"/>
      <w:bookmarkEnd w:id="196"/>
      <w:bookmarkStart w:id="197" w:name="_Toc184310324"/>
      <w:bookmarkEnd w:id="197"/>
      <w:bookmarkStart w:id="198" w:name="_Toc184308082"/>
      <w:bookmarkEnd w:id="198"/>
      <w:bookmarkStart w:id="199" w:name="_Toc184314473"/>
      <w:bookmarkEnd w:id="199"/>
      <w:bookmarkStart w:id="200" w:name="_Toc184310322"/>
      <w:bookmarkEnd w:id="200"/>
      <w:bookmarkStart w:id="201" w:name="_Toc184313254"/>
      <w:bookmarkEnd w:id="201"/>
      <w:bookmarkStart w:id="202" w:name="_Toc184312123"/>
      <w:bookmarkEnd w:id="202"/>
      <w:bookmarkStart w:id="203" w:name="_Toc184313253"/>
      <w:bookmarkEnd w:id="203"/>
      <w:bookmarkStart w:id="204" w:name="_Toc184308078"/>
      <w:bookmarkEnd w:id="204"/>
      <w:bookmarkStart w:id="205" w:name="_Toc184312113"/>
      <w:bookmarkEnd w:id="205"/>
      <w:bookmarkStart w:id="206" w:name="_Toc184314411"/>
      <w:bookmarkEnd w:id="206"/>
      <w:bookmarkStart w:id="207" w:name="_Toc184310279"/>
      <w:bookmarkEnd w:id="207"/>
      <w:bookmarkStart w:id="208" w:name="_Toc184308049"/>
      <w:bookmarkEnd w:id="208"/>
      <w:bookmarkStart w:id="209" w:name="_Toc184308064"/>
      <w:bookmarkEnd w:id="209"/>
      <w:bookmarkStart w:id="210" w:name="_Toc184312114"/>
      <w:bookmarkEnd w:id="210"/>
      <w:bookmarkStart w:id="211" w:name="_Toc184308051"/>
      <w:bookmarkEnd w:id="211"/>
      <w:bookmarkStart w:id="212" w:name="_Toc184313266"/>
      <w:bookmarkEnd w:id="212"/>
      <w:bookmarkStart w:id="213" w:name="_Toc184314471"/>
      <w:bookmarkEnd w:id="213"/>
      <w:bookmarkStart w:id="214" w:name="_Toc184313298"/>
      <w:bookmarkEnd w:id="214"/>
      <w:bookmarkStart w:id="215" w:name="_Toc184312111"/>
      <w:bookmarkEnd w:id="215"/>
      <w:bookmarkStart w:id="216" w:name="_Toc184312091"/>
      <w:bookmarkEnd w:id="216"/>
      <w:bookmarkStart w:id="217" w:name="_Toc184313295"/>
      <w:bookmarkEnd w:id="217"/>
      <w:bookmarkStart w:id="218" w:name="_Toc184312095"/>
      <w:bookmarkEnd w:id="218"/>
      <w:bookmarkStart w:id="219" w:name="_Toc184310310"/>
      <w:bookmarkEnd w:id="219"/>
      <w:bookmarkStart w:id="220" w:name="_Toc184314455"/>
      <w:bookmarkEnd w:id="220"/>
      <w:bookmarkStart w:id="221" w:name="_Toc184314420"/>
      <w:bookmarkEnd w:id="221"/>
      <w:bookmarkStart w:id="222" w:name="_Toc184312124"/>
      <w:bookmarkEnd w:id="222"/>
      <w:bookmarkStart w:id="223" w:name="_Toc184310306"/>
      <w:bookmarkEnd w:id="223"/>
      <w:bookmarkStart w:id="224" w:name="_Toc184312125"/>
      <w:bookmarkEnd w:id="224"/>
      <w:bookmarkStart w:id="225" w:name="_Toc184314482"/>
      <w:bookmarkEnd w:id="225"/>
      <w:bookmarkStart w:id="226" w:name="_Toc184312130"/>
      <w:bookmarkEnd w:id="226"/>
      <w:bookmarkStart w:id="227" w:name="_Toc184310299"/>
      <w:bookmarkEnd w:id="227"/>
      <w:bookmarkStart w:id="228" w:name="_Toc184310314"/>
      <w:bookmarkEnd w:id="228"/>
      <w:bookmarkStart w:id="229" w:name="_Toc184314456"/>
      <w:bookmarkEnd w:id="229"/>
      <w:bookmarkStart w:id="230" w:name="_Toc184308081"/>
      <w:bookmarkEnd w:id="230"/>
      <w:bookmarkStart w:id="231" w:name="_Toc184312096"/>
      <w:bookmarkEnd w:id="231"/>
      <w:bookmarkStart w:id="232" w:name="_Toc184310274"/>
      <w:bookmarkEnd w:id="232"/>
      <w:bookmarkStart w:id="233" w:name="_Toc184308067"/>
      <w:bookmarkEnd w:id="233"/>
      <w:bookmarkStart w:id="234" w:name="_Toc184312097"/>
      <w:bookmarkEnd w:id="234"/>
      <w:bookmarkStart w:id="235" w:name="_Toc184314461"/>
      <w:bookmarkEnd w:id="235"/>
      <w:bookmarkStart w:id="236" w:name="_Toc184312100"/>
      <w:bookmarkEnd w:id="236"/>
      <w:bookmarkStart w:id="237" w:name="_Toc184310300"/>
      <w:bookmarkEnd w:id="237"/>
      <w:bookmarkStart w:id="238" w:name="_Toc184313263"/>
      <w:bookmarkEnd w:id="238"/>
      <w:bookmarkStart w:id="239" w:name="_Toc184308038"/>
      <w:bookmarkEnd w:id="239"/>
      <w:bookmarkStart w:id="240" w:name="_Toc184313241"/>
      <w:bookmarkEnd w:id="240"/>
      <w:bookmarkStart w:id="241" w:name="_Toc184312081"/>
      <w:bookmarkEnd w:id="241"/>
      <w:bookmarkStart w:id="242" w:name="_Toc184310339"/>
      <w:bookmarkEnd w:id="242"/>
      <w:bookmarkStart w:id="243" w:name="_Toc184314435"/>
      <w:bookmarkEnd w:id="243"/>
      <w:bookmarkStart w:id="244" w:name="_Toc184308036"/>
      <w:bookmarkEnd w:id="244"/>
      <w:bookmarkStart w:id="245" w:name="_Toc184310283"/>
      <w:bookmarkEnd w:id="245"/>
      <w:bookmarkStart w:id="246" w:name="_Toc184314446"/>
      <w:bookmarkEnd w:id="246"/>
      <w:bookmarkStart w:id="247" w:name="_Toc184314434"/>
      <w:bookmarkEnd w:id="247"/>
      <w:bookmarkStart w:id="248" w:name="_Toc184313284"/>
      <w:bookmarkEnd w:id="248"/>
      <w:bookmarkStart w:id="249" w:name="_Toc184310281"/>
      <w:bookmarkEnd w:id="249"/>
      <w:bookmarkStart w:id="250" w:name="_Toc184312102"/>
      <w:bookmarkEnd w:id="250"/>
      <w:bookmarkStart w:id="251" w:name="_Toc184314478"/>
      <w:bookmarkEnd w:id="251"/>
      <w:bookmarkStart w:id="252" w:name="_Toc184308062"/>
      <w:bookmarkEnd w:id="252"/>
      <w:bookmarkStart w:id="253" w:name="_Toc184308108"/>
      <w:bookmarkEnd w:id="253"/>
      <w:bookmarkStart w:id="254" w:name="_Toc184312128"/>
      <w:bookmarkEnd w:id="254"/>
      <w:bookmarkStart w:id="255" w:name="_Toc184310312"/>
      <w:bookmarkEnd w:id="255"/>
      <w:bookmarkStart w:id="256" w:name="_Toc184310288"/>
      <w:bookmarkEnd w:id="256"/>
      <w:bookmarkStart w:id="257" w:name="_Toc184313288"/>
      <w:bookmarkEnd w:id="257"/>
      <w:bookmarkStart w:id="258" w:name="_Toc184308041"/>
      <w:bookmarkEnd w:id="258"/>
      <w:bookmarkStart w:id="259" w:name="_Toc184308098"/>
      <w:bookmarkEnd w:id="259"/>
      <w:bookmarkStart w:id="260" w:name="_Toc184313258"/>
      <w:bookmarkEnd w:id="260"/>
      <w:bookmarkStart w:id="261" w:name="_Toc184310316"/>
      <w:bookmarkEnd w:id="261"/>
      <w:bookmarkStart w:id="262" w:name="_Toc184313255"/>
      <w:bookmarkEnd w:id="262"/>
      <w:bookmarkStart w:id="263" w:name="_Toc184310344"/>
      <w:bookmarkEnd w:id="263"/>
      <w:bookmarkStart w:id="264" w:name="_Toc184314414"/>
      <w:bookmarkEnd w:id="264"/>
      <w:bookmarkStart w:id="265" w:name="_Toc184314436"/>
      <w:bookmarkEnd w:id="265"/>
      <w:bookmarkStart w:id="266" w:name="_Toc184312080"/>
      <w:bookmarkEnd w:id="266"/>
      <w:bookmarkStart w:id="267" w:name="_Toc184314432"/>
      <w:bookmarkEnd w:id="267"/>
      <w:bookmarkStart w:id="268" w:name="_Toc184308057"/>
      <w:bookmarkEnd w:id="268"/>
      <w:bookmarkStart w:id="269" w:name="_Toc184313239"/>
      <w:bookmarkEnd w:id="269"/>
      <w:bookmarkStart w:id="270" w:name="_Toc184314416"/>
      <w:bookmarkEnd w:id="270"/>
      <w:bookmarkStart w:id="271" w:name="_Toc184308059"/>
      <w:bookmarkEnd w:id="271"/>
      <w:bookmarkStart w:id="272" w:name="_Toc184312117"/>
      <w:bookmarkEnd w:id="272"/>
      <w:bookmarkStart w:id="273" w:name="_Toc184314433"/>
      <w:bookmarkEnd w:id="273"/>
      <w:bookmarkStart w:id="274" w:name="_Toc184314426"/>
      <w:bookmarkEnd w:id="274"/>
      <w:bookmarkStart w:id="275" w:name="_Toc184314421"/>
      <w:bookmarkEnd w:id="275"/>
      <w:bookmarkStart w:id="276" w:name="_Toc184308060"/>
      <w:bookmarkEnd w:id="276"/>
      <w:bookmarkStart w:id="277" w:name="_Toc184313260"/>
      <w:bookmarkEnd w:id="277"/>
      <w:bookmarkStart w:id="278" w:name="_Toc184308056"/>
      <w:bookmarkEnd w:id="278"/>
      <w:bookmarkStart w:id="279" w:name="_Toc184310343"/>
      <w:bookmarkEnd w:id="279"/>
      <w:bookmarkStart w:id="280" w:name="_Toc184313281"/>
      <w:bookmarkEnd w:id="280"/>
      <w:bookmarkStart w:id="281" w:name="_Toc184313299"/>
      <w:bookmarkEnd w:id="281"/>
      <w:bookmarkStart w:id="282" w:name="_Toc184310282"/>
      <w:bookmarkEnd w:id="282"/>
      <w:bookmarkStart w:id="283" w:name="_Toc184312115"/>
      <w:bookmarkEnd w:id="283"/>
      <w:bookmarkStart w:id="284" w:name="_Toc184313306"/>
      <w:bookmarkEnd w:id="284"/>
      <w:bookmarkStart w:id="285" w:name="_Toc184310278"/>
      <w:bookmarkEnd w:id="285"/>
      <w:bookmarkStart w:id="286" w:name="_Toc184314423"/>
      <w:bookmarkEnd w:id="286"/>
      <w:bookmarkStart w:id="287" w:name="_Toc184313297"/>
      <w:bookmarkEnd w:id="287"/>
      <w:bookmarkStart w:id="288" w:name="_Toc184312126"/>
      <w:bookmarkEnd w:id="288"/>
      <w:bookmarkStart w:id="289" w:name="_Toc184312135"/>
      <w:bookmarkEnd w:id="289"/>
      <w:bookmarkStart w:id="290" w:name="_Toc184308048"/>
      <w:bookmarkEnd w:id="290"/>
      <w:bookmarkStart w:id="291" w:name="_Toc184314452"/>
      <w:bookmarkEnd w:id="291"/>
      <w:bookmarkStart w:id="292" w:name="_Toc184312101"/>
      <w:bookmarkEnd w:id="292"/>
      <w:bookmarkStart w:id="293" w:name="_Toc184313275"/>
      <w:bookmarkEnd w:id="293"/>
      <w:bookmarkStart w:id="294" w:name="_Toc184310338"/>
      <w:bookmarkEnd w:id="294"/>
      <w:bookmarkStart w:id="295" w:name="_Toc184312105"/>
      <w:bookmarkEnd w:id="295"/>
      <w:bookmarkStart w:id="296" w:name="_Toc184308063"/>
      <w:bookmarkEnd w:id="296"/>
      <w:bookmarkStart w:id="297" w:name="_Toc184310294"/>
      <w:bookmarkEnd w:id="297"/>
      <w:bookmarkStart w:id="298" w:name="_Toc184313301"/>
      <w:bookmarkEnd w:id="298"/>
      <w:bookmarkStart w:id="299" w:name="_Toc184313262"/>
      <w:bookmarkEnd w:id="299"/>
      <w:bookmarkStart w:id="300" w:name="_Toc184314444"/>
      <w:bookmarkEnd w:id="300"/>
      <w:bookmarkStart w:id="301" w:name="_Toc184310290"/>
      <w:bookmarkEnd w:id="301"/>
      <w:bookmarkStart w:id="302" w:name="_Toc184312086"/>
      <w:bookmarkEnd w:id="302"/>
      <w:bookmarkStart w:id="303" w:name="_Toc184310297"/>
      <w:bookmarkEnd w:id="303"/>
      <w:bookmarkStart w:id="304" w:name="_Toc184313289"/>
      <w:bookmarkEnd w:id="304"/>
      <w:bookmarkStart w:id="305" w:name="_Toc184308045"/>
      <w:bookmarkEnd w:id="305"/>
      <w:bookmarkStart w:id="306" w:name="_Toc184308079"/>
      <w:bookmarkEnd w:id="306"/>
      <w:bookmarkStart w:id="307" w:name="_Toc184313240"/>
      <w:bookmarkEnd w:id="307"/>
      <w:bookmarkStart w:id="308" w:name="_Toc184312083"/>
      <w:bookmarkEnd w:id="308"/>
      <w:bookmarkStart w:id="309" w:name="_Toc184313279"/>
      <w:bookmarkEnd w:id="309"/>
      <w:bookmarkStart w:id="310" w:name="_Toc184310289"/>
      <w:bookmarkEnd w:id="310"/>
      <w:bookmarkStart w:id="311" w:name="_Toc184312093"/>
      <w:bookmarkEnd w:id="311"/>
      <w:bookmarkStart w:id="312" w:name="_Toc184312119"/>
      <w:bookmarkEnd w:id="312"/>
      <w:bookmarkStart w:id="313" w:name="_Toc184314447"/>
      <w:bookmarkEnd w:id="313"/>
      <w:bookmarkStart w:id="314" w:name="_Toc184314419"/>
      <w:bookmarkEnd w:id="314"/>
      <w:bookmarkStart w:id="315" w:name="_Toc184310342"/>
      <w:bookmarkEnd w:id="315"/>
      <w:bookmarkStart w:id="316" w:name="_Toc184313300"/>
      <w:bookmarkEnd w:id="316"/>
      <w:bookmarkStart w:id="317" w:name="_Toc184310333"/>
      <w:bookmarkEnd w:id="317"/>
      <w:bookmarkStart w:id="318" w:name="_Toc184314424"/>
      <w:bookmarkEnd w:id="318"/>
      <w:bookmarkStart w:id="319" w:name="_Toc184314437"/>
      <w:bookmarkEnd w:id="319"/>
      <w:bookmarkStart w:id="320" w:name="_Toc184310320"/>
      <w:bookmarkEnd w:id="320"/>
      <w:bookmarkStart w:id="321" w:name="_Toc184308094"/>
      <w:bookmarkEnd w:id="321"/>
      <w:bookmarkStart w:id="322" w:name="_Toc184313303"/>
      <w:bookmarkEnd w:id="322"/>
      <w:bookmarkStart w:id="323" w:name="_Toc184312136"/>
      <w:bookmarkEnd w:id="323"/>
      <w:bookmarkStart w:id="324" w:name="_Toc184310318"/>
      <w:bookmarkEnd w:id="324"/>
      <w:bookmarkStart w:id="325" w:name="_Toc184314427"/>
      <w:bookmarkEnd w:id="325"/>
      <w:bookmarkStart w:id="326" w:name="_Toc184310277"/>
      <w:bookmarkEnd w:id="326"/>
      <w:bookmarkStart w:id="327" w:name="_Toc184313245"/>
      <w:bookmarkEnd w:id="327"/>
      <w:bookmarkStart w:id="328" w:name="_Toc184308101"/>
      <w:bookmarkEnd w:id="328"/>
      <w:bookmarkStart w:id="329" w:name="_Toc184312103"/>
      <w:bookmarkEnd w:id="329"/>
      <w:bookmarkStart w:id="330" w:name="_Toc184308086"/>
      <w:bookmarkEnd w:id="330"/>
      <w:bookmarkStart w:id="331" w:name="_Toc184313274"/>
      <w:bookmarkEnd w:id="331"/>
      <w:bookmarkStart w:id="332" w:name="_Toc184312073"/>
      <w:bookmarkEnd w:id="332"/>
      <w:bookmarkStart w:id="333" w:name="_Toc184308090"/>
      <w:bookmarkEnd w:id="333"/>
      <w:bookmarkStart w:id="334" w:name="_Toc184308091"/>
      <w:bookmarkEnd w:id="334"/>
      <w:bookmarkStart w:id="335" w:name="_Toc184314412"/>
      <w:bookmarkEnd w:id="335"/>
      <w:bookmarkStart w:id="336" w:name="_Toc184312085"/>
      <w:bookmarkEnd w:id="336"/>
      <w:bookmarkStart w:id="337" w:name="_Toc184310330"/>
      <w:bookmarkEnd w:id="337"/>
      <w:bookmarkStart w:id="338" w:name="_Toc184312112"/>
      <w:bookmarkEnd w:id="338"/>
      <w:bookmarkStart w:id="339" w:name="_Toc184313261"/>
      <w:bookmarkEnd w:id="339"/>
      <w:bookmarkStart w:id="340" w:name="_Toc184310325"/>
      <w:bookmarkEnd w:id="340"/>
      <w:bookmarkStart w:id="341" w:name="_Toc184308103"/>
      <w:bookmarkEnd w:id="341"/>
      <w:bookmarkStart w:id="342" w:name="_Toc184314463"/>
      <w:bookmarkEnd w:id="342"/>
      <w:bookmarkStart w:id="343" w:name="_Toc184310328"/>
      <w:bookmarkEnd w:id="343"/>
      <w:bookmarkStart w:id="344" w:name="_Toc184312067"/>
      <w:bookmarkEnd w:id="344"/>
      <w:bookmarkStart w:id="345" w:name="_Toc184312098"/>
      <w:bookmarkEnd w:id="345"/>
      <w:bookmarkStart w:id="346" w:name="_Toc184312120"/>
      <w:bookmarkEnd w:id="346"/>
      <w:bookmarkStart w:id="347" w:name="_Toc184313271"/>
      <w:bookmarkEnd w:id="347"/>
      <w:bookmarkStart w:id="348" w:name="_Toc184308107"/>
      <w:bookmarkEnd w:id="348"/>
      <w:bookmarkStart w:id="349" w:name="_Toc184313256"/>
      <w:bookmarkEnd w:id="349"/>
      <w:bookmarkStart w:id="350" w:name="_Toc184308054"/>
      <w:bookmarkEnd w:id="350"/>
      <w:bookmarkStart w:id="351" w:name="_Toc184312068"/>
      <w:bookmarkEnd w:id="351"/>
      <w:bookmarkStart w:id="352" w:name="_Toc184314422"/>
      <w:bookmarkEnd w:id="352"/>
      <w:bookmarkStart w:id="353" w:name="_Toc184312122"/>
      <w:bookmarkEnd w:id="353"/>
      <w:bookmarkStart w:id="354" w:name="_Toc184313259"/>
      <w:bookmarkEnd w:id="354"/>
      <w:bookmarkStart w:id="355" w:name="_Toc184313267"/>
      <w:bookmarkEnd w:id="355"/>
      <w:bookmarkStart w:id="356" w:name="_Toc184310332"/>
      <w:bookmarkEnd w:id="356"/>
      <w:bookmarkStart w:id="357" w:name="_Toc184312090"/>
      <w:bookmarkEnd w:id="357"/>
      <w:bookmarkStart w:id="358" w:name="_Toc184313244"/>
      <w:bookmarkEnd w:id="358"/>
      <w:bookmarkStart w:id="359" w:name="_Toc184310323"/>
      <w:bookmarkEnd w:id="359"/>
      <w:bookmarkStart w:id="360" w:name="_Toc184313276"/>
      <w:bookmarkEnd w:id="360"/>
      <w:bookmarkStart w:id="361" w:name="_Toc184314480"/>
      <w:bookmarkEnd w:id="361"/>
      <w:bookmarkStart w:id="362" w:name="_Toc184310287"/>
      <w:bookmarkEnd w:id="362"/>
      <w:bookmarkStart w:id="363" w:name="_Toc184308058"/>
      <w:bookmarkEnd w:id="363"/>
      <w:bookmarkStart w:id="364" w:name="_Toc184313310"/>
      <w:bookmarkEnd w:id="364"/>
      <w:bookmarkStart w:id="365" w:name="_Toc184313273"/>
      <w:bookmarkEnd w:id="365"/>
      <w:bookmarkStart w:id="366" w:name="_Toc184308042"/>
      <w:bookmarkEnd w:id="366"/>
      <w:bookmarkStart w:id="367" w:name="_Toc184308093"/>
      <w:bookmarkEnd w:id="367"/>
      <w:bookmarkStart w:id="368" w:name="_Toc184308072"/>
      <w:bookmarkEnd w:id="368"/>
      <w:bookmarkStart w:id="369" w:name="_Toc184308077"/>
      <w:bookmarkEnd w:id="369"/>
      <w:bookmarkStart w:id="370" w:name="_Toc184312116"/>
      <w:bookmarkEnd w:id="370"/>
      <w:bookmarkStart w:id="371" w:name="_Toc184313250"/>
      <w:bookmarkEnd w:id="371"/>
      <w:bookmarkStart w:id="372" w:name="_Toc184308070"/>
      <w:bookmarkEnd w:id="372"/>
      <w:bookmarkStart w:id="373" w:name="_Toc184314415"/>
      <w:bookmarkEnd w:id="373"/>
      <w:bookmarkStart w:id="374" w:name="_Toc184310341"/>
      <w:bookmarkEnd w:id="374"/>
      <w:bookmarkStart w:id="375" w:name="_Toc184312088"/>
      <w:bookmarkEnd w:id="375"/>
      <w:bookmarkStart w:id="376" w:name="_Toc184314460"/>
      <w:bookmarkEnd w:id="376"/>
      <w:bookmarkStart w:id="377" w:name="_Toc184312089"/>
      <w:bookmarkEnd w:id="377"/>
      <w:bookmarkStart w:id="378" w:name="_Toc184308047"/>
      <w:bookmarkEnd w:id="378"/>
      <w:bookmarkStart w:id="379" w:name="_Toc184314481"/>
      <w:bookmarkEnd w:id="379"/>
      <w:bookmarkStart w:id="380" w:name="_Toc184310336"/>
      <w:bookmarkEnd w:id="380"/>
      <w:bookmarkStart w:id="381" w:name="_Toc184314428"/>
      <w:bookmarkEnd w:id="381"/>
      <w:bookmarkStart w:id="382" w:name="_Toc184314459"/>
      <w:bookmarkEnd w:id="382"/>
      <w:bookmarkStart w:id="383" w:name="_Toc184313265"/>
      <w:bookmarkEnd w:id="383"/>
      <w:bookmarkStart w:id="384" w:name="_Toc184308089"/>
      <w:bookmarkEnd w:id="384"/>
      <w:bookmarkStart w:id="385" w:name="_Toc184310272"/>
      <w:bookmarkEnd w:id="385"/>
      <w:bookmarkStart w:id="386" w:name="_Toc184308105"/>
      <w:bookmarkEnd w:id="386"/>
      <w:bookmarkStart w:id="387" w:name="_Toc184312132"/>
      <w:bookmarkEnd w:id="387"/>
      <w:bookmarkStart w:id="388" w:name="_Toc184313302"/>
      <w:bookmarkEnd w:id="388"/>
      <w:bookmarkStart w:id="389" w:name="_Toc184313294"/>
      <w:bookmarkEnd w:id="389"/>
      <w:bookmarkStart w:id="390" w:name="_Toc184313278"/>
      <w:bookmarkEnd w:id="390"/>
      <w:bookmarkStart w:id="391" w:name="_Toc184310285"/>
      <w:bookmarkEnd w:id="391"/>
      <w:bookmarkStart w:id="392" w:name="_Toc184313242"/>
      <w:bookmarkEnd w:id="392"/>
      <w:bookmarkStart w:id="393" w:name="_Toc184314466"/>
      <w:bookmarkEnd w:id="393"/>
      <w:bookmarkStart w:id="394" w:name="_Toc184313270"/>
      <w:bookmarkEnd w:id="394"/>
      <w:bookmarkStart w:id="395" w:name="_Toc184314445"/>
      <w:bookmarkEnd w:id="395"/>
      <w:bookmarkStart w:id="396" w:name="_Toc184312071"/>
      <w:bookmarkEnd w:id="396"/>
      <w:bookmarkStart w:id="397" w:name="_Toc184312079"/>
      <w:bookmarkEnd w:id="397"/>
      <w:bookmarkStart w:id="398" w:name="_Toc184312131"/>
      <w:bookmarkEnd w:id="398"/>
      <w:bookmarkStart w:id="399" w:name="_Toc184310326"/>
      <w:bookmarkEnd w:id="399"/>
      <w:bookmarkStart w:id="400" w:name="_Toc184310307"/>
      <w:bookmarkEnd w:id="400"/>
      <w:bookmarkStart w:id="401" w:name="_Toc184314418"/>
      <w:bookmarkEnd w:id="401"/>
      <w:bookmarkStart w:id="402" w:name="_Toc184308065"/>
      <w:bookmarkEnd w:id="402"/>
      <w:bookmarkStart w:id="403" w:name="_Toc184312129"/>
      <w:bookmarkEnd w:id="403"/>
      <w:bookmarkStart w:id="404" w:name="_Toc184313290"/>
      <w:bookmarkEnd w:id="404"/>
      <w:r>
        <w:rPr>
          <w:rFonts w:hint="eastAsia" w:ascii="宋体" w:hAnsi="宋体" w:cs="宋体"/>
          <w:color w:val="auto"/>
          <w:sz w:val="36"/>
          <w:szCs w:val="36"/>
          <w:highlight w:val="none"/>
        </w:rPr>
        <w:t>评标办法</w:t>
      </w:r>
      <w:bookmarkEnd w:id="33"/>
      <w:bookmarkEnd w:id="34"/>
    </w:p>
    <w:p w14:paraId="58676AE1">
      <w:pPr>
        <w:snapToGrid w:val="0"/>
        <w:jc w:val="center"/>
        <w:rPr>
          <w:rFonts w:ascii="仿宋" w:hAnsi="仿宋" w:eastAsia="仿宋" w:cs="仿宋"/>
          <w:color w:val="auto"/>
          <w:sz w:val="24"/>
          <w:highlight w:val="none"/>
        </w:rPr>
      </w:pPr>
      <w:r>
        <w:rPr>
          <w:rFonts w:hint="eastAsia" w:ascii="仿宋" w:hAnsi="仿宋" w:eastAsia="仿宋" w:cs="仿宋"/>
          <w:b/>
          <w:color w:val="auto"/>
          <w:sz w:val="32"/>
          <w:szCs w:val="20"/>
          <w:highlight w:val="none"/>
        </w:rPr>
        <w:t>评标办法前附表</w:t>
      </w:r>
    </w:p>
    <w:p w14:paraId="1C109E25">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b/>
          <w:bCs w:val="0"/>
          <w:color w:val="auto"/>
          <w:kern w:val="2"/>
          <w:sz w:val="24"/>
          <w:szCs w:val="24"/>
          <w:highlight w:val="none"/>
        </w:rPr>
      </w:pPr>
      <w:r>
        <w:rPr>
          <w:rFonts w:hint="eastAsia" w:ascii="仿宋" w:hAnsi="仿宋" w:eastAsia="仿宋" w:cs="仿宋"/>
          <w:b/>
          <w:bCs w:val="0"/>
          <w:color w:val="auto"/>
          <w:kern w:val="2"/>
          <w:sz w:val="24"/>
          <w:szCs w:val="24"/>
          <w:highlight w:val="none"/>
          <w:lang w:val="en-US" w:eastAsia="zh-CN" w:bidi="ar"/>
        </w:rPr>
        <w:t>评标办法：综合评分法</w:t>
      </w:r>
    </w:p>
    <w:p w14:paraId="15E8D395">
      <w:pPr>
        <w:keepNext w:val="0"/>
        <w:keepLines w:val="0"/>
        <w:widowControl w:val="0"/>
        <w:suppressLineNumbers w:val="0"/>
        <w:autoSpaceDE w:val="0"/>
        <w:autoSpaceDN w:val="0"/>
        <w:adjustRightInd w:val="0"/>
        <w:spacing w:before="0" w:beforeAutospacing="0" w:after="0" w:afterAutospacing="0"/>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（1）满分为100分。总得分=商务技术得分+报价得分；</w:t>
      </w:r>
    </w:p>
    <w:p w14:paraId="188B711D">
      <w:pPr>
        <w:keepNext w:val="0"/>
        <w:keepLines w:val="0"/>
        <w:widowControl w:val="0"/>
        <w:suppressLineNumbers w:val="0"/>
        <w:autoSpaceDE w:val="0"/>
        <w:autoSpaceDN w:val="0"/>
        <w:adjustRightInd w:val="0"/>
        <w:spacing w:before="0" w:beforeAutospacing="0" w:after="0" w:afterAutospacing="0"/>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（2）商务技术得分=商务技术评分，商务技术评分=所有评委的有效评分的算术平均数。</w:t>
      </w:r>
    </w:p>
    <w:p w14:paraId="3FA56F8C">
      <w:pPr>
        <w:keepNext w:val="0"/>
        <w:keepLines w:val="0"/>
        <w:widowControl w:val="0"/>
        <w:suppressLineNumbers w:val="0"/>
        <w:autoSpaceDE w:val="0"/>
        <w:autoSpaceDN w:val="0"/>
        <w:adjustRightInd w:val="0"/>
        <w:spacing w:before="0" w:beforeAutospacing="0" w:after="0" w:afterAutospacing="0"/>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（3）报价得分=（评标基准价/投标报价）*价格权值*100，评标基准价=有效投标人的最低投标报价，价格权值=20%；</w:t>
      </w:r>
    </w:p>
    <w:p w14:paraId="2D37F43E">
      <w:pPr>
        <w:keepNext w:val="0"/>
        <w:keepLines w:val="0"/>
        <w:widowControl w:val="0"/>
        <w:suppressLineNumbers w:val="0"/>
        <w:autoSpaceDE w:val="0"/>
        <w:autoSpaceDN w:val="0"/>
        <w:adjustRightInd w:val="0"/>
        <w:spacing w:before="0" w:beforeAutospacing="0" w:after="0" w:afterAutospacing="0"/>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（4）商务技术分评分细则（80分）</w:t>
      </w:r>
    </w:p>
    <w:tbl>
      <w:tblPr>
        <w:tblStyle w:val="14"/>
        <w:tblW w:w="9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459"/>
        <w:gridCol w:w="6905"/>
        <w:gridCol w:w="749"/>
      </w:tblGrid>
      <w:tr w14:paraId="11F7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14:paraId="3A47572A">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序号</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0BB573AC">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项目</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6DECB884">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评分标准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77D1B7CF">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分值</w:t>
            </w:r>
          </w:p>
        </w:tc>
      </w:tr>
      <w:tr w14:paraId="17C7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14:paraId="6A205424">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1</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4FD55102">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企业资信</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4CB54015">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投标人具有地市级及以上应急管理局登记备案的风险排查社会化服务机构的得3分。</w:t>
            </w:r>
          </w:p>
          <w:p w14:paraId="42CBAC56">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（注：商务技术文件中需提供相关资质证书复印件或地市级及以上应急管理局官网网页证明并加盖投标人公章，不提供不得分。）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32DF6621">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3分</w:t>
            </w:r>
          </w:p>
        </w:tc>
      </w:tr>
      <w:tr w14:paraId="45A4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14:paraId="1D0326DA">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2</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53AF849D">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项目业绩</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47407065">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自2020年1月1日至今（以合同签订时间为准），投标人具有类似项目经验业绩的，每提供1个得1分，本项最高得2分。</w:t>
            </w:r>
          </w:p>
          <w:p w14:paraId="2DCE9BC6">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（注：须提供服务合同扫描件并加盖公章，未提供不得分）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5A3556D2">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2分</w:t>
            </w:r>
          </w:p>
        </w:tc>
      </w:tr>
      <w:tr w14:paraId="5393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99" w:type="dxa"/>
            <w:tcBorders>
              <w:top w:val="nil"/>
              <w:left w:val="single" w:color="auto" w:sz="4" w:space="0"/>
              <w:bottom w:val="single" w:color="auto" w:sz="4" w:space="0"/>
              <w:right w:val="single" w:color="auto" w:sz="4" w:space="0"/>
            </w:tcBorders>
            <w:noWrap w:val="0"/>
            <w:vAlign w:val="center"/>
          </w:tcPr>
          <w:p w14:paraId="62168A00">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3</w:t>
            </w:r>
          </w:p>
        </w:tc>
        <w:tc>
          <w:tcPr>
            <w:tcW w:w="1459" w:type="dxa"/>
            <w:tcBorders>
              <w:top w:val="nil"/>
              <w:left w:val="single" w:color="auto" w:sz="4" w:space="0"/>
              <w:bottom w:val="single" w:color="auto" w:sz="4" w:space="0"/>
              <w:right w:val="single" w:color="auto" w:sz="4" w:space="0"/>
            </w:tcBorders>
            <w:noWrap w:val="0"/>
            <w:vAlign w:val="center"/>
          </w:tcPr>
          <w:p w14:paraId="45AAC05B">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拟派项目人员情况</w:t>
            </w:r>
          </w:p>
          <w:p w14:paraId="5BDAC1FD">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p>
        </w:tc>
        <w:tc>
          <w:tcPr>
            <w:tcW w:w="6905" w:type="dxa"/>
            <w:tcBorders>
              <w:top w:val="single" w:color="auto" w:sz="4" w:space="0"/>
              <w:left w:val="single" w:color="auto" w:sz="4" w:space="0"/>
              <w:bottom w:val="single" w:color="auto" w:sz="4" w:space="0"/>
              <w:right w:val="single" w:color="auto" w:sz="4" w:space="0"/>
            </w:tcBorders>
            <w:noWrap w:val="0"/>
            <w:vAlign w:val="center"/>
          </w:tcPr>
          <w:p w14:paraId="0420A56A">
            <w:pPr>
              <w:keepNext w:val="0"/>
              <w:keepLines w:val="0"/>
              <w:widowControl w:val="0"/>
              <w:numPr>
                <w:ilvl w:val="0"/>
                <w:numId w:val="5"/>
              </w:numPr>
              <w:suppressLineNumbers w:val="0"/>
              <w:spacing w:before="0" w:beforeAutospacing="0" w:after="0" w:afterAutospacing="0"/>
              <w:ind w:left="0" w:right="0"/>
              <w:jc w:val="both"/>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拟投入本项目的技术负责人必须具有</w:t>
            </w:r>
            <w:r>
              <w:rPr>
                <w:rFonts w:hint="eastAsia" w:ascii="仿宋" w:hAnsi="仿宋" w:eastAsia="仿宋" w:cs="仿宋"/>
                <w:color w:val="auto"/>
                <w:kern w:val="2"/>
                <w:sz w:val="24"/>
                <w:szCs w:val="24"/>
                <w:highlight w:val="none"/>
                <w:lang w:val="en-US" w:eastAsia="zh-CN" w:bidi="ar"/>
              </w:rPr>
              <w:t>注册安全工程师或安全类中级及以上职称人员</w:t>
            </w:r>
            <w:r>
              <w:rPr>
                <w:rFonts w:hint="eastAsia" w:ascii="仿宋" w:hAnsi="仿宋" w:eastAsia="仿宋" w:cs="仿宋"/>
                <w:b w:val="0"/>
                <w:bCs w:val="0"/>
                <w:color w:val="auto"/>
                <w:kern w:val="2"/>
                <w:sz w:val="24"/>
                <w:szCs w:val="24"/>
                <w:highlight w:val="none"/>
                <w:lang w:val="en-US" w:eastAsia="zh-CN" w:bidi="ar"/>
              </w:rPr>
              <w:t>得3分。</w:t>
            </w:r>
          </w:p>
          <w:p w14:paraId="1C80B181">
            <w:pPr>
              <w:keepNext w:val="0"/>
              <w:keepLines w:val="0"/>
              <w:widowControl w:val="0"/>
              <w:numPr>
                <w:ilvl w:val="0"/>
                <w:numId w:val="0"/>
              </w:numPr>
              <w:suppressLineNumbers w:val="0"/>
              <w:spacing w:before="0" w:beforeAutospacing="0" w:after="0" w:afterAutospacing="0"/>
              <w:ind w:right="0" w:rightChars="0"/>
              <w:jc w:val="both"/>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2.拟投入本项目组成人员具有安管员证书的每人得2分；初级注册安全工程师职称的每人得3分；在此基础上同时具有中级工程师的每人得2分；最高得12分。</w:t>
            </w:r>
          </w:p>
          <w:p w14:paraId="73FDDAAA">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（注：</w:t>
            </w:r>
            <w:r>
              <w:rPr>
                <w:rFonts w:hint="eastAsia" w:ascii="仿宋" w:hAnsi="仿宋" w:eastAsia="仿宋" w:cs="仿宋"/>
                <w:b w:val="0"/>
                <w:bCs w:val="0"/>
                <w:color w:val="auto"/>
                <w:kern w:val="2"/>
                <w:sz w:val="24"/>
                <w:szCs w:val="24"/>
                <w:highlight w:val="none"/>
                <w:u w:val="single"/>
                <w:lang w:val="en-US" w:eastAsia="zh-CN" w:bidi="ar"/>
              </w:rPr>
              <w:t>同一人员具有多种资质证书的，除安全专家资格证书可与其他类资质证书累计得分外，其他资质证书相互不得累计得分（按就高原则计取）。</w:t>
            </w:r>
            <w:r>
              <w:rPr>
                <w:rFonts w:hint="eastAsia" w:ascii="仿宋" w:hAnsi="仿宋" w:eastAsia="仿宋" w:cs="仿宋"/>
                <w:b w:val="0"/>
                <w:bCs w:val="0"/>
                <w:color w:val="auto"/>
                <w:kern w:val="2"/>
                <w:sz w:val="24"/>
                <w:szCs w:val="24"/>
                <w:highlight w:val="none"/>
                <w:lang w:val="en-US" w:eastAsia="zh-CN" w:bidi="ar"/>
              </w:rPr>
              <w:t>商务技术文件中需提供拟投入人员名单和相关证书复印件或相关证明文件及投标人为其缴纳的近一个月社保证明并加盖投标人CA签章，不提供不得分。）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500D1795">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15分</w:t>
            </w:r>
          </w:p>
        </w:tc>
      </w:tr>
      <w:tr w14:paraId="1B75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vMerge w:val="restart"/>
            <w:tcBorders>
              <w:top w:val="nil"/>
              <w:left w:val="single" w:color="auto" w:sz="4" w:space="0"/>
              <w:bottom w:val="single" w:color="auto" w:sz="4" w:space="0"/>
              <w:right w:val="single" w:color="auto" w:sz="4" w:space="0"/>
            </w:tcBorders>
            <w:noWrap w:val="0"/>
            <w:vAlign w:val="center"/>
          </w:tcPr>
          <w:p w14:paraId="09C215C6">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4</w:t>
            </w:r>
          </w:p>
        </w:tc>
        <w:tc>
          <w:tcPr>
            <w:tcW w:w="1459" w:type="dxa"/>
            <w:vMerge w:val="restart"/>
            <w:tcBorders>
              <w:top w:val="nil"/>
              <w:left w:val="single" w:color="auto" w:sz="4" w:space="0"/>
              <w:bottom w:val="single" w:color="auto" w:sz="4" w:space="0"/>
              <w:right w:val="single" w:color="auto" w:sz="4" w:space="0"/>
            </w:tcBorders>
            <w:noWrap w:val="0"/>
            <w:vAlign w:val="center"/>
          </w:tcPr>
          <w:p w14:paraId="36C2ED9C">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技术服务</w:t>
            </w:r>
          </w:p>
          <w:p w14:paraId="7E16B024">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方案</w:t>
            </w:r>
          </w:p>
          <w:p w14:paraId="1AAD4447">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p>
        </w:tc>
        <w:tc>
          <w:tcPr>
            <w:tcW w:w="6905" w:type="dxa"/>
            <w:tcBorders>
              <w:top w:val="single" w:color="auto" w:sz="4" w:space="0"/>
              <w:left w:val="single" w:color="auto" w:sz="4" w:space="0"/>
              <w:bottom w:val="single" w:color="auto" w:sz="4" w:space="0"/>
              <w:right w:val="single" w:color="auto" w:sz="4" w:space="0"/>
            </w:tcBorders>
            <w:noWrap w:val="0"/>
            <w:vAlign w:val="center"/>
          </w:tcPr>
          <w:p w14:paraId="10265E67">
            <w:pPr>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b w:val="0"/>
                <w:bCs w:val="0"/>
                <w:color w:val="auto"/>
                <w:kern w:val="2"/>
                <w:sz w:val="24"/>
                <w:szCs w:val="24"/>
                <w:highlight w:val="none"/>
              </w:rPr>
            </w:pPr>
            <w:r>
              <w:rPr>
                <w:rFonts w:hint="eastAsia" w:ascii="仿宋" w:hAnsi="仿宋" w:eastAsia="仿宋" w:cs="仿宋"/>
                <w:b/>
                <w:bCs/>
                <w:color w:val="auto"/>
                <w:kern w:val="2"/>
                <w:sz w:val="24"/>
                <w:szCs w:val="24"/>
                <w:highlight w:val="none"/>
                <w:lang w:val="en-US" w:eastAsia="zh-CN" w:bidi="ar"/>
              </w:rPr>
              <w:t>项目背景分析：</w:t>
            </w:r>
            <w:r>
              <w:rPr>
                <w:rFonts w:hint="eastAsia" w:ascii="仿宋" w:hAnsi="仿宋" w:eastAsia="仿宋" w:cs="仿宋"/>
                <w:b w:val="0"/>
                <w:bCs w:val="0"/>
                <w:color w:val="auto"/>
                <w:kern w:val="2"/>
                <w:sz w:val="24"/>
                <w:szCs w:val="24"/>
                <w:highlight w:val="none"/>
                <w:lang w:val="en-US" w:eastAsia="zh-CN" w:bidi="ar"/>
              </w:rPr>
              <w:t>供应商针对本项目的背景分析，根据内容完整性、合理性、周密性进行打分。</w:t>
            </w:r>
          </w:p>
          <w:p w14:paraId="593BE540">
            <w:pPr>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①方案完整、合理、周密的，与采购需求完全相适应的得6分；</w:t>
            </w:r>
          </w:p>
          <w:p w14:paraId="4447E778">
            <w:pPr>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②方案较完整、合理、周密与采购需求相适应，但存在不足的得4分；</w:t>
            </w:r>
          </w:p>
          <w:p w14:paraId="0CBA3636">
            <w:pPr>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③方案基本与采购相适应，但存在欠缺的得3分；</w:t>
            </w:r>
          </w:p>
          <w:p w14:paraId="3A305BAC">
            <w:pPr>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④方案存在明显缺项的得2分；</w:t>
            </w:r>
          </w:p>
          <w:p w14:paraId="3117236A">
            <w:pPr>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⑤方案与采购需求不适应的得1分；</w:t>
            </w:r>
          </w:p>
          <w:p w14:paraId="0A5C0427">
            <w:pPr>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⑥未提供的得0分。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1832A56D">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6分</w:t>
            </w:r>
          </w:p>
        </w:tc>
      </w:tr>
      <w:tr w14:paraId="2012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3210B04C">
            <w:pPr>
              <w:rPr>
                <w:rFonts w:hint="eastAsia" w:ascii="仿宋" w:hAnsi="仿宋" w:eastAsia="仿宋" w:cs="仿宋"/>
                <w:color w:val="auto"/>
                <w:sz w:val="20"/>
                <w:szCs w:val="20"/>
                <w:highlight w:val="none"/>
              </w:rPr>
            </w:pPr>
          </w:p>
        </w:tc>
        <w:tc>
          <w:tcPr>
            <w:tcW w:w="1459" w:type="dxa"/>
            <w:vMerge w:val="continue"/>
            <w:tcBorders>
              <w:top w:val="nil"/>
              <w:left w:val="single" w:color="auto" w:sz="4" w:space="0"/>
              <w:bottom w:val="single" w:color="auto" w:sz="4" w:space="0"/>
              <w:right w:val="single" w:color="auto" w:sz="4" w:space="0"/>
            </w:tcBorders>
            <w:noWrap w:val="0"/>
            <w:vAlign w:val="center"/>
          </w:tcPr>
          <w:p w14:paraId="3D9BC05E">
            <w:pPr>
              <w:rPr>
                <w:rFonts w:hint="eastAsia" w:ascii="仿宋" w:hAnsi="仿宋" w:eastAsia="仿宋" w:cs="仿宋"/>
                <w:color w:val="auto"/>
                <w:sz w:val="20"/>
                <w:szCs w:val="20"/>
                <w:highlight w:val="none"/>
              </w:rPr>
            </w:pPr>
          </w:p>
        </w:tc>
        <w:tc>
          <w:tcPr>
            <w:tcW w:w="6905" w:type="dxa"/>
            <w:tcBorders>
              <w:top w:val="single" w:color="auto" w:sz="4" w:space="0"/>
              <w:left w:val="single" w:color="auto" w:sz="4" w:space="0"/>
              <w:bottom w:val="single" w:color="auto" w:sz="4" w:space="0"/>
              <w:right w:val="single" w:color="auto" w:sz="4" w:space="0"/>
            </w:tcBorders>
            <w:noWrap w:val="0"/>
            <w:vAlign w:val="center"/>
          </w:tcPr>
          <w:p w14:paraId="7401FD79">
            <w:pPr>
              <w:keepNext w:val="0"/>
              <w:keepLines w:val="0"/>
              <w:widowControl w:val="0"/>
              <w:suppressLineNumbers w:val="0"/>
              <w:autoSpaceDE w:val="0"/>
              <w:autoSpaceDN w:val="0"/>
              <w:adjustRightInd w:val="0"/>
              <w:spacing w:before="0" w:beforeAutospacing="0" w:after="0" w:afterAutospacing="0"/>
              <w:ind w:left="0" w:right="0"/>
              <w:jc w:val="both"/>
              <w:rPr>
                <w:rFonts w:hint="eastAsia" w:ascii="仿宋" w:hAnsi="仿宋" w:eastAsia="仿宋" w:cs="仿宋"/>
                <w:b w:val="0"/>
                <w:bCs w:val="0"/>
                <w:color w:val="auto"/>
                <w:kern w:val="2"/>
                <w:sz w:val="24"/>
                <w:szCs w:val="24"/>
                <w:highlight w:val="none"/>
              </w:rPr>
            </w:pPr>
            <w:r>
              <w:rPr>
                <w:rFonts w:hint="eastAsia" w:ascii="仿宋" w:hAnsi="仿宋" w:eastAsia="仿宋" w:cs="仿宋"/>
                <w:b/>
                <w:bCs/>
                <w:color w:val="auto"/>
                <w:kern w:val="2"/>
                <w:sz w:val="24"/>
                <w:szCs w:val="24"/>
                <w:highlight w:val="none"/>
                <w:lang w:val="en-US" w:eastAsia="zh-CN" w:bidi="ar"/>
              </w:rPr>
              <w:t>抢险救援服务方案：</w:t>
            </w:r>
            <w:r>
              <w:rPr>
                <w:rFonts w:hint="eastAsia" w:ascii="仿宋" w:hAnsi="仿宋" w:eastAsia="仿宋" w:cs="仿宋"/>
                <w:b w:val="0"/>
                <w:bCs w:val="0"/>
                <w:color w:val="auto"/>
                <w:kern w:val="2"/>
                <w:sz w:val="24"/>
                <w:szCs w:val="24"/>
                <w:highlight w:val="none"/>
                <w:lang w:val="en-US" w:eastAsia="zh-CN" w:bidi="ar"/>
              </w:rPr>
              <w:t>根据各供应商服务方案的可行性、与项目的匹配性进行评分。</w:t>
            </w:r>
          </w:p>
          <w:p w14:paraId="3282A683">
            <w:pPr>
              <w:keepNext w:val="0"/>
              <w:keepLines w:val="0"/>
              <w:widowControl w:val="0"/>
              <w:suppressLineNumbers w:val="0"/>
              <w:autoSpaceDE w:val="0"/>
              <w:autoSpaceDN w:val="0"/>
              <w:adjustRightInd w:val="0"/>
              <w:spacing w:before="0" w:beforeAutospacing="0" w:after="0" w:afterAutospacing="0"/>
              <w:ind w:left="0" w:right="0"/>
              <w:jc w:val="both"/>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①方案全面合理且可操作性明确的，与采购需求完全相适应的得6分；</w:t>
            </w:r>
          </w:p>
          <w:p w14:paraId="37281C0E">
            <w:pPr>
              <w:keepNext w:val="0"/>
              <w:keepLines w:val="0"/>
              <w:widowControl w:val="0"/>
              <w:suppressLineNumbers w:val="0"/>
              <w:autoSpaceDE w:val="0"/>
              <w:autoSpaceDN w:val="0"/>
              <w:adjustRightInd w:val="0"/>
              <w:spacing w:before="0" w:beforeAutospacing="0" w:after="0" w:afterAutospacing="0"/>
              <w:ind w:left="0" w:right="0"/>
              <w:jc w:val="both"/>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②方案详细且与采购需求相适应，但存在不足的得4分；</w:t>
            </w:r>
          </w:p>
          <w:p w14:paraId="0260CCEB">
            <w:pPr>
              <w:keepNext w:val="0"/>
              <w:keepLines w:val="0"/>
              <w:widowControl w:val="0"/>
              <w:suppressLineNumbers w:val="0"/>
              <w:autoSpaceDE w:val="0"/>
              <w:autoSpaceDN w:val="0"/>
              <w:adjustRightInd w:val="0"/>
              <w:spacing w:before="0" w:beforeAutospacing="0" w:after="0" w:afterAutospacing="0"/>
              <w:ind w:left="0" w:right="0"/>
              <w:jc w:val="both"/>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③方案基本与采购相适应，但存在欠缺的得3分；</w:t>
            </w:r>
          </w:p>
          <w:p w14:paraId="1311E9B2">
            <w:pPr>
              <w:keepNext w:val="0"/>
              <w:keepLines w:val="0"/>
              <w:widowControl w:val="0"/>
              <w:suppressLineNumbers w:val="0"/>
              <w:autoSpaceDE w:val="0"/>
              <w:autoSpaceDN w:val="0"/>
              <w:adjustRightInd w:val="0"/>
              <w:spacing w:before="0" w:beforeAutospacing="0" w:after="0" w:afterAutospacing="0"/>
              <w:ind w:left="0" w:right="0"/>
              <w:jc w:val="both"/>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④方案存在明显缺项的得2分；</w:t>
            </w:r>
          </w:p>
          <w:p w14:paraId="209E31DE">
            <w:pPr>
              <w:keepNext w:val="0"/>
              <w:keepLines w:val="0"/>
              <w:widowControl w:val="0"/>
              <w:suppressLineNumbers w:val="0"/>
              <w:autoSpaceDE w:val="0"/>
              <w:autoSpaceDN w:val="0"/>
              <w:adjustRightInd w:val="0"/>
              <w:spacing w:before="0" w:beforeAutospacing="0" w:after="0" w:afterAutospacing="0"/>
              <w:ind w:left="0" w:right="0"/>
              <w:jc w:val="both"/>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⑤方案与采购需求不适应的得1分；</w:t>
            </w:r>
          </w:p>
          <w:p w14:paraId="109194AB">
            <w:pPr>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⑥未提供的得0分。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1F902EBD">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6分</w:t>
            </w:r>
          </w:p>
        </w:tc>
      </w:tr>
      <w:tr w14:paraId="2B4E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647031F2">
            <w:pPr>
              <w:rPr>
                <w:rFonts w:hint="eastAsia" w:ascii="仿宋" w:hAnsi="仿宋" w:eastAsia="仿宋" w:cs="仿宋"/>
                <w:color w:val="auto"/>
                <w:sz w:val="20"/>
                <w:szCs w:val="20"/>
                <w:highlight w:val="none"/>
              </w:rPr>
            </w:pPr>
          </w:p>
        </w:tc>
        <w:tc>
          <w:tcPr>
            <w:tcW w:w="1459" w:type="dxa"/>
            <w:vMerge w:val="continue"/>
            <w:tcBorders>
              <w:top w:val="nil"/>
              <w:left w:val="single" w:color="auto" w:sz="4" w:space="0"/>
              <w:bottom w:val="single" w:color="auto" w:sz="4" w:space="0"/>
              <w:right w:val="single" w:color="auto" w:sz="4" w:space="0"/>
            </w:tcBorders>
            <w:noWrap w:val="0"/>
            <w:vAlign w:val="center"/>
          </w:tcPr>
          <w:p w14:paraId="1DB5A2A2">
            <w:pPr>
              <w:rPr>
                <w:rFonts w:hint="eastAsia" w:ascii="仿宋" w:hAnsi="仿宋" w:eastAsia="仿宋" w:cs="仿宋"/>
                <w:color w:val="auto"/>
                <w:sz w:val="20"/>
                <w:szCs w:val="20"/>
                <w:highlight w:val="none"/>
              </w:rPr>
            </w:pPr>
          </w:p>
        </w:tc>
        <w:tc>
          <w:tcPr>
            <w:tcW w:w="6905" w:type="dxa"/>
            <w:tcBorders>
              <w:top w:val="single" w:color="auto" w:sz="4" w:space="0"/>
              <w:left w:val="single" w:color="auto" w:sz="4" w:space="0"/>
              <w:bottom w:val="single" w:color="auto" w:sz="4" w:space="0"/>
              <w:right w:val="single" w:color="auto" w:sz="4" w:space="0"/>
            </w:tcBorders>
            <w:noWrap w:val="0"/>
            <w:vAlign w:val="center"/>
          </w:tcPr>
          <w:p w14:paraId="34009545">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lang w:val="en-US" w:eastAsia="zh-CN" w:bidi="ar"/>
              </w:rPr>
              <w:t>宣传服务方案：</w:t>
            </w:r>
            <w:r>
              <w:rPr>
                <w:rFonts w:hint="eastAsia" w:ascii="仿宋" w:hAnsi="仿宋" w:eastAsia="仿宋" w:cs="仿宋"/>
                <w:color w:val="auto"/>
                <w:kern w:val="2"/>
                <w:sz w:val="24"/>
                <w:szCs w:val="24"/>
                <w:highlight w:val="none"/>
                <w:lang w:val="en-US" w:eastAsia="zh-CN" w:bidi="ar"/>
              </w:rPr>
              <w:t>根据各供应商服务方案的可行性、与项目的匹配性进行评分。</w:t>
            </w:r>
          </w:p>
          <w:p w14:paraId="34CC1A0B">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①方案全面合理且可操作性明确的，与采购需求完全相适应的得6分；</w:t>
            </w:r>
          </w:p>
          <w:p w14:paraId="4F12E794">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②方案详细且与采购需求相适应，但存在不足的得4分；</w:t>
            </w:r>
          </w:p>
          <w:p w14:paraId="4B4882F1">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③方案基本与采购相适应，但存在欠缺的得3分；</w:t>
            </w:r>
          </w:p>
          <w:p w14:paraId="0854C29C">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④方案存在明显缺项的得2分；</w:t>
            </w:r>
          </w:p>
          <w:p w14:paraId="05EEBFB6">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⑤方案与采购需求不适应的得1分；</w:t>
            </w:r>
          </w:p>
          <w:p w14:paraId="4AC68337">
            <w:pPr>
              <w:keepNext w:val="0"/>
              <w:keepLines w:val="0"/>
              <w:widowControl w:val="0"/>
              <w:suppressLineNumbers w:val="0"/>
              <w:autoSpaceDE w:val="0"/>
              <w:autoSpaceDN w:val="0"/>
              <w:adjustRightInd w:val="0"/>
              <w:spacing w:before="0" w:beforeAutospacing="0" w:after="0" w:afterAutospacing="0"/>
              <w:ind w:left="0" w:right="0"/>
              <w:jc w:val="both"/>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⑥未提供的得0分。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29F81D01">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6分</w:t>
            </w:r>
          </w:p>
        </w:tc>
      </w:tr>
      <w:tr w14:paraId="0CA5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1168C97B">
            <w:pPr>
              <w:rPr>
                <w:rFonts w:hint="eastAsia" w:ascii="仿宋" w:hAnsi="仿宋" w:eastAsia="仿宋" w:cs="仿宋"/>
                <w:color w:val="auto"/>
                <w:sz w:val="20"/>
                <w:szCs w:val="20"/>
                <w:highlight w:val="none"/>
              </w:rPr>
            </w:pPr>
          </w:p>
        </w:tc>
        <w:tc>
          <w:tcPr>
            <w:tcW w:w="1459" w:type="dxa"/>
            <w:vMerge w:val="continue"/>
            <w:tcBorders>
              <w:top w:val="nil"/>
              <w:left w:val="single" w:color="auto" w:sz="4" w:space="0"/>
              <w:bottom w:val="single" w:color="auto" w:sz="4" w:space="0"/>
              <w:right w:val="single" w:color="auto" w:sz="4" w:space="0"/>
            </w:tcBorders>
            <w:noWrap w:val="0"/>
            <w:vAlign w:val="center"/>
          </w:tcPr>
          <w:p w14:paraId="3AAFB34A">
            <w:pPr>
              <w:rPr>
                <w:rFonts w:hint="eastAsia" w:ascii="仿宋" w:hAnsi="仿宋" w:eastAsia="仿宋" w:cs="仿宋"/>
                <w:color w:val="auto"/>
                <w:sz w:val="20"/>
                <w:szCs w:val="20"/>
                <w:highlight w:val="none"/>
              </w:rPr>
            </w:pPr>
          </w:p>
        </w:tc>
        <w:tc>
          <w:tcPr>
            <w:tcW w:w="6905" w:type="dxa"/>
            <w:tcBorders>
              <w:top w:val="single" w:color="auto" w:sz="4" w:space="0"/>
              <w:left w:val="single" w:color="auto" w:sz="4" w:space="0"/>
              <w:bottom w:val="single" w:color="auto" w:sz="4" w:space="0"/>
              <w:right w:val="single" w:color="auto" w:sz="4" w:space="0"/>
            </w:tcBorders>
            <w:noWrap w:val="0"/>
            <w:vAlign w:val="center"/>
          </w:tcPr>
          <w:p w14:paraId="43B85616">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针对本项目服务重点、难点及相应解决措施。供应商结合对本项目采购需求的理解，对服务存在的难点、要点问题分析及解决措施。</w:t>
            </w:r>
          </w:p>
          <w:p w14:paraId="0CABE2C7">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①措施全面合理且可操作性明确的，与采购需求完全相适应的得6分；</w:t>
            </w:r>
          </w:p>
          <w:p w14:paraId="63D0EC02">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②措施详细且与采购需求相适应，但存在不足的得4分；</w:t>
            </w:r>
          </w:p>
          <w:p w14:paraId="6CEF2C3B">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③措施基本与采购相适应，但存在欠缺的得3分；</w:t>
            </w:r>
          </w:p>
          <w:p w14:paraId="140B0C7B">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④措施存在明显缺项的得2分；</w:t>
            </w:r>
          </w:p>
          <w:p w14:paraId="0C50AEA2">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⑤措施与采购需求不适应的得1分；</w:t>
            </w:r>
          </w:p>
          <w:p w14:paraId="0BAC4918">
            <w:pPr>
              <w:keepNext w:val="0"/>
              <w:keepLines w:val="0"/>
              <w:widowControl w:val="0"/>
              <w:suppressLineNumbers w:val="0"/>
              <w:autoSpaceDE w:val="0"/>
              <w:autoSpaceDN w:val="0"/>
              <w:adjustRightInd w:val="0"/>
              <w:spacing w:before="0" w:beforeAutospacing="0" w:after="0" w:afterAutospacing="0"/>
              <w:ind w:left="0" w:right="0"/>
              <w:jc w:val="both"/>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⑥未提供的得0分。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4AA6BB59">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6分</w:t>
            </w:r>
          </w:p>
        </w:tc>
      </w:tr>
      <w:tr w14:paraId="718F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99" w:type="dxa"/>
            <w:vMerge w:val="restart"/>
            <w:tcBorders>
              <w:top w:val="nil"/>
              <w:left w:val="single" w:color="auto" w:sz="4" w:space="0"/>
              <w:bottom w:val="single" w:color="auto" w:sz="4" w:space="0"/>
              <w:right w:val="single" w:color="auto" w:sz="4" w:space="0"/>
            </w:tcBorders>
            <w:noWrap w:val="0"/>
            <w:vAlign w:val="center"/>
          </w:tcPr>
          <w:p w14:paraId="13A5BB55">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5</w:t>
            </w:r>
          </w:p>
        </w:tc>
        <w:tc>
          <w:tcPr>
            <w:tcW w:w="1459" w:type="dxa"/>
            <w:vMerge w:val="restart"/>
            <w:tcBorders>
              <w:top w:val="nil"/>
              <w:left w:val="single" w:color="auto" w:sz="4" w:space="0"/>
              <w:bottom w:val="single" w:color="auto" w:sz="4" w:space="0"/>
              <w:right w:val="single" w:color="auto" w:sz="4" w:space="0"/>
            </w:tcBorders>
            <w:noWrap w:val="0"/>
            <w:vAlign w:val="center"/>
          </w:tcPr>
          <w:p w14:paraId="7114B0A9">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项目质量管理方案</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32CB1999">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根据供应商提供的整体保障措施（包括质量管理目标明确、质量管理组织机构完善）进行评议：</w:t>
            </w:r>
          </w:p>
          <w:p w14:paraId="2DDD5D73">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①措施全面合理且可操作性明确的，与采购需求完全相适应的得6分；</w:t>
            </w:r>
          </w:p>
          <w:p w14:paraId="4EACA44A">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②措施详细且与采购需求相适应，但存在不足的得4分；</w:t>
            </w:r>
          </w:p>
          <w:p w14:paraId="5694F08B">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③措施基本与采购相适应，但存在欠缺的得3分；</w:t>
            </w:r>
          </w:p>
          <w:p w14:paraId="4D74ABD0">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④措施存在明显缺项的得2分；</w:t>
            </w:r>
          </w:p>
          <w:p w14:paraId="7FDBCD03">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⑤措施与采购需求不适应的得1分；</w:t>
            </w:r>
          </w:p>
          <w:p w14:paraId="3033B1D4">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b w:val="0"/>
                <w:bCs w:val="0"/>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⑥未提供的得0分。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64421FF1">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6分</w:t>
            </w:r>
          </w:p>
        </w:tc>
      </w:tr>
      <w:tr w14:paraId="67D9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62AFC507">
            <w:pPr>
              <w:rPr>
                <w:rFonts w:hint="eastAsia" w:ascii="仿宋" w:hAnsi="仿宋" w:eastAsia="仿宋" w:cs="仿宋"/>
                <w:color w:val="auto"/>
                <w:sz w:val="20"/>
                <w:szCs w:val="20"/>
                <w:highlight w:val="none"/>
              </w:rPr>
            </w:pPr>
          </w:p>
        </w:tc>
        <w:tc>
          <w:tcPr>
            <w:tcW w:w="1459" w:type="dxa"/>
            <w:vMerge w:val="continue"/>
            <w:tcBorders>
              <w:top w:val="nil"/>
              <w:left w:val="single" w:color="auto" w:sz="4" w:space="0"/>
              <w:bottom w:val="single" w:color="auto" w:sz="4" w:space="0"/>
              <w:right w:val="single" w:color="auto" w:sz="4" w:space="0"/>
            </w:tcBorders>
            <w:noWrap w:val="0"/>
            <w:vAlign w:val="center"/>
          </w:tcPr>
          <w:p w14:paraId="3229E7B2">
            <w:pPr>
              <w:rPr>
                <w:rFonts w:hint="eastAsia" w:ascii="仿宋" w:hAnsi="仿宋" w:eastAsia="仿宋" w:cs="仿宋"/>
                <w:color w:val="auto"/>
                <w:sz w:val="20"/>
                <w:szCs w:val="20"/>
                <w:highlight w:val="none"/>
              </w:rPr>
            </w:pPr>
          </w:p>
        </w:tc>
        <w:tc>
          <w:tcPr>
            <w:tcW w:w="6905" w:type="dxa"/>
            <w:tcBorders>
              <w:top w:val="single" w:color="auto" w:sz="4" w:space="0"/>
              <w:left w:val="single" w:color="auto" w:sz="4" w:space="0"/>
              <w:bottom w:val="single" w:color="auto" w:sz="4" w:space="0"/>
              <w:right w:val="single" w:color="auto" w:sz="4" w:space="0"/>
            </w:tcBorders>
            <w:noWrap w:val="0"/>
            <w:vAlign w:val="center"/>
          </w:tcPr>
          <w:p w14:paraId="03B1337A">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根据供应商提供的质量保证措施全面、企业问题处理原则及流程可行进行评议：</w:t>
            </w:r>
          </w:p>
          <w:p w14:paraId="25A699E4">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①措施全面合理且可操作性明确的，与采购需求完全相适应的得6分；</w:t>
            </w:r>
          </w:p>
          <w:p w14:paraId="3DD17EC1">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②措施详细且与采购需求相适应，但存在不足的得4分；</w:t>
            </w:r>
          </w:p>
          <w:p w14:paraId="42F5AF21">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③措施基本与采购相适应，但存在欠缺的得3分；</w:t>
            </w:r>
          </w:p>
          <w:p w14:paraId="2CD76304">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④措施存在明显缺项的得2分；</w:t>
            </w:r>
          </w:p>
          <w:p w14:paraId="1E2E0C72">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⑤措施与采购需求不适应的得1分；</w:t>
            </w:r>
          </w:p>
          <w:p w14:paraId="48ABA077">
            <w:pPr>
              <w:pStyle w:val="2"/>
              <w:rPr>
                <w:rFonts w:hint="eastAsia" w:ascii="仿宋" w:hAnsi="仿宋" w:eastAsia="仿宋" w:cs="仿宋"/>
              </w:rPr>
            </w:pPr>
            <w:r>
              <w:rPr>
                <w:rFonts w:hint="eastAsia" w:ascii="仿宋" w:hAnsi="仿宋" w:eastAsia="仿宋" w:cs="仿宋"/>
                <w:b w:val="0"/>
                <w:bCs w:val="0"/>
                <w:color w:val="auto"/>
                <w:kern w:val="2"/>
                <w:sz w:val="24"/>
                <w:szCs w:val="24"/>
                <w:highlight w:val="none"/>
                <w:lang w:val="en-US" w:eastAsia="zh-CN" w:bidi="ar"/>
              </w:rPr>
              <w:t>⑥未提供的得0分。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384A8E0F">
            <w:pPr>
              <w:pStyle w:val="13"/>
              <w:keepNext w:val="0"/>
              <w:keepLines w:val="0"/>
              <w:widowControl w:val="0"/>
              <w:suppressLineNumbers w:val="0"/>
              <w:spacing w:before="100" w:beforeAutospacing="1" w:after="0" w:afterAutospacing="0"/>
              <w:ind w:left="0" w:leftChars="0" w:right="0" w:firstLine="0" w:firstLineChars="0"/>
              <w:jc w:val="both"/>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6</w:t>
            </w:r>
            <w:r>
              <w:rPr>
                <w:rFonts w:hint="eastAsia" w:ascii="仿宋" w:hAnsi="仿宋" w:eastAsia="仿宋" w:cs="仿宋"/>
                <w:b w:val="0"/>
                <w:bCs w:val="0"/>
                <w:color w:val="auto"/>
                <w:kern w:val="2"/>
                <w:sz w:val="24"/>
                <w:szCs w:val="24"/>
                <w:highlight w:val="none"/>
              </w:rPr>
              <w:t>分</w:t>
            </w:r>
          </w:p>
        </w:tc>
      </w:tr>
      <w:tr w14:paraId="119A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52258C0D">
            <w:pPr>
              <w:rPr>
                <w:rFonts w:hint="eastAsia" w:ascii="仿宋" w:hAnsi="仿宋" w:eastAsia="仿宋" w:cs="仿宋"/>
                <w:color w:val="auto"/>
                <w:sz w:val="20"/>
                <w:szCs w:val="20"/>
                <w:highlight w:val="none"/>
              </w:rPr>
            </w:pPr>
          </w:p>
        </w:tc>
        <w:tc>
          <w:tcPr>
            <w:tcW w:w="1459" w:type="dxa"/>
            <w:vMerge w:val="continue"/>
            <w:tcBorders>
              <w:top w:val="nil"/>
              <w:left w:val="single" w:color="auto" w:sz="4" w:space="0"/>
              <w:bottom w:val="single" w:color="auto" w:sz="4" w:space="0"/>
              <w:right w:val="single" w:color="auto" w:sz="4" w:space="0"/>
            </w:tcBorders>
            <w:noWrap w:val="0"/>
            <w:vAlign w:val="center"/>
          </w:tcPr>
          <w:p w14:paraId="0D371F49">
            <w:pPr>
              <w:rPr>
                <w:rFonts w:hint="eastAsia" w:ascii="仿宋" w:hAnsi="仿宋" w:eastAsia="仿宋" w:cs="仿宋"/>
                <w:color w:val="auto"/>
                <w:sz w:val="20"/>
                <w:szCs w:val="20"/>
                <w:highlight w:val="none"/>
              </w:rPr>
            </w:pPr>
          </w:p>
        </w:tc>
        <w:tc>
          <w:tcPr>
            <w:tcW w:w="6905" w:type="dxa"/>
            <w:tcBorders>
              <w:top w:val="single" w:color="auto" w:sz="4" w:space="0"/>
              <w:left w:val="single" w:color="auto" w:sz="4" w:space="0"/>
              <w:bottom w:val="single" w:color="auto" w:sz="4" w:space="0"/>
              <w:right w:val="single" w:color="auto" w:sz="4" w:space="0"/>
            </w:tcBorders>
            <w:noWrap w:val="0"/>
            <w:vAlign w:val="center"/>
          </w:tcPr>
          <w:p w14:paraId="0A98A05C">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rPr>
              <w:t>装</w:t>
            </w:r>
            <w:r>
              <w:rPr>
                <w:rFonts w:hint="eastAsia" w:ascii="仿宋" w:hAnsi="仿宋" w:eastAsia="仿宋" w:cs="仿宋"/>
                <w:b w:val="0"/>
                <w:bCs w:val="0"/>
                <w:color w:val="auto"/>
                <w:kern w:val="2"/>
                <w:sz w:val="24"/>
                <w:szCs w:val="24"/>
                <w:highlight w:val="none"/>
                <w:lang w:val="en-US" w:eastAsia="zh-CN" w:bidi="ar"/>
              </w:rPr>
              <w:t>备投标响应与采购需求的符合情况。</w:t>
            </w:r>
          </w:p>
          <w:p w14:paraId="05F2812F">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①方案全面合理且具有证明材料的，与采购需求完全相适应的得9分；</w:t>
            </w:r>
          </w:p>
          <w:p w14:paraId="402E5CA8">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②方案详细且具有证明材料的，与采购需求相适应，但存在不足的得6分；</w:t>
            </w:r>
          </w:p>
          <w:p w14:paraId="6FDCDA7D">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③方案基本与采购需求相适应具有证明材料的，但存在欠缺的得3分；</w:t>
            </w:r>
          </w:p>
          <w:p w14:paraId="6787DFEB">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④方案存在明显缺项无证明材料的的得2分；</w:t>
            </w:r>
          </w:p>
          <w:p w14:paraId="26D81500">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⑤方案与采购需求不适应的得1分；</w:t>
            </w:r>
          </w:p>
          <w:p w14:paraId="3E16B1A4">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val="0"/>
                <w:bCs w:val="0"/>
                <w:color w:val="auto"/>
                <w:kern w:val="2"/>
                <w:sz w:val="24"/>
                <w:szCs w:val="24"/>
                <w:highlight w:val="none"/>
                <w:lang w:val="en-US" w:eastAsia="zh-CN" w:bidi="ar"/>
              </w:rPr>
              <w:t>⑥未提供的得0分。</w:t>
            </w:r>
          </w:p>
          <w:p w14:paraId="79E5A434">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证明材料：采购合同和发票、车辆行驶证、装备产品参数清单。</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4BD408F5">
            <w:pPr>
              <w:pStyle w:val="13"/>
              <w:keepNext w:val="0"/>
              <w:keepLines w:val="0"/>
              <w:widowControl w:val="0"/>
              <w:suppressLineNumbers w:val="0"/>
              <w:spacing w:before="100" w:beforeAutospacing="1" w:after="0" w:afterAutospacing="0"/>
              <w:ind w:left="0" w:leftChars="0" w:right="0" w:firstLine="0" w:firstLineChars="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9</w:t>
            </w:r>
            <w:r>
              <w:rPr>
                <w:rFonts w:hint="eastAsia" w:ascii="仿宋" w:hAnsi="仿宋" w:eastAsia="仿宋" w:cs="仿宋"/>
                <w:b w:val="0"/>
                <w:bCs w:val="0"/>
                <w:color w:val="auto"/>
                <w:kern w:val="2"/>
                <w:sz w:val="24"/>
                <w:szCs w:val="24"/>
                <w:highlight w:val="none"/>
              </w:rPr>
              <w:t>分</w:t>
            </w:r>
          </w:p>
        </w:tc>
      </w:tr>
      <w:tr w14:paraId="1683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99" w:type="dxa"/>
            <w:vMerge w:val="continue"/>
            <w:tcBorders>
              <w:top w:val="nil"/>
              <w:left w:val="single" w:color="auto" w:sz="4" w:space="0"/>
              <w:bottom w:val="single" w:color="auto" w:sz="4" w:space="0"/>
              <w:right w:val="single" w:color="auto" w:sz="4" w:space="0"/>
            </w:tcBorders>
            <w:noWrap w:val="0"/>
            <w:vAlign w:val="center"/>
          </w:tcPr>
          <w:p w14:paraId="17646C1C">
            <w:pPr>
              <w:rPr>
                <w:rFonts w:hint="eastAsia" w:ascii="仿宋" w:hAnsi="仿宋" w:eastAsia="仿宋" w:cs="仿宋"/>
                <w:color w:val="auto"/>
                <w:sz w:val="20"/>
                <w:szCs w:val="20"/>
                <w:highlight w:val="none"/>
              </w:rPr>
            </w:pPr>
          </w:p>
        </w:tc>
        <w:tc>
          <w:tcPr>
            <w:tcW w:w="1459" w:type="dxa"/>
            <w:vMerge w:val="continue"/>
            <w:tcBorders>
              <w:top w:val="nil"/>
              <w:left w:val="single" w:color="auto" w:sz="4" w:space="0"/>
              <w:bottom w:val="single" w:color="auto" w:sz="4" w:space="0"/>
              <w:right w:val="single" w:color="auto" w:sz="4" w:space="0"/>
            </w:tcBorders>
            <w:noWrap w:val="0"/>
            <w:vAlign w:val="center"/>
          </w:tcPr>
          <w:p w14:paraId="277485C0">
            <w:pPr>
              <w:rPr>
                <w:rFonts w:hint="eastAsia" w:ascii="仿宋" w:hAnsi="仿宋" w:eastAsia="仿宋" w:cs="仿宋"/>
                <w:color w:val="auto"/>
                <w:sz w:val="20"/>
                <w:szCs w:val="20"/>
                <w:highlight w:val="none"/>
              </w:rPr>
            </w:pPr>
          </w:p>
        </w:tc>
        <w:tc>
          <w:tcPr>
            <w:tcW w:w="6905" w:type="dxa"/>
            <w:tcBorders>
              <w:top w:val="single" w:color="auto" w:sz="4" w:space="0"/>
              <w:left w:val="single" w:color="auto" w:sz="4" w:space="0"/>
              <w:bottom w:val="single" w:color="auto" w:sz="4" w:space="0"/>
              <w:right w:val="single" w:color="auto" w:sz="4" w:space="0"/>
            </w:tcBorders>
            <w:noWrap w:val="0"/>
            <w:vAlign w:val="center"/>
          </w:tcPr>
          <w:p w14:paraId="7B68A720">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供应商具有：</w:t>
            </w:r>
          </w:p>
          <w:p w14:paraId="7DE355A8">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lang w:val="en-US" w:eastAsia="zh-CN" w:bidi="ar"/>
              </w:rPr>
              <w:t>(1)完善的管理制度(包括值守人员职责、交接班制度、例会制度等) （2分）;</w:t>
            </w:r>
            <w:r>
              <w:rPr>
                <w:rFonts w:hint="eastAsia" w:ascii="仿宋" w:hAnsi="仿宋" w:eastAsia="仿宋" w:cs="仿宋"/>
                <w:color w:val="auto"/>
                <w:kern w:val="2"/>
                <w:sz w:val="24"/>
                <w:szCs w:val="24"/>
                <w:highlight w:val="none"/>
                <w:lang w:val="en-US" w:eastAsia="zh-CN" w:bidi="ar"/>
              </w:rPr>
              <w:t xml:space="preserve"> </w:t>
            </w:r>
          </w:p>
          <w:p w14:paraId="52AE5F04">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①方案合理且可行得得2分；</w:t>
            </w:r>
          </w:p>
          <w:p w14:paraId="58F3E7EE">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②存在欠缺但基本合理、可行的得1分；</w:t>
            </w:r>
          </w:p>
          <w:p w14:paraId="0335DD04">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③未提供的，不合理或不可行的得0分。</w:t>
            </w:r>
          </w:p>
          <w:p w14:paraId="2482B6FE">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b/>
                <w:bCs/>
                <w:color w:val="auto"/>
                <w:kern w:val="2"/>
                <w:sz w:val="24"/>
                <w:szCs w:val="24"/>
                <w:highlight w:val="none"/>
                <w:lang w:val="en-US" w:eastAsia="zh-CN" w:bidi="ar"/>
              </w:rPr>
              <w:t>(2)完善档案管理制度（2分）;</w:t>
            </w:r>
            <w:r>
              <w:rPr>
                <w:rFonts w:hint="eastAsia" w:ascii="仿宋" w:hAnsi="仿宋" w:eastAsia="仿宋" w:cs="仿宋"/>
                <w:color w:val="auto"/>
                <w:kern w:val="2"/>
                <w:sz w:val="24"/>
                <w:szCs w:val="24"/>
                <w:highlight w:val="none"/>
                <w:lang w:val="en-US" w:eastAsia="zh-CN" w:bidi="ar"/>
              </w:rPr>
              <w:t xml:space="preserve"> </w:t>
            </w:r>
          </w:p>
          <w:p w14:paraId="75B4E292">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①方案合理且可行得得2分；</w:t>
            </w:r>
          </w:p>
          <w:p w14:paraId="6EF150AE">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②存在欠缺但基本合理、可行的得1分；</w:t>
            </w:r>
          </w:p>
          <w:p w14:paraId="23343057">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③未提供的，不合理或不可行的得0分。</w:t>
            </w:r>
          </w:p>
          <w:p w14:paraId="255ED669">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lang w:val="en-US" w:eastAsia="zh-CN" w:bidi="ar"/>
              </w:rPr>
              <w:t>(3)有激励机制、监督机制、约束机制、及时处理机制（3分）；</w:t>
            </w:r>
          </w:p>
          <w:p w14:paraId="7118178F">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①方案合理且可行得得3分；</w:t>
            </w:r>
          </w:p>
          <w:p w14:paraId="78D0E365">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②存在欠缺但基本合理、可行的得2分；</w:t>
            </w:r>
          </w:p>
          <w:p w14:paraId="1C9EAEC8">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③不合理或不可行的得1分；</w:t>
            </w:r>
          </w:p>
          <w:p w14:paraId="7B6A38D9">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④未提供的得0分。</w:t>
            </w:r>
          </w:p>
          <w:p w14:paraId="1ED3B47B">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lang w:val="en-US" w:eastAsia="zh-CN" w:bidi="ar"/>
              </w:rPr>
              <w:t>(4)承诺管理指标达到管理标准的情况（2分）。</w:t>
            </w:r>
          </w:p>
          <w:p w14:paraId="2007D012">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①方案合理且可行得得2分；</w:t>
            </w:r>
          </w:p>
          <w:p w14:paraId="5E075F29">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②存在欠缺但基本合理、可行的得1分；</w:t>
            </w:r>
          </w:p>
          <w:p w14:paraId="7C45D76D">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③未提供的，不合理或不可行的得0分。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5DD849B9">
            <w:pPr>
              <w:pStyle w:val="13"/>
              <w:keepNext w:val="0"/>
              <w:keepLines w:val="0"/>
              <w:widowControl w:val="0"/>
              <w:suppressLineNumbers w:val="0"/>
              <w:spacing w:before="100" w:beforeAutospacing="1" w:after="0" w:afterAutospacing="0"/>
              <w:ind w:left="0" w:leftChars="0" w:right="0" w:firstLine="0" w:firstLineChars="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9分</w:t>
            </w:r>
          </w:p>
        </w:tc>
      </w:tr>
      <w:tr w14:paraId="5E50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14:paraId="6041E921">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6</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5F3B46BF">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增值服务</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6CD3882F">
            <w:pPr>
              <w:pStyle w:val="27"/>
              <w:keepNext w:val="0"/>
              <w:keepLines w:val="0"/>
              <w:widowControl w:val="0"/>
              <w:suppressLineNumbers w:val="0"/>
              <w:jc w:val="both"/>
              <w:rPr>
                <w:rFonts w:hint="eastAsia" w:ascii="仿宋" w:hAnsi="仿宋" w:eastAsia="仿宋" w:cs="仿宋"/>
                <w:b w:val="0"/>
                <w:bCs w:val="0"/>
                <w:color w:val="auto"/>
                <w:kern w:val="2"/>
                <w:sz w:val="24"/>
                <w:szCs w:val="24"/>
                <w:highlight w:val="none"/>
              </w:rPr>
            </w:pPr>
            <w:r>
              <w:rPr>
                <w:rFonts w:hint="eastAsia" w:ascii="仿宋" w:hAnsi="仿宋" w:eastAsia="仿宋" w:cs="仿宋"/>
                <w:color w:val="auto"/>
                <w:kern w:val="2"/>
                <w:sz w:val="24"/>
                <w:szCs w:val="24"/>
                <w:highlight w:val="none"/>
              </w:rPr>
              <w:t>供应商针对本项目提供的其他增值服务情况：增值服务为实质性的，每条得1分；增值服务无实质性的不得分。本项最高得</w:t>
            </w:r>
            <w:r>
              <w:rPr>
                <w:rFonts w:hint="eastAsia" w:ascii="仿宋" w:hAnsi="仿宋" w:eastAsia="仿宋" w:cs="仿宋"/>
                <w:color w:val="auto"/>
                <w:kern w:val="2"/>
                <w:sz w:val="24"/>
                <w:szCs w:val="24"/>
                <w:highlight w:val="none"/>
                <w:lang w:val="en-US" w:eastAsia="zh-CN"/>
              </w:rPr>
              <w:t>6</w:t>
            </w:r>
            <w:r>
              <w:rPr>
                <w:rFonts w:hint="eastAsia" w:ascii="仿宋" w:hAnsi="仿宋" w:eastAsia="仿宋" w:cs="仿宋"/>
                <w:color w:val="auto"/>
                <w:kern w:val="2"/>
                <w:sz w:val="24"/>
                <w:szCs w:val="24"/>
                <w:highlight w:val="none"/>
              </w:rPr>
              <w:t>分。</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6E16DCA2">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bidi="ar"/>
              </w:rPr>
              <w:t>6分</w:t>
            </w:r>
          </w:p>
        </w:tc>
      </w:tr>
    </w:tbl>
    <w:p w14:paraId="778A7ACC">
      <w:pPr>
        <w:pStyle w:val="27"/>
        <w:keepNext w:val="0"/>
        <w:keepLines w:val="0"/>
        <w:widowControl w:val="0"/>
        <w:suppressLineNumbers w:val="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本次评审通过资格审查和符合性评审的单位全部入围进行商务评审。</w:t>
      </w:r>
    </w:p>
    <w:p w14:paraId="15308497">
      <w:pPr>
        <w:pStyle w:val="27"/>
        <w:keepNext w:val="0"/>
        <w:keepLines w:val="0"/>
        <w:widowControl w:val="0"/>
        <w:suppressLineNumbers w:val="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备注：</w:t>
      </w:r>
    </w:p>
    <w:p w14:paraId="6FB4CB94">
      <w:pPr>
        <w:pStyle w:val="27"/>
        <w:keepNext w:val="0"/>
        <w:keepLines w:val="0"/>
        <w:widowControl w:val="0"/>
        <w:suppressLineNumbers w:val="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投标人编制投标文件（商务技术文件部分）时，建议按建议按此目录（序号和内容）提供评标标准相应的商务技术资料。</w:t>
      </w:r>
    </w:p>
    <w:p w14:paraId="5A034C8A">
      <w:pPr>
        <w:snapToGrid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14:paraId="2214F32A">
      <w:pPr>
        <w:adjustRightInd/>
        <w:spacing w:line="400" w:lineRule="exact"/>
        <w:ind w:firstLine="472" w:firstLineChars="196"/>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本项目采用综合评分法。</w:t>
      </w:r>
      <w:r>
        <w:rPr>
          <w:rFonts w:hint="eastAsia" w:ascii="仿宋" w:hAnsi="仿宋" w:eastAsia="仿宋" w:cs="仿宋"/>
          <w:color w:val="auto"/>
          <w:sz w:val="24"/>
          <w:szCs w:val="24"/>
          <w:highlight w:val="none"/>
        </w:rPr>
        <w:t>综合评分法，是指投标文件满足招标文件全部实质性要求，且按照评审因素的量化指标评审得分最高的投标人为中标候选人的评标方法。</w:t>
      </w:r>
    </w:p>
    <w:p w14:paraId="7F53DD5C">
      <w:pPr>
        <w:spacing w:line="400" w:lineRule="exact"/>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（1）满分为100分。总得分=商务技术得分+报价得分；</w:t>
      </w:r>
    </w:p>
    <w:p w14:paraId="25CCA1CB">
      <w:pPr>
        <w:spacing w:line="400" w:lineRule="exact"/>
        <w:ind w:firstLine="480" w:firstLineChars="200"/>
        <w:rPr>
          <w:rFonts w:ascii="仿宋" w:hAnsi="仿宋" w:eastAsia="仿宋" w:cs="仿宋"/>
          <w:color w:val="auto"/>
          <w:highlight w:val="none"/>
        </w:rPr>
      </w:pPr>
      <w:r>
        <w:rPr>
          <w:rFonts w:hint="eastAsia" w:ascii="仿宋" w:hAnsi="仿宋" w:eastAsia="仿宋" w:cs="仿宋"/>
          <w:color w:val="auto"/>
          <w:kern w:val="2"/>
          <w:sz w:val="24"/>
          <w:szCs w:val="24"/>
          <w:highlight w:val="none"/>
        </w:rPr>
        <w:t>（2）商务技术得分=商务技术评分，商务技术评分=所有评委的有效评分的算术平均数。</w:t>
      </w:r>
    </w:p>
    <w:p w14:paraId="00F8F109">
      <w:pPr>
        <w:adjustRightInd/>
        <w:spacing w:line="400" w:lineRule="exac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二、评标标准</w:t>
      </w:r>
    </w:p>
    <w:p w14:paraId="016EF5FB">
      <w:pPr>
        <w:spacing w:line="400" w:lineRule="exact"/>
        <w:ind w:firstLine="470" w:firstLineChars="196"/>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见评标办法前附表。</w:t>
      </w:r>
    </w:p>
    <w:p w14:paraId="19FB2989">
      <w:pPr>
        <w:spacing w:line="400" w:lineRule="exact"/>
        <w:rPr>
          <w:rFonts w:ascii="仿宋" w:hAnsi="仿宋" w:eastAsia="仿宋" w:cs="仿宋"/>
          <w:b/>
          <w:color w:val="auto"/>
          <w:sz w:val="24"/>
          <w:szCs w:val="24"/>
          <w:highlight w:val="none"/>
        </w:rPr>
      </w:pPr>
      <w:bookmarkStart w:id="405" w:name="_Toc4093"/>
      <w:r>
        <w:rPr>
          <w:rFonts w:hint="eastAsia" w:ascii="仿宋" w:hAnsi="仿宋" w:eastAsia="仿宋" w:cs="仿宋"/>
          <w:b/>
          <w:color w:val="auto"/>
          <w:sz w:val="24"/>
          <w:szCs w:val="24"/>
          <w:highlight w:val="none"/>
        </w:rPr>
        <w:t>三、评标程序</w:t>
      </w:r>
      <w:bookmarkEnd w:id="405"/>
    </w:p>
    <w:p w14:paraId="234E7B7F">
      <w:pPr>
        <w:spacing w:line="400" w:lineRule="exact"/>
        <w:ind w:firstLine="472" w:firstLineChars="196"/>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3.1符合性审查。</w:t>
      </w:r>
      <w:r>
        <w:rPr>
          <w:rFonts w:hint="eastAsia" w:ascii="仿宋" w:hAnsi="仿宋" w:eastAsia="仿宋" w:cs="仿宋"/>
          <w:color w:val="auto"/>
          <w:sz w:val="24"/>
          <w:szCs w:val="24"/>
          <w:highlight w:val="none"/>
        </w:rPr>
        <w:t>评标委员会应当对符合资格的投标人的投标文件进行符合性审查，以确定其是否满足招标文件的实质性要求。不满足招标文件的实质性要求的，投标无效。</w:t>
      </w:r>
    </w:p>
    <w:p w14:paraId="01556F91">
      <w:pPr>
        <w:spacing w:line="400" w:lineRule="exact"/>
        <w:ind w:firstLine="472" w:firstLineChars="196"/>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3.2 比较与评价。</w:t>
      </w:r>
      <w:r>
        <w:rPr>
          <w:rFonts w:hint="eastAsia" w:ascii="仿宋" w:hAnsi="仿宋" w:eastAsia="仿宋" w:cs="仿宋"/>
          <w:color w:val="auto"/>
          <w:sz w:val="24"/>
          <w:szCs w:val="24"/>
          <w:highlight w:val="none"/>
        </w:rPr>
        <w:t>评标委员会应当按照招标文件中规定的评标方法和标准，对符合性审查合格的投标文件进行商务和技术评估，综合比较与评价。</w:t>
      </w:r>
    </w:p>
    <w:p w14:paraId="7662AE02">
      <w:pPr>
        <w:spacing w:line="400" w:lineRule="exact"/>
        <w:ind w:firstLine="472" w:firstLineChars="196"/>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3.3汇总商务技术得分。</w:t>
      </w:r>
      <w:r>
        <w:rPr>
          <w:rFonts w:hint="eastAsia" w:ascii="仿宋" w:hAnsi="仿宋" w:eastAsia="仿宋" w:cs="仿宋"/>
          <w:color w:val="auto"/>
          <w:sz w:val="24"/>
          <w:szCs w:val="24"/>
          <w:highlight w:val="none"/>
        </w:rPr>
        <w:t>评标委员会各成员应当独立对每个投标人的商务和技术文件进行评价，并汇总商务技术得分情况。</w:t>
      </w:r>
    </w:p>
    <w:p w14:paraId="39448890">
      <w:pPr>
        <w:spacing w:line="400" w:lineRule="exact"/>
        <w:ind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3.4报价评审。</w:t>
      </w:r>
    </w:p>
    <w:p w14:paraId="3C438DA0">
      <w:pPr>
        <w:pStyle w:val="23"/>
        <w:spacing w:before="0" w:line="400" w:lineRule="exact"/>
        <w:ind w:firstLine="508" w:firstLineChars="212"/>
        <w:rPr>
          <w:rFonts w:ascii="仿宋" w:hAnsi="仿宋" w:eastAsia="仿宋" w:cs="仿宋"/>
          <w:color w:val="auto"/>
          <w:szCs w:val="24"/>
          <w:highlight w:val="none"/>
        </w:rPr>
      </w:pPr>
      <w:r>
        <w:rPr>
          <w:rFonts w:hint="eastAsia" w:ascii="仿宋" w:hAnsi="仿宋" w:eastAsia="仿宋" w:cs="仿宋"/>
          <w:color w:val="auto"/>
          <w:szCs w:val="24"/>
          <w:highlight w:val="none"/>
        </w:rPr>
        <w:t>3.4.1投标文件报价出现前后不一致的，按照下列规定修正：</w:t>
      </w:r>
    </w:p>
    <w:p w14:paraId="7BFAFDA3">
      <w:pPr>
        <w:pStyle w:val="23"/>
        <w:spacing w:before="0" w:line="40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3.4.1.1投标文件中开标一览表(报价表)内容与投标文件中相应内容不一致的，以开标一览表(报价表)为准;</w:t>
      </w:r>
    </w:p>
    <w:p w14:paraId="0ADCA1E0">
      <w:pPr>
        <w:pStyle w:val="23"/>
        <w:spacing w:before="0" w:line="40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3.4.1.2大写金额和小写金额不一致的，以大写金额为准;</w:t>
      </w:r>
    </w:p>
    <w:p w14:paraId="611BB59D">
      <w:pPr>
        <w:pStyle w:val="23"/>
        <w:spacing w:before="0" w:line="40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3.4.1.3单价金额小数点或者百分比有明显错位的，以开标一览表的总价为准，并修改单价;</w:t>
      </w:r>
    </w:p>
    <w:p w14:paraId="3C8D06CB">
      <w:pPr>
        <w:pStyle w:val="23"/>
        <w:spacing w:before="0" w:line="40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3.4.1.4总价金额与按单价汇总金额不一致的，以单价金额计算结果为准。</w:t>
      </w:r>
    </w:p>
    <w:p w14:paraId="75B93701">
      <w:pPr>
        <w:pStyle w:val="23"/>
        <w:spacing w:before="0" w:line="40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3.4.1.5同时出现两种以上不一致的，按照3.4.1规定的顺序修正。修正后的报价按照《政府采购货物和服务招标投标管理办法》（财政部令第87号）第五十一条第二款的规定经投标人确认后产生约束力。</w:t>
      </w:r>
    </w:p>
    <w:p w14:paraId="1FB39BD7">
      <w:pPr>
        <w:snapToGrid w:val="0"/>
        <w:spacing w:line="4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3.4.2投标文件出现不是唯一的、有选择性投标报价的，投标无效。</w:t>
      </w:r>
    </w:p>
    <w:p w14:paraId="6E2A9132">
      <w:pPr>
        <w:snapToGrid w:val="0"/>
        <w:spacing w:line="4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3.4.3投标报价超过招标文件中规定的预算金额或者最高限价的，投标无效。</w:t>
      </w:r>
    </w:p>
    <w:p w14:paraId="5AF5FC47">
      <w:pPr>
        <w:pStyle w:val="23"/>
        <w:spacing w:before="0" w:line="40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09317C9">
      <w:pPr>
        <w:pStyle w:val="23"/>
        <w:spacing w:before="0" w:line="400" w:lineRule="exact"/>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B2AED64">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3.5排序与推荐。</w:t>
      </w:r>
      <w:r>
        <w:rPr>
          <w:rFonts w:hint="eastAsia" w:ascii="仿宋" w:hAnsi="仿宋" w:eastAsia="仿宋" w:cs="仿宋"/>
          <w:color w:val="auto"/>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 w:hAnsi="仿宋" w:eastAsia="仿宋" w:cs="仿宋"/>
          <w:b/>
          <w:bCs/>
          <w:color w:val="auto"/>
          <w:sz w:val="24"/>
          <w:szCs w:val="24"/>
          <w:highlight w:val="none"/>
        </w:rPr>
        <w:t>本项目只推荐评审综合得分最高的投标人为中标候选人。</w:t>
      </w:r>
    </w:p>
    <w:p w14:paraId="4EC8002F">
      <w:pPr>
        <w:spacing w:line="400" w:lineRule="exact"/>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EFCE01B">
      <w:pPr>
        <w:spacing w:line="400" w:lineRule="exact"/>
        <w:ind w:firstLine="472" w:firstLineChars="196"/>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3.6编写评标报告。</w:t>
      </w:r>
      <w:r>
        <w:rPr>
          <w:rFonts w:hint="eastAsia" w:ascii="仿宋" w:hAnsi="仿宋" w:eastAsia="仿宋" w:cs="仿宋"/>
          <w:color w:val="auto"/>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44ECD73">
      <w:pPr>
        <w:widowControl/>
        <w:shd w:val="clear" w:color="auto" w:fill="FFFFFF"/>
        <w:adjustRightInd/>
        <w:spacing w:line="400" w:lineRule="exact"/>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14:paraId="6557C59A">
      <w:pPr>
        <w:pStyle w:val="23"/>
        <w:spacing w:before="0" w:line="400" w:lineRule="exact"/>
        <w:ind w:firstLine="472" w:firstLineChars="196"/>
        <w:rPr>
          <w:rFonts w:ascii="仿宋" w:hAnsi="仿宋" w:eastAsia="仿宋" w:cs="仿宋"/>
          <w:color w:val="auto"/>
          <w:szCs w:val="24"/>
          <w:highlight w:val="none"/>
        </w:rPr>
      </w:pPr>
      <w:r>
        <w:rPr>
          <w:rFonts w:hint="eastAsia" w:ascii="仿宋" w:hAnsi="仿宋" w:eastAsia="仿宋" w:cs="仿宋"/>
          <w:b/>
          <w:color w:val="auto"/>
          <w:szCs w:val="24"/>
          <w:highlight w:val="none"/>
        </w:rPr>
        <w:t>4.1投标人澄清、说明或者补正。</w:t>
      </w:r>
      <w:r>
        <w:rPr>
          <w:rFonts w:hint="eastAsia" w:ascii="仿宋" w:hAnsi="仿宋" w:eastAsia="仿宋" w:cs="仿宋"/>
          <w:color w:val="auto"/>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06BBC91">
      <w:pPr>
        <w:pStyle w:val="5"/>
        <w:spacing w:line="400" w:lineRule="exact"/>
        <w:ind w:left="544" w:leftChars="228" w:hanging="65" w:hangingChars="27"/>
        <w:rPr>
          <w:rFonts w:ascii="仿宋" w:hAnsi="仿宋" w:eastAsia="仿宋" w:cs="仿宋"/>
          <w:color w:val="auto"/>
          <w:szCs w:val="24"/>
          <w:highlight w:val="none"/>
        </w:rPr>
      </w:pPr>
      <w:r>
        <w:rPr>
          <w:rFonts w:hint="eastAsia" w:ascii="仿宋" w:hAnsi="仿宋" w:eastAsia="仿宋" w:cs="仿宋"/>
          <w:b/>
          <w:color w:val="auto"/>
          <w:szCs w:val="24"/>
          <w:highlight w:val="none"/>
        </w:rPr>
        <w:t>4.2投标无效。</w:t>
      </w:r>
      <w:r>
        <w:rPr>
          <w:rFonts w:hint="eastAsia" w:ascii="仿宋" w:hAnsi="仿宋" w:eastAsia="仿宋" w:cs="仿宋"/>
          <w:color w:val="auto"/>
          <w:szCs w:val="24"/>
          <w:highlight w:val="none"/>
        </w:rPr>
        <w:t>有下列情况之一的，投标无效：</w:t>
      </w:r>
    </w:p>
    <w:p w14:paraId="69A4DBCC">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4.2.1投标人不具备招标文件中规定的资格要求的（投标人未提供有效的资格文件的，视为投标人不具备招标文件中规定的资格要求）；</w:t>
      </w:r>
    </w:p>
    <w:p w14:paraId="290CD607">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4.2.2投标文件未按照招标文件要求签署、盖章的；</w:t>
      </w:r>
    </w:p>
    <w:p w14:paraId="4D2FDFCD">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19ED403A">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4.2.4投标文件含有采购人不能接受的附加条件的；</w:t>
      </w:r>
    </w:p>
    <w:p w14:paraId="298C3734">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4.2.5投标文件中承诺的投标有效期少于招标文件中载明的投标有效期的；</w:t>
      </w:r>
    </w:p>
    <w:p w14:paraId="427BE9FA">
      <w:pPr>
        <w:snapToGrid w:val="0"/>
        <w:spacing w:line="4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4.2.6投标文件出现不是唯一的、有选择性投标报价的;</w:t>
      </w:r>
    </w:p>
    <w:p w14:paraId="6B002711">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4.2.7投标报价超过招标文件中规定的预算金额或者最高限价的;</w:t>
      </w:r>
    </w:p>
    <w:p w14:paraId="33C62105">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61FEE899">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4.2.9投标人对根据修正原则修正后的报价不确认的；</w:t>
      </w:r>
    </w:p>
    <w:p w14:paraId="74170038">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4.2.10投标人提供虚假材料投标的；</w:t>
      </w:r>
    </w:p>
    <w:p w14:paraId="10AFFE46">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4.2.11投标人有恶意串通、妨碍其他投标人的竞争行为、损害采购人或者其他投标人的合法权益情形的；</w:t>
      </w:r>
    </w:p>
    <w:p w14:paraId="1F178EFC">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4.2.12投标人仅提交备份投标文件，没有在电子交易平台传输递交投标文件的，投标无效；</w:t>
      </w:r>
    </w:p>
    <w:p w14:paraId="7886A01B">
      <w:pPr>
        <w:tabs>
          <w:tab w:val="left" w:pos="432"/>
        </w:tabs>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4.2.13 投标文件不满足招标文件的其它实质性要求的；</w:t>
      </w:r>
    </w:p>
    <w:p w14:paraId="33522CAE">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4.2.14法律、法规、规章（适用本市的）及省级以上规范性文件（适用本市的）规定的其他无效情形。</w:t>
      </w:r>
    </w:p>
    <w:p w14:paraId="5A4DDE30">
      <w:pPr>
        <w:pStyle w:val="5"/>
        <w:snapToGrid w:val="0"/>
        <w:spacing w:line="400" w:lineRule="exact"/>
        <w:ind w:firstLine="472" w:firstLineChars="196"/>
        <w:rPr>
          <w:rFonts w:ascii="仿宋" w:hAnsi="仿宋" w:eastAsia="仿宋" w:cs="仿宋"/>
          <w:color w:val="auto"/>
          <w:szCs w:val="24"/>
          <w:highlight w:val="none"/>
        </w:rPr>
      </w:pPr>
      <w:r>
        <w:rPr>
          <w:rFonts w:hint="eastAsia" w:ascii="仿宋" w:hAnsi="仿宋" w:eastAsia="仿宋" w:cs="仿宋"/>
          <w:b/>
          <w:color w:val="auto"/>
          <w:szCs w:val="24"/>
          <w:highlight w:val="none"/>
        </w:rPr>
        <w:t>4.3.废标。</w:t>
      </w:r>
      <w:r>
        <w:rPr>
          <w:rFonts w:hint="eastAsia" w:ascii="仿宋" w:hAnsi="仿宋" w:eastAsia="仿宋" w:cs="仿宋"/>
          <w:color w:val="auto"/>
          <w:szCs w:val="24"/>
          <w:highlight w:val="none"/>
        </w:rPr>
        <w:t>根据《中华人民共和国政府采购法》第三十六条之规定，在采购中，出现下列情形之一的，应予废标：</w:t>
      </w:r>
    </w:p>
    <w:p w14:paraId="48157123">
      <w:pPr>
        <w:pStyle w:val="5"/>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4.3.1符合专业条件的供应商或者对招标文件作实质响应的供应商不足3家的；</w:t>
      </w:r>
    </w:p>
    <w:p w14:paraId="51BDDC91">
      <w:pPr>
        <w:pStyle w:val="5"/>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4.3.2出现影响采购公正的违法、违规行为的；</w:t>
      </w:r>
    </w:p>
    <w:p w14:paraId="7F8B4321">
      <w:pPr>
        <w:pStyle w:val="5"/>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4.3.3投标人的报价均超过了采购预算，采购人不能支付的；</w:t>
      </w:r>
    </w:p>
    <w:p w14:paraId="1B551ED9">
      <w:pPr>
        <w:pStyle w:val="5"/>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4.3.4因重大变故，采购任务取消的。</w:t>
      </w:r>
    </w:p>
    <w:p w14:paraId="62456563">
      <w:pPr>
        <w:pStyle w:val="5"/>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废标后，采购代理机构应当将废标理由通知所有投标人。</w:t>
      </w:r>
    </w:p>
    <w:p w14:paraId="1FC4F850">
      <w:pPr>
        <w:pStyle w:val="5"/>
        <w:snapToGrid w:val="0"/>
        <w:spacing w:line="400" w:lineRule="exact"/>
        <w:ind w:firstLine="482"/>
        <w:rPr>
          <w:rFonts w:ascii="仿宋" w:hAnsi="仿宋" w:eastAsia="仿宋" w:cs="仿宋"/>
          <w:color w:val="auto"/>
          <w:szCs w:val="24"/>
          <w:highlight w:val="none"/>
        </w:rPr>
      </w:pPr>
      <w:r>
        <w:rPr>
          <w:rFonts w:hint="eastAsia" w:ascii="仿宋" w:hAnsi="仿宋" w:eastAsia="仿宋" w:cs="仿宋"/>
          <w:b/>
          <w:color w:val="auto"/>
          <w:szCs w:val="24"/>
          <w:highlight w:val="none"/>
        </w:rPr>
        <w:t>4.4.修改招标文件，重新组织采购活动。</w:t>
      </w:r>
      <w:r>
        <w:rPr>
          <w:rFonts w:hint="eastAsia" w:ascii="仿宋" w:hAnsi="仿宋" w:eastAsia="仿宋" w:cs="仿宋"/>
          <w:color w:val="auto"/>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43A5152">
      <w:pPr>
        <w:pStyle w:val="5"/>
        <w:snapToGrid w:val="0"/>
        <w:spacing w:line="400" w:lineRule="exact"/>
        <w:ind w:firstLine="482"/>
        <w:rPr>
          <w:rFonts w:ascii="仿宋" w:hAnsi="仿宋" w:eastAsia="仿宋" w:cs="仿宋"/>
          <w:color w:val="auto"/>
          <w:szCs w:val="24"/>
          <w:highlight w:val="none"/>
        </w:rPr>
      </w:pPr>
      <w:r>
        <w:rPr>
          <w:rFonts w:hint="eastAsia" w:ascii="仿宋" w:hAnsi="仿宋" w:eastAsia="仿宋" w:cs="仿宋"/>
          <w:b/>
          <w:color w:val="auto"/>
          <w:szCs w:val="24"/>
          <w:highlight w:val="none"/>
        </w:rPr>
        <w:t>4.5.重新开展采购。</w:t>
      </w:r>
      <w:r>
        <w:rPr>
          <w:rFonts w:hint="eastAsia" w:ascii="仿宋" w:hAnsi="仿宋" w:eastAsia="仿宋" w:cs="仿宋"/>
          <w:color w:val="auto"/>
          <w:szCs w:val="24"/>
          <w:highlight w:val="none"/>
        </w:rPr>
        <w:t>有政府采购法第七十一条、第七十二条规定的违法行为之一，影响或者可能影响中标、成交结果的，依照下列规定处理：</w:t>
      </w:r>
    </w:p>
    <w:p w14:paraId="437946CB">
      <w:pPr>
        <w:pStyle w:val="5"/>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4.5.1未确定中标或者中标人的，终止本次政府采购活动，重新开展政府采购活动。</w:t>
      </w:r>
    </w:p>
    <w:p w14:paraId="52E9688B">
      <w:pPr>
        <w:pStyle w:val="5"/>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33AF8CFA">
      <w:pPr>
        <w:pStyle w:val="5"/>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4.5.3政府采购合同已签订但尚未履行的，撤销合同，从合格的中标或者成交候选人中另行确定中标或者中标人；没有合格的中标或者成交候选人的，重新开展政府采购活动。</w:t>
      </w:r>
    </w:p>
    <w:p w14:paraId="682D9A6F">
      <w:pPr>
        <w:pStyle w:val="5"/>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4.5.4政府采购合同已经履行，给采购人、供应商造成损失的，由责任人承担赔偿责任。</w:t>
      </w:r>
    </w:p>
    <w:p w14:paraId="43DE9F14">
      <w:pPr>
        <w:pStyle w:val="5"/>
        <w:snapToGrid w:val="0"/>
        <w:spacing w:line="400" w:lineRule="exact"/>
        <w:rPr>
          <w:rFonts w:ascii="仿宋" w:hAnsi="仿宋" w:eastAsia="仿宋" w:cs="仿宋"/>
          <w:color w:val="auto"/>
          <w:szCs w:val="24"/>
          <w:highlight w:val="none"/>
        </w:rPr>
      </w:pPr>
      <w:r>
        <w:rPr>
          <w:rFonts w:hint="eastAsia" w:ascii="仿宋" w:hAnsi="仿宋" w:eastAsia="仿宋" w:cs="仿宋"/>
          <w:color w:val="auto"/>
          <w:szCs w:val="24"/>
          <w:highlight w:val="none"/>
        </w:rPr>
        <w:t>4.5.5政府采购当事人有其他违反政府采购法或者政府采购法实施条例等法律法规规定的行为，经改正后仍然影响或者可能影响中标、成交结果或者依法被认定为中标、成交无效的，依照4.5.1-4.5.4规定处理。</w:t>
      </w:r>
    </w:p>
    <w:p w14:paraId="7B520281">
      <w:pPr>
        <w:spacing w:line="400" w:lineRule="exact"/>
        <w:rPr>
          <w:rFonts w:ascii="仿宋" w:hAnsi="仿宋" w:eastAsia="仿宋" w:cs="仿宋"/>
          <w:color w:val="auto"/>
          <w:highlight w:val="none"/>
        </w:rPr>
      </w:pPr>
      <w:r>
        <w:rPr>
          <w:rFonts w:hint="eastAsia" w:ascii="仿宋" w:hAnsi="仿宋" w:eastAsia="仿宋" w:cs="仿宋"/>
          <w:color w:val="auto"/>
          <w:highlight w:val="none"/>
        </w:rPr>
        <w:br w:type="page"/>
      </w:r>
    </w:p>
    <w:p w14:paraId="12916A6F">
      <w:pPr>
        <w:pStyle w:val="3"/>
        <w:spacing w:after="0" w:line="240" w:lineRule="auto"/>
        <w:jc w:val="center"/>
        <w:rPr>
          <w:rFonts w:ascii="宋体" w:hAnsi="宋体" w:cs="宋体"/>
          <w:color w:val="auto"/>
          <w:sz w:val="36"/>
          <w:szCs w:val="36"/>
          <w:highlight w:val="none"/>
        </w:rPr>
      </w:pPr>
      <w:bookmarkStart w:id="406" w:name="_Toc12482"/>
      <w:bookmarkStart w:id="407" w:name="_Toc14586"/>
      <w:bookmarkStart w:id="408" w:name="_Toc6764"/>
      <w:bookmarkStart w:id="409" w:name="_Toc103663570"/>
      <w:bookmarkStart w:id="410" w:name="_Toc19948"/>
      <w:r>
        <w:rPr>
          <w:rFonts w:hint="eastAsia" w:ascii="宋体" w:hAnsi="宋体" w:cs="宋体"/>
          <w:color w:val="auto"/>
          <w:sz w:val="36"/>
          <w:szCs w:val="36"/>
          <w:highlight w:val="none"/>
        </w:rPr>
        <w:t>第五章 拟签订的合同文本</w:t>
      </w:r>
      <w:bookmarkEnd w:id="406"/>
      <w:bookmarkEnd w:id="407"/>
      <w:bookmarkEnd w:id="408"/>
    </w:p>
    <w:p w14:paraId="636D7595">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14:paraId="15B65900">
      <w:pPr>
        <w:spacing w:line="480" w:lineRule="auto"/>
        <w:jc w:val="center"/>
        <w:rPr>
          <w:rFonts w:ascii="楷体" w:hAnsi="楷体" w:eastAsia="楷体"/>
          <w:b/>
          <w:color w:val="auto"/>
          <w:sz w:val="28"/>
          <w:szCs w:val="28"/>
          <w:highlight w:val="none"/>
        </w:rPr>
      </w:pPr>
    </w:p>
    <w:p w14:paraId="0BDDC676">
      <w:pPr>
        <w:spacing w:line="480" w:lineRule="auto"/>
        <w:jc w:val="center"/>
        <w:rPr>
          <w:rFonts w:ascii="仿宋" w:hAnsi="仿宋" w:eastAsia="仿宋"/>
          <w:b/>
          <w:color w:val="auto"/>
          <w:sz w:val="24"/>
          <w:highlight w:val="none"/>
        </w:rPr>
      </w:pPr>
    </w:p>
    <w:p w14:paraId="40AB85B6">
      <w:pPr>
        <w:spacing w:line="480" w:lineRule="auto"/>
        <w:jc w:val="center"/>
        <w:rPr>
          <w:rFonts w:ascii="仿宋" w:hAnsi="仿宋" w:eastAsia="仿宋"/>
          <w:b/>
          <w:color w:val="auto"/>
          <w:sz w:val="24"/>
          <w:highlight w:val="none"/>
        </w:rPr>
      </w:pPr>
    </w:p>
    <w:p w14:paraId="1E04E1C5">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政府采购中小企业预留合同参考范本</w:t>
      </w:r>
    </w:p>
    <w:p w14:paraId="7C315E49">
      <w:pPr>
        <w:spacing w:line="480" w:lineRule="auto"/>
        <w:jc w:val="center"/>
        <w:rPr>
          <w:rFonts w:ascii="宋体" w:hAnsi="宋体" w:cs="仿宋_GB2312"/>
          <w:b/>
          <w:color w:val="auto"/>
          <w:sz w:val="36"/>
          <w:szCs w:val="36"/>
          <w:highlight w:val="none"/>
        </w:rPr>
      </w:pPr>
      <w:r>
        <w:rPr>
          <w:rFonts w:hint="eastAsia" w:ascii="宋体" w:hAnsi="宋体" w:cs="仿宋_GB2312"/>
          <w:b/>
          <w:color w:val="auto"/>
          <w:sz w:val="36"/>
          <w:szCs w:val="36"/>
          <w:highlight w:val="none"/>
        </w:rPr>
        <w:t>（服务类）</w:t>
      </w:r>
    </w:p>
    <w:p w14:paraId="1F4A55D6">
      <w:pPr>
        <w:pStyle w:val="28"/>
        <w:rPr>
          <w:rFonts w:ascii="仿宋" w:hAnsi="仿宋" w:eastAsia="仿宋"/>
          <w:color w:val="auto"/>
          <w:szCs w:val="24"/>
          <w:highlight w:val="none"/>
        </w:rPr>
      </w:pPr>
    </w:p>
    <w:p w14:paraId="30D9C4CB">
      <w:pPr>
        <w:pStyle w:val="28"/>
        <w:rPr>
          <w:rFonts w:ascii="仿宋" w:hAnsi="仿宋" w:eastAsia="仿宋"/>
          <w:color w:val="auto"/>
          <w:szCs w:val="24"/>
          <w:highlight w:val="none"/>
        </w:rPr>
      </w:pPr>
    </w:p>
    <w:p w14:paraId="4FC47612">
      <w:pPr>
        <w:pStyle w:val="28"/>
        <w:jc w:val="center"/>
        <w:rPr>
          <w:rFonts w:ascii="仿宋" w:hAnsi="仿宋" w:eastAsia="仿宋"/>
          <w:color w:val="auto"/>
          <w:szCs w:val="24"/>
          <w:highlight w:val="none"/>
        </w:rPr>
      </w:pPr>
    </w:p>
    <w:p w14:paraId="7E77FB9C">
      <w:pPr>
        <w:pStyle w:val="28"/>
        <w:ind w:left="0" w:leftChars="0" w:firstLine="0" w:firstLineChars="0"/>
        <w:jc w:val="center"/>
        <w:rPr>
          <w:rFonts w:ascii="仿宋" w:hAnsi="仿宋" w:eastAsia="仿宋"/>
          <w:b/>
          <w:color w:val="auto"/>
          <w:szCs w:val="24"/>
          <w:highlight w:val="none"/>
        </w:rPr>
      </w:pPr>
      <w:r>
        <w:rPr>
          <w:rFonts w:hint="eastAsia" w:ascii="仿宋" w:hAnsi="仿宋" w:eastAsia="仿宋"/>
          <w:b/>
          <w:color w:val="auto"/>
          <w:szCs w:val="24"/>
          <w:highlight w:val="none"/>
        </w:rPr>
        <w:t>第一部分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合同书</w:t>
      </w:r>
    </w:p>
    <w:p w14:paraId="03578322">
      <w:pPr>
        <w:pStyle w:val="28"/>
        <w:rPr>
          <w:rFonts w:ascii="仿宋" w:hAnsi="仿宋" w:eastAsia="仿宋"/>
          <w:color w:val="auto"/>
          <w:szCs w:val="24"/>
          <w:highlight w:val="none"/>
        </w:rPr>
      </w:pPr>
    </w:p>
    <w:p w14:paraId="24C3C332">
      <w:pPr>
        <w:pStyle w:val="28"/>
        <w:rPr>
          <w:rFonts w:ascii="仿宋" w:hAnsi="仿宋" w:eastAsia="仿宋"/>
          <w:color w:val="auto"/>
          <w:szCs w:val="24"/>
          <w:highlight w:val="none"/>
        </w:rPr>
      </w:pPr>
    </w:p>
    <w:p w14:paraId="4E65EB57">
      <w:pPr>
        <w:spacing w:before="120" w:line="22" w:lineRule="atLeast"/>
        <w:rPr>
          <w:rFonts w:ascii="仿宋" w:hAnsi="仿宋" w:eastAsia="仿宋"/>
          <w:color w:val="auto"/>
          <w:sz w:val="24"/>
          <w:highlight w:val="none"/>
        </w:rPr>
      </w:pPr>
    </w:p>
    <w:p w14:paraId="65F03124">
      <w:pPr>
        <w:spacing w:before="120" w:line="22" w:lineRule="atLeast"/>
        <w:ind w:firstLine="1920" w:firstLineChars="80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14:paraId="38905E30">
      <w:pPr>
        <w:ind w:firstLine="1920" w:firstLineChars="800"/>
        <w:rPr>
          <w:rFonts w:ascii="仿宋" w:hAnsi="仿宋" w:eastAsia="仿宋"/>
          <w:color w:val="auto"/>
          <w:sz w:val="24"/>
          <w:highlight w:val="none"/>
        </w:rPr>
      </w:pPr>
    </w:p>
    <w:p w14:paraId="26F18D0C">
      <w:pPr>
        <w:spacing w:before="120" w:line="22" w:lineRule="atLeast"/>
        <w:ind w:firstLine="1920" w:firstLineChars="800"/>
        <w:rPr>
          <w:rFonts w:ascii="仿宋" w:hAnsi="仿宋" w:eastAsia="仿宋"/>
          <w:color w:val="auto"/>
          <w:sz w:val="24"/>
          <w:highlight w:val="none"/>
          <w:u w:val="single"/>
        </w:rPr>
      </w:pPr>
      <w:r>
        <w:rPr>
          <w:rFonts w:hint="eastAsia" w:ascii="仿宋" w:hAnsi="仿宋" w:eastAsia="仿宋"/>
          <w:color w:val="auto"/>
          <w:sz w:val="24"/>
          <w:highlight w:val="none"/>
        </w:rPr>
        <w:t>采购人：</w:t>
      </w:r>
      <w:r>
        <w:rPr>
          <w:rFonts w:ascii="仿宋" w:hAnsi="仿宋" w:eastAsia="仿宋"/>
          <w:color w:val="auto"/>
          <w:sz w:val="24"/>
          <w:highlight w:val="none"/>
          <w:u w:val="single"/>
        </w:rPr>
        <w:t xml:space="preserve">                                       </w:t>
      </w:r>
    </w:p>
    <w:p w14:paraId="5E03B260">
      <w:pPr>
        <w:spacing w:before="120" w:line="22" w:lineRule="atLeast"/>
        <w:ind w:firstLine="1920" w:firstLineChars="800"/>
        <w:rPr>
          <w:rFonts w:ascii="仿宋" w:hAnsi="仿宋" w:eastAsia="仿宋"/>
          <w:color w:val="auto"/>
          <w:sz w:val="24"/>
          <w:highlight w:val="none"/>
        </w:rPr>
      </w:pPr>
    </w:p>
    <w:p w14:paraId="1ED53060">
      <w:pPr>
        <w:spacing w:before="120" w:line="22" w:lineRule="atLeast"/>
        <w:ind w:firstLine="1920" w:firstLineChars="800"/>
        <w:rPr>
          <w:rFonts w:ascii="仿宋" w:hAnsi="仿宋" w:eastAsia="仿宋"/>
          <w:color w:val="auto"/>
          <w:sz w:val="24"/>
          <w:highlight w:val="none"/>
          <w:u w:val="single"/>
        </w:rPr>
      </w:pPr>
      <w:r>
        <w:rPr>
          <w:rFonts w:hint="eastAsia" w:ascii="仿宋" w:hAnsi="仿宋" w:eastAsia="仿宋"/>
          <w:color w:val="auto"/>
          <w:sz w:val="24"/>
          <w:highlight w:val="none"/>
        </w:rPr>
        <w:t>供应商：</w:t>
      </w:r>
      <w:r>
        <w:rPr>
          <w:rFonts w:ascii="仿宋" w:hAnsi="仿宋" w:eastAsia="仿宋"/>
          <w:color w:val="auto"/>
          <w:sz w:val="24"/>
          <w:highlight w:val="none"/>
          <w:u w:val="single"/>
        </w:rPr>
        <w:t xml:space="preserve">                                       </w:t>
      </w:r>
    </w:p>
    <w:p w14:paraId="4C50213D">
      <w:pPr>
        <w:spacing w:before="120" w:line="22" w:lineRule="atLeast"/>
        <w:ind w:firstLine="1920" w:firstLineChars="800"/>
        <w:rPr>
          <w:rFonts w:ascii="仿宋" w:hAnsi="仿宋" w:eastAsia="仿宋"/>
          <w:color w:val="auto"/>
          <w:sz w:val="24"/>
          <w:highlight w:val="none"/>
        </w:rPr>
      </w:pPr>
    </w:p>
    <w:p w14:paraId="4A447599">
      <w:pPr>
        <w:spacing w:before="120" w:line="22" w:lineRule="atLeast"/>
        <w:ind w:firstLine="1920" w:firstLineChars="8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14:paraId="7B2C287D">
      <w:pPr>
        <w:spacing w:before="120" w:line="22" w:lineRule="atLeast"/>
        <w:ind w:firstLine="1920" w:firstLineChars="800"/>
        <w:rPr>
          <w:rFonts w:ascii="仿宋" w:hAnsi="仿宋" w:eastAsia="仿宋"/>
          <w:color w:val="auto"/>
          <w:sz w:val="24"/>
          <w:highlight w:val="none"/>
        </w:rPr>
      </w:pPr>
    </w:p>
    <w:p w14:paraId="1D70B771">
      <w:pPr>
        <w:spacing w:before="120" w:line="22" w:lineRule="atLeast"/>
        <w:ind w:firstLine="1920" w:firstLineChars="8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455BFBE6">
      <w:pPr>
        <w:widowControl/>
        <w:jc w:val="left"/>
        <w:rPr>
          <w:rFonts w:ascii="仿宋" w:hAnsi="仿宋" w:eastAsia="仿宋"/>
          <w:color w:val="auto"/>
          <w:sz w:val="24"/>
          <w:highlight w:val="none"/>
        </w:rPr>
        <w:sectPr>
          <w:headerReference r:id="rId15" w:type="default"/>
          <w:footerReference r:id="rId16" w:type="default"/>
          <w:pgSz w:w="11905" w:h="16838"/>
          <w:pgMar w:top="1474" w:right="1247" w:bottom="1474" w:left="1247" w:header="851" w:footer="850" w:gutter="0"/>
          <w:cols w:space="720" w:num="1"/>
          <w:docGrid w:linePitch="1" w:charSpace="0"/>
        </w:sectPr>
      </w:pPr>
    </w:p>
    <w:p w14:paraId="0443AAC6">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项目名称）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w:t>
      </w:r>
      <w:r>
        <w:rPr>
          <w:rFonts w:hint="eastAsia" w:ascii="仿宋" w:hAnsi="仿宋" w:eastAsia="仿宋" w:cs="仿宋"/>
          <w:color w:val="auto"/>
          <w:sz w:val="24"/>
          <w:highlight w:val="none"/>
          <w:u w:val="single"/>
        </w:rPr>
        <w:t>30日</w:t>
      </w:r>
      <w:r>
        <w:rPr>
          <w:rFonts w:hint="eastAsia" w:ascii="仿宋" w:hAnsi="仿宋" w:eastAsia="仿宋" w:cs="仿宋"/>
          <w:color w:val="auto"/>
          <w:sz w:val="24"/>
          <w:highlight w:val="none"/>
        </w:rPr>
        <w:t>内</w:t>
      </w:r>
      <w:r>
        <w:rPr>
          <w:rFonts w:hint="eastAsia" w:ascii="仿宋" w:hAnsi="仿宋" w:eastAsia="仿宋"/>
          <w:color w:val="auto"/>
          <w:sz w:val="24"/>
          <w:highlight w:val="none"/>
        </w:rPr>
        <w:t>，按照采购文件确定的事项签订本合同。</w:t>
      </w:r>
    </w:p>
    <w:p w14:paraId="62C058F6">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14:paraId="062F2B72">
      <w:pPr>
        <w:spacing w:after="40" w:line="400" w:lineRule="exact"/>
        <w:ind w:firstLine="482" w:firstLineChars="200"/>
        <w:rPr>
          <w:rFonts w:ascii="仿宋" w:hAnsi="仿宋" w:eastAsia="仿宋"/>
          <w:b/>
          <w:color w:val="auto"/>
          <w:sz w:val="24"/>
          <w:szCs w:val="24"/>
          <w:highlight w:val="none"/>
        </w:rPr>
      </w:pPr>
      <w:bookmarkStart w:id="411" w:name="_Toc3029"/>
      <w:bookmarkStart w:id="412" w:name="_Toc2232"/>
      <w:bookmarkStart w:id="413" w:name="_Toc24059"/>
      <w:bookmarkStart w:id="414" w:name="_Toc19420"/>
      <w:r>
        <w:rPr>
          <w:rFonts w:hint="eastAsia" w:ascii="仿宋" w:hAnsi="仿宋" w:eastAsia="仿宋"/>
          <w:b/>
          <w:color w:val="auto"/>
          <w:sz w:val="24"/>
          <w:szCs w:val="24"/>
          <w:highlight w:val="none"/>
        </w:rPr>
        <w:t>1.1、合同组成部分</w:t>
      </w:r>
      <w:bookmarkEnd w:id="411"/>
      <w:bookmarkEnd w:id="412"/>
      <w:bookmarkEnd w:id="413"/>
      <w:bookmarkEnd w:id="414"/>
    </w:p>
    <w:p w14:paraId="718ECD8B">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1FA4931">
      <w:pPr>
        <w:spacing w:line="400" w:lineRule="exact"/>
        <w:ind w:firstLine="482" w:firstLineChars="200"/>
        <w:rPr>
          <w:rFonts w:ascii="仿宋" w:hAnsi="仿宋" w:eastAsia="仿宋"/>
          <w:color w:val="auto"/>
          <w:sz w:val="24"/>
          <w:highlight w:val="none"/>
        </w:rPr>
      </w:pPr>
      <w:r>
        <w:rPr>
          <w:rFonts w:ascii="仿宋" w:hAnsi="仿宋" w:eastAsia="仿宋"/>
          <w:b/>
          <w:bCs/>
          <w:color w:val="auto"/>
          <w:sz w:val="24"/>
          <w:highlight w:val="none"/>
        </w:rPr>
        <w:t>1.</w:t>
      </w:r>
      <w:r>
        <w:rPr>
          <w:rFonts w:hint="eastAsia" w:ascii="仿宋" w:hAnsi="仿宋" w:eastAsia="仿宋"/>
          <w:b/>
          <w:bCs/>
          <w:color w:val="auto"/>
          <w:sz w:val="24"/>
          <w:highlight w:val="none"/>
        </w:rPr>
        <w:t>1.1</w:t>
      </w:r>
      <w:r>
        <w:rPr>
          <w:rFonts w:hint="eastAsia" w:ascii="仿宋" w:hAnsi="仿宋" w:eastAsia="仿宋"/>
          <w:color w:val="auto"/>
          <w:sz w:val="24"/>
          <w:highlight w:val="none"/>
        </w:rPr>
        <w:t>本合同及其补充合同、变更协议；</w:t>
      </w:r>
    </w:p>
    <w:p w14:paraId="03AEFD93">
      <w:pPr>
        <w:spacing w:line="400" w:lineRule="exact"/>
        <w:ind w:firstLine="482" w:firstLineChars="200"/>
        <w:rPr>
          <w:rFonts w:ascii="仿宋" w:hAnsi="仿宋" w:eastAsia="仿宋"/>
          <w:color w:val="auto"/>
          <w:sz w:val="24"/>
          <w:highlight w:val="none"/>
        </w:rPr>
      </w:pPr>
      <w:r>
        <w:rPr>
          <w:rFonts w:hint="eastAsia" w:ascii="仿宋" w:hAnsi="仿宋" w:eastAsia="仿宋"/>
          <w:b/>
          <w:bCs/>
          <w:color w:val="auto"/>
          <w:sz w:val="24"/>
          <w:highlight w:val="none"/>
        </w:rPr>
        <w:t>1.1.2</w:t>
      </w:r>
      <w:r>
        <w:rPr>
          <w:rFonts w:hint="eastAsia" w:ascii="仿宋" w:hAnsi="仿宋" w:eastAsia="仿宋"/>
          <w:color w:val="auto"/>
          <w:sz w:val="24"/>
          <w:highlight w:val="none"/>
        </w:rPr>
        <w:t>中标通知书；</w:t>
      </w:r>
    </w:p>
    <w:p w14:paraId="51785933">
      <w:pPr>
        <w:spacing w:line="400" w:lineRule="exact"/>
        <w:ind w:firstLine="482" w:firstLineChars="200"/>
        <w:rPr>
          <w:rFonts w:ascii="仿宋" w:hAnsi="仿宋" w:eastAsia="仿宋"/>
          <w:color w:val="auto"/>
          <w:sz w:val="24"/>
          <w:highlight w:val="none"/>
        </w:rPr>
      </w:pPr>
      <w:r>
        <w:rPr>
          <w:rFonts w:hint="eastAsia" w:ascii="仿宋" w:hAnsi="仿宋" w:eastAsia="仿宋"/>
          <w:b/>
          <w:bCs/>
          <w:color w:val="auto"/>
          <w:sz w:val="24"/>
          <w:highlight w:val="none"/>
        </w:rPr>
        <w:t>1.1.3</w:t>
      </w:r>
      <w:r>
        <w:rPr>
          <w:rFonts w:hint="eastAsia" w:ascii="仿宋" w:hAnsi="仿宋" w:eastAsia="仿宋"/>
          <w:color w:val="auto"/>
          <w:sz w:val="24"/>
          <w:highlight w:val="none"/>
        </w:rPr>
        <w:t>投标文件（含澄清或者说明文件）；</w:t>
      </w:r>
    </w:p>
    <w:p w14:paraId="672900D0">
      <w:pPr>
        <w:spacing w:line="400" w:lineRule="exact"/>
        <w:ind w:firstLine="482" w:firstLineChars="200"/>
        <w:rPr>
          <w:rFonts w:ascii="仿宋" w:hAnsi="仿宋" w:eastAsia="仿宋"/>
          <w:color w:val="auto"/>
          <w:sz w:val="24"/>
          <w:highlight w:val="none"/>
        </w:rPr>
      </w:pPr>
      <w:r>
        <w:rPr>
          <w:rFonts w:hint="eastAsia" w:ascii="仿宋" w:hAnsi="仿宋" w:eastAsia="仿宋"/>
          <w:b/>
          <w:bCs/>
          <w:color w:val="auto"/>
          <w:sz w:val="24"/>
          <w:highlight w:val="none"/>
        </w:rPr>
        <w:t>1.1.4</w:t>
      </w:r>
      <w:r>
        <w:rPr>
          <w:rFonts w:hint="eastAsia" w:ascii="仿宋" w:hAnsi="仿宋" w:eastAsia="仿宋"/>
          <w:color w:val="auto"/>
          <w:sz w:val="24"/>
          <w:highlight w:val="none"/>
        </w:rPr>
        <w:t>招标文件（含澄清或者修改文件）；</w:t>
      </w:r>
    </w:p>
    <w:p w14:paraId="61EFF715">
      <w:pPr>
        <w:spacing w:line="400" w:lineRule="exact"/>
        <w:ind w:firstLine="482" w:firstLineChars="200"/>
        <w:rPr>
          <w:rFonts w:ascii="仿宋" w:hAnsi="仿宋" w:eastAsia="仿宋"/>
          <w:color w:val="auto"/>
          <w:sz w:val="24"/>
          <w:highlight w:val="none"/>
        </w:rPr>
      </w:pPr>
      <w:r>
        <w:rPr>
          <w:rFonts w:hint="eastAsia" w:ascii="仿宋" w:hAnsi="仿宋" w:eastAsia="仿宋"/>
          <w:b/>
          <w:bCs/>
          <w:color w:val="auto"/>
          <w:sz w:val="24"/>
          <w:highlight w:val="none"/>
        </w:rPr>
        <w:t>1.1.5</w:t>
      </w:r>
      <w:r>
        <w:rPr>
          <w:rFonts w:hint="eastAsia" w:ascii="仿宋" w:hAnsi="仿宋" w:eastAsia="仿宋"/>
          <w:color w:val="auto"/>
          <w:sz w:val="24"/>
          <w:highlight w:val="none"/>
        </w:rPr>
        <w:t>其他相关采购文件。</w:t>
      </w:r>
    </w:p>
    <w:p w14:paraId="5433CCE2">
      <w:pPr>
        <w:spacing w:before="40" w:after="40" w:line="400" w:lineRule="exact"/>
        <w:ind w:firstLine="482" w:firstLineChars="200"/>
        <w:outlineLvl w:val="0"/>
        <w:rPr>
          <w:rFonts w:ascii="仿宋" w:hAnsi="仿宋" w:eastAsia="仿宋" w:cs="仿宋"/>
          <w:b/>
          <w:color w:val="auto"/>
          <w:sz w:val="24"/>
          <w:szCs w:val="24"/>
          <w:highlight w:val="none"/>
        </w:rPr>
      </w:pPr>
      <w:bookmarkStart w:id="415" w:name="_Toc6773"/>
      <w:bookmarkStart w:id="416" w:name="_Toc6311"/>
      <w:bookmarkStart w:id="417" w:name="_Toc18585"/>
      <w:bookmarkStart w:id="418" w:name="_Toc2918"/>
      <w:bookmarkStart w:id="419" w:name="_Toc22185"/>
      <w:bookmarkStart w:id="420" w:name="_Toc21631"/>
      <w:bookmarkStart w:id="421" w:name="_Toc17027"/>
      <w:bookmarkStart w:id="422" w:name="_Toc23292"/>
      <w:bookmarkStart w:id="423" w:name="_Toc21551"/>
      <w:r>
        <w:rPr>
          <w:rFonts w:hint="eastAsia" w:ascii="仿宋" w:hAnsi="仿宋" w:eastAsia="仿宋" w:cs="仿宋"/>
          <w:b/>
          <w:color w:val="auto"/>
          <w:sz w:val="24"/>
          <w:szCs w:val="24"/>
          <w:highlight w:val="none"/>
        </w:rPr>
        <w:t>1.2、标的</w:t>
      </w:r>
      <w:bookmarkEnd w:id="415"/>
      <w:bookmarkEnd w:id="416"/>
      <w:bookmarkEnd w:id="417"/>
      <w:bookmarkEnd w:id="418"/>
      <w:bookmarkEnd w:id="419"/>
    </w:p>
    <w:p w14:paraId="22F6E39B">
      <w:pPr>
        <w:spacing w:line="400" w:lineRule="exact"/>
        <w:ind w:firstLine="482" w:firstLineChars="200"/>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1.2.1</w:t>
      </w:r>
      <w:r>
        <w:rPr>
          <w:rFonts w:hint="eastAsia" w:ascii="仿宋" w:hAnsi="仿宋" w:eastAsia="仿宋" w:cs="仿宋"/>
          <w:color w:val="auto"/>
          <w:sz w:val="24"/>
          <w:highlight w:val="none"/>
        </w:rPr>
        <w:t>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31A07F3">
      <w:pPr>
        <w:spacing w:line="400" w:lineRule="exact"/>
        <w:ind w:firstLine="482" w:firstLineChars="200"/>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1.2.2</w:t>
      </w:r>
      <w:r>
        <w:rPr>
          <w:rFonts w:hint="eastAsia" w:ascii="仿宋" w:hAnsi="仿宋" w:eastAsia="仿宋" w:cs="仿宋"/>
          <w:color w:val="auto"/>
          <w:sz w:val="24"/>
          <w:highlight w:val="none"/>
        </w:rPr>
        <w:t>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7AE810F">
      <w:pPr>
        <w:spacing w:line="400" w:lineRule="exact"/>
        <w:ind w:firstLine="482" w:firstLineChars="200"/>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1.2.3</w:t>
      </w:r>
      <w:r>
        <w:rPr>
          <w:rFonts w:hint="eastAsia" w:ascii="仿宋" w:hAnsi="仿宋" w:eastAsia="仿宋" w:cs="仿宋"/>
          <w:color w:val="auto"/>
          <w:sz w:val="24"/>
          <w:highlight w:val="none"/>
        </w:rPr>
        <w:t>技术保障：</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4D69D9D">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1.2.4</w:t>
      </w:r>
      <w:r>
        <w:rPr>
          <w:rFonts w:hint="eastAsia" w:ascii="仿宋" w:hAnsi="仿宋" w:eastAsia="仿宋" w:cs="仿宋"/>
          <w:color w:val="auto"/>
          <w:sz w:val="24"/>
          <w:highlight w:val="none"/>
        </w:rPr>
        <w:t>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B5BA8E0">
      <w:pPr>
        <w:pStyle w:val="29"/>
        <w:spacing w:before="0" w:beforeAutospacing="0" w:after="0" w:afterAutospacing="0" w:line="400" w:lineRule="exact"/>
        <w:ind w:firstLine="482" w:firstLineChars="200"/>
        <w:jc w:val="both"/>
        <w:rPr>
          <w:rFonts w:ascii="仿宋" w:hAnsi="仿宋" w:eastAsia="仿宋" w:cs="仿宋"/>
          <w:color w:val="auto"/>
          <w:highlight w:val="none"/>
        </w:rPr>
      </w:pPr>
      <w:r>
        <w:rPr>
          <w:rFonts w:hint="eastAsia" w:ascii="仿宋" w:hAnsi="仿宋" w:eastAsia="仿宋" w:cs="仿宋"/>
          <w:b/>
          <w:bCs/>
          <w:color w:val="auto"/>
          <w:highlight w:val="none"/>
        </w:rPr>
        <w:t>1.2.5</w:t>
      </w:r>
      <w:r>
        <w:rPr>
          <w:rFonts w:hint="eastAsia" w:ascii="仿宋" w:hAnsi="仿宋" w:eastAsia="仿宋" w:cs="仿宋"/>
          <w:color w:val="auto"/>
          <w:highlight w:val="none"/>
        </w:rPr>
        <w:t>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0B89E605">
      <w:pPr>
        <w:spacing w:line="400" w:lineRule="exact"/>
        <w:ind w:firstLine="482" w:firstLineChars="200"/>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1.2.5.1</w:t>
      </w:r>
      <w:r>
        <w:rPr>
          <w:rFonts w:hint="eastAsia" w:ascii="仿宋" w:hAnsi="仿宋" w:eastAsia="仿宋" w:cs="仿宋"/>
          <w:color w:val="auto"/>
          <w:sz w:val="24"/>
          <w:highlight w:val="none"/>
        </w:rPr>
        <w:t>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1C556EF">
      <w:pPr>
        <w:spacing w:line="400" w:lineRule="exact"/>
        <w:ind w:firstLine="482" w:firstLineChars="200"/>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1.2.5.2</w:t>
      </w:r>
      <w:r>
        <w:rPr>
          <w:rFonts w:hint="eastAsia" w:ascii="仿宋" w:hAnsi="仿宋" w:eastAsia="仿宋" w:cs="仿宋"/>
          <w:color w:val="auto"/>
          <w:sz w:val="24"/>
          <w:highlight w:val="none"/>
        </w:rPr>
        <w:t>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3E5471E">
      <w:pPr>
        <w:spacing w:line="40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highlight w:val="none"/>
        </w:rPr>
        <w:t>1.2.5.3</w:t>
      </w:r>
      <w:r>
        <w:rPr>
          <w:rFonts w:hint="eastAsia" w:ascii="仿宋" w:hAnsi="仿宋" w:eastAsia="仿宋" w:cs="仿宋"/>
          <w:color w:val="auto"/>
          <w:sz w:val="24"/>
          <w:highlight w:val="none"/>
        </w:rPr>
        <w:t>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bookmarkEnd w:id="420"/>
    <w:bookmarkEnd w:id="421"/>
    <w:bookmarkEnd w:id="422"/>
    <w:bookmarkEnd w:id="423"/>
    <w:p w14:paraId="7ACFB2A4">
      <w:pPr>
        <w:spacing w:before="40" w:after="40" w:line="400" w:lineRule="exact"/>
        <w:ind w:firstLine="482" w:firstLineChars="200"/>
        <w:outlineLvl w:val="0"/>
        <w:rPr>
          <w:rFonts w:ascii="仿宋" w:hAnsi="仿宋" w:eastAsia="仿宋" w:cs="仿宋"/>
          <w:b/>
          <w:color w:val="auto"/>
          <w:sz w:val="24"/>
          <w:szCs w:val="24"/>
          <w:highlight w:val="none"/>
        </w:rPr>
      </w:pPr>
      <w:bookmarkStart w:id="424" w:name="_Toc19554"/>
      <w:bookmarkStart w:id="425" w:name="_Toc27250"/>
      <w:bookmarkStart w:id="426" w:name="_Toc331685783"/>
      <w:bookmarkStart w:id="427" w:name="_Toc21423"/>
      <w:bookmarkStart w:id="428" w:name="_Toc30514"/>
      <w:r>
        <w:rPr>
          <w:rFonts w:hint="eastAsia" w:ascii="仿宋" w:hAnsi="仿宋" w:eastAsia="仿宋" w:cs="仿宋"/>
          <w:b/>
          <w:color w:val="auto"/>
          <w:sz w:val="24"/>
          <w:szCs w:val="24"/>
          <w:highlight w:val="none"/>
        </w:rPr>
        <w:t>1.3、价款</w:t>
      </w:r>
    </w:p>
    <w:p w14:paraId="451A8BE6">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6FE836C6">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1.3.1</w:t>
      </w:r>
      <w:r>
        <w:rPr>
          <w:rFonts w:hint="eastAsia" w:ascii="仿宋" w:hAnsi="仿宋" w:eastAsia="仿宋" w:cs="仿宋"/>
          <w:color w:val="auto"/>
          <w:sz w:val="24"/>
          <w:highlight w:val="none"/>
        </w:rPr>
        <w:t>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BC1C0BF">
      <w:pPr>
        <w:spacing w:line="40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FE3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1C2CE4">
            <w:pPr>
              <w:pStyle w:val="3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1A01C716">
            <w:pPr>
              <w:pStyle w:val="30"/>
              <w:spacing w:line="40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715EB790">
            <w:pPr>
              <w:pStyle w:val="30"/>
              <w:spacing w:line="4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0F80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912624">
            <w:pPr>
              <w:pStyle w:val="30"/>
              <w:spacing w:line="400" w:lineRule="exact"/>
              <w:ind w:firstLine="200"/>
              <w:jc w:val="center"/>
              <w:rPr>
                <w:rFonts w:ascii="仿宋" w:hAnsi="仿宋" w:eastAsia="仿宋" w:cs="仿宋"/>
                <w:color w:val="auto"/>
                <w:sz w:val="24"/>
                <w:szCs w:val="24"/>
                <w:highlight w:val="none"/>
              </w:rPr>
            </w:pPr>
          </w:p>
        </w:tc>
        <w:tc>
          <w:tcPr>
            <w:tcW w:w="3402" w:type="dxa"/>
            <w:vAlign w:val="center"/>
          </w:tcPr>
          <w:p w14:paraId="59B49A3D">
            <w:pPr>
              <w:pStyle w:val="30"/>
              <w:spacing w:line="400" w:lineRule="exact"/>
              <w:ind w:firstLine="200"/>
              <w:jc w:val="center"/>
              <w:rPr>
                <w:rFonts w:ascii="仿宋" w:hAnsi="仿宋" w:eastAsia="仿宋" w:cs="仿宋"/>
                <w:color w:val="auto"/>
                <w:sz w:val="24"/>
                <w:szCs w:val="24"/>
                <w:highlight w:val="none"/>
              </w:rPr>
            </w:pPr>
          </w:p>
        </w:tc>
        <w:tc>
          <w:tcPr>
            <w:tcW w:w="2552" w:type="dxa"/>
            <w:vAlign w:val="center"/>
          </w:tcPr>
          <w:p w14:paraId="08E306BF">
            <w:pPr>
              <w:pStyle w:val="30"/>
              <w:spacing w:line="400" w:lineRule="exact"/>
              <w:ind w:firstLine="200"/>
              <w:jc w:val="center"/>
              <w:rPr>
                <w:rFonts w:ascii="仿宋" w:hAnsi="仿宋" w:eastAsia="仿宋" w:cs="仿宋"/>
                <w:color w:val="auto"/>
                <w:sz w:val="24"/>
                <w:szCs w:val="24"/>
                <w:highlight w:val="none"/>
              </w:rPr>
            </w:pPr>
          </w:p>
        </w:tc>
      </w:tr>
      <w:tr w14:paraId="4989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D6A511">
            <w:pPr>
              <w:pStyle w:val="30"/>
              <w:spacing w:line="400" w:lineRule="exact"/>
              <w:ind w:firstLine="200"/>
              <w:jc w:val="center"/>
              <w:rPr>
                <w:rFonts w:ascii="仿宋" w:hAnsi="仿宋" w:eastAsia="仿宋" w:cs="仿宋"/>
                <w:color w:val="auto"/>
                <w:sz w:val="24"/>
                <w:szCs w:val="24"/>
                <w:highlight w:val="none"/>
              </w:rPr>
            </w:pPr>
          </w:p>
        </w:tc>
        <w:tc>
          <w:tcPr>
            <w:tcW w:w="3402" w:type="dxa"/>
            <w:vAlign w:val="center"/>
          </w:tcPr>
          <w:p w14:paraId="5A97A0F8">
            <w:pPr>
              <w:pStyle w:val="30"/>
              <w:spacing w:line="400" w:lineRule="exact"/>
              <w:ind w:firstLine="200"/>
              <w:jc w:val="center"/>
              <w:rPr>
                <w:rFonts w:ascii="仿宋" w:hAnsi="仿宋" w:eastAsia="仿宋" w:cs="仿宋"/>
                <w:color w:val="auto"/>
                <w:sz w:val="24"/>
                <w:szCs w:val="24"/>
                <w:highlight w:val="none"/>
              </w:rPr>
            </w:pPr>
          </w:p>
        </w:tc>
        <w:tc>
          <w:tcPr>
            <w:tcW w:w="2552" w:type="dxa"/>
            <w:vAlign w:val="center"/>
          </w:tcPr>
          <w:p w14:paraId="7D4FE21E">
            <w:pPr>
              <w:pStyle w:val="30"/>
              <w:spacing w:line="400" w:lineRule="exact"/>
              <w:ind w:firstLine="200"/>
              <w:jc w:val="center"/>
              <w:rPr>
                <w:rFonts w:ascii="仿宋" w:hAnsi="仿宋" w:eastAsia="仿宋" w:cs="仿宋"/>
                <w:color w:val="auto"/>
                <w:sz w:val="24"/>
                <w:szCs w:val="24"/>
                <w:highlight w:val="none"/>
              </w:rPr>
            </w:pPr>
          </w:p>
        </w:tc>
      </w:tr>
      <w:tr w14:paraId="6009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76BB50">
            <w:pPr>
              <w:pStyle w:val="30"/>
              <w:spacing w:line="40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402" w:type="dxa"/>
            <w:vAlign w:val="center"/>
          </w:tcPr>
          <w:p w14:paraId="7CD8945B">
            <w:pPr>
              <w:pStyle w:val="30"/>
              <w:spacing w:line="40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552" w:type="dxa"/>
            <w:vAlign w:val="center"/>
          </w:tcPr>
          <w:p w14:paraId="5D6CA716">
            <w:pPr>
              <w:pStyle w:val="30"/>
              <w:spacing w:line="40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267B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104C6D5">
            <w:pPr>
              <w:pStyle w:val="30"/>
              <w:spacing w:line="40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4169E853">
            <w:pPr>
              <w:pStyle w:val="30"/>
              <w:spacing w:line="400" w:lineRule="exact"/>
              <w:ind w:firstLine="200"/>
              <w:jc w:val="center"/>
              <w:rPr>
                <w:rFonts w:ascii="仿宋" w:hAnsi="仿宋" w:eastAsia="仿宋" w:cs="仿宋"/>
                <w:color w:val="auto"/>
                <w:sz w:val="24"/>
                <w:szCs w:val="24"/>
                <w:highlight w:val="none"/>
              </w:rPr>
            </w:pPr>
          </w:p>
        </w:tc>
      </w:tr>
    </w:tbl>
    <w:p w14:paraId="028F49DC">
      <w:pPr>
        <w:spacing w:line="400" w:lineRule="exact"/>
        <w:ind w:firstLine="482" w:firstLineChars="200"/>
        <w:rPr>
          <w:rFonts w:ascii="仿宋" w:hAnsi="仿宋" w:eastAsia="仿宋" w:cs="仿宋"/>
          <w:color w:val="auto"/>
          <w:sz w:val="24"/>
          <w:highlight w:val="none"/>
        </w:rPr>
      </w:pPr>
      <w:bookmarkStart w:id="429" w:name="_Toc14993"/>
      <w:bookmarkStart w:id="430" w:name="_Toc26916"/>
      <w:bookmarkStart w:id="431" w:name="_Toc30158"/>
      <w:bookmarkStart w:id="432" w:name="_Toc30506"/>
      <w:bookmarkStart w:id="433" w:name="_Toc3654"/>
      <w:r>
        <w:rPr>
          <w:rFonts w:hint="eastAsia" w:ascii="仿宋" w:hAnsi="仿宋" w:eastAsia="仿宋" w:cs="仿宋"/>
          <w:b/>
          <w:color w:val="auto"/>
          <w:sz w:val="24"/>
          <w:highlight w:val="none"/>
        </w:rPr>
        <w:t>1.3.2</w:t>
      </w:r>
      <w:r>
        <w:rPr>
          <w:rFonts w:hint="eastAsia" w:ascii="仿宋" w:hAnsi="仿宋" w:eastAsia="仿宋" w:cs="仿宋"/>
          <w:bCs/>
          <w:color w:val="auto"/>
          <w:sz w:val="24"/>
          <w:highlight w:val="none"/>
        </w:rPr>
        <w:t>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A2FBCED">
      <w:pPr>
        <w:spacing w:line="400" w:lineRule="exact"/>
        <w:ind w:firstLine="482" w:firstLineChars="200"/>
        <w:rPr>
          <w:color w:val="auto"/>
          <w:highlight w:val="none"/>
        </w:rPr>
      </w:pPr>
      <w:r>
        <w:rPr>
          <w:rFonts w:hint="eastAsia" w:ascii="仿宋" w:hAnsi="仿宋" w:eastAsia="仿宋" w:cs="仿宋"/>
          <w:b/>
          <w:bCs/>
          <w:color w:val="auto"/>
          <w:sz w:val="24"/>
          <w:highlight w:val="none"/>
        </w:rPr>
        <w:t>1.3.3</w:t>
      </w:r>
      <w:r>
        <w:rPr>
          <w:rFonts w:hint="eastAsia" w:ascii="仿宋" w:hAnsi="仿宋" w:eastAsia="仿宋" w:cs="仿宋"/>
          <w:color w:val="auto"/>
          <w:sz w:val="24"/>
          <w:highlight w:val="none"/>
        </w:rPr>
        <w:t>其他计价方式：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bookmarkEnd w:id="429"/>
    <w:bookmarkEnd w:id="430"/>
    <w:bookmarkEnd w:id="431"/>
    <w:bookmarkEnd w:id="432"/>
    <w:bookmarkEnd w:id="433"/>
    <w:p w14:paraId="1ABA131B">
      <w:pPr>
        <w:pStyle w:val="29"/>
        <w:spacing w:before="40" w:beforeAutospacing="0" w:after="40" w:afterAutospacing="0" w:line="400" w:lineRule="exact"/>
        <w:ind w:firstLine="482" w:firstLineChars="200"/>
        <w:jc w:val="both"/>
        <w:rPr>
          <w:rFonts w:ascii="仿宋" w:hAnsi="仿宋" w:eastAsia="仿宋" w:cs="仿宋"/>
          <w:b/>
          <w:color w:val="auto"/>
          <w:szCs w:val="24"/>
          <w:highlight w:val="none"/>
        </w:rPr>
      </w:pPr>
      <w:r>
        <w:rPr>
          <w:rFonts w:hint="eastAsia" w:ascii="仿宋" w:hAnsi="仿宋" w:eastAsia="仿宋" w:cs="仿宋"/>
          <w:b/>
          <w:color w:val="auto"/>
          <w:szCs w:val="24"/>
          <w:highlight w:val="none"/>
        </w:rPr>
        <w:t>1.4、履约保证金</w:t>
      </w:r>
    </w:p>
    <w:p w14:paraId="59CDFEB7">
      <w:pPr>
        <w:pStyle w:val="29"/>
        <w:spacing w:before="0" w:beforeAutospacing="0" w:after="0" w:afterAutospacing="0" w:line="400" w:lineRule="exact"/>
        <w:ind w:firstLine="480" w:firstLineChars="200"/>
        <w:jc w:val="both"/>
        <w:rPr>
          <w:rFonts w:ascii="仿宋" w:hAnsi="仿宋" w:eastAsia="仿宋" w:cs="仿宋"/>
          <w:color w:val="auto"/>
          <w:szCs w:val="24"/>
          <w:highlight w:val="none"/>
        </w:rPr>
      </w:pPr>
      <w:r>
        <w:rPr>
          <w:rFonts w:hint="eastAsia" w:ascii="仿宋" w:hAnsi="仿宋" w:eastAsia="仿宋" w:cs="仿宋"/>
          <w:color w:val="auto"/>
          <w:szCs w:val="24"/>
          <w:highlight w:val="none"/>
        </w:rPr>
        <w:t>乙方</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（是/否）需要支付履约保证金。若需要支付履约保证金的，则：</w:t>
      </w:r>
    </w:p>
    <w:p w14:paraId="38FA1E3A">
      <w:pPr>
        <w:spacing w:line="400" w:lineRule="exact"/>
        <w:ind w:firstLine="482" w:firstLineChars="200"/>
        <w:outlineLvl w:val="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1.4.1</w:t>
      </w:r>
      <w:r>
        <w:rPr>
          <w:rFonts w:hint="eastAsia" w:ascii="仿宋" w:hAnsi="仿宋" w:eastAsia="仿宋" w:cs="仿宋"/>
          <w:color w:val="auto"/>
          <w:sz w:val="24"/>
          <w:szCs w:val="24"/>
          <w:highlight w:val="none"/>
        </w:rPr>
        <w:t>履约保证金的比例为合同金额的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F98F12B">
      <w:pPr>
        <w:spacing w:line="400" w:lineRule="exact"/>
        <w:ind w:firstLine="482" w:firstLineChars="200"/>
        <w:outlineLvl w:val="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1.4.2</w:t>
      </w:r>
      <w:r>
        <w:rPr>
          <w:rFonts w:hint="eastAsia" w:ascii="仿宋" w:hAnsi="仿宋" w:eastAsia="仿宋" w:cs="仿宋"/>
          <w:color w:val="auto"/>
          <w:sz w:val="24"/>
          <w:szCs w:val="24"/>
          <w:highlight w:val="none"/>
        </w:rPr>
        <w:t>履约保证金支付方式详见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B3128AB">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1.4.3</w:t>
      </w:r>
      <w:r>
        <w:rPr>
          <w:rFonts w:hint="eastAsia" w:ascii="仿宋" w:hAnsi="仿宋" w:eastAsia="仿宋" w:cs="仿宋"/>
          <w:color w:val="auto"/>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FE3AAE3">
      <w:pPr>
        <w:spacing w:line="400" w:lineRule="exact"/>
        <w:ind w:firstLine="482" w:firstLineChars="200"/>
        <w:outlineLvl w:val="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1.4.4</w:t>
      </w:r>
      <w:r>
        <w:rPr>
          <w:rFonts w:hint="eastAsia" w:ascii="仿宋" w:hAnsi="仿宋" w:eastAsia="仿宋" w:cs="仿宋"/>
          <w:color w:val="auto"/>
          <w:sz w:val="24"/>
          <w:szCs w:val="24"/>
          <w:highlight w:val="none"/>
        </w:rPr>
        <w:t>甲方在项目验收结束后及时退还履约保证金。甲方在项目通过验收之日起</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sz w:val="24"/>
          <w:szCs w:val="24"/>
          <w:highlight w:val="none"/>
          <w:u w:val="single"/>
        </w:rPr>
        <w:t xml:space="preserve">  0.05%（可根据情况修改）</w:t>
      </w:r>
      <w:r>
        <w:rPr>
          <w:rFonts w:hint="eastAsia" w:ascii="仿宋" w:hAnsi="仿宋" w:eastAsia="仿宋" w:cs="仿宋"/>
          <w:color w:val="auto"/>
          <w:sz w:val="24"/>
          <w:szCs w:val="24"/>
          <w:highlight w:val="none"/>
        </w:rPr>
        <w:t>计算，最高限额为本合同履约保证金的</w:t>
      </w:r>
      <w:r>
        <w:rPr>
          <w:rFonts w:hint="eastAsia" w:ascii="仿宋" w:hAnsi="仿宋" w:eastAsia="仿宋" w:cs="仿宋"/>
          <w:color w:val="auto"/>
          <w:sz w:val="24"/>
          <w:szCs w:val="24"/>
          <w:highlight w:val="none"/>
          <w:u w:val="single"/>
        </w:rPr>
        <w:t xml:space="preserve">  20%</w:t>
      </w:r>
      <w:r>
        <w:rPr>
          <w:rFonts w:hint="eastAsia" w:ascii="仿宋" w:hAnsi="仿宋" w:eastAsia="仿宋" w:cs="仿宋"/>
          <w:color w:val="auto"/>
          <w:sz w:val="24"/>
          <w:szCs w:val="24"/>
          <w:highlight w:val="none"/>
        </w:rPr>
        <w:t>。</w:t>
      </w:r>
    </w:p>
    <w:p w14:paraId="72F7107A">
      <w:pPr>
        <w:spacing w:before="40" w:after="40" w:line="40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62884893">
      <w:pPr>
        <w:pStyle w:val="29"/>
        <w:spacing w:before="0" w:beforeAutospacing="0" w:after="0" w:afterAutospacing="0" w:line="40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289A9C8B">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1.5.1</w:t>
      </w:r>
      <w:r>
        <w:rPr>
          <w:rFonts w:hint="eastAsia" w:ascii="仿宋" w:hAnsi="仿宋" w:eastAsia="仿宋" w:cs="仿宋"/>
          <w:color w:val="auto"/>
          <w:sz w:val="24"/>
          <w:highlight w:val="none"/>
        </w:rPr>
        <w:t>预付款比例、支付方式、时间详见</w:t>
      </w:r>
      <w:r>
        <w:rPr>
          <w:rFonts w:hint="eastAsia" w:ascii="仿宋" w:hAnsi="仿宋" w:eastAsia="仿宋" w:cs="仿宋"/>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59F7F3A">
      <w:pPr>
        <w:pStyle w:val="29"/>
        <w:spacing w:before="0" w:beforeAutospacing="0" w:after="0" w:afterAutospacing="0" w:line="400" w:lineRule="exact"/>
        <w:ind w:firstLine="482" w:firstLineChars="200"/>
        <w:jc w:val="both"/>
        <w:rPr>
          <w:rFonts w:ascii="仿宋" w:hAnsi="仿宋" w:eastAsia="仿宋" w:cs="仿宋"/>
          <w:color w:val="auto"/>
          <w:highlight w:val="none"/>
        </w:rPr>
      </w:pPr>
      <w:r>
        <w:rPr>
          <w:rFonts w:hint="eastAsia" w:ascii="仿宋" w:hAnsi="仿宋" w:eastAsia="仿宋" w:cs="仿宋"/>
          <w:b/>
          <w:bCs/>
          <w:color w:val="auto"/>
          <w:highlight w:val="none"/>
        </w:rPr>
        <w:t>1.5.2</w:t>
      </w:r>
      <w:r>
        <w:rPr>
          <w:rFonts w:hint="eastAsia" w:ascii="仿宋" w:hAnsi="仿宋" w:eastAsia="仿宋" w:cs="仿宋"/>
          <w:color w:val="auto"/>
          <w:highlight w:val="none"/>
        </w:rPr>
        <w:t>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2EE0675">
      <w:pPr>
        <w:spacing w:line="40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1.5.3</w:t>
      </w:r>
      <w:r>
        <w:rPr>
          <w:rFonts w:hint="eastAsia" w:ascii="仿宋" w:hAnsi="仿宋" w:eastAsia="仿宋" w:cs="仿宋"/>
          <w:color w:val="auto"/>
          <w:sz w:val="24"/>
          <w:szCs w:val="24"/>
          <w:highlight w:val="none"/>
        </w:rPr>
        <w:t>预付款的担保措施详见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5854515">
      <w:pPr>
        <w:spacing w:before="40" w:after="40" w:line="40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1.6、资金支付</w:t>
      </w:r>
    </w:p>
    <w:p w14:paraId="3CB6EE49">
      <w:pPr>
        <w:pStyle w:val="29"/>
        <w:spacing w:before="0" w:beforeAutospacing="0" w:after="0" w:afterAutospacing="0" w:line="400" w:lineRule="exact"/>
        <w:ind w:firstLine="482"/>
        <w:rPr>
          <w:rFonts w:ascii="仿宋" w:hAnsi="仿宋" w:eastAsia="仿宋" w:cs="仿宋"/>
          <w:color w:val="auto"/>
          <w:highlight w:val="none"/>
        </w:rPr>
      </w:pPr>
      <w:r>
        <w:rPr>
          <w:rFonts w:hint="eastAsia" w:ascii="仿宋" w:hAnsi="仿宋" w:eastAsia="仿宋" w:cs="仿宋"/>
          <w:b/>
          <w:bCs/>
          <w:color w:val="auto"/>
          <w:highlight w:val="none"/>
        </w:rPr>
        <w:t>1.6.1</w:t>
      </w:r>
      <w:r>
        <w:rPr>
          <w:rFonts w:hint="eastAsia" w:ascii="仿宋" w:hAnsi="仿宋" w:eastAsia="仿宋" w:cs="仿宋"/>
          <w:color w:val="auto"/>
          <w:highlight w:val="none"/>
        </w:rPr>
        <w:t>甲方应严格履行合同，及时组织验收，验收合格后及时将合同款支付完毕。对于满足合同约定支付条件的，甲方自收到发票后</w:t>
      </w:r>
      <w:r>
        <w:rPr>
          <w:rFonts w:hint="eastAsia" w:ascii="仿宋" w:hAnsi="仿宋" w:eastAsia="仿宋" w:cs="仿宋"/>
          <w:color w:val="auto"/>
          <w:highlight w:val="none"/>
          <w:u w:val="single"/>
        </w:rPr>
        <w:t>**个</w:t>
      </w:r>
      <w:r>
        <w:rPr>
          <w:rFonts w:hint="eastAsia" w:ascii="仿宋" w:hAnsi="仿宋" w:eastAsia="仿宋" w:cs="仿宋"/>
          <w:color w:val="auto"/>
          <w:highlight w:val="none"/>
        </w:rPr>
        <w:t>工作日内将资金支付到合同约定的乙方账户，有条件的甲方可以即时支付。甲方不得以机构变动、人员更替、政策调整、单位放假等为由延迟付款。</w:t>
      </w:r>
    </w:p>
    <w:p w14:paraId="54EE8E8A">
      <w:pPr>
        <w:pStyle w:val="29"/>
        <w:spacing w:before="0" w:beforeAutospacing="0" w:after="0" w:afterAutospacing="0" w:line="400" w:lineRule="exact"/>
        <w:ind w:firstLine="482"/>
        <w:rPr>
          <w:rFonts w:ascii="仿宋" w:hAnsi="仿宋" w:eastAsia="仿宋" w:cs="仿宋"/>
          <w:color w:val="auto"/>
          <w:highlight w:val="none"/>
        </w:rPr>
      </w:pPr>
      <w:r>
        <w:rPr>
          <w:rFonts w:hint="eastAsia" w:ascii="仿宋" w:hAnsi="仿宋" w:eastAsia="仿宋" w:cs="仿宋"/>
          <w:b/>
          <w:bCs/>
          <w:color w:val="auto"/>
          <w:highlight w:val="none"/>
        </w:rPr>
        <w:t>1.6.2</w:t>
      </w:r>
      <w:r>
        <w:rPr>
          <w:rFonts w:hint="eastAsia" w:ascii="仿宋" w:hAnsi="仿宋" w:eastAsia="仿宋" w:cs="仿宋"/>
          <w:color w:val="auto"/>
          <w:highlight w:val="none"/>
        </w:rPr>
        <w:t>资金支付的方式、时间和条件详见</w:t>
      </w:r>
      <w:r>
        <w:rPr>
          <w:rFonts w:hint="eastAsia" w:ascii="仿宋" w:hAnsi="仿宋" w:eastAsia="仿宋" w:cs="仿宋"/>
          <w:b/>
          <w:i/>
          <w:color w:val="auto"/>
          <w:highlight w:val="none"/>
          <w:u w:val="single"/>
        </w:rPr>
        <w:t>合同专用条款</w:t>
      </w:r>
      <w:r>
        <w:rPr>
          <w:rFonts w:hint="eastAsia" w:ascii="仿宋" w:hAnsi="仿宋" w:eastAsia="仿宋" w:cs="仿宋"/>
          <w:bCs/>
          <w:i/>
          <w:color w:val="auto"/>
          <w:highlight w:val="none"/>
        </w:rPr>
        <w:t>。</w:t>
      </w:r>
    </w:p>
    <w:p w14:paraId="58CFAE1F">
      <w:pPr>
        <w:pStyle w:val="29"/>
        <w:spacing w:before="0" w:beforeAutospacing="0" w:after="0" w:afterAutospacing="0" w:line="400" w:lineRule="exact"/>
        <w:ind w:firstLine="482"/>
        <w:rPr>
          <w:rFonts w:ascii="仿宋" w:hAnsi="仿宋" w:eastAsia="仿宋" w:cs="仿宋"/>
          <w:color w:val="auto"/>
          <w:highlight w:val="none"/>
        </w:rPr>
      </w:pPr>
      <w:r>
        <w:rPr>
          <w:rFonts w:hint="eastAsia" w:ascii="仿宋" w:hAnsi="仿宋" w:eastAsia="仿宋" w:cs="仿宋"/>
          <w:b/>
          <w:bCs/>
          <w:color w:val="auto"/>
          <w:highlight w:val="none"/>
        </w:rPr>
        <w:t>1.6.3</w:t>
      </w:r>
      <w:r>
        <w:rPr>
          <w:rFonts w:hint="eastAsia" w:ascii="仿宋" w:hAnsi="仿宋" w:eastAsia="仿宋" w:cs="仿宋"/>
          <w:color w:val="auto"/>
          <w:highlight w:val="none"/>
        </w:rPr>
        <w:t>甲方未按约定向乙方支付合同款项，应向乙方支付逾期利息，利率为合同签订时一年期贷款市场报价利率。</w:t>
      </w:r>
    </w:p>
    <w:p w14:paraId="238DAE0E">
      <w:pPr>
        <w:spacing w:before="40" w:after="40" w:line="40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1.7、履行期限、地点和方式</w:t>
      </w:r>
    </w:p>
    <w:p w14:paraId="6801F3A4">
      <w:pPr>
        <w:spacing w:line="400" w:lineRule="exact"/>
        <w:ind w:firstLine="482" w:firstLineChars="200"/>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1.7.1</w:t>
      </w:r>
      <w:r>
        <w:rPr>
          <w:rFonts w:hint="eastAsia" w:ascii="仿宋" w:hAnsi="仿宋" w:eastAsia="仿宋" w:cs="仿宋"/>
          <w:color w:val="auto"/>
          <w:sz w:val="24"/>
          <w:highlight w:val="none"/>
        </w:rPr>
        <w:t>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B8CBB74">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1.7.2</w:t>
      </w:r>
      <w:r>
        <w:rPr>
          <w:rFonts w:hint="eastAsia" w:ascii="仿宋" w:hAnsi="仿宋" w:eastAsia="仿宋" w:cs="仿宋"/>
          <w:color w:val="auto"/>
          <w:sz w:val="24"/>
          <w:highlight w:val="none"/>
        </w:rPr>
        <w:t>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FF5E9A4">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1.7.3</w:t>
      </w:r>
      <w:r>
        <w:rPr>
          <w:rFonts w:hint="eastAsia" w:ascii="仿宋" w:hAnsi="仿宋" w:eastAsia="仿宋" w:cs="仿宋"/>
          <w:color w:val="auto"/>
          <w:sz w:val="24"/>
          <w:highlight w:val="none"/>
        </w:rPr>
        <w:t>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96EFE0B">
      <w:pPr>
        <w:spacing w:line="400" w:lineRule="exact"/>
        <w:ind w:firstLine="482" w:firstLineChars="200"/>
        <w:outlineLvl w:val="0"/>
        <w:rPr>
          <w:rFonts w:ascii="仿宋" w:hAnsi="仿宋" w:eastAsia="仿宋" w:cs="仿宋"/>
          <w:bCs/>
          <w:color w:val="auto"/>
          <w:sz w:val="24"/>
          <w:highlight w:val="none"/>
        </w:rPr>
      </w:pPr>
      <w:r>
        <w:rPr>
          <w:rFonts w:hint="eastAsia" w:ascii="仿宋" w:hAnsi="仿宋" w:eastAsia="仿宋" w:cs="仿宋"/>
          <w:b/>
          <w:color w:val="auto"/>
          <w:sz w:val="24"/>
          <w:highlight w:val="none"/>
        </w:rPr>
        <w:t>1.7.4</w:t>
      </w:r>
      <w:r>
        <w:rPr>
          <w:rFonts w:hint="eastAsia" w:ascii="仿宋" w:hAnsi="仿宋" w:eastAsia="仿宋" w:cs="仿宋"/>
          <w:bCs/>
          <w:color w:val="auto"/>
          <w:sz w:val="24"/>
          <w:highlight w:val="none"/>
        </w:rPr>
        <w:t>若服务涉及货物的，则货物的：</w:t>
      </w:r>
    </w:p>
    <w:p w14:paraId="152BFD64">
      <w:pPr>
        <w:spacing w:line="400" w:lineRule="exact"/>
        <w:ind w:firstLine="482" w:firstLineChars="200"/>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1.7.4.1</w:t>
      </w:r>
      <w:r>
        <w:rPr>
          <w:rFonts w:hint="eastAsia" w:ascii="仿宋" w:hAnsi="仿宋" w:eastAsia="仿宋" w:cs="仿宋"/>
          <w:color w:val="auto"/>
          <w:sz w:val="24"/>
          <w:highlight w:val="none"/>
        </w:rPr>
        <w:t>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6E7927E">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1.7.4.2</w:t>
      </w:r>
      <w:r>
        <w:rPr>
          <w:rFonts w:hint="eastAsia" w:ascii="仿宋" w:hAnsi="仿宋" w:eastAsia="仿宋" w:cs="仿宋"/>
          <w:color w:val="auto"/>
          <w:sz w:val="24"/>
          <w:highlight w:val="none"/>
        </w:rPr>
        <w:t>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41C8691">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1.7.4.3</w:t>
      </w:r>
      <w:r>
        <w:rPr>
          <w:rFonts w:hint="eastAsia" w:ascii="仿宋" w:hAnsi="仿宋" w:eastAsia="仿宋" w:cs="仿宋"/>
          <w:color w:val="auto"/>
          <w:sz w:val="24"/>
          <w:highlight w:val="none"/>
        </w:rPr>
        <w:t>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3FD7CB5">
      <w:pPr>
        <w:spacing w:before="40" w:after="40" w:line="400" w:lineRule="exact"/>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1.8、</w:t>
      </w:r>
      <w:r>
        <w:rPr>
          <w:rFonts w:hint="eastAsia" w:ascii="仿宋" w:hAnsi="仿宋" w:eastAsia="仿宋" w:cs="仿宋"/>
          <w:b/>
          <w:bCs/>
          <w:color w:val="auto"/>
          <w:sz w:val="24"/>
          <w:szCs w:val="24"/>
          <w:highlight w:val="none"/>
        </w:rPr>
        <w:t>违约责任</w:t>
      </w:r>
    </w:p>
    <w:p w14:paraId="1A30FDBC">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1.8.1</w:t>
      </w:r>
      <w:r>
        <w:rPr>
          <w:rFonts w:hint="eastAsia" w:ascii="仿宋" w:hAnsi="仿宋" w:eastAsia="仿宋" w:cs="仿宋"/>
          <w:color w:val="auto"/>
          <w:sz w:val="24"/>
          <w:highlight w:val="none"/>
        </w:rPr>
        <w:t>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02678606">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1.8.2</w:t>
      </w:r>
      <w:r>
        <w:rPr>
          <w:rFonts w:hint="eastAsia" w:ascii="仿宋" w:hAnsi="仿宋" w:eastAsia="仿宋" w:cs="仿宋"/>
          <w:color w:val="auto"/>
          <w:sz w:val="24"/>
          <w:szCs w:val="24"/>
          <w:highlight w:val="none"/>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szCs w:val="24"/>
          <w:highlight w:val="none"/>
          <w:u w:val="single"/>
        </w:rPr>
        <w:t xml:space="preserve"> 0.0</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u w:val="single"/>
        </w:rPr>
        <w:t xml:space="preserve">（可根据情况修改）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%；迟延交付货物的违约金计算数额达到前述最高限额之日起，甲方有权在要求乙方支付违约金的同时，书面通知乙方解除本合同；</w:t>
      </w:r>
    </w:p>
    <w:p w14:paraId="332F70FD">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1.8.3</w:t>
      </w:r>
      <w:r>
        <w:rPr>
          <w:rFonts w:hint="eastAsia" w:ascii="仿宋" w:hAnsi="仿宋" w:eastAsia="仿宋" w:cs="仿宋"/>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20（可根据情况修改）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26BB760F">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1.8.4</w:t>
      </w:r>
      <w:r>
        <w:rPr>
          <w:rFonts w:hint="eastAsia" w:ascii="仿宋" w:hAnsi="仿宋" w:eastAsia="仿宋" w:cs="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E18BCC">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1.8.5</w:t>
      </w:r>
      <w:r>
        <w:rPr>
          <w:rFonts w:hint="eastAsia" w:ascii="仿宋" w:hAnsi="仿宋" w:eastAsia="仿宋" w:cs="仿宋"/>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F25D1AE">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1.8.6</w:t>
      </w:r>
      <w:r>
        <w:rPr>
          <w:rFonts w:hint="eastAsia" w:ascii="仿宋" w:hAnsi="仿宋" w:eastAsia="仿宋" w:cs="仿宋"/>
          <w:color w:val="auto"/>
          <w:sz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14:paraId="6AF60B45">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1.8.7</w:t>
      </w:r>
      <w:r>
        <w:rPr>
          <w:rFonts w:hint="eastAsia" w:ascii="仿宋" w:hAnsi="仿宋" w:eastAsia="仿宋" w:cs="仿宋"/>
          <w:color w:val="auto"/>
          <w:sz w:val="24"/>
          <w:highlight w:val="none"/>
        </w:rPr>
        <w:t>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5CA25098">
      <w:pPr>
        <w:spacing w:before="40" w:after="40" w:line="40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691D6A5E">
      <w:pPr>
        <w:spacing w:line="400" w:lineRule="exact"/>
        <w:ind w:left="-61" w:leftChars="-29"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2414F927">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1.9.1</w:t>
      </w:r>
      <w:r>
        <w:rPr>
          <w:rFonts w:hint="eastAsia" w:ascii="仿宋" w:hAnsi="仿宋" w:eastAsia="仿宋" w:cs="仿宋"/>
          <w:color w:val="auto"/>
          <w:sz w:val="24"/>
          <w:highlight w:val="none"/>
        </w:rPr>
        <w:t>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1CF94269">
      <w:pPr>
        <w:spacing w:line="400" w:lineRule="exact"/>
        <w:ind w:firstLine="482" w:firstLineChars="200"/>
        <w:rPr>
          <w:rFonts w:ascii="宋体" w:hAnsi="宋体" w:cs="宋体"/>
          <w:color w:val="auto"/>
          <w:sz w:val="24"/>
          <w:highlight w:val="none"/>
        </w:rPr>
      </w:pPr>
      <w:r>
        <w:rPr>
          <w:rFonts w:hint="eastAsia" w:ascii="仿宋" w:hAnsi="仿宋" w:eastAsia="仿宋" w:cs="仿宋"/>
          <w:b/>
          <w:bCs/>
          <w:color w:val="auto"/>
          <w:sz w:val="24"/>
          <w:highlight w:val="none"/>
        </w:rPr>
        <w:t>1.9.2</w:t>
      </w:r>
      <w:r>
        <w:rPr>
          <w:rFonts w:hint="eastAsia" w:ascii="仿宋" w:hAnsi="仿宋" w:eastAsia="仿宋" w:cs="仿宋"/>
          <w:color w:val="auto"/>
          <w:sz w:val="24"/>
          <w:highlight w:val="none"/>
        </w:rPr>
        <w:t>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r>
        <w:rPr>
          <w:rFonts w:hint="eastAsia" w:ascii="宋体" w:hAnsi="宋体" w:cs="宋体"/>
          <w:color w:val="auto"/>
          <w:sz w:val="24"/>
          <w:highlight w:val="none"/>
        </w:rPr>
        <w:t>。</w:t>
      </w:r>
    </w:p>
    <w:bookmarkEnd w:id="424"/>
    <w:bookmarkEnd w:id="425"/>
    <w:bookmarkEnd w:id="426"/>
    <w:bookmarkEnd w:id="427"/>
    <w:bookmarkEnd w:id="428"/>
    <w:p w14:paraId="3A0FD803">
      <w:pPr>
        <w:spacing w:before="40" w:after="40" w:line="400" w:lineRule="exact"/>
        <w:ind w:firstLine="482" w:firstLineChars="200"/>
        <w:outlineLvl w:val="0"/>
        <w:rPr>
          <w:rFonts w:ascii="仿宋" w:hAnsi="仿宋" w:eastAsia="仿宋" w:cs="仿宋"/>
          <w:b/>
          <w:color w:val="auto"/>
          <w:sz w:val="24"/>
          <w:highlight w:val="none"/>
        </w:rPr>
      </w:pPr>
      <w:bookmarkStart w:id="434" w:name="_Toc11173"/>
      <w:bookmarkStart w:id="435" w:name="_Toc15322"/>
      <w:bookmarkStart w:id="436" w:name="_Toc7245"/>
    </w:p>
    <w:p w14:paraId="4ECE70F2">
      <w:pPr>
        <w:spacing w:before="40" w:after="40" w:line="400" w:lineRule="exact"/>
        <w:ind w:firstLine="482" w:firstLineChars="200"/>
        <w:outlineLvl w:val="0"/>
        <w:rPr>
          <w:rFonts w:ascii="仿宋" w:hAnsi="仿宋" w:eastAsia="仿宋" w:cs="仿宋"/>
          <w:b/>
          <w:color w:val="auto"/>
          <w:sz w:val="24"/>
          <w:highlight w:val="none"/>
        </w:rPr>
      </w:pPr>
    </w:p>
    <w:p w14:paraId="1A6CD466">
      <w:pPr>
        <w:spacing w:before="40" w:after="40" w:line="40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1.10、合同生效</w:t>
      </w:r>
      <w:bookmarkEnd w:id="434"/>
      <w:bookmarkEnd w:id="435"/>
      <w:bookmarkEnd w:id="436"/>
    </w:p>
    <w:p w14:paraId="06D1D4E3">
      <w:pPr>
        <w:spacing w:line="40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25FFBD9C">
      <w:pPr>
        <w:spacing w:line="400" w:lineRule="exact"/>
        <w:ind w:firstLine="482" w:firstLineChars="200"/>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3ED292B">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16002325">
      <w:pPr>
        <w:spacing w:line="400" w:lineRule="exact"/>
        <w:ind w:firstLine="480" w:firstLineChars="200"/>
        <w:rPr>
          <w:rFonts w:ascii="仿宋" w:hAnsi="仿宋" w:eastAsia="仿宋" w:cs="仿宋"/>
          <w:color w:val="auto"/>
          <w:sz w:val="24"/>
          <w:highlight w:val="none"/>
          <w:lang w:val="zh-CN"/>
        </w:rPr>
      </w:pPr>
    </w:p>
    <w:p w14:paraId="5F958B2A">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7D9EEE7B">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22521925">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26A96E5C">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E3C5208">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35A71E28">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1A87575">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B2085BE">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86D3CF3">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320015C0">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5C11A431">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7AB77971">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3570DF14">
      <w:pPr>
        <w:spacing w:line="400" w:lineRule="exact"/>
        <w:ind w:firstLine="480" w:firstLineChars="200"/>
        <w:jc w:val="center"/>
        <w:rPr>
          <w:rFonts w:ascii="仿宋" w:hAnsi="仿宋" w:eastAsia="仿宋" w:cs="仿宋"/>
          <w:b/>
          <w:color w:val="auto"/>
          <w:sz w:val="24"/>
          <w:szCs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szCs w:val="24"/>
          <w:highlight w:val="none"/>
        </w:rPr>
        <w:t>第二部分 合同一般条款</w:t>
      </w:r>
    </w:p>
    <w:p w14:paraId="4815E31E">
      <w:pPr>
        <w:spacing w:line="400" w:lineRule="exact"/>
        <w:ind w:firstLine="482" w:firstLineChars="200"/>
        <w:outlineLvl w:val="0"/>
        <w:rPr>
          <w:rFonts w:ascii="仿宋" w:hAnsi="仿宋" w:eastAsia="仿宋" w:cs="仿宋"/>
          <w:b/>
          <w:color w:val="auto"/>
          <w:sz w:val="24"/>
          <w:szCs w:val="24"/>
          <w:highlight w:val="none"/>
        </w:rPr>
      </w:pPr>
      <w:bookmarkStart w:id="437" w:name="_Toc31297"/>
      <w:bookmarkStart w:id="438" w:name="_Toc5228"/>
      <w:bookmarkStart w:id="439" w:name="_Toc25079"/>
      <w:bookmarkStart w:id="440" w:name="_Toc19680"/>
      <w:bookmarkStart w:id="441" w:name="_Toc14021"/>
      <w:r>
        <w:rPr>
          <w:rFonts w:hint="eastAsia" w:ascii="仿宋" w:hAnsi="仿宋" w:eastAsia="仿宋" w:cs="仿宋"/>
          <w:b/>
          <w:color w:val="auto"/>
          <w:sz w:val="24"/>
          <w:szCs w:val="24"/>
          <w:highlight w:val="none"/>
        </w:rPr>
        <w:t>2.1 定义</w:t>
      </w:r>
      <w:bookmarkEnd w:id="437"/>
      <w:bookmarkEnd w:id="438"/>
      <w:bookmarkEnd w:id="439"/>
      <w:bookmarkEnd w:id="440"/>
      <w:bookmarkEnd w:id="441"/>
    </w:p>
    <w:p w14:paraId="3186999C">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14:paraId="151C15A8">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2.1.1</w:t>
      </w:r>
      <w:r>
        <w:rPr>
          <w:rFonts w:hint="eastAsia" w:ascii="仿宋" w:hAnsi="仿宋" w:eastAsia="仿宋" w:cs="仿宋"/>
          <w:color w:val="auto"/>
          <w:sz w:val="24"/>
          <w:szCs w:val="24"/>
          <w:highlight w:val="none"/>
        </w:rPr>
        <w:t>“合同”系指采购人和中标或成交供应商签订的载明双方当事人所达成的协议，并包括所有的附件、附录和构成合同的其他文件。</w:t>
      </w:r>
    </w:p>
    <w:p w14:paraId="3D4A41B2">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2.1.2</w:t>
      </w:r>
      <w:r>
        <w:rPr>
          <w:rFonts w:hint="eastAsia" w:ascii="仿宋" w:hAnsi="仿宋" w:eastAsia="仿宋" w:cs="仿宋"/>
          <w:color w:val="auto"/>
          <w:sz w:val="24"/>
          <w:szCs w:val="24"/>
          <w:highlight w:val="none"/>
        </w:rPr>
        <w:t>“合同价”系指根据合同约定，中标或成交供应商在完全履行合同义务后，采购人应支付给中标或成交供应商的价格。</w:t>
      </w:r>
    </w:p>
    <w:p w14:paraId="767E37A6">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2.1.3</w:t>
      </w:r>
      <w:r>
        <w:rPr>
          <w:rFonts w:hint="eastAsia" w:ascii="仿宋" w:hAnsi="仿宋" w:eastAsia="仿宋" w:cs="仿宋"/>
          <w:color w:val="auto"/>
          <w:sz w:val="24"/>
          <w:szCs w:val="24"/>
          <w:highlight w:val="none"/>
        </w:rPr>
        <w:t>“服务”系指中标或成交供应商根据合同约定应向采购人履行的除货物和工程以外的其他政府采购对象，包括采购人自身需要的服务和向社会公众提供的公共服务。</w:t>
      </w:r>
    </w:p>
    <w:p w14:paraId="0C4E373B">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2.1.4</w:t>
      </w:r>
      <w:r>
        <w:rPr>
          <w:rFonts w:hint="eastAsia" w:ascii="仿宋" w:hAnsi="仿宋" w:eastAsia="仿宋" w:cs="仿宋"/>
          <w:color w:val="auto"/>
          <w:sz w:val="24"/>
          <w:szCs w:val="24"/>
          <w:highlight w:val="none"/>
        </w:rPr>
        <w:t>“甲方”系指与中标或成交供应商签署合同的采购人；采购人委托采购代理机构代表其与乙方签订合同的，采购人的授权委托书作为合同附件。</w:t>
      </w:r>
    </w:p>
    <w:p w14:paraId="29241733">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2.1.5</w:t>
      </w:r>
      <w:r>
        <w:rPr>
          <w:rFonts w:hint="eastAsia" w:ascii="仿宋" w:hAnsi="仿宋" w:eastAsia="仿宋" w:cs="仿宋"/>
          <w:color w:val="auto"/>
          <w:sz w:val="24"/>
          <w:szCs w:val="24"/>
          <w:highlight w:val="none"/>
        </w:rPr>
        <w:t>“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8297076">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2.1.6</w:t>
      </w:r>
      <w:r>
        <w:rPr>
          <w:rFonts w:hint="eastAsia" w:ascii="仿宋" w:hAnsi="仿宋" w:eastAsia="仿宋" w:cs="仿宋"/>
          <w:color w:val="auto"/>
          <w:sz w:val="24"/>
          <w:szCs w:val="24"/>
          <w:highlight w:val="none"/>
        </w:rPr>
        <w:t>“现场”系指合同约定提供服务的地点。</w:t>
      </w:r>
    </w:p>
    <w:p w14:paraId="7F9A59F3">
      <w:pPr>
        <w:spacing w:line="400" w:lineRule="exact"/>
        <w:ind w:firstLine="482" w:firstLineChars="200"/>
        <w:outlineLvl w:val="0"/>
        <w:rPr>
          <w:rFonts w:ascii="仿宋" w:hAnsi="仿宋" w:eastAsia="仿宋" w:cs="仿宋"/>
          <w:b/>
          <w:color w:val="auto"/>
          <w:sz w:val="24"/>
          <w:szCs w:val="24"/>
          <w:highlight w:val="none"/>
        </w:rPr>
      </w:pPr>
      <w:bookmarkStart w:id="442" w:name="_Toc31402"/>
      <w:bookmarkStart w:id="443" w:name="_Toc23289"/>
      <w:bookmarkStart w:id="444" w:name="_Toc16752"/>
      <w:bookmarkStart w:id="445" w:name="_Toc19539"/>
      <w:bookmarkStart w:id="446" w:name="_Toc3769"/>
      <w:r>
        <w:rPr>
          <w:rFonts w:hint="eastAsia" w:ascii="仿宋" w:hAnsi="仿宋" w:eastAsia="仿宋" w:cs="仿宋"/>
          <w:b/>
          <w:color w:val="auto"/>
          <w:sz w:val="24"/>
          <w:szCs w:val="24"/>
          <w:highlight w:val="none"/>
        </w:rPr>
        <w:t>2.2 技术规范</w:t>
      </w:r>
      <w:bookmarkEnd w:id="442"/>
      <w:bookmarkEnd w:id="443"/>
      <w:bookmarkEnd w:id="444"/>
      <w:bookmarkEnd w:id="445"/>
      <w:bookmarkEnd w:id="446"/>
    </w:p>
    <w:p w14:paraId="0B61771F">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0E64729">
      <w:pPr>
        <w:spacing w:line="400" w:lineRule="exact"/>
        <w:ind w:firstLine="482" w:firstLineChars="200"/>
        <w:outlineLvl w:val="0"/>
        <w:rPr>
          <w:rFonts w:ascii="仿宋" w:hAnsi="仿宋" w:eastAsia="仿宋" w:cs="仿宋"/>
          <w:b/>
          <w:color w:val="auto"/>
          <w:sz w:val="24"/>
          <w:szCs w:val="24"/>
          <w:highlight w:val="none"/>
        </w:rPr>
      </w:pPr>
      <w:bookmarkStart w:id="447" w:name="_Toc13673"/>
      <w:bookmarkStart w:id="448" w:name="_Toc4133"/>
      <w:bookmarkStart w:id="449" w:name="_Toc27945"/>
      <w:bookmarkStart w:id="450" w:name="_Toc9161"/>
      <w:bookmarkStart w:id="451" w:name="_Toc12412"/>
      <w:r>
        <w:rPr>
          <w:rFonts w:hint="eastAsia" w:ascii="仿宋" w:hAnsi="仿宋" w:eastAsia="仿宋" w:cs="仿宋"/>
          <w:b/>
          <w:color w:val="auto"/>
          <w:sz w:val="24"/>
          <w:szCs w:val="24"/>
          <w:highlight w:val="none"/>
        </w:rPr>
        <w:t>2.3 知识产权</w:t>
      </w:r>
      <w:bookmarkEnd w:id="447"/>
      <w:bookmarkEnd w:id="448"/>
      <w:bookmarkEnd w:id="449"/>
      <w:bookmarkEnd w:id="450"/>
      <w:bookmarkEnd w:id="451"/>
    </w:p>
    <w:p w14:paraId="0C582101">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2.3.1</w:t>
      </w:r>
      <w:r>
        <w:rPr>
          <w:rFonts w:hint="eastAsia" w:ascii="仿宋" w:hAnsi="仿宋" w:eastAsia="仿宋" w:cs="仿宋"/>
          <w:color w:val="auto"/>
          <w:sz w:val="24"/>
          <w:szCs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FE1EE64">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2.3.2</w:t>
      </w:r>
      <w:r>
        <w:rPr>
          <w:rFonts w:hint="eastAsia" w:ascii="仿宋" w:hAnsi="仿宋" w:eastAsia="仿宋" w:cs="仿宋"/>
          <w:color w:val="auto"/>
          <w:sz w:val="24"/>
          <w:szCs w:val="24"/>
          <w:highlight w:val="none"/>
        </w:rPr>
        <w:t>合同涉及技术成果的归属和收益的分成办法的，详见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7F5C3687">
      <w:pPr>
        <w:spacing w:line="40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履约检查和问题反馈</w:t>
      </w:r>
    </w:p>
    <w:p w14:paraId="27DA45B3">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2.4.1</w:t>
      </w:r>
      <w:r>
        <w:rPr>
          <w:rFonts w:hint="eastAsia" w:ascii="仿宋" w:hAnsi="仿宋" w:eastAsia="仿宋" w:cs="仿宋"/>
          <w:color w:val="auto"/>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0D4FFD9C">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2.4.2</w:t>
      </w:r>
      <w:r>
        <w:rPr>
          <w:rFonts w:hint="eastAsia" w:ascii="仿宋" w:hAnsi="仿宋" w:eastAsia="仿宋" w:cs="仿宋"/>
          <w:color w:val="auto"/>
          <w:sz w:val="24"/>
          <w:szCs w:val="24"/>
          <w:highlight w:val="none"/>
        </w:rPr>
        <w:t>合同履行期间，甲方有权将履行过程中出现的问题反馈给乙方，双方当事人应以书面形式约定需要完善和改进的内容。</w:t>
      </w:r>
    </w:p>
    <w:p w14:paraId="746B8928">
      <w:pPr>
        <w:spacing w:line="400" w:lineRule="exact"/>
        <w:ind w:firstLine="482" w:firstLineChars="200"/>
        <w:outlineLvl w:val="0"/>
        <w:rPr>
          <w:rFonts w:ascii="仿宋" w:hAnsi="仿宋" w:eastAsia="仿宋" w:cs="仿宋"/>
          <w:b/>
          <w:color w:val="auto"/>
          <w:sz w:val="24"/>
          <w:szCs w:val="24"/>
          <w:highlight w:val="none"/>
        </w:rPr>
      </w:pPr>
      <w:bookmarkStart w:id="452" w:name="_Toc13467"/>
      <w:bookmarkStart w:id="453" w:name="_Toc30507"/>
      <w:bookmarkStart w:id="454" w:name="_Toc13154"/>
      <w:bookmarkStart w:id="455" w:name="_Toc16163"/>
      <w:bookmarkStart w:id="456" w:name="_Toc18990"/>
      <w:r>
        <w:rPr>
          <w:rFonts w:hint="eastAsia" w:ascii="仿宋" w:hAnsi="仿宋" w:eastAsia="仿宋" w:cs="仿宋"/>
          <w:b/>
          <w:color w:val="auto"/>
          <w:sz w:val="24"/>
          <w:szCs w:val="24"/>
          <w:highlight w:val="none"/>
        </w:rPr>
        <w:t>2.5 技术资料和保密义务</w:t>
      </w:r>
      <w:bookmarkEnd w:id="452"/>
      <w:bookmarkEnd w:id="453"/>
      <w:bookmarkEnd w:id="454"/>
      <w:bookmarkEnd w:id="455"/>
      <w:bookmarkEnd w:id="456"/>
    </w:p>
    <w:p w14:paraId="47EDCD9D">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2.5.1</w:t>
      </w:r>
      <w:r>
        <w:rPr>
          <w:rFonts w:hint="eastAsia" w:ascii="仿宋" w:hAnsi="仿宋" w:eastAsia="仿宋" w:cs="仿宋"/>
          <w:color w:val="auto"/>
          <w:sz w:val="24"/>
          <w:szCs w:val="24"/>
          <w:highlight w:val="none"/>
        </w:rPr>
        <w:t>乙方有权依据合同约定和项目需要，向甲方了解有关情况，调阅有关资料等，甲方应予积极配合；</w:t>
      </w:r>
    </w:p>
    <w:p w14:paraId="1D9281E4">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2.5.2</w:t>
      </w:r>
      <w:r>
        <w:rPr>
          <w:rFonts w:hint="eastAsia" w:ascii="仿宋" w:hAnsi="仿宋" w:eastAsia="仿宋" w:cs="仿宋"/>
          <w:color w:val="auto"/>
          <w:sz w:val="24"/>
          <w:szCs w:val="24"/>
          <w:highlight w:val="none"/>
        </w:rPr>
        <w:t>乙方有义务妥善保管和保护由甲方提供的前款信息和资料等；</w:t>
      </w:r>
    </w:p>
    <w:p w14:paraId="226F1923">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2.5.3</w:t>
      </w:r>
      <w:r>
        <w:rPr>
          <w:rFonts w:hint="eastAsia" w:ascii="仿宋" w:hAnsi="仿宋" w:eastAsia="仿宋" w:cs="仿宋"/>
          <w:color w:val="auto"/>
          <w:sz w:val="24"/>
          <w:szCs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DD808D3">
      <w:pPr>
        <w:spacing w:line="400" w:lineRule="exact"/>
        <w:ind w:firstLine="482" w:firstLineChars="200"/>
        <w:rPr>
          <w:rFonts w:ascii="仿宋" w:hAnsi="仿宋" w:eastAsia="仿宋" w:cs="仿宋"/>
          <w:b/>
          <w:bCs/>
          <w:color w:val="auto"/>
          <w:sz w:val="24"/>
          <w:szCs w:val="24"/>
          <w:highlight w:val="none"/>
        </w:rPr>
      </w:pPr>
      <w:bookmarkStart w:id="457" w:name="_Toc19069"/>
      <w:r>
        <w:rPr>
          <w:rFonts w:hint="eastAsia" w:ascii="仿宋" w:hAnsi="仿宋" w:eastAsia="仿宋" w:cs="仿宋"/>
          <w:b/>
          <w:color w:val="auto"/>
          <w:sz w:val="24"/>
          <w:szCs w:val="24"/>
          <w:highlight w:val="none"/>
        </w:rPr>
        <w:t xml:space="preserve">2.6 </w:t>
      </w:r>
      <w:r>
        <w:rPr>
          <w:rFonts w:hint="eastAsia" w:ascii="仿宋" w:hAnsi="仿宋" w:eastAsia="仿宋" w:cs="仿宋"/>
          <w:b/>
          <w:bCs/>
          <w:color w:val="auto"/>
          <w:sz w:val="24"/>
          <w:szCs w:val="24"/>
          <w:highlight w:val="none"/>
        </w:rPr>
        <w:t>质量保证</w:t>
      </w:r>
      <w:bookmarkEnd w:id="457"/>
    </w:p>
    <w:p w14:paraId="3D2F3771">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2.6.1</w:t>
      </w:r>
      <w:r>
        <w:rPr>
          <w:rFonts w:hint="eastAsia" w:ascii="仿宋" w:hAnsi="仿宋" w:eastAsia="仿宋" w:cs="仿宋"/>
          <w:color w:val="auto"/>
          <w:sz w:val="24"/>
          <w:szCs w:val="24"/>
          <w:highlight w:val="none"/>
        </w:rPr>
        <w:t>乙方应建立和完善履行合同的内部质量保证体系，并提供相关内部规章制度给甲方，以便甲方进行监督检查；</w:t>
      </w:r>
    </w:p>
    <w:p w14:paraId="777811BF">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2.6.2</w:t>
      </w:r>
      <w:r>
        <w:rPr>
          <w:rFonts w:hint="eastAsia" w:ascii="仿宋" w:hAnsi="仿宋" w:eastAsia="仿宋" w:cs="仿宋"/>
          <w:color w:val="auto"/>
          <w:sz w:val="24"/>
          <w:szCs w:val="24"/>
          <w:highlight w:val="none"/>
        </w:rPr>
        <w:t>乙方应保证履行合同的人员数量和素质、软件和硬件设备的配置、场地、环境和设施等满足全面履行合同的要求，并应接受甲方的监督检查。</w:t>
      </w:r>
    </w:p>
    <w:p w14:paraId="7F520A36">
      <w:pPr>
        <w:spacing w:line="400" w:lineRule="exact"/>
        <w:ind w:firstLine="482" w:firstLineChars="200"/>
        <w:outlineLvl w:val="0"/>
        <w:rPr>
          <w:rFonts w:ascii="仿宋" w:hAnsi="仿宋" w:eastAsia="仿宋" w:cs="仿宋"/>
          <w:b/>
          <w:color w:val="auto"/>
          <w:sz w:val="24"/>
          <w:szCs w:val="24"/>
          <w:highlight w:val="none"/>
        </w:rPr>
      </w:pPr>
      <w:bookmarkStart w:id="458" w:name="_Toc22267"/>
      <w:r>
        <w:rPr>
          <w:rFonts w:hint="eastAsia" w:ascii="仿宋" w:hAnsi="仿宋" w:eastAsia="仿宋" w:cs="仿宋"/>
          <w:b/>
          <w:color w:val="auto"/>
          <w:sz w:val="24"/>
          <w:szCs w:val="24"/>
          <w:highlight w:val="none"/>
        </w:rPr>
        <w:t>2.7 延迟履行</w:t>
      </w:r>
      <w:bookmarkEnd w:id="458"/>
    </w:p>
    <w:p w14:paraId="58C1868B">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A78546C">
      <w:pPr>
        <w:spacing w:line="400" w:lineRule="exact"/>
        <w:ind w:firstLine="482" w:firstLineChars="200"/>
        <w:outlineLvl w:val="0"/>
        <w:rPr>
          <w:rFonts w:ascii="仿宋" w:hAnsi="仿宋" w:eastAsia="仿宋" w:cs="仿宋"/>
          <w:b/>
          <w:color w:val="auto"/>
          <w:sz w:val="24"/>
          <w:szCs w:val="24"/>
          <w:highlight w:val="none"/>
        </w:rPr>
      </w:pPr>
      <w:bookmarkStart w:id="459" w:name="_Toc10611"/>
      <w:r>
        <w:rPr>
          <w:rFonts w:hint="eastAsia" w:ascii="仿宋" w:hAnsi="仿宋" w:eastAsia="仿宋" w:cs="仿宋"/>
          <w:b/>
          <w:color w:val="auto"/>
          <w:sz w:val="24"/>
          <w:szCs w:val="24"/>
          <w:highlight w:val="none"/>
        </w:rPr>
        <w:t>2.8 合同变更</w:t>
      </w:r>
      <w:bookmarkEnd w:id="459"/>
    </w:p>
    <w:p w14:paraId="1EC808AD">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5B5C9551">
      <w:pPr>
        <w:spacing w:line="400" w:lineRule="exact"/>
        <w:ind w:firstLine="482" w:firstLineChars="200"/>
        <w:outlineLvl w:val="0"/>
        <w:rPr>
          <w:rFonts w:ascii="仿宋" w:hAnsi="仿宋" w:eastAsia="仿宋" w:cs="仿宋"/>
          <w:b/>
          <w:color w:val="auto"/>
          <w:sz w:val="24"/>
          <w:szCs w:val="24"/>
          <w:highlight w:val="none"/>
        </w:rPr>
      </w:pPr>
      <w:bookmarkStart w:id="460" w:name="_Toc26689"/>
      <w:bookmarkStart w:id="461" w:name="_Toc23368"/>
      <w:bookmarkStart w:id="462" w:name="_Toc21830"/>
      <w:bookmarkStart w:id="463" w:name="_Toc42"/>
      <w:bookmarkStart w:id="464" w:name="_Toc10663"/>
      <w:r>
        <w:rPr>
          <w:rFonts w:hint="eastAsia" w:ascii="仿宋" w:hAnsi="仿宋" w:eastAsia="仿宋" w:cs="仿宋"/>
          <w:b/>
          <w:color w:val="auto"/>
          <w:sz w:val="24"/>
          <w:szCs w:val="24"/>
          <w:highlight w:val="none"/>
        </w:rPr>
        <w:t>2.9 合同转让和分包</w:t>
      </w:r>
      <w:bookmarkEnd w:id="460"/>
      <w:bookmarkEnd w:id="461"/>
      <w:bookmarkEnd w:id="462"/>
      <w:bookmarkEnd w:id="463"/>
      <w:bookmarkEnd w:id="464"/>
    </w:p>
    <w:p w14:paraId="4DDA30A6">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C1D53C">
      <w:pPr>
        <w:spacing w:line="400" w:lineRule="exact"/>
        <w:ind w:firstLine="482" w:firstLineChars="200"/>
        <w:outlineLvl w:val="0"/>
        <w:rPr>
          <w:rFonts w:ascii="仿宋" w:hAnsi="仿宋" w:eastAsia="仿宋" w:cs="仿宋"/>
          <w:b/>
          <w:color w:val="auto"/>
          <w:sz w:val="24"/>
          <w:szCs w:val="24"/>
          <w:highlight w:val="none"/>
        </w:rPr>
      </w:pPr>
      <w:bookmarkStart w:id="465" w:name="_Toc25571"/>
      <w:bookmarkStart w:id="466" w:name="_Toc26633"/>
      <w:bookmarkStart w:id="467" w:name="_Toc14371"/>
      <w:bookmarkStart w:id="468" w:name="_Toc32494"/>
      <w:bookmarkStart w:id="469" w:name="_Toc4720"/>
      <w:r>
        <w:rPr>
          <w:rFonts w:hint="eastAsia" w:ascii="仿宋" w:hAnsi="仿宋" w:eastAsia="仿宋" w:cs="仿宋"/>
          <w:b/>
          <w:color w:val="auto"/>
          <w:sz w:val="24"/>
          <w:szCs w:val="24"/>
          <w:highlight w:val="none"/>
        </w:rPr>
        <w:t>2.10 不可抗力</w:t>
      </w:r>
      <w:bookmarkEnd w:id="465"/>
      <w:bookmarkEnd w:id="466"/>
      <w:bookmarkEnd w:id="467"/>
      <w:bookmarkEnd w:id="468"/>
      <w:bookmarkEnd w:id="469"/>
    </w:p>
    <w:p w14:paraId="1643AF34">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2.10.1</w:t>
      </w:r>
      <w:r>
        <w:rPr>
          <w:rFonts w:hint="eastAsia" w:ascii="仿宋" w:hAnsi="仿宋" w:eastAsia="仿宋" w:cs="仿宋"/>
          <w:color w:val="auto"/>
          <w:sz w:val="24"/>
          <w:szCs w:val="24"/>
          <w:highlight w:val="none"/>
        </w:rPr>
        <w:t>如果任何一方遭遇法律规定的不可抗力，致使合同履行受阻时，履行合同的期限应予延长，延长的期限应相当于不可抗力所影响的时间；</w:t>
      </w:r>
    </w:p>
    <w:p w14:paraId="4AC1A3D2">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2.10.2</w:t>
      </w:r>
      <w:r>
        <w:rPr>
          <w:rFonts w:hint="eastAsia" w:ascii="仿宋" w:hAnsi="仿宋" w:eastAsia="仿宋" w:cs="仿宋"/>
          <w:color w:val="auto"/>
          <w:sz w:val="24"/>
          <w:szCs w:val="24"/>
          <w:highlight w:val="none"/>
        </w:rPr>
        <w:t>因不可抗力致使不能实现合同目的的，当事人可以解除合同；</w:t>
      </w:r>
    </w:p>
    <w:p w14:paraId="365C1686">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2.10.3</w:t>
      </w:r>
      <w:r>
        <w:rPr>
          <w:rFonts w:hint="eastAsia" w:ascii="仿宋" w:hAnsi="仿宋" w:eastAsia="仿宋" w:cs="仿宋"/>
          <w:color w:val="auto"/>
          <w:sz w:val="24"/>
          <w:szCs w:val="24"/>
          <w:highlight w:val="none"/>
        </w:rPr>
        <w:t>因不可抗力致使合同有变更必要的，双方当事人应在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14:paraId="00906795">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2.10.4</w:t>
      </w:r>
      <w:r>
        <w:rPr>
          <w:rFonts w:hint="eastAsia" w:ascii="仿宋" w:hAnsi="仿宋" w:eastAsia="仿宋" w:cs="仿宋"/>
          <w:color w:val="auto"/>
          <w:sz w:val="24"/>
          <w:szCs w:val="24"/>
          <w:highlight w:val="none"/>
        </w:rPr>
        <w:t>受不可抗力影响的一方在不可抗力发生后，应在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14:paraId="1D2A9B99">
      <w:pPr>
        <w:spacing w:line="400" w:lineRule="exact"/>
        <w:ind w:firstLine="482" w:firstLineChars="200"/>
        <w:outlineLvl w:val="0"/>
        <w:rPr>
          <w:rFonts w:ascii="仿宋" w:hAnsi="仿宋" w:eastAsia="仿宋" w:cs="仿宋"/>
          <w:b/>
          <w:color w:val="auto"/>
          <w:sz w:val="24"/>
          <w:szCs w:val="24"/>
          <w:highlight w:val="none"/>
        </w:rPr>
      </w:pPr>
      <w:bookmarkStart w:id="470" w:name="_Toc3638"/>
      <w:bookmarkStart w:id="471" w:name="_Toc24465"/>
      <w:bookmarkStart w:id="472" w:name="_Toc14115"/>
      <w:bookmarkStart w:id="473" w:name="_Toc23854"/>
      <w:bookmarkStart w:id="474" w:name="_Toc25783"/>
      <w:r>
        <w:rPr>
          <w:rFonts w:hint="eastAsia" w:ascii="仿宋" w:hAnsi="仿宋" w:eastAsia="仿宋" w:cs="仿宋"/>
          <w:b/>
          <w:color w:val="auto"/>
          <w:sz w:val="24"/>
          <w:szCs w:val="24"/>
          <w:highlight w:val="none"/>
        </w:rPr>
        <w:t>2.11 税费</w:t>
      </w:r>
      <w:bookmarkEnd w:id="470"/>
      <w:bookmarkEnd w:id="471"/>
      <w:bookmarkEnd w:id="472"/>
      <w:bookmarkEnd w:id="473"/>
      <w:bookmarkEnd w:id="474"/>
    </w:p>
    <w:p w14:paraId="6118F5BC">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与合同有关的一切税费，均按照中华人民共和国法律的相关规定缴纳。</w:t>
      </w:r>
    </w:p>
    <w:p w14:paraId="4653B715">
      <w:pPr>
        <w:spacing w:line="400" w:lineRule="exact"/>
        <w:ind w:firstLine="482" w:firstLineChars="200"/>
        <w:outlineLvl w:val="0"/>
        <w:rPr>
          <w:rFonts w:ascii="仿宋" w:hAnsi="仿宋" w:eastAsia="仿宋" w:cs="仿宋"/>
          <w:b/>
          <w:color w:val="auto"/>
          <w:sz w:val="24"/>
          <w:szCs w:val="24"/>
          <w:highlight w:val="none"/>
        </w:rPr>
      </w:pPr>
      <w:bookmarkStart w:id="475" w:name="_Toc30105"/>
      <w:bookmarkStart w:id="476" w:name="_Toc26883"/>
      <w:bookmarkStart w:id="477" w:name="_Toc14814"/>
      <w:bookmarkStart w:id="478" w:name="_Toc25525"/>
      <w:bookmarkStart w:id="479" w:name="_Toc7315"/>
      <w:r>
        <w:rPr>
          <w:rFonts w:hint="eastAsia" w:ascii="仿宋" w:hAnsi="仿宋" w:eastAsia="仿宋" w:cs="仿宋"/>
          <w:b/>
          <w:color w:val="auto"/>
          <w:sz w:val="24"/>
          <w:szCs w:val="24"/>
          <w:highlight w:val="none"/>
        </w:rPr>
        <w:t>2.12 乙方破产</w:t>
      </w:r>
      <w:bookmarkEnd w:id="475"/>
      <w:bookmarkEnd w:id="476"/>
      <w:bookmarkEnd w:id="477"/>
      <w:bookmarkEnd w:id="478"/>
      <w:bookmarkEnd w:id="479"/>
    </w:p>
    <w:p w14:paraId="10E4719A">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B503302">
      <w:pPr>
        <w:spacing w:line="400" w:lineRule="exact"/>
        <w:ind w:firstLine="482" w:firstLineChars="200"/>
        <w:outlineLvl w:val="0"/>
        <w:rPr>
          <w:rFonts w:ascii="仿宋" w:hAnsi="仿宋" w:eastAsia="仿宋" w:cs="仿宋"/>
          <w:b/>
          <w:color w:val="auto"/>
          <w:sz w:val="24"/>
          <w:szCs w:val="24"/>
          <w:highlight w:val="none"/>
        </w:rPr>
      </w:pPr>
      <w:bookmarkStart w:id="480" w:name="_Toc1123"/>
      <w:bookmarkStart w:id="481" w:name="_Toc2016"/>
      <w:bookmarkStart w:id="482" w:name="_Toc23323"/>
      <w:r>
        <w:rPr>
          <w:rFonts w:hint="eastAsia" w:ascii="仿宋" w:hAnsi="仿宋" w:eastAsia="仿宋" w:cs="仿宋"/>
          <w:b/>
          <w:color w:val="auto"/>
          <w:sz w:val="24"/>
          <w:szCs w:val="24"/>
          <w:highlight w:val="none"/>
        </w:rPr>
        <w:t>2.13 合同中止、终止</w:t>
      </w:r>
      <w:bookmarkEnd w:id="480"/>
      <w:bookmarkEnd w:id="481"/>
      <w:bookmarkEnd w:id="482"/>
    </w:p>
    <w:p w14:paraId="1C3F1BA6">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2.13.1</w:t>
      </w:r>
      <w:r>
        <w:rPr>
          <w:rFonts w:hint="eastAsia" w:ascii="仿宋" w:hAnsi="仿宋" w:eastAsia="仿宋" w:cs="仿宋"/>
          <w:color w:val="auto"/>
          <w:sz w:val="24"/>
          <w:szCs w:val="24"/>
          <w:highlight w:val="none"/>
        </w:rPr>
        <w:t>双方当事人不得擅自中止或者终止合同；</w:t>
      </w:r>
    </w:p>
    <w:p w14:paraId="426B79BB">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2.13.2</w:t>
      </w:r>
      <w:r>
        <w:rPr>
          <w:rFonts w:hint="eastAsia" w:ascii="仿宋" w:hAnsi="仿宋" w:eastAsia="仿宋" w:cs="仿宋"/>
          <w:color w:val="auto"/>
          <w:sz w:val="24"/>
          <w:szCs w:val="24"/>
          <w:highlight w:val="none"/>
        </w:rPr>
        <w:t>合同继续履行将损害国家利益和社会公共利益的，双方当事人应当中止或者终止合同。有过错的一方应当承担赔偿责任，双方当事人都有过错的，各自承担相应的责任。</w:t>
      </w:r>
    </w:p>
    <w:p w14:paraId="26CA21A8">
      <w:pPr>
        <w:spacing w:line="400" w:lineRule="exact"/>
        <w:ind w:firstLine="482" w:firstLineChars="200"/>
        <w:outlineLvl w:val="0"/>
        <w:rPr>
          <w:rFonts w:ascii="仿宋" w:hAnsi="仿宋" w:eastAsia="仿宋" w:cs="仿宋"/>
          <w:b/>
          <w:color w:val="auto"/>
          <w:sz w:val="24"/>
          <w:szCs w:val="24"/>
          <w:highlight w:val="none"/>
        </w:rPr>
      </w:pPr>
      <w:bookmarkStart w:id="483" w:name="_Toc14525"/>
      <w:bookmarkStart w:id="484" w:name="_Toc1969"/>
      <w:bookmarkStart w:id="485" w:name="_Toc17363"/>
      <w:r>
        <w:rPr>
          <w:rFonts w:hint="eastAsia" w:ascii="仿宋" w:hAnsi="仿宋" w:eastAsia="仿宋" w:cs="仿宋"/>
          <w:b/>
          <w:color w:val="auto"/>
          <w:sz w:val="24"/>
          <w:szCs w:val="24"/>
          <w:highlight w:val="none"/>
        </w:rPr>
        <w:t>2.14 检验和验收</w:t>
      </w:r>
      <w:bookmarkEnd w:id="483"/>
      <w:bookmarkEnd w:id="484"/>
      <w:bookmarkEnd w:id="485"/>
    </w:p>
    <w:p w14:paraId="61F27D3C">
      <w:pPr>
        <w:tabs>
          <w:tab w:val="left" w:pos="360"/>
          <w:tab w:val="left" w:pos="540"/>
          <w:tab w:val="left" w:pos="1080"/>
        </w:tabs>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2.14.1</w:t>
      </w:r>
      <w:r>
        <w:rPr>
          <w:rFonts w:hint="eastAsia" w:ascii="仿宋" w:hAnsi="仿宋" w:eastAsia="仿宋" w:cs="仿宋"/>
          <w:color w:val="auto"/>
          <w:sz w:val="24"/>
          <w:szCs w:val="24"/>
          <w:highlight w:val="none"/>
        </w:rPr>
        <w:t>乙方按照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的约定，定期提交服务报告，甲方按照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的约定进行定期验收；</w:t>
      </w:r>
    </w:p>
    <w:p w14:paraId="7E5E1947">
      <w:pPr>
        <w:tabs>
          <w:tab w:val="left" w:pos="360"/>
          <w:tab w:val="left" w:pos="540"/>
          <w:tab w:val="left" w:pos="1080"/>
        </w:tabs>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2.14.2</w:t>
      </w:r>
      <w:r>
        <w:rPr>
          <w:rFonts w:hint="eastAsia" w:ascii="仿宋" w:hAnsi="仿宋" w:eastAsia="仿宋" w:cs="仿宋"/>
          <w:color w:val="auto"/>
          <w:sz w:val="24"/>
          <w:szCs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2513D13">
      <w:pPr>
        <w:tabs>
          <w:tab w:val="left" w:pos="360"/>
          <w:tab w:val="left" w:pos="540"/>
          <w:tab w:val="left" w:pos="1080"/>
        </w:tabs>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2.14.3</w:t>
      </w:r>
      <w:r>
        <w:rPr>
          <w:rFonts w:hint="eastAsia" w:ascii="仿宋" w:hAnsi="仿宋" w:eastAsia="仿宋" w:cs="仿宋"/>
          <w:color w:val="auto"/>
          <w:sz w:val="24"/>
          <w:szCs w:val="24"/>
          <w:highlight w:val="none"/>
        </w:rPr>
        <w:t>检验和验收标准、程序等具体内容以及前述验收书的效力详见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i/>
          <w:color w:val="auto"/>
          <w:sz w:val="24"/>
          <w:szCs w:val="24"/>
          <w:highlight w:val="none"/>
        </w:rPr>
        <w:t>。</w:t>
      </w:r>
    </w:p>
    <w:p w14:paraId="1A813EF9">
      <w:pPr>
        <w:spacing w:line="400" w:lineRule="exact"/>
        <w:ind w:firstLine="482" w:firstLineChars="200"/>
        <w:outlineLvl w:val="0"/>
        <w:rPr>
          <w:rFonts w:ascii="仿宋" w:hAnsi="仿宋" w:eastAsia="仿宋" w:cs="仿宋"/>
          <w:b/>
          <w:color w:val="auto"/>
          <w:sz w:val="24"/>
          <w:szCs w:val="24"/>
          <w:highlight w:val="none"/>
        </w:rPr>
      </w:pPr>
      <w:bookmarkStart w:id="486" w:name="_Toc31892"/>
      <w:bookmarkStart w:id="487" w:name="_Toc25198"/>
      <w:bookmarkStart w:id="488" w:name="_Toc9808"/>
      <w:bookmarkStart w:id="489" w:name="_Toc12666"/>
      <w:bookmarkStart w:id="490" w:name="_Toc2308"/>
      <w:r>
        <w:rPr>
          <w:rFonts w:hint="eastAsia" w:ascii="仿宋" w:hAnsi="仿宋" w:eastAsia="仿宋" w:cs="仿宋"/>
          <w:b/>
          <w:color w:val="auto"/>
          <w:sz w:val="24"/>
          <w:szCs w:val="24"/>
          <w:highlight w:val="none"/>
        </w:rPr>
        <w:t>2.15 通知和送达</w:t>
      </w:r>
      <w:bookmarkEnd w:id="486"/>
      <w:bookmarkEnd w:id="487"/>
      <w:bookmarkEnd w:id="488"/>
      <w:bookmarkEnd w:id="489"/>
      <w:bookmarkEnd w:id="490"/>
    </w:p>
    <w:p w14:paraId="6ECA55DB">
      <w:pPr>
        <w:spacing w:line="400" w:lineRule="exact"/>
        <w:ind w:firstLine="482" w:firstLineChars="200"/>
        <w:rPr>
          <w:rFonts w:ascii="仿宋" w:hAnsi="仿宋" w:eastAsia="仿宋" w:cs="仿宋"/>
          <w:color w:val="auto"/>
          <w:sz w:val="24"/>
          <w:szCs w:val="24"/>
          <w:highlight w:val="none"/>
        </w:rPr>
      </w:pPr>
      <w:bookmarkStart w:id="491" w:name="_Toc27674"/>
      <w:bookmarkStart w:id="492" w:name="_Toc18401"/>
      <w:r>
        <w:rPr>
          <w:rFonts w:hint="eastAsia" w:ascii="仿宋" w:hAnsi="仿宋" w:eastAsia="仿宋" w:cs="仿宋"/>
          <w:b/>
          <w:bCs/>
          <w:color w:val="auto"/>
          <w:sz w:val="24"/>
          <w:szCs w:val="24"/>
          <w:highlight w:val="none"/>
        </w:rPr>
        <w:t>2.15.1</w:t>
      </w:r>
      <w:r>
        <w:rPr>
          <w:rFonts w:hint="eastAsia" w:ascii="仿宋" w:hAnsi="仿宋" w:eastAsia="仿宋" w:cs="仿宋"/>
          <w:color w:val="auto"/>
          <w:sz w:val="24"/>
          <w:szCs w:val="24"/>
          <w:highlight w:val="none"/>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p>
    <w:p w14:paraId="7BC21B94">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2.15.2</w:t>
      </w:r>
      <w:r>
        <w:rPr>
          <w:rFonts w:hint="eastAsia" w:ascii="仿宋" w:hAnsi="仿宋" w:eastAsia="仿宋" w:cs="仿宋"/>
          <w:color w:val="auto"/>
          <w:sz w:val="24"/>
          <w:szCs w:val="24"/>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491"/>
      <w:bookmarkEnd w:id="492"/>
    </w:p>
    <w:p w14:paraId="59F0E56C">
      <w:pPr>
        <w:spacing w:line="400" w:lineRule="exact"/>
        <w:ind w:firstLine="482" w:firstLineChars="200"/>
        <w:outlineLvl w:val="0"/>
        <w:rPr>
          <w:rFonts w:ascii="仿宋" w:hAnsi="仿宋" w:eastAsia="仿宋" w:cs="仿宋"/>
          <w:b/>
          <w:color w:val="auto"/>
          <w:sz w:val="24"/>
          <w:szCs w:val="24"/>
          <w:highlight w:val="none"/>
        </w:rPr>
      </w:pPr>
      <w:bookmarkStart w:id="493" w:name="_Toc5063"/>
      <w:bookmarkStart w:id="494" w:name="_Toc20808"/>
      <w:bookmarkStart w:id="495" w:name="_Toc12254"/>
      <w:bookmarkStart w:id="496" w:name="_Toc27644"/>
      <w:bookmarkStart w:id="497" w:name="_Toc28906"/>
      <w:r>
        <w:rPr>
          <w:rFonts w:hint="eastAsia" w:ascii="仿宋" w:hAnsi="仿宋" w:eastAsia="仿宋" w:cs="仿宋"/>
          <w:b/>
          <w:color w:val="auto"/>
          <w:sz w:val="24"/>
          <w:szCs w:val="24"/>
          <w:highlight w:val="none"/>
        </w:rPr>
        <w:t>2.16 合同使用的文字和适用的法律</w:t>
      </w:r>
      <w:bookmarkEnd w:id="493"/>
      <w:bookmarkEnd w:id="494"/>
      <w:bookmarkEnd w:id="495"/>
      <w:bookmarkEnd w:id="496"/>
      <w:bookmarkEnd w:id="497"/>
    </w:p>
    <w:p w14:paraId="00C0B290">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2.16.1</w:t>
      </w:r>
      <w:r>
        <w:rPr>
          <w:rFonts w:hint="eastAsia" w:ascii="仿宋" w:hAnsi="仿宋" w:eastAsia="仿宋" w:cs="仿宋"/>
          <w:color w:val="auto"/>
          <w:sz w:val="24"/>
          <w:szCs w:val="24"/>
          <w:highlight w:val="none"/>
        </w:rPr>
        <w:t>合同使用汉语书就、变更和解释；</w:t>
      </w:r>
    </w:p>
    <w:p w14:paraId="18477B54">
      <w:pPr>
        <w:spacing w:line="400" w:lineRule="exact"/>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2.16.2</w:t>
      </w:r>
      <w:r>
        <w:rPr>
          <w:rFonts w:hint="eastAsia" w:ascii="仿宋" w:hAnsi="仿宋" w:eastAsia="仿宋" w:cs="仿宋"/>
          <w:color w:val="auto"/>
          <w:sz w:val="24"/>
          <w:szCs w:val="24"/>
          <w:highlight w:val="none"/>
        </w:rPr>
        <w:t>合同适用中华人民共和国法律。</w:t>
      </w:r>
    </w:p>
    <w:p w14:paraId="3D4C687A">
      <w:pPr>
        <w:spacing w:line="400" w:lineRule="exact"/>
        <w:ind w:firstLine="482" w:firstLineChars="200"/>
        <w:outlineLvl w:val="0"/>
        <w:rPr>
          <w:rFonts w:ascii="仿宋" w:hAnsi="仿宋" w:eastAsia="仿宋" w:cs="仿宋"/>
          <w:b/>
          <w:color w:val="auto"/>
          <w:sz w:val="24"/>
          <w:szCs w:val="24"/>
          <w:highlight w:val="none"/>
        </w:rPr>
      </w:pPr>
      <w:bookmarkStart w:id="498" w:name="_Toc18540"/>
      <w:bookmarkStart w:id="499" w:name="_Toc30599"/>
      <w:bookmarkStart w:id="500" w:name="_Toc4355"/>
      <w:r>
        <w:rPr>
          <w:rFonts w:hint="eastAsia" w:ascii="仿宋" w:hAnsi="仿宋" w:eastAsia="仿宋" w:cs="仿宋"/>
          <w:b/>
          <w:color w:val="auto"/>
          <w:sz w:val="24"/>
          <w:szCs w:val="24"/>
          <w:highlight w:val="none"/>
        </w:rPr>
        <w:t>2.17 计量单位</w:t>
      </w:r>
      <w:bookmarkEnd w:id="498"/>
      <w:bookmarkEnd w:id="499"/>
      <w:bookmarkEnd w:id="500"/>
    </w:p>
    <w:p w14:paraId="45D077D8">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除技术规范中另有规定外,合同的计量单位均使用国家法定计量单位。</w:t>
      </w:r>
    </w:p>
    <w:p w14:paraId="627A2B7A">
      <w:pPr>
        <w:spacing w:line="40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2.18合同份数</w:t>
      </w:r>
    </w:p>
    <w:p w14:paraId="3398EEE4">
      <w:pPr>
        <w:spacing w:line="400" w:lineRule="exact"/>
        <w:ind w:firstLine="480" w:firstLineChars="200"/>
        <w:rPr>
          <w:rFonts w:ascii="宋体" w:hAnsi="宋体"/>
          <w:color w:val="auto"/>
          <w:sz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规定，每份均具有同等法律效力</w:t>
      </w:r>
      <w:r>
        <w:rPr>
          <w:rFonts w:hint="eastAsia" w:ascii="宋体" w:hAnsi="宋体"/>
          <w:color w:val="auto"/>
          <w:sz w:val="24"/>
          <w:highlight w:val="none"/>
        </w:rPr>
        <w:t>。</w:t>
      </w:r>
    </w:p>
    <w:p w14:paraId="4A04CBD2">
      <w:pPr>
        <w:spacing w:line="400" w:lineRule="exact"/>
        <w:jc w:val="center"/>
        <w:outlineLvl w:val="0"/>
        <w:rPr>
          <w:rFonts w:ascii="仿宋" w:hAnsi="仿宋" w:eastAsia="仿宋" w:cs="仿宋"/>
          <w:b/>
          <w:color w:val="auto"/>
          <w:sz w:val="24"/>
          <w:highlight w:val="none"/>
        </w:rPr>
      </w:pPr>
      <w:r>
        <w:rPr>
          <w:rFonts w:hint="eastAsia" w:ascii="宋体" w:hAnsi="宋体" w:cs="宋体"/>
          <w:color w:val="auto"/>
          <w:highlight w:val="none"/>
        </w:rPr>
        <w:br w:type="page"/>
      </w:r>
      <w:r>
        <w:rPr>
          <w:rFonts w:hint="eastAsia" w:ascii="仿宋" w:hAnsi="仿宋" w:eastAsia="仿宋" w:cs="仿宋"/>
          <w:b/>
          <w:color w:val="auto"/>
          <w:sz w:val="24"/>
          <w:highlight w:val="none"/>
        </w:rPr>
        <w:t>第三部分  合同专用条款</w:t>
      </w:r>
    </w:p>
    <w:p w14:paraId="792BDDF3">
      <w:pPr>
        <w:spacing w:line="40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11"/>
        <w:gridCol w:w="8457"/>
      </w:tblGrid>
      <w:tr w14:paraId="58997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4" w:type="pct"/>
            <w:tcBorders>
              <w:left w:val="single" w:color="auto" w:sz="4" w:space="0"/>
            </w:tcBorders>
            <w:vAlign w:val="center"/>
          </w:tcPr>
          <w:p w14:paraId="7B6BBE0E">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5" w:type="pct"/>
            <w:vAlign w:val="center"/>
          </w:tcPr>
          <w:p w14:paraId="0281C923">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A1EC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D30C43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5" w:type="pct"/>
            <w:vAlign w:val="center"/>
          </w:tcPr>
          <w:p w14:paraId="18095011">
            <w:pPr>
              <w:spacing w:line="400" w:lineRule="exact"/>
              <w:rPr>
                <w:rFonts w:ascii="仿宋" w:hAnsi="仿宋" w:eastAsia="仿宋" w:cs="仿宋"/>
                <w:color w:val="auto"/>
                <w:sz w:val="24"/>
                <w:highlight w:val="none"/>
              </w:rPr>
            </w:pPr>
          </w:p>
        </w:tc>
      </w:tr>
      <w:tr w14:paraId="618DD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C9FA81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5" w:type="pct"/>
            <w:vAlign w:val="center"/>
          </w:tcPr>
          <w:p w14:paraId="3F406491">
            <w:pPr>
              <w:spacing w:line="400" w:lineRule="exact"/>
              <w:rPr>
                <w:rFonts w:ascii="仿宋" w:hAnsi="仿宋" w:eastAsia="仿宋" w:cs="仿宋"/>
                <w:color w:val="auto"/>
                <w:sz w:val="24"/>
                <w:highlight w:val="none"/>
              </w:rPr>
            </w:pPr>
          </w:p>
        </w:tc>
      </w:tr>
      <w:tr w14:paraId="229A5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765A18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465" w:type="pct"/>
            <w:vAlign w:val="center"/>
          </w:tcPr>
          <w:p w14:paraId="34DC7C66">
            <w:pPr>
              <w:spacing w:line="400" w:lineRule="exact"/>
              <w:rPr>
                <w:rFonts w:ascii="仿宋" w:hAnsi="仿宋" w:eastAsia="仿宋" w:cs="仿宋"/>
                <w:color w:val="auto"/>
                <w:sz w:val="24"/>
                <w:highlight w:val="none"/>
              </w:rPr>
            </w:pPr>
          </w:p>
        </w:tc>
      </w:tr>
      <w:tr w14:paraId="36D35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174563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5" w:type="pct"/>
            <w:vAlign w:val="center"/>
          </w:tcPr>
          <w:p w14:paraId="3427FCDC">
            <w:pPr>
              <w:spacing w:line="400" w:lineRule="exact"/>
              <w:rPr>
                <w:rFonts w:ascii="仿宋" w:hAnsi="仿宋" w:eastAsia="仿宋" w:cs="仿宋"/>
                <w:color w:val="auto"/>
                <w:sz w:val="24"/>
                <w:highlight w:val="none"/>
              </w:rPr>
            </w:pPr>
          </w:p>
        </w:tc>
      </w:tr>
      <w:tr w14:paraId="63E23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021BD2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465" w:type="pct"/>
            <w:vAlign w:val="center"/>
          </w:tcPr>
          <w:p w14:paraId="02D998C2">
            <w:pPr>
              <w:spacing w:line="400" w:lineRule="exact"/>
              <w:rPr>
                <w:rFonts w:ascii="仿宋" w:hAnsi="仿宋" w:eastAsia="仿宋" w:cs="仿宋"/>
                <w:color w:val="auto"/>
                <w:sz w:val="24"/>
                <w:highlight w:val="none"/>
              </w:rPr>
            </w:pPr>
          </w:p>
        </w:tc>
      </w:tr>
      <w:tr w14:paraId="0D841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38B6C4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5" w:type="pct"/>
            <w:vAlign w:val="center"/>
          </w:tcPr>
          <w:p w14:paraId="42561847">
            <w:pPr>
              <w:spacing w:line="400" w:lineRule="exact"/>
              <w:rPr>
                <w:rFonts w:ascii="仿宋" w:hAnsi="仿宋" w:eastAsia="仿宋" w:cs="仿宋"/>
                <w:color w:val="auto"/>
                <w:sz w:val="24"/>
                <w:highlight w:val="none"/>
              </w:rPr>
            </w:pPr>
          </w:p>
        </w:tc>
      </w:tr>
      <w:tr w14:paraId="4DCDC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E9905A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5" w:type="pct"/>
            <w:vAlign w:val="center"/>
          </w:tcPr>
          <w:p w14:paraId="5A35257D">
            <w:pPr>
              <w:spacing w:line="400" w:lineRule="exact"/>
              <w:rPr>
                <w:rFonts w:ascii="仿宋" w:hAnsi="仿宋" w:eastAsia="仿宋" w:cs="仿宋"/>
                <w:color w:val="auto"/>
                <w:sz w:val="24"/>
                <w:highlight w:val="none"/>
              </w:rPr>
            </w:pPr>
          </w:p>
        </w:tc>
      </w:tr>
      <w:tr w14:paraId="24CAB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BEB340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5" w:type="pct"/>
            <w:vAlign w:val="center"/>
          </w:tcPr>
          <w:p w14:paraId="1811B2E0">
            <w:pPr>
              <w:spacing w:line="400" w:lineRule="exact"/>
              <w:rPr>
                <w:rFonts w:ascii="仿宋" w:hAnsi="仿宋" w:eastAsia="仿宋" w:cs="仿宋"/>
                <w:color w:val="auto"/>
                <w:sz w:val="24"/>
                <w:highlight w:val="none"/>
              </w:rPr>
            </w:pPr>
          </w:p>
        </w:tc>
      </w:tr>
      <w:tr w14:paraId="48BB5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1FF811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5" w:type="pct"/>
            <w:vAlign w:val="center"/>
          </w:tcPr>
          <w:p w14:paraId="0E95AAD1">
            <w:pPr>
              <w:spacing w:line="400" w:lineRule="exact"/>
              <w:rPr>
                <w:rFonts w:ascii="仿宋" w:hAnsi="仿宋" w:eastAsia="仿宋" w:cs="仿宋"/>
                <w:color w:val="auto"/>
                <w:sz w:val="24"/>
                <w:highlight w:val="none"/>
              </w:rPr>
            </w:pPr>
          </w:p>
        </w:tc>
      </w:tr>
      <w:tr w14:paraId="37C05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6792A9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5" w:type="pct"/>
            <w:vAlign w:val="center"/>
          </w:tcPr>
          <w:p w14:paraId="1C804179">
            <w:pPr>
              <w:spacing w:line="400" w:lineRule="exact"/>
              <w:rPr>
                <w:rFonts w:ascii="仿宋" w:hAnsi="仿宋" w:eastAsia="仿宋" w:cs="仿宋"/>
                <w:color w:val="auto"/>
                <w:sz w:val="24"/>
                <w:highlight w:val="none"/>
              </w:rPr>
            </w:pPr>
          </w:p>
        </w:tc>
      </w:tr>
      <w:tr w14:paraId="61D87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8E712A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5" w:type="pct"/>
            <w:vAlign w:val="center"/>
          </w:tcPr>
          <w:p w14:paraId="66F639E0">
            <w:pPr>
              <w:spacing w:line="400" w:lineRule="exact"/>
              <w:rPr>
                <w:rFonts w:ascii="仿宋" w:hAnsi="仿宋" w:eastAsia="仿宋" w:cs="仿宋"/>
                <w:color w:val="auto"/>
                <w:sz w:val="24"/>
                <w:highlight w:val="none"/>
              </w:rPr>
            </w:pPr>
          </w:p>
        </w:tc>
      </w:tr>
      <w:tr w14:paraId="68137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391516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5" w:type="pct"/>
            <w:vAlign w:val="center"/>
          </w:tcPr>
          <w:p w14:paraId="2508B395">
            <w:pPr>
              <w:spacing w:line="400" w:lineRule="exact"/>
              <w:rPr>
                <w:rFonts w:ascii="仿宋" w:hAnsi="仿宋" w:eastAsia="仿宋" w:cs="仿宋"/>
                <w:color w:val="auto"/>
                <w:sz w:val="24"/>
                <w:highlight w:val="none"/>
              </w:rPr>
            </w:pPr>
          </w:p>
        </w:tc>
      </w:tr>
      <w:tr w14:paraId="504B8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D4DA56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5" w:type="pct"/>
            <w:vAlign w:val="center"/>
          </w:tcPr>
          <w:p w14:paraId="415487A3">
            <w:pPr>
              <w:spacing w:line="400" w:lineRule="exact"/>
              <w:rPr>
                <w:rFonts w:ascii="仿宋" w:hAnsi="仿宋" w:eastAsia="仿宋" w:cs="仿宋"/>
                <w:color w:val="auto"/>
                <w:sz w:val="24"/>
                <w:highlight w:val="none"/>
              </w:rPr>
            </w:pPr>
          </w:p>
        </w:tc>
      </w:tr>
      <w:tr w14:paraId="671CE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D5B921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5" w:type="pct"/>
            <w:vAlign w:val="center"/>
          </w:tcPr>
          <w:p w14:paraId="108243A2">
            <w:pPr>
              <w:spacing w:line="400" w:lineRule="exact"/>
              <w:rPr>
                <w:rFonts w:ascii="仿宋" w:hAnsi="仿宋" w:eastAsia="仿宋" w:cs="仿宋"/>
                <w:color w:val="auto"/>
                <w:sz w:val="24"/>
                <w:highlight w:val="none"/>
              </w:rPr>
            </w:pPr>
          </w:p>
        </w:tc>
      </w:tr>
      <w:tr w14:paraId="40836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944FCD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5" w:type="pct"/>
            <w:vAlign w:val="center"/>
          </w:tcPr>
          <w:p w14:paraId="33718DAB">
            <w:pPr>
              <w:spacing w:line="400" w:lineRule="exact"/>
              <w:rPr>
                <w:rFonts w:ascii="仿宋" w:hAnsi="仿宋" w:eastAsia="仿宋" w:cs="仿宋"/>
                <w:color w:val="auto"/>
                <w:sz w:val="24"/>
                <w:highlight w:val="none"/>
              </w:rPr>
            </w:pPr>
          </w:p>
        </w:tc>
      </w:tr>
      <w:tr w14:paraId="13544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ADD771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5" w:type="pct"/>
            <w:vAlign w:val="center"/>
          </w:tcPr>
          <w:p w14:paraId="2C2046C8">
            <w:pPr>
              <w:spacing w:line="400" w:lineRule="exact"/>
              <w:ind w:left="-420" w:leftChars="-200" w:right="-420" w:rightChars="-200" w:firstLine="480" w:firstLineChars="200"/>
              <w:rPr>
                <w:rFonts w:ascii="仿宋" w:hAnsi="仿宋" w:eastAsia="仿宋" w:cs="仿宋"/>
                <w:color w:val="auto"/>
                <w:sz w:val="24"/>
                <w:highlight w:val="none"/>
              </w:rPr>
            </w:pPr>
          </w:p>
        </w:tc>
      </w:tr>
      <w:tr w14:paraId="0DE4D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841EFA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2.10.3</w:t>
            </w:r>
          </w:p>
        </w:tc>
        <w:tc>
          <w:tcPr>
            <w:tcW w:w="4465" w:type="pct"/>
            <w:vAlign w:val="center"/>
          </w:tcPr>
          <w:p w14:paraId="0AD89E37">
            <w:pPr>
              <w:spacing w:line="400" w:lineRule="exact"/>
              <w:rPr>
                <w:rFonts w:ascii="仿宋" w:hAnsi="仿宋" w:eastAsia="仿宋" w:cs="仿宋"/>
                <w:color w:val="auto"/>
                <w:sz w:val="24"/>
                <w:highlight w:val="none"/>
              </w:rPr>
            </w:pPr>
          </w:p>
        </w:tc>
      </w:tr>
      <w:tr w14:paraId="5C6F8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426C90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2.10.4</w:t>
            </w:r>
          </w:p>
        </w:tc>
        <w:tc>
          <w:tcPr>
            <w:tcW w:w="4465" w:type="pct"/>
          </w:tcPr>
          <w:p w14:paraId="038EB0D3">
            <w:pPr>
              <w:spacing w:line="400" w:lineRule="exact"/>
              <w:rPr>
                <w:rFonts w:ascii="仿宋" w:hAnsi="仿宋" w:eastAsia="仿宋" w:cs="仿宋"/>
                <w:color w:val="auto"/>
                <w:sz w:val="24"/>
                <w:highlight w:val="none"/>
              </w:rPr>
            </w:pPr>
          </w:p>
        </w:tc>
      </w:tr>
      <w:tr w14:paraId="0FB80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5CC8F1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2.14.1</w:t>
            </w:r>
          </w:p>
        </w:tc>
        <w:tc>
          <w:tcPr>
            <w:tcW w:w="4465" w:type="pct"/>
            <w:vAlign w:val="center"/>
          </w:tcPr>
          <w:p w14:paraId="5555CB1A">
            <w:pPr>
              <w:spacing w:line="400" w:lineRule="exact"/>
              <w:rPr>
                <w:rFonts w:ascii="仿宋" w:hAnsi="仿宋" w:eastAsia="仿宋" w:cs="仿宋"/>
                <w:color w:val="auto"/>
                <w:sz w:val="24"/>
                <w:highlight w:val="none"/>
              </w:rPr>
            </w:pPr>
          </w:p>
        </w:tc>
      </w:tr>
      <w:tr w14:paraId="52A6A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919FF4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2.14.3</w:t>
            </w:r>
          </w:p>
        </w:tc>
        <w:tc>
          <w:tcPr>
            <w:tcW w:w="4465" w:type="pct"/>
            <w:vAlign w:val="center"/>
          </w:tcPr>
          <w:p w14:paraId="3ACA5C9C">
            <w:pPr>
              <w:spacing w:line="400" w:lineRule="exact"/>
              <w:rPr>
                <w:rFonts w:ascii="仿宋" w:hAnsi="仿宋" w:eastAsia="仿宋" w:cs="仿宋"/>
                <w:color w:val="auto"/>
                <w:sz w:val="24"/>
                <w:highlight w:val="none"/>
              </w:rPr>
            </w:pPr>
          </w:p>
        </w:tc>
      </w:tr>
      <w:tr w14:paraId="392CB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vAlign w:val="center"/>
          </w:tcPr>
          <w:p w14:paraId="202A954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2.18</w:t>
            </w:r>
          </w:p>
        </w:tc>
        <w:tc>
          <w:tcPr>
            <w:tcW w:w="4465" w:type="pct"/>
          </w:tcPr>
          <w:p w14:paraId="23661FA2">
            <w:pPr>
              <w:spacing w:line="400" w:lineRule="exact"/>
              <w:rPr>
                <w:rFonts w:ascii="仿宋" w:hAnsi="仿宋" w:eastAsia="仿宋" w:cs="仿宋"/>
                <w:color w:val="auto"/>
                <w:sz w:val="24"/>
                <w:highlight w:val="none"/>
              </w:rPr>
            </w:pPr>
          </w:p>
        </w:tc>
      </w:tr>
    </w:tbl>
    <w:p w14:paraId="372CEB65">
      <w:pPr>
        <w:autoSpaceDE/>
        <w:autoSpaceDN/>
        <w:adjustRightInd/>
        <w:spacing w:before="156" w:beforeLines="50" w:line="400" w:lineRule="exact"/>
        <w:rPr>
          <w:color w:val="auto"/>
          <w:highlight w:val="none"/>
        </w:rPr>
      </w:pPr>
      <w:r>
        <w:rPr>
          <w:rFonts w:hint="eastAsia" w:ascii="仿宋" w:hAnsi="仿宋" w:eastAsia="仿宋" w:cs="仿宋"/>
          <w:b/>
          <w:color w:val="auto"/>
          <w:sz w:val="24"/>
          <w:szCs w:val="24"/>
          <w:highlight w:val="none"/>
        </w:rPr>
        <w:t>注：该合同模板与招标文件中实质性内容不相符部分，以招标文件规定为准，在签订前相应调整。</w:t>
      </w:r>
    </w:p>
    <w:p w14:paraId="2B3700DA">
      <w:pPr>
        <w:pStyle w:val="3"/>
        <w:spacing w:line="240" w:lineRule="auto"/>
        <w:jc w:val="center"/>
        <w:rPr>
          <w:color w:val="auto"/>
          <w:highlight w:val="none"/>
        </w:rPr>
        <w:sectPr>
          <w:pgSz w:w="11906" w:h="16838"/>
          <w:pgMar w:top="1247" w:right="1247" w:bottom="1247" w:left="1247" w:header="567" w:footer="454" w:gutter="0"/>
          <w:cols w:space="720" w:num="1"/>
          <w:titlePg/>
          <w:docGrid w:type="lines" w:linePitch="312" w:charSpace="0"/>
        </w:sectPr>
      </w:pPr>
    </w:p>
    <w:bookmarkEnd w:id="409"/>
    <w:bookmarkEnd w:id="410"/>
    <w:p w14:paraId="37F25837">
      <w:pPr>
        <w:pStyle w:val="3"/>
        <w:spacing w:line="240" w:lineRule="auto"/>
        <w:jc w:val="center"/>
        <w:rPr>
          <w:rFonts w:ascii="仿宋" w:hAnsi="仿宋" w:eastAsia="仿宋" w:cs="仿宋"/>
          <w:color w:val="auto"/>
          <w:highlight w:val="none"/>
        </w:rPr>
      </w:pPr>
      <w:bookmarkStart w:id="501" w:name="_Toc20295"/>
      <w:bookmarkStart w:id="502" w:name="_Toc20849"/>
      <w:r>
        <w:rPr>
          <w:rFonts w:hint="eastAsia" w:ascii="仿宋" w:hAnsi="仿宋" w:eastAsia="仿宋" w:cs="仿宋"/>
          <w:color w:val="auto"/>
          <w:highlight w:val="none"/>
        </w:rPr>
        <w:t>第六章 应提交的有关格式范例</w:t>
      </w:r>
      <w:bookmarkEnd w:id="501"/>
      <w:bookmarkEnd w:id="502"/>
    </w:p>
    <w:p w14:paraId="05FFA4ED">
      <w:pPr>
        <w:widowControl/>
        <w:tabs>
          <w:tab w:val="left" w:pos="450"/>
          <w:tab w:val="left" w:pos="8280"/>
        </w:tabs>
        <w:spacing w:before="312" w:beforeLines="100" w:after="1560" w:afterLines="500" w:line="360" w:lineRule="auto"/>
        <w:ind w:firstLine="482"/>
        <w:jc w:val="center"/>
        <w:rPr>
          <w:rFonts w:ascii="华文中宋" w:hAnsi="华文中宋" w:eastAsia="华文中宋"/>
          <w:b/>
          <w:color w:val="auto"/>
          <w:sz w:val="32"/>
          <w:szCs w:val="32"/>
          <w:highlight w:val="none"/>
        </w:rPr>
      </w:pPr>
      <w:r>
        <w:rPr>
          <w:rFonts w:ascii="华文中宋" w:hAnsi="华文中宋" w:eastAsia="华文中宋"/>
          <w:b/>
          <w:color w:val="auto"/>
          <w:sz w:val="32"/>
          <w:szCs w:val="32"/>
          <w:highlight w:val="none"/>
        </w:rPr>
        <w:t>（注：未提供格式部分由投标人自拟）</w:t>
      </w:r>
    </w:p>
    <w:p w14:paraId="3E5951AE">
      <w:pPr>
        <w:widowControl/>
        <w:tabs>
          <w:tab w:val="left" w:pos="450"/>
          <w:tab w:val="left" w:pos="2520"/>
          <w:tab w:val="left" w:pos="8280"/>
        </w:tabs>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第一部分   封面（格式）</w:t>
      </w:r>
    </w:p>
    <w:p w14:paraId="56C2F593">
      <w:pPr>
        <w:widowControl/>
        <w:tabs>
          <w:tab w:val="left" w:pos="8280"/>
        </w:tabs>
        <w:spacing w:line="360" w:lineRule="auto"/>
        <w:ind w:firstLine="480"/>
        <w:jc w:val="center"/>
        <w:rPr>
          <w:rFonts w:ascii="仿宋" w:hAnsi="仿宋" w:eastAsia="仿宋" w:cs="宋体"/>
          <w:b/>
          <w:color w:val="auto"/>
          <w:sz w:val="32"/>
          <w:szCs w:val="32"/>
          <w:highlight w:val="none"/>
        </w:rPr>
      </w:pPr>
    </w:p>
    <w:p w14:paraId="5E735DD8">
      <w:pPr>
        <w:widowControl/>
        <w:tabs>
          <w:tab w:val="left" w:pos="8280"/>
        </w:tabs>
        <w:spacing w:before="624" w:beforeLines="200" w:after="312" w:afterLines="100" w:line="360" w:lineRule="auto"/>
        <w:ind w:firstLine="482"/>
        <w:jc w:val="center"/>
        <w:rPr>
          <w:rFonts w:ascii="宋体" w:hAnsi="宋体" w:cs="宋体"/>
          <w:b/>
          <w:color w:val="auto"/>
          <w:sz w:val="32"/>
          <w:szCs w:val="32"/>
          <w:highlight w:val="none"/>
        </w:rPr>
      </w:pPr>
      <w:r>
        <w:rPr>
          <w:rFonts w:hint="eastAsia" w:ascii="宋体" w:hAnsi="宋体" w:cs="宋体"/>
          <w:b/>
          <w:color w:val="auto"/>
          <w:sz w:val="32"/>
          <w:szCs w:val="32"/>
          <w:highlight w:val="none"/>
        </w:rPr>
        <w:t>商务技术文件或报价文件</w:t>
      </w:r>
    </w:p>
    <w:p w14:paraId="66C660EB">
      <w:pPr>
        <w:widowControl/>
        <w:tabs>
          <w:tab w:val="left" w:pos="275"/>
          <w:tab w:val="left" w:pos="8280"/>
        </w:tabs>
        <w:spacing w:line="360" w:lineRule="auto"/>
        <w:ind w:firstLine="480"/>
        <w:jc w:val="left"/>
        <w:rPr>
          <w:rFonts w:ascii="宋体" w:hAnsi="宋体" w:cs="宋体"/>
          <w:b/>
          <w:color w:val="auto"/>
          <w:sz w:val="36"/>
          <w:szCs w:val="36"/>
          <w:highlight w:val="none"/>
        </w:rPr>
      </w:pPr>
      <w:r>
        <w:rPr>
          <w:rFonts w:hint="eastAsia" w:ascii="宋体" w:hAnsi="宋体" w:cs="宋体"/>
          <w:b/>
          <w:color w:val="auto"/>
          <w:sz w:val="36"/>
          <w:szCs w:val="36"/>
          <w:highlight w:val="none"/>
        </w:rPr>
        <w:tab/>
      </w:r>
    </w:p>
    <w:p w14:paraId="687DC9E1">
      <w:pPr>
        <w:widowControl/>
        <w:tabs>
          <w:tab w:val="left" w:pos="275"/>
          <w:tab w:val="left" w:pos="8280"/>
        </w:tabs>
        <w:spacing w:line="360" w:lineRule="auto"/>
        <w:ind w:firstLine="1134"/>
        <w:jc w:val="left"/>
        <w:rPr>
          <w:rFonts w:ascii="宋体" w:hAnsi="宋体" w:cs="宋体"/>
          <w:b/>
          <w:color w:val="auto"/>
          <w:sz w:val="32"/>
          <w:szCs w:val="32"/>
          <w:highlight w:val="none"/>
          <w:u w:val="single"/>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u w:val="single"/>
        </w:rPr>
        <w:t xml:space="preserve">                              </w:t>
      </w:r>
    </w:p>
    <w:p w14:paraId="0FCB3557">
      <w:pPr>
        <w:widowControl/>
        <w:tabs>
          <w:tab w:val="left" w:pos="275"/>
          <w:tab w:val="left" w:pos="8280"/>
        </w:tabs>
        <w:spacing w:line="360" w:lineRule="auto"/>
        <w:ind w:firstLine="1134"/>
        <w:jc w:val="left"/>
        <w:rPr>
          <w:rFonts w:ascii="宋体" w:hAnsi="宋体" w:cs="宋体"/>
          <w:b/>
          <w:color w:val="auto"/>
          <w:sz w:val="32"/>
          <w:szCs w:val="32"/>
          <w:highlight w:val="none"/>
        </w:rPr>
      </w:pPr>
    </w:p>
    <w:p w14:paraId="47E565FE">
      <w:pPr>
        <w:widowControl/>
        <w:tabs>
          <w:tab w:val="left" w:pos="275"/>
          <w:tab w:val="left" w:pos="8280"/>
        </w:tabs>
        <w:spacing w:line="360" w:lineRule="auto"/>
        <w:ind w:firstLine="1134"/>
        <w:jc w:val="left"/>
        <w:rPr>
          <w:rFonts w:ascii="宋体" w:hAnsi="宋体" w:cs="宋体"/>
          <w:b/>
          <w:color w:val="auto"/>
          <w:sz w:val="36"/>
          <w:szCs w:val="36"/>
          <w:highlight w:val="none"/>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u w:val="single"/>
        </w:rPr>
        <w:t xml:space="preserve">                              </w:t>
      </w:r>
    </w:p>
    <w:p w14:paraId="7BB04896">
      <w:pPr>
        <w:widowControl/>
        <w:tabs>
          <w:tab w:val="left" w:pos="765"/>
          <w:tab w:val="left" w:pos="8280"/>
        </w:tabs>
        <w:spacing w:line="360" w:lineRule="auto"/>
        <w:ind w:firstLine="1134"/>
        <w:jc w:val="left"/>
        <w:rPr>
          <w:rFonts w:ascii="宋体" w:hAnsi="宋体" w:cs="宋体"/>
          <w:b/>
          <w:color w:val="auto"/>
          <w:sz w:val="36"/>
          <w:szCs w:val="36"/>
          <w:highlight w:val="none"/>
        </w:rPr>
      </w:pPr>
      <w:r>
        <w:rPr>
          <w:rFonts w:hint="eastAsia" w:ascii="宋体" w:hAnsi="宋体" w:cs="宋体"/>
          <w:b/>
          <w:color w:val="auto"/>
          <w:sz w:val="36"/>
          <w:szCs w:val="36"/>
          <w:highlight w:val="none"/>
        </w:rPr>
        <w:tab/>
      </w:r>
    </w:p>
    <w:p w14:paraId="455CED79">
      <w:pPr>
        <w:widowControl/>
        <w:tabs>
          <w:tab w:val="left" w:pos="765"/>
          <w:tab w:val="left" w:pos="8280"/>
        </w:tabs>
        <w:spacing w:line="360" w:lineRule="auto"/>
        <w:ind w:firstLine="1134"/>
        <w:jc w:val="left"/>
        <w:rPr>
          <w:rFonts w:ascii="宋体" w:hAnsi="宋体" w:cs="宋体"/>
          <w:b/>
          <w:color w:val="auto"/>
          <w:sz w:val="36"/>
          <w:szCs w:val="36"/>
          <w:highlight w:val="none"/>
          <w:u w:val="single"/>
        </w:rPr>
      </w:pPr>
      <w:r>
        <w:rPr>
          <w:rFonts w:hint="eastAsia" w:ascii="宋体" w:hAnsi="宋体" w:cs="宋体"/>
          <w:b/>
          <w:color w:val="auto"/>
          <w:spacing w:val="85"/>
          <w:sz w:val="32"/>
          <w:szCs w:val="32"/>
          <w:highlight w:val="none"/>
        </w:rPr>
        <w:t>投标</w:t>
      </w:r>
      <w:r>
        <w:rPr>
          <w:rFonts w:hint="eastAsia" w:ascii="宋体" w:hAnsi="宋体" w:cs="宋体"/>
          <w:b/>
          <w:color w:val="auto"/>
          <w:sz w:val="32"/>
          <w:szCs w:val="32"/>
          <w:highlight w:val="none"/>
        </w:rPr>
        <w:t>人：</w:t>
      </w:r>
      <w:r>
        <w:rPr>
          <w:rFonts w:hint="eastAsia" w:ascii="宋体" w:hAnsi="宋体" w:cs="宋体"/>
          <w:b/>
          <w:color w:val="auto"/>
          <w:sz w:val="32"/>
          <w:szCs w:val="32"/>
          <w:highlight w:val="none"/>
          <w:u w:val="single"/>
        </w:rPr>
        <w:t xml:space="preserve">           （盖章）          </w:t>
      </w:r>
    </w:p>
    <w:p w14:paraId="1B6B5B3B">
      <w:pPr>
        <w:widowControl/>
        <w:tabs>
          <w:tab w:val="left" w:pos="8280"/>
        </w:tabs>
        <w:spacing w:line="360" w:lineRule="auto"/>
        <w:ind w:firstLine="480"/>
        <w:jc w:val="center"/>
        <w:rPr>
          <w:rFonts w:ascii="宋体" w:hAnsi="宋体" w:cs="宋体"/>
          <w:b/>
          <w:color w:val="auto"/>
          <w:sz w:val="32"/>
          <w:szCs w:val="32"/>
          <w:highlight w:val="none"/>
        </w:rPr>
      </w:pPr>
    </w:p>
    <w:p w14:paraId="2EFB6EDD">
      <w:pPr>
        <w:widowControl/>
        <w:tabs>
          <w:tab w:val="left" w:pos="8280"/>
        </w:tabs>
        <w:spacing w:line="360" w:lineRule="auto"/>
        <w:ind w:firstLine="480"/>
        <w:jc w:val="center"/>
        <w:rPr>
          <w:rFonts w:ascii="宋体" w:hAnsi="宋体" w:cs="宋体"/>
          <w:b/>
          <w:color w:val="auto"/>
          <w:sz w:val="32"/>
          <w:szCs w:val="32"/>
          <w:highlight w:val="none"/>
        </w:rPr>
      </w:pPr>
    </w:p>
    <w:p w14:paraId="2FB10D7A">
      <w:pPr>
        <w:widowControl/>
        <w:tabs>
          <w:tab w:val="left" w:pos="350"/>
          <w:tab w:val="left" w:pos="8280"/>
        </w:tabs>
        <w:spacing w:line="360" w:lineRule="auto"/>
        <w:ind w:firstLine="1134"/>
        <w:jc w:val="left"/>
        <w:rPr>
          <w:rFonts w:ascii="宋体" w:hAnsi="宋体" w:cs="宋体"/>
          <w:b/>
          <w:color w:val="auto"/>
          <w:sz w:val="32"/>
          <w:szCs w:val="32"/>
          <w:highlight w:val="none"/>
        </w:rPr>
      </w:pPr>
      <w:r>
        <w:rPr>
          <w:rFonts w:hint="eastAsia" w:ascii="宋体" w:hAnsi="宋体" w:cs="宋体"/>
          <w:b/>
          <w:color w:val="auto"/>
          <w:spacing w:val="283"/>
          <w:sz w:val="32"/>
          <w:szCs w:val="32"/>
          <w:highlight w:val="none"/>
        </w:rPr>
        <w:t>日</w:t>
      </w:r>
      <w:r>
        <w:rPr>
          <w:rFonts w:hint="eastAsia" w:ascii="宋体" w:hAnsi="宋体" w:cs="宋体"/>
          <w:b/>
          <w:color w:val="auto"/>
          <w:sz w:val="32"/>
          <w:szCs w:val="32"/>
          <w:highlight w:val="none"/>
        </w:rPr>
        <w:t>期：     年     月    日</w:t>
      </w:r>
    </w:p>
    <w:p w14:paraId="7B649DE1">
      <w:pPr>
        <w:widowControl/>
        <w:tabs>
          <w:tab w:val="left" w:pos="350"/>
          <w:tab w:val="left" w:pos="8280"/>
        </w:tabs>
        <w:spacing w:line="360" w:lineRule="auto"/>
        <w:jc w:val="left"/>
        <w:rPr>
          <w:rFonts w:ascii="仿宋" w:hAnsi="仿宋" w:eastAsia="仿宋" w:cs="宋体"/>
          <w:b/>
          <w:color w:val="auto"/>
          <w:sz w:val="32"/>
          <w:szCs w:val="32"/>
          <w:highlight w:val="none"/>
        </w:rPr>
        <w:sectPr>
          <w:footerReference r:id="rId18" w:type="first"/>
          <w:footerReference r:id="rId17" w:type="default"/>
          <w:pgSz w:w="11906" w:h="16838"/>
          <w:pgMar w:top="1247" w:right="1247" w:bottom="1247" w:left="1247" w:header="567" w:footer="454" w:gutter="0"/>
          <w:cols w:space="720" w:num="1"/>
          <w:titlePg/>
          <w:docGrid w:type="lines" w:linePitch="312" w:charSpace="0"/>
        </w:sectPr>
      </w:pPr>
    </w:p>
    <w:p w14:paraId="09C42B07">
      <w:pPr>
        <w:widowControl/>
        <w:tabs>
          <w:tab w:val="left" w:pos="450"/>
          <w:tab w:val="left" w:pos="2520"/>
          <w:tab w:val="left" w:pos="8280"/>
        </w:tabs>
        <w:spacing w:before="120" w:beforeLines="50" w:line="360" w:lineRule="auto"/>
        <w:jc w:val="center"/>
        <w:rPr>
          <w:rFonts w:ascii="宋体" w:hAnsi="宋体" w:cs="宋体"/>
          <w:b/>
          <w:color w:val="auto"/>
          <w:sz w:val="36"/>
          <w:szCs w:val="36"/>
          <w:highlight w:val="none"/>
        </w:rPr>
      </w:pPr>
      <w:bookmarkStart w:id="503" w:name="_Toc11122"/>
      <w:r>
        <w:rPr>
          <w:rFonts w:hint="eastAsia" w:ascii="宋体" w:hAnsi="宋体" w:cs="宋体"/>
          <w:b/>
          <w:color w:val="auto"/>
          <w:sz w:val="36"/>
          <w:szCs w:val="36"/>
          <w:highlight w:val="none"/>
        </w:rPr>
        <w:t>第二部分  资格文件部分</w:t>
      </w:r>
      <w:bookmarkEnd w:id="503"/>
      <w:r>
        <w:rPr>
          <w:rFonts w:hint="eastAsia" w:ascii="宋体" w:hAnsi="宋体" w:cs="宋体"/>
          <w:b/>
          <w:color w:val="auto"/>
          <w:sz w:val="36"/>
          <w:szCs w:val="36"/>
          <w:highlight w:val="none"/>
        </w:rPr>
        <w:t>（格式）</w:t>
      </w:r>
    </w:p>
    <w:p w14:paraId="632C5DF1">
      <w:pPr>
        <w:spacing w:line="360" w:lineRule="auto"/>
        <w:jc w:val="center"/>
        <w:rPr>
          <w:rFonts w:ascii="等线" w:hAnsi="等线" w:eastAsia="等线" w:cs="等线"/>
          <w:b/>
          <w:color w:val="auto"/>
          <w:sz w:val="36"/>
          <w:szCs w:val="36"/>
          <w:highlight w:val="none"/>
        </w:rPr>
      </w:pPr>
    </w:p>
    <w:p w14:paraId="228A407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w:t>
      </w:r>
    </w:p>
    <w:p w14:paraId="4AFD6EB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（2）落实政府采购政策需满足的资格要求（如需）</w:t>
      </w:r>
    </w:p>
    <w:p w14:paraId="7835B81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）本项目的特定资格要求（如需）</w:t>
      </w:r>
    </w:p>
    <w:p w14:paraId="6557DF5C">
      <w:pPr>
        <w:snapToGrid w:val="0"/>
        <w:spacing w:line="360" w:lineRule="auto"/>
        <w:ind w:firstLine="480" w:firstLineChars="200"/>
        <w:rPr>
          <w:rFonts w:ascii="等线" w:hAnsi="等线" w:eastAsia="等线" w:cs="等线"/>
          <w:color w:val="auto"/>
          <w:sz w:val="24"/>
          <w:highlight w:val="none"/>
        </w:rPr>
      </w:pPr>
    </w:p>
    <w:p w14:paraId="696BCFCE">
      <w:pPr>
        <w:spacing w:line="360" w:lineRule="auto"/>
        <w:ind w:firstLine="480" w:firstLineChars="200"/>
        <w:rPr>
          <w:rFonts w:ascii="等线" w:hAnsi="等线" w:eastAsia="等线" w:cs="等线"/>
          <w:color w:val="auto"/>
          <w:sz w:val="24"/>
          <w:highlight w:val="none"/>
        </w:rPr>
      </w:pPr>
    </w:p>
    <w:p w14:paraId="73C4D635">
      <w:pPr>
        <w:snapToGrid w:val="0"/>
        <w:spacing w:line="360" w:lineRule="auto"/>
        <w:jc w:val="center"/>
        <w:rPr>
          <w:rFonts w:ascii="等线" w:hAnsi="等线" w:eastAsia="等线" w:cs="等线"/>
          <w:b/>
          <w:color w:val="auto"/>
          <w:sz w:val="32"/>
          <w:szCs w:val="32"/>
          <w:highlight w:val="none"/>
        </w:rPr>
      </w:pPr>
      <w:r>
        <w:rPr>
          <w:rFonts w:hint="eastAsia" w:ascii="等线" w:hAnsi="等线" w:eastAsia="等线" w:cs="等线"/>
          <w:color w:val="auto"/>
          <w:sz w:val="24"/>
          <w:highlight w:val="none"/>
        </w:rPr>
        <w:br w:type="page"/>
      </w:r>
      <w:r>
        <w:rPr>
          <w:rFonts w:hint="eastAsia" w:ascii="宋体" w:hAnsi="宋体" w:cs="宋体"/>
          <w:b/>
          <w:color w:val="auto"/>
          <w:sz w:val="32"/>
          <w:szCs w:val="32"/>
          <w:highlight w:val="none"/>
        </w:rPr>
        <w:t>一、符合参加政府采购活动应当具备的一般条件的承诺函</w:t>
      </w:r>
    </w:p>
    <w:p w14:paraId="5EBFE5EA">
      <w:pPr>
        <w:autoSpaceDE/>
        <w:autoSpaceDN/>
        <w:snapToGrid w:val="0"/>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诸暨市东和乡人民政府</w:t>
      </w:r>
      <w:r>
        <w:rPr>
          <w:rFonts w:hint="eastAsia" w:ascii="仿宋" w:hAnsi="仿宋" w:eastAsia="仿宋" w:cs="仿宋"/>
          <w:color w:val="auto"/>
          <w:sz w:val="24"/>
          <w:highlight w:val="none"/>
        </w:rPr>
        <w:t>：</w:t>
      </w:r>
    </w:p>
    <w:p w14:paraId="1C59C34D">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绍兴盈伽工程咨询有限公司</w:t>
      </w:r>
      <w:r>
        <w:rPr>
          <w:rFonts w:hint="eastAsia" w:ascii="仿宋" w:hAnsi="仿宋" w:eastAsia="仿宋" w:cs="仿宋"/>
          <w:color w:val="auto"/>
          <w:sz w:val="24"/>
          <w:highlight w:val="none"/>
        </w:rPr>
        <w:t>：</w:t>
      </w:r>
    </w:p>
    <w:p w14:paraId="716901E5">
      <w:pPr>
        <w:autoSpaceDE/>
        <w:autoSpaceDN/>
        <w:snapToGrid w:val="0"/>
        <w:spacing w:line="42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）政府采购活动，郑重承诺：</w:t>
      </w:r>
    </w:p>
    <w:p w14:paraId="0295D17E">
      <w:pPr>
        <w:autoSpaceDE/>
        <w:autoSpaceDN/>
        <w:snapToGrid w:val="0"/>
        <w:spacing w:line="42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（一）具备《中华人民共和国政府采购法》第二十二条规定的以下条件：</w:t>
      </w:r>
    </w:p>
    <w:p w14:paraId="37DB2C82">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E46A550">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9807073">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42363D1">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C67700F">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EB1D671">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72249FD0">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861B481">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7D33346">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9A60B8A">
      <w:pPr>
        <w:autoSpaceDE/>
        <w:autoSpaceDN/>
        <w:snapToGrid w:val="0"/>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C7B558A">
      <w:pPr>
        <w:autoSpaceDE/>
        <w:autoSpaceDN/>
        <w:snapToGrid w:val="0"/>
        <w:spacing w:line="420" w:lineRule="exact"/>
        <w:ind w:firstLine="420" w:firstLineChars="200"/>
        <w:rPr>
          <w:rFonts w:ascii="仿宋" w:hAnsi="仿宋" w:eastAsia="仿宋" w:cs="仿宋"/>
          <w:color w:val="auto"/>
          <w:highlight w:val="none"/>
        </w:rPr>
      </w:pPr>
    </w:p>
    <w:p w14:paraId="4DD31F6D">
      <w:pPr>
        <w:rPr>
          <w:rFonts w:ascii="仿宋" w:hAnsi="仿宋" w:eastAsia="仿宋" w:cs="仿宋"/>
          <w:color w:val="auto"/>
          <w:highlight w:val="none"/>
        </w:rPr>
      </w:pPr>
    </w:p>
    <w:p w14:paraId="2BF5444F">
      <w:pPr>
        <w:tabs>
          <w:tab w:val="left" w:pos="432"/>
        </w:tabs>
        <w:rPr>
          <w:rFonts w:ascii="仿宋" w:hAnsi="仿宋" w:eastAsia="仿宋" w:cs="仿宋"/>
          <w:color w:val="auto"/>
          <w:highlight w:val="none"/>
        </w:rPr>
      </w:pPr>
    </w:p>
    <w:p w14:paraId="34FFC5D9">
      <w:pPr>
        <w:rPr>
          <w:rFonts w:ascii="仿宋" w:hAnsi="仿宋" w:eastAsia="仿宋" w:cs="仿宋"/>
          <w:color w:val="auto"/>
          <w:highlight w:val="none"/>
        </w:rPr>
      </w:pPr>
    </w:p>
    <w:p w14:paraId="7BD65E78">
      <w:pPr>
        <w:tabs>
          <w:tab w:val="left" w:pos="432"/>
        </w:tabs>
        <w:rPr>
          <w:rFonts w:ascii="仿宋" w:hAnsi="仿宋" w:eastAsia="仿宋" w:cs="仿宋"/>
          <w:color w:val="auto"/>
          <w:highlight w:val="none"/>
        </w:rPr>
      </w:pPr>
    </w:p>
    <w:p w14:paraId="31E15E2D">
      <w:pPr>
        <w:rPr>
          <w:rFonts w:ascii="仿宋" w:hAnsi="仿宋" w:eastAsia="仿宋" w:cs="仿宋"/>
          <w:color w:val="auto"/>
          <w:highlight w:val="none"/>
        </w:rPr>
      </w:pPr>
    </w:p>
    <w:p w14:paraId="59C10515">
      <w:pPr>
        <w:snapToGrid w:val="0"/>
        <w:spacing w:line="360" w:lineRule="auto"/>
        <w:ind w:firstLine="5520" w:firstLineChars="2300"/>
        <w:rPr>
          <w:rFonts w:ascii="仿宋" w:hAnsi="仿宋" w:eastAsia="仿宋" w:cs="仿宋"/>
          <w:color w:val="auto"/>
          <w:sz w:val="24"/>
          <w:highlight w:val="none"/>
        </w:rPr>
      </w:pPr>
      <w:r>
        <w:rPr>
          <w:rFonts w:hint="eastAsia" w:ascii="仿宋" w:hAnsi="仿宋" w:eastAsia="仿宋" w:cs="仿宋"/>
          <w:color w:val="auto"/>
          <w:sz w:val="24"/>
          <w:highlight w:val="none"/>
          <w:lang w:val="zh-CN"/>
        </w:rPr>
        <w:t>投标人名称(电子签名)：</w:t>
      </w:r>
    </w:p>
    <w:p w14:paraId="3971896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14:paraId="134F012E">
      <w:pPr>
        <w:snapToGrid w:val="0"/>
        <w:spacing w:line="360" w:lineRule="auto"/>
        <w:ind w:right="480"/>
        <w:rPr>
          <w:rFonts w:hint="eastAsia" w:ascii="仿宋" w:hAnsi="仿宋" w:eastAsia="仿宋" w:cs="仿宋"/>
          <w:b/>
          <w:iCs/>
          <w:color w:val="auto"/>
          <w:sz w:val="24"/>
          <w:szCs w:val="22"/>
          <w:highlight w:val="none"/>
          <w:u w:val="single"/>
        </w:rPr>
      </w:pPr>
      <w:r>
        <w:rPr>
          <w:rFonts w:hint="eastAsia" w:ascii="仿宋" w:hAnsi="仿宋" w:eastAsia="仿宋" w:cs="仿宋"/>
          <w:b/>
          <w:iCs/>
          <w:color w:val="auto"/>
          <w:sz w:val="24"/>
          <w:szCs w:val="22"/>
          <w:highlight w:val="none"/>
        </w:rPr>
        <w:t>『编制说明』：1.</w:t>
      </w:r>
      <w:r>
        <w:rPr>
          <w:rFonts w:hint="eastAsia" w:ascii="仿宋" w:hAnsi="仿宋" w:eastAsia="仿宋" w:cs="仿宋"/>
          <w:b/>
          <w:iCs/>
          <w:color w:val="auto"/>
          <w:sz w:val="24"/>
          <w:szCs w:val="22"/>
          <w:highlight w:val="none"/>
          <w:u w:val="single"/>
        </w:rPr>
        <w:t>供应商须按本格式和要求提供本函，否则投标无效；</w:t>
      </w:r>
    </w:p>
    <w:p w14:paraId="18B4B922">
      <w:pPr>
        <w:snapToGrid w:val="0"/>
        <w:spacing w:line="360" w:lineRule="auto"/>
        <w:ind w:right="480"/>
        <w:rPr>
          <w:rFonts w:ascii="仿宋" w:hAnsi="仿宋" w:eastAsia="仿宋" w:cs="仿宋"/>
          <w:b/>
          <w:iCs/>
          <w:color w:val="auto"/>
          <w:sz w:val="32"/>
          <w:szCs w:val="32"/>
          <w:highlight w:val="none"/>
        </w:rPr>
      </w:pPr>
      <w:r>
        <w:rPr>
          <w:rFonts w:hint="eastAsia" w:ascii="仿宋" w:hAnsi="仿宋" w:eastAsia="仿宋" w:cs="仿宋"/>
          <w:b/>
          <w:iCs/>
          <w:color w:val="auto"/>
          <w:sz w:val="24"/>
          <w:szCs w:val="22"/>
          <w:highlight w:val="none"/>
        </w:rPr>
        <w:t>2.</w:t>
      </w:r>
      <w:r>
        <w:rPr>
          <w:rFonts w:hint="eastAsia" w:ascii="仿宋" w:hAnsi="仿宋" w:eastAsia="仿宋" w:cs="仿宋"/>
          <w:b/>
          <w:iCs/>
          <w:color w:val="auto"/>
          <w:sz w:val="24"/>
          <w:szCs w:val="22"/>
          <w:highlight w:val="none"/>
          <w:u w:val="single"/>
        </w:rPr>
        <w:t>投标人为联合体的，联合体各方均须签署并提供本承诺函，否则投标无效。</w:t>
      </w:r>
    </w:p>
    <w:p w14:paraId="2D65ADE2">
      <w:pPr>
        <w:snapToGrid w:val="0"/>
        <w:spacing w:line="360" w:lineRule="auto"/>
        <w:ind w:right="480"/>
        <w:jc w:val="center"/>
        <w:rPr>
          <w:rFonts w:ascii="宋体" w:hAnsi="宋体" w:cs="宋体"/>
          <w:b/>
          <w:color w:val="auto"/>
          <w:sz w:val="32"/>
          <w:szCs w:val="32"/>
          <w:highlight w:val="none"/>
        </w:rPr>
      </w:pPr>
      <w:r>
        <w:rPr>
          <w:rFonts w:hint="eastAsia" w:ascii="等线" w:hAnsi="等线" w:eastAsia="等线" w:cs="等线"/>
          <w:b/>
          <w:color w:val="auto"/>
          <w:sz w:val="32"/>
          <w:szCs w:val="32"/>
          <w:highlight w:val="none"/>
        </w:rPr>
        <w:br w:type="page"/>
      </w:r>
      <w:r>
        <w:rPr>
          <w:rFonts w:hint="eastAsia" w:ascii="宋体" w:hAnsi="宋体" w:cs="宋体"/>
          <w:b/>
          <w:color w:val="auto"/>
          <w:sz w:val="32"/>
          <w:szCs w:val="32"/>
          <w:highlight w:val="none"/>
        </w:rPr>
        <w:t>二、落实政府采购政策需满足的资格要求</w:t>
      </w:r>
    </w:p>
    <w:p w14:paraId="27771AC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1C96A292">
      <w:pPr>
        <w:numPr>
          <w:ilvl w:val="0"/>
          <w:numId w:val="6"/>
        </w:numPr>
        <w:autoSpaceDE/>
        <w:autoSpaceDN/>
        <w:snapToGrid w:val="0"/>
        <w:spacing w:line="420" w:lineRule="exact"/>
        <w:ind w:firstLine="480" w:firstLineChars="200"/>
        <w:jc w:val="left"/>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专门面向中小企业，货物全部由符合政策要求的中小企业（或小微企业）制造或者服务全部由符合政策要求的中小企业（或小微企业）承接的，提供相应的中小企业声明函（</w:t>
      </w:r>
      <w:r>
        <w:rPr>
          <w:rFonts w:hint="eastAsia" w:ascii="仿宋" w:hAnsi="仿宋" w:eastAsia="仿宋" w:cs="仿宋"/>
          <w:color w:val="auto"/>
          <w:sz w:val="24"/>
          <w:highlight w:val="none"/>
        </w:rPr>
        <w:t>格式见</w:t>
      </w:r>
      <w:r>
        <w:rPr>
          <w:rFonts w:hint="eastAsia" w:ascii="仿宋" w:hAnsi="仿宋" w:eastAsia="仿宋" w:cs="仿宋"/>
          <w:color w:val="auto"/>
          <w:kern w:val="2"/>
          <w:sz w:val="24"/>
          <w:szCs w:val="24"/>
          <w:highlight w:val="none"/>
        </w:rPr>
        <w:t xml:space="preserve">附件2）。 </w:t>
      </w:r>
    </w:p>
    <w:p w14:paraId="49AC9FD1">
      <w:pPr>
        <w:numPr>
          <w:ilvl w:val="0"/>
          <w:numId w:val="6"/>
        </w:numPr>
        <w:spacing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要求以联合体形式参加的，提供联合协议（</w:t>
      </w:r>
      <w:r>
        <w:rPr>
          <w:rFonts w:hint="eastAsia" w:ascii="仿宋" w:hAnsi="仿宋" w:eastAsia="仿宋" w:cs="仿宋"/>
          <w:color w:val="auto"/>
          <w:sz w:val="24"/>
          <w:highlight w:val="none"/>
        </w:rPr>
        <w:t>格式见附件3）</w:t>
      </w:r>
      <w:r>
        <w:rPr>
          <w:rFonts w:hint="eastAsia" w:ascii="仿宋" w:hAnsi="仿宋" w:eastAsia="仿宋" w:cs="仿宋"/>
          <w:color w:val="auto"/>
          <w:kern w:val="2"/>
          <w:sz w:val="24"/>
          <w:szCs w:val="24"/>
          <w:highlight w:val="none"/>
        </w:rPr>
        <w:t>和中小企业声明函（附件2），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51C3956">
      <w:pPr>
        <w:numPr>
          <w:ilvl w:val="0"/>
          <w:numId w:val="6"/>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要求合同分包的，提供分包意向协议（格式见附件4）和中小企业声明函（格式见附件2），分包意向协议中中小企业合同金额应当达到招标公告载明的比例；如果供应商本身提供所有标的均由中小企业制造或承接，视同符合了资格条件，无需再向中小企业分包，无需提供分包意向协议。</w:t>
      </w:r>
    </w:p>
    <w:p w14:paraId="298C5A3B">
      <w:pPr>
        <w:pStyle w:val="31"/>
        <w:autoSpaceDE/>
        <w:autoSpaceDN/>
        <w:spacing w:after="0" w:line="420" w:lineRule="exact"/>
        <w:ind w:firstLine="480" w:firstLineChars="200"/>
        <w:rPr>
          <w:rFonts w:ascii="宋体" w:hAnsi="宋体" w:cs="宋体"/>
          <w:color w:val="auto"/>
          <w:kern w:val="2"/>
          <w:sz w:val="24"/>
          <w:szCs w:val="24"/>
          <w:highlight w:val="none"/>
        </w:rPr>
      </w:pPr>
    </w:p>
    <w:p w14:paraId="4E770A09">
      <w:pP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br w:type="page"/>
      </w:r>
    </w:p>
    <w:p w14:paraId="294E8B70">
      <w:pPr>
        <w:widowControl/>
        <w:spacing w:line="360" w:lineRule="auto"/>
        <w:ind w:left="150"/>
        <w:jc w:val="center"/>
        <w:rPr>
          <w:rFonts w:ascii="宋体" w:hAnsi="宋体" w:cs="宋体"/>
          <w:b/>
          <w:color w:val="auto"/>
          <w:sz w:val="32"/>
          <w:szCs w:val="32"/>
          <w:highlight w:val="none"/>
        </w:rPr>
      </w:pPr>
      <w:r>
        <w:rPr>
          <w:rFonts w:hint="eastAsia" w:ascii="宋体" w:hAnsi="宋体" w:cs="宋体"/>
          <w:b/>
          <w:color w:val="auto"/>
          <w:sz w:val="32"/>
          <w:szCs w:val="32"/>
          <w:highlight w:val="none"/>
        </w:rPr>
        <w:t>四、本项目的特定资格要求</w:t>
      </w:r>
    </w:p>
    <w:p w14:paraId="5CCF20F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0DD23DB">
      <w:pPr>
        <w:rPr>
          <w:rFonts w:ascii="宋体" w:hAnsi="宋体" w:cs="宋体"/>
          <w:color w:val="auto"/>
          <w:highlight w:val="none"/>
        </w:rPr>
      </w:pPr>
    </w:p>
    <w:p w14:paraId="33DE5938">
      <w:pPr>
        <w:snapToGrid w:val="0"/>
        <w:spacing w:line="360" w:lineRule="auto"/>
        <w:ind w:right="480"/>
        <w:jc w:val="center"/>
        <w:rPr>
          <w:rFonts w:ascii="宋体" w:hAnsi="宋体" w:cs="宋体"/>
          <w:b/>
          <w:color w:val="auto"/>
          <w:sz w:val="32"/>
          <w:szCs w:val="32"/>
          <w:highlight w:val="none"/>
        </w:rPr>
      </w:pPr>
    </w:p>
    <w:p w14:paraId="542837B1">
      <w:pPr>
        <w:snapToGrid w:val="0"/>
        <w:spacing w:line="360" w:lineRule="auto"/>
        <w:ind w:right="480"/>
        <w:jc w:val="center"/>
        <w:rPr>
          <w:rFonts w:ascii="宋体" w:hAnsi="宋体" w:cs="宋体"/>
          <w:b/>
          <w:color w:val="auto"/>
          <w:sz w:val="32"/>
          <w:szCs w:val="32"/>
          <w:highlight w:val="none"/>
        </w:rPr>
      </w:pPr>
    </w:p>
    <w:p w14:paraId="4AE62B84">
      <w:pPr>
        <w:snapToGrid w:val="0"/>
        <w:spacing w:line="360" w:lineRule="auto"/>
        <w:ind w:right="480"/>
        <w:jc w:val="center"/>
        <w:rPr>
          <w:rFonts w:ascii="宋体" w:hAnsi="宋体" w:cs="宋体"/>
          <w:b/>
          <w:color w:val="auto"/>
          <w:sz w:val="32"/>
          <w:szCs w:val="32"/>
          <w:highlight w:val="none"/>
        </w:rPr>
      </w:pPr>
    </w:p>
    <w:p w14:paraId="3CCBD131">
      <w:pPr>
        <w:snapToGrid w:val="0"/>
        <w:spacing w:line="360" w:lineRule="auto"/>
        <w:ind w:right="480"/>
        <w:jc w:val="center"/>
        <w:rPr>
          <w:rFonts w:ascii="宋体" w:hAnsi="宋体" w:cs="宋体"/>
          <w:b/>
          <w:color w:val="auto"/>
          <w:sz w:val="32"/>
          <w:szCs w:val="32"/>
          <w:highlight w:val="none"/>
        </w:rPr>
      </w:pPr>
    </w:p>
    <w:p w14:paraId="594F8417">
      <w:pPr>
        <w:tabs>
          <w:tab w:val="left" w:pos="432"/>
        </w:tabs>
        <w:rPr>
          <w:rFonts w:ascii="宋体" w:hAnsi="宋体" w:cs="宋体"/>
          <w:color w:val="auto"/>
          <w:highlight w:val="none"/>
        </w:rPr>
      </w:pPr>
    </w:p>
    <w:p w14:paraId="1F5ABE13">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5FA425BE">
      <w:pPr>
        <w:spacing w:line="360" w:lineRule="auto"/>
        <w:ind w:right="420"/>
        <w:jc w:val="center"/>
        <w:rPr>
          <w:rFonts w:ascii="宋体" w:hAnsi="宋体" w:cs="宋体"/>
          <w:b/>
          <w:color w:val="auto"/>
          <w:sz w:val="36"/>
          <w:szCs w:val="36"/>
          <w:highlight w:val="none"/>
        </w:rPr>
      </w:pPr>
      <w:r>
        <w:rPr>
          <w:rFonts w:hint="eastAsia" w:ascii="仿宋" w:hAnsi="仿宋" w:eastAsia="仿宋"/>
          <w:b/>
          <w:color w:val="auto"/>
          <w:sz w:val="36"/>
          <w:szCs w:val="36"/>
          <w:highlight w:val="none"/>
        </w:rPr>
        <w:t xml:space="preserve">第三部分   </w:t>
      </w:r>
      <w:r>
        <w:rPr>
          <w:rFonts w:hint="eastAsia" w:ascii="宋体" w:hAnsi="宋体" w:cs="宋体"/>
          <w:b/>
          <w:color w:val="auto"/>
          <w:sz w:val="36"/>
          <w:szCs w:val="36"/>
          <w:highlight w:val="none"/>
        </w:rPr>
        <w:t>商务技术文件部分</w:t>
      </w:r>
    </w:p>
    <w:p w14:paraId="53E92C46">
      <w:pPr>
        <w:spacing w:line="360" w:lineRule="auto"/>
        <w:jc w:val="center"/>
        <w:rPr>
          <w:rFonts w:ascii="宋体" w:hAnsi="宋体" w:cs="宋体"/>
          <w:b/>
          <w:color w:val="auto"/>
          <w:sz w:val="24"/>
          <w:highlight w:val="none"/>
        </w:rPr>
      </w:pPr>
    </w:p>
    <w:p w14:paraId="59B55494">
      <w:pPr>
        <w:spacing w:line="360" w:lineRule="auto"/>
        <w:jc w:val="center"/>
        <w:rPr>
          <w:rFonts w:ascii="宋体" w:hAnsi="宋体" w:cs="宋体"/>
          <w:b/>
          <w:color w:val="auto"/>
          <w:sz w:val="28"/>
          <w:szCs w:val="28"/>
          <w:highlight w:val="none"/>
        </w:rPr>
      </w:pPr>
      <w:bookmarkStart w:id="504" w:name="_Toc32001"/>
      <w:r>
        <w:rPr>
          <w:rFonts w:hint="eastAsia" w:ascii="宋体" w:hAnsi="宋体" w:cs="宋体"/>
          <w:b/>
          <w:color w:val="auto"/>
          <w:sz w:val="28"/>
          <w:szCs w:val="28"/>
          <w:highlight w:val="none"/>
        </w:rPr>
        <w:t>目录</w:t>
      </w:r>
      <w:bookmarkEnd w:id="504"/>
    </w:p>
    <w:p w14:paraId="3F047611">
      <w:pPr>
        <w:snapToGrid w:val="0"/>
        <w:spacing w:line="360" w:lineRule="auto"/>
        <w:ind w:firstLine="480" w:firstLineChars="200"/>
        <w:jc w:val="distribute"/>
        <w:rPr>
          <w:rFonts w:ascii="仿宋" w:hAnsi="仿宋" w:eastAsia="仿宋" w:cs="仿宋"/>
          <w:color w:val="auto"/>
          <w:sz w:val="24"/>
          <w:highlight w:val="none"/>
        </w:rPr>
      </w:pPr>
      <w:r>
        <w:rPr>
          <w:rFonts w:hint="eastAsia" w:ascii="仿宋" w:hAnsi="仿宋" w:eastAsia="仿宋" w:cs="仿宋"/>
          <w:color w:val="auto"/>
          <w:sz w:val="24"/>
          <w:highlight w:val="none"/>
        </w:rPr>
        <w:t>（1）投标函……………………………………………………………………………（页码）</w:t>
      </w:r>
    </w:p>
    <w:p w14:paraId="4B2F8939">
      <w:pPr>
        <w:snapToGrid w:val="0"/>
        <w:spacing w:line="360" w:lineRule="auto"/>
        <w:ind w:firstLine="480" w:firstLineChars="200"/>
        <w:jc w:val="distribute"/>
        <w:rPr>
          <w:rFonts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EAFC195">
      <w:pPr>
        <w:snapToGrid w:val="0"/>
        <w:spacing w:line="360" w:lineRule="auto"/>
        <w:ind w:left="479" w:leftChars="228"/>
        <w:jc w:val="distribute"/>
        <w:rPr>
          <w:rFonts w:ascii="仿宋" w:hAnsi="仿宋" w:eastAsia="仿宋" w:cs="仿宋"/>
          <w:color w:val="auto"/>
          <w:highlight w:val="none"/>
        </w:rPr>
      </w:pPr>
      <w:r>
        <w:rPr>
          <w:rFonts w:hint="eastAsia" w:ascii="仿宋" w:hAnsi="仿宋" w:eastAsia="仿宋" w:cs="仿宋"/>
          <w:color w:val="auto"/>
          <w:sz w:val="24"/>
          <w:highlight w:val="none"/>
        </w:rPr>
        <w:t>（3）联合协议（如需）</w:t>
      </w:r>
      <w:r>
        <w:rPr>
          <w:rFonts w:hint="eastAsia" w:ascii="仿宋" w:hAnsi="仿宋" w:eastAsia="仿宋" w:cs="仿宋"/>
          <w:color w:val="auto"/>
          <w:highlight w:val="none"/>
        </w:rPr>
        <w:t>……………………………………………………………………（页码）</w:t>
      </w:r>
    </w:p>
    <w:p w14:paraId="168C52D0">
      <w:pPr>
        <w:snapToGrid w:val="0"/>
        <w:spacing w:line="360" w:lineRule="auto"/>
        <w:ind w:firstLine="480" w:firstLineChars="200"/>
        <w:jc w:val="distribute"/>
        <w:rPr>
          <w:rFonts w:ascii="仿宋" w:hAnsi="仿宋" w:eastAsia="仿宋" w:cs="仿宋"/>
          <w:color w:val="auto"/>
          <w:highlight w:val="none"/>
        </w:rPr>
      </w:pPr>
      <w:r>
        <w:rPr>
          <w:rFonts w:hint="eastAsia" w:ascii="仿宋" w:hAnsi="仿宋" w:eastAsia="仿宋" w:cs="仿宋"/>
          <w:color w:val="auto"/>
          <w:sz w:val="24"/>
          <w:highlight w:val="none"/>
        </w:rPr>
        <w:t>（4）分包意向协议（如需）</w:t>
      </w:r>
      <w:r>
        <w:rPr>
          <w:rFonts w:hint="eastAsia" w:ascii="仿宋" w:hAnsi="仿宋" w:eastAsia="仿宋" w:cs="仿宋"/>
          <w:color w:val="auto"/>
          <w:highlight w:val="none"/>
        </w:rPr>
        <w:t>………………………………………………………………（页码）</w:t>
      </w:r>
    </w:p>
    <w:p w14:paraId="3F164003">
      <w:pPr>
        <w:snapToGrid w:val="0"/>
        <w:spacing w:line="360" w:lineRule="auto"/>
        <w:ind w:firstLine="480" w:firstLineChars="200"/>
        <w:jc w:val="distribute"/>
        <w:rPr>
          <w:rFonts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14:paraId="6FC87E76">
      <w:pPr>
        <w:snapToGrid w:val="0"/>
        <w:spacing w:line="360" w:lineRule="auto"/>
        <w:ind w:left="479" w:leftChars="228"/>
        <w:jc w:val="distribute"/>
        <w:rPr>
          <w:rFonts w:ascii="仿宋" w:hAnsi="仿宋" w:eastAsia="仿宋" w:cs="仿宋"/>
          <w:color w:val="auto"/>
          <w:highlight w:val="none"/>
        </w:rPr>
      </w:pPr>
      <w:r>
        <w:rPr>
          <w:rFonts w:hint="eastAsia" w:ascii="仿宋" w:hAnsi="仿宋" w:eastAsia="仿宋" w:cs="仿宋"/>
          <w:color w:val="auto"/>
          <w:sz w:val="24"/>
          <w:highlight w:val="none"/>
        </w:rPr>
        <w:t>（6）评标标准相应的商务技术资料（如需）</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371E2CA1">
      <w:pPr>
        <w:snapToGrid w:val="0"/>
        <w:spacing w:line="360" w:lineRule="auto"/>
        <w:ind w:left="479" w:leftChars="228"/>
        <w:jc w:val="distribute"/>
        <w:rPr>
          <w:rFonts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133BC2BE">
      <w:pPr>
        <w:snapToGrid w:val="0"/>
        <w:spacing w:line="360" w:lineRule="auto"/>
        <w:ind w:left="479" w:leftChars="228"/>
        <w:jc w:val="distribute"/>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554DAAA">
      <w:pPr>
        <w:snapToGrid w:val="0"/>
        <w:spacing w:line="360" w:lineRule="auto"/>
        <w:jc w:val="distribute"/>
        <w:rPr>
          <w:rFonts w:ascii="宋体" w:hAnsi="宋体" w:cs="宋体"/>
          <w:b/>
          <w:color w:val="auto"/>
          <w:sz w:val="32"/>
          <w:szCs w:val="32"/>
          <w:highlight w:val="none"/>
          <w:lang w:val="zh-CN"/>
        </w:rPr>
      </w:pPr>
    </w:p>
    <w:p w14:paraId="0A0BAF66">
      <w:pPr>
        <w:snapToGrid w:val="0"/>
        <w:spacing w:line="360" w:lineRule="auto"/>
        <w:jc w:val="center"/>
        <w:rPr>
          <w:rFonts w:ascii="宋体" w:hAnsi="宋体" w:cs="宋体"/>
          <w:b/>
          <w:color w:val="auto"/>
          <w:sz w:val="32"/>
          <w:szCs w:val="32"/>
          <w:highlight w:val="none"/>
        </w:rPr>
      </w:pPr>
    </w:p>
    <w:p w14:paraId="7CFC3D12">
      <w:pPr>
        <w:rPr>
          <w:rFonts w:ascii="宋体" w:hAnsi="宋体" w:cs="宋体"/>
          <w:b/>
          <w:color w:val="auto"/>
          <w:sz w:val="32"/>
          <w:szCs w:val="32"/>
          <w:highlight w:val="none"/>
        </w:rPr>
      </w:pPr>
      <w:bookmarkStart w:id="505" w:name="_Toc22285"/>
      <w:r>
        <w:rPr>
          <w:rFonts w:hint="eastAsia" w:ascii="宋体" w:hAnsi="宋体" w:cs="宋体"/>
          <w:b/>
          <w:color w:val="auto"/>
          <w:sz w:val="32"/>
          <w:szCs w:val="32"/>
          <w:highlight w:val="none"/>
        </w:rPr>
        <w:br w:type="page"/>
      </w:r>
    </w:p>
    <w:p w14:paraId="1437F832">
      <w:pPr>
        <w:numPr>
          <w:ilvl w:val="0"/>
          <w:numId w:val="7"/>
        </w:numPr>
        <w:snapToGrid w:val="0"/>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投标函</w:t>
      </w:r>
      <w:bookmarkEnd w:id="505"/>
    </w:p>
    <w:p w14:paraId="01F73AA3">
      <w:pPr>
        <w:rPr>
          <w:rFonts w:ascii="仿宋" w:hAnsi="仿宋" w:eastAsia="仿宋" w:cs="仿宋"/>
          <w:color w:val="auto"/>
          <w:sz w:val="24"/>
          <w:highlight w:val="none"/>
        </w:rPr>
      </w:pPr>
      <w:r>
        <w:rPr>
          <w:rFonts w:hint="eastAsia" w:ascii="仿宋" w:hAnsi="仿宋" w:eastAsia="仿宋" w:cs="仿宋"/>
          <w:color w:val="auto"/>
          <w:highlight w:val="none"/>
        </w:rPr>
        <w:t>致：</w:t>
      </w:r>
      <w:r>
        <w:rPr>
          <w:rFonts w:hint="eastAsia" w:ascii="仿宋" w:hAnsi="仿宋" w:eastAsia="仿宋" w:cs="仿宋"/>
          <w:color w:val="auto"/>
          <w:sz w:val="24"/>
          <w:highlight w:val="none"/>
          <w:lang w:eastAsia="zh-CN"/>
        </w:rPr>
        <w:t>诸暨市东和乡人民政府</w:t>
      </w:r>
      <w:r>
        <w:rPr>
          <w:rFonts w:hint="eastAsia" w:ascii="仿宋" w:hAnsi="仿宋" w:eastAsia="仿宋" w:cs="仿宋"/>
          <w:color w:val="auto"/>
          <w:sz w:val="24"/>
          <w:highlight w:val="none"/>
        </w:rPr>
        <w:t>：</w:t>
      </w:r>
    </w:p>
    <w:p w14:paraId="33965C61">
      <w:pPr>
        <w:autoSpaceDE/>
        <w:autoSpaceDN/>
        <w:snapToGrid w:val="0"/>
        <w:spacing w:line="36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绍兴盈伽工程咨询有限公司</w:t>
      </w:r>
      <w:r>
        <w:rPr>
          <w:rFonts w:hint="eastAsia" w:ascii="仿宋" w:hAnsi="仿宋" w:eastAsia="仿宋" w:cs="仿宋"/>
          <w:color w:val="auto"/>
          <w:sz w:val="24"/>
          <w:highlight w:val="none"/>
        </w:rPr>
        <w:t>：</w:t>
      </w:r>
    </w:p>
    <w:p w14:paraId="6FC4BD12">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）招标的有关活动，并对此项目进行投标。为此：</w:t>
      </w:r>
    </w:p>
    <w:p w14:paraId="44B64E83">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66F5778">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1B33AB07">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0D1997CD">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2.1.1符合参加政府采购活动应当具备的一般条件的证明文件；</w:t>
      </w:r>
    </w:p>
    <w:p w14:paraId="4066F4FD">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14:paraId="42DC65E9">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14:paraId="091355CA">
      <w:pPr>
        <w:autoSpaceDE/>
        <w:autoSpaceDN/>
        <w:snapToGrid w:val="0"/>
        <w:spacing w:line="3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CE83C25">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7068A3A0">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12BEE79">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2.2.3联合协议（如果有，格式按附件3）；</w:t>
      </w:r>
    </w:p>
    <w:p w14:paraId="403B0C08">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2.2.4分包意向协议（如果有，格式按附件4）；</w:t>
      </w:r>
    </w:p>
    <w:p w14:paraId="7EF04C9B">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14:paraId="553289DA">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14:paraId="5169D0E9">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CEA2A16">
      <w:pPr>
        <w:autoSpaceDE/>
        <w:autoSpaceDN/>
        <w:snapToGrid w:val="0"/>
        <w:spacing w:line="3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56664B4">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044CB35">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38E2F61">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66BD7566">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6FC46F5E">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E4907F0">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6B58A13">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1ADE15E">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9232961">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66A473F8">
      <w:pPr>
        <w:autoSpaceDE/>
        <w:autoSpaceDN/>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F82E855">
      <w:pPr>
        <w:spacing w:line="360" w:lineRule="auto"/>
        <w:ind w:firstLine="3600" w:firstLineChars="1500"/>
        <w:rPr>
          <w:rFonts w:ascii="仿宋" w:hAnsi="仿宋" w:eastAsia="仿宋" w:cs="仿宋"/>
          <w:color w:val="auto"/>
          <w:sz w:val="24"/>
          <w:highlight w:val="none"/>
        </w:rPr>
      </w:pPr>
    </w:p>
    <w:p w14:paraId="0BAEF696">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4ADCC7D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C56054C">
      <w:pPr>
        <w:snapToGrid w:val="0"/>
        <w:spacing w:line="360" w:lineRule="auto"/>
        <w:ind w:left="420" w:leftChars="200" w:firstLine="4200" w:firstLineChars="1750"/>
        <w:rPr>
          <w:rFonts w:ascii="宋体" w:hAnsi="宋体" w:cs="宋体"/>
          <w:color w:val="auto"/>
          <w:sz w:val="24"/>
          <w:highlight w:val="none"/>
          <w:u w:val="single"/>
          <w:lang w:val="zh-CN"/>
        </w:rPr>
      </w:pPr>
    </w:p>
    <w:p w14:paraId="15AC00DA">
      <w:pP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br w:type="page"/>
      </w:r>
    </w:p>
    <w:p w14:paraId="4FD8D0C0">
      <w:pPr>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t>二、授权委托书或法定代表人（单位负责人、自然人本人）身份证明</w:t>
      </w:r>
    </w:p>
    <w:p w14:paraId="4846D3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0B02555">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sz w:val="32"/>
          <w:szCs w:val="32"/>
          <w:highlight w:val="none"/>
          <w:lang w:val="zh-CN"/>
        </w:rPr>
        <w:t>授权委托书（适用于非联合体投标）</w:t>
      </w:r>
      <w:r>
        <w:rPr>
          <w:rFonts w:hint="eastAsia" w:ascii="仿宋" w:hAnsi="仿宋" w:eastAsia="仿宋" w:cs="仿宋"/>
          <w:color w:val="auto"/>
          <w:highlight w:val="none"/>
        </w:rPr>
        <w:t xml:space="preserve">                               </w:t>
      </w:r>
    </w:p>
    <w:p w14:paraId="5862F67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诸暨市东和乡人民政府</w:t>
      </w:r>
      <w:r>
        <w:rPr>
          <w:rFonts w:hint="eastAsia" w:ascii="仿宋" w:hAnsi="仿宋" w:eastAsia="仿宋" w:cs="仿宋"/>
          <w:color w:val="auto"/>
          <w:sz w:val="24"/>
          <w:highlight w:val="none"/>
        </w:rPr>
        <w:t>：</w:t>
      </w:r>
    </w:p>
    <w:p w14:paraId="57D99EA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绍兴盈伽工程咨询有限公司</w:t>
      </w:r>
      <w:r>
        <w:rPr>
          <w:rFonts w:hint="eastAsia" w:ascii="仿宋" w:hAnsi="仿宋" w:eastAsia="仿宋" w:cs="仿宋"/>
          <w:color w:val="auto"/>
          <w:sz w:val="24"/>
          <w:highlight w:val="none"/>
        </w:rPr>
        <w:t>：</w:t>
      </w:r>
    </w:p>
    <w:p w14:paraId="7DF5BB2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现</w:t>
      </w:r>
      <w:r>
        <w:rPr>
          <w:rFonts w:hint="eastAsia" w:ascii="仿宋" w:hAnsi="仿宋" w:eastAsia="仿宋" w:cs="仿宋"/>
          <w:color w:val="auto"/>
          <w:sz w:val="24"/>
          <w:highlight w:val="none"/>
          <w:lang w:val="zh-CN"/>
        </w:rPr>
        <w:t>委托</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（姓名）为我方代理人（身份证号码：</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，手机：</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），以我方名义处理</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政府采购投标的一切事项，其法律后果由我方承担。</w:t>
      </w:r>
    </w:p>
    <w:p w14:paraId="6BE3415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委托期限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自</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日起至</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日止。</w:t>
      </w:r>
    </w:p>
    <w:p w14:paraId="711668A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特此告知。</w:t>
      </w:r>
    </w:p>
    <w:p w14:paraId="2F7834C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                                                 投标人名称(电子签名)：</w:t>
      </w:r>
    </w:p>
    <w:p w14:paraId="1220B581">
      <w:pPr>
        <w:snapToGrid w:val="0"/>
        <w:spacing w:line="360" w:lineRule="auto"/>
        <w:rPr>
          <w:rFonts w:ascii="宋体" w:hAnsi="宋体" w:cs="宋体"/>
          <w:color w:val="auto"/>
          <w:sz w:val="24"/>
          <w:highlight w:val="none"/>
          <w:lang w:val="zh-CN"/>
        </w:rPr>
      </w:pPr>
      <w:r>
        <w:rPr>
          <w:rFonts w:hint="eastAsia" w:ascii="仿宋" w:hAnsi="仿宋" w:eastAsia="仿宋" w:cs="仿宋"/>
          <w:color w:val="auto"/>
          <w:sz w:val="24"/>
          <w:highlight w:val="none"/>
          <w:lang w:val="zh-CN"/>
        </w:rPr>
        <w:t xml:space="preserve">                                                 签发日期：  年  月   </w:t>
      </w:r>
      <w:r>
        <w:rPr>
          <w:rFonts w:hint="eastAsia" w:ascii="宋体" w:hAnsi="宋体" w:cs="宋体"/>
          <w:color w:val="auto"/>
          <w:sz w:val="24"/>
          <w:highlight w:val="none"/>
          <w:lang w:val="zh-CN"/>
        </w:rPr>
        <w:t>日</w:t>
      </w:r>
    </w:p>
    <w:p w14:paraId="7279022B">
      <w:pPr>
        <w:snapToGrid w:val="0"/>
        <w:spacing w:line="360" w:lineRule="auto"/>
        <w:rPr>
          <w:rFonts w:ascii="宋体" w:hAnsi="宋体" w:cs="宋体"/>
          <w:color w:val="auto"/>
          <w:sz w:val="24"/>
          <w:highlight w:val="none"/>
        </w:rPr>
      </w:pPr>
    </w:p>
    <w:p w14:paraId="42ABBC69">
      <w:pPr>
        <w:snapToGrid w:val="0"/>
        <w:spacing w:line="360" w:lineRule="auto"/>
        <w:rPr>
          <w:rFonts w:ascii="宋体" w:hAnsi="宋体" w:cs="宋体"/>
          <w:color w:val="auto"/>
          <w:sz w:val="24"/>
          <w:highlight w:val="none"/>
        </w:rPr>
      </w:pPr>
    </w:p>
    <w:p w14:paraId="03D98737">
      <w:pPr>
        <w:snapToGrid w:val="0"/>
        <w:spacing w:line="360" w:lineRule="auto"/>
        <w:rPr>
          <w:rFonts w:ascii="宋体" w:hAnsi="宋体" w:cs="宋体"/>
          <w:color w:val="auto"/>
          <w:sz w:val="24"/>
          <w:highlight w:val="none"/>
        </w:rPr>
      </w:pPr>
    </w:p>
    <w:p w14:paraId="6EA9E557">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zh-CN"/>
        </w:rPr>
        <w:t xml:space="preserve">      </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lang w:val="zh-CN"/>
        </w:rPr>
        <w:t>授权委托书（适用于联合体投标）</w:t>
      </w:r>
    </w:p>
    <w:p w14:paraId="2998B87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诸暨市东和乡人民政府</w:t>
      </w:r>
      <w:r>
        <w:rPr>
          <w:rFonts w:hint="eastAsia" w:ascii="仿宋" w:hAnsi="仿宋" w:eastAsia="仿宋" w:cs="仿宋"/>
          <w:color w:val="auto"/>
          <w:sz w:val="24"/>
          <w:highlight w:val="none"/>
        </w:rPr>
        <w:t>：</w:t>
      </w:r>
    </w:p>
    <w:p w14:paraId="64FBCA7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绍兴盈伽工程咨询有限公司</w:t>
      </w:r>
      <w:r>
        <w:rPr>
          <w:rFonts w:hint="eastAsia" w:ascii="仿宋" w:hAnsi="仿宋" w:eastAsia="仿宋" w:cs="仿宋"/>
          <w:color w:val="auto"/>
          <w:sz w:val="24"/>
          <w:highlight w:val="none"/>
        </w:rPr>
        <w:t>：</w:t>
      </w:r>
    </w:p>
    <w:p w14:paraId="0785D46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现</w:t>
      </w:r>
      <w:r>
        <w:rPr>
          <w:rFonts w:hint="eastAsia" w:ascii="仿宋" w:hAnsi="仿宋" w:eastAsia="仿宋" w:cs="仿宋"/>
          <w:color w:val="auto"/>
          <w:sz w:val="24"/>
          <w:highlight w:val="none"/>
          <w:lang w:val="zh-CN"/>
        </w:rPr>
        <w:t>委托</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（姓名）为我方代理人（身份证号码：</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，手机：</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），以我方名义处理</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政府采购投标的一切事项，其法律后果由我方承担。</w:t>
      </w:r>
    </w:p>
    <w:p w14:paraId="280AAB4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委托期限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自</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日起至</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日止。</w:t>
      </w:r>
    </w:p>
    <w:p w14:paraId="0E90AEA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特此告知。</w:t>
      </w:r>
    </w:p>
    <w:p w14:paraId="019AAC5C">
      <w:pPr>
        <w:jc w:val="center"/>
        <w:rPr>
          <w:rFonts w:ascii="仿宋" w:hAnsi="仿宋" w:eastAsia="仿宋" w:cs="仿宋"/>
          <w:b/>
          <w:color w:val="auto"/>
          <w:sz w:val="32"/>
          <w:szCs w:val="32"/>
          <w:highlight w:val="none"/>
        </w:rPr>
      </w:pPr>
    </w:p>
    <w:p w14:paraId="58A9AF32">
      <w:pPr>
        <w:rPr>
          <w:rFonts w:ascii="仿宋" w:hAnsi="仿宋" w:eastAsia="仿宋" w:cs="仿宋"/>
          <w:color w:val="auto"/>
          <w:highlight w:val="none"/>
        </w:rPr>
      </w:pPr>
    </w:p>
    <w:p w14:paraId="22EDAB29">
      <w:pPr>
        <w:snapToGrid w:val="0"/>
        <w:spacing w:line="360" w:lineRule="auto"/>
        <w:ind w:firstLine="5040" w:firstLineChars="21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联合体成员名称(电子签名/公章)：</w:t>
      </w:r>
    </w:p>
    <w:p w14:paraId="1009FD35">
      <w:pPr>
        <w:snapToGrid w:val="0"/>
        <w:spacing w:line="360" w:lineRule="auto"/>
        <w:ind w:firstLine="5040" w:firstLineChars="21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联合体成员名称(电子签名/公章)：</w:t>
      </w:r>
    </w:p>
    <w:p w14:paraId="71643DE1">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sz w:val="24"/>
          <w:highlight w:val="none"/>
          <w:lang w:val="zh-CN"/>
        </w:rPr>
        <w:t>……</w:t>
      </w:r>
    </w:p>
    <w:p w14:paraId="1E20927E">
      <w:p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                                               </w:t>
      </w:r>
      <w:r>
        <w:rPr>
          <w:rFonts w:hint="eastAsia" w:ascii="仿宋" w:hAnsi="仿宋" w:eastAsia="仿宋" w:cs="仿宋"/>
          <w:color w:val="auto"/>
          <w:sz w:val="24"/>
          <w:highlight w:val="none"/>
          <w:lang w:val="zh-CN"/>
        </w:rPr>
        <w:t>日期：  年  月   日</w:t>
      </w:r>
    </w:p>
    <w:p w14:paraId="1C736641">
      <w:pPr>
        <w:spacing w:line="420" w:lineRule="exact"/>
        <w:jc w:val="center"/>
        <w:rPr>
          <w:rFonts w:ascii="宋体" w:hAnsi="宋体" w:cs="宋体"/>
          <w:b/>
          <w:color w:val="auto"/>
          <w:sz w:val="32"/>
          <w:szCs w:val="32"/>
          <w:highlight w:val="none"/>
          <w:lang w:val="zh-CN"/>
        </w:rPr>
      </w:pPr>
    </w:p>
    <w:p w14:paraId="3B3174C5">
      <w:pPr>
        <w:spacing w:line="420" w:lineRule="exact"/>
        <w:jc w:val="center"/>
        <w:rPr>
          <w:rFonts w:ascii="宋体" w:hAnsi="宋体" w:cs="宋体"/>
          <w:b/>
          <w:color w:val="auto"/>
          <w:sz w:val="32"/>
          <w:szCs w:val="32"/>
          <w:highlight w:val="none"/>
          <w:lang w:val="zh-CN"/>
        </w:rPr>
      </w:pPr>
    </w:p>
    <w:p w14:paraId="3BFC4842">
      <w:pPr>
        <w:spacing w:line="420" w:lineRule="exact"/>
        <w:jc w:val="center"/>
        <w:rPr>
          <w:rFonts w:ascii="宋体" w:hAnsi="宋体" w:cs="宋体"/>
          <w:b/>
          <w:color w:val="auto"/>
          <w:sz w:val="24"/>
          <w:highlight w:val="none"/>
        </w:rPr>
      </w:pPr>
      <w:r>
        <w:rPr>
          <w:rFonts w:hint="eastAsia" w:ascii="宋体" w:hAnsi="宋体" w:cs="宋体"/>
          <w:b/>
          <w:color w:val="auto"/>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48AEE18">
      <w:pPr>
        <w:pStyle w:val="32"/>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DD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1E2645">
            <w:pPr>
              <w:pStyle w:val="32"/>
              <w:adjustRightInd w:val="0"/>
              <w:spacing w:line="360" w:lineRule="auto"/>
              <w:rPr>
                <w:rFonts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正面：                                 反面：</w:t>
            </w:r>
          </w:p>
          <w:p w14:paraId="0B54D98B">
            <w:pPr>
              <w:pStyle w:val="32"/>
              <w:adjustRightInd w:val="0"/>
              <w:spacing w:line="360" w:lineRule="auto"/>
              <w:rPr>
                <w:rFonts w:ascii="仿宋" w:hAnsi="仿宋" w:eastAsia="仿宋" w:cs="仿宋"/>
                <w:bCs/>
                <w:color w:val="auto"/>
                <w:sz w:val="24"/>
                <w:szCs w:val="21"/>
                <w:highlight w:val="none"/>
              </w:rPr>
            </w:pPr>
          </w:p>
        </w:tc>
      </w:tr>
    </w:tbl>
    <w:p w14:paraId="015C36D0">
      <w:pPr>
        <w:snapToGrid w:val="0"/>
        <w:spacing w:line="360" w:lineRule="auto"/>
        <w:ind w:firstLine="576"/>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w:t>
      </w:r>
    </w:p>
    <w:p w14:paraId="26CCA5E7">
      <w:pPr>
        <w:snapToGrid w:val="0"/>
        <w:spacing w:line="360" w:lineRule="auto"/>
        <w:ind w:firstLine="576"/>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投标人名称(电子签名)：                              </w:t>
      </w:r>
    </w:p>
    <w:p w14:paraId="41A493EF">
      <w:pPr>
        <w:spacing w:line="360" w:lineRule="auto"/>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日期：  年  月  日</w:t>
      </w:r>
    </w:p>
    <w:p w14:paraId="40DD0B01">
      <w:pPr>
        <w:jc w:val="center"/>
        <w:rPr>
          <w:rFonts w:ascii="宋体" w:hAnsi="宋体" w:cs="宋体"/>
          <w:b/>
          <w:color w:val="auto"/>
          <w:sz w:val="32"/>
          <w:szCs w:val="32"/>
          <w:highlight w:val="none"/>
        </w:rPr>
      </w:pPr>
    </w:p>
    <w:p w14:paraId="304B0A41">
      <w:pPr>
        <w:jc w:val="center"/>
        <w:rPr>
          <w:rFonts w:ascii="宋体" w:hAnsi="宋体" w:cs="宋体"/>
          <w:b/>
          <w:color w:val="auto"/>
          <w:sz w:val="32"/>
          <w:szCs w:val="32"/>
          <w:highlight w:val="none"/>
        </w:rPr>
      </w:pPr>
    </w:p>
    <w:p w14:paraId="38119961">
      <w:pPr>
        <w:jc w:val="center"/>
        <w:rPr>
          <w:rFonts w:ascii="宋体" w:hAnsi="宋体" w:cs="宋体"/>
          <w:b/>
          <w:color w:val="auto"/>
          <w:sz w:val="32"/>
          <w:szCs w:val="32"/>
          <w:highlight w:val="none"/>
        </w:rPr>
      </w:pPr>
    </w:p>
    <w:p w14:paraId="434C133F">
      <w:pPr>
        <w:jc w:val="center"/>
        <w:rPr>
          <w:rFonts w:ascii="宋体" w:hAnsi="宋体" w:cs="宋体"/>
          <w:b/>
          <w:color w:val="auto"/>
          <w:sz w:val="32"/>
          <w:szCs w:val="32"/>
          <w:highlight w:val="none"/>
        </w:rPr>
      </w:pPr>
    </w:p>
    <w:p w14:paraId="270CEB06">
      <w:pPr>
        <w:jc w:val="center"/>
        <w:rPr>
          <w:rFonts w:ascii="宋体" w:hAnsi="宋体" w:cs="宋体"/>
          <w:b/>
          <w:color w:val="auto"/>
          <w:sz w:val="32"/>
          <w:szCs w:val="32"/>
          <w:highlight w:val="none"/>
        </w:rPr>
      </w:pPr>
    </w:p>
    <w:p w14:paraId="6A987EBD">
      <w:pPr>
        <w:jc w:val="center"/>
        <w:rPr>
          <w:rFonts w:ascii="宋体" w:hAnsi="宋体" w:cs="宋体"/>
          <w:b/>
          <w:color w:val="auto"/>
          <w:sz w:val="32"/>
          <w:szCs w:val="32"/>
          <w:highlight w:val="none"/>
        </w:rPr>
      </w:pPr>
    </w:p>
    <w:p w14:paraId="2BA27962">
      <w:pPr>
        <w:jc w:val="center"/>
        <w:rPr>
          <w:rFonts w:ascii="宋体" w:hAnsi="宋体" w:cs="宋体"/>
          <w:b/>
          <w:color w:val="auto"/>
          <w:sz w:val="32"/>
          <w:szCs w:val="32"/>
          <w:highlight w:val="none"/>
        </w:rPr>
      </w:pPr>
    </w:p>
    <w:p w14:paraId="3BC4ADDD">
      <w:pPr>
        <w:tabs>
          <w:tab w:val="left" w:pos="432"/>
        </w:tabs>
        <w:rPr>
          <w:rFonts w:ascii="宋体" w:hAnsi="宋体" w:cs="宋体"/>
          <w:color w:val="auto"/>
          <w:highlight w:val="none"/>
        </w:rPr>
      </w:pPr>
    </w:p>
    <w:p w14:paraId="59366E4A">
      <w:pPr>
        <w:rPr>
          <w:rFonts w:ascii="宋体" w:hAnsi="宋体" w:cs="宋体"/>
          <w:b/>
          <w:color w:val="auto"/>
          <w:sz w:val="32"/>
          <w:szCs w:val="32"/>
          <w:highlight w:val="none"/>
        </w:rPr>
      </w:pPr>
    </w:p>
    <w:p w14:paraId="3C622FF1">
      <w:pPr>
        <w:jc w:val="center"/>
        <w:rPr>
          <w:rFonts w:ascii="宋体" w:hAnsi="宋体" w:cs="宋体"/>
          <w:b/>
          <w:color w:val="auto"/>
          <w:sz w:val="32"/>
          <w:szCs w:val="32"/>
          <w:highlight w:val="none"/>
        </w:rPr>
      </w:pPr>
    </w:p>
    <w:p w14:paraId="1448DCFF">
      <w:pPr>
        <w:jc w:val="center"/>
        <w:rPr>
          <w:rFonts w:ascii="宋体" w:hAnsi="宋体" w:cs="宋体"/>
          <w:b/>
          <w:color w:val="auto"/>
          <w:sz w:val="32"/>
          <w:szCs w:val="32"/>
          <w:highlight w:val="none"/>
        </w:rPr>
      </w:pPr>
    </w:p>
    <w:p w14:paraId="2B65C361">
      <w:pPr>
        <w:jc w:val="center"/>
        <w:rPr>
          <w:rFonts w:ascii="宋体" w:hAnsi="宋体" w:cs="宋体"/>
          <w:b/>
          <w:color w:val="auto"/>
          <w:sz w:val="32"/>
          <w:szCs w:val="32"/>
          <w:highlight w:val="none"/>
        </w:rPr>
      </w:pPr>
    </w:p>
    <w:p w14:paraId="04E28E26">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1D517E4A">
      <w:pPr>
        <w:autoSpaceDE/>
        <w:autoSpaceDN/>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三、符合性审查资料</w:t>
      </w:r>
    </w:p>
    <w:p w14:paraId="0BF2B836">
      <w:pPr>
        <w:autoSpaceDE/>
        <w:autoSpaceDN/>
        <w:spacing w:line="420" w:lineRule="exact"/>
        <w:jc w:val="center"/>
        <w:rPr>
          <w:rFonts w:ascii="宋体" w:hAnsi="宋体" w:cs="宋体"/>
          <w:b/>
          <w:color w:val="auto"/>
          <w:sz w:val="32"/>
          <w:szCs w:val="32"/>
          <w:highlight w:val="none"/>
        </w:rPr>
      </w:pPr>
    </w:p>
    <w:tbl>
      <w:tblPr>
        <w:tblStyle w:val="14"/>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4664"/>
        <w:gridCol w:w="3225"/>
        <w:gridCol w:w="736"/>
      </w:tblGrid>
      <w:tr w14:paraId="77E2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84" w:type="dxa"/>
            <w:vAlign w:val="center"/>
          </w:tcPr>
          <w:p w14:paraId="6FAC1029">
            <w:pPr>
              <w:autoSpaceDE/>
              <w:autoSpaceDN/>
              <w:snapToGrid w:val="0"/>
              <w:spacing w:line="42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664" w:type="dxa"/>
            <w:vAlign w:val="center"/>
          </w:tcPr>
          <w:p w14:paraId="0ED3FD3C">
            <w:pPr>
              <w:autoSpaceDE/>
              <w:autoSpaceDN/>
              <w:snapToGrid w:val="0"/>
              <w:spacing w:line="42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225" w:type="dxa"/>
            <w:vAlign w:val="center"/>
          </w:tcPr>
          <w:p w14:paraId="3C1F591E">
            <w:pPr>
              <w:autoSpaceDE/>
              <w:autoSpaceDN/>
              <w:snapToGrid w:val="0"/>
              <w:spacing w:line="42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736" w:type="dxa"/>
            <w:vAlign w:val="center"/>
          </w:tcPr>
          <w:p w14:paraId="09BBC9A5">
            <w:pPr>
              <w:autoSpaceDE/>
              <w:autoSpaceDN/>
              <w:snapToGrid w:val="0"/>
              <w:spacing w:line="42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w:t>
            </w:r>
          </w:p>
        </w:tc>
      </w:tr>
      <w:tr w14:paraId="6B57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4D7DAA1D">
            <w:pPr>
              <w:autoSpaceDE/>
              <w:autoSpaceDN/>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664" w:type="dxa"/>
          </w:tcPr>
          <w:p w14:paraId="72E5B89C">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225" w:type="dxa"/>
            <w:vAlign w:val="center"/>
          </w:tcPr>
          <w:p w14:paraId="3DEA1C3B">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736" w:type="dxa"/>
            <w:vAlign w:val="center"/>
          </w:tcPr>
          <w:p w14:paraId="2138F493">
            <w:pPr>
              <w:autoSpaceDE/>
              <w:autoSpaceDN/>
              <w:spacing w:line="420" w:lineRule="exact"/>
              <w:rPr>
                <w:rFonts w:ascii="仿宋" w:hAnsi="仿宋" w:eastAsia="仿宋" w:cs="仿宋"/>
                <w:color w:val="auto"/>
                <w:sz w:val="24"/>
                <w:highlight w:val="none"/>
              </w:rPr>
            </w:pPr>
          </w:p>
        </w:tc>
      </w:tr>
      <w:tr w14:paraId="251B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63579991">
            <w:pPr>
              <w:autoSpaceDE/>
              <w:autoSpaceDN/>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664" w:type="dxa"/>
          </w:tcPr>
          <w:p w14:paraId="6381CF3F">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225" w:type="dxa"/>
            <w:vAlign w:val="center"/>
          </w:tcPr>
          <w:p w14:paraId="593AD092">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736" w:type="dxa"/>
            <w:vAlign w:val="center"/>
          </w:tcPr>
          <w:p w14:paraId="1C1F3F23">
            <w:pPr>
              <w:autoSpaceDE/>
              <w:autoSpaceDN/>
              <w:spacing w:line="420" w:lineRule="exact"/>
              <w:rPr>
                <w:rFonts w:ascii="仿宋" w:hAnsi="仿宋" w:eastAsia="仿宋" w:cs="仿宋"/>
                <w:color w:val="auto"/>
                <w:sz w:val="24"/>
                <w:highlight w:val="none"/>
              </w:rPr>
            </w:pPr>
          </w:p>
        </w:tc>
      </w:tr>
      <w:tr w14:paraId="3ACE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50BFB3D0">
            <w:pPr>
              <w:autoSpaceDE/>
              <w:autoSpaceDN/>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664" w:type="dxa"/>
          </w:tcPr>
          <w:p w14:paraId="6074B035">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225" w:type="dxa"/>
            <w:vAlign w:val="center"/>
          </w:tcPr>
          <w:p w14:paraId="5878A827">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736" w:type="dxa"/>
            <w:vAlign w:val="center"/>
          </w:tcPr>
          <w:p w14:paraId="702904CF">
            <w:pPr>
              <w:autoSpaceDE/>
              <w:autoSpaceDN/>
              <w:spacing w:line="420" w:lineRule="exact"/>
              <w:rPr>
                <w:rFonts w:ascii="仿宋" w:hAnsi="仿宋" w:eastAsia="仿宋" w:cs="仿宋"/>
                <w:color w:val="auto"/>
                <w:sz w:val="24"/>
                <w:highlight w:val="none"/>
              </w:rPr>
            </w:pPr>
          </w:p>
        </w:tc>
      </w:tr>
      <w:tr w14:paraId="7D76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24320867">
            <w:pPr>
              <w:autoSpaceDE/>
              <w:autoSpaceDN/>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664" w:type="dxa"/>
          </w:tcPr>
          <w:p w14:paraId="75B94702">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225" w:type="dxa"/>
            <w:vAlign w:val="center"/>
          </w:tcPr>
          <w:p w14:paraId="22B5869B">
            <w:pPr>
              <w:autoSpaceDE/>
              <w:autoSpaceDN/>
              <w:spacing w:line="420" w:lineRule="exact"/>
              <w:rPr>
                <w:rFonts w:ascii="仿宋" w:hAnsi="仿宋" w:eastAsia="仿宋" w:cs="仿宋"/>
                <w:color w:val="auto"/>
                <w:sz w:val="24"/>
                <w:highlight w:val="none"/>
              </w:rPr>
            </w:pPr>
            <w:r>
              <w:rPr>
                <w:rFonts w:hint="eastAsia" w:ascii="仿宋" w:hAnsi="仿宋" w:eastAsia="仿宋" w:cs="仿宋"/>
                <w:color w:val="auto"/>
                <w:sz w:val="24"/>
                <w:highlight w:val="none"/>
              </w:rPr>
              <w:t>招标文件其它实质性要求相应的材料（“★” 系指实质性要求条款，招标文件无其它实质性要求的，无需提供）</w:t>
            </w:r>
          </w:p>
        </w:tc>
        <w:tc>
          <w:tcPr>
            <w:tcW w:w="736" w:type="dxa"/>
            <w:vAlign w:val="center"/>
          </w:tcPr>
          <w:p w14:paraId="4EA3B296">
            <w:pPr>
              <w:autoSpaceDE/>
              <w:autoSpaceDN/>
              <w:spacing w:line="420" w:lineRule="exact"/>
              <w:rPr>
                <w:rFonts w:ascii="仿宋" w:hAnsi="仿宋" w:eastAsia="仿宋" w:cs="仿宋"/>
                <w:color w:val="auto"/>
                <w:sz w:val="24"/>
                <w:highlight w:val="none"/>
              </w:rPr>
            </w:pPr>
          </w:p>
        </w:tc>
      </w:tr>
    </w:tbl>
    <w:p w14:paraId="018C2196">
      <w:pPr>
        <w:rPr>
          <w:rFonts w:ascii="宋体" w:hAnsi="宋体" w:cs="宋体"/>
          <w:b/>
          <w:color w:val="auto"/>
          <w:sz w:val="32"/>
          <w:szCs w:val="32"/>
          <w:highlight w:val="none"/>
        </w:rPr>
      </w:pPr>
    </w:p>
    <w:p w14:paraId="57A59BF2">
      <w:pPr>
        <w:jc w:val="center"/>
        <w:rPr>
          <w:rFonts w:ascii="宋体" w:hAnsi="宋体" w:cs="宋体"/>
          <w:color w:val="auto"/>
          <w:highlight w:val="none"/>
        </w:rPr>
      </w:pPr>
      <w:r>
        <w:rPr>
          <w:rFonts w:hint="eastAsia" w:ascii="宋体" w:hAnsi="宋体" w:cs="宋体"/>
          <w:b/>
          <w:color w:val="auto"/>
          <w:sz w:val="32"/>
          <w:szCs w:val="32"/>
          <w:highlight w:val="none"/>
        </w:rPr>
        <w:t>四、评标标准相应的商务技术资料</w:t>
      </w:r>
    </w:p>
    <w:p w14:paraId="57017A43">
      <w:pPr>
        <w:snapToGrid w:val="0"/>
        <w:spacing w:line="360" w:lineRule="auto"/>
        <w:jc w:val="left"/>
        <w:rPr>
          <w:rFonts w:ascii="宋体" w:hAnsi="宋体" w:cs="宋体"/>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r>
        <w:rPr>
          <w:rFonts w:hint="eastAsia" w:ascii="宋体" w:hAnsi="宋体" w:cs="宋体"/>
          <w:b/>
          <w:color w:val="auto"/>
          <w:sz w:val="24"/>
          <w:highlight w:val="none"/>
        </w:rPr>
        <w:t>）</w:t>
      </w:r>
    </w:p>
    <w:p w14:paraId="73CDBB75">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五、商务技术偏离表</w:t>
      </w:r>
    </w:p>
    <w:tbl>
      <w:tblPr>
        <w:tblStyle w:val="14"/>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60"/>
        <w:gridCol w:w="2762"/>
        <w:gridCol w:w="1557"/>
      </w:tblGrid>
      <w:tr w14:paraId="74F9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14:paraId="2F2E9D27">
            <w:pPr>
              <w:pStyle w:val="8"/>
              <w:spacing w:line="36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内容</w:t>
            </w:r>
          </w:p>
        </w:tc>
        <w:tc>
          <w:tcPr>
            <w:tcW w:w="2960" w:type="dxa"/>
            <w:vAlign w:val="center"/>
          </w:tcPr>
          <w:p w14:paraId="3D07964F">
            <w:pPr>
              <w:pStyle w:val="8"/>
              <w:spacing w:line="36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招标文件规范要求</w:t>
            </w:r>
          </w:p>
        </w:tc>
        <w:tc>
          <w:tcPr>
            <w:tcW w:w="2762" w:type="dxa"/>
            <w:vAlign w:val="center"/>
          </w:tcPr>
          <w:p w14:paraId="5B8FFD24">
            <w:pPr>
              <w:pStyle w:val="8"/>
              <w:spacing w:line="360" w:lineRule="exact"/>
              <w:rPr>
                <w:rFonts w:ascii="仿宋" w:hAnsi="仿宋" w:eastAsia="仿宋" w:cs="仿宋"/>
                <w:color w:val="auto"/>
                <w:szCs w:val="24"/>
                <w:highlight w:val="none"/>
              </w:rPr>
            </w:pPr>
            <w:r>
              <w:rPr>
                <w:rFonts w:hint="eastAsia" w:ascii="仿宋" w:hAnsi="仿宋" w:eastAsia="仿宋" w:cs="仿宋"/>
                <w:color w:val="auto"/>
                <w:szCs w:val="24"/>
                <w:highlight w:val="none"/>
              </w:rPr>
              <w:t>投标文件对应规范</w:t>
            </w:r>
          </w:p>
        </w:tc>
        <w:tc>
          <w:tcPr>
            <w:tcW w:w="1557" w:type="dxa"/>
            <w:vAlign w:val="center"/>
          </w:tcPr>
          <w:p w14:paraId="637812E7">
            <w:pPr>
              <w:pStyle w:val="8"/>
              <w:spacing w:line="36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偏离情况</w:t>
            </w:r>
          </w:p>
        </w:tc>
      </w:tr>
      <w:tr w14:paraId="21EC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14:paraId="6FA93CD6">
            <w:pPr>
              <w:pStyle w:val="8"/>
              <w:spacing w:line="360" w:lineRule="exact"/>
              <w:jc w:val="center"/>
              <w:rPr>
                <w:rFonts w:ascii="仿宋" w:hAnsi="仿宋" w:eastAsia="仿宋" w:cs="仿宋"/>
                <w:color w:val="auto"/>
                <w:szCs w:val="24"/>
                <w:highlight w:val="none"/>
              </w:rPr>
            </w:pPr>
          </w:p>
        </w:tc>
        <w:tc>
          <w:tcPr>
            <w:tcW w:w="2960" w:type="dxa"/>
            <w:vAlign w:val="center"/>
          </w:tcPr>
          <w:p w14:paraId="54E7135F">
            <w:pPr>
              <w:pStyle w:val="8"/>
              <w:spacing w:line="360" w:lineRule="exact"/>
              <w:jc w:val="center"/>
              <w:rPr>
                <w:rFonts w:ascii="仿宋" w:hAnsi="仿宋" w:eastAsia="仿宋" w:cs="仿宋"/>
                <w:color w:val="auto"/>
                <w:szCs w:val="24"/>
                <w:highlight w:val="none"/>
              </w:rPr>
            </w:pPr>
          </w:p>
        </w:tc>
        <w:tc>
          <w:tcPr>
            <w:tcW w:w="2762" w:type="dxa"/>
            <w:vAlign w:val="center"/>
          </w:tcPr>
          <w:p w14:paraId="464DA192">
            <w:pPr>
              <w:pStyle w:val="8"/>
              <w:spacing w:line="360" w:lineRule="exact"/>
              <w:jc w:val="center"/>
              <w:rPr>
                <w:rFonts w:ascii="仿宋" w:hAnsi="仿宋" w:eastAsia="仿宋" w:cs="仿宋"/>
                <w:color w:val="auto"/>
                <w:szCs w:val="24"/>
                <w:highlight w:val="none"/>
              </w:rPr>
            </w:pPr>
          </w:p>
        </w:tc>
        <w:tc>
          <w:tcPr>
            <w:tcW w:w="1557" w:type="dxa"/>
            <w:vAlign w:val="center"/>
          </w:tcPr>
          <w:p w14:paraId="7C73F22B">
            <w:pPr>
              <w:pStyle w:val="8"/>
              <w:spacing w:line="360" w:lineRule="exact"/>
              <w:jc w:val="center"/>
              <w:rPr>
                <w:rFonts w:ascii="仿宋" w:hAnsi="仿宋" w:eastAsia="仿宋" w:cs="仿宋"/>
                <w:color w:val="auto"/>
                <w:szCs w:val="24"/>
                <w:highlight w:val="none"/>
              </w:rPr>
            </w:pPr>
          </w:p>
        </w:tc>
      </w:tr>
      <w:tr w14:paraId="7B2E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14:paraId="62AEC14A">
            <w:pPr>
              <w:pStyle w:val="8"/>
              <w:spacing w:line="360" w:lineRule="exact"/>
              <w:jc w:val="center"/>
              <w:rPr>
                <w:rFonts w:ascii="仿宋" w:hAnsi="仿宋" w:eastAsia="仿宋" w:cs="仿宋"/>
                <w:color w:val="auto"/>
                <w:szCs w:val="24"/>
                <w:highlight w:val="none"/>
              </w:rPr>
            </w:pPr>
          </w:p>
        </w:tc>
        <w:tc>
          <w:tcPr>
            <w:tcW w:w="2960" w:type="dxa"/>
            <w:vAlign w:val="center"/>
          </w:tcPr>
          <w:p w14:paraId="0887E481">
            <w:pPr>
              <w:pStyle w:val="8"/>
              <w:spacing w:line="360" w:lineRule="exact"/>
              <w:jc w:val="center"/>
              <w:rPr>
                <w:rFonts w:ascii="仿宋" w:hAnsi="仿宋" w:eastAsia="仿宋" w:cs="仿宋"/>
                <w:color w:val="auto"/>
                <w:szCs w:val="24"/>
                <w:highlight w:val="none"/>
              </w:rPr>
            </w:pPr>
          </w:p>
        </w:tc>
        <w:tc>
          <w:tcPr>
            <w:tcW w:w="2762" w:type="dxa"/>
            <w:vAlign w:val="center"/>
          </w:tcPr>
          <w:p w14:paraId="173EC1BC">
            <w:pPr>
              <w:pStyle w:val="8"/>
              <w:spacing w:line="360" w:lineRule="exact"/>
              <w:jc w:val="center"/>
              <w:rPr>
                <w:rFonts w:ascii="仿宋" w:hAnsi="仿宋" w:eastAsia="仿宋" w:cs="仿宋"/>
                <w:color w:val="auto"/>
                <w:szCs w:val="24"/>
                <w:highlight w:val="none"/>
              </w:rPr>
            </w:pPr>
          </w:p>
        </w:tc>
        <w:tc>
          <w:tcPr>
            <w:tcW w:w="1557" w:type="dxa"/>
            <w:vAlign w:val="center"/>
          </w:tcPr>
          <w:p w14:paraId="450AFFFB">
            <w:pPr>
              <w:pStyle w:val="8"/>
              <w:spacing w:line="360" w:lineRule="exact"/>
              <w:jc w:val="center"/>
              <w:rPr>
                <w:rFonts w:ascii="仿宋" w:hAnsi="仿宋" w:eastAsia="仿宋" w:cs="仿宋"/>
                <w:color w:val="auto"/>
                <w:szCs w:val="24"/>
                <w:highlight w:val="none"/>
              </w:rPr>
            </w:pPr>
          </w:p>
        </w:tc>
      </w:tr>
      <w:tr w14:paraId="3D52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14:paraId="721380B5">
            <w:pPr>
              <w:pStyle w:val="8"/>
              <w:spacing w:line="360" w:lineRule="exact"/>
              <w:jc w:val="center"/>
              <w:rPr>
                <w:rFonts w:ascii="仿宋" w:hAnsi="仿宋" w:eastAsia="仿宋" w:cs="仿宋"/>
                <w:color w:val="auto"/>
                <w:szCs w:val="24"/>
                <w:highlight w:val="none"/>
              </w:rPr>
            </w:pPr>
          </w:p>
        </w:tc>
        <w:tc>
          <w:tcPr>
            <w:tcW w:w="2960" w:type="dxa"/>
            <w:vAlign w:val="center"/>
          </w:tcPr>
          <w:p w14:paraId="56D2C39A">
            <w:pPr>
              <w:pStyle w:val="8"/>
              <w:spacing w:line="360" w:lineRule="exact"/>
              <w:jc w:val="center"/>
              <w:rPr>
                <w:rFonts w:ascii="仿宋" w:hAnsi="仿宋" w:eastAsia="仿宋" w:cs="仿宋"/>
                <w:color w:val="auto"/>
                <w:szCs w:val="24"/>
                <w:highlight w:val="none"/>
              </w:rPr>
            </w:pPr>
          </w:p>
        </w:tc>
        <w:tc>
          <w:tcPr>
            <w:tcW w:w="2762" w:type="dxa"/>
            <w:vAlign w:val="center"/>
          </w:tcPr>
          <w:p w14:paraId="19AAA793">
            <w:pPr>
              <w:pStyle w:val="8"/>
              <w:spacing w:line="360" w:lineRule="exact"/>
              <w:jc w:val="center"/>
              <w:rPr>
                <w:rFonts w:ascii="仿宋" w:hAnsi="仿宋" w:eastAsia="仿宋" w:cs="仿宋"/>
                <w:color w:val="auto"/>
                <w:szCs w:val="24"/>
                <w:highlight w:val="none"/>
              </w:rPr>
            </w:pPr>
          </w:p>
        </w:tc>
        <w:tc>
          <w:tcPr>
            <w:tcW w:w="1557" w:type="dxa"/>
            <w:vAlign w:val="center"/>
          </w:tcPr>
          <w:p w14:paraId="206F4AB3">
            <w:pPr>
              <w:pStyle w:val="8"/>
              <w:spacing w:line="360" w:lineRule="exact"/>
              <w:jc w:val="center"/>
              <w:rPr>
                <w:rFonts w:ascii="仿宋" w:hAnsi="仿宋" w:eastAsia="仿宋" w:cs="仿宋"/>
                <w:color w:val="auto"/>
                <w:szCs w:val="24"/>
                <w:highlight w:val="none"/>
              </w:rPr>
            </w:pPr>
          </w:p>
        </w:tc>
      </w:tr>
      <w:tr w14:paraId="5544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0" w:type="dxa"/>
            <w:vAlign w:val="center"/>
          </w:tcPr>
          <w:p w14:paraId="233A6A26">
            <w:pPr>
              <w:pStyle w:val="8"/>
              <w:spacing w:line="36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2960" w:type="dxa"/>
            <w:vAlign w:val="center"/>
          </w:tcPr>
          <w:p w14:paraId="49984A22">
            <w:pPr>
              <w:pStyle w:val="8"/>
              <w:spacing w:line="36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2762" w:type="dxa"/>
            <w:vAlign w:val="center"/>
          </w:tcPr>
          <w:p w14:paraId="7530040F">
            <w:pPr>
              <w:pStyle w:val="8"/>
              <w:spacing w:line="36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w:t>
            </w:r>
          </w:p>
        </w:tc>
        <w:tc>
          <w:tcPr>
            <w:tcW w:w="1557" w:type="dxa"/>
            <w:vAlign w:val="center"/>
          </w:tcPr>
          <w:p w14:paraId="55535FB1">
            <w:pPr>
              <w:pStyle w:val="8"/>
              <w:spacing w:line="360" w:lineRule="exact"/>
              <w:jc w:val="center"/>
              <w:rPr>
                <w:rFonts w:ascii="仿宋" w:hAnsi="仿宋" w:eastAsia="仿宋" w:cs="仿宋"/>
                <w:color w:val="auto"/>
                <w:szCs w:val="24"/>
                <w:highlight w:val="none"/>
              </w:rPr>
            </w:pPr>
            <w:r>
              <w:rPr>
                <w:rFonts w:hint="eastAsia" w:ascii="仿宋" w:hAnsi="仿宋" w:eastAsia="仿宋" w:cs="仿宋"/>
                <w:color w:val="auto"/>
                <w:szCs w:val="24"/>
                <w:highlight w:val="none"/>
              </w:rPr>
              <w:t>……</w:t>
            </w:r>
          </w:p>
        </w:tc>
      </w:tr>
    </w:tbl>
    <w:p w14:paraId="0C667516">
      <w:pPr>
        <w:pStyle w:val="8"/>
        <w:spacing w:line="360" w:lineRule="exact"/>
        <w:rPr>
          <w:rFonts w:ascii="仿宋" w:hAnsi="仿宋" w:eastAsia="仿宋" w:cs="仿宋"/>
          <w:b/>
          <w:bCs/>
          <w:color w:val="auto"/>
          <w:szCs w:val="24"/>
          <w:highlight w:val="none"/>
        </w:rPr>
      </w:pPr>
      <w:r>
        <w:rPr>
          <w:rFonts w:hint="eastAsia" w:ascii="仿宋" w:hAnsi="仿宋" w:eastAsia="仿宋" w:cs="仿宋"/>
          <w:b/>
          <w:bCs/>
          <w:color w:val="auto"/>
          <w:szCs w:val="24"/>
          <w:highlight w:val="none"/>
        </w:rPr>
        <w:t>注：</w:t>
      </w:r>
    </w:p>
    <w:p w14:paraId="7516DA3B">
      <w:pPr>
        <w:pStyle w:val="8"/>
        <w:spacing w:line="36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此表须与招标文件“采购需求”相应标项内的所有技术规格（含技术、功能、配置、附加必备条件、售后服务、安装、验收、付款方式等）相比较且一一对应真实逐条填列，并在“偏离情况”栏注明“正偏离”、“负偏离”或“无偏离”。</w:t>
      </w:r>
    </w:p>
    <w:p w14:paraId="2FBDE89F">
      <w:pPr>
        <w:spacing w:line="360" w:lineRule="exact"/>
        <w:rPr>
          <w:rFonts w:ascii="仿宋" w:hAnsi="仿宋" w:eastAsia="仿宋" w:cs="仿宋"/>
          <w:color w:val="auto"/>
          <w:sz w:val="28"/>
          <w:szCs w:val="28"/>
          <w:highlight w:val="none"/>
        </w:rPr>
      </w:pPr>
    </w:p>
    <w:p w14:paraId="58AD50E2">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投标名称（电子签名）：</w:t>
      </w:r>
      <w:r>
        <w:rPr>
          <w:rFonts w:hint="eastAsia" w:ascii="仿宋" w:hAnsi="仿宋" w:eastAsia="仿宋" w:cs="仿宋"/>
          <w:color w:val="auto"/>
          <w:sz w:val="24"/>
          <w:szCs w:val="24"/>
          <w:highlight w:val="none"/>
          <w:u w:val="single"/>
        </w:rPr>
        <w:t xml:space="preserve">                               </w:t>
      </w:r>
    </w:p>
    <w:p w14:paraId="2990F68C">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0167BC80">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7C8B2F0B">
      <w:pPr>
        <w:ind w:firstLine="1911" w:firstLineChars="595"/>
        <w:rPr>
          <w:rFonts w:ascii="宋体" w:hAnsi="宋体" w:cs="宋体"/>
          <w:b/>
          <w:color w:val="auto"/>
          <w:sz w:val="32"/>
          <w:szCs w:val="32"/>
          <w:highlight w:val="none"/>
        </w:rPr>
      </w:pPr>
      <w:r>
        <w:rPr>
          <w:rFonts w:hint="eastAsia" w:ascii="宋体" w:hAnsi="宋体" w:cs="宋体"/>
          <w:b/>
          <w:color w:val="auto"/>
          <w:sz w:val="32"/>
          <w:szCs w:val="32"/>
          <w:highlight w:val="none"/>
        </w:rPr>
        <w:t>六、</w:t>
      </w:r>
      <w:r>
        <w:rPr>
          <w:rFonts w:hint="eastAsia" w:ascii="宋体" w:hAnsi="宋体" w:cs="宋体"/>
          <w:b/>
          <w:color w:val="auto"/>
          <w:sz w:val="32"/>
          <w:szCs w:val="32"/>
          <w:highlight w:val="none"/>
          <w:lang w:val="zh-CN"/>
        </w:rPr>
        <w:t>政府采购供应商廉洁自律承诺书</w:t>
      </w:r>
    </w:p>
    <w:p w14:paraId="7CC001BE">
      <w:pPr>
        <w:snapToGrid w:val="0"/>
        <w:spacing w:line="360" w:lineRule="auto"/>
        <w:rPr>
          <w:rFonts w:ascii="宋体" w:hAnsi="宋体" w:cs="宋体"/>
          <w:color w:val="auto"/>
          <w:sz w:val="24"/>
          <w:highlight w:val="none"/>
        </w:rPr>
      </w:pPr>
    </w:p>
    <w:p w14:paraId="0BCB08BE">
      <w:pPr>
        <w:spacing w:line="42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诸暨市东和乡人民政府</w:t>
      </w:r>
      <w:r>
        <w:rPr>
          <w:rFonts w:hint="eastAsia" w:ascii="仿宋" w:hAnsi="仿宋" w:eastAsia="仿宋" w:cs="仿宋"/>
          <w:color w:val="auto"/>
          <w:sz w:val="24"/>
          <w:highlight w:val="none"/>
        </w:rPr>
        <w:t>：</w:t>
      </w:r>
    </w:p>
    <w:p w14:paraId="3E2B30D3">
      <w:pPr>
        <w:spacing w:line="42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绍兴盈伽工程咨询有限公司</w:t>
      </w:r>
      <w:r>
        <w:rPr>
          <w:rFonts w:hint="eastAsia" w:ascii="仿宋" w:hAnsi="仿宋" w:eastAsia="仿宋" w:cs="仿宋"/>
          <w:color w:val="auto"/>
          <w:sz w:val="24"/>
          <w:highlight w:val="none"/>
        </w:rPr>
        <w:t>：</w:t>
      </w:r>
    </w:p>
    <w:p w14:paraId="08A362EA">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zh-CN"/>
        </w:rPr>
        <w:t>项目招标要求参加投标。在这次投标过程中和中标后，我们将严格遵守国家法律法规要求，并郑重承诺：</w:t>
      </w:r>
    </w:p>
    <w:p w14:paraId="242AA910">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一、不向项目有关人员及部门赠送礼金礼物、有价证券、回扣以及中介费、介绍费、咨询费等好处费； </w:t>
      </w:r>
    </w:p>
    <w:p w14:paraId="1B951A8D">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二、不为项目有关人员及部门报销应由你方单位或个人支付的费用； </w:t>
      </w:r>
    </w:p>
    <w:p w14:paraId="30893F61">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三、不向项目有关人员及部门提供有可能影响公正的宴请和健身娱乐等活动； </w:t>
      </w:r>
    </w:p>
    <w:p w14:paraId="7AC45307">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四、不为项目有关人员及部门出国（境）、旅游等提供方便；</w:t>
      </w:r>
    </w:p>
    <w:p w14:paraId="461AD1D4">
      <w:pPr>
        <w:spacing w:line="420" w:lineRule="exact"/>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五、不为项目有关人员个人装修住房、婚丧嫁娶、配偶子女工作安排等提供</w:t>
      </w:r>
    </w:p>
    <w:p w14:paraId="48883647">
      <w:pPr>
        <w:spacing w:line="420" w:lineRule="exact"/>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好处；</w:t>
      </w:r>
    </w:p>
    <w:p w14:paraId="6F951948">
      <w:pPr>
        <w:spacing w:line="420" w:lineRule="exact"/>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六、严格遵守《中华人民共和国政府采购法》《中华人民共和国招标投标</w:t>
      </w:r>
    </w:p>
    <w:p w14:paraId="35705E15">
      <w:pPr>
        <w:spacing w:line="420" w:lineRule="exact"/>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法》《中华人民共和国民法典》等法律法规，诚实守信，合法经营，坚决抵制各种违法违纪行为。 </w:t>
      </w:r>
    </w:p>
    <w:p w14:paraId="2D4E4BF6">
      <w:pPr>
        <w:spacing w:line="42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val="zh-CN"/>
        </w:rPr>
        <w:t>进行项目建设或其他经营活动，并通报市财政局。由此引起的相应损失均由我单位承担。</w:t>
      </w:r>
    </w:p>
    <w:p w14:paraId="640DF33E">
      <w:pPr>
        <w:spacing w:line="360" w:lineRule="auto"/>
        <w:ind w:left="2"/>
        <w:jc w:val="left"/>
        <w:rPr>
          <w:rFonts w:ascii="仿宋" w:hAnsi="仿宋" w:eastAsia="仿宋" w:cs="仿宋"/>
          <w:color w:val="auto"/>
          <w:sz w:val="24"/>
          <w:highlight w:val="none"/>
          <w:lang w:val="zh-CN"/>
        </w:rPr>
      </w:pPr>
    </w:p>
    <w:p w14:paraId="7F52D339">
      <w:pPr>
        <w:spacing w:line="360" w:lineRule="auto"/>
        <w:ind w:left="2"/>
        <w:jc w:val="left"/>
        <w:rPr>
          <w:rFonts w:ascii="仿宋" w:hAnsi="仿宋" w:eastAsia="仿宋" w:cs="仿宋"/>
          <w:color w:val="auto"/>
          <w:sz w:val="24"/>
          <w:highlight w:val="none"/>
          <w:lang w:val="zh-CN"/>
        </w:rPr>
      </w:pPr>
    </w:p>
    <w:p w14:paraId="3DADEA2D">
      <w:pPr>
        <w:spacing w:line="360" w:lineRule="auto"/>
        <w:ind w:left="2"/>
        <w:jc w:val="left"/>
        <w:rPr>
          <w:rFonts w:ascii="仿宋" w:hAnsi="仿宋" w:eastAsia="仿宋" w:cs="仿宋"/>
          <w:color w:val="auto"/>
          <w:sz w:val="24"/>
          <w:highlight w:val="none"/>
          <w:lang w:val="zh-CN"/>
        </w:rPr>
      </w:pPr>
    </w:p>
    <w:p w14:paraId="6A395F75">
      <w:pPr>
        <w:spacing w:line="360" w:lineRule="auto"/>
        <w:ind w:left="2" w:leftChars="1" w:right="1120" w:firstLine="4560" w:firstLineChars="19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投标人名称（</w:t>
      </w:r>
      <w:r>
        <w:rPr>
          <w:rFonts w:hint="eastAsia" w:ascii="仿宋" w:hAnsi="仿宋" w:eastAsia="仿宋" w:cs="仿宋"/>
          <w:color w:val="auto"/>
          <w:sz w:val="24"/>
          <w:highlight w:val="none"/>
        </w:rPr>
        <w:t>电子签章</w:t>
      </w:r>
      <w:r>
        <w:rPr>
          <w:rFonts w:hint="eastAsia" w:ascii="仿宋" w:hAnsi="仿宋" w:eastAsia="仿宋" w:cs="仿宋"/>
          <w:color w:val="auto"/>
          <w:sz w:val="24"/>
          <w:highlight w:val="none"/>
          <w:lang w:val="zh-CN"/>
        </w:rPr>
        <w:t xml:space="preserve">）：              </w:t>
      </w:r>
    </w:p>
    <w:p w14:paraId="580433A4">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 xml:space="preserve">   年   月   日</w:t>
      </w:r>
    </w:p>
    <w:p w14:paraId="2E2D97EB">
      <w:pPr>
        <w:spacing w:line="360" w:lineRule="auto"/>
        <w:jc w:val="center"/>
        <w:rPr>
          <w:rFonts w:ascii="仿宋" w:hAnsi="仿宋" w:eastAsia="仿宋" w:cs="仿宋"/>
          <w:b/>
          <w:bCs/>
          <w:color w:val="auto"/>
          <w:sz w:val="24"/>
          <w:highlight w:val="none"/>
        </w:rPr>
      </w:pPr>
    </w:p>
    <w:p w14:paraId="6BCA4B6E">
      <w:pPr>
        <w:spacing w:line="360" w:lineRule="auto"/>
        <w:jc w:val="center"/>
        <w:rPr>
          <w:rFonts w:ascii="仿宋" w:hAnsi="仿宋" w:eastAsia="仿宋" w:cs="仿宋"/>
          <w:b/>
          <w:bCs/>
          <w:color w:val="auto"/>
          <w:sz w:val="24"/>
          <w:highlight w:val="none"/>
        </w:rPr>
        <w:sectPr>
          <w:headerReference r:id="rId20" w:type="first"/>
          <w:footerReference r:id="rId22" w:type="first"/>
          <w:headerReference r:id="rId19" w:type="default"/>
          <w:footerReference r:id="rId21" w:type="default"/>
          <w:pgSz w:w="11906" w:h="16838"/>
          <w:pgMar w:top="1259" w:right="1191" w:bottom="1259" w:left="1191" w:header="709" w:footer="992" w:gutter="0"/>
          <w:cols w:space="720" w:num="1"/>
          <w:titlePg/>
          <w:docGrid w:linePitch="312" w:charSpace="0"/>
        </w:sectPr>
      </w:pPr>
    </w:p>
    <w:p w14:paraId="62FB5C65">
      <w:pPr>
        <w:spacing w:line="360" w:lineRule="auto"/>
        <w:jc w:val="center"/>
        <w:rPr>
          <w:rFonts w:ascii="宋体" w:hAnsi="宋体" w:cs="宋体"/>
          <w:b/>
          <w:color w:val="auto"/>
          <w:sz w:val="32"/>
          <w:szCs w:val="32"/>
          <w:highlight w:val="none"/>
        </w:rPr>
      </w:pPr>
      <w:bookmarkStart w:id="506" w:name="_Toc21136"/>
      <w:r>
        <w:rPr>
          <w:rFonts w:hint="eastAsia" w:ascii="宋体" w:hAnsi="宋体" w:cs="宋体"/>
          <w:b/>
          <w:color w:val="auto"/>
          <w:sz w:val="32"/>
          <w:szCs w:val="32"/>
          <w:highlight w:val="none"/>
        </w:rPr>
        <w:t>第四部分   报价文件部分</w:t>
      </w:r>
      <w:bookmarkEnd w:id="506"/>
    </w:p>
    <w:p w14:paraId="29C2A9BB">
      <w:pPr>
        <w:spacing w:line="360" w:lineRule="auto"/>
        <w:jc w:val="center"/>
        <w:rPr>
          <w:rFonts w:ascii="宋体" w:hAnsi="宋体" w:cs="宋体"/>
          <w:b/>
          <w:color w:val="auto"/>
          <w:sz w:val="36"/>
          <w:szCs w:val="36"/>
          <w:highlight w:val="none"/>
        </w:rPr>
      </w:pPr>
      <w:bookmarkStart w:id="507" w:name="_Toc8641"/>
      <w:r>
        <w:rPr>
          <w:rFonts w:hint="eastAsia" w:ascii="宋体" w:hAnsi="宋体" w:cs="宋体"/>
          <w:b/>
          <w:color w:val="auto"/>
          <w:sz w:val="36"/>
          <w:szCs w:val="36"/>
          <w:highlight w:val="none"/>
        </w:rPr>
        <w:t>目录</w:t>
      </w:r>
      <w:bookmarkEnd w:id="507"/>
    </w:p>
    <w:p w14:paraId="4214573E">
      <w:pPr>
        <w:spacing w:line="360" w:lineRule="auto"/>
        <w:jc w:val="center"/>
        <w:rPr>
          <w:rFonts w:ascii="宋体" w:hAnsi="宋体" w:cs="宋体"/>
          <w:b/>
          <w:color w:val="auto"/>
          <w:sz w:val="36"/>
          <w:szCs w:val="36"/>
          <w:highlight w:val="none"/>
        </w:rPr>
      </w:pPr>
    </w:p>
    <w:p w14:paraId="2124A64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66DF383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w:t>
      </w:r>
      <w:r>
        <w:rPr>
          <w:rFonts w:hint="eastAsia" w:ascii="仿宋" w:hAnsi="仿宋" w:eastAsia="仿宋" w:cs="仿宋"/>
          <w:b/>
          <w:bCs/>
          <w:color w:val="auto"/>
          <w:sz w:val="24"/>
          <w:highlight w:val="none"/>
        </w:rPr>
        <w:t>（如需）</w:t>
      </w:r>
      <w:r>
        <w:rPr>
          <w:rFonts w:hint="eastAsia" w:ascii="仿宋" w:hAnsi="仿宋" w:eastAsia="仿宋" w:cs="仿宋"/>
          <w:color w:val="auto"/>
          <w:sz w:val="24"/>
          <w:highlight w:val="none"/>
        </w:rPr>
        <w:t>……………………………………………………（页码）</w:t>
      </w:r>
    </w:p>
    <w:p w14:paraId="72590632">
      <w:pPr>
        <w:snapToGrid w:val="0"/>
        <w:spacing w:line="360" w:lineRule="auto"/>
        <w:ind w:right="480"/>
        <w:jc w:val="center"/>
        <w:rPr>
          <w:rFonts w:ascii="宋体" w:hAnsi="宋体" w:cs="宋体"/>
          <w:b/>
          <w:color w:val="auto"/>
          <w:sz w:val="32"/>
          <w:szCs w:val="32"/>
          <w:highlight w:val="none"/>
        </w:rPr>
      </w:pPr>
    </w:p>
    <w:p w14:paraId="124CD300">
      <w:pPr>
        <w:snapToGrid w:val="0"/>
        <w:spacing w:line="360" w:lineRule="auto"/>
        <w:ind w:right="480"/>
        <w:jc w:val="center"/>
        <w:rPr>
          <w:rFonts w:ascii="宋体" w:hAnsi="宋体" w:cs="宋体"/>
          <w:b/>
          <w:color w:val="auto"/>
          <w:sz w:val="32"/>
          <w:szCs w:val="32"/>
          <w:highlight w:val="none"/>
        </w:rPr>
      </w:pPr>
    </w:p>
    <w:p w14:paraId="2E9711C8">
      <w:pPr>
        <w:snapToGrid w:val="0"/>
        <w:spacing w:line="360" w:lineRule="auto"/>
        <w:ind w:right="480"/>
        <w:jc w:val="center"/>
        <w:rPr>
          <w:rFonts w:ascii="宋体" w:hAnsi="宋体" w:cs="宋体"/>
          <w:b/>
          <w:color w:val="auto"/>
          <w:sz w:val="32"/>
          <w:szCs w:val="32"/>
          <w:highlight w:val="none"/>
        </w:rPr>
      </w:pPr>
    </w:p>
    <w:p w14:paraId="09D64B3E">
      <w:pPr>
        <w:rPr>
          <w:rFonts w:ascii="宋体" w:hAnsi="宋体" w:cs="宋体"/>
          <w:color w:val="auto"/>
          <w:kern w:val="2"/>
          <w:sz w:val="32"/>
          <w:szCs w:val="32"/>
          <w:highlight w:val="none"/>
        </w:rPr>
        <w:sectPr>
          <w:headerReference r:id="rId24" w:type="first"/>
          <w:footerReference r:id="rId26" w:type="first"/>
          <w:headerReference r:id="rId23" w:type="default"/>
          <w:footerReference r:id="rId25" w:type="default"/>
          <w:pgSz w:w="11906" w:h="16838"/>
          <w:pgMar w:top="1247" w:right="1247" w:bottom="1247" w:left="1247" w:header="283" w:footer="454" w:gutter="0"/>
          <w:cols w:space="720" w:num="1"/>
          <w:titlePg/>
          <w:docGrid w:type="lines" w:linePitch="312" w:charSpace="0"/>
        </w:sectPr>
      </w:pPr>
      <w:bookmarkStart w:id="508" w:name="_Toc26316"/>
      <w:bookmarkStart w:id="509" w:name="_Toc4852"/>
    </w:p>
    <w:p w14:paraId="0161F065">
      <w:pPr>
        <w:spacing w:line="360" w:lineRule="auto"/>
        <w:jc w:val="center"/>
        <w:rPr>
          <w:b/>
          <w:bCs/>
          <w:color w:val="auto"/>
          <w:sz w:val="30"/>
          <w:szCs w:val="30"/>
          <w:highlight w:val="none"/>
        </w:rPr>
      </w:pPr>
      <w:r>
        <w:rPr>
          <w:rFonts w:hint="eastAsia"/>
          <w:b/>
          <w:bCs/>
          <w:color w:val="auto"/>
          <w:sz w:val="30"/>
          <w:szCs w:val="30"/>
          <w:highlight w:val="none"/>
        </w:rPr>
        <w:t>一、开标一览表（报价表）</w:t>
      </w:r>
      <w:bookmarkEnd w:id="508"/>
      <w:bookmarkEnd w:id="509"/>
    </w:p>
    <w:p w14:paraId="71BDE9C8">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p w14:paraId="0F45FAD4">
      <w:pPr>
        <w:spacing w:line="360" w:lineRule="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项目编号：</w:t>
      </w:r>
      <w:r>
        <w:rPr>
          <w:rFonts w:hint="eastAsia" w:ascii="仿宋" w:hAnsi="仿宋" w:eastAsia="仿宋"/>
          <w:color w:val="auto"/>
          <w:sz w:val="24"/>
          <w:szCs w:val="24"/>
          <w:highlight w:val="none"/>
          <w:lang w:val="en-US" w:eastAsia="zh-CN"/>
        </w:rPr>
        <w:t xml:space="preserve">   </w:t>
      </w:r>
    </w:p>
    <w:tbl>
      <w:tblPr>
        <w:tblStyle w:val="14"/>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595"/>
        <w:gridCol w:w="2091"/>
        <w:gridCol w:w="3177"/>
      </w:tblGrid>
      <w:tr w14:paraId="4ADC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7" w:type="dxa"/>
            <w:vMerge w:val="restart"/>
            <w:vAlign w:val="center"/>
          </w:tcPr>
          <w:p w14:paraId="027E8C90">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标号</w:t>
            </w:r>
          </w:p>
        </w:tc>
        <w:tc>
          <w:tcPr>
            <w:tcW w:w="3595" w:type="dxa"/>
            <w:vMerge w:val="restart"/>
            <w:vAlign w:val="center"/>
          </w:tcPr>
          <w:p w14:paraId="790FCA03">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标的内容</w:t>
            </w:r>
          </w:p>
        </w:tc>
        <w:tc>
          <w:tcPr>
            <w:tcW w:w="5268" w:type="dxa"/>
            <w:gridSpan w:val="2"/>
            <w:vAlign w:val="center"/>
          </w:tcPr>
          <w:p w14:paraId="546529D8">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投标报价（单位：人民币元）</w:t>
            </w:r>
          </w:p>
        </w:tc>
      </w:tr>
      <w:tr w14:paraId="1E71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67" w:type="dxa"/>
            <w:vMerge w:val="continue"/>
            <w:vAlign w:val="center"/>
          </w:tcPr>
          <w:p w14:paraId="176EDDE1">
            <w:pPr>
              <w:jc w:val="center"/>
              <w:rPr>
                <w:rFonts w:ascii="仿宋" w:hAnsi="仿宋" w:eastAsia="仿宋"/>
                <w:b/>
                <w:color w:val="auto"/>
                <w:sz w:val="24"/>
                <w:szCs w:val="24"/>
                <w:highlight w:val="none"/>
              </w:rPr>
            </w:pPr>
          </w:p>
        </w:tc>
        <w:tc>
          <w:tcPr>
            <w:tcW w:w="3595" w:type="dxa"/>
            <w:vMerge w:val="continue"/>
            <w:vAlign w:val="center"/>
          </w:tcPr>
          <w:p w14:paraId="62447BF4">
            <w:pPr>
              <w:jc w:val="center"/>
              <w:rPr>
                <w:rFonts w:ascii="仿宋" w:hAnsi="仿宋" w:eastAsia="仿宋"/>
                <w:b/>
                <w:color w:val="auto"/>
                <w:sz w:val="24"/>
                <w:szCs w:val="24"/>
                <w:highlight w:val="none"/>
              </w:rPr>
            </w:pPr>
          </w:p>
        </w:tc>
        <w:tc>
          <w:tcPr>
            <w:tcW w:w="2091" w:type="dxa"/>
            <w:vAlign w:val="center"/>
          </w:tcPr>
          <w:p w14:paraId="0EEF7C82">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小写</w:t>
            </w:r>
          </w:p>
        </w:tc>
        <w:tc>
          <w:tcPr>
            <w:tcW w:w="3177" w:type="dxa"/>
            <w:vAlign w:val="center"/>
          </w:tcPr>
          <w:p w14:paraId="20C5AC41">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大写</w:t>
            </w:r>
          </w:p>
        </w:tc>
      </w:tr>
      <w:tr w14:paraId="29CD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767" w:type="dxa"/>
            <w:vAlign w:val="center"/>
          </w:tcPr>
          <w:p w14:paraId="57503630">
            <w:pP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一</w:t>
            </w:r>
          </w:p>
        </w:tc>
        <w:tc>
          <w:tcPr>
            <w:tcW w:w="3595" w:type="dxa"/>
            <w:vAlign w:val="center"/>
          </w:tcPr>
          <w:p w14:paraId="29B6C6F5">
            <w:pPr>
              <w:jc w:val="left"/>
              <w:rPr>
                <w:rFonts w:hint="eastAsia" w:ascii="仿宋" w:hAnsi="仿宋" w:eastAsia="仿宋"/>
                <w:color w:val="auto"/>
                <w:sz w:val="24"/>
                <w:szCs w:val="24"/>
                <w:highlight w:val="none"/>
                <w:lang w:eastAsia="zh-CN"/>
              </w:rPr>
            </w:pPr>
            <w:r>
              <w:rPr>
                <w:rFonts w:hint="eastAsia" w:ascii="仿宋" w:hAnsi="仿宋" w:eastAsia="仿宋" w:cs="宋体"/>
                <w:bCs/>
                <w:color w:val="auto"/>
                <w:sz w:val="24"/>
                <w:highlight w:val="none"/>
                <w:lang w:eastAsia="zh-CN"/>
              </w:rPr>
              <w:t>诸暨市东和乡应急救援服务采购项目 （</w:t>
            </w:r>
            <w:r>
              <w:rPr>
                <w:rFonts w:hint="eastAsia" w:ascii="仿宋" w:hAnsi="仿宋" w:eastAsia="仿宋" w:cs="宋体"/>
                <w:bCs/>
                <w:color w:val="auto"/>
                <w:sz w:val="24"/>
                <w:highlight w:val="none"/>
                <w:lang w:val="en-US" w:eastAsia="zh-CN"/>
              </w:rPr>
              <w:t>第三次</w:t>
            </w:r>
            <w:r>
              <w:rPr>
                <w:rFonts w:hint="eastAsia" w:ascii="仿宋" w:hAnsi="仿宋" w:eastAsia="仿宋" w:cs="宋体"/>
                <w:bCs/>
                <w:color w:val="auto"/>
                <w:sz w:val="24"/>
                <w:highlight w:val="none"/>
                <w:lang w:eastAsia="zh-CN"/>
              </w:rPr>
              <w:t>）</w:t>
            </w:r>
          </w:p>
        </w:tc>
        <w:tc>
          <w:tcPr>
            <w:tcW w:w="2091" w:type="dxa"/>
            <w:vAlign w:val="center"/>
          </w:tcPr>
          <w:p w14:paraId="2DD89020">
            <w:pPr>
              <w:spacing w:line="700" w:lineRule="exact"/>
              <w:jc w:val="left"/>
              <w:rPr>
                <w:rFonts w:ascii="仿宋" w:hAnsi="仿宋" w:eastAsia="仿宋"/>
                <w:color w:val="auto"/>
                <w:sz w:val="24"/>
                <w:szCs w:val="24"/>
                <w:highlight w:val="none"/>
              </w:rPr>
            </w:pPr>
            <w:r>
              <w:rPr>
                <w:rFonts w:hint="eastAsia" w:ascii="宋体" w:hAnsi="宋体" w:eastAsia="仿宋" w:cs="仿宋"/>
                <w:b/>
                <w:bCs/>
                <w:color w:val="auto"/>
                <w:sz w:val="24"/>
                <w:szCs w:val="24"/>
                <w:highlight w:val="none"/>
              </w:rPr>
              <w:t>¥</w:t>
            </w:r>
          </w:p>
        </w:tc>
        <w:tc>
          <w:tcPr>
            <w:tcW w:w="3177" w:type="dxa"/>
            <w:vAlign w:val="center"/>
          </w:tcPr>
          <w:p w14:paraId="0AD622B4">
            <w:pPr>
              <w:spacing w:line="700" w:lineRule="exact"/>
              <w:rPr>
                <w:rFonts w:ascii="仿宋" w:hAnsi="仿宋" w:eastAsia="仿宋"/>
                <w:color w:val="auto"/>
                <w:sz w:val="24"/>
                <w:szCs w:val="24"/>
                <w:highlight w:val="none"/>
              </w:rPr>
            </w:pPr>
          </w:p>
        </w:tc>
      </w:tr>
    </w:tbl>
    <w:p w14:paraId="038D9248">
      <w:pPr>
        <w:spacing w:line="360" w:lineRule="auto"/>
        <w:rPr>
          <w:rFonts w:ascii="仿宋" w:hAnsi="仿宋" w:eastAsia="仿宋"/>
          <w:b/>
          <w:bCs/>
          <w:color w:val="auto"/>
          <w:sz w:val="24"/>
          <w:szCs w:val="24"/>
          <w:highlight w:val="none"/>
        </w:rPr>
      </w:pPr>
    </w:p>
    <w:p w14:paraId="2506CE9E">
      <w:pPr>
        <w:spacing w:line="360" w:lineRule="auto"/>
        <w:rPr>
          <w:rFonts w:ascii="仿宋" w:hAnsi="仿宋" w:eastAsia="仿宋"/>
          <w:b/>
          <w:bCs/>
          <w:color w:val="auto"/>
          <w:sz w:val="24"/>
          <w:szCs w:val="24"/>
          <w:highlight w:val="none"/>
        </w:rPr>
      </w:pPr>
      <w:r>
        <w:rPr>
          <w:rFonts w:ascii="仿宋" w:hAnsi="仿宋" w:eastAsia="仿宋"/>
          <w:b/>
          <w:bCs/>
          <w:color w:val="auto"/>
          <w:sz w:val="24"/>
          <w:szCs w:val="24"/>
          <w:highlight w:val="none"/>
        </w:rPr>
        <w:t>说明：</w:t>
      </w:r>
    </w:p>
    <w:p w14:paraId="36C38741">
      <w:pPr>
        <w:spacing w:line="400" w:lineRule="exact"/>
        <w:rPr>
          <w:rFonts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1、</w:t>
      </w:r>
      <w:r>
        <w:rPr>
          <w:rFonts w:hint="eastAsia" w:ascii="仿宋" w:hAnsi="仿宋" w:eastAsia="仿宋"/>
          <w:b/>
          <w:color w:val="auto"/>
          <w:spacing w:val="-6"/>
          <w:sz w:val="24"/>
          <w:szCs w:val="24"/>
          <w:highlight w:val="none"/>
        </w:rPr>
        <w:t>投标报价包括履行本项目所有规定服务所产生的全部</w:t>
      </w:r>
      <w:r>
        <w:rPr>
          <w:rFonts w:hint="eastAsia" w:ascii="仿宋" w:hAnsi="仿宋" w:eastAsia="仿宋"/>
          <w:b/>
          <w:color w:val="auto"/>
          <w:sz w:val="24"/>
          <w:szCs w:val="24"/>
          <w:highlight w:val="none"/>
        </w:rPr>
        <w:t>税金、利润和费用</w:t>
      </w:r>
      <w:r>
        <w:rPr>
          <w:rFonts w:hint="eastAsia" w:ascii="仿宋" w:hAnsi="仿宋" w:eastAsia="仿宋"/>
          <w:b/>
          <w:color w:val="auto"/>
          <w:spacing w:val="-6"/>
          <w:sz w:val="24"/>
          <w:szCs w:val="24"/>
          <w:highlight w:val="none"/>
        </w:rPr>
        <w:t>，</w:t>
      </w:r>
      <w:r>
        <w:rPr>
          <w:rFonts w:hint="eastAsia" w:ascii="仿宋" w:hAnsi="仿宋" w:eastAsia="仿宋" w:cs="宋体"/>
          <w:b/>
          <w:color w:val="auto"/>
          <w:sz w:val="24"/>
          <w:szCs w:val="24"/>
          <w:highlight w:val="none"/>
        </w:rPr>
        <w:t>是履行合同的最终价格。</w:t>
      </w:r>
    </w:p>
    <w:p w14:paraId="4B1DDB56">
      <w:pPr>
        <w:spacing w:line="400" w:lineRule="exact"/>
        <w:rPr>
          <w:rFonts w:ascii="宋体" w:hAnsi="宋体" w:cs="宋体"/>
          <w:b/>
          <w:bCs/>
          <w:color w:val="auto"/>
          <w:highlight w:val="none"/>
        </w:rPr>
      </w:pPr>
      <w:r>
        <w:rPr>
          <w:rFonts w:hint="eastAsia" w:ascii="仿宋" w:hAnsi="仿宋" w:eastAsia="仿宋" w:cs="仿宋"/>
          <w:b/>
          <w:bCs/>
          <w:color w:val="auto"/>
          <w:sz w:val="24"/>
          <w:szCs w:val="28"/>
          <w:highlight w:val="none"/>
        </w:rPr>
        <w:t>2、供应商在“政府采购云平台”进行标书关联时，在“政府采购云平台”上单独填报的开标一览表内容与加密的报价文件中提交的开标一览表内容不一致时，以加密的报价文件中提交的开标一览表（报价表）为准进行修正。</w:t>
      </w:r>
    </w:p>
    <w:p w14:paraId="0E246E5B">
      <w:pPr>
        <w:snapToGrid w:val="0"/>
        <w:spacing w:line="360" w:lineRule="auto"/>
        <w:rPr>
          <w:rFonts w:ascii="仿宋" w:hAnsi="仿宋" w:eastAsia="仿宋" w:cs="Arial"/>
          <w:color w:val="auto"/>
          <w:sz w:val="24"/>
          <w:highlight w:val="none"/>
        </w:rPr>
      </w:pPr>
    </w:p>
    <w:p w14:paraId="0C1973AE">
      <w:pPr>
        <w:snapToGrid w:val="0"/>
        <w:spacing w:line="360" w:lineRule="auto"/>
        <w:rPr>
          <w:rFonts w:ascii="仿宋" w:hAnsi="仿宋" w:eastAsia="仿宋" w:cs="Arial"/>
          <w:color w:val="auto"/>
          <w:sz w:val="24"/>
          <w:highlight w:val="none"/>
        </w:rPr>
      </w:pPr>
    </w:p>
    <w:p w14:paraId="7C3B245F">
      <w:pPr>
        <w:snapToGrid w:val="0"/>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投标人名称（电子签章）：</w:t>
      </w:r>
      <w:r>
        <w:rPr>
          <w:rFonts w:ascii="仿宋" w:hAnsi="仿宋" w:eastAsia="仿宋" w:cs="Arial"/>
          <w:color w:val="auto"/>
          <w:sz w:val="24"/>
          <w:highlight w:val="none"/>
        </w:rPr>
        <w:t>_________________________________</w:t>
      </w:r>
    </w:p>
    <w:p w14:paraId="03FE0452">
      <w:pPr>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日期：</w:t>
      </w:r>
      <w:r>
        <w:rPr>
          <w:rFonts w:ascii="仿宋" w:hAnsi="仿宋" w:eastAsia="仿宋" w:cs="Arial"/>
          <w:color w:val="auto"/>
          <w:sz w:val="24"/>
          <w:highlight w:val="none"/>
        </w:rPr>
        <w:t>________</w:t>
      </w:r>
      <w:r>
        <w:rPr>
          <w:rFonts w:hint="eastAsia" w:ascii="仿宋" w:hAnsi="仿宋" w:eastAsia="仿宋" w:cs="Arial"/>
          <w:color w:val="auto"/>
          <w:sz w:val="24"/>
          <w:highlight w:val="none"/>
        </w:rPr>
        <w:t>年</w:t>
      </w:r>
      <w:r>
        <w:rPr>
          <w:rFonts w:ascii="仿宋" w:hAnsi="仿宋" w:eastAsia="仿宋" w:cs="Arial"/>
          <w:color w:val="auto"/>
          <w:sz w:val="24"/>
          <w:highlight w:val="none"/>
        </w:rPr>
        <w:t>____</w:t>
      </w:r>
      <w:r>
        <w:rPr>
          <w:rFonts w:hint="eastAsia" w:ascii="仿宋" w:hAnsi="仿宋" w:eastAsia="仿宋" w:cs="Arial"/>
          <w:color w:val="auto"/>
          <w:sz w:val="24"/>
          <w:highlight w:val="none"/>
        </w:rPr>
        <w:t>月</w:t>
      </w:r>
      <w:r>
        <w:rPr>
          <w:rFonts w:ascii="仿宋" w:hAnsi="仿宋" w:eastAsia="仿宋" w:cs="Arial"/>
          <w:color w:val="auto"/>
          <w:sz w:val="24"/>
          <w:highlight w:val="none"/>
        </w:rPr>
        <w:t>____</w:t>
      </w:r>
      <w:r>
        <w:rPr>
          <w:rFonts w:hint="eastAsia" w:ascii="仿宋" w:hAnsi="仿宋" w:eastAsia="仿宋" w:cs="Arial"/>
          <w:color w:val="auto"/>
          <w:sz w:val="24"/>
          <w:highlight w:val="none"/>
        </w:rPr>
        <w:t>日</w:t>
      </w:r>
    </w:p>
    <w:p w14:paraId="1EA04C43">
      <w:pPr>
        <w:widowControl/>
        <w:jc w:val="left"/>
        <w:rPr>
          <w:rFonts w:ascii="仿宋" w:hAnsi="仿宋" w:eastAsia="仿宋" w:cs="Arial"/>
          <w:color w:val="auto"/>
          <w:sz w:val="24"/>
          <w:highlight w:val="none"/>
        </w:rPr>
      </w:pPr>
      <w:r>
        <w:rPr>
          <w:rFonts w:ascii="仿宋" w:hAnsi="仿宋" w:eastAsia="仿宋" w:cs="Arial"/>
          <w:color w:val="auto"/>
          <w:sz w:val="24"/>
          <w:highlight w:val="none"/>
        </w:rPr>
        <w:br w:type="page"/>
      </w:r>
    </w:p>
    <w:p w14:paraId="44A6118C">
      <w:pPr>
        <w:jc w:val="center"/>
        <w:rPr>
          <w:b/>
          <w:bCs/>
          <w:color w:val="auto"/>
          <w:sz w:val="30"/>
          <w:szCs w:val="30"/>
          <w:highlight w:val="none"/>
        </w:rPr>
      </w:pPr>
      <w:bookmarkStart w:id="510" w:name="_Toc23555"/>
      <w:bookmarkStart w:id="511" w:name="_Toc30518"/>
      <w:r>
        <w:rPr>
          <w:rFonts w:hint="eastAsia"/>
          <w:b/>
          <w:bCs/>
          <w:color w:val="auto"/>
          <w:sz w:val="30"/>
          <w:szCs w:val="30"/>
          <w:highlight w:val="none"/>
        </w:rPr>
        <w:t>二、中小企业声明函</w:t>
      </w:r>
      <w:bookmarkEnd w:id="510"/>
      <w:bookmarkEnd w:id="511"/>
    </w:p>
    <w:p w14:paraId="7C1213CF">
      <w:pPr>
        <w:widowControl/>
        <w:autoSpaceDE/>
        <w:autoSpaceDN/>
        <w:spacing w:line="420" w:lineRule="exact"/>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2）。]</w:t>
      </w:r>
    </w:p>
    <w:p w14:paraId="2B5746BA">
      <w:pPr>
        <w:pStyle w:val="3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A1D888F">
      <w:pPr>
        <w:spacing w:line="360" w:lineRule="auto"/>
        <w:ind w:right="420" w:firstLine="3614" w:firstLineChars="1000"/>
        <w:rPr>
          <w:rFonts w:ascii="宋体" w:hAnsi="宋体" w:cs="宋体"/>
          <w:b/>
          <w:color w:val="auto"/>
          <w:sz w:val="36"/>
          <w:szCs w:val="36"/>
          <w:highlight w:val="none"/>
        </w:rPr>
      </w:pPr>
    </w:p>
    <w:p w14:paraId="7E0B9B91">
      <w:pPr>
        <w:spacing w:line="360" w:lineRule="auto"/>
        <w:ind w:right="420" w:firstLine="3614" w:firstLineChars="1000"/>
        <w:rPr>
          <w:rFonts w:ascii="宋体" w:hAnsi="宋体" w:cs="宋体"/>
          <w:b/>
          <w:color w:val="auto"/>
          <w:sz w:val="36"/>
          <w:szCs w:val="36"/>
          <w:highlight w:val="none"/>
        </w:rPr>
      </w:pPr>
    </w:p>
    <w:p w14:paraId="37658C6E">
      <w:pPr>
        <w:tabs>
          <w:tab w:val="left" w:pos="8085"/>
        </w:tabs>
        <w:spacing w:line="360" w:lineRule="auto"/>
        <w:ind w:firstLine="1285" w:firstLineChars="400"/>
        <w:jc w:val="left"/>
        <w:rPr>
          <w:rFonts w:ascii="宋体" w:hAnsi="宋体" w:cs="宋体"/>
          <w:b/>
          <w:color w:val="auto"/>
          <w:sz w:val="32"/>
          <w:szCs w:val="32"/>
          <w:highlight w:val="none"/>
        </w:rPr>
      </w:pPr>
    </w:p>
    <w:p w14:paraId="763C8265">
      <w:pPr>
        <w:rPr>
          <w:color w:val="auto"/>
          <w:highlight w:val="none"/>
        </w:rPr>
      </w:pPr>
      <w:r>
        <w:rPr>
          <w:rFonts w:hint="eastAsia"/>
          <w:color w:val="auto"/>
          <w:highlight w:val="none"/>
        </w:rPr>
        <w:br w:type="page"/>
      </w:r>
    </w:p>
    <w:p w14:paraId="57C9361C">
      <w:pPr>
        <w:pStyle w:val="3"/>
        <w:jc w:val="center"/>
        <w:rPr>
          <w:rFonts w:ascii="仿宋" w:hAnsi="仿宋" w:eastAsia="仿宋" w:cs="仿宋"/>
          <w:color w:val="auto"/>
          <w:highlight w:val="none"/>
        </w:rPr>
      </w:pPr>
      <w:bookmarkStart w:id="512" w:name="_Toc23678"/>
      <w:bookmarkStart w:id="513" w:name="_Toc12708"/>
      <w:r>
        <w:rPr>
          <w:rFonts w:hint="eastAsia" w:ascii="仿宋" w:hAnsi="仿宋" w:eastAsia="仿宋" w:cs="仿宋"/>
          <w:color w:val="auto"/>
          <w:highlight w:val="none"/>
        </w:rPr>
        <w:t>第七章 附件</w:t>
      </w:r>
      <w:bookmarkEnd w:id="512"/>
      <w:bookmarkEnd w:id="513"/>
    </w:p>
    <w:p w14:paraId="25F32BD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bookmarkStart w:id="514" w:name="OLE_LINK13"/>
      <w:bookmarkStart w:id="515" w:name="OLE_LINK14"/>
      <w:r>
        <w:rPr>
          <w:rFonts w:hint="eastAsia" w:ascii="宋体" w:hAnsi="宋体" w:cs="宋体"/>
          <w:b/>
          <w:color w:val="auto"/>
          <w:spacing w:val="6"/>
          <w:sz w:val="32"/>
          <w:szCs w:val="32"/>
          <w:highlight w:val="none"/>
        </w:rPr>
        <w:t>残疾人福利性单位声明函</w:t>
      </w:r>
    </w:p>
    <w:bookmarkEnd w:id="514"/>
    <w:bookmarkEnd w:id="515"/>
    <w:p w14:paraId="0E0F92B8">
      <w:pPr>
        <w:autoSpaceDE/>
        <w:autoSpaceDN/>
        <w:spacing w:line="420" w:lineRule="exact"/>
        <w:rPr>
          <w:rFonts w:ascii="宋体" w:hAnsi="宋体" w:cs="宋体"/>
          <w:b/>
          <w:color w:val="auto"/>
          <w:spacing w:val="6"/>
          <w:sz w:val="30"/>
          <w:szCs w:val="30"/>
          <w:highlight w:val="none"/>
        </w:rPr>
      </w:pPr>
    </w:p>
    <w:p w14:paraId="502EF2FC">
      <w:pPr>
        <w:autoSpaceDE/>
        <w:autoSpaceDN/>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911479">
      <w:pPr>
        <w:autoSpaceDE/>
        <w:autoSpaceDN/>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79CBA75">
      <w:pPr>
        <w:spacing w:line="360" w:lineRule="auto"/>
        <w:ind w:firstLine="480" w:firstLineChars="200"/>
        <w:rPr>
          <w:rFonts w:ascii="仿宋" w:hAnsi="仿宋" w:eastAsia="仿宋" w:cs="仿宋"/>
          <w:color w:val="auto"/>
          <w:sz w:val="24"/>
          <w:highlight w:val="none"/>
        </w:rPr>
      </w:pPr>
    </w:p>
    <w:p w14:paraId="499FE8AD">
      <w:pPr>
        <w:spacing w:line="360" w:lineRule="auto"/>
        <w:ind w:firstLine="480" w:firstLineChars="200"/>
        <w:rPr>
          <w:rFonts w:ascii="仿宋" w:hAnsi="仿宋" w:eastAsia="仿宋" w:cs="仿宋"/>
          <w:color w:val="auto"/>
          <w:sz w:val="24"/>
          <w:highlight w:val="none"/>
        </w:rPr>
      </w:pPr>
    </w:p>
    <w:p w14:paraId="5B6BBC30">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投标人名称（电子签名）</w:t>
      </w:r>
      <w:r>
        <w:rPr>
          <w:rFonts w:hint="eastAsia" w:ascii="仿宋" w:hAnsi="仿宋" w:eastAsia="仿宋" w:cs="仿宋"/>
          <w:color w:val="auto"/>
          <w:sz w:val="24"/>
          <w:highlight w:val="none"/>
        </w:rPr>
        <w:t>：</w:t>
      </w:r>
    </w:p>
    <w:p w14:paraId="16D6BBD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仿宋" w:hAnsi="仿宋" w:eastAsia="仿宋" w:cs="仿宋"/>
          <w:color w:val="auto"/>
          <w:sz w:val="24"/>
          <w:highlight w:val="none"/>
        </w:rPr>
        <w:t xml:space="preserve"> 日  期</w:t>
      </w:r>
      <w:r>
        <w:rPr>
          <w:rFonts w:hint="eastAsia" w:ascii="宋体" w:hAnsi="宋体" w:cs="宋体"/>
          <w:color w:val="auto"/>
          <w:sz w:val="24"/>
          <w:highlight w:val="none"/>
        </w:rPr>
        <w:t>：</w:t>
      </w:r>
    </w:p>
    <w:p w14:paraId="55773665">
      <w:pPr>
        <w:spacing w:line="360" w:lineRule="auto"/>
        <w:jc w:val="center"/>
        <w:rPr>
          <w:rFonts w:ascii="宋体" w:hAnsi="宋体" w:cs="宋体"/>
          <w:b/>
          <w:color w:val="auto"/>
          <w:spacing w:val="6"/>
          <w:sz w:val="32"/>
          <w:szCs w:val="32"/>
          <w:highlight w:val="none"/>
        </w:rPr>
      </w:pPr>
    </w:p>
    <w:p w14:paraId="3110BD20">
      <w:pPr>
        <w:spacing w:line="360" w:lineRule="auto"/>
        <w:jc w:val="center"/>
        <w:rPr>
          <w:rFonts w:ascii="宋体" w:hAnsi="宋体" w:cs="宋体"/>
          <w:b/>
          <w:color w:val="auto"/>
          <w:spacing w:val="6"/>
          <w:sz w:val="32"/>
          <w:szCs w:val="32"/>
          <w:highlight w:val="none"/>
        </w:rPr>
      </w:pPr>
    </w:p>
    <w:p w14:paraId="29314F4A">
      <w:pPr>
        <w:jc w:val="center"/>
        <w:rPr>
          <w:rFonts w:ascii="宋体" w:hAnsi="宋体" w:cs="宋体"/>
          <w:b/>
          <w:color w:val="auto"/>
          <w:sz w:val="32"/>
          <w:szCs w:val="32"/>
          <w:highlight w:val="none"/>
        </w:rPr>
      </w:pPr>
      <w:r>
        <w:rPr>
          <w:rFonts w:hint="eastAsia" w:ascii="宋体" w:hAnsi="宋体" w:cs="宋体"/>
          <w:b/>
          <w:color w:val="auto"/>
          <w:spacing w:val="6"/>
          <w:sz w:val="32"/>
          <w:szCs w:val="32"/>
          <w:highlight w:val="none"/>
        </w:rPr>
        <w:br w:type="page"/>
      </w:r>
      <w:r>
        <w:rPr>
          <w:rFonts w:hint="eastAsia" w:ascii="宋体" w:hAnsi="宋体" w:cs="宋体"/>
          <w:b/>
          <w:color w:val="auto"/>
          <w:spacing w:val="6"/>
          <w:sz w:val="32"/>
          <w:szCs w:val="32"/>
          <w:highlight w:val="none"/>
        </w:rPr>
        <w:t>附件2：</w:t>
      </w:r>
      <w:r>
        <w:rPr>
          <w:rFonts w:hint="eastAsia" w:ascii="宋体" w:hAnsi="宋体" w:cs="宋体"/>
          <w:b/>
          <w:color w:val="auto"/>
          <w:sz w:val="32"/>
          <w:szCs w:val="32"/>
          <w:highlight w:val="none"/>
        </w:rPr>
        <w:t>中小企业声明函</w:t>
      </w:r>
    </w:p>
    <w:p w14:paraId="2F4CB930">
      <w:pPr>
        <w:spacing w:line="360" w:lineRule="auto"/>
        <w:jc w:val="center"/>
        <w:rPr>
          <w:rFonts w:ascii="宋体" w:hAnsi="宋体" w:cs="宋体"/>
          <w:b/>
          <w:color w:val="auto"/>
          <w:sz w:val="32"/>
          <w:szCs w:val="32"/>
          <w:highlight w:val="none"/>
        </w:rPr>
      </w:pPr>
      <w:bookmarkStart w:id="516" w:name="_Toc13738"/>
      <w:bookmarkStart w:id="517" w:name="_Toc15116"/>
      <w:r>
        <w:rPr>
          <w:rFonts w:hint="eastAsia" w:ascii="宋体" w:hAnsi="宋体" w:cs="宋体"/>
          <w:b/>
          <w:color w:val="auto"/>
          <w:sz w:val="32"/>
          <w:szCs w:val="32"/>
          <w:highlight w:val="none"/>
        </w:rPr>
        <w:t>中小企业声明函（工程、服务）</w:t>
      </w:r>
      <w:bookmarkEnd w:id="516"/>
    </w:p>
    <w:p w14:paraId="74636836">
      <w:pPr>
        <w:spacing w:line="360" w:lineRule="auto"/>
        <w:rPr>
          <w:rFonts w:ascii="宋体" w:hAnsi="宋体" w:cs="宋体"/>
          <w:color w:val="auto"/>
          <w:highlight w:val="none"/>
        </w:rPr>
      </w:pPr>
    </w:p>
    <w:p w14:paraId="54F34230">
      <w:pPr>
        <w:autoSpaceDE/>
        <w:autoSpaceDN/>
        <w:spacing w:line="420" w:lineRule="exact"/>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（单位名称）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C8DF196">
      <w:pPr>
        <w:autoSpaceDE/>
        <w:autoSpaceDN/>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F365B6E">
      <w:pPr>
        <w:autoSpaceDE/>
        <w:autoSpaceDN/>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5796526">
      <w:pPr>
        <w:autoSpaceDE/>
        <w:autoSpaceDN/>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3CEEFADC">
      <w:pPr>
        <w:autoSpaceDE/>
        <w:autoSpaceDN/>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5C6683A">
      <w:pPr>
        <w:autoSpaceDE/>
        <w:autoSpaceDN/>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2AF944F">
      <w:pPr>
        <w:autoSpaceDE/>
        <w:autoSpaceDN/>
        <w:spacing w:line="420" w:lineRule="exact"/>
        <w:ind w:firstLine="4535"/>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114FD4C4">
      <w:pPr>
        <w:autoSpaceDE/>
        <w:autoSpaceDN/>
        <w:spacing w:line="420" w:lineRule="exact"/>
        <w:ind w:firstLine="4535"/>
        <w:jc w:val="left"/>
        <w:rPr>
          <w:rFonts w:ascii="仿宋" w:hAnsi="仿宋" w:eastAsia="仿宋" w:cs="仿宋"/>
          <w:color w:val="auto"/>
          <w:sz w:val="24"/>
          <w:highlight w:val="none"/>
        </w:rPr>
      </w:pPr>
      <w:r>
        <w:rPr>
          <w:rFonts w:hint="eastAsia" w:ascii="仿宋" w:hAnsi="仿宋" w:eastAsia="仿宋" w:cs="仿宋"/>
          <w:color w:val="auto"/>
          <w:spacing w:val="113"/>
          <w:sz w:val="24"/>
          <w:highlight w:val="none"/>
        </w:rPr>
        <w:t>日</w:t>
      </w:r>
      <w:r>
        <w:rPr>
          <w:rFonts w:hint="eastAsia" w:ascii="仿宋" w:hAnsi="仿宋" w:eastAsia="仿宋" w:cs="仿宋"/>
          <w:color w:val="auto"/>
          <w:sz w:val="24"/>
          <w:highlight w:val="none"/>
        </w:rPr>
        <w:t>期：</w:t>
      </w:r>
    </w:p>
    <w:p w14:paraId="669EF066">
      <w:pPr>
        <w:autoSpaceDE/>
        <w:autoSpaceDN/>
        <w:spacing w:line="420" w:lineRule="exact"/>
        <w:ind w:firstLine="310" w:firstLineChars="147"/>
        <w:jc w:val="left"/>
        <w:rPr>
          <w:rFonts w:ascii="仿宋" w:hAnsi="仿宋" w:eastAsia="仿宋" w:cs="仿宋"/>
          <w:b/>
          <w:color w:val="auto"/>
          <w:highlight w:val="none"/>
        </w:rPr>
      </w:pPr>
      <w:r>
        <w:rPr>
          <w:rFonts w:hint="eastAsia" w:ascii="仿宋" w:hAnsi="仿宋" w:eastAsia="仿宋" w:cs="仿宋"/>
          <w:b/>
          <w:color w:val="auto"/>
          <w:highlight w:val="none"/>
        </w:rPr>
        <w:t>从业人员、营业收入、资产总额填报上一年度数据，无上一年度数据的新成立企业可不填报。</w:t>
      </w:r>
    </w:p>
    <w:p w14:paraId="0738E408">
      <w:pPr>
        <w:autoSpaceDE/>
        <w:autoSpaceDN/>
        <w:spacing w:line="420" w:lineRule="exact"/>
        <w:rPr>
          <w:rFonts w:ascii="仿宋" w:hAnsi="仿宋" w:eastAsia="仿宋" w:cs="仿宋"/>
          <w:color w:val="auto"/>
          <w:sz w:val="24"/>
          <w:highlight w:val="none"/>
        </w:rPr>
      </w:pPr>
    </w:p>
    <w:p w14:paraId="6AE24B52">
      <w:pPr>
        <w:autoSpaceDE/>
        <w:autoSpaceDN/>
        <w:spacing w:line="42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注：</w:t>
      </w:r>
    </w:p>
    <w:p w14:paraId="13999690">
      <w:pPr>
        <w:autoSpaceDE/>
        <w:autoSpaceDN/>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E1BD148">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72E962DC">
      <w:pPr>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rPr>
        <w:t>附件3：</w:t>
      </w:r>
      <w:r>
        <w:rPr>
          <w:rFonts w:hint="eastAsia" w:ascii="宋体" w:hAnsi="宋体" w:cs="宋体"/>
          <w:b/>
          <w:color w:val="auto"/>
          <w:sz w:val="32"/>
          <w:szCs w:val="32"/>
          <w:highlight w:val="none"/>
          <w:lang w:val="zh-CN"/>
        </w:rPr>
        <w:t>联合协议</w:t>
      </w:r>
    </w:p>
    <w:p w14:paraId="67257F45">
      <w:pPr>
        <w:widowControl/>
        <w:autoSpaceDE/>
        <w:autoSpaceDN/>
        <w:spacing w:line="42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0AFED0DC">
      <w:pPr>
        <w:autoSpaceDE/>
        <w:autoSpaceDN/>
        <w:snapToGrid w:val="0"/>
        <w:spacing w:line="420" w:lineRule="exact"/>
        <w:ind w:firstLine="576"/>
        <w:rPr>
          <w:rFonts w:ascii="仿宋" w:hAnsi="仿宋" w:eastAsia="仿宋" w:cs="仿宋"/>
          <w:color w:val="auto"/>
          <w:sz w:val="24"/>
          <w:highlight w:val="none"/>
          <w:lang w:val="zh-CN"/>
        </w:rPr>
      </w:pPr>
      <w:r>
        <w:rPr>
          <w:rFonts w:hint="eastAsia" w:ascii="仿宋" w:hAnsi="仿宋" w:eastAsia="仿宋" w:cs="仿宋"/>
          <w:color w:val="auto"/>
          <w:sz w:val="24"/>
          <w:highlight w:val="none"/>
          <w:u w:val="single"/>
        </w:rPr>
        <w:t>（联合体所有成员名称）</w:t>
      </w:r>
      <w:r>
        <w:rPr>
          <w:rFonts w:hint="eastAsia" w:ascii="仿宋" w:hAnsi="仿宋" w:eastAsia="仿宋" w:cs="仿宋"/>
          <w:color w:val="auto"/>
          <w:sz w:val="24"/>
          <w:highlight w:val="none"/>
        </w:rPr>
        <w:t>自愿</w:t>
      </w:r>
      <w:r>
        <w:rPr>
          <w:rFonts w:hint="eastAsia" w:ascii="仿宋" w:hAnsi="仿宋" w:eastAsia="仿宋" w:cs="仿宋"/>
          <w:color w:val="auto"/>
          <w:sz w:val="24"/>
          <w:highlight w:val="none"/>
          <w:lang w:val="zh-CN"/>
        </w:rPr>
        <w:t>组成一个联合体，以一个投标人的身份</w:t>
      </w:r>
      <w:r>
        <w:rPr>
          <w:rFonts w:hint="eastAsia" w:ascii="仿宋" w:hAnsi="仿宋" w:eastAsia="仿宋" w:cs="仿宋"/>
          <w:color w:val="auto"/>
          <w:sz w:val="24"/>
          <w:highlight w:val="none"/>
        </w:rPr>
        <w:t>参加</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 xml:space="preserve">投标。 </w:t>
      </w:r>
    </w:p>
    <w:p w14:paraId="531E9A09">
      <w:pPr>
        <w:autoSpaceDE/>
        <w:autoSpaceDN/>
        <w:snapToGrid w:val="0"/>
        <w:spacing w:line="420" w:lineRule="exact"/>
        <w:ind w:firstLine="57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一、各方一致决定，</w:t>
      </w:r>
      <w:r>
        <w:rPr>
          <w:rFonts w:hint="eastAsia" w:ascii="仿宋" w:hAnsi="仿宋" w:eastAsia="仿宋" w:cs="仿宋"/>
          <w:color w:val="auto"/>
          <w:sz w:val="24"/>
          <w:highlight w:val="none"/>
          <w:u w:val="single"/>
        </w:rPr>
        <w:t>（某联合体成员名称）</w:t>
      </w:r>
      <w:r>
        <w:rPr>
          <w:rFonts w:hint="eastAsia" w:ascii="仿宋" w:hAnsi="仿宋" w:eastAsia="仿宋" w:cs="仿宋"/>
          <w:color w:val="auto"/>
          <w:sz w:val="24"/>
          <w:highlight w:val="none"/>
        </w:rPr>
        <w:t>为联合体</w:t>
      </w:r>
      <w:r>
        <w:rPr>
          <w:rFonts w:hint="eastAsia" w:ascii="仿宋" w:hAnsi="仿宋" w:eastAsia="仿宋" w:cs="仿宋"/>
          <w:color w:val="auto"/>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sz w:val="24"/>
          <w:highlight w:val="none"/>
          <w:lang w:val="zh-CN"/>
        </w:rPr>
        <w:t>。</w:t>
      </w:r>
    </w:p>
    <w:p w14:paraId="36601133">
      <w:pPr>
        <w:autoSpaceDE/>
        <w:autoSpaceDN/>
        <w:snapToGrid w:val="0"/>
        <w:spacing w:line="420" w:lineRule="exact"/>
        <w:ind w:firstLine="576"/>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sz w:val="24"/>
          <w:highlight w:val="none"/>
          <w:lang w:val="zh-CN"/>
        </w:rPr>
        <w:t>授权代表根据招标文件规定及投标内容而对采购人、采购代理机构所作的任何合法承诺，包括书面澄清及相应等均对联合投标各方产生约束力。</w:t>
      </w:r>
    </w:p>
    <w:p w14:paraId="791FAA3E">
      <w:pPr>
        <w:autoSpaceDE/>
        <w:autoSpaceDN/>
        <w:snapToGrid w:val="0"/>
        <w:spacing w:line="42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三、本次联合投标中，分工如下：</w:t>
      </w:r>
      <w:r>
        <w:rPr>
          <w:rFonts w:hint="eastAsia" w:ascii="仿宋" w:hAnsi="仿宋" w:eastAsia="仿宋" w:cs="仿宋"/>
          <w:color w:val="auto"/>
          <w:sz w:val="24"/>
          <w:highlight w:val="none"/>
          <w:u w:val="single"/>
        </w:rPr>
        <w:t>（联合体其中一方成员名称）</w:t>
      </w:r>
      <w:r>
        <w:rPr>
          <w:rFonts w:hint="eastAsia" w:ascii="仿宋" w:hAnsi="仿宋" w:eastAsia="仿宋" w:cs="仿宋"/>
          <w:color w:val="auto"/>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u w:val="single"/>
        </w:rPr>
        <w:t>（联合体其中一方成员名称）</w:t>
      </w:r>
      <w:r>
        <w:rPr>
          <w:rFonts w:hint="eastAsia" w:ascii="仿宋" w:hAnsi="仿宋" w:eastAsia="仿宋" w:cs="仿宋"/>
          <w:color w:val="auto"/>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lang w:val="zh-CN"/>
        </w:rPr>
        <w:t xml:space="preserve"> ；……。</w:t>
      </w:r>
    </w:p>
    <w:p w14:paraId="44F89B4D">
      <w:pPr>
        <w:autoSpaceDE/>
        <w:autoSpaceDN/>
        <w:snapToGrid w:val="0"/>
        <w:spacing w:line="42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w:t>
      </w:r>
    </w:p>
    <w:p w14:paraId="0B7EC464">
      <w:pPr>
        <w:autoSpaceDE/>
        <w:autoSpaceDN/>
        <w:snapToGrid w:val="0"/>
        <w:spacing w:line="42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B203FDA">
      <w:pPr>
        <w:autoSpaceDE/>
        <w:autoSpaceDN/>
        <w:snapToGrid w:val="0"/>
        <w:spacing w:line="42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六、有关本次联合投标的其他事宜：</w:t>
      </w:r>
    </w:p>
    <w:p w14:paraId="2D291BF9">
      <w:pPr>
        <w:autoSpaceDE/>
        <w:autoSpaceDN/>
        <w:snapToGrid w:val="0"/>
        <w:spacing w:line="42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1、联合体各方不再单独参加或者与其他供应商另外组成联合体参加同一合同项下的政府采购活动。</w:t>
      </w:r>
    </w:p>
    <w:p w14:paraId="0A3074E2">
      <w:pPr>
        <w:autoSpaceDE/>
        <w:autoSpaceDN/>
        <w:snapToGrid w:val="0"/>
        <w:spacing w:line="42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2、联合体中有同类资质的各方按照联合体分工承担相同工作的，按照资质等级较低的供应商确定资质等级。</w:t>
      </w:r>
    </w:p>
    <w:p w14:paraId="03673C9F">
      <w:pPr>
        <w:autoSpaceDE/>
        <w:autoSpaceDN/>
        <w:snapToGrid w:val="0"/>
        <w:spacing w:line="42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3、本协议提交采购人、采购代理机构后，联合体各方不得以任何形式对上述内容进行修改或撤销。</w:t>
      </w:r>
    </w:p>
    <w:p w14:paraId="6952ADFC">
      <w:pPr>
        <w:snapToGrid w:val="0"/>
        <w:spacing w:line="360" w:lineRule="auto"/>
        <w:ind w:firstLine="5040" w:firstLineChars="21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联合体成员名称(电子签名/公章)：</w:t>
      </w:r>
    </w:p>
    <w:p w14:paraId="78F09ECD">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sz w:val="24"/>
          <w:highlight w:val="none"/>
          <w:lang w:val="zh-CN"/>
        </w:rPr>
        <w:t>……</w:t>
      </w:r>
    </w:p>
    <w:p w14:paraId="002E0343">
      <w:pPr>
        <w:snapToGrid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日期：  年  月   日</w:t>
      </w:r>
    </w:p>
    <w:p w14:paraId="7F2BB7F8">
      <w:pPr>
        <w:rPr>
          <w:rFonts w:ascii="宋体" w:hAnsi="宋体" w:cs="宋体"/>
          <w:color w:val="auto"/>
          <w:sz w:val="24"/>
          <w:highlight w:val="none"/>
          <w:lang w:val="zh-CN"/>
        </w:rPr>
      </w:pPr>
      <w:r>
        <w:rPr>
          <w:rFonts w:hint="eastAsia" w:ascii="宋体" w:hAnsi="宋体" w:cs="宋体"/>
          <w:color w:val="auto"/>
          <w:sz w:val="24"/>
          <w:highlight w:val="none"/>
          <w:lang w:val="zh-CN"/>
        </w:rPr>
        <w:br w:type="page"/>
      </w:r>
    </w:p>
    <w:p w14:paraId="37D195F3">
      <w:pPr>
        <w:snapToGrid w:val="0"/>
        <w:spacing w:before="312" w:beforeLines="10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附件4：分包意向协议</w:t>
      </w:r>
    </w:p>
    <w:p w14:paraId="4CAF49D2">
      <w:pPr>
        <w:widowControl/>
        <w:autoSpaceDE/>
        <w:autoSpaceDN/>
        <w:spacing w:line="400" w:lineRule="exact"/>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12F20C59">
      <w:pPr>
        <w:autoSpaceDE/>
        <w:autoSpaceDN/>
        <w:snapToGrid w:val="0"/>
        <w:spacing w:line="400" w:lineRule="exact"/>
        <w:ind w:firstLine="578"/>
        <w:rPr>
          <w:rFonts w:ascii="仿宋" w:hAnsi="仿宋" w:eastAsia="仿宋" w:cs="仿宋"/>
          <w:color w:val="auto"/>
          <w:sz w:val="24"/>
          <w:highlight w:val="none"/>
          <w:lang w:val="zh-CN"/>
        </w:rPr>
      </w:pPr>
      <w:r>
        <w:rPr>
          <w:rFonts w:hint="eastAsia" w:ascii="仿宋" w:hAnsi="仿宋" w:eastAsia="仿宋" w:cs="仿宋"/>
          <w:color w:val="auto"/>
          <w:sz w:val="24"/>
          <w:highlight w:val="none"/>
          <w:u w:val="single"/>
        </w:rPr>
        <w:t>（投标人名称）</w:t>
      </w:r>
      <w:r>
        <w:rPr>
          <w:rFonts w:hint="eastAsia" w:ascii="仿宋" w:hAnsi="仿宋" w:eastAsia="仿宋" w:cs="仿宋"/>
          <w:color w:val="auto"/>
          <w:sz w:val="24"/>
          <w:highlight w:val="none"/>
          <w:lang w:val="zh-CN"/>
        </w:rPr>
        <w:t>若成为</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的中标供应商，将依法采取分包方式履行合同。</w:t>
      </w:r>
      <w:r>
        <w:rPr>
          <w:rFonts w:hint="eastAsia" w:ascii="仿宋" w:hAnsi="仿宋" w:eastAsia="仿宋" w:cs="仿宋"/>
          <w:color w:val="auto"/>
          <w:sz w:val="24"/>
          <w:highlight w:val="none"/>
          <w:u w:val="single"/>
        </w:rPr>
        <w:t>（投标人名称）</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u w:val="single"/>
        </w:rPr>
        <w:t>（所有分包供应商名称）</w:t>
      </w:r>
      <w:r>
        <w:rPr>
          <w:rFonts w:hint="eastAsia" w:ascii="仿宋" w:hAnsi="仿宋" w:eastAsia="仿宋" w:cs="仿宋"/>
          <w:color w:val="auto"/>
          <w:sz w:val="24"/>
          <w:highlight w:val="none"/>
        </w:rPr>
        <w:t>达成分包意向协议</w:t>
      </w:r>
      <w:r>
        <w:rPr>
          <w:rFonts w:hint="eastAsia" w:ascii="仿宋" w:hAnsi="仿宋" w:eastAsia="仿宋" w:cs="仿宋"/>
          <w:color w:val="auto"/>
          <w:sz w:val="24"/>
          <w:highlight w:val="none"/>
          <w:lang w:val="zh-CN"/>
        </w:rPr>
        <w:t xml:space="preserve">。 </w:t>
      </w:r>
    </w:p>
    <w:p w14:paraId="700C4A6D">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lang w:val="zh-CN"/>
        </w:rPr>
        <w:t>若成为</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sz w:val="24"/>
          <w:szCs w:val="24"/>
          <w:highlight w:val="none"/>
          <w:lang w:val="zh-CN"/>
        </w:rPr>
        <w:t>的中标供应商，将依法采取分包方式履行合同。</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u w:val="single"/>
        </w:rPr>
        <w:t>（所有分包供应商名称）</w:t>
      </w:r>
      <w:r>
        <w:rPr>
          <w:rFonts w:hint="eastAsia" w:ascii="仿宋" w:hAnsi="仿宋" w:eastAsia="仿宋" w:cs="仿宋"/>
          <w:color w:val="auto"/>
          <w:sz w:val="24"/>
          <w:szCs w:val="24"/>
          <w:highlight w:val="none"/>
        </w:rPr>
        <w:t>达成分包意向协议</w:t>
      </w:r>
      <w:r>
        <w:rPr>
          <w:rFonts w:hint="eastAsia" w:ascii="仿宋" w:hAnsi="仿宋" w:eastAsia="仿宋" w:cs="仿宋"/>
          <w:color w:val="auto"/>
          <w:sz w:val="24"/>
          <w:szCs w:val="24"/>
          <w:highlight w:val="none"/>
          <w:lang w:val="zh-CN"/>
        </w:rPr>
        <w:t xml:space="preserve">。 </w:t>
      </w:r>
    </w:p>
    <w:p w14:paraId="591F4B88">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一、分包标的及数量</w:t>
      </w:r>
    </w:p>
    <w:p w14:paraId="14C68788">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lang w:val="zh-CN"/>
        </w:rPr>
        <w:t>将</w:t>
      </w:r>
      <w:r>
        <w:rPr>
          <w:rFonts w:hint="eastAsia" w:ascii="仿宋" w:hAnsi="仿宋" w:eastAsia="仿宋" w:cs="仿宋"/>
          <w:color w:val="auto"/>
          <w:sz w:val="24"/>
          <w:szCs w:val="24"/>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sz w:val="24"/>
          <w:szCs w:val="24"/>
          <w:highlight w:val="none"/>
          <w:u w:val="single"/>
        </w:rPr>
        <w:t>（某分包供应商名称）</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single"/>
        </w:rPr>
        <w:t>（某分包供应商名称），</w:t>
      </w:r>
      <w:r>
        <w:rPr>
          <w:rFonts w:hint="eastAsia" w:ascii="仿宋" w:hAnsi="仿宋" w:eastAsia="仿宋" w:cs="仿宋"/>
          <w:color w:val="auto"/>
          <w:sz w:val="24"/>
          <w:szCs w:val="24"/>
          <w:highlight w:val="none"/>
          <w:lang w:val="zh-CN"/>
        </w:rPr>
        <w:t>具备承</w:t>
      </w:r>
      <w:r>
        <w:rPr>
          <w:rFonts w:hint="eastAsia" w:ascii="仿宋" w:hAnsi="仿宋" w:eastAsia="仿宋" w:cs="仿宋"/>
          <w:color w:val="auto"/>
          <w:sz w:val="24"/>
          <w:szCs w:val="24"/>
          <w:highlight w:val="none"/>
        </w:rPr>
        <w:t>担</w:t>
      </w:r>
      <w:r>
        <w:rPr>
          <w:rFonts w:hint="eastAsia" w:ascii="仿宋" w:hAnsi="仿宋" w:eastAsia="仿宋" w:cs="仿宋"/>
          <w:color w:val="auto"/>
          <w:sz w:val="24"/>
          <w:szCs w:val="24"/>
          <w:highlight w:val="none"/>
          <w:u w:val="single"/>
          <w:lang w:val="zh-CN"/>
        </w:rPr>
        <w:t>XX工作内容</w:t>
      </w:r>
      <w:r>
        <w:rPr>
          <w:rFonts w:hint="eastAsia" w:ascii="仿宋" w:hAnsi="仿宋" w:eastAsia="仿宋" w:cs="仿宋"/>
          <w:color w:val="auto"/>
          <w:sz w:val="24"/>
          <w:szCs w:val="24"/>
          <w:highlight w:val="none"/>
          <w:lang w:val="zh-CN"/>
        </w:rPr>
        <w:t>相应资质条件且不得再次分包；</w:t>
      </w:r>
    </w:p>
    <w:p w14:paraId="2DB2C2C9">
      <w:pPr>
        <w:spacing w:line="400" w:lineRule="exact"/>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2A1889CF">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二、分包工作履行期限、地点、方式</w:t>
      </w:r>
    </w:p>
    <w:p w14:paraId="10FD1E22">
      <w:pPr>
        <w:snapToGrid w:val="0"/>
        <w:spacing w:line="400" w:lineRule="exact"/>
        <w:ind w:firstLine="576"/>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3D045610">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三、质量</w:t>
      </w:r>
    </w:p>
    <w:p w14:paraId="22D73C0A">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 xml:space="preserve">                                                                                       </w:t>
      </w:r>
    </w:p>
    <w:p w14:paraId="4CCAE172">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四、价款或者报酬</w:t>
      </w:r>
    </w:p>
    <w:p w14:paraId="52C09CCE">
      <w:pPr>
        <w:snapToGrid w:val="0"/>
        <w:spacing w:line="400" w:lineRule="exact"/>
        <w:ind w:left="573" w:leftChars="273"/>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 xml:space="preserve">                                                                                     </w:t>
      </w:r>
    </w:p>
    <w:p w14:paraId="173D5EB3">
      <w:pPr>
        <w:snapToGrid w:val="0"/>
        <w:spacing w:line="400" w:lineRule="exact"/>
        <w:ind w:left="573" w:leftChars="273"/>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五、违约责任</w:t>
      </w:r>
    </w:p>
    <w:p w14:paraId="01D66E56">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 xml:space="preserve">                                                                                     </w:t>
      </w:r>
    </w:p>
    <w:p w14:paraId="4F7C9990">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六、争议解决的办法</w:t>
      </w:r>
    </w:p>
    <w:p w14:paraId="4D198927">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 xml:space="preserve">                                                                                  </w:t>
      </w:r>
    </w:p>
    <w:p w14:paraId="0B78F8AD">
      <w:pPr>
        <w:snapToGrid w:val="0"/>
        <w:spacing w:line="400" w:lineRule="exact"/>
        <w:ind w:firstLine="576"/>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七、其他</w:t>
      </w:r>
    </w:p>
    <w:p w14:paraId="1EBF959E">
      <w:pPr>
        <w:snapToGrid w:val="0"/>
        <w:spacing w:line="400" w:lineRule="exact"/>
        <w:ind w:firstLine="576"/>
        <w:rPr>
          <w:rFonts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u w:val="single"/>
        </w:rPr>
        <w:t>（分包供应商名称）提供的产品全部由小微企业制造，</w:t>
      </w:r>
      <w:r>
        <w:rPr>
          <w:rFonts w:hint="eastAsia" w:ascii="仿宋" w:hAnsi="仿宋" w:eastAsia="仿宋" w:cs="仿宋"/>
          <w:color w:val="auto"/>
          <w:sz w:val="24"/>
          <w:szCs w:val="24"/>
          <w:highlight w:val="none"/>
        </w:rPr>
        <w:t>其合同份额占到合同总金额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%以上。</w:t>
      </w:r>
      <w:r>
        <w:rPr>
          <w:rFonts w:hint="eastAsia" w:ascii="仿宋" w:hAnsi="仿宋" w:eastAsia="仿宋" w:cs="仿宋"/>
          <w:b/>
          <w:color w:val="auto"/>
          <w:sz w:val="24"/>
          <w:szCs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14:paraId="57C6DC9C">
      <w:pPr>
        <w:snapToGrid w:val="0"/>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投标人名称(电子签名)：</w:t>
      </w:r>
    </w:p>
    <w:p w14:paraId="3055A120">
      <w:pPr>
        <w:snapToGrid w:val="0"/>
        <w:spacing w:line="400" w:lineRule="exact"/>
        <w:ind w:firstLine="5640" w:firstLineChars="235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分包供应商名称：</w:t>
      </w:r>
    </w:p>
    <w:p w14:paraId="52B3D5DD">
      <w:pPr>
        <w:snapToGrid w:val="0"/>
        <w:spacing w:line="400" w:lineRule="exact"/>
        <w:ind w:firstLine="5760" w:firstLineChars="2400"/>
        <w:rPr>
          <w:rFonts w:ascii="仿宋" w:hAnsi="仿宋" w:eastAsia="仿宋" w:cs="仿宋"/>
          <w:color w:val="auto"/>
          <w:highlight w:val="none"/>
        </w:rPr>
      </w:pPr>
      <w:r>
        <w:rPr>
          <w:rFonts w:hint="eastAsia" w:ascii="仿宋" w:hAnsi="仿宋" w:eastAsia="仿宋" w:cs="仿宋"/>
          <w:color w:val="auto"/>
          <w:sz w:val="24"/>
          <w:highlight w:val="none"/>
          <w:lang w:val="zh-CN"/>
        </w:rPr>
        <w:t>……</w:t>
      </w:r>
    </w:p>
    <w:p w14:paraId="6EFE2683">
      <w:p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                                               </w:t>
      </w:r>
      <w:r>
        <w:rPr>
          <w:rFonts w:hint="eastAsia" w:ascii="仿宋" w:hAnsi="仿宋" w:eastAsia="仿宋" w:cs="仿宋"/>
          <w:color w:val="auto"/>
          <w:sz w:val="24"/>
          <w:highlight w:val="none"/>
          <w:lang w:val="zh-CN"/>
        </w:rPr>
        <w:t>日期：  年  月   日</w:t>
      </w:r>
      <w:bookmarkEnd w:id="517"/>
    </w:p>
    <w:p w14:paraId="07070604">
      <w:pPr>
        <w:rPr>
          <w:rFonts w:ascii="宋体" w:hAnsi="宋体" w:cs="宋体"/>
          <w:color w:val="auto"/>
          <w:highlight w:val="none"/>
        </w:rPr>
      </w:pPr>
    </w:p>
    <w:p w14:paraId="0A0B7C46">
      <w:pPr>
        <w:rPr>
          <w:color w:val="auto"/>
          <w:highlight w:val="none"/>
        </w:rPr>
      </w:pPr>
    </w:p>
    <w:sectPr>
      <w:pgSz w:w="11906" w:h="16838"/>
      <w:pgMar w:top="1440" w:right="1259" w:bottom="1440" w:left="12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dtPr>
    <w:sdtContent>
      <w:p w14:paraId="37AF8B21">
        <w:pPr>
          <w:pStyle w:val="9"/>
          <w:ind w:firstLine="360"/>
          <w:jc w:val="center"/>
        </w:pPr>
      </w:p>
    </w:sdtContent>
  </w:sdt>
  <w:p w14:paraId="0075AE1F">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AF8E8">
    <w:pPr>
      <w:pStyle w:val="9"/>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7FF3D">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1DF7FF3D">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BC635">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20F4C">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7E420F4C">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2DF9B">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A421D">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268A421D">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CA617">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46B5C">
                          <w:pPr>
                            <w:pStyle w:val="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6FC46B5C">
                    <w:pPr>
                      <w:pStyle w:val="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6914A">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6AB30">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716AB30">
                    <w:pPr>
                      <w:pStyle w:val="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7D510">
    <w:pPr>
      <w:pStyle w:val="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E18A5">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6AE18A5">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F0CE6">
    <w:pPr>
      <w:pStyle w:val="9"/>
      <w:framePr w:wrap="around" w:vAnchor="text" w:hAnchor="margin" w:xAlign="center" w:y="1"/>
      <w:rPr>
        <w:rStyle w:val="18"/>
      </w:rPr>
    </w:pPr>
    <w:r>
      <w:fldChar w:fldCharType="begin"/>
    </w:r>
    <w:r>
      <w:rPr>
        <w:rStyle w:val="18"/>
      </w:rPr>
      <w:instrText xml:space="preserve">PAGE  </w:instrText>
    </w:r>
    <w:r>
      <w:fldChar w:fldCharType="end"/>
    </w:r>
  </w:p>
  <w:p w14:paraId="1C6CF63D">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BAAD4">
    <w:pPr>
      <w:pStyle w:val="9"/>
      <w:jc w:val="center"/>
      <w:rPr>
        <w:rFonts w:eastAsia="宋体"/>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FBADA">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F0FBAD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35293">
    <w:pPr>
      <w:pStyle w:val="9"/>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AA85C">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7DAA85C">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D6149">
    <w:pPr>
      <w:pStyle w:val="9"/>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14:paraId="11DC7A38">
    <w:pPr>
      <w:pStyle w:val="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591F8">
    <w:pPr>
      <w:pStyle w:val="9"/>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F8884">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EDF8884">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78816">
    <w:pPr>
      <w:pStyle w:val="9"/>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EEB1E5">
                          <w:pPr>
                            <w:pStyle w:val="9"/>
                          </w:pPr>
                          <w:r>
                            <w:fldChar w:fldCharType="begin"/>
                          </w:r>
                          <w:r>
                            <w:instrText xml:space="preserve"> PAGE  \* MERGEFORMAT </w:instrText>
                          </w:r>
                          <w:r>
                            <w:fldChar w:fldCharType="separate"/>
                          </w:r>
                          <w:r>
                            <w:t>25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0DEEB1E5">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2D90E">
    <w:pPr>
      <w:pStyle w:val="9"/>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2608B">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6512608B">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43FAD">
    <w:pPr>
      <w:pStyle w:val="10"/>
      <w:pBdr>
        <w:bottom w:val="single" w:color="auto" w:sz="6" w:space="0"/>
      </w:pBdr>
      <w:tabs>
        <w:tab w:val="center" w:pos="4535"/>
        <w:tab w:val="right" w:pos="9070"/>
        <w:tab w:val="clear" w:pos="4153"/>
        <w:tab w:val="clear" w:pos="8306"/>
      </w:tabs>
      <w:jc w:val="right"/>
      <w:rPr>
        <w:rFonts w:ascii="宋体" w:hAnsi="宋体" w:eastAsia="宋体" w:cs="宋体"/>
      </w:rPr>
    </w:pPr>
    <w:r>
      <w:rPr>
        <w:rFonts w:hint="eastAsia" w:ascii="宋体" w:hAnsi="宋体" w:eastAsia="宋体" w:cs="宋体"/>
        <w:lang w:eastAsia="zh-CN"/>
      </w:rPr>
      <w:t>绍兴盈伽工程咨询有限公司</w:t>
    </w:r>
    <w:r>
      <w:rPr>
        <w:rFonts w:hint="eastAsia" w:ascii="宋体" w:hAnsi="宋体" w:eastAsia="宋体" w:cs="宋体"/>
        <w:lang w:val="zh-CN"/>
      </w:rPr>
      <w:t>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895CF">
    <w:pPr>
      <w:pStyle w:val="10"/>
      <w:pBdr>
        <w:bottom w:val="single" w:color="auto" w:sz="6" w:space="0"/>
      </w:pBdr>
      <w:tabs>
        <w:tab w:val="center" w:pos="4535"/>
        <w:tab w:val="right" w:pos="9070"/>
        <w:tab w:val="clear" w:pos="4153"/>
        <w:tab w:val="clear" w:pos="8306"/>
      </w:tabs>
      <w:jc w:val="right"/>
      <w:rPr>
        <w:rFonts w:ascii="宋体" w:hAnsi="宋体" w:eastAsia="宋体" w:cs="宋体"/>
      </w:rPr>
    </w:pPr>
    <w:r>
      <w:rPr>
        <w:rFonts w:hint="eastAsia" w:ascii="宋体" w:hAnsi="宋体" w:eastAsia="宋体" w:cs="宋体"/>
        <w:lang w:eastAsia="zh-CN"/>
      </w:rPr>
      <w:t>绍兴盈伽工程咨询有限公司</w:t>
    </w:r>
    <w:r>
      <w:rPr>
        <w:rFonts w:hint="eastAsia" w:ascii="宋体" w:hAnsi="宋体" w:eastAsia="宋体" w:cs="宋体"/>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CC50">
    <w:pPr>
      <w:pStyle w:val="10"/>
      <w:jc w:val="right"/>
      <w:rPr>
        <w:rFonts w:ascii="宋体" w:hAnsi="宋体" w:eastAsia="宋体" w:cs="宋体"/>
      </w:rPr>
    </w:pPr>
    <w:r>
      <w:rPr>
        <w:rFonts w:hint="eastAsia" w:ascii="宋体" w:hAnsi="宋体" w:eastAsia="宋体" w:cs="宋体"/>
        <w:lang w:eastAsia="zh-CN"/>
      </w:rPr>
      <w:t>绍兴盈伽工程咨询有限公司</w:t>
    </w:r>
    <w:r>
      <w:rPr>
        <w:rFonts w:hint="eastAsia" w:ascii="宋体" w:hAnsi="宋体" w:eastAsia="宋体" w:cs="宋体"/>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0F5EC">
    <w:pPr>
      <w:pStyle w:val="10"/>
      <w:jc w:val="right"/>
      <w:rPr>
        <w:rFonts w:ascii="宋体" w:hAnsi="宋体" w:eastAsia="宋体" w:cs="宋体"/>
      </w:rPr>
    </w:pPr>
    <w:r>
      <w:rPr>
        <w:rFonts w:hint="eastAsia" w:ascii="宋体" w:hAnsi="宋体" w:eastAsia="宋体" w:cs="宋体"/>
        <w:lang w:eastAsia="zh-CN"/>
      </w:rPr>
      <w:t>绍兴盈伽工程咨询有限公司</w:t>
    </w:r>
    <w:r>
      <w:rPr>
        <w:rFonts w:hint="eastAsia" w:ascii="宋体" w:hAnsi="宋体" w:eastAsia="宋体" w:cs="宋体"/>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F37BE">
    <w:pPr>
      <w:pStyle w:val="10"/>
      <w:pBdr>
        <w:bottom w:val="single" w:color="auto" w:sz="6" w:space="0"/>
      </w:pBdr>
      <w:tabs>
        <w:tab w:val="center" w:pos="4535"/>
        <w:tab w:val="right" w:pos="9070"/>
        <w:tab w:val="clear" w:pos="4153"/>
        <w:tab w:val="clear" w:pos="8306"/>
      </w:tabs>
      <w:jc w:val="right"/>
      <w:rPr>
        <w:rFonts w:ascii="仿宋_GB2312" w:eastAsia="仿宋_GB2312"/>
        <w:i/>
        <w:u w:val="single"/>
      </w:rPr>
    </w:pPr>
    <w:r>
      <w:t></w:t>
    </w:r>
    <w:r>
      <w:rPr>
        <w:rFonts w:hint="eastAsia" w:ascii="等线" w:hAnsi="等线" w:eastAsia="等线" w:cs="等线"/>
      </w:rPr>
      <w:t></w:t>
    </w:r>
    <w:r>
      <w:rPr>
        <w:rFonts w:hint="eastAsia" w:ascii="宋体" w:hAnsi="宋体" w:eastAsia="宋体" w:cs="宋体"/>
        <w:lang w:eastAsia="zh-CN"/>
      </w:rPr>
      <w:t>绍兴盈伽工程咨询有限公司</w:t>
    </w:r>
    <w:r>
      <w:rPr>
        <w:rFonts w:hint="eastAsia" w:ascii="宋体" w:hAnsi="宋体" w:eastAsia="宋体" w:cs="宋体"/>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DDD9F">
    <w:pPr>
      <w:pStyle w:val="10"/>
      <w:pBdr>
        <w:bottom w:val="single" w:color="auto" w:sz="6" w:space="0"/>
      </w:pBdr>
      <w:tabs>
        <w:tab w:val="center" w:pos="4535"/>
        <w:tab w:val="right" w:pos="9070"/>
        <w:tab w:val="clear" w:pos="4153"/>
        <w:tab w:val="clear" w:pos="8306"/>
      </w:tabs>
      <w:jc w:val="right"/>
      <w:rPr>
        <w:rFonts w:ascii="宋体" w:hAnsi="宋体" w:eastAsia="宋体" w:cs="宋体"/>
      </w:rPr>
    </w:pPr>
    <w:r>
      <w:rPr>
        <w:rFonts w:hint="eastAsia" w:ascii="宋体" w:hAnsi="宋体" w:eastAsia="宋体" w:cs="宋体"/>
        <w:lang w:eastAsia="zh-CN"/>
      </w:rPr>
      <w:t>绍兴盈伽工程咨询有限公司</w:t>
    </w:r>
    <w:r>
      <w:rPr>
        <w:rFonts w:hint="eastAsia" w:ascii="宋体" w:hAnsi="宋体" w:eastAsia="宋体" w:cs="宋体"/>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30511">
    <w:pPr>
      <w:pStyle w:val="10"/>
      <w:pBdr>
        <w:bottom w:val="single" w:color="auto" w:sz="4" w:space="0"/>
      </w:pBdr>
      <w:tabs>
        <w:tab w:val="left" w:pos="7412"/>
        <w:tab w:val="clear" w:pos="4153"/>
      </w:tabs>
      <w:jc w:val="right"/>
    </w:pPr>
    <w:r>
      <w:t></w:t>
    </w:r>
    <w:r>
      <w:rPr>
        <w:rFonts w:hint="eastAsia" w:ascii="等线" w:hAnsi="等线" w:eastAsia="等线" w:cs="等线"/>
      </w:rPr>
      <w:t></w:t>
    </w:r>
    <w:r>
      <w:rPr>
        <w:rFonts w:hint="eastAsia" w:ascii="宋体" w:hAnsi="宋体" w:eastAsia="宋体" w:cs="宋体"/>
        <w:lang w:eastAsia="zh-CN"/>
      </w:rPr>
      <w:t>绍兴盈伽工程咨询有限公司</w:t>
    </w:r>
    <w:r>
      <w:rPr>
        <w:rFonts w:hint="eastAsia" w:ascii="宋体" w:hAnsi="宋体" w:eastAsia="宋体" w:cs="宋体"/>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25158">
    <w:pPr>
      <w:pStyle w:val="10"/>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rFonts w:hint="eastAsia" w:ascii="宋体" w:hAnsi="宋体" w:eastAsia="宋体" w:cs="宋体"/>
      </w:rPr>
      <w:t></w:t>
    </w:r>
    <w:r>
      <w:rPr>
        <w:rFonts w:hint="eastAsia" w:ascii="宋体" w:hAnsi="宋体" w:eastAsia="宋体" w:cs="宋体"/>
        <w:lang w:eastAsia="zh-CN"/>
      </w:rPr>
      <w:t>绍兴盈伽工程咨询有限公司</w:t>
    </w:r>
    <w:r>
      <w:rPr>
        <w:rFonts w:hint="eastAsia" w:ascii="宋体" w:hAnsi="宋体" w:eastAsia="宋体" w:cs="宋体"/>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20D0B">
    <w:pPr>
      <w:pStyle w:val="10"/>
      <w:jc w:val="right"/>
    </w:pPr>
    <w:r>
      <w:t></w:t>
    </w:r>
    <w:r>
      <w:rPr>
        <w:rFonts w:hint="eastAsia" w:ascii="宋体" w:hAnsi="宋体" w:eastAsia="宋体" w:cs="宋体"/>
        <w:lang w:eastAsia="zh-CN"/>
      </w:rPr>
      <w:t>绍兴盈伽工程咨询有限公司</w:t>
    </w:r>
    <w:r>
      <w:rPr>
        <w:rFonts w:hint="eastAsia" w:ascii="宋体" w:hAnsi="宋体" w:eastAsia="宋体" w:cs="宋体"/>
        <w:lang w:val="zh-CN"/>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756C3">
    <w:pPr>
      <w:pStyle w:val="10"/>
      <w:pBdr>
        <w:bottom w:val="single" w:color="auto" w:sz="6" w:space="0"/>
      </w:pBdr>
      <w:tabs>
        <w:tab w:val="center" w:pos="4535"/>
        <w:tab w:val="right" w:pos="9070"/>
        <w:tab w:val="clear" w:pos="4153"/>
        <w:tab w:val="clear" w:pos="8306"/>
      </w:tabs>
      <w:jc w:val="right"/>
    </w:pPr>
    <w:r>
      <w:rPr>
        <w:rFonts w:hint="eastAsia" w:ascii="宋体" w:hAnsi="宋体" w:eastAsia="宋体" w:cs="宋体"/>
        <w:lang w:eastAsia="zh-CN"/>
      </w:rPr>
      <w:t>绍兴盈伽工程咨询有限公司</w:t>
    </w:r>
    <w:r>
      <w:rPr>
        <w:rFonts w:hint="eastAsia" w:ascii="宋体" w:hAnsi="宋体" w:eastAsia="宋体" w:cs="宋体"/>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8831E"/>
    <w:multiLevelType w:val="singleLevel"/>
    <w:tmpl w:val="83E8831E"/>
    <w:lvl w:ilvl="0" w:tentative="0">
      <w:start w:val="1"/>
      <w:numFmt w:val="decimal"/>
      <w:lvlText w:val="%1."/>
      <w:lvlJc w:val="left"/>
      <w:pPr>
        <w:tabs>
          <w:tab w:val="left" w:pos="312"/>
        </w:tabs>
      </w:pPr>
    </w:lvl>
  </w:abstractNum>
  <w:abstractNum w:abstractNumId="1">
    <w:nsid w:val="BF00600E"/>
    <w:multiLevelType w:val="singleLevel"/>
    <w:tmpl w:val="BF00600E"/>
    <w:lvl w:ilvl="0" w:tentative="0">
      <w:start w:val="1"/>
      <w:numFmt w:val="upperLetter"/>
      <w:lvlText w:val="%1."/>
      <w:lvlJc w:val="left"/>
      <w:pPr>
        <w:tabs>
          <w:tab w:val="left" w:pos="312"/>
        </w:tabs>
      </w:pPr>
    </w:lvl>
  </w:abstractNum>
  <w:abstractNum w:abstractNumId="2">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7F140C8"/>
    <w:multiLevelType w:val="singleLevel"/>
    <w:tmpl w:val="47F140C8"/>
    <w:lvl w:ilvl="0" w:tentative="0">
      <w:start w:val="1"/>
      <w:numFmt w:val="chineseCounting"/>
      <w:suff w:val="nothing"/>
      <w:lvlText w:val="%1、"/>
      <w:lvlJc w:val="left"/>
      <w:rPr>
        <w:rFonts w:hint="eastAsia"/>
      </w:rPr>
    </w:lvl>
  </w:abstractNum>
  <w:abstractNum w:abstractNumId="5">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6">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A23F7"/>
    <w:rsid w:val="08094952"/>
    <w:rsid w:val="1CFA23F7"/>
    <w:rsid w:val="212302BD"/>
    <w:rsid w:val="21311D4A"/>
    <w:rsid w:val="21486EDD"/>
    <w:rsid w:val="29C95AF6"/>
    <w:rsid w:val="2A3E36FC"/>
    <w:rsid w:val="34A47DC9"/>
    <w:rsid w:val="39E931A0"/>
    <w:rsid w:val="4E8C39B2"/>
    <w:rsid w:val="6A503C7D"/>
    <w:rsid w:val="6E027099"/>
    <w:rsid w:val="6FE8718A"/>
    <w:rsid w:val="705A7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99"/>
    <w:pPr>
      <w:widowControl/>
      <w:snapToGrid w:val="0"/>
      <w:spacing w:line="480" w:lineRule="exact"/>
      <w:ind w:firstLine="567"/>
    </w:pPr>
    <w:rPr>
      <w:rFonts w:ascii="宋体"/>
      <w:kern w:val="28"/>
      <w:sz w:val="28"/>
      <w:szCs w:val="20"/>
    </w:rPr>
  </w:style>
  <w:style w:type="paragraph" w:styleId="5">
    <w:name w:val="Body Text Indent"/>
    <w:basedOn w:val="1"/>
    <w:next w:val="1"/>
    <w:qFormat/>
    <w:uiPriority w:val="99"/>
    <w:pPr>
      <w:spacing w:line="480" w:lineRule="exact"/>
      <w:ind w:firstLine="480" w:firstLineChars="200"/>
    </w:pPr>
    <w:rPr>
      <w:rFonts w:ascii="宋体" w:hAnsi="宋体"/>
      <w:sz w:val="24"/>
    </w:rPr>
  </w:style>
  <w:style w:type="paragraph" w:styleId="6">
    <w:name w:val="Body Text"/>
    <w:basedOn w:val="1"/>
    <w:next w:val="7"/>
    <w:qFormat/>
    <w:uiPriority w:val="0"/>
    <w:pPr>
      <w:spacing w:after="120"/>
    </w:pPr>
  </w:style>
  <w:style w:type="paragraph" w:styleId="7">
    <w:name w:val="Body Text First Indent"/>
    <w:basedOn w:val="6"/>
    <w:next w:val="1"/>
    <w:qFormat/>
    <w:uiPriority w:val="99"/>
    <w:pPr>
      <w:ind w:firstLine="420"/>
    </w:pPr>
    <w:rPr>
      <w:szCs w:val="20"/>
    </w:rPr>
  </w:style>
  <w:style w:type="paragraph" w:styleId="8">
    <w:name w:val="Plain Text"/>
    <w:basedOn w:val="1"/>
    <w:next w:val="4"/>
    <w:qFormat/>
    <w:uiPriority w:val="0"/>
    <w:pPr>
      <w:autoSpaceDE/>
      <w:autoSpaceDN/>
      <w:adjustRightInd/>
    </w:pPr>
    <w:rPr>
      <w:rFonts w:asciiTheme="minorHAnsi" w:hAnsiTheme="minorHAnsi" w:eastAsiaTheme="minorEastAsia" w:cstheme="minorBidi"/>
      <w:color w:val="auto"/>
      <w:kern w:val="2"/>
      <w:sz w:val="24"/>
      <w:szCs w:val="22"/>
    </w:rPr>
  </w:style>
  <w:style w:type="paragraph" w:styleId="9">
    <w:name w:val="footer"/>
    <w:basedOn w:val="1"/>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1">
    <w:name w:val="toc 1"/>
    <w:basedOn w:val="1"/>
    <w:next w:val="1"/>
    <w:qFormat/>
    <w:uiPriority w:val="99"/>
  </w:style>
  <w:style w:type="paragraph" w:styleId="12">
    <w:name w:val="Normal (Web)"/>
    <w:basedOn w:val="1"/>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13">
    <w:name w:val="Body Text First Indent 2"/>
    <w:basedOn w:val="5"/>
    <w:unhideWhenUsed/>
    <w:qFormat/>
    <w:uiPriority w:val="0"/>
    <w:pPr>
      <w:ind w:firstLine="420"/>
    </w:pPr>
    <w:rPr>
      <w:rFonts w:ascii="Times New Roman" w:hAnsi="Times New Roman"/>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styleId="20">
    <w:name w:val="HTML Sample"/>
    <w:basedOn w:val="16"/>
    <w:qFormat/>
    <w:uiPriority w:val="0"/>
    <w:rPr>
      <w:rFonts w:ascii="Courier New" w:hAnsi="Courier New"/>
    </w:rPr>
  </w:style>
  <w:style w:type="character" w:customStyle="1" w:styleId="21">
    <w:name w:val="bookmark-item"/>
    <w:basedOn w:val="16"/>
    <w:autoRedefine/>
    <w:qFormat/>
    <w:uiPriority w:val="0"/>
  </w:style>
  <w:style w:type="paragraph" w:styleId="22">
    <w:name w:val="List Paragraph"/>
    <w:basedOn w:val="1"/>
    <w:autoRedefine/>
    <w:qFormat/>
    <w:uiPriority w:val="99"/>
    <w:pPr>
      <w:spacing w:line="360" w:lineRule="auto"/>
      <w:ind w:firstLine="200" w:firstLineChars="200"/>
    </w:pPr>
    <w:rPr>
      <w:rFonts w:eastAsia="楷体_GB2312" w:cs="Lucida Sans"/>
      <w:sz w:val="24"/>
    </w:rPr>
  </w:style>
  <w:style w:type="paragraph" w:customStyle="1" w:styleId="23">
    <w:name w:val="正文2"/>
    <w:basedOn w:val="1"/>
    <w:autoRedefine/>
    <w:qFormat/>
    <w:uiPriority w:val="99"/>
    <w:pPr>
      <w:spacing w:before="156" w:line="360" w:lineRule="auto"/>
      <w:ind w:firstLine="510" w:firstLineChars="200"/>
    </w:pPr>
    <w:rPr>
      <w:sz w:val="24"/>
      <w:szCs w:val="20"/>
    </w:rPr>
  </w:style>
  <w:style w:type="paragraph" w:customStyle="1" w:styleId="24">
    <w:name w:val="表格文字"/>
    <w:basedOn w:val="25"/>
    <w:next w:val="6"/>
    <w:autoRedefine/>
    <w:qFormat/>
    <w:uiPriority w:val="0"/>
    <w:pPr>
      <w:spacing w:line="420" w:lineRule="atLeast"/>
      <w:textAlignment w:val="baseline"/>
    </w:pPr>
  </w:style>
  <w:style w:type="paragraph" w:customStyle="1" w:styleId="25">
    <w:name w:val="表格文字（两侧对齐）"/>
    <w:basedOn w:val="1"/>
    <w:autoRedefine/>
    <w:qFormat/>
    <w:uiPriority w:val="0"/>
    <w:pPr>
      <w:snapToGrid w:val="0"/>
    </w:pPr>
    <w:rPr>
      <w:sz w:val="20"/>
      <w:szCs w:val="24"/>
    </w:rPr>
  </w:style>
  <w:style w:type="paragraph" w:customStyle="1" w:styleId="26">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彩色列表 - 强调文字颜色 11"/>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等线" w:cs="Times New Roman"/>
      <w:kern w:val="2"/>
      <w:sz w:val="21"/>
      <w:szCs w:val="21"/>
      <w:lang w:val="en-US" w:eastAsia="zh-CN" w:bidi="ar"/>
    </w:rPr>
  </w:style>
  <w:style w:type="paragraph" w:customStyle="1" w:styleId="28">
    <w:name w:val="正文缩进1"/>
    <w:basedOn w:val="1"/>
    <w:next w:val="5"/>
    <w:autoRedefine/>
    <w:qFormat/>
    <w:uiPriority w:val="0"/>
    <w:pPr>
      <w:snapToGrid w:val="0"/>
      <w:spacing w:after="120" w:line="360" w:lineRule="auto"/>
      <w:ind w:left="420" w:leftChars="200" w:firstLine="480" w:firstLineChars="200"/>
    </w:pPr>
    <w:rPr>
      <w:sz w:val="24"/>
    </w:rPr>
  </w:style>
  <w:style w:type="paragraph" w:customStyle="1" w:styleId="29">
    <w:name w:val="text-tag"/>
    <w:basedOn w:val="1"/>
    <w:autoRedefine/>
    <w:semiHidden/>
    <w:qFormat/>
    <w:uiPriority w:val="99"/>
    <w:pPr>
      <w:widowControl/>
      <w:adjustRightInd/>
      <w:spacing w:before="100" w:beforeAutospacing="1" w:after="100" w:afterAutospacing="1"/>
      <w:jc w:val="left"/>
    </w:pPr>
    <w:rPr>
      <w:rFonts w:ascii="宋体" w:hAnsi="宋体" w:cs="宋体"/>
      <w:sz w:val="24"/>
    </w:rPr>
  </w:style>
  <w:style w:type="paragraph" w:customStyle="1" w:styleId="30">
    <w:name w:val="纯文本1"/>
    <w:basedOn w:val="1"/>
    <w:autoRedefine/>
    <w:qFormat/>
    <w:uiPriority w:val="0"/>
    <w:rPr>
      <w:rFonts w:ascii="宋体" w:hAnsi="Courier New" w:cs="Courier New"/>
    </w:rPr>
  </w:style>
  <w:style w:type="paragraph" w:customStyle="1" w:styleId="31">
    <w:name w:val="Body Text 31"/>
    <w:basedOn w:val="1"/>
    <w:autoRedefine/>
    <w:qFormat/>
    <w:uiPriority w:val="0"/>
    <w:pPr>
      <w:spacing w:after="120"/>
    </w:pPr>
    <w:rPr>
      <w:sz w:val="16"/>
      <w:szCs w:val="16"/>
    </w:rPr>
  </w:style>
  <w:style w:type="paragraph" w:customStyle="1" w:styleId="32">
    <w:name w:val="纯文本_0_0"/>
    <w:basedOn w:val="33"/>
    <w:autoRedefine/>
    <w:qFormat/>
    <w:uiPriority w:val="99"/>
    <w:rPr>
      <w:rFonts w:ascii="宋体" w:hAnsi="Courier New"/>
      <w:szCs w:val="20"/>
    </w:rPr>
  </w:style>
  <w:style w:type="paragraph" w:customStyle="1" w:styleId="33">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24750</Words>
  <Characters>26462</Characters>
  <Lines>0</Lines>
  <Paragraphs>0</Paragraphs>
  <TotalTime>5</TotalTime>
  <ScaleCrop>false</ScaleCrop>
  <LinksUpToDate>false</LinksUpToDate>
  <CharactersWithSpaces>27782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2024-12-19T05:35:00Z</dcterms:created>
  <dc:creator>jia.</dc:creator>
  <cp:lastModifiedBy>jia.</cp:lastModifiedBy>
  <dcterms:modified xsi:type="dcterms:W3CDTF">2025-02-18T05:33:12Z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DE6DBD2E57EF4353A9F41E7FBDFA3319_11</vt:lpwstr>
  </property>
  <property fmtid="{D5CDD505-2E9C-101B-9397-08002B2CF9AE}" pid="4" name="KSOTemplateDocerSaveRecord">
    <vt:lpwstr>eyJoZGlkIjoiODliMDE1YjNkOGRjYjliMDFmZDAwZjMyYjg1NGM2ODQiLCJ1c2VySWQiOiI0MzM1Mjc4NzAifQ==</vt:lpwstr>
  </property>
</Properties>
</file>