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14C63">
      <w:pPr>
        <w:adjustRightInd/>
        <w:spacing w:line="360" w:lineRule="auto"/>
        <w:jc w:val="center"/>
        <w:rPr>
          <w:rFonts w:hint="eastAsia" w:ascii="仿宋" w:hAnsi="仿宋" w:eastAsia="仿宋" w:cs="仿宋"/>
          <w:b/>
          <w:bCs/>
          <w:sz w:val="44"/>
          <w:szCs w:val="44"/>
          <w:highlight w:val="none"/>
          <w:lang w:eastAsia="zh-CN"/>
        </w:rPr>
      </w:pPr>
      <w:r>
        <w:rPr>
          <w:rFonts w:hint="eastAsia" w:ascii="仿宋" w:hAnsi="仿宋" w:eastAsia="仿宋" w:cs="仿宋"/>
          <w:b/>
          <w:bCs/>
          <w:sz w:val="44"/>
          <w:szCs w:val="44"/>
          <w:highlight w:val="none"/>
          <w:lang w:eastAsia="zh-CN"/>
        </w:rPr>
        <w:t>诸暨市东和乡2025年度水利设计服务采购项目</w:t>
      </w:r>
    </w:p>
    <w:p w14:paraId="3A3620DD">
      <w:pPr>
        <w:autoSpaceDE/>
        <w:autoSpaceDN/>
        <w:spacing w:afterAutospacing="0"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（项目编号：</w:t>
      </w:r>
      <w:r>
        <w:rPr>
          <w:rFonts w:hint="eastAsia" w:ascii="仿宋" w:hAnsi="仿宋" w:eastAsia="仿宋" w:cs="仿宋"/>
          <w:b/>
          <w:bCs/>
          <w:color w:val="auto"/>
          <w:sz w:val="30"/>
          <w:szCs w:val="30"/>
          <w:highlight w:val="none"/>
          <w:lang w:eastAsia="zh-CN"/>
        </w:rPr>
        <w:t>绍兴盈伽2025-02-10</w:t>
      </w:r>
      <w:r>
        <w:rPr>
          <w:rFonts w:hint="eastAsia" w:ascii="仿宋" w:hAnsi="仿宋" w:eastAsia="仿宋" w:cs="仿宋"/>
          <w:b/>
          <w:bCs/>
          <w:color w:val="auto"/>
          <w:sz w:val="30"/>
          <w:szCs w:val="30"/>
          <w:highlight w:val="none"/>
        </w:rPr>
        <w:t>）</w:t>
      </w:r>
    </w:p>
    <w:p w14:paraId="5EB15025">
      <w:pPr>
        <w:autoSpaceDE/>
        <w:autoSpaceDN/>
        <w:spacing w:afterAutospacing="0" w:line="360" w:lineRule="auto"/>
        <w:jc w:val="center"/>
        <w:rPr>
          <w:rFonts w:hint="eastAsia" w:ascii="仿宋" w:hAnsi="仿宋" w:eastAsia="仿宋" w:cs="仿宋"/>
          <w:b/>
          <w:color w:val="auto"/>
          <w:spacing w:val="36"/>
          <w:sz w:val="36"/>
          <w:highlight w:val="none"/>
        </w:rPr>
      </w:pPr>
      <w:r>
        <w:rPr>
          <w:rFonts w:hint="eastAsia" w:ascii="仿宋" w:hAnsi="仿宋" w:eastAsia="仿宋" w:cs="仿宋"/>
          <w:b/>
          <w:color w:val="auto"/>
          <w:spacing w:val="36"/>
          <w:sz w:val="36"/>
          <w:highlight w:val="none"/>
        </w:rPr>
        <w:t>（电子招投标）</w:t>
      </w:r>
    </w:p>
    <w:p w14:paraId="5FD3D3A7">
      <w:pPr>
        <w:snapToGrid w:val="0"/>
        <w:spacing w:beforeAutospacing="0" w:line="192" w:lineRule="auto"/>
        <w:jc w:val="center"/>
        <w:rPr>
          <w:rFonts w:hint="eastAsia" w:ascii="仿宋" w:hAnsi="仿宋" w:eastAsia="仿宋" w:cs="仿宋"/>
          <w:b/>
          <w:color w:val="auto"/>
          <w:spacing w:val="-6"/>
          <w:sz w:val="72"/>
          <w:szCs w:val="72"/>
          <w:highlight w:val="none"/>
        </w:rPr>
      </w:pPr>
    </w:p>
    <w:p w14:paraId="46282384">
      <w:pPr>
        <w:spacing w:beforeAutospacing="0" w:line="360" w:lineRule="auto"/>
        <w:jc w:val="center"/>
        <w:rPr>
          <w:rFonts w:hint="eastAsia" w:ascii="仿宋" w:hAnsi="仿宋" w:eastAsia="仿宋" w:cs="仿宋"/>
          <w:b/>
          <w:color w:val="auto"/>
          <w:spacing w:val="-6"/>
          <w:sz w:val="60"/>
          <w:szCs w:val="60"/>
          <w:highlight w:val="none"/>
        </w:rPr>
      </w:pPr>
      <w:r>
        <w:rPr>
          <w:rFonts w:hint="eastAsia" w:ascii="仿宋" w:hAnsi="仿宋" w:eastAsia="仿宋" w:cs="仿宋"/>
          <w:b/>
          <w:color w:val="auto"/>
          <w:spacing w:val="-6"/>
          <w:sz w:val="60"/>
          <w:szCs w:val="60"/>
          <w:highlight w:val="none"/>
        </w:rPr>
        <w:t>竞</w:t>
      </w:r>
    </w:p>
    <w:p w14:paraId="1A54D125">
      <w:pPr>
        <w:spacing w:beforeAutospacing="0" w:line="360" w:lineRule="auto"/>
        <w:jc w:val="center"/>
        <w:rPr>
          <w:rFonts w:hint="eastAsia" w:ascii="仿宋" w:hAnsi="仿宋" w:eastAsia="仿宋" w:cs="仿宋"/>
          <w:b/>
          <w:color w:val="auto"/>
          <w:spacing w:val="-6"/>
          <w:sz w:val="60"/>
          <w:szCs w:val="60"/>
          <w:highlight w:val="none"/>
        </w:rPr>
      </w:pPr>
      <w:r>
        <w:rPr>
          <w:rFonts w:hint="eastAsia" w:ascii="仿宋" w:hAnsi="仿宋" w:eastAsia="仿宋" w:cs="仿宋"/>
          <w:b/>
          <w:color w:val="auto"/>
          <w:spacing w:val="-6"/>
          <w:sz w:val="60"/>
          <w:szCs w:val="60"/>
          <w:highlight w:val="none"/>
        </w:rPr>
        <w:t>争</w:t>
      </w:r>
    </w:p>
    <w:p w14:paraId="645E2774">
      <w:pPr>
        <w:spacing w:beforeAutospacing="0" w:line="360" w:lineRule="auto"/>
        <w:jc w:val="center"/>
        <w:rPr>
          <w:rFonts w:hint="eastAsia" w:ascii="仿宋" w:hAnsi="仿宋" w:eastAsia="仿宋" w:cs="仿宋"/>
          <w:b/>
          <w:color w:val="auto"/>
          <w:spacing w:val="-6"/>
          <w:sz w:val="60"/>
          <w:szCs w:val="60"/>
          <w:highlight w:val="none"/>
        </w:rPr>
      </w:pPr>
      <w:r>
        <w:rPr>
          <w:rFonts w:hint="eastAsia" w:ascii="仿宋" w:hAnsi="仿宋" w:eastAsia="仿宋" w:cs="仿宋"/>
          <w:b/>
          <w:color w:val="auto"/>
          <w:spacing w:val="-6"/>
          <w:sz w:val="60"/>
          <w:szCs w:val="60"/>
          <w:highlight w:val="none"/>
        </w:rPr>
        <w:t>性</w:t>
      </w:r>
    </w:p>
    <w:p w14:paraId="34682238">
      <w:pPr>
        <w:spacing w:beforeAutospacing="0" w:line="360" w:lineRule="auto"/>
        <w:jc w:val="center"/>
        <w:rPr>
          <w:rFonts w:hint="eastAsia" w:ascii="仿宋" w:hAnsi="仿宋" w:eastAsia="仿宋" w:cs="仿宋"/>
          <w:b/>
          <w:color w:val="auto"/>
          <w:spacing w:val="-6"/>
          <w:sz w:val="60"/>
          <w:szCs w:val="60"/>
          <w:highlight w:val="none"/>
        </w:rPr>
      </w:pPr>
      <w:r>
        <w:rPr>
          <w:rFonts w:hint="eastAsia" w:ascii="仿宋" w:hAnsi="仿宋" w:eastAsia="仿宋" w:cs="仿宋"/>
          <w:b/>
          <w:color w:val="auto"/>
          <w:spacing w:val="-6"/>
          <w:sz w:val="60"/>
          <w:szCs w:val="60"/>
          <w:highlight w:val="none"/>
        </w:rPr>
        <w:t>磋</w:t>
      </w:r>
    </w:p>
    <w:p w14:paraId="11740BF5">
      <w:pPr>
        <w:spacing w:beforeAutospacing="0" w:line="360" w:lineRule="auto"/>
        <w:jc w:val="center"/>
        <w:rPr>
          <w:rFonts w:hint="eastAsia" w:ascii="仿宋" w:hAnsi="仿宋" w:eastAsia="仿宋" w:cs="仿宋"/>
          <w:b/>
          <w:color w:val="auto"/>
          <w:spacing w:val="-6"/>
          <w:sz w:val="60"/>
          <w:szCs w:val="60"/>
          <w:highlight w:val="none"/>
        </w:rPr>
      </w:pPr>
      <w:r>
        <w:rPr>
          <w:rFonts w:hint="eastAsia" w:ascii="仿宋" w:hAnsi="仿宋" w:eastAsia="仿宋" w:cs="仿宋"/>
          <w:b/>
          <w:color w:val="auto"/>
          <w:spacing w:val="-6"/>
          <w:sz w:val="60"/>
          <w:szCs w:val="60"/>
          <w:highlight w:val="none"/>
        </w:rPr>
        <w:t>商</w:t>
      </w:r>
    </w:p>
    <w:p w14:paraId="6F08E82D">
      <w:pPr>
        <w:spacing w:beforeAutospacing="0" w:line="360" w:lineRule="auto"/>
        <w:jc w:val="center"/>
        <w:rPr>
          <w:rFonts w:hint="eastAsia" w:ascii="仿宋" w:hAnsi="仿宋" w:eastAsia="仿宋" w:cs="仿宋"/>
          <w:b/>
          <w:color w:val="auto"/>
          <w:spacing w:val="-6"/>
          <w:sz w:val="60"/>
          <w:szCs w:val="60"/>
          <w:highlight w:val="none"/>
        </w:rPr>
      </w:pPr>
      <w:r>
        <w:rPr>
          <w:rFonts w:hint="eastAsia" w:ascii="仿宋" w:hAnsi="仿宋" w:eastAsia="仿宋" w:cs="仿宋"/>
          <w:b/>
          <w:color w:val="auto"/>
          <w:spacing w:val="-6"/>
          <w:sz w:val="60"/>
          <w:szCs w:val="60"/>
          <w:highlight w:val="none"/>
        </w:rPr>
        <w:t>文</w:t>
      </w:r>
    </w:p>
    <w:p w14:paraId="3EACBA6B">
      <w:pPr>
        <w:spacing w:beforeAutospacing="0" w:line="360" w:lineRule="auto"/>
        <w:jc w:val="center"/>
        <w:rPr>
          <w:rFonts w:hint="eastAsia" w:ascii="仿宋" w:hAnsi="仿宋" w:eastAsia="仿宋" w:cs="仿宋"/>
          <w:b/>
          <w:color w:val="auto"/>
          <w:spacing w:val="-6"/>
          <w:sz w:val="84"/>
          <w:szCs w:val="84"/>
          <w:highlight w:val="none"/>
        </w:rPr>
      </w:pPr>
      <w:r>
        <w:rPr>
          <w:rFonts w:hint="eastAsia" w:ascii="仿宋" w:hAnsi="仿宋" w:eastAsia="仿宋" w:cs="仿宋"/>
          <w:b/>
          <w:color w:val="auto"/>
          <w:spacing w:val="-6"/>
          <w:sz w:val="60"/>
          <w:szCs w:val="60"/>
          <w:highlight w:val="none"/>
        </w:rPr>
        <w:t>件</w:t>
      </w:r>
    </w:p>
    <w:p w14:paraId="3A4CE6E5">
      <w:pPr>
        <w:snapToGrid w:val="0"/>
        <w:spacing w:line="360" w:lineRule="auto"/>
        <w:jc w:val="center"/>
        <w:rPr>
          <w:rFonts w:hint="eastAsia" w:ascii="仿宋" w:hAnsi="仿宋" w:eastAsia="仿宋" w:cs="仿宋"/>
          <w:b/>
          <w:bCs/>
          <w:color w:val="auto"/>
          <w:sz w:val="32"/>
          <w:szCs w:val="32"/>
          <w:highlight w:val="none"/>
        </w:rPr>
      </w:pPr>
    </w:p>
    <w:p w14:paraId="23BECA13">
      <w:pPr>
        <w:snapToGrid w:val="0"/>
        <w:spacing w:line="360"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rPr>
        <w:t>采购</w:t>
      </w:r>
      <w:r>
        <w:rPr>
          <w:rFonts w:hint="eastAsia" w:ascii="仿宋" w:hAnsi="仿宋" w:eastAsia="仿宋" w:cs="仿宋"/>
          <w:b/>
          <w:bCs/>
          <w:color w:val="auto"/>
          <w:sz w:val="32"/>
          <w:szCs w:val="32"/>
          <w:highlight w:val="none"/>
          <w:lang w:eastAsia="zh-CN"/>
        </w:rPr>
        <w:t>单位</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CN"/>
        </w:rPr>
        <w:t>诸暨市东和乡人民政府</w:t>
      </w:r>
    </w:p>
    <w:p w14:paraId="6A57A0B4">
      <w:pPr>
        <w:spacing w:line="360" w:lineRule="auto"/>
        <w:jc w:val="center"/>
        <w:rPr>
          <w:rFonts w:hint="eastAsia" w:ascii="仿宋" w:hAnsi="仿宋" w:eastAsia="仿宋" w:cs="仿宋"/>
          <w:b/>
          <w:bCs/>
          <w:color w:val="auto"/>
          <w:w w:val="95"/>
          <w:sz w:val="32"/>
          <w:szCs w:val="32"/>
          <w:highlight w:val="none"/>
        </w:rPr>
      </w:pPr>
      <w:r>
        <w:rPr>
          <w:rFonts w:hint="eastAsia" w:ascii="仿宋" w:hAnsi="仿宋" w:eastAsia="仿宋" w:cs="仿宋"/>
          <w:b/>
          <w:bCs/>
          <w:color w:val="auto"/>
          <w:sz w:val="32"/>
          <w:szCs w:val="32"/>
          <w:highlight w:val="none"/>
        </w:rPr>
        <w:t>采购代理机构：</w:t>
      </w:r>
      <w:r>
        <w:rPr>
          <w:rFonts w:hint="eastAsia" w:ascii="仿宋" w:hAnsi="仿宋" w:eastAsia="仿宋" w:cs="仿宋"/>
          <w:b/>
          <w:bCs/>
          <w:color w:val="auto"/>
          <w:sz w:val="32"/>
          <w:szCs w:val="32"/>
          <w:highlight w:val="none"/>
          <w:lang w:eastAsia="zh-CN"/>
        </w:rPr>
        <w:t>绍兴盈伽工程咨询有限公司</w:t>
      </w:r>
    </w:p>
    <w:p w14:paraId="662CF100">
      <w:pPr>
        <w:spacing w:line="360" w:lineRule="auto"/>
        <w:jc w:val="center"/>
        <w:rPr>
          <w:rFonts w:hint="eastAsia" w:ascii="仿宋" w:hAnsi="仿宋" w:eastAsia="仿宋" w:cs="仿宋"/>
          <w:b/>
          <w:bCs/>
          <w:color w:val="auto"/>
          <w:w w:val="95"/>
          <w:sz w:val="32"/>
          <w:szCs w:val="32"/>
          <w:highlight w:val="none"/>
        </w:rPr>
      </w:pPr>
      <w:r>
        <w:rPr>
          <w:rFonts w:hint="eastAsia" w:ascii="仿宋" w:hAnsi="仿宋" w:eastAsia="仿宋" w:cs="仿宋"/>
          <w:b/>
          <w:bCs/>
          <w:color w:val="auto"/>
          <w:w w:val="95"/>
          <w:sz w:val="32"/>
          <w:szCs w:val="32"/>
          <w:highlight w:val="none"/>
        </w:rPr>
        <w:t>二〇二</w:t>
      </w:r>
      <w:r>
        <w:rPr>
          <w:rFonts w:hint="eastAsia" w:ascii="仿宋" w:hAnsi="仿宋" w:eastAsia="仿宋" w:cs="仿宋"/>
          <w:b/>
          <w:bCs/>
          <w:color w:val="auto"/>
          <w:w w:val="95"/>
          <w:sz w:val="32"/>
          <w:szCs w:val="32"/>
          <w:highlight w:val="none"/>
          <w:lang w:val="en-US" w:eastAsia="zh-CN"/>
        </w:rPr>
        <w:t>五</w:t>
      </w:r>
      <w:r>
        <w:rPr>
          <w:rFonts w:hint="eastAsia" w:ascii="仿宋" w:hAnsi="仿宋" w:eastAsia="仿宋" w:cs="仿宋"/>
          <w:b/>
          <w:bCs/>
          <w:color w:val="auto"/>
          <w:w w:val="95"/>
          <w:sz w:val="32"/>
          <w:szCs w:val="32"/>
          <w:highlight w:val="none"/>
        </w:rPr>
        <w:t>年</w:t>
      </w:r>
      <w:r>
        <w:rPr>
          <w:rFonts w:hint="eastAsia" w:ascii="仿宋" w:hAnsi="仿宋" w:eastAsia="仿宋" w:cs="仿宋"/>
          <w:b/>
          <w:bCs/>
          <w:color w:val="auto"/>
          <w:w w:val="95"/>
          <w:sz w:val="32"/>
          <w:szCs w:val="32"/>
          <w:highlight w:val="none"/>
          <w:lang w:val="en-US" w:eastAsia="zh-CN"/>
        </w:rPr>
        <w:t>二</w:t>
      </w:r>
      <w:r>
        <w:rPr>
          <w:rFonts w:hint="eastAsia" w:ascii="仿宋" w:hAnsi="仿宋" w:eastAsia="仿宋" w:cs="仿宋"/>
          <w:b/>
          <w:bCs/>
          <w:color w:val="auto"/>
          <w:w w:val="95"/>
          <w:sz w:val="32"/>
          <w:szCs w:val="32"/>
          <w:highlight w:val="none"/>
        </w:rPr>
        <w:t>月</w:t>
      </w:r>
    </w:p>
    <w:p w14:paraId="58FB151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74BF13C0">
      <w:pPr>
        <w:keepNext w:val="0"/>
        <w:keepLines w:val="0"/>
        <w:pageBreakBefore w:val="0"/>
        <w:widowControl w:val="0"/>
        <w:kinsoku/>
        <w:wordWrap/>
        <w:overflowPunct/>
        <w:topLinePunct w:val="0"/>
        <w:autoSpaceDE/>
        <w:autoSpaceDN/>
        <w:bidi w:val="0"/>
        <w:adjustRightInd w:val="0"/>
        <w:snapToGrid/>
        <w:spacing w:before="360" w:after="360" w:line="360" w:lineRule="auto"/>
        <w:jc w:val="center"/>
        <w:textAlignment w:val="auto"/>
        <w:rPr>
          <w:rFonts w:hint="eastAsia" w:ascii="仿宋" w:hAnsi="仿宋" w:eastAsia="仿宋" w:cs="仿宋"/>
          <w:b/>
          <w:sz w:val="44"/>
          <w:szCs w:val="44"/>
          <w:highlight w:val="none"/>
        </w:rPr>
      </w:pPr>
      <w:r>
        <w:rPr>
          <w:rFonts w:hint="eastAsia" w:ascii="仿宋" w:hAnsi="仿宋" w:eastAsia="仿宋" w:cs="仿宋"/>
          <w:b/>
          <w:sz w:val="44"/>
          <w:szCs w:val="44"/>
          <w:highlight w:val="none"/>
        </w:rPr>
        <w:t>目</w:t>
      </w:r>
      <w:r>
        <w:rPr>
          <w:rFonts w:hint="eastAsia" w:ascii="仿宋" w:hAnsi="仿宋" w:eastAsia="仿宋" w:cs="仿宋"/>
          <w:b/>
          <w:sz w:val="44"/>
          <w:szCs w:val="44"/>
          <w:highlight w:val="none"/>
          <w:lang w:val="en-US" w:eastAsia="zh-CN"/>
        </w:rPr>
        <w:t xml:space="preserve"> </w:t>
      </w:r>
      <w:r>
        <w:rPr>
          <w:rFonts w:hint="eastAsia" w:ascii="仿宋" w:hAnsi="仿宋" w:eastAsia="仿宋" w:cs="仿宋"/>
          <w:b/>
          <w:sz w:val="44"/>
          <w:szCs w:val="44"/>
          <w:highlight w:val="none"/>
        </w:rPr>
        <w:t>录</w:t>
      </w:r>
    </w:p>
    <w:p w14:paraId="29D8993E">
      <w:pPr>
        <w:keepNext w:val="0"/>
        <w:keepLines w:val="0"/>
        <w:pageBreakBefore w:val="0"/>
        <w:widowControl w:val="0"/>
        <w:kinsoku/>
        <w:wordWrap/>
        <w:overflowPunct/>
        <w:topLinePunct w:val="0"/>
        <w:autoSpaceDE/>
        <w:autoSpaceDN/>
        <w:bidi w:val="0"/>
        <w:adjustRightInd w:val="0"/>
        <w:snapToGrid/>
        <w:spacing w:before="157" w:beforeLines="50" w:after="157" w:afterLines="50" w:line="600" w:lineRule="auto"/>
        <w:ind w:firstLine="723" w:firstLineChars="200"/>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 xml:space="preserve">第一部分     </w:t>
      </w:r>
      <w:r>
        <w:rPr>
          <w:rFonts w:hint="eastAsia" w:ascii="仿宋" w:hAnsi="仿宋" w:eastAsia="仿宋" w:cs="仿宋"/>
          <w:b/>
          <w:bCs/>
          <w:sz w:val="36"/>
          <w:szCs w:val="36"/>
          <w:highlight w:val="none"/>
          <w:lang w:val="en-US" w:eastAsia="zh-CN"/>
        </w:rPr>
        <w:t xml:space="preserve"> 竞争性</w:t>
      </w:r>
      <w:r>
        <w:rPr>
          <w:rFonts w:hint="eastAsia" w:ascii="仿宋" w:hAnsi="仿宋" w:eastAsia="仿宋" w:cs="仿宋"/>
          <w:b/>
          <w:bCs/>
          <w:sz w:val="36"/>
          <w:szCs w:val="36"/>
          <w:highlight w:val="none"/>
        </w:rPr>
        <w:t>磋商公告</w:t>
      </w:r>
    </w:p>
    <w:p w14:paraId="617595D3">
      <w:pPr>
        <w:keepNext w:val="0"/>
        <w:keepLines w:val="0"/>
        <w:pageBreakBefore w:val="0"/>
        <w:widowControl w:val="0"/>
        <w:kinsoku/>
        <w:wordWrap/>
        <w:overflowPunct/>
        <w:topLinePunct w:val="0"/>
        <w:autoSpaceDE/>
        <w:autoSpaceDN/>
        <w:bidi w:val="0"/>
        <w:adjustRightInd w:val="0"/>
        <w:snapToGrid/>
        <w:spacing w:before="157" w:beforeLines="50" w:after="157" w:afterLines="50" w:line="600" w:lineRule="auto"/>
        <w:ind w:firstLine="723" w:firstLineChars="200"/>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第二部分      磋商供应商须知</w:t>
      </w:r>
    </w:p>
    <w:p w14:paraId="7918BA7D">
      <w:pPr>
        <w:keepNext w:val="0"/>
        <w:keepLines w:val="0"/>
        <w:pageBreakBefore w:val="0"/>
        <w:widowControl w:val="0"/>
        <w:kinsoku/>
        <w:wordWrap/>
        <w:overflowPunct/>
        <w:topLinePunct w:val="0"/>
        <w:autoSpaceDE/>
        <w:autoSpaceDN/>
        <w:bidi w:val="0"/>
        <w:adjustRightInd w:val="0"/>
        <w:snapToGrid/>
        <w:spacing w:before="157" w:beforeLines="50" w:after="157" w:afterLines="50" w:line="600" w:lineRule="auto"/>
        <w:ind w:firstLine="723" w:firstLineChars="200"/>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第三部分      采购需求</w:t>
      </w:r>
    </w:p>
    <w:p w14:paraId="783ED884">
      <w:pPr>
        <w:keepNext w:val="0"/>
        <w:keepLines w:val="0"/>
        <w:pageBreakBefore w:val="0"/>
        <w:widowControl w:val="0"/>
        <w:kinsoku/>
        <w:wordWrap/>
        <w:overflowPunct/>
        <w:topLinePunct w:val="0"/>
        <w:autoSpaceDE/>
        <w:autoSpaceDN/>
        <w:bidi w:val="0"/>
        <w:adjustRightInd w:val="0"/>
        <w:snapToGrid/>
        <w:spacing w:before="157" w:beforeLines="50" w:after="157" w:afterLines="50" w:line="600" w:lineRule="auto"/>
        <w:ind w:firstLine="723" w:firstLineChars="200"/>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第四部分      评标办法</w:t>
      </w:r>
    </w:p>
    <w:p w14:paraId="7429590F">
      <w:pPr>
        <w:keepNext w:val="0"/>
        <w:keepLines w:val="0"/>
        <w:pageBreakBefore w:val="0"/>
        <w:widowControl w:val="0"/>
        <w:kinsoku/>
        <w:wordWrap/>
        <w:overflowPunct/>
        <w:topLinePunct w:val="0"/>
        <w:autoSpaceDE/>
        <w:autoSpaceDN/>
        <w:bidi w:val="0"/>
        <w:adjustRightInd w:val="0"/>
        <w:snapToGrid/>
        <w:spacing w:before="157" w:beforeLines="50" w:after="157" w:afterLines="50" w:line="600" w:lineRule="auto"/>
        <w:ind w:firstLine="723" w:firstLineChars="200"/>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第五部分      政府采购合同参考范本（供参考）</w:t>
      </w:r>
    </w:p>
    <w:p w14:paraId="1E22BC03">
      <w:pPr>
        <w:keepNext w:val="0"/>
        <w:keepLines w:val="0"/>
        <w:pageBreakBefore w:val="0"/>
        <w:widowControl w:val="0"/>
        <w:kinsoku/>
        <w:wordWrap/>
        <w:overflowPunct/>
        <w:topLinePunct w:val="0"/>
        <w:autoSpaceDE/>
        <w:autoSpaceDN/>
        <w:bidi w:val="0"/>
        <w:adjustRightInd w:val="0"/>
        <w:snapToGrid/>
        <w:spacing w:before="157" w:beforeLines="50" w:after="157" w:afterLines="50" w:line="600" w:lineRule="auto"/>
        <w:ind w:firstLine="723" w:firstLineChars="200"/>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第六部分      应提交的有关格式范例</w:t>
      </w:r>
    </w:p>
    <w:p w14:paraId="01F123A6">
      <w:pPr>
        <w:spacing w:line="360" w:lineRule="auto"/>
        <w:ind w:firstLine="549" w:firstLineChars="229"/>
        <w:rPr>
          <w:rFonts w:hint="eastAsia" w:ascii="仿宋" w:hAnsi="仿宋" w:eastAsia="仿宋" w:cs="仿宋"/>
          <w:sz w:val="24"/>
          <w:highlight w:val="none"/>
        </w:rPr>
      </w:pPr>
      <w:bookmarkStart w:id="1" w:name="_Hlt91233176"/>
      <w:bookmarkEnd w:id="1"/>
      <w:bookmarkStart w:id="2" w:name="_Toc91899869"/>
    </w:p>
    <w:bookmarkEnd w:id="2"/>
    <w:p w14:paraId="41F02D5A">
      <w:pPr>
        <w:adjustRightInd/>
        <w:spacing w:line="360" w:lineRule="auto"/>
        <w:jc w:val="center"/>
        <w:outlineLvl w:val="0"/>
        <w:rPr>
          <w:rFonts w:hint="eastAsia" w:ascii="仿宋" w:hAnsi="仿宋" w:eastAsia="仿宋" w:cs="仿宋"/>
          <w:b/>
          <w:sz w:val="36"/>
          <w:szCs w:val="20"/>
          <w:highlight w:val="none"/>
        </w:rPr>
        <w:sectPr>
          <w:headerReference r:id="rId4" w:type="first"/>
          <w:footerReference r:id="rId6" w:type="first"/>
          <w:headerReference r:id="rId3" w:type="default"/>
          <w:footerReference r:id="rId5" w:type="default"/>
          <w:pgSz w:w="11906" w:h="16838"/>
          <w:pgMar w:top="1247" w:right="1803" w:bottom="1247" w:left="1803" w:header="907"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pPr>
      <w:bookmarkStart w:id="3" w:name="_Hlt74729822"/>
      <w:bookmarkEnd w:id="3"/>
      <w:bookmarkStart w:id="4" w:name="_Hlt74649545"/>
      <w:bookmarkEnd w:id="4"/>
      <w:bookmarkStart w:id="5" w:name="_Hlt74728647"/>
      <w:bookmarkEnd w:id="5"/>
      <w:bookmarkStart w:id="6" w:name="_Hlt74707423"/>
      <w:bookmarkEnd w:id="6"/>
      <w:bookmarkStart w:id="7" w:name="第二部分"/>
      <w:bookmarkStart w:id="8" w:name="_Toc91899870"/>
      <w:bookmarkStart w:id="9" w:name="_Toc91899871"/>
    </w:p>
    <w:p w14:paraId="7B55097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kern w:val="44"/>
          <w:sz w:val="36"/>
          <w:szCs w:val="36"/>
          <w:highlight w:val="none"/>
          <w:lang w:val="en-US" w:eastAsia="zh-CN" w:bidi="ar-SA"/>
        </w:rPr>
      </w:pPr>
      <w:r>
        <w:rPr>
          <w:rFonts w:hint="eastAsia" w:ascii="仿宋" w:hAnsi="仿宋" w:eastAsia="仿宋" w:cs="仿宋"/>
          <w:b/>
          <w:color w:val="auto"/>
          <w:kern w:val="44"/>
          <w:sz w:val="36"/>
          <w:szCs w:val="36"/>
          <w:highlight w:val="none"/>
          <w:lang w:val="en-US" w:eastAsia="zh-CN" w:bidi="ar-SA"/>
        </w:rPr>
        <w:t>第一部分 竞争性磋商公告</w:t>
      </w:r>
    </w:p>
    <w:p w14:paraId="3209CA7F">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项目概况</w:t>
      </w:r>
    </w:p>
    <w:p w14:paraId="7B6F902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诸暨市东和乡2025年度水利设计服务采购项目</w:t>
      </w:r>
      <w:r>
        <w:rPr>
          <w:rFonts w:hint="eastAsia" w:ascii="仿宋" w:hAnsi="仿宋" w:eastAsia="仿宋" w:cs="仿宋"/>
          <w:color w:val="auto"/>
          <w:sz w:val="24"/>
          <w:highlight w:val="none"/>
        </w:rPr>
        <w:t>的潜在供</w:t>
      </w:r>
      <w:r>
        <w:rPr>
          <w:rFonts w:hint="eastAsia" w:ascii="仿宋" w:hAnsi="仿宋" w:eastAsia="仿宋" w:cs="仿宋"/>
          <w:color w:val="auto"/>
          <w:sz w:val="24"/>
          <w:highlight w:val="none"/>
          <w:lang w:val="en-US" w:eastAsia="zh-CN"/>
        </w:rPr>
        <w:t>应商</w:t>
      </w:r>
      <w:r>
        <w:rPr>
          <w:rFonts w:hint="eastAsia" w:ascii="仿宋" w:hAnsi="仿宋" w:eastAsia="仿宋" w:cs="仿宋"/>
          <w:color w:val="auto"/>
          <w:sz w:val="24"/>
          <w:highlight w:val="none"/>
        </w:rPr>
        <w:t>应在</w:t>
      </w:r>
      <w:r>
        <w:rPr>
          <w:rFonts w:hint="eastAsia" w:ascii="仿宋" w:hAnsi="仿宋" w:eastAsia="仿宋" w:cs="仿宋"/>
          <w:color w:val="auto"/>
          <w:sz w:val="24"/>
          <w:highlight w:val="none"/>
          <w:u w:val="single"/>
        </w:rPr>
        <w:t>政府采购云平台</w:t>
      </w:r>
      <w:r>
        <w:rPr>
          <w:rStyle w:val="987"/>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https://www.zcygov.cn/</w:t>
      </w:r>
      <w:r>
        <w:rPr>
          <w:rStyle w:val="987"/>
          <w:rFonts w:hint="eastAsia" w:ascii="仿宋" w:hAnsi="仿宋" w:eastAsia="仿宋" w:cs="仿宋"/>
          <w:color w:val="auto"/>
          <w:sz w:val="24"/>
          <w:szCs w:val="24"/>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获取（下载）招标文件，</w:t>
      </w:r>
      <w:r>
        <w:rPr>
          <w:rStyle w:val="80"/>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w:t>
      </w:r>
      <w:bookmarkStart w:id="505" w:name="_GoBack"/>
      <w:bookmarkEnd w:id="505"/>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25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04F80C4D">
      <w:pPr>
        <w:keepNext w:val="0"/>
        <w:keepLines w:val="0"/>
        <w:pageBreakBefore w:val="0"/>
        <w:widowControl w:val="0"/>
        <w:kinsoku/>
        <w:wordWrap/>
        <w:overflowPunct/>
        <w:topLinePunct w:val="0"/>
        <w:autoSpaceDE/>
        <w:autoSpaceDN/>
        <w:bidi w:val="0"/>
        <w:adjustRightInd w:val="0"/>
        <w:snapToGrid/>
        <w:spacing w:line="420" w:lineRule="exact"/>
        <w:ind w:left="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7349CF96">
      <w:pPr>
        <w:pStyle w:val="35"/>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jc w:val="left"/>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绍兴盈伽2025-02-10</w:t>
      </w:r>
    </w:p>
    <w:p w14:paraId="60F3A12A">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诸暨市东和乡2025年度水利设计服务采购项目</w:t>
      </w:r>
    </w:p>
    <w:p w14:paraId="3A3D2DF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采购方式：</w:t>
      </w:r>
      <w:r>
        <w:rPr>
          <w:rFonts w:hint="eastAsia" w:ascii="仿宋" w:hAnsi="仿宋" w:eastAsia="仿宋" w:cs="仿宋"/>
          <w:b w:val="0"/>
          <w:bCs/>
          <w:color w:val="auto"/>
          <w:sz w:val="24"/>
          <w:highlight w:val="none"/>
          <w:lang w:val="en-US" w:eastAsia="zh-CN"/>
        </w:rPr>
        <w:t>竞争性磋商</w:t>
      </w:r>
    </w:p>
    <w:p w14:paraId="23B097F5">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600000.00</w:t>
      </w:r>
    </w:p>
    <w:p w14:paraId="4F24D8A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w:t>
      </w:r>
    </w:p>
    <w:p w14:paraId="400B95D9">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eastAsia="zh-CN"/>
        </w:rPr>
        <w:t>诸暨市东和乡2025年度水利设计服务采购项目</w:t>
      </w:r>
      <w:r>
        <w:rPr>
          <w:rFonts w:hint="eastAsia" w:ascii="仿宋" w:hAnsi="仿宋" w:eastAsia="仿宋" w:cs="仿宋"/>
          <w:b w:val="0"/>
          <w:bCs/>
          <w:color w:val="auto"/>
          <w:sz w:val="24"/>
          <w:highlight w:val="none"/>
        </w:rPr>
        <w:t>，采购预算金额为人民币</w:t>
      </w:r>
      <w:r>
        <w:rPr>
          <w:rFonts w:hint="eastAsia" w:ascii="仿宋" w:hAnsi="仿宋" w:eastAsia="仿宋" w:cs="仿宋"/>
          <w:b w:val="0"/>
          <w:bCs/>
          <w:color w:val="auto"/>
          <w:sz w:val="24"/>
          <w:highlight w:val="none"/>
          <w:lang w:val="en-US" w:eastAsia="zh-CN"/>
        </w:rPr>
        <w:t>陆拾</w:t>
      </w:r>
      <w:r>
        <w:rPr>
          <w:rFonts w:hint="eastAsia" w:ascii="仿宋" w:hAnsi="仿宋" w:eastAsia="仿宋" w:cs="仿宋"/>
          <w:b w:val="0"/>
          <w:bCs/>
          <w:color w:val="auto"/>
          <w:sz w:val="24"/>
          <w:highlight w:val="none"/>
        </w:rPr>
        <w:t>万元整（¥</w:t>
      </w:r>
      <w:r>
        <w:rPr>
          <w:rFonts w:hint="eastAsia" w:ascii="仿宋" w:hAnsi="仿宋" w:eastAsia="仿宋" w:cs="仿宋"/>
          <w:b w:val="0"/>
          <w:bCs/>
          <w:color w:val="auto"/>
          <w:sz w:val="24"/>
          <w:highlight w:val="none"/>
          <w:lang w:val="en-US" w:eastAsia="zh-CN"/>
        </w:rPr>
        <w:t>60</w:t>
      </w:r>
      <w:r>
        <w:rPr>
          <w:rFonts w:hint="eastAsia" w:ascii="仿宋" w:hAnsi="仿宋" w:eastAsia="仿宋" w:cs="仿宋"/>
          <w:b w:val="0"/>
          <w:bCs/>
          <w:color w:val="auto"/>
          <w:sz w:val="24"/>
          <w:highlight w:val="none"/>
        </w:rPr>
        <w:t>0000.00），本项目分2个标项，每个标项内容和预算金额见下表，按折扣招标，</w:t>
      </w:r>
      <w:r>
        <w:rPr>
          <w:rFonts w:hint="eastAsia" w:ascii="仿宋" w:hAnsi="仿宋" w:eastAsia="仿宋" w:cs="仿宋"/>
          <w:b w:val="0"/>
          <w:bCs/>
          <w:color w:val="auto"/>
          <w:sz w:val="24"/>
          <w:highlight w:val="none"/>
          <w:lang w:val="en-US" w:eastAsia="zh-CN"/>
        </w:rPr>
        <w:t>工程量</w:t>
      </w:r>
      <w:r>
        <w:rPr>
          <w:rFonts w:hint="eastAsia" w:ascii="仿宋" w:hAnsi="仿宋" w:eastAsia="仿宋" w:cs="仿宋"/>
          <w:b w:val="0"/>
          <w:bCs/>
          <w:color w:val="auto"/>
          <w:sz w:val="24"/>
          <w:highlight w:val="none"/>
        </w:rPr>
        <w:t>按实结算，累计结算金额均不超过各标项采购预算金额。具体内容详见采购需求</w:t>
      </w:r>
      <w:r>
        <w:rPr>
          <w:rFonts w:hint="eastAsia" w:ascii="仿宋" w:hAnsi="仿宋" w:eastAsia="仿宋" w:cs="仿宋"/>
          <w:b w:val="0"/>
          <w:bCs/>
          <w:color w:val="auto"/>
          <w:sz w:val="24"/>
          <w:highlight w:val="none"/>
          <w:lang w:eastAsia="zh-CN"/>
        </w:rPr>
        <w:t>。</w:t>
      </w:r>
    </w:p>
    <w:tbl>
      <w:tblPr>
        <w:tblStyle w:val="66"/>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4916"/>
        <w:gridCol w:w="1688"/>
      </w:tblGrid>
      <w:tr w14:paraId="2874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89" w:type="dxa"/>
            <w:noWrap w:val="0"/>
            <w:vAlign w:val="center"/>
          </w:tcPr>
          <w:p w14:paraId="16548726">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标项</w:t>
            </w:r>
          </w:p>
        </w:tc>
        <w:tc>
          <w:tcPr>
            <w:tcW w:w="4916" w:type="dxa"/>
            <w:noWrap w:val="0"/>
            <w:vAlign w:val="center"/>
          </w:tcPr>
          <w:p w14:paraId="4AB1EF45">
            <w:pPr>
              <w:snapToGrid w:val="0"/>
              <w:spacing w:line="312" w:lineRule="auto"/>
              <w:ind w:firstLine="480" w:firstLineChars="200"/>
              <w:jc w:val="center"/>
              <w:rPr>
                <w:rFonts w:hint="eastAsia" w:ascii="仿宋" w:hAnsi="仿宋" w:eastAsia="仿宋" w:cs="仿宋"/>
                <w:bCs/>
                <w:sz w:val="24"/>
                <w:highlight w:val="none"/>
              </w:rPr>
            </w:pPr>
            <w:r>
              <w:rPr>
                <w:rFonts w:hint="eastAsia" w:ascii="仿宋" w:hAnsi="仿宋" w:eastAsia="仿宋" w:cs="仿宋"/>
                <w:bCs/>
                <w:sz w:val="24"/>
                <w:highlight w:val="none"/>
              </w:rPr>
              <w:t>标项内容</w:t>
            </w:r>
          </w:p>
        </w:tc>
        <w:tc>
          <w:tcPr>
            <w:tcW w:w="1688" w:type="dxa"/>
            <w:noWrap w:val="0"/>
            <w:vAlign w:val="center"/>
          </w:tcPr>
          <w:p w14:paraId="2B604B04">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预算金额</w:t>
            </w:r>
          </w:p>
        </w:tc>
      </w:tr>
      <w:tr w14:paraId="491E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9" w:type="dxa"/>
            <w:noWrap w:val="0"/>
            <w:vAlign w:val="center"/>
          </w:tcPr>
          <w:p w14:paraId="0F1645D2">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标项1</w:t>
            </w:r>
          </w:p>
        </w:tc>
        <w:tc>
          <w:tcPr>
            <w:tcW w:w="4916" w:type="dxa"/>
            <w:noWrap w:val="0"/>
            <w:vAlign w:val="center"/>
          </w:tcPr>
          <w:p w14:paraId="4947D289">
            <w:pPr>
              <w:snapToGrid w:val="0"/>
              <w:spacing w:line="312"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实施区域1</w:t>
            </w:r>
          </w:p>
        </w:tc>
        <w:tc>
          <w:tcPr>
            <w:tcW w:w="1688" w:type="dxa"/>
            <w:noWrap w:val="0"/>
            <w:vAlign w:val="center"/>
          </w:tcPr>
          <w:p w14:paraId="684CBD0D">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3</w:t>
            </w:r>
            <w:r>
              <w:rPr>
                <w:rFonts w:hint="eastAsia" w:ascii="仿宋" w:hAnsi="仿宋" w:eastAsia="仿宋" w:cs="仿宋"/>
                <w:bCs/>
                <w:sz w:val="24"/>
                <w:highlight w:val="none"/>
              </w:rPr>
              <w:t>0万元</w:t>
            </w:r>
          </w:p>
        </w:tc>
      </w:tr>
      <w:tr w14:paraId="5C58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9" w:type="dxa"/>
            <w:noWrap w:val="0"/>
            <w:vAlign w:val="center"/>
          </w:tcPr>
          <w:p w14:paraId="65EA1204">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标项2</w:t>
            </w:r>
          </w:p>
        </w:tc>
        <w:tc>
          <w:tcPr>
            <w:tcW w:w="4916" w:type="dxa"/>
            <w:noWrap w:val="0"/>
            <w:vAlign w:val="center"/>
          </w:tcPr>
          <w:p w14:paraId="3D4C1AA7">
            <w:pPr>
              <w:snapToGrid w:val="0"/>
              <w:spacing w:line="312" w:lineRule="auto"/>
              <w:jc w:val="center"/>
              <w:rPr>
                <w:rFonts w:hint="default" w:ascii="仿宋" w:hAnsi="仿宋" w:eastAsia="仿宋" w:cs="仿宋"/>
                <w:sz w:val="24"/>
                <w:highlight w:val="none"/>
                <w:lang w:val="en-US"/>
              </w:rPr>
            </w:pPr>
            <w:r>
              <w:rPr>
                <w:rFonts w:hint="eastAsia" w:ascii="仿宋" w:hAnsi="仿宋" w:eastAsia="仿宋" w:cs="仿宋"/>
                <w:sz w:val="24"/>
                <w:highlight w:val="none"/>
                <w:lang w:val="en-US" w:eastAsia="zh-CN"/>
              </w:rPr>
              <w:t>实施区域2</w:t>
            </w:r>
          </w:p>
        </w:tc>
        <w:tc>
          <w:tcPr>
            <w:tcW w:w="1688" w:type="dxa"/>
            <w:noWrap w:val="0"/>
            <w:vAlign w:val="center"/>
          </w:tcPr>
          <w:p w14:paraId="3E2F2233">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3</w:t>
            </w:r>
            <w:r>
              <w:rPr>
                <w:rFonts w:hint="eastAsia" w:ascii="仿宋" w:hAnsi="仿宋" w:eastAsia="仿宋" w:cs="仿宋"/>
                <w:bCs/>
                <w:sz w:val="24"/>
                <w:highlight w:val="none"/>
              </w:rPr>
              <w:t>0万元</w:t>
            </w:r>
          </w:p>
        </w:tc>
      </w:tr>
      <w:tr w14:paraId="617C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05" w:type="dxa"/>
            <w:gridSpan w:val="2"/>
            <w:noWrap w:val="0"/>
            <w:vAlign w:val="center"/>
          </w:tcPr>
          <w:p w14:paraId="27F00492">
            <w:pPr>
              <w:snapToGrid w:val="0"/>
              <w:spacing w:line="312" w:lineRule="auto"/>
              <w:jc w:val="center"/>
              <w:rPr>
                <w:rFonts w:hint="eastAsia" w:ascii="仿宋" w:hAnsi="仿宋" w:eastAsia="仿宋" w:cs="仿宋"/>
                <w:sz w:val="24"/>
                <w:highlight w:val="none"/>
              </w:rPr>
            </w:pPr>
            <w:r>
              <w:rPr>
                <w:rFonts w:hint="eastAsia" w:ascii="仿宋" w:hAnsi="仿宋" w:eastAsia="仿宋" w:cs="仿宋"/>
                <w:bCs/>
                <w:sz w:val="24"/>
                <w:highlight w:val="none"/>
              </w:rPr>
              <w:t>合计</w:t>
            </w:r>
          </w:p>
        </w:tc>
        <w:tc>
          <w:tcPr>
            <w:tcW w:w="1688" w:type="dxa"/>
            <w:noWrap w:val="0"/>
            <w:vAlign w:val="center"/>
          </w:tcPr>
          <w:p w14:paraId="395FF54D">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6</w:t>
            </w:r>
            <w:r>
              <w:rPr>
                <w:rFonts w:hint="eastAsia" w:ascii="仿宋" w:hAnsi="仿宋" w:eastAsia="仿宋" w:cs="仿宋"/>
                <w:bCs/>
                <w:sz w:val="24"/>
                <w:highlight w:val="none"/>
              </w:rPr>
              <w:t>0万元</w:t>
            </w:r>
          </w:p>
        </w:tc>
      </w:tr>
    </w:tbl>
    <w:p w14:paraId="751B756F">
      <w:pPr>
        <w:pStyle w:val="17"/>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lang w:val="en-US" w:eastAsia="zh-CN"/>
        </w:rPr>
        <w:t>合同履约期限：</w:t>
      </w:r>
      <w:r>
        <w:rPr>
          <w:rFonts w:hint="eastAsia" w:ascii="仿宋" w:hAnsi="仿宋" w:eastAsia="仿宋" w:cs="仿宋"/>
          <w:bCs/>
          <w:color w:val="auto"/>
          <w:sz w:val="24"/>
          <w:szCs w:val="24"/>
          <w:highlight w:val="none"/>
          <w:u w:val="none"/>
          <w:lang w:val="en-US" w:eastAsia="zh-CN"/>
        </w:rPr>
        <w:t>按招标文件要求执行</w:t>
      </w:r>
      <w:r>
        <w:rPr>
          <w:rFonts w:hint="eastAsia" w:ascii="仿宋" w:hAnsi="仿宋" w:eastAsia="仿宋" w:cs="仿宋"/>
          <w:b w:val="0"/>
          <w:bCs/>
          <w:color w:val="auto"/>
          <w:sz w:val="24"/>
          <w:highlight w:val="none"/>
          <w:lang w:val="en-US" w:eastAsia="zh-CN"/>
        </w:rPr>
        <w:t>。</w:t>
      </w:r>
    </w:p>
    <w:p w14:paraId="0545FEE2">
      <w:pPr>
        <w:pStyle w:val="17"/>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b/>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是，</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6DBEE3F0">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二、申请人的资格要求：</w:t>
      </w:r>
    </w:p>
    <w:p w14:paraId="6ABEAA19">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sz w:val="24"/>
          <w:highlight w:val="none"/>
        </w:rPr>
      </w:pPr>
      <w:r>
        <w:rPr>
          <w:rFonts w:hint="eastAsia" w:ascii="仿宋" w:hAnsi="仿宋" w:eastAsia="仿宋" w:cs="仿宋"/>
          <w:bCs/>
          <w:sz w:val="24"/>
          <w:highlight w:val="none"/>
        </w:rPr>
        <w:t>1.满足《中华人民共和国政府采购法》第二十二条规定；</w:t>
      </w:r>
    </w:p>
    <w:p w14:paraId="4D1FC851">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sz w:val="24"/>
          <w:highlight w:val="none"/>
        </w:rPr>
      </w:pPr>
      <w:r>
        <w:rPr>
          <w:rFonts w:hint="eastAsia" w:ascii="仿宋" w:hAnsi="仿宋" w:eastAsia="仿宋" w:cs="仿宋"/>
          <w:bCs/>
          <w:sz w:val="24"/>
          <w:highlight w:val="none"/>
        </w:rPr>
        <w:t>2</w:t>
      </w:r>
      <w:r>
        <w:rPr>
          <w:rFonts w:hint="eastAsia" w:ascii="仿宋" w:hAnsi="仿宋" w:eastAsia="仿宋" w:cs="仿宋"/>
          <w:bCs/>
          <w:sz w:val="24"/>
          <w:highlight w:val="none"/>
          <w:lang w:eastAsia="zh-CN"/>
        </w:rPr>
        <w:t>.</w:t>
      </w:r>
      <w:r>
        <w:rPr>
          <w:rFonts w:hint="eastAsia" w:ascii="仿宋" w:hAnsi="仿宋" w:eastAsia="仿宋" w:cs="仿宋"/>
          <w:bCs/>
          <w:sz w:val="24"/>
          <w:highlight w:val="none"/>
        </w:rPr>
        <w:t>未被“信用中国”（www.creditchina.gov.cn）、中国政府采购网（www.ccgp.gov.cn）列入失信被执行人、重大税收违法案件当事人名单、政府采购严重违法失信行为记录名单；</w:t>
      </w:r>
    </w:p>
    <w:p w14:paraId="668C962D">
      <w:pPr>
        <w:pStyle w:val="25"/>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Cs/>
          <w:sz w:val="24"/>
          <w:highlight w:val="none"/>
        </w:rPr>
      </w:pPr>
      <w:r>
        <w:rPr>
          <w:rFonts w:hint="eastAsia" w:ascii="仿宋" w:hAnsi="仿宋" w:eastAsia="仿宋" w:cs="仿宋"/>
          <w:bCs/>
          <w:highlight w:val="none"/>
          <w:lang w:val="en-US"/>
        </w:rPr>
        <w:t>3.</w:t>
      </w:r>
      <w:r>
        <w:rPr>
          <w:rFonts w:hint="eastAsia" w:ascii="仿宋" w:hAnsi="仿宋" w:eastAsia="仿宋" w:cs="仿宋"/>
          <w:bCs/>
          <w:sz w:val="24"/>
          <w:highlight w:val="none"/>
        </w:rPr>
        <w:t>落实政府采购政策需满足的资格要求：</w:t>
      </w:r>
    </w:p>
    <w:p w14:paraId="7A6D3D0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☐无；</w:t>
      </w:r>
    </w:p>
    <w:p w14:paraId="5EBD5210">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bCs/>
          <w:sz w:val="24"/>
          <w:highlight w:val="none"/>
          <w:lang w:eastAsia="zh-CN"/>
        </w:rPr>
      </w:pPr>
      <w:r>
        <w:rPr>
          <w:rFonts w:hint="eastAsia" w:ascii="仿宋" w:hAnsi="仿宋" w:eastAsia="仿宋" w:cs="仿宋"/>
          <w:bCs/>
          <w:sz w:val="24"/>
          <w:highlight w:val="none"/>
        </w:rPr>
        <w:sym w:font="Wingdings" w:char="F0FE"/>
      </w:r>
      <w:r>
        <w:rPr>
          <w:rFonts w:hint="eastAsia" w:ascii="仿宋" w:hAnsi="仿宋" w:eastAsia="仿宋" w:cs="仿宋"/>
          <w:bCs/>
          <w:sz w:val="24"/>
          <w:highlight w:val="none"/>
        </w:rPr>
        <w:t>专门面向中小企业</w:t>
      </w:r>
      <w:r>
        <w:rPr>
          <w:rFonts w:hint="eastAsia" w:ascii="仿宋" w:hAnsi="仿宋" w:eastAsia="仿宋" w:cs="仿宋"/>
          <w:bCs/>
          <w:sz w:val="24"/>
          <w:highlight w:val="none"/>
          <w:lang w:eastAsia="zh-CN"/>
        </w:rPr>
        <w:t>。</w:t>
      </w:r>
    </w:p>
    <w:p w14:paraId="11E4EF78">
      <w:pPr>
        <w:keepNext w:val="0"/>
        <w:keepLines w:val="0"/>
        <w:pageBreakBefore w:val="0"/>
        <w:numPr>
          <w:ilvl w:val="0"/>
          <w:numId w:val="1"/>
        </w:numPr>
        <w:kinsoku/>
        <w:wordWrap/>
        <w:overflowPunct/>
        <w:topLinePunct w:val="0"/>
        <w:autoSpaceDE w:val="0"/>
        <w:autoSpaceDN w:val="0"/>
        <w:bidi w:val="0"/>
        <w:adjustRightInd w:val="0"/>
        <w:spacing w:line="420" w:lineRule="exact"/>
        <w:ind w:left="0"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本项目的特定资格要求：</w:t>
      </w:r>
    </w:p>
    <w:p w14:paraId="1445DB85">
      <w:pPr>
        <w:numPr>
          <w:ilvl w:val="0"/>
          <w:numId w:val="0"/>
        </w:numPr>
        <w:autoSpaceDE w:val="0"/>
        <w:autoSpaceDN w:val="0"/>
        <w:adjustRightInd w:val="0"/>
        <w:spacing w:line="420" w:lineRule="exact"/>
        <w:ind w:firstLine="482" w:firstLineChars="200"/>
        <w:rPr>
          <w:rFonts w:hint="eastAsia" w:ascii="仿宋" w:hAnsi="仿宋" w:eastAsia="仿宋" w:cs="仿宋"/>
          <w:bCs/>
          <w:sz w:val="24"/>
          <w:highlight w:val="none"/>
          <w:lang w:eastAsia="zh-CN"/>
        </w:rPr>
      </w:pPr>
      <w:r>
        <w:rPr>
          <w:rFonts w:hint="eastAsia" w:ascii="仿宋" w:hAnsi="仿宋" w:eastAsia="仿宋" w:cs="仿宋"/>
          <w:b/>
          <w:bCs w:val="0"/>
          <w:sz w:val="24"/>
          <w:highlight w:val="none"/>
        </w:rPr>
        <w:t>标项1</w:t>
      </w:r>
      <w:r>
        <w:rPr>
          <w:rFonts w:hint="eastAsia" w:ascii="仿宋" w:hAnsi="仿宋" w:eastAsia="仿宋" w:cs="仿宋"/>
          <w:b/>
          <w:bCs w:val="0"/>
          <w:sz w:val="24"/>
          <w:highlight w:val="none"/>
          <w:lang w:eastAsia="zh-CN"/>
        </w:rPr>
        <w:t>、</w:t>
      </w:r>
      <w:r>
        <w:rPr>
          <w:rFonts w:hint="eastAsia" w:ascii="仿宋" w:hAnsi="仿宋" w:eastAsia="仿宋" w:cs="仿宋"/>
          <w:b/>
          <w:bCs w:val="0"/>
          <w:sz w:val="24"/>
          <w:highlight w:val="none"/>
          <w:lang w:val="en-US" w:eastAsia="zh-CN"/>
        </w:rPr>
        <w:t>2</w:t>
      </w:r>
      <w:r>
        <w:rPr>
          <w:rFonts w:hint="eastAsia" w:ascii="仿宋" w:hAnsi="仿宋" w:eastAsia="仿宋" w:cs="仿宋"/>
          <w:b/>
          <w:bCs w:val="0"/>
          <w:sz w:val="24"/>
          <w:highlight w:val="none"/>
        </w:rPr>
        <w:t xml:space="preserve">: </w:t>
      </w:r>
      <w:r>
        <w:rPr>
          <w:rFonts w:hint="eastAsia" w:ascii="仿宋" w:hAnsi="仿宋" w:eastAsia="仿宋" w:cs="仿宋"/>
          <w:bCs/>
          <w:color w:val="auto"/>
          <w:sz w:val="24"/>
          <w:highlight w:val="none"/>
        </w:rPr>
        <w:t>具备</w:t>
      </w:r>
      <w:r>
        <w:rPr>
          <w:rFonts w:hint="eastAsia" w:ascii="仿宋" w:hAnsi="仿宋" w:eastAsia="仿宋" w:cs="仿宋"/>
          <w:bCs/>
          <w:color w:val="auto"/>
          <w:sz w:val="24"/>
          <w:highlight w:val="none"/>
          <w:lang w:val="en-US" w:eastAsia="zh-CN"/>
        </w:rPr>
        <w:t>水利</w:t>
      </w:r>
      <w:r>
        <w:rPr>
          <w:rFonts w:hint="eastAsia" w:ascii="仿宋" w:hAnsi="仿宋" w:eastAsia="仿宋" w:cs="仿宋"/>
          <w:bCs/>
          <w:color w:val="auto"/>
          <w:sz w:val="24"/>
          <w:highlight w:val="none"/>
        </w:rPr>
        <w:t>工程设计</w:t>
      </w:r>
      <w:r>
        <w:rPr>
          <w:rFonts w:hint="eastAsia" w:ascii="仿宋" w:hAnsi="仿宋" w:eastAsia="仿宋" w:cs="仿宋"/>
          <w:bCs/>
          <w:color w:val="auto"/>
          <w:sz w:val="24"/>
          <w:highlight w:val="none"/>
          <w:lang w:val="en-US" w:eastAsia="zh-CN"/>
        </w:rPr>
        <w:t>丙</w:t>
      </w:r>
      <w:r>
        <w:rPr>
          <w:rFonts w:hint="eastAsia" w:ascii="仿宋" w:hAnsi="仿宋" w:eastAsia="仿宋" w:cs="仿宋"/>
          <w:bCs/>
          <w:color w:val="auto"/>
          <w:sz w:val="24"/>
          <w:highlight w:val="none"/>
        </w:rPr>
        <w:t>级及以上</w:t>
      </w:r>
      <w:r>
        <w:rPr>
          <w:rFonts w:hint="eastAsia" w:ascii="仿宋" w:hAnsi="仿宋" w:eastAsia="仿宋" w:cs="仿宋"/>
          <w:bCs/>
          <w:color w:val="auto"/>
          <w:sz w:val="24"/>
          <w:highlight w:val="none"/>
          <w:lang w:val="en-US" w:eastAsia="zh-CN"/>
        </w:rPr>
        <w:t>资质</w:t>
      </w:r>
      <w:r>
        <w:rPr>
          <w:rFonts w:hint="eastAsia" w:ascii="仿宋" w:hAnsi="仿宋" w:eastAsia="仿宋" w:cs="仿宋"/>
          <w:bCs/>
          <w:sz w:val="24"/>
          <w:highlight w:val="none"/>
          <w:lang w:eastAsia="zh-CN"/>
        </w:rPr>
        <w:t>。</w:t>
      </w:r>
    </w:p>
    <w:p w14:paraId="30B2C1AA">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三、获取招标文件 </w:t>
      </w:r>
    </w:p>
    <w:p w14:paraId="1C2093C3">
      <w:pPr>
        <w:pStyle w:val="35"/>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sz w:val="24"/>
          <w:highlight w:val="none"/>
        </w:rPr>
        <w:t>时间：</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2 </w:t>
      </w:r>
      <w:r>
        <w:rPr>
          <w:rFonts w:hint="eastAsia" w:ascii="仿宋" w:hAnsi="仿宋" w:eastAsia="仿宋" w:cs="仿宋"/>
          <w:b w:val="0"/>
          <w:bCs/>
          <w:color w:val="auto"/>
          <w:sz w:val="24"/>
          <w:highlight w:val="none"/>
          <w:u w:val="single"/>
          <w:lang w:val="en-US" w:eastAsia="zh-CN"/>
        </w:rPr>
        <w:t xml:space="preserve">月 25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w:t>
      </w:r>
      <w:r>
        <w:rPr>
          <w:rFonts w:hint="eastAsia" w:ascii="仿宋" w:hAnsi="仿宋" w:eastAsia="仿宋" w:cs="仿宋"/>
          <w:color w:val="auto"/>
          <w:sz w:val="24"/>
          <w:highlight w:val="none"/>
          <w:u w:val="single"/>
        </w:rPr>
        <w:t>00:00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 xml:space="preserve">12:00 </w:t>
      </w:r>
      <w:r>
        <w:rPr>
          <w:rFonts w:hint="eastAsia" w:ascii="仿宋" w:hAnsi="仿宋" w:eastAsia="仿宋" w:cs="仿宋"/>
          <w:color w:val="auto"/>
          <w:sz w:val="24"/>
          <w:highlight w:val="none"/>
        </w:rPr>
        <w:t>，下午</w:t>
      </w:r>
      <w:r>
        <w:rPr>
          <w:rFonts w:hint="eastAsia" w:ascii="仿宋" w:hAnsi="仿宋" w:eastAsia="仿宋" w:cs="仿宋"/>
          <w:color w:val="auto"/>
          <w:sz w:val="24"/>
          <w:highlight w:val="none"/>
          <w:u w:val="single"/>
        </w:rPr>
        <w:t>12:00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23:59</w:t>
      </w:r>
      <w:r>
        <w:rPr>
          <w:rFonts w:hint="eastAsia" w:ascii="仿宋" w:hAnsi="仿宋" w:eastAsia="仿宋" w:cs="仿宋"/>
          <w:color w:val="auto"/>
          <w:sz w:val="24"/>
          <w:highlight w:val="none"/>
        </w:rPr>
        <w:t>（北京时间，线上获取法定节假日均可）。</w:t>
      </w:r>
    </w:p>
    <w:p w14:paraId="17FD55BE">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b/>
          <w:color w:val="auto"/>
          <w:sz w:val="24"/>
          <w:highlight w:val="none"/>
        </w:rPr>
        <w:t>地点（网址）：</w:t>
      </w:r>
      <w:r>
        <w:rPr>
          <w:rFonts w:hint="eastAsia" w:ascii="仿宋" w:hAnsi="仿宋" w:eastAsia="仿宋" w:cs="仿宋"/>
          <w:snapToGrid w:val="0"/>
          <w:color w:val="auto"/>
          <w:sz w:val="24"/>
          <w:szCs w:val="21"/>
          <w:highlight w:val="none"/>
        </w:rPr>
        <w:t>政采云平台（https://www.zcygov.cn/）</w:t>
      </w:r>
    </w:p>
    <w:p w14:paraId="60B08335">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b/>
          <w:color w:val="auto"/>
          <w:sz w:val="24"/>
          <w:highlight w:val="none"/>
        </w:rPr>
        <w:t>方式：</w:t>
      </w:r>
      <w:r>
        <w:rPr>
          <w:rFonts w:hint="eastAsia" w:ascii="仿宋" w:hAnsi="仿宋" w:eastAsia="仿宋" w:cs="仿宋"/>
          <w:snapToGrid w:val="0"/>
          <w:color w:val="auto"/>
          <w:sz w:val="24"/>
          <w:szCs w:val="21"/>
          <w:highlight w:val="none"/>
        </w:rPr>
        <w:t>潜在供应商登录政府采购云平台，在线申请获取招标文件。进入“项目采购”应用，在获取招标文件菜单中选择项目，申请获取招标文件。（仅需浏览招标文件的供应商可点击“游客，浏览招标文件”直接下载招标文件浏览。）。</w:t>
      </w:r>
    </w:p>
    <w:p w14:paraId="1B1A212C">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w:t>
      </w:r>
      <w:r>
        <w:rPr>
          <w:rFonts w:hint="eastAsia" w:ascii="仿宋" w:hAnsi="仿宋" w:eastAsia="仿宋" w:cs="仿宋"/>
          <w:color w:val="auto"/>
          <w:sz w:val="24"/>
          <w:szCs w:val="24"/>
          <w:highlight w:val="none"/>
        </w:rPr>
        <w:t>免费</w:t>
      </w:r>
      <w:r>
        <w:rPr>
          <w:rFonts w:hint="eastAsia" w:ascii="仿宋" w:hAnsi="仿宋" w:eastAsia="仿宋" w:cs="仿宋"/>
          <w:snapToGrid w:val="0"/>
          <w:color w:val="auto"/>
          <w:sz w:val="24"/>
          <w:szCs w:val="21"/>
          <w:highlight w:val="none"/>
        </w:rPr>
        <w:t>。</w:t>
      </w:r>
    </w:p>
    <w:p w14:paraId="75CBC326">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3DF45E8C">
      <w:pPr>
        <w:pStyle w:val="62"/>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提交投标文件截止时间：</w:t>
      </w:r>
      <w:r>
        <w:rPr>
          <w:rFonts w:hint="eastAsia" w:ascii="仿宋" w:hAnsi="仿宋" w:eastAsia="仿宋" w:cs="仿宋"/>
          <w:color w:val="auto"/>
          <w:highlight w:val="none"/>
          <w:u w:val="single"/>
          <w:lang w:eastAsia="zh-CN"/>
        </w:rPr>
        <w:t>2025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 xml:space="preserve"> 2 </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 xml:space="preserve"> 25 </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61D8C456">
      <w:pPr>
        <w:pStyle w:val="62"/>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51E4AE98">
      <w:pPr>
        <w:pStyle w:val="62"/>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开标时间：</w:t>
      </w:r>
      <w:r>
        <w:rPr>
          <w:rFonts w:hint="eastAsia" w:ascii="仿宋" w:hAnsi="仿宋" w:eastAsia="仿宋" w:cs="仿宋"/>
          <w:color w:val="auto"/>
          <w:highlight w:val="none"/>
          <w:u w:val="single"/>
          <w:lang w:eastAsia="zh-CN"/>
        </w:rPr>
        <w:t>2025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 xml:space="preserve"> 2 </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 xml:space="preserve"> 25 </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28B582CC">
      <w:pPr>
        <w:pStyle w:val="62"/>
        <w:keepNext w:val="0"/>
        <w:keepLines w:val="0"/>
        <w:pageBreakBefore w:val="0"/>
        <w:kinsoku/>
        <w:wordWrap/>
        <w:overflowPunct/>
        <w:topLinePunct w:val="0"/>
        <w:autoSpaceDE/>
        <w:autoSpaceDN/>
        <w:bidi w:val="0"/>
        <w:adjustRightInd w:val="0"/>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cs="仿宋"/>
          <w:highlight w:val="none"/>
        </w:rPr>
        <w:t>（https://www.zcygov.cn/）</w:t>
      </w:r>
      <w:r>
        <w:rPr>
          <w:rFonts w:hint="eastAsia" w:ascii="仿宋" w:hAnsi="仿宋" w:eastAsia="仿宋" w:cs="仿宋"/>
          <w:highlight w:val="none"/>
          <w:lang w:eastAsia="zh-CN"/>
        </w:rPr>
        <w:t>。</w:t>
      </w:r>
    </w:p>
    <w:p w14:paraId="32AF07E7">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highlight w:val="none"/>
        </w:rPr>
      </w:pPr>
      <w:r>
        <w:rPr>
          <w:rFonts w:hint="eastAsia" w:ascii="仿宋" w:hAnsi="仿宋" w:eastAsia="仿宋" w:cs="仿宋"/>
          <w:b/>
          <w:sz w:val="24"/>
          <w:highlight w:val="none"/>
        </w:rPr>
        <w:t xml:space="preserve">五、公告期限 </w:t>
      </w:r>
    </w:p>
    <w:p w14:paraId="6F5F29DB">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自本公告发布之日起</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个工作日。</w:t>
      </w:r>
    </w:p>
    <w:p w14:paraId="57188E79">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六、其他补充事宜</w:t>
      </w:r>
    </w:p>
    <w:p w14:paraId="18CE6C8B">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CD0A4E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E50E7C">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3AA942">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4.其他事项：</w:t>
      </w:r>
    </w:p>
    <w:p w14:paraId="0E451BF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（1）需要落实的政府采购政策：包括节约资源、保护环境、支持创新、促进中小企业发展等，详见招标文件的第二部分投标人须知-总则。</w:t>
      </w:r>
    </w:p>
    <w:p w14:paraId="677026F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038713C">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（3）电子交易的说明：</w:t>
      </w:r>
    </w:p>
    <w:p w14:paraId="0BDDE122">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①电子交易：本项目以数据电文形式，依托“政府采购云平台（www.zcygov.cn）”进行采购活动，不接受纸质响应文件；②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府采购云平台；进入“项目采购”应用，在获取采购文件菜单中选择项目，获取采购文件；④对未按上述方式获取采购文件的供应商，视为未参与该项政府采购活动，不具备对该政府采购项目提出质疑的法定权利，但因供应商资格条件或报名时间设定不符合有关法律法规规定等原因使供应商权益受损的除外；⑤响应文件的制作：在“政采云电子交易客户端”中完成“填写基本信息”、“导入响应文件”、“标书关联”、“标书检查”、“电子签名”、“生成电子标书”等操作；⑥不提供采购文件纸质版；⑦响应文件的传输递交：供应商在投标截止时间前将加密的响应文件上传至政府采购云平台，还可以在投标截止时间前递交备份响应文件1份。备份响应文件的制作、递交详见采购文件第二部分第15点—“备份响应文件”； ⑧响应文件的解密：供应商按照平台提示和采购文件的规定在30分钟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投标无效；⑨具体操作指南：详见政府采购云平台“服务中心-帮助文档-项目采购-操作流程-电子招投标-政府采购项目电子交易管理操作指南-供应商”。 </w:t>
      </w:r>
    </w:p>
    <w:p w14:paraId="1483AB73">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highlight w:val="none"/>
        </w:rPr>
      </w:pPr>
      <w:r>
        <w:rPr>
          <w:rFonts w:hint="eastAsia" w:ascii="仿宋" w:hAnsi="仿宋" w:eastAsia="仿宋" w:cs="仿宋"/>
          <w:sz w:val="24"/>
          <w:highlight w:val="none"/>
        </w:rPr>
        <w:t>（4）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10C6317A">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14:paraId="11D0B367">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1.采购人信息</w:t>
      </w:r>
    </w:p>
    <w:p w14:paraId="00C0417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b w:val="0"/>
          <w:bCs/>
          <w:color w:val="auto"/>
          <w:kern w:val="2"/>
          <w:sz w:val="24"/>
          <w:szCs w:val="21"/>
          <w:highlight w:val="none"/>
          <w:lang w:val="en-US" w:eastAsia="zh-CN" w:bidi="ar-SA"/>
        </w:rPr>
        <w:t>诸暨市东和乡人民政府</w:t>
      </w:r>
    </w:p>
    <w:p w14:paraId="3360200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color w:val="auto"/>
          <w:kern w:val="2"/>
          <w:sz w:val="24"/>
          <w:szCs w:val="21"/>
          <w:highlight w:val="none"/>
          <w:lang w:val="en-US" w:eastAsia="zh-CN" w:bidi="ar-SA"/>
        </w:rPr>
      </w:pPr>
      <w:r>
        <w:rPr>
          <w:rFonts w:hint="eastAsia" w:ascii="仿宋" w:hAnsi="仿宋" w:eastAsia="仿宋" w:cs="仿宋"/>
          <w:color w:val="auto"/>
          <w:sz w:val="24"/>
          <w:szCs w:val="24"/>
          <w:highlight w:val="none"/>
          <w:lang w:val="en-US" w:eastAsia="zh-CN"/>
        </w:rPr>
        <w:t>地    址</w:t>
      </w:r>
      <w:r>
        <w:rPr>
          <w:rFonts w:hint="eastAsia" w:ascii="仿宋" w:hAnsi="仿宋" w:eastAsia="仿宋" w:cs="仿宋"/>
          <w:b w:val="0"/>
          <w:bCs/>
          <w:color w:val="auto"/>
          <w:kern w:val="2"/>
          <w:sz w:val="24"/>
          <w:szCs w:val="21"/>
          <w:highlight w:val="none"/>
          <w:lang w:val="en-US" w:eastAsia="zh-CN" w:bidi="ar-SA"/>
        </w:rPr>
        <w:t>：诸暨市东和乡人民政府</w:t>
      </w:r>
    </w:p>
    <w:p w14:paraId="745E1E5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项目联系人（询问）：江主任 </w:t>
      </w:r>
    </w:p>
    <w:p w14:paraId="47EF994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项目联系方式（询问）：0575-89089657（工作电话）</w:t>
      </w:r>
    </w:p>
    <w:p w14:paraId="38B0F97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质疑联系人：刘主任        </w:t>
      </w:r>
    </w:p>
    <w:p w14:paraId="4FA810A6">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质疑联系方式：0575-87471358    </w:t>
      </w:r>
    </w:p>
    <w:p w14:paraId="765E0E6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.采购代理机构信息</w:t>
      </w:r>
    </w:p>
    <w:p w14:paraId="069877D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名    称：</w:t>
      </w:r>
      <w:r>
        <w:rPr>
          <w:rFonts w:hint="eastAsia" w:ascii="仿宋" w:hAnsi="仿宋" w:eastAsia="仿宋" w:cs="仿宋"/>
          <w:sz w:val="24"/>
          <w:highlight w:val="none"/>
          <w:lang w:val="en-US" w:eastAsia="zh-CN"/>
        </w:rPr>
        <w:t>绍兴盈伽工程咨询有限公司</w:t>
      </w:r>
    </w:p>
    <w:p w14:paraId="79CE3B1F">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rPr>
        <w:t>地    址：浙江省诸暨市陶朱街道宝利路亿泽新疆大厦A座</w:t>
      </w:r>
      <w:r>
        <w:rPr>
          <w:rFonts w:hint="eastAsia" w:ascii="仿宋" w:hAnsi="仿宋" w:eastAsia="仿宋" w:cs="仿宋"/>
          <w:sz w:val="24"/>
          <w:highlight w:val="none"/>
          <w:lang w:val="en-US" w:eastAsia="zh-CN"/>
        </w:rPr>
        <w:t>19</w:t>
      </w:r>
      <w:r>
        <w:rPr>
          <w:rFonts w:hint="eastAsia" w:ascii="仿宋" w:hAnsi="仿宋" w:eastAsia="仿宋" w:cs="仿宋"/>
          <w:sz w:val="24"/>
          <w:highlight w:val="none"/>
        </w:rPr>
        <w:t>楼</w:t>
      </w:r>
      <w:r>
        <w:rPr>
          <w:rFonts w:hint="eastAsia" w:ascii="仿宋" w:hAnsi="仿宋" w:eastAsia="仿宋" w:cs="仿宋"/>
          <w:sz w:val="24"/>
          <w:highlight w:val="none"/>
          <w:lang w:val="en-US" w:eastAsia="zh-CN"/>
        </w:rPr>
        <w:t>1906</w:t>
      </w:r>
    </w:p>
    <w:p w14:paraId="341AB86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rPr>
      </w:pPr>
      <w:r>
        <w:rPr>
          <w:rFonts w:hint="eastAsia" w:ascii="仿宋" w:hAnsi="仿宋" w:eastAsia="仿宋" w:cs="仿宋"/>
          <w:sz w:val="24"/>
          <w:highlight w:val="none"/>
        </w:rPr>
        <w:t>项目联系人（询问）：</w:t>
      </w:r>
      <w:r>
        <w:rPr>
          <w:rFonts w:hint="eastAsia" w:ascii="仿宋" w:hAnsi="仿宋" w:eastAsia="仿宋" w:cs="仿宋"/>
          <w:sz w:val="24"/>
          <w:highlight w:val="none"/>
          <w:lang w:val="en-US" w:eastAsia="zh-CN"/>
        </w:rPr>
        <w:t>孟工</w:t>
      </w:r>
    </w:p>
    <w:p w14:paraId="2BF9D5A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项目联系方式（询问</w:t>
      </w:r>
      <w:r>
        <w:rPr>
          <w:rFonts w:hint="eastAsia" w:ascii="仿宋" w:hAnsi="仿宋" w:eastAsia="仿宋" w:cs="仿宋"/>
          <w:sz w:val="24"/>
          <w:highlight w:val="none"/>
          <w:lang w:eastAsia="zh-CN"/>
        </w:rPr>
        <w:t>）：18258581933（工作电话）</w:t>
      </w:r>
    </w:p>
    <w:p w14:paraId="07A2234C">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质疑联系人</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孟工</w:t>
      </w:r>
    </w:p>
    <w:p w14:paraId="74527D3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质疑联系方式：13675724098</w:t>
      </w:r>
      <w:r>
        <w:rPr>
          <w:rFonts w:hint="eastAsia" w:ascii="仿宋" w:hAnsi="仿宋" w:eastAsia="仿宋" w:cs="仿宋"/>
          <w:sz w:val="24"/>
          <w:highlight w:val="none"/>
          <w:lang w:eastAsia="zh-CN"/>
        </w:rPr>
        <w:t>（工作电话）</w:t>
      </w:r>
    </w:p>
    <w:p w14:paraId="4B7C4FC0">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rPr>
      </w:pPr>
    </w:p>
    <w:p w14:paraId="4B0F8CD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highlight w:val="none"/>
        </w:rPr>
      </w:pPr>
      <w:r>
        <w:rPr>
          <w:rFonts w:hint="eastAsia" w:ascii="仿宋" w:hAnsi="仿宋" w:eastAsia="仿宋" w:cs="仿宋"/>
          <w:sz w:val="24"/>
          <w:highlight w:val="none"/>
        </w:rPr>
        <w:t>3.同级政府采购监督管理部门</w:t>
      </w:r>
    </w:p>
    <w:p w14:paraId="19F7962A">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名    称：诸暨市财政局政府采购监管科</w:t>
      </w:r>
    </w:p>
    <w:p w14:paraId="7FBA602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地    址：诸暨市人民中路356号</w:t>
      </w:r>
    </w:p>
    <w:p w14:paraId="2D0F30A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传    真：0575-87023633</w:t>
      </w:r>
    </w:p>
    <w:p w14:paraId="1475ECC8">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rPr>
        <w:t>联</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系</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人：</w:t>
      </w:r>
      <w:r>
        <w:rPr>
          <w:rFonts w:hint="eastAsia" w:ascii="仿宋" w:hAnsi="仿宋" w:eastAsia="仿宋" w:cs="仿宋"/>
          <w:sz w:val="24"/>
          <w:highlight w:val="none"/>
          <w:lang w:val="en-US" w:eastAsia="zh-CN"/>
        </w:rPr>
        <w:t>吕雅玲</w:t>
      </w:r>
    </w:p>
    <w:p w14:paraId="62FBBC07">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监督投诉电话：0575-87111685</w:t>
      </w:r>
    </w:p>
    <w:p w14:paraId="433C2D22">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3FA2062F">
      <w:pPr>
        <w:keepNext w:val="0"/>
        <w:keepLines w:val="0"/>
        <w:pageBreakBefore w:val="0"/>
        <w:widowControl w:val="0"/>
        <w:kinsoku/>
        <w:wordWrap/>
        <w:overflowPunct/>
        <w:topLinePunct w:val="0"/>
        <w:autoSpaceDE/>
        <w:autoSpaceDN/>
        <w:bidi w:val="0"/>
        <w:adjustRightInd w:val="0"/>
        <w:snapToGrid/>
        <w:spacing w:after="240" w:line="420" w:lineRule="exact"/>
        <w:ind w:left="0" w:firstLine="440" w:firstLineChars="200"/>
        <w:jc w:val="center"/>
        <w:textAlignment w:val="auto"/>
        <w:rPr>
          <w:rFonts w:hint="eastAsia" w:ascii="仿宋" w:hAnsi="仿宋" w:eastAsia="仿宋" w:cs="仿宋"/>
          <w:b/>
          <w:sz w:val="36"/>
          <w:szCs w:val="20"/>
          <w:highlight w:val="none"/>
        </w:rPr>
      </w:pPr>
      <w:r>
        <w:rPr>
          <w:rFonts w:hint="eastAsia" w:ascii="仿宋" w:hAnsi="仿宋" w:eastAsia="仿宋" w:cs="仿宋"/>
          <w:sz w:val="22"/>
          <w:szCs w:val="22"/>
          <w:highlight w:val="none"/>
          <w:lang w:val="en-US" w:eastAsia="zh-CN"/>
        </w:rPr>
        <w:br w:type="page"/>
      </w:r>
      <w:r>
        <w:rPr>
          <w:rFonts w:hint="eastAsia" w:ascii="仿宋" w:hAnsi="仿宋" w:eastAsia="仿宋" w:cs="仿宋"/>
          <w:b/>
          <w:color w:val="auto"/>
          <w:kern w:val="44"/>
          <w:sz w:val="36"/>
          <w:szCs w:val="36"/>
          <w:highlight w:val="none"/>
          <w:lang w:val="en-US" w:eastAsia="zh-CN" w:bidi="ar-SA"/>
        </w:rPr>
        <w:t>第二部分</w:t>
      </w:r>
      <w:bookmarkEnd w:id="7"/>
      <w:r>
        <w:rPr>
          <w:rFonts w:hint="eastAsia" w:ascii="仿宋" w:hAnsi="仿宋" w:eastAsia="仿宋" w:cs="仿宋"/>
          <w:b/>
          <w:color w:val="auto"/>
          <w:kern w:val="44"/>
          <w:sz w:val="36"/>
          <w:szCs w:val="36"/>
          <w:highlight w:val="none"/>
          <w:lang w:val="en-US" w:eastAsia="zh-CN" w:bidi="ar-SA"/>
        </w:rPr>
        <w:t xml:space="preserve"> 磋商供应商须知</w:t>
      </w:r>
      <w:bookmarkEnd w:id="8"/>
    </w:p>
    <w:p w14:paraId="159ECBE8">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前附表</w:t>
      </w:r>
    </w:p>
    <w:tbl>
      <w:tblPr>
        <w:tblStyle w:val="66"/>
        <w:tblW w:w="88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676"/>
        <w:gridCol w:w="6573"/>
      </w:tblGrid>
      <w:tr w14:paraId="57E74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7B3489D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676" w:type="dxa"/>
            <w:tcBorders>
              <w:top w:val="single" w:color="000000" w:sz="8" w:space="0"/>
              <w:left w:val="single" w:color="auto" w:sz="4" w:space="0"/>
              <w:bottom w:val="single" w:color="000000" w:sz="8" w:space="0"/>
              <w:right w:val="single" w:color="000000" w:sz="8" w:space="0"/>
            </w:tcBorders>
            <w:vAlign w:val="center"/>
          </w:tcPr>
          <w:p w14:paraId="78F324D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事项</w:t>
            </w:r>
          </w:p>
        </w:tc>
        <w:tc>
          <w:tcPr>
            <w:tcW w:w="6573" w:type="dxa"/>
            <w:tcBorders>
              <w:top w:val="single" w:color="000000" w:sz="8" w:space="0"/>
              <w:left w:val="single" w:color="000000" w:sz="2" w:space="0"/>
              <w:bottom w:val="single" w:color="000000" w:sz="8" w:space="0"/>
              <w:right w:val="single" w:color="000000" w:sz="8" w:space="0"/>
            </w:tcBorders>
            <w:vAlign w:val="center"/>
          </w:tcPr>
          <w:p w14:paraId="6B84FC90">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14:paraId="4F16A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45F5311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1</w:t>
            </w:r>
          </w:p>
        </w:tc>
        <w:tc>
          <w:tcPr>
            <w:tcW w:w="1676" w:type="dxa"/>
            <w:tcBorders>
              <w:top w:val="single" w:color="000000" w:sz="8" w:space="0"/>
              <w:left w:val="single" w:color="auto" w:sz="4" w:space="0"/>
              <w:bottom w:val="single" w:color="000000" w:sz="8" w:space="0"/>
              <w:right w:val="single" w:color="000000" w:sz="8" w:space="0"/>
            </w:tcBorders>
            <w:vAlign w:val="center"/>
          </w:tcPr>
          <w:p w14:paraId="2C06E53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评标办法</w:t>
            </w:r>
          </w:p>
        </w:tc>
        <w:tc>
          <w:tcPr>
            <w:tcW w:w="6573" w:type="dxa"/>
            <w:tcBorders>
              <w:top w:val="single" w:color="000000" w:sz="8" w:space="0"/>
              <w:left w:val="single" w:color="000000" w:sz="2" w:space="0"/>
              <w:bottom w:val="single" w:color="000000" w:sz="8" w:space="0"/>
              <w:right w:val="single" w:color="000000" w:sz="8" w:space="0"/>
            </w:tcBorders>
            <w:vAlign w:val="center"/>
          </w:tcPr>
          <w:p w14:paraId="69BFA0AD">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b/>
                <w:sz w:val="24"/>
                <w:highlight w:val="none"/>
              </w:rPr>
            </w:pPr>
            <w:r>
              <w:rPr>
                <w:rFonts w:hint="eastAsia" w:ascii="仿宋" w:hAnsi="仿宋" w:eastAsia="仿宋" w:cs="仿宋"/>
                <w:kern w:val="0"/>
                <w:sz w:val="24"/>
                <w:highlight w:val="none"/>
                <w:lang w:val="zh-CN"/>
              </w:rPr>
              <w:t>本项目采用</w:t>
            </w:r>
            <w:r>
              <w:rPr>
                <w:rFonts w:hint="eastAsia" w:ascii="仿宋" w:hAnsi="仿宋" w:eastAsia="仿宋" w:cs="仿宋"/>
                <w:kern w:val="0"/>
                <w:sz w:val="24"/>
                <w:highlight w:val="none"/>
                <w:u w:val="single"/>
                <w:lang w:val="zh-CN"/>
              </w:rPr>
              <w:t>综合评分法</w:t>
            </w:r>
          </w:p>
        </w:tc>
      </w:tr>
      <w:tr w14:paraId="0FF56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1B7AD88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2</w:t>
            </w:r>
          </w:p>
        </w:tc>
        <w:tc>
          <w:tcPr>
            <w:tcW w:w="1676" w:type="dxa"/>
            <w:tcBorders>
              <w:top w:val="single" w:color="000000" w:sz="8" w:space="0"/>
              <w:left w:val="single" w:color="auto" w:sz="4" w:space="0"/>
              <w:bottom w:val="single" w:color="000000" w:sz="8" w:space="0"/>
              <w:right w:val="single" w:color="000000" w:sz="8" w:space="0"/>
            </w:tcBorders>
            <w:vAlign w:val="center"/>
          </w:tcPr>
          <w:p w14:paraId="1317975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报价要求</w:t>
            </w:r>
          </w:p>
        </w:tc>
        <w:tc>
          <w:tcPr>
            <w:tcW w:w="6573" w:type="dxa"/>
            <w:tcBorders>
              <w:top w:val="single" w:color="000000" w:sz="8" w:space="0"/>
              <w:left w:val="single" w:color="000000" w:sz="2" w:space="0"/>
              <w:bottom w:val="single" w:color="000000" w:sz="8" w:space="0"/>
              <w:right w:val="single" w:color="000000" w:sz="8" w:space="0"/>
            </w:tcBorders>
            <w:vAlign w:val="center"/>
          </w:tcPr>
          <w:p w14:paraId="63A3B28E">
            <w:pPr>
              <w:keepNext w:val="0"/>
              <w:keepLines w:val="0"/>
              <w:pageBreakBefore w:val="0"/>
              <w:widowControl w:val="0"/>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有关本项目实施所需的所有费用（含税费）均计入报价。</w:t>
            </w:r>
          </w:p>
          <w:p w14:paraId="2AB2C5E0">
            <w:pPr>
              <w:keepNext w:val="0"/>
              <w:keepLines w:val="0"/>
              <w:pageBreakBefore w:val="0"/>
              <w:widowControl w:val="0"/>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kern w:val="0"/>
                <w:sz w:val="24"/>
                <w:highlight w:val="none"/>
                <w:lang w:val="zh-CN"/>
              </w:rPr>
            </w:pPr>
            <w:r>
              <w:rPr>
                <w:rFonts w:hint="eastAsia" w:ascii="仿宋" w:hAnsi="仿宋" w:eastAsia="仿宋" w:cs="仿宋"/>
                <w:sz w:val="24"/>
                <w:highlight w:val="none"/>
              </w:rPr>
              <w:t>开标一览表（报价表）是报价的唯一载体</w:t>
            </w:r>
            <w:r>
              <w:rPr>
                <w:rFonts w:hint="eastAsia" w:ascii="仿宋" w:hAnsi="仿宋" w:eastAsia="仿宋" w:cs="仿宋"/>
                <w:kern w:val="0"/>
                <w:sz w:val="24"/>
                <w:highlight w:val="none"/>
                <w:lang w:val="zh-CN"/>
              </w:rPr>
              <w:t>。投标文件中价格全部采用人民币报价。</w:t>
            </w:r>
          </w:p>
          <w:p w14:paraId="76C82773">
            <w:pPr>
              <w:keepNext w:val="0"/>
              <w:keepLines w:val="0"/>
              <w:pageBreakBefore w:val="0"/>
              <w:widowControl w:val="0"/>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招标文件未列明，而磋商供应商认为必需的费用也需列入报价。</w:t>
            </w:r>
          </w:p>
          <w:p w14:paraId="548D2CA8">
            <w:pPr>
              <w:keepNext w:val="0"/>
              <w:keepLines w:val="0"/>
              <w:pageBreakBefore w:val="0"/>
              <w:widowControl w:val="0"/>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投标报价出现下列情形的，投标无效：</w:t>
            </w:r>
          </w:p>
          <w:p w14:paraId="66764AD4">
            <w:pPr>
              <w:pStyle w:val="284"/>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left="0" w:firstLineChars="0"/>
              <w:textAlignment w:val="auto"/>
              <w:rPr>
                <w:rFonts w:hint="eastAsia" w:ascii="仿宋" w:hAnsi="仿宋" w:eastAsia="仿宋" w:cs="仿宋"/>
                <w:color w:val="000000"/>
                <w:kern w:val="0"/>
                <w:sz w:val="24"/>
                <w:szCs w:val="21"/>
                <w:highlight w:val="none"/>
                <w:lang w:val="zh-CN" w:eastAsia="zh-CN" w:bidi="ar-SA"/>
              </w:rPr>
            </w:pPr>
            <w:r>
              <w:rPr>
                <w:rFonts w:hint="eastAsia" w:ascii="仿宋" w:hAnsi="仿宋" w:eastAsia="仿宋" w:cs="仿宋"/>
                <w:color w:val="000000"/>
                <w:kern w:val="0"/>
                <w:sz w:val="24"/>
                <w:szCs w:val="21"/>
                <w:highlight w:val="none"/>
                <w:lang w:val="zh-CN" w:eastAsia="zh-CN" w:bidi="ar-SA"/>
              </w:rPr>
              <w:t>①投标文件出现不是唯一的、有选择性投标报价的；</w:t>
            </w:r>
          </w:p>
          <w:p w14:paraId="3EE34485">
            <w:pPr>
              <w:pStyle w:val="284"/>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left="0" w:firstLineChars="0"/>
              <w:textAlignment w:val="auto"/>
              <w:rPr>
                <w:rFonts w:hint="eastAsia" w:ascii="仿宋" w:hAnsi="仿宋" w:eastAsia="仿宋" w:cs="仿宋"/>
                <w:color w:val="000000"/>
                <w:kern w:val="0"/>
                <w:sz w:val="24"/>
                <w:szCs w:val="21"/>
                <w:highlight w:val="none"/>
                <w:lang w:val="zh-CN" w:eastAsia="zh-CN" w:bidi="ar-SA"/>
              </w:rPr>
            </w:pPr>
            <w:r>
              <w:rPr>
                <w:rFonts w:hint="eastAsia" w:ascii="仿宋" w:hAnsi="仿宋" w:eastAsia="仿宋" w:cs="仿宋"/>
                <w:color w:val="000000"/>
                <w:kern w:val="0"/>
                <w:sz w:val="24"/>
                <w:szCs w:val="21"/>
                <w:highlight w:val="none"/>
                <w:lang w:val="zh-CN" w:eastAsia="zh-CN" w:bidi="ar-SA"/>
              </w:rPr>
              <w:t>②投标报价超过招标文件中规定的预算金额或者最高限价的;</w:t>
            </w:r>
          </w:p>
          <w:p w14:paraId="62949E84">
            <w:pPr>
              <w:pStyle w:val="284"/>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left="0" w:firstLineChars="0"/>
              <w:textAlignment w:val="auto"/>
              <w:rPr>
                <w:rFonts w:hint="eastAsia" w:ascii="仿宋" w:hAnsi="仿宋" w:eastAsia="仿宋" w:cs="仿宋"/>
                <w:color w:val="000000"/>
                <w:kern w:val="0"/>
                <w:sz w:val="24"/>
                <w:szCs w:val="21"/>
                <w:highlight w:val="none"/>
                <w:lang w:val="zh-CN" w:eastAsia="zh-CN" w:bidi="ar-SA"/>
              </w:rPr>
            </w:pPr>
            <w:r>
              <w:rPr>
                <w:rFonts w:hint="eastAsia" w:ascii="仿宋" w:hAnsi="仿宋" w:eastAsia="仿宋" w:cs="仿宋"/>
                <w:color w:val="000000"/>
                <w:kern w:val="0"/>
                <w:sz w:val="24"/>
                <w:szCs w:val="21"/>
                <w:highlight w:val="none"/>
                <w:lang w:val="zh-CN" w:eastAsia="zh-CN" w:bidi="ar-SA"/>
              </w:rPr>
              <w:t>③评标委员会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评标委员会应当将其作为无效投标处理;</w:t>
            </w:r>
          </w:p>
          <w:p w14:paraId="72B58A75">
            <w:pPr>
              <w:pStyle w:val="284"/>
              <w:keepNext w:val="0"/>
              <w:keepLines w:val="0"/>
              <w:pageBreakBefore w:val="0"/>
              <w:widowControl w:val="0"/>
              <w:numPr>
                <w:ilvl w:val="0"/>
                <w:numId w:val="3"/>
              </w:numPr>
              <w:kinsoku/>
              <w:wordWrap/>
              <w:overflowPunct/>
              <w:topLinePunct w:val="0"/>
              <w:autoSpaceDE/>
              <w:autoSpaceDN/>
              <w:bidi w:val="0"/>
              <w:adjustRightInd w:val="0"/>
              <w:spacing w:line="288" w:lineRule="auto"/>
              <w:ind w:left="0" w:firstLineChars="0"/>
              <w:textAlignment w:val="auto"/>
              <w:rPr>
                <w:rFonts w:hint="eastAsia" w:ascii="仿宋" w:hAnsi="仿宋" w:eastAsia="仿宋" w:cs="仿宋"/>
                <w:bCs/>
                <w:kern w:val="0"/>
                <w:highlight w:val="none"/>
                <w:lang w:val="zh-CN"/>
              </w:rPr>
            </w:pPr>
            <w:r>
              <w:rPr>
                <w:rFonts w:hint="eastAsia" w:ascii="仿宋" w:hAnsi="仿宋" w:eastAsia="仿宋" w:cs="仿宋"/>
                <w:color w:val="000000"/>
                <w:kern w:val="0"/>
                <w:sz w:val="24"/>
                <w:szCs w:val="21"/>
                <w:highlight w:val="none"/>
                <w:lang w:val="en-US" w:eastAsia="zh-CN" w:bidi="ar-SA"/>
              </w:rPr>
              <w:t>④磋商供应商对根据修正原则修正后的报价不确认的</w:t>
            </w:r>
            <w:r>
              <w:rPr>
                <w:rFonts w:hint="eastAsia" w:ascii="仿宋" w:hAnsi="仿宋" w:eastAsia="仿宋" w:cs="仿宋"/>
                <w:bCs/>
                <w:highlight w:val="none"/>
              </w:rPr>
              <w:t>。</w:t>
            </w:r>
          </w:p>
        </w:tc>
      </w:tr>
      <w:tr w14:paraId="2DE6B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02634DCC">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3</w:t>
            </w:r>
          </w:p>
        </w:tc>
        <w:tc>
          <w:tcPr>
            <w:tcW w:w="1676" w:type="dxa"/>
            <w:tcBorders>
              <w:top w:val="single" w:color="000000" w:sz="8" w:space="0"/>
              <w:left w:val="single" w:color="auto" w:sz="4" w:space="0"/>
              <w:bottom w:val="single" w:color="000000" w:sz="8" w:space="0"/>
              <w:right w:val="single" w:color="000000" w:sz="8" w:space="0"/>
            </w:tcBorders>
            <w:vAlign w:val="center"/>
          </w:tcPr>
          <w:p w14:paraId="4FB9E9C0">
            <w:pPr>
              <w:keepNext w:val="0"/>
              <w:keepLines w:val="0"/>
              <w:pageBreakBefore w:val="0"/>
              <w:widowControl w:val="0"/>
              <w:kinsoku/>
              <w:wordWrap/>
              <w:overflowPunct/>
              <w:topLinePunct w:val="0"/>
              <w:autoSpaceDE/>
              <w:autoSpaceDN/>
              <w:bidi w:val="0"/>
              <w:adjustRightInd w:val="0"/>
              <w:snapToGrid w:val="0"/>
              <w:spacing w:line="320" w:lineRule="exact"/>
              <w:ind w:left="0"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分包</w:t>
            </w:r>
          </w:p>
        </w:tc>
        <w:tc>
          <w:tcPr>
            <w:tcW w:w="6573" w:type="dxa"/>
            <w:tcBorders>
              <w:top w:val="single" w:color="000000" w:sz="8" w:space="0"/>
              <w:left w:val="single" w:color="000000" w:sz="2" w:space="0"/>
              <w:bottom w:val="single" w:color="000000" w:sz="8" w:space="0"/>
              <w:right w:val="single" w:color="000000" w:sz="8" w:space="0"/>
            </w:tcBorders>
            <w:vAlign w:val="center"/>
          </w:tcPr>
          <w:p w14:paraId="5C584D78">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highlight w:val="none"/>
              </w:rPr>
            </w:pPr>
            <w:r>
              <w:rPr>
                <w:rFonts w:hint="eastAsia" w:ascii="仿宋" w:hAnsi="仿宋" w:eastAsia="仿宋" w:cs="仿宋"/>
                <w:kern w:val="0"/>
                <w:sz w:val="24"/>
                <w:highlight w:val="none"/>
              </w:rPr>
              <w:t>☐ A</w:t>
            </w:r>
            <w:r>
              <w:rPr>
                <w:rFonts w:hint="eastAsia" w:ascii="仿宋" w:hAnsi="仿宋" w:eastAsia="仿宋" w:cs="仿宋"/>
                <w:sz w:val="24"/>
                <w:highlight w:val="none"/>
              </w:rPr>
              <w:t>同意将非主体、非关键性的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分包。</w:t>
            </w:r>
          </w:p>
          <w:p w14:paraId="4DC64739">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F0FE"/>
            </w:r>
            <w:r>
              <w:rPr>
                <w:rFonts w:hint="eastAsia" w:ascii="仿宋" w:hAnsi="仿宋" w:eastAsia="仿宋" w:cs="仿宋"/>
                <w:kern w:val="0"/>
                <w:sz w:val="24"/>
                <w:highlight w:val="none"/>
              </w:rPr>
              <w:t xml:space="preserve"> B</w:t>
            </w:r>
            <w:r>
              <w:rPr>
                <w:rFonts w:hint="eastAsia" w:ascii="仿宋" w:hAnsi="仿宋" w:eastAsia="仿宋" w:cs="仿宋"/>
                <w:sz w:val="24"/>
                <w:highlight w:val="none"/>
              </w:rPr>
              <w:t>不同意分包。</w:t>
            </w:r>
          </w:p>
        </w:tc>
      </w:tr>
      <w:tr w14:paraId="54218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425DD92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4</w:t>
            </w:r>
          </w:p>
        </w:tc>
        <w:tc>
          <w:tcPr>
            <w:tcW w:w="1676" w:type="dxa"/>
            <w:tcBorders>
              <w:top w:val="single" w:color="000000" w:sz="8" w:space="0"/>
              <w:left w:val="single" w:color="auto" w:sz="4" w:space="0"/>
              <w:right w:val="single" w:color="000000" w:sz="8" w:space="0"/>
            </w:tcBorders>
            <w:vAlign w:val="center"/>
          </w:tcPr>
          <w:p w14:paraId="137C88A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磋商供应商应当提供的资格文件</w:t>
            </w:r>
          </w:p>
        </w:tc>
        <w:tc>
          <w:tcPr>
            <w:tcW w:w="6573" w:type="dxa"/>
            <w:tcBorders>
              <w:top w:val="single" w:color="000000" w:sz="8" w:space="0"/>
              <w:left w:val="single" w:color="000000" w:sz="2" w:space="0"/>
              <w:right w:val="single" w:color="000000" w:sz="8" w:space="0"/>
            </w:tcBorders>
            <w:vAlign w:val="center"/>
          </w:tcPr>
          <w:p w14:paraId="50324CD9">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rPr>
            </w:pPr>
            <w:r>
              <w:rPr>
                <w:rFonts w:hint="eastAsia" w:ascii="仿宋" w:hAnsi="仿宋" w:eastAsia="仿宋" w:cs="仿宋"/>
                <w:highlight w:val="none"/>
              </w:rPr>
              <w:t>①营业执照或事业法人证书复印件（加盖单位公章）；</w:t>
            </w:r>
          </w:p>
          <w:p w14:paraId="4F29FFC1">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rPr>
            </w:pPr>
            <w:r>
              <w:rPr>
                <w:rFonts w:hint="eastAsia" w:ascii="仿宋" w:hAnsi="仿宋" w:eastAsia="仿宋" w:cs="仿宋"/>
                <w:highlight w:val="none"/>
              </w:rPr>
              <w:t>②符合参加政府采购活动应当具备的一般条件的承诺函（格式见第六章）；</w:t>
            </w:r>
          </w:p>
          <w:p w14:paraId="41BF60DD">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rPr>
            </w:pPr>
            <w:r>
              <w:rPr>
                <w:rFonts w:hint="eastAsia" w:ascii="仿宋" w:hAnsi="仿宋" w:eastAsia="仿宋" w:cs="仿宋"/>
                <w:highlight w:val="none"/>
              </w:rPr>
              <w:t>③落实政府采购政策需满足的资格要求：提供中小企业声明函（格式见第六章）；</w:t>
            </w:r>
          </w:p>
          <w:p w14:paraId="552913D0">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en-US" w:eastAsia="zh-CN"/>
              </w:rPr>
            </w:pPr>
            <w:r>
              <w:rPr>
                <w:rFonts w:hint="eastAsia" w:ascii="仿宋" w:hAnsi="仿宋" w:eastAsia="仿宋" w:cs="仿宋"/>
                <w:highlight w:val="none"/>
              </w:rPr>
              <w:t>④本项目的特定资格要求</w:t>
            </w:r>
            <w:r>
              <w:rPr>
                <w:rFonts w:hint="eastAsia" w:ascii="仿宋" w:hAnsi="仿宋" w:eastAsia="仿宋" w:cs="仿宋"/>
                <w:highlight w:val="none"/>
                <w:lang w:eastAsia="zh-CN"/>
              </w:rPr>
              <w:t>：</w:t>
            </w:r>
          </w:p>
          <w:p w14:paraId="01F8EDF0">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标项1、2: </w:t>
            </w:r>
            <w:r>
              <w:rPr>
                <w:rFonts w:hint="eastAsia" w:ascii="仿宋" w:hAnsi="仿宋" w:eastAsia="仿宋" w:cs="仿宋"/>
                <w:bCs/>
                <w:color w:val="auto"/>
                <w:sz w:val="24"/>
                <w:highlight w:val="none"/>
              </w:rPr>
              <w:t>具备</w:t>
            </w:r>
            <w:r>
              <w:rPr>
                <w:rFonts w:hint="eastAsia" w:ascii="仿宋" w:hAnsi="仿宋" w:eastAsia="仿宋" w:cs="仿宋"/>
                <w:bCs/>
                <w:color w:val="auto"/>
                <w:sz w:val="24"/>
                <w:highlight w:val="none"/>
                <w:lang w:val="en-US" w:eastAsia="zh-CN"/>
              </w:rPr>
              <w:t>水利</w:t>
            </w:r>
            <w:r>
              <w:rPr>
                <w:rFonts w:hint="eastAsia" w:ascii="仿宋" w:hAnsi="仿宋" w:eastAsia="仿宋" w:cs="仿宋"/>
                <w:bCs/>
                <w:color w:val="auto"/>
                <w:sz w:val="24"/>
                <w:highlight w:val="none"/>
              </w:rPr>
              <w:t>工程设计</w:t>
            </w:r>
            <w:r>
              <w:rPr>
                <w:rFonts w:hint="eastAsia" w:ascii="仿宋" w:hAnsi="仿宋" w:eastAsia="仿宋" w:cs="仿宋"/>
                <w:bCs/>
                <w:color w:val="auto"/>
                <w:sz w:val="24"/>
                <w:highlight w:val="none"/>
                <w:lang w:val="en-US" w:eastAsia="zh-CN"/>
              </w:rPr>
              <w:t>丙</w:t>
            </w:r>
            <w:r>
              <w:rPr>
                <w:rFonts w:hint="eastAsia" w:ascii="仿宋" w:hAnsi="仿宋" w:eastAsia="仿宋" w:cs="仿宋"/>
                <w:bCs/>
                <w:color w:val="auto"/>
                <w:sz w:val="24"/>
                <w:highlight w:val="none"/>
              </w:rPr>
              <w:t>级及以上</w:t>
            </w:r>
            <w:r>
              <w:rPr>
                <w:rFonts w:hint="eastAsia" w:ascii="仿宋" w:hAnsi="仿宋" w:eastAsia="仿宋" w:cs="仿宋"/>
                <w:bCs/>
                <w:color w:val="auto"/>
                <w:sz w:val="24"/>
                <w:highlight w:val="none"/>
                <w:lang w:val="en-US" w:eastAsia="zh-CN"/>
              </w:rPr>
              <w:t>资质</w:t>
            </w:r>
            <w:r>
              <w:rPr>
                <w:rFonts w:hint="eastAsia" w:ascii="仿宋" w:hAnsi="仿宋" w:eastAsia="仿宋" w:cs="仿宋"/>
                <w:highlight w:val="none"/>
                <w:lang w:val="en-US" w:eastAsia="zh-CN"/>
              </w:rPr>
              <w:t>。</w:t>
            </w:r>
          </w:p>
          <w:p w14:paraId="7FF67026">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snapToGrid w:val="0"/>
                <w:kern w:val="0"/>
                <w:szCs w:val="21"/>
                <w:highlight w:val="none"/>
              </w:rPr>
            </w:pPr>
            <w:r>
              <w:rPr>
                <w:rFonts w:hint="eastAsia" w:ascii="仿宋" w:hAnsi="仿宋" w:eastAsia="仿宋" w:cs="仿宋"/>
                <w:b/>
                <w:kern w:val="0"/>
                <w:sz w:val="24"/>
                <w:highlight w:val="none"/>
                <w:lang w:val="zh-CN"/>
              </w:rPr>
              <w:t>投标人未提供有效的资格证明文件的，视为投标人不具备招标文件中规定的资格要求，其投标无效。</w:t>
            </w:r>
          </w:p>
        </w:tc>
      </w:tr>
      <w:tr w14:paraId="66CC2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0AD699D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5</w:t>
            </w:r>
          </w:p>
        </w:tc>
        <w:tc>
          <w:tcPr>
            <w:tcW w:w="1676" w:type="dxa"/>
            <w:tcBorders>
              <w:top w:val="single" w:color="000000" w:sz="8" w:space="0"/>
              <w:left w:val="single" w:color="auto" w:sz="4" w:space="0"/>
              <w:right w:val="single" w:color="000000" w:sz="8" w:space="0"/>
            </w:tcBorders>
            <w:vAlign w:val="center"/>
          </w:tcPr>
          <w:p w14:paraId="56541DA5">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磋商供应商应当提供的商务技术文件</w:t>
            </w:r>
          </w:p>
        </w:tc>
        <w:tc>
          <w:tcPr>
            <w:tcW w:w="6573" w:type="dxa"/>
            <w:tcBorders>
              <w:top w:val="single" w:color="000000" w:sz="8" w:space="0"/>
              <w:left w:val="single" w:color="000000" w:sz="2" w:space="0"/>
              <w:right w:val="single" w:color="000000" w:sz="8" w:space="0"/>
            </w:tcBorders>
            <w:vAlign w:val="center"/>
          </w:tcPr>
          <w:p w14:paraId="62380000">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zh-CN" w:eastAsia="zh-CN"/>
              </w:rPr>
            </w:pPr>
            <w:r>
              <w:rPr>
                <w:rFonts w:hint="eastAsia" w:ascii="仿宋" w:hAnsi="仿宋" w:eastAsia="仿宋" w:cs="仿宋"/>
                <w:highlight w:val="none"/>
              </w:rPr>
              <w:t>①</w:t>
            </w:r>
            <w:r>
              <w:rPr>
                <w:rFonts w:hint="eastAsia" w:ascii="仿宋" w:hAnsi="仿宋" w:eastAsia="仿宋" w:cs="仿宋"/>
                <w:highlight w:val="none"/>
                <w:lang w:val="en-US" w:eastAsia="zh-CN"/>
              </w:rPr>
              <w:t>投标函；</w:t>
            </w:r>
          </w:p>
          <w:p w14:paraId="4E88269C">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zh-CN" w:eastAsia="zh-CN"/>
              </w:rPr>
            </w:pPr>
            <w:r>
              <w:rPr>
                <w:rFonts w:hint="eastAsia" w:ascii="仿宋" w:hAnsi="仿宋" w:eastAsia="仿宋" w:cs="仿宋"/>
                <w:highlight w:val="none"/>
                <w:lang w:val="en-US" w:eastAsia="zh-CN"/>
              </w:rPr>
              <w:t>②授权委托书或法定代表人（单位负责人、自然人本人）身份证明；</w:t>
            </w:r>
          </w:p>
          <w:p w14:paraId="2816794D">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zh-CN" w:eastAsia="zh-CN"/>
              </w:rPr>
            </w:pPr>
            <w:r>
              <w:rPr>
                <w:rFonts w:hint="eastAsia" w:ascii="仿宋" w:hAnsi="仿宋" w:eastAsia="仿宋" w:cs="仿宋"/>
                <w:highlight w:val="none"/>
                <w:lang w:val="en-US" w:eastAsia="zh-CN"/>
              </w:rPr>
              <w:t>③联合协议（如需）；</w:t>
            </w:r>
          </w:p>
          <w:p w14:paraId="4E5B8D21">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zh-CN" w:eastAsia="zh-CN"/>
              </w:rPr>
            </w:pPr>
            <w:r>
              <w:rPr>
                <w:rFonts w:hint="eastAsia" w:ascii="仿宋" w:hAnsi="仿宋" w:eastAsia="仿宋" w:cs="仿宋"/>
                <w:highlight w:val="none"/>
                <w:lang w:val="en-US" w:eastAsia="zh-CN"/>
              </w:rPr>
              <w:t>④分包意向协议（如需）；</w:t>
            </w:r>
          </w:p>
          <w:p w14:paraId="4A5FCEE7">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zh-CN" w:eastAsia="zh-CN"/>
              </w:rPr>
            </w:pPr>
            <w:r>
              <w:rPr>
                <w:rFonts w:hint="eastAsia" w:ascii="仿宋" w:hAnsi="仿宋" w:eastAsia="仿宋" w:cs="仿宋"/>
                <w:highlight w:val="none"/>
                <w:lang w:val="en-US" w:eastAsia="zh-CN"/>
              </w:rPr>
              <w:t>⑤符合性审查资料；</w:t>
            </w:r>
          </w:p>
          <w:p w14:paraId="3922A703">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zh-CN" w:eastAsia="zh-CN"/>
              </w:rPr>
            </w:pPr>
            <w:r>
              <w:rPr>
                <w:rFonts w:hint="eastAsia" w:ascii="仿宋" w:hAnsi="仿宋" w:eastAsia="仿宋" w:cs="仿宋"/>
                <w:highlight w:val="none"/>
                <w:lang w:val="en-US" w:eastAsia="zh-CN"/>
              </w:rPr>
              <w:t>⑥评标标准相应的商务技术资料（如需）；</w:t>
            </w:r>
          </w:p>
          <w:p w14:paraId="49A1FF24">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zh-CN" w:eastAsia="zh-CN"/>
              </w:rPr>
            </w:pPr>
            <w:r>
              <w:rPr>
                <w:rFonts w:hint="eastAsia" w:ascii="仿宋" w:hAnsi="仿宋" w:eastAsia="仿宋" w:cs="仿宋"/>
                <w:highlight w:val="none"/>
                <w:lang w:val="en-US" w:eastAsia="zh-CN"/>
              </w:rPr>
              <w:t>⑦商务技术偏离表；</w:t>
            </w:r>
          </w:p>
          <w:p w14:paraId="55CE7CE0">
            <w:pPr>
              <w:pStyle w:val="284"/>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lang w:val="zh-CN" w:eastAsia="zh-CN"/>
              </w:rPr>
            </w:pPr>
            <w:r>
              <w:rPr>
                <w:rFonts w:hint="eastAsia" w:ascii="仿宋" w:hAnsi="仿宋" w:eastAsia="仿宋" w:cs="仿宋"/>
                <w:highlight w:val="none"/>
                <w:lang w:val="zh-CN" w:eastAsia="zh-CN"/>
              </w:rPr>
              <w:t>⑧政府采购供应商廉洁自律承诺书。</w:t>
            </w:r>
          </w:p>
          <w:p w14:paraId="3D85E176">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highlight w:val="none"/>
                <w:lang w:val="zh-CN"/>
              </w:rPr>
            </w:pPr>
            <w:r>
              <w:rPr>
                <w:rFonts w:hint="eastAsia" w:ascii="仿宋" w:hAnsi="仿宋" w:eastAsia="仿宋" w:cs="仿宋"/>
                <w:b/>
                <w:kern w:val="0"/>
                <w:sz w:val="24"/>
                <w:highlight w:val="none"/>
                <w:lang w:val="zh-CN"/>
              </w:rPr>
              <w:t>投标文件项目不齐全或内容虚假的，将视为无效投标。</w:t>
            </w:r>
          </w:p>
        </w:tc>
      </w:tr>
      <w:tr w14:paraId="4EDB2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14:paraId="5967EBC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6</w:t>
            </w:r>
          </w:p>
        </w:tc>
        <w:tc>
          <w:tcPr>
            <w:tcW w:w="1676" w:type="dxa"/>
            <w:tcBorders>
              <w:top w:val="single" w:color="000000" w:sz="8" w:space="0"/>
              <w:left w:val="single" w:color="auto" w:sz="4" w:space="0"/>
              <w:right w:val="single" w:color="000000" w:sz="8" w:space="0"/>
            </w:tcBorders>
            <w:vAlign w:val="center"/>
          </w:tcPr>
          <w:p w14:paraId="19220ED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磋商供应商应当提供的报价文件</w:t>
            </w:r>
          </w:p>
        </w:tc>
        <w:tc>
          <w:tcPr>
            <w:tcW w:w="6573" w:type="dxa"/>
            <w:tcBorders>
              <w:top w:val="single" w:color="000000" w:sz="8" w:space="0"/>
              <w:left w:val="single" w:color="000000" w:sz="2" w:space="0"/>
              <w:right w:val="single" w:color="000000" w:sz="8" w:space="0"/>
            </w:tcBorders>
            <w:vAlign w:val="center"/>
          </w:tcPr>
          <w:p w14:paraId="5EAD5EC6">
            <w:pPr>
              <w:pStyle w:val="284"/>
              <w:keepNext w:val="0"/>
              <w:keepLines w:val="0"/>
              <w:pageBreakBefore w:val="0"/>
              <w:widowControl w:val="0"/>
              <w:numPr>
                <w:ilvl w:val="0"/>
                <w:numId w:val="5"/>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rPr>
            </w:pPr>
            <w:r>
              <w:rPr>
                <w:rFonts w:hint="eastAsia" w:ascii="仿宋" w:hAnsi="仿宋" w:eastAsia="仿宋" w:cs="仿宋"/>
                <w:highlight w:val="none"/>
              </w:rPr>
              <w:t>①开标一览表（报价表）；</w:t>
            </w:r>
          </w:p>
          <w:p w14:paraId="16B1C563">
            <w:pPr>
              <w:pStyle w:val="284"/>
              <w:keepNext w:val="0"/>
              <w:keepLines w:val="0"/>
              <w:pageBreakBefore w:val="0"/>
              <w:widowControl w:val="0"/>
              <w:numPr>
                <w:ilvl w:val="0"/>
                <w:numId w:val="5"/>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highlight w:val="none"/>
              </w:rPr>
            </w:pPr>
            <w:r>
              <w:rPr>
                <w:rFonts w:hint="eastAsia" w:ascii="仿宋" w:hAnsi="仿宋" w:eastAsia="仿宋" w:cs="仿宋"/>
                <w:highlight w:val="none"/>
              </w:rPr>
              <w:t>②中小企业声明函（如需）。</w:t>
            </w:r>
          </w:p>
          <w:p w14:paraId="1298EC42">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sz w:val="24"/>
                <w:highlight w:val="none"/>
              </w:rPr>
            </w:pPr>
            <w:r>
              <w:rPr>
                <w:rFonts w:hint="eastAsia" w:ascii="仿宋" w:hAnsi="仿宋" w:eastAsia="仿宋" w:cs="仿宋"/>
                <w:b/>
                <w:sz w:val="24"/>
                <w:highlight w:val="none"/>
              </w:rPr>
              <w:t>投标文件含有采购人不能接受的附加条件的，</w:t>
            </w:r>
            <w:r>
              <w:rPr>
                <w:rFonts w:hint="eastAsia" w:ascii="仿宋" w:hAnsi="仿宋" w:eastAsia="仿宋" w:cs="仿宋"/>
                <w:b/>
                <w:kern w:val="0"/>
                <w:sz w:val="24"/>
                <w:highlight w:val="none"/>
                <w:lang w:val="zh-CN"/>
              </w:rPr>
              <w:t>将视为无效投标。</w:t>
            </w:r>
          </w:p>
        </w:tc>
      </w:tr>
      <w:tr w14:paraId="20CDC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1451961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7</w:t>
            </w:r>
          </w:p>
        </w:tc>
        <w:tc>
          <w:tcPr>
            <w:tcW w:w="1676" w:type="dxa"/>
            <w:tcBorders>
              <w:top w:val="single" w:color="000000" w:sz="8" w:space="0"/>
              <w:left w:val="single" w:color="auto" w:sz="4" w:space="0"/>
              <w:bottom w:val="single" w:color="000000" w:sz="8" w:space="0"/>
              <w:right w:val="single" w:color="000000" w:sz="8" w:space="0"/>
            </w:tcBorders>
            <w:vAlign w:val="center"/>
          </w:tcPr>
          <w:p w14:paraId="09FAABA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开标前答疑会或现场考察</w:t>
            </w:r>
          </w:p>
        </w:tc>
        <w:tc>
          <w:tcPr>
            <w:tcW w:w="6573" w:type="dxa"/>
            <w:tcBorders>
              <w:top w:val="single" w:color="000000" w:sz="8" w:space="0"/>
              <w:left w:val="single" w:color="000000" w:sz="2" w:space="0"/>
              <w:bottom w:val="single" w:color="000000" w:sz="8" w:space="0"/>
              <w:right w:val="single" w:color="000000" w:sz="8" w:space="0"/>
            </w:tcBorders>
            <w:vAlign w:val="center"/>
          </w:tcPr>
          <w:p w14:paraId="020319E0">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F0FE"/>
            </w:r>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14:paraId="69A6794C">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szCs w:val="20"/>
                <w:highlight w:val="none"/>
              </w:rPr>
            </w:pPr>
            <w:r>
              <w:rPr>
                <w:rFonts w:hint="eastAsia" w:ascii="仿宋" w:hAnsi="仿宋" w:eastAsia="仿宋" w:cs="仿宋"/>
                <w:kern w:val="0"/>
                <w:sz w:val="24"/>
                <w:highlight w:val="none"/>
              </w:rPr>
              <w:t>☐B组织，</w:t>
            </w:r>
            <w:r>
              <w:rPr>
                <w:rFonts w:hint="eastAsia" w:ascii="仿宋" w:hAnsi="仿宋" w:eastAsia="仿宋" w:cs="仿宋"/>
                <w:sz w:val="24"/>
                <w:highlight w:val="none"/>
              </w:rPr>
              <w:t>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，联系方式：</w:t>
            </w:r>
            <w:r>
              <w:rPr>
                <w:rFonts w:hint="eastAsia" w:ascii="仿宋" w:hAnsi="仿宋" w:eastAsia="仿宋" w:cs="仿宋"/>
                <w:sz w:val="24"/>
                <w:highlight w:val="none"/>
                <w:u w:val="single"/>
              </w:rPr>
              <w:t xml:space="preserve">      </w:t>
            </w:r>
            <w:r>
              <w:rPr>
                <w:rFonts w:hint="eastAsia" w:ascii="仿宋" w:hAnsi="仿宋" w:eastAsia="仿宋" w:cs="仿宋"/>
                <w:sz w:val="24"/>
                <w:szCs w:val="20"/>
                <w:highlight w:val="none"/>
              </w:rPr>
              <w:t>。</w:t>
            </w:r>
          </w:p>
        </w:tc>
      </w:tr>
      <w:tr w14:paraId="5D5DB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14:paraId="72C7CAE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8</w:t>
            </w:r>
          </w:p>
        </w:tc>
        <w:tc>
          <w:tcPr>
            <w:tcW w:w="1676" w:type="dxa"/>
            <w:tcBorders>
              <w:top w:val="single" w:color="000000" w:sz="8" w:space="0"/>
              <w:left w:val="single" w:color="auto" w:sz="4" w:space="0"/>
              <w:bottom w:val="single" w:color="000000" w:sz="8" w:space="0"/>
              <w:right w:val="single" w:color="000000" w:sz="8" w:space="0"/>
            </w:tcBorders>
            <w:vAlign w:val="center"/>
          </w:tcPr>
          <w:p w14:paraId="02456FD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样品提供</w:t>
            </w:r>
          </w:p>
        </w:tc>
        <w:tc>
          <w:tcPr>
            <w:tcW w:w="6573" w:type="dxa"/>
            <w:tcBorders>
              <w:top w:val="single" w:color="000000" w:sz="8" w:space="0"/>
              <w:left w:val="single" w:color="000000" w:sz="2" w:space="0"/>
              <w:bottom w:val="single" w:color="000000" w:sz="8" w:space="0"/>
              <w:right w:val="single" w:color="000000" w:sz="8" w:space="0"/>
            </w:tcBorders>
            <w:vAlign w:val="center"/>
          </w:tcPr>
          <w:p w14:paraId="15636563">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 xml:space="preserve"> A不要求提供</w:t>
            </w:r>
            <w:r>
              <w:rPr>
                <w:rFonts w:hint="eastAsia" w:ascii="仿宋" w:hAnsi="仿宋" w:eastAsia="仿宋" w:cs="仿宋"/>
                <w:sz w:val="24"/>
                <w:highlight w:val="none"/>
              </w:rPr>
              <w:t>。</w:t>
            </w:r>
          </w:p>
          <w:p w14:paraId="3C5F5FFA">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color w:val="auto"/>
                <w:kern w:val="0"/>
                <w:sz w:val="24"/>
                <w:highlight w:val="none"/>
              </w:rPr>
            </w:pPr>
            <w:r>
              <w:rPr>
                <w:rFonts w:hint="eastAsia" w:ascii="仿宋" w:hAnsi="仿宋" w:eastAsia="仿宋" w:cs="仿宋"/>
                <w:sz w:val="24"/>
                <w:highlight w:val="none"/>
              </w:rPr>
              <w:t>☐</w:t>
            </w:r>
            <w:r>
              <w:rPr>
                <w:rFonts w:hint="eastAsia" w:ascii="仿宋" w:hAnsi="仿宋" w:eastAsia="仿宋" w:cs="仿宋"/>
                <w:color w:val="auto"/>
                <w:kern w:val="0"/>
                <w:sz w:val="24"/>
                <w:highlight w:val="none"/>
              </w:rPr>
              <w:t>B要求提供：</w:t>
            </w:r>
          </w:p>
          <w:p w14:paraId="2D841C58">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样品：</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123E7072">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样品制作的标准和要求：</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17591290">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样品的评审方法以及评审标准</w:t>
            </w:r>
            <w:r>
              <w:rPr>
                <w:rFonts w:hint="eastAsia" w:ascii="仿宋" w:hAnsi="仿宋" w:eastAsia="仿宋" w:cs="仿宋"/>
                <w:snapToGrid w:val="0"/>
                <w:kern w:val="28"/>
                <w:sz w:val="24"/>
                <w:highlight w:val="none"/>
              </w:rPr>
              <w:t>：</w:t>
            </w:r>
            <w:r>
              <w:rPr>
                <w:rFonts w:hint="eastAsia" w:ascii="仿宋" w:hAnsi="仿宋" w:eastAsia="仿宋" w:cs="仿宋"/>
                <w:kern w:val="0"/>
                <w:sz w:val="24"/>
                <w:highlight w:val="none"/>
              </w:rPr>
              <w:t>详见</w:t>
            </w:r>
            <w:r>
              <w:rPr>
                <w:rFonts w:hint="eastAsia" w:ascii="仿宋" w:hAnsi="仿宋" w:eastAsia="仿宋" w:cs="仿宋"/>
                <w:sz w:val="24"/>
                <w:highlight w:val="none"/>
                <w:u w:val="single"/>
              </w:rPr>
              <w:t>评标办法</w:t>
            </w:r>
            <w:r>
              <w:rPr>
                <w:rFonts w:hint="eastAsia" w:ascii="仿宋" w:hAnsi="仿宋" w:eastAsia="仿宋" w:cs="仿宋"/>
                <w:kern w:val="0"/>
                <w:sz w:val="24"/>
                <w:highlight w:val="none"/>
              </w:rPr>
              <w:t>；</w:t>
            </w:r>
          </w:p>
          <w:p w14:paraId="4289E3CE">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是否需要随样品提交检测报告：</w:t>
            </w: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否；☐是，检测机构的要求</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；检测内容</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7C3A1578">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提供样品的时间：</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；地点：</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；联系人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。请投标人在上述时间内提供样品并按规定位置安装完毕。超过截止时间的，采购人或采购代理机构将不予接收，并将清场并封闭样品现场。</w:t>
            </w:r>
          </w:p>
          <w:p w14:paraId="6D8D4D64">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AE2B440">
            <w:pPr>
              <w:keepNext w:val="0"/>
              <w:keepLines w:val="0"/>
              <w:pageBreakBefore w:val="0"/>
              <w:widowControl w:val="0"/>
              <w:kinsoku/>
              <w:wordWrap/>
              <w:overflowPunct/>
              <w:topLinePunct w:val="0"/>
              <w:autoSpaceDE/>
              <w:autoSpaceDN/>
              <w:bidi w:val="0"/>
              <w:adjustRightInd w:val="0"/>
              <w:spacing w:line="288" w:lineRule="auto"/>
              <w:ind w:left="0" w:firstLine="480" w:firstLineChars="200"/>
              <w:textAlignment w:val="auto"/>
              <w:rPr>
                <w:rFonts w:hint="eastAsia" w:ascii="仿宋" w:hAnsi="仿宋" w:eastAsia="仿宋" w:cs="仿宋"/>
                <w:b/>
                <w:sz w:val="24"/>
                <w:highlight w:val="none"/>
              </w:rPr>
            </w:pPr>
            <w:r>
              <w:rPr>
                <w:rFonts w:hint="eastAsia" w:ascii="仿宋" w:hAnsi="仿宋" w:eastAsia="仿宋" w:cs="仿宋"/>
                <w:sz w:val="24"/>
                <w:highlight w:val="none"/>
              </w:rPr>
              <w:t>制作、运输、安装和保管样品所发生的一切费用由投标人自理。</w:t>
            </w:r>
          </w:p>
        </w:tc>
      </w:tr>
      <w:tr w14:paraId="4D844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77822C9">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9</w:t>
            </w:r>
          </w:p>
        </w:tc>
        <w:tc>
          <w:tcPr>
            <w:tcW w:w="1676" w:type="dxa"/>
            <w:tcBorders>
              <w:top w:val="single" w:color="000000" w:sz="8" w:space="0"/>
              <w:left w:val="single" w:color="000000" w:sz="2" w:space="0"/>
              <w:bottom w:val="single" w:color="000000" w:sz="8" w:space="0"/>
              <w:right w:val="single" w:color="000000" w:sz="8" w:space="0"/>
            </w:tcBorders>
            <w:vAlign w:val="center"/>
          </w:tcPr>
          <w:p w14:paraId="6B9BB6D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Cs/>
                <w:sz w:val="24"/>
                <w:highlight w:val="none"/>
              </w:rPr>
            </w:pPr>
            <w:r>
              <w:rPr>
                <w:rFonts w:hint="eastAsia" w:ascii="仿宋" w:hAnsi="仿宋" w:eastAsia="仿宋" w:cs="仿宋"/>
                <w:b/>
                <w:sz w:val="24"/>
                <w:highlight w:val="none"/>
              </w:rPr>
              <w:t>方案讲解演示</w:t>
            </w:r>
          </w:p>
        </w:tc>
        <w:tc>
          <w:tcPr>
            <w:tcW w:w="6573" w:type="dxa"/>
            <w:tcBorders>
              <w:top w:val="single" w:color="000000" w:sz="8" w:space="0"/>
              <w:left w:val="single" w:color="000000" w:sz="2" w:space="0"/>
              <w:bottom w:val="single" w:color="000000" w:sz="8" w:space="0"/>
              <w:right w:val="single" w:color="000000" w:sz="8" w:space="0"/>
            </w:tcBorders>
            <w:vAlign w:val="center"/>
          </w:tcPr>
          <w:p w14:paraId="0A83333F">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A不组织。</w:t>
            </w:r>
          </w:p>
          <w:p w14:paraId="25B03CB9">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 B组织。</w:t>
            </w:r>
          </w:p>
          <w:p w14:paraId="7B54F24E">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本项目方案讲解演示采用U盘演示。投标人须通过现场或邮寄方式递交此项目演示视频存储介质，请各投标人在邮寄过程中自行保护好隐私，并确保在投标截止时间前寄到收件人处。每个投标人演示时间不超过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highlight w:val="none"/>
                <w:lang w:val="en-US" w:eastAsia="zh-CN"/>
              </w:rPr>
              <w:t>15</w:t>
            </w:r>
            <w:r>
              <w:rPr>
                <w:rFonts w:hint="eastAsia" w:ascii="仿宋" w:hAnsi="仿宋" w:eastAsia="仿宋" w:cs="仿宋"/>
                <w:kern w:val="0"/>
                <w:sz w:val="24"/>
                <w:highlight w:val="none"/>
              </w:rPr>
              <w:t>分钟。</w:t>
            </w:r>
          </w:p>
          <w:p w14:paraId="61AB4F68">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注：因投标人自身原因导致无法演示或者演示效果不理想的，责任自负。</w:t>
            </w:r>
          </w:p>
        </w:tc>
      </w:tr>
      <w:tr w14:paraId="42FA4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B068A2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color w:val="FF0000"/>
                <w:sz w:val="24"/>
                <w:highlight w:val="none"/>
              </w:rPr>
            </w:pPr>
            <w:r>
              <w:rPr>
                <w:rFonts w:hint="eastAsia" w:ascii="仿宋" w:hAnsi="仿宋" w:eastAsia="仿宋" w:cs="仿宋"/>
                <w:sz w:val="24"/>
                <w:highlight w:val="none"/>
              </w:rPr>
              <w:t>10</w:t>
            </w:r>
          </w:p>
        </w:tc>
        <w:tc>
          <w:tcPr>
            <w:tcW w:w="1676" w:type="dxa"/>
            <w:tcBorders>
              <w:top w:val="single" w:color="000000" w:sz="8" w:space="0"/>
              <w:left w:val="single" w:color="000000" w:sz="2" w:space="0"/>
              <w:bottom w:val="single" w:color="000000" w:sz="8" w:space="0"/>
              <w:right w:val="single" w:color="000000" w:sz="8" w:space="0"/>
            </w:tcBorders>
            <w:vAlign w:val="center"/>
          </w:tcPr>
          <w:p w14:paraId="60B3156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保证金收取</w:t>
            </w:r>
          </w:p>
        </w:tc>
        <w:tc>
          <w:tcPr>
            <w:tcW w:w="6573" w:type="dxa"/>
            <w:tcBorders>
              <w:top w:val="single" w:color="000000" w:sz="8" w:space="0"/>
              <w:left w:val="single" w:color="000000" w:sz="2" w:space="0"/>
              <w:bottom w:val="single" w:color="000000" w:sz="8" w:space="0"/>
              <w:right w:val="single" w:color="000000" w:sz="8" w:space="0"/>
            </w:tcBorders>
            <w:vAlign w:val="center"/>
          </w:tcPr>
          <w:p w14:paraId="377A7EFA">
            <w:pPr>
              <w:keepNext w:val="0"/>
              <w:keepLines w:val="0"/>
              <w:pageBreakBefore w:val="0"/>
              <w:widowControl w:val="0"/>
              <w:numPr>
                <w:ilvl w:val="0"/>
                <w:numId w:val="0"/>
              </w:numPr>
              <w:kinsoku/>
              <w:wordWrap/>
              <w:overflowPunct/>
              <w:topLinePunct w:val="0"/>
              <w:autoSpaceDE/>
              <w:autoSpaceDN/>
              <w:bidi w:val="0"/>
              <w:adjustRightInd w:val="0"/>
              <w:spacing w:line="288" w:lineRule="auto"/>
              <w:textAlignment w:val="auto"/>
              <w:rPr>
                <w:rFonts w:hint="eastAsia" w:ascii="仿宋" w:hAnsi="仿宋" w:eastAsia="仿宋" w:cs="仿宋"/>
                <w:b w:val="0"/>
                <w:bCs w:val="0"/>
                <w:kern w:val="0"/>
                <w:sz w:val="24"/>
                <w:highlight w:val="none"/>
              </w:rPr>
            </w:pPr>
            <w:r>
              <w:rPr>
                <w:rFonts w:hint="eastAsia" w:ascii="仿宋" w:hAnsi="仿宋" w:eastAsia="仿宋" w:cs="仿宋"/>
                <w:b/>
                <w:bCs/>
                <w:kern w:val="0"/>
                <w:sz w:val="24"/>
                <w:highlight w:val="none"/>
                <w:lang w:val="en-US" w:eastAsia="zh-CN"/>
              </w:rPr>
              <w:t>1、</w:t>
            </w:r>
            <w:r>
              <w:rPr>
                <w:rFonts w:hint="eastAsia" w:ascii="仿宋" w:hAnsi="仿宋" w:eastAsia="仿宋" w:cs="仿宋"/>
                <w:b/>
                <w:bCs/>
                <w:kern w:val="0"/>
                <w:sz w:val="24"/>
                <w:highlight w:val="none"/>
                <w:lang w:eastAsia="zh-CN"/>
              </w:rPr>
              <w:t>投标保证金：</w:t>
            </w:r>
            <w:r>
              <w:rPr>
                <w:rFonts w:hint="eastAsia" w:ascii="仿宋" w:hAnsi="仿宋" w:eastAsia="仿宋" w:cs="仿宋"/>
                <w:kern w:val="0"/>
                <w:sz w:val="24"/>
                <w:highlight w:val="none"/>
              </w:rPr>
              <w:t>本</w:t>
            </w:r>
            <w:r>
              <w:rPr>
                <w:rFonts w:hint="eastAsia" w:ascii="仿宋" w:hAnsi="仿宋" w:eastAsia="仿宋" w:cs="仿宋"/>
                <w:b w:val="0"/>
                <w:bCs w:val="0"/>
                <w:kern w:val="0"/>
                <w:sz w:val="24"/>
                <w:highlight w:val="none"/>
              </w:rPr>
              <w:t>项目不收取投标保证金。</w:t>
            </w:r>
          </w:p>
          <w:p w14:paraId="2CAE0E51">
            <w:pPr>
              <w:keepNext w:val="0"/>
              <w:keepLines w:val="0"/>
              <w:pageBreakBefore w:val="0"/>
              <w:widowControl w:val="0"/>
              <w:numPr>
                <w:ilvl w:val="0"/>
                <w:numId w:val="0"/>
              </w:numPr>
              <w:kinsoku/>
              <w:wordWrap/>
              <w:overflowPunct/>
              <w:topLinePunct w:val="0"/>
              <w:autoSpaceDE/>
              <w:autoSpaceDN/>
              <w:bidi w:val="0"/>
              <w:adjustRightInd w:val="0"/>
              <w:spacing w:line="288" w:lineRule="auto"/>
              <w:textAlignment w:val="auto"/>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2、履约保证金：</w:t>
            </w:r>
            <w:r>
              <w:rPr>
                <w:rFonts w:hint="eastAsia" w:ascii="仿宋" w:hAnsi="仿宋" w:eastAsia="仿宋"/>
                <w:sz w:val="24"/>
                <w:highlight w:val="none"/>
              </w:rPr>
              <w:t>合同签订时，中标人须向采购人缴纳本标项采购预算金额的1%作为履约保证金，</w:t>
            </w:r>
            <w:r>
              <w:rPr>
                <w:rFonts w:hint="eastAsia" w:ascii="仿宋" w:hAnsi="仿宋" w:eastAsia="仿宋" w:cs="仿宋"/>
                <w:bCs/>
                <w:sz w:val="24"/>
                <w:highlight w:val="none"/>
              </w:rPr>
              <w:t>合同到期且负责的项目全部完成后无违约情况下</w:t>
            </w:r>
            <w:r>
              <w:rPr>
                <w:rFonts w:ascii="仿宋" w:hAnsi="仿宋" w:eastAsia="仿宋" w:cs="仿宋"/>
                <w:bCs/>
                <w:sz w:val="24"/>
                <w:highlight w:val="none"/>
              </w:rPr>
              <w:t>7</w:t>
            </w:r>
            <w:r>
              <w:rPr>
                <w:rFonts w:hint="eastAsia" w:ascii="仿宋" w:hAnsi="仿宋" w:eastAsia="仿宋" w:cs="仿宋"/>
                <w:bCs/>
                <w:sz w:val="24"/>
                <w:highlight w:val="none"/>
              </w:rPr>
              <w:t>个工作日内无息退还</w:t>
            </w:r>
            <w:r>
              <w:rPr>
                <w:rFonts w:hint="eastAsia" w:ascii="仿宋" w:hAnsi="仿宋" w:eastAsia="仿宋" w:cs="仿宋"/>
                <w:b w:val="0"/>
                <w:bCs w:val="0"/>
                <w:kern w:val="0"/>
                <w:sz w:val="24"/>
                <w:highlight w:val="none"/>
                <w:lang w:val="en-US" w:eastAsia="zh-CN"/>
              </w:rPr>
              <w:t>。</w:t>
            </w:r>
          </w:p>
        </w:tc>
      </w:tr>
      <w:tr w14:paraId="287E6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9FEEA1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11</w:t>
            </w:r>
          </w:p>
        </w:tc>
        <w:tc>
          <w:tcPr>
            <w:tcW w:w="1676" w:type="dxa"/>
            <w:tcBorders>
              <w:top w:val="single" w:color="000000" w:sz="8" w:space="0"/>
              <w:left w:val="single" w:color="000000" w:sz="2" w:space="0"/>
              <w:bottom w:val="single" w:color="000000" w:sz="8" w:space="0"/>
              <w:right w:val="single" w:color="000000" w:sz="8" w:space="0"/>
            </w:tcBorders>
            <w:vAlign w:val="center"/>
          </w:tcPr>
          <w:p w14:paraId="5EDAA51F">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采购进口产品</w:t>
            </w:r>
          </w:p>
        </w:tc>
        <w:tc>
          <w:tcPr>
            <w:tcW w:w="6573" w:type="dxa"/>
            <w:tcBorders>
              <w:top w:val="single" w:color="000000" w:sz="8" w:space="0"/>
              <w:left w:val="single" w:color="000000" w:sz="2" w:space="0"/>
              <w:bottom w:val="single" w:color="000000" w:sz="8" w:space="0"/>
              <w:right w:val="single" w:color="000000" w:sz="8" w:space="0"/>
            </w:tcBorders>
            <w:vAlign w:val="center"/>
          </w:tcPr>
          <w:p w14:paraId="6AFC7E0E">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highlight w:val="none"/>
              </w:rPr>
            </w:pPr>
            <w:r>
              <w:rPr>
                <w:rFonts w:hint="eastAsia" w:ascii="仿宋" w:hAnsi="仿宋" w:eastAsia="仿宋" w:cs="仿宋"/>
                <w:kern w:val="0"/>
                <w:sz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B552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490D1B0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12</w:t>
            </w:r>
          </w:p>
        </w:tc>
        <w:tc>
          <w:tcPr>
            <w:tcW w:w="1676" w:type="dxa"/>
            <w:tcBorders>
              <w:top w:val="single" w:color="000000" w:sz="8" w:space="0"/>
              <w:left w:val="single" w:color="000000" w:sz="2" w:space="0"/>
              <w:bottom w:val="single" w:color="000000" w:sz="8" w:space="0"/>
              <w:right w:val="single" w:color="000000" w:sz="8" w:space="0"/>
            </w:tcBorders>
            <w:vAlign w:val="center"/>
          </w:tcPr>
          <w:p w14:paraId="65C50D0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项目属性与核心产品</w:t>
            </w:r>
          </w:p>
        </w:tc>
        <w:tc>
          <w:tcPr>
            <w:tcW w:w="6573" w:type="dxa"/>
            <w:tcBorders>
              <w:top w:val="single" w:color="000000" w:sz="8" w:space="0"/>
              <w:left w:val="single" w:color="000000" w:sz="2" w:space="0"/>
              <w:bottom w:val="single" w:color="000000" w:sz="8" w:space="0"/>
              <w:right w:val="single" w:color="000000" w:sz="8" w:space="0"/>
            </w:tcBorders>
            <w:vAlign w:val="center"/>
          </w:tcPr>
          <w:p w14:paraId="53BE33FF">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val="0"/>
                <w:bCs w:val="0"/>
                <w:color w:val="FF0000"/>
                <w:sz w:val="24"/>
                <w:highlight w:val="none"/>
                <w:u w:val="single"/>
                <w:lang w:val="en-US" w:eastAsia="zh-CN"/>
              </w:rPr>
            </w:pPr>
            <w:r>
              <w:rPr>
                <w:rFonts w:hint="eastAsia" w:ascii="仿宋" w:hAnsi="仿宋" w:eastAsia="仿宋" w:cs="仿宋"/>
                <w:kern w:val="0"/>
                <w:sz w:val="24"/>
                <w:highlight w:val="none"/>
              </w:rPr>
              <w:t>☐A</w:t>
            </w:r>
            <w:r>
              <w:rPr>
                <w:rFonts w:hint="eastAsia" w:ascii="仿宋" w:hAnsi="仿宋" w:eastAsia="仿宋" w:cs="仿宋"/>
                <w:sz w:val="24"/>
                <w:highlight w:val="none"/>
              </w:rPr>
              <w:t>货物类</w:t>
            </w:r>
            <w:r>
              <w:rPr>
                <w:rFonts w:hint="eastAsia" w:ascii="仿宋" w:hAnsi="仿宋" w:eastAsia="仿宋" w:cs="仿宋"/>
                <w:sz w:val="24"/>
                <w:highlight w:val="none"/>
                <w:lang w:eastAsia="zh-CN"/>
              </w:rPr>
              <w:t>，单一产品</w:t>
            </w:r>
            <w:r>
              <w:rPr>
                <w:rFonts w:hint="eastAsia" w:ascii="仿宋" w:hAnsi="仿宋" w:eastAsia="仿宋" w:cs="仿宋"/>
                <w:b w:val="0"/>
                <w:bCs w:val="0"/>
                <w:color w:val="auto"/>
                <w:sz w:val="24"/>
                <w:highlight w:val="none"/>
                <w:lang w:eastAsia="zh-CN"/>
              </w:rPr>
              <w:t>或核心产品为</w:t>
            </w:r>
            <w:r>
              <w:rPr>
                <w:rFonts w:hint="eastAsia" w:ascii="仿宋" w:hAnsi="仿宋" w:eastAsia="仿宋" w:cs="仿宋"/>
                <w:b w:val="0"/>
                <w:bCs w:val="0"/>
                <w:color w:val="auto"/>
                <w:sz w:val="24"/>
                <w:highlight w:val="none"/>
                <w:u w:val="none"/>
                <w:lang w:eastAsia="zh-CN"/>
              </w:rPr>
              <w:t>：</w:t>
            </w:r>
            <w:r>
              <w:rPr>
                <w:rFonts w:hint="eastAsia" w:ascii="仿宋" w:hAnsi="仿宋" w:eastAsia="仿宋" w:cs="仿宋"/>
                <w:b w:val="0"/>
                <w:bCs w:val="0"/>
                <w:color w:val="auto"/>
                <w:sz w:val="24"/>
                <w:highlight w:val="none"/>
                <w:u w:val="single"/>
                <w:lang w:val="en-US" w:eastAsia="zh-CN"/>
              </w:rPr>
              <w:t xml:space="preserve"> / </w:t>
            </w:r>
          </w:p>
          <w:p w14:paraId="28A59841">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sz w:val="24"/>
                <w:highlight w:val="none"/>
              </w:rPr>
            </w:pPr>
            <w:r>
              <w:rPr>
                <w:rFonts w:hint="eastAsia" w:ascii="仿宋" w:hAnsi="仿宋" w:eastAsia="仿宋" w:cs="仿宋"/>
                <w:kern w:val="0"/>
                <w:sz w:val="24"/>
                <w:highlight w:val="none"/>
              </w:rPr>
              <w:sym w:font="Wingdings" w:char="00FE"/>
            </w:r>
            <w:r>
              <w:rPr>
                <w:rFonts w:hint="eastAsia" w:ascii="仿宋" w:hAnsi="仿宋" w:eastAsia="仿宋" w:cs="仿宋"/>
                <w:kern w:val="0"/>
                <w:sz w:val="24"/>
                <w:highlight w:val="none"/>
              </w:rPr>
              <w:t>B</w:t>
            </w:r>
            <w:r>
              <w:rPr>
                <w:rFonts w:hint="eastAsia" w:ascii="仿宋" w:hAnsi="仿宋" w:eastAsia="仿宋" w:cs="仿宋"/>
                <w:sz w:val="24"/>
                <w:highlight w:val="none"/>
              </w:rPr>
              <w:t>服务类：</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tc>
      </w:tr>
      <w:tr w14:paraId="06578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EF4454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13</w:t>
            </w:r>
          </w:p>
        </w:tc>
        <w:tc>
          <w:tcPr>
            <w:tcW w:w="1676" w:type="dxa"/>
            <w:tcBorders>
              <w:top w:val="single" w:color="000000" w:sz="8" w:space="0"/>
              <w:left w:val="single" w:color="000000" w:sz="2" w:space="0"/>
              <w:bottom w:val="single" w:color="000000" w:sz="8" w:space="0"/>
              <w:right w:val="single" w:color="000000" w:sz="8" w:space="0"/>
            </w:tcBorders>
            <w:vAlign w:val="center"/>
          </w:tcPr>
          <w:p w14:paraId="4DEBC016">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中小企业划分标准所属行业</w:t>
            </w:r>
          </w:p>
        </w:tc>
        <w:tc>
          <w:tcPr>
            <w:tcW w:w="6573" w:type="dxa"/>
            <w:tcBorders>
              <w:top w:val="single" w:color="000000" w:sz="8" w:space="0"/>
              <w:left w:val="single" w:color="000000" w:sz="2" w:space="0"/>
              <w:bottom w:val="single" w:color="000000" w:sz="8" w:space="0"/>
              <w:right w:val="single" w:color="000000" w:sz="8" w:space="0"/>
            </w:tcBorders>
            <w:vAlign w:val="center"/>
          </w:tcPr>
          <w:p w14:paraId="60995717">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标的：</w:t>
            </w:r>
            <w:r>
              <w:rPr>
                <w:rFonts w:hint="eastAsia" w:ascii="仿宋" w:hAnsi="仿宋" w:eastAsia="仿宋" w:cs="仿宋"/>
                <w:kern w:val="0"/>
                <w:sz w:val="24"/>
                <w:highlight w:val="none"/>
                <w:u w:val="single"/>
                <w:lang w:eastAsia="zh-CN"/>
              </w:rPr>
              <w:t>诸暨市东和乡2025年度水利设计服务采购项目</w:t>
            </w:r>
            <w:r>
              <w:rPr>
                <w:rFonts w:hint="eastAsia" w:ascii="仿宋" w:hAnsi="仿宋" w:eastAsia="仿宋" w:cs="仿宋"/>
                <w:kern w:val="0"/>
                <w:sz w:val="24"/>
                <w:highlight w:val="none"/>
                <w:lang w:val="en-US" w:eastAsia="zh-CN"/>
              </w:rPr>
              <w:t>，</w:t>
            </w:r>
            <w:r>
              <w:rPr>
                <w:rFonts w:hint="eastAsia" w:ascii="仿宋" w:hAnsi="仿宋" w:eastAsia="仿宋" w:cs="仿宋"/>
                <w:kern w:val="0"/>
                <w:sz w:val="24"/>
                <w:highlight w:val="none"/>
              </w:rPr>
              <w:t>属于</w:t>
            </w:r>
            <w:r>
              <w:rPr>
                <w:rFonts w:hint="eastAsia" w:ascii="仿宋" w:hAnsi="仿宋" w:eastAsia="仿宋" w:cs="仿宋"/>
                <w:kern w:val="0"/>
                <w:sz w:val="24"/>
                <w:highlight w:val="none"/>
                <w:u w:val="single"/>
                <w:lang w:val="en-US" w:eastAsia="zh-CN"/>
              </w:rPr>
              <w:t>其他未列明行业</w:t>
            </w:r>
            <w:r>
              <w:rPr>
                <w:rFonts w:hint="eastAsia" w:ascii="仿宋" w:hAnsi="仿宋" w:eastAsia="仿宋" w:cs="仿宋"/>
                <w:kern w:val="0"/>
                <w:sz w:val="24"/>
                <w:highlight w:val="none"/>
                <w:lang w:val="en-US" w:eastAsia="zh-CN"/>
              </w:rPr>
              <w:t>。</w:t>
            </w:r>
          </w:p>
          <w:p w14:paraId="7C9AEA47">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highlight w:val="none"/>
                <w:lang w:val="en-US" w:eastAsia="zh-CN"/>
              </w:rPr>
            </w:pPr>
            <w:r>
              <w:rPr>
                <w:rFonts w:hint="eastAsia" w:ascii="仿宋" w:hAnsi="仿宋" w:eastAsia="仿宋" w:cs="仿宋"/>
                <w:kern w:val="0"/>
                <w:sz w:val="24"/>
                <w:highlight w:val="none"/>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kern w:val="0"/>
                <w:sz w:val="24"/>
                <w:highlight w:val="none"/>
                <w:u w:val="single"/>
                <w:lang w:val="en-US" w:eastAsia="zh-CN"/>
              </w:rPr>
              <w:t>其他未列明行业</w:t>
            </w:r>
            <w:r>
              <w:rPr>
                <w:rFonts w:hint="eastAsia" w:ascii="仿宋" w:hAnsi="仿宋" w:eastAsia="仿宋" w:cs="仿宋"/>
                <w:kern w:val="0"/>
                <w:sz w:val="24"/>
                <w:highlight w:val="none"/>
                <w:lang w:val="en-US" w:eastAsia="zh-CN"/>
              </w:rPr>
              <w:t>。</w:t>
            </w:r>
          </w:p>
        </w:tc>
      </w:tr>
      <w:tr w14:paraId="1E63D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right w:val="single" w:color="000000" w:sz="2" w:space="0"/>
            </w:tcBorders>
            <w:vAlign w:val="center"/>
          </w:tcPr>
          <w:p w14:paraId="26AA39FD">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14</w:t>
            </w:r>
          </w:p>
        </w:tc>
        <w:tc>
          <w:tcPr>
            <w:tcW w:w="1676" w:type="dxa"/>
            <w:tcBorders>
              <w:top w:val="single" w:color="000000" w:sz="8" w:space="0"/>
              <w:left w:val="single" w:color="000000" w:sz="2" w:space="0"/>
              <w:right w:val="single" w:color="000000" w:sz="8" w:space="0"/>
            </w:tcBorders>
            <w:vAlign w:val="center"/>
          </w:tcPr>
          <w:p w14:paraId="4E5516AB">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中小企业信用融资</w:t>
            </w:r>
          </w:p>
        </w:tc>
        <w:tc>
          <w:tcPr>
            <w:tcW w:w="6573" w:type="dxa"/>
            <w:tcBorders>
              <w:top w:val="single" w:color="000000" w:sz="8" w:space="0"/>
              <w:left w:val="single" w:color="000000" w:sz="2" w:space="0"/>
              <w:right w:val="single" w:color="000000" w:sz="8" w:space="0"/>
            </w:tcBorders>
            <w:vAlign w:val="center"/>
          </w:tcPr>
          <w:p w14:paraId="26D46080">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highlight w:val="none"/>
              </w:rPr>
            </w:pPr>
            <w:r>
              <w:rPr>
                <w:rFonts w:hint="eastAsia" w:ascii="仿宋" w:hAnsi="仿宋" w:eastAsia="仿宋" w:cs="仿宋"/>
                <w:snapToGrid w:val="0"/>
                <w:kern w:val="28"/>
                <w:sz w:val="24"/>
                <w:highlight w:val="none"/>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673F5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6AA9B2E">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15</w:t>
            </w:r>
          </w:p>
        </w:tc>
        <w:tc>
          <w:tcPr>
            <w:tcW w:w="1676" w:type="dxa"/>
            <w:tcBorders>
              <w:top w:val="single" w:color="000000" w:sz="8" w:space="0"/>
              <w:left w:val="single" w:color="000000" w:sz="2" w:space="0"/>
              <w:bottom w:val="single" w:color="000000" w:sz="8" w:space="0"/>
              <w:right w:val="single" w:color="000000" w:sz="8" w:space="0"/>
            </w:tcBorders>
            <w:vAlign w:val="center"/>
          </w:tcPr>
          <w:p w14:paraId="46ED62DA">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备份投标文件送达地点 </w:t>
            </w:r>
          </w:p>
        </w:tc>
        <w:tc>
          <w:tcPr>
            <w:tcW w:w="6573" w:type="dxa"/>
            <w:tcBorders>
              <w:top w:val="single" w:color="000000" w:sz="8" w:space="0"/>
              <w:left w:val="single" w:color="000000" w:sz="2" w:space="0"/>
              <w:bottom w:val="single" w:color="000000" w:sz="8" w:space="0"/>
              <w:right w:val="single" w:color="000000" w:sz="8" w:space="0"/>
            </w:tcBorders>
            <w:vAlign w:val="center"/>
          </w:tcPr>
          <w:p w14:paraId="2EF3CE63">
            <w:pPr>
              <w:pStyle w:val="35"/>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kern w:val="28"/>
                <w:sz w:val="24"/>
                <w:highlight w:val="none"/>
              </w:rPr>
            </w:pPr>
            <w:r>
              <w:rPr>
                <w:rFonts w:hint="eastAsia" w:ascii="仿宋" w:hAnsi="仿宋" w:eastAsia="仿宋" w:cs="仿宋"/>
                <w:b/>
                <w:sz w:val="24"/>
                <w:szCs w:val="24"/>
                <w:highlight w:val="none"/>
                <w:lang w:eastAsia="zh-CN"/>
              </w:rPr>
              <w:t>绍兴盈伽工程咨询有限公司</w:t>
            </w:r>
            <w:r>
              <w:rPr>
                <w:rFonts w:hint="eastAsia" w:ascii="仿宋" w:hAnsi="仿宋" w:eastAsia="仿宋" w:cs="仿宋"/>
                <w:b/>
                <w:sz w:val="24"/>
                <w:szCs w:val="24"/>
                <w:highlight w:val="none"/>
              </w:rPr>
              <w:t>邮箱（</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"mailto:zjztb001@aliyun.com" </w:instrText>
            </w:r>
            <w:r>
              <w:rPr>
                <w:rFonts w:hint="eastAsia" w:ascii="仿宋" w:hAnsi="仿宋" w:eastAsia="仿宋" w:cs="仿宋"/>
                <w:highlight w:val="none"/>
              </w:rPr>
              <w:fldChar w:fldCharType="separate"/>
            </w:r>
            <w:r>
              <w:rPr>
                <w:rStyle w:val="80"/>
                <w:rFonts w:hint="eastAsia" w:ascii="仿宋" w:hAnsi="仿宋" w:eastAsia="仿宋" w:cs="仿宋"/>
                <w:b/>
                <w:snapToGrid/>
                <w:kern w:val="2"/>
                <w:sz w:val="24"/>
                <w:szCs w:val="24"/>
                <w:highlight w:val="none"/>
                <w:lang w:val="en-US" w:eastAsia="zh-CN"/>
              </w:rPr>
              <w:t>3652086121@qq.com</w:t>
            </w:r>
            <w:r>
              <w:rPr>
                <w:rStyle w:val="80"/>
                <w:rFonts w:hint="eastAsia" w:ascii="仿宋" w:hAnsi="仿宋" w:eastAsia="仿宋" w:cs="仿宋"/>
                <w:b/>
                <w:snapToGrid/>
                <w:kern w:val="2"/>
                <w:sz w:val="24"/>
                <w:szCs w:val="24"/>
                <w:highlight w:val="none"/>
              </w:rPr>
              <w:fldChar w:fldCharType="end"/>
            </w:r>
            <w:r>
              <w:rPr>
                <w:rFonts w:hint="eastAsia" w:ascii="仿宋" w:hAnsi="仿宋" w:eastAsia="仿宋" w:cs="仿宋"/>
                <w:b/>
                <w:sz w:val="24"/>
                <w:szCs w:val="24"/>
                <w:highlight w:val="none"/>
              </w:rPr>
              <w:t>）</w:t>
            </w:r>
          </w:p>
        </w:tc>
      </w:tr>
      <w:tr w14:paraId="7D2C2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5F56414">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16</w:t>
            </w:r>
          </w:p>
        </w:tc>
        <w:tc>
          <w:tcPr>
            <w:tcW w:w="1676" w:type="dxa"/>
            <w:tcBorders>
              <w:top w:val="single" w:color="000000" w:sz="8" w:space="0"/>
              <w:left w:val="single" w:color="000000" w:sz="2" w:space="0"/>
              <w:bottom w:val="single" w:color="000000" w:sz="8" w:space="0"/>
              <w:right w:val="single" w:color="000000" w:sz="8" w:space="0"/>
            </w:tcBorders>
            <w:vAlign w:val="center"/>
          </w:tcPr>
          <w:p w14:paraId="2D44B0B0">
            <w:pPr>
              <w:pStyle w:val="35"/>
              <w:keepNext w:val="0"/>
              <w:keepLines w:val="0"/>
              <w:pageBreakBefore w:val="0"/>
              <w:widowControl w:val="0"/>
              <w:kinsoku/>
              <w:wordWrap/>
              <w:overflowPunct/>
              <w:topLinePunct w:val="0"/>
              <w:autoSpaceDE/>
              <w:autoSpaceDN/>
              <w:bidi w:val="0"/>
              <w:spacing w:line="320" w:lineRule="exact"/>
              <w:ind w:right="0" w:rightChars="0"/>
              <w:jc w:val="center"/>
              <w:textAlignment w:val="auto"/>
              <w:rPr>
                <w:rFonts w:hint="eastAsia" w:ascii="仿宋" w:hAnsi="仿宋" w:eastAsia="仿宋" w:cs="仿宋"/>
                <w:b w:val="0"/>
                <w:bCs w:val="0"/>
                <w:snapToGrid w:val="0"/>
                <w:kern w:val="28"/>
                <w:sz w:val="24"/>
                <w:szCs w:val="24"/>
                <w:highlight w:val="none"/>
                <w:lang w:val="en-US" w:eastAsia="zh-CN" w:bidi="ar-SA"/>
              </w:rPr>
            </w:pPr>
            <w:r>
              <w:rPr>
                <w:rFonts w:hint="eastAsia" w:ascii="仿宋" w:hAnsi="仿宋" w:eastAsia="仿宋" w:cs="仿宋"/>
                <w:b/>
                <w:bCs/>
                <w:snapToGrid w:val="0"/>
                <w:kern w:val="28"/>
                <w:sz w:val="24"/>
                <w:szCs w:val="24"/>
                <w:highlight w:val="none"/>
                <w:lang w:val="en-US" w:eastAsia="zh-CN" w:bidi="ar-SA"/>
              </w:rPr>
              <w:t>其他</w:t>
            </w:r>
          </w:p>
        </w:tc>
        <w:tc>
          <w:tcPr>
            <w:tcW w:w="6573" w:type="dxa"/>
            <w:tcBorders>
              <w:top w:val="single" w:color="000000" w:sz="8" w:space="0"/>
              <w:left w:val="single" w:color="000000" w:sz="2" w:space="0"/>
              <w:bottom w:val="single" w:color="000000" w:sz="8" w:space="0"/>
              <w:right w:val="single" w:color="000000" w:sz="8" w:space="0"/>
            </w:tcBorders>
            <w:vAlign w:val="center"/>
          </w:tcPr>
          <w:p w14:paraId="034BACE1">
            <w:pPr>
              <w:pStyle w:val="2"/>
              <w:keepNext w:val="0"/>
              <w:keepLines w:val="0"/>
              <w:pageBreakBefore w:val="0"/>
              <w:widowControl w:val="0"/>
              <w:numPr>
                <w:ilvl w:val="0"/>
                <w:numId w:val="0"/>
              </w:numPr>
              <w:kinsoku/>
              <w:wordWrap/>
              <w:overflowPunct/>
              <w:topLinePunct w:val="0"/>
              <w:autoSpaceDE/>
              <w:autoSpaceDN/>
              <w:bidi w:val="0"/>
              <w:spacing w:after="0" w:line="288" w:lineRule="auto"/>
              <w:ind w:right="0" w:rightChars="0"/>
              <w:textAlignment w:val="auto"/>
              <w:rPr>
                <w:rStyle w:val="74"/>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招标代理服务费收费标准：</w:t>
            </w:r>
            <w:r>
              <w:rPr>
                <w:rStyle w:val="74"/>
                <w:rFonts w:hint="eastAsia" w:ascii="仿宋" w:hAnsi="仿宋" w:eastAsia="仿宋" w:cs="仿宋"/>
                <w:b w:val="0"/>
                <w:color w:val="auto"/>
                <w:sz w:val="24"/>
                <w:szCs w:val="24"/>
                <w:highlight w:val="none"/>
              </w:rPr>
              <w:t>本项目的</w:t>
            </w:r>
            <w:r>
              <w:rPr>
                <w:rFonts w:hint="eastAsia" w:ascii="仿宋" w:hAnsi="仿宋" w:eastAsia="仿宋" w:cs="仿宋"/>
                <w:color w:val="auto"/>
                <w:kern w:val="2"/>
                <w:sz w:val="24"/>
                <w:szCs w:val="24"/>
                <w:highlight w:val="none"/>
              </w:rPr>
              <w:t>招标代理服务费以各标项合同金额</w:t>
            </w:r>
            <w:r>
              <w:rPr>
                <w:rStyle w:val="74"/>
                <w:rFonts w:hint="eastAsia" w:ascii="仿宋" w:hAnsi="仿宋" w:eastAsia="仿宋" w:cs="仿宋"/>
                <w:b w:val="0"/>
                <w:color w:val="auto"/>
                <w:sz w:val="24"/>
                <w:szCs w:val="24"/>
                <w:highlight w:val="none"/>
              </w:rPr>
              <w:t>为计算基数</w:t>
            </w:r>
            <w:r>
              <w:rPr>
                <w:rFonts w:hint="eastAsia" w:ascii="仿宋" w:hAnsi="仿宋" w:eastAsia="仿宋" w:cs="仿宋"/>
                <w:color w:val="auto"/>
                <w:kern w:val="2"/>
                <w:sz w:val="24"/>
                <w:szCs w:val="24"/>
                <w:highlight w:val="none"/>
              </w:rPr>
              <w:t>，</w:t>
            </w:r>
            <w:r>
              <w:rPr>
                <w:rStyle w:val="74"/>
                <w:rFonts w:hint="eastAsia" w:ascii="仿宋" w:hAnsi="仿宋" w:eastAsia="仿宋" w:cs="仿宋"/>
                <w:b w:val="0"/>
                <w:color w:val="auto"/>
                <w:sz w:val="24"/>
                <w:szCs w:val="24"/>
                <w:highlight w:val="none"/>
              </w:rPr>
              <w:t>按以下费率标准计算，计算方式采用差额定率累进法：</w:t>
            </w:r>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1"/>
              <w:gridCol w:w="2168"/>
            </w:tblGrid>
            <w:tr w14:paraId="0FC8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3851" w:type="dxa"/>
                  <w:vAlign w:val="center"/>
                </w:tcPr>
                <w:p w14:paraId="0BB54D20">
                  <w:pPr>
                    <w:spacing w:line="300" w:lineRule="auto"/>
                    <w:jc w:val="center"/>
                    <w:rPr>
                      <w:rStyle w:val="74"/>
                      <w:rFonts w:hint="eastAsia" w:ascii="仿宋" w:hAnsi="仿宋" w:eastAsia="仿宋" w:cs="仿宋"/>
                      <w:b w:val="0"/>
                      <w:color w:val="auto"/>
                      <w:sz w:val="24"/>
                      <w:szCs w:val="24"/>
                      <w:highlight w:val="none"/>
                    </w:rPr>
                  </w:pPr>
                  <w:r>
                    <w:rPr>
                      <w:rStyle w:val="74"/>
                      <w:rFonts w:hint="eastAsia" w:ascii="仿宋" w:hAnsi="仿宋" w:eastAsia="仿宋" w:cs="仿宋"/>
                      <w:b w:val="0"/>
                      <w:color w:val="auto"/>
                      <w:sz w:val="24"/>
                      <w:szCs w:val="24"/>
                      <w:highlight w:val="none"/>
                    </w:rPr>
                    <w:t>金额（万元）</w:t>
                  </w:r>
                </w:p>
              </w:tc>
              <w:tc>
                <w:tcPr>
                  <w:tcW w:w="2168" w:type="dxa"/>
                  <w:vAlign w:val="center"/>
                </w:tcPr>
                <w:p w14:paraId="5159DC5F">
                  <w:pPr>
                    <w:spacing w:line="300" w:lineRule="auto"/>
                    <w:jc w:val="center"/>
                    <w:rPr>
                      <w:rStyle w:val="74"/>
                      <w:rFonts w:hint="eastAsia" w:ascii="仿宋" w:hAnsi="仿宋" w:eastAsia="仿宋" w:cs="仿宋"/>
                      <w:b w:val="0"/>
                      <w:color w:val="auto"/>
                      <w:sz w:val="24"/>
                      <w:szCs w:val="24"/>
                      <w:highlight w:val="none"/>
                    </w:rPr>
                  </w:pPr>
                  <w:r>
                    <w:rPr>
                      <w:rStyle w:val="74"/>
                      <w:rFonts w:hint="eastAsia" w:ascii="仿宋" w:hAnsi="仿宋" w:eastAsia="仿宋" w:cs="仿宋"/>
                      <w:b w:val="0"/>
                      <w:color w:val="auto"/>
                      <w:sz w:val="24"/>
                      <w:szCs w:val="24"/>
                      <w:highlight w:val="none"/>
                    </w:rPr>
                    <w:t>费率</w:t>
                  </w:r>
                </w:p>
              </w:tc>
            </w:tr>
            <w:tr w14:paraId="7DD3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1" w:type="dxa"/>
                  <w:vAlign w:val="center"/>
                </w:tcPr>
                <w:p w14:paraId="05732916">
                  <w:pPr>
                    <w:spacing w:line="300" w:lineRule="auto"/>
                    <w:jc w:val="center"/>
                    <w:rPr>
                      <w:rStyle w:val="74"/>
                      <w:rFonts w:hint="eastAsia" w:ascii="仿宋" w:hAnsi="仿宋" w:eastAsia="仿宋" w:cs="仿宋"/>
                      <w:b w:val="0"/>
                      <w:color w:val="auto"/>
                      <w:sz w:val="24"/>
                      <w:szCs w:val="24"/>
                      <w:highlight w:val="none"/>
                    </w:rPr>
                  </w:pPr>
                  <w:r>
                    <w:rPr>
                      <w:rStyle w:val="74"/>
                      <w:rFonts w:hint="eastAsia" w:ascii="仿宋" w:hAnsi="仿宋" w:eastAsia="仿宋" w:cs="仿宋"/>
                      <w:b w:val="0"/>
                      <w:color w:val="auto"/>
                      <w:sz w:val="24"/>
                      <w:szCs w:val="24"/>
                      <w:highlight w:val="none"/>
                    </w:rPr>
                    <w:t>100（含）以下部分</w:t>
                  </w:r>
                </w:p>
              </w:tc>
              <w:tc>
                <w:tcPr>
                  <w:tcW w:w="2168" w:type="dxa"/>
                  <w:vAlign w:val="center"/>
                </w:tcPr>
                <w:p w14:paraId="492B71D3">
                  <w:pPr>
                    <w:spacing w:line="300" w:lineRule="auto"/>
                    <w:jc w:val="center"/>
                    <w:rPr>
                      <w:rStyle w:val="74"/>
                      <w:rFonts w:hint="eastAsia" w:ascii="仿宋" w:hAnsi="仿宋" w:eastAsia="仿宋" w:cs="仿宋"/>
                      <w:b w:val="0"/>
                      <w:color w:val="auto"/>
                      <w:sz w:val="24"/>
                      <w:szCs w:val="24"/>
                      <w:highlight w:val="none"/>
                    </w:rPr>
                  </w:pPr>
                  <w:r>
                    <w:rPr>
                      <w:rStyle w:val="74"/>
                      <w:rFonts w:hint="eastAsia" w:ascii="仿宋" w:hAnsi="仿宋" w:eastAsia="仿宋" w:cs="仿宋"/>
                      <w:b w:val="0"/>
                      <w:color w:val="auto"/>
                      <w:sz w:val="24"/>
                      <w:szCs w:val="24"/>
                      <w:highlight w:val="none"/>
                    </w:rPr>
                    <w:t>1.5%</w:t>
                  </w:r>
                </w:p>
              </w:tc>
            </w:tr>
            <w:tr w14:paraId="0428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1" w:type="dxa"/>
                  <w:vAlign w:val="center"/>
                </w:tcPr>
                <w:p w14:paraId="67F537DC">
                  <w:pPr>
                    <w:spacing w:line="300" w:lineRule="auto"/>
                    <w:jc w:val="center"/>
                    <w:rPr>
                      <w:rStyle w:val="74"/>
                      <w:rFonts w:hint="eastAsia" w:ascii="仿宋" w:hAnsi="仿宋" w:eastAsia="仿宋" w:cs="仿宋"/>
                      <w:b w:val="0"/>
                      <w:color w:val="auto"/>
                      <w:sz w:val="24"/>
                      <w:szCs w:val="24"/>
                      <w:highlight w:val="none"/>
                    </w:rPr>
                  </w:pPr>
                  <w:r>
                    <w:rPr>
                      <w:rStyle w:val="74"/>
                      <w:rFonts w:hint="eastAsia" w:ascii="仿宋" w:hAnsi="仿宋" w:eastAsia="仿宋" w:cs="仿宋"/>
                      <w:b w:val="0"/>
                      <w:color w:val="auto"/>
                      <w:sz w:val="24"/>
                      <w:szCs w:val="24"/>
                      <w:highlight w:val="none"/>
                    </w:rPr>
                    <w:t>100（不含）～500部分</w:t>
                  </w:r>
                </w:p>
              </w:tc>
              <w:tc>
                <w:tcPr>
                  <w:tcW w:w="2168" w:type="dxa"/>
                  <w:vAlign w:val="center"/>
                </w:tcPr>
                <w:p w14:paraId="46F962F0">
                  <w:pPr>
                    <w:spacing w:line="300" w:lineRule="auto"/>
                    <w:jc w:val="center"/>
                    <w:rPr>
                      <w:rStyle w:val="74"/>
                      <w:rFonts w:hint="eastAsia" w:ascii="仿宋" w:hAnsi="仿宋" w:eastAsia="仿宋" w:cs="仿宋"/>
                      <w:b w:val="0"/>
                      <w:color w:val="auto"/>
                      <w:sz w:val="24"/>
                      <w:szCs w:val="24"/>
                      <w:highlight w:val="none"/>
                    </w:rPr>
                  </w:pPr>
                  <w:r>
                    <w:rPr>
                      <w:rStyle w:val="74"/>
                      <w:rFonts w:hint="eastAsia" w:ascii="仿宋" w:hAnsi="仿宋" w:eastAsia="仿宋" w:cs="仿宋"/>
                      <w:b w:val="0"/>
                      <w:color w:val="auto"/>
                      <w:sz w:val="24"/>
                      <w:szCs w:val="24"/>
                      <w:highlight w:val="none"/>
                    </w:rPr>
                    <w:t>0.8%</w:t>
                  </w:r>
                </w:p>
              </w:tc>
            </w:tr>
          </w:tbl>
          <w:p w14:paraId="0C52DDDB">
            <w:pPr>
              <w:keepNext w:val="0"/>
              <w:keepLines w:val="0"/>
              <w:pageBreakBefore w:val="0"/>
              <w:widowControl w:val="0"/>
              <w:kinsoku/>
              <w:wordWrap/>
              <w:overflowPunct/>
              <w:topLinePunct w:val="0"/>
              <w:autoSpaceDE/>
              <w:autoSpaceDN/>
              <w:bidi w:val="0"/>
              <w:spacing w:line="288" w:lineRule="auto"/>
              <w:ind w:right="0" w:rightChars="0"/>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2、收取方式：本项目的招标代理服务费由中标人支付，在领取中标通知书时一次性付清。</w:t>
            </w:r>
          </w:p>
          <w:p w14:paraId="626220F6">
            <w:pPr>
              <w:keepNext w:val="0"/>
              <w:keepLines w:val="0"/>
              <w:pageBreakBefore w:val="0"/>
              <w:widowControl w:val="0"/>
              <w:kinsoku/>
              <w:wordWrap/>
              <w:overflowPunct/>
              <w:topLinePunct w:val="0"/>
              <w:autoSpaceDE/>
              <w:autoSpaceDN/>
              <w:bidi w:val="0"/>
              <w:spacing w:line="288" w:lineRule="auto"/>
              <w:ind w:right="0" w:rightChars="0"/>
              <w:textAlignment w:val="auto"/>
              <w:rPr>
                <w:rFonts w:hint="eastAsia" w:ascii="仿宋" w:hAnsi="仿宋" w:eastAsia="仿宋" w:cs="仿宋"/>
                <w:snapToGrid w:val="0"/>
                <w:kern w:val="28"/>
                <w:sz w:val="24"/>
                <w:szCs w:val="24"/>
                <w:highlight w:val="none"/>
                <w:lang w:val="en-US" w:eastAsia="zh-CN" w:bidi="ar-SA"/>
              </w:rPr>
            </w:pPr>
            <w:r>
              <w:rPr>
                <w:rFonts w:hint="eastAsia" w:ascii="仿宋" w:hAnsi="仿宋" w:eastAsia="仿宋" w:cs="仿宋"/>
                <w:snapToGrid w:val="0"/>
                <w:kern w:val="28"/>
                <w:sz w:val="24"/>
                <w:szCs w:val="24"/>
                <w:highlight w:val="none"/>
                <w:lang w:val="en-US" w:eastAsia="zh-CN" w:bidi="ar-SA"/>
              </w:rPr>
              <w:t>3.收款账户信息：绍兴盈伽工程咨询有限公司，开户行：诸暨农商陶朱支行和泰路分理处，账号：201000337290760。</w:t>
            </w:r>
          </w:p>
        </w:tc>
      </w:tr>
      <w:bookmarkEnd w:id="9"/>
    </w:tbl>
    <w:p w14:paraId="28C77641">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highlight w:val="none"/>
        </w:rPr>
        <w:sectPr>
          <w:footerReference r:id="rId9" w:type="first"/>
          <w:headerReference r:id="rId7" w:type="default"/>
          <w:footerReference r:id="rId8" w:type="default"/>
          <w:pgSz w:w="11906" w:h="16838"/>
          <w:pgMar w:top="1247" w:right="1803" w:bottom="1247" w:left="1803" w:header="907"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pPr>
      <w:bookmarkStart w:id="10" w:name="_Toc164416483"/>
      <w:bookmarkStart w:id="11" w:name="第三部分"/>
    </w:p>
    <w:p w14:paraId="331B8488">
      <w:pPr>
        <w:keepNext w:val="0"/>
        <w:keepLines w:val="0"/>
        <w:pageBreakBefore w:val="0"/>
        <w:widowControl w:val="0"/>
        <w:kinsoku/>
        <w:wordWrap/>
        <w:overflowPunct/>
        <w:topLinePunct w:val="0"/>
        <w:autoSpaceDE/>
        <w:autoSpaceDN/>
        <w:bidi w:val="0"/>
        <w:adjustRightInd/>
        <w:snapToGrid/>
        <w:spacing w:before="159" w:beforeLines="51" w:beforeAutospacing="0" w:line="240" w:lineRule="auto"/>
        <w:ind w:firstLine="562" w:firstLineChars="200"/>
        <w:jc w:val="center"/>
        <w:textAlignment w:val="auto"/>
        <w:outlineLvl w:val="0"/>
        <w:rPr>
          <w:rFonts w:hint="eastAsia" w:ascii="仿宋" w:hAnsi="仿宋" w:eastAsia="仿宋" w:cs="仿宋"/>
          <w:b/>
          <w:sz w:val="28"/>
          <w:szCs w:val="18"/>
          <w:highlight w:val="none"/>
        </w:rPr>
      </w:pPr>
      <w:r>
        <w:rPr>
          <w:rFonts w:hint="eastAsia" w:ascii="仿宋" w:hAnsi="仿宋" w:eastAsia="仿宋" w:cs="仿宋"/>
          <w:b/>
          <w:sz w:val="28"/>
          <w:szCs w:val="18"/>
          <w:highlight w:val="none"/>
        </w:rPr>
        <w:t>一、总则</w:t>
      </w:r>
    </w:p>
    <w:bookmarkEnd w:id="10"/>
    <w:bookmarkEnd w:id="11"/>
    <w:p w14:paraId="56A62A05">
      <w:pPr>
        <w:keepNext w:val="0"/>
        <w:keepLines w:val="0"/>
        <w:pageBreakBefore w:val="0"/>
        <w:kinsoku/>
        <w:wordWrap/>
        <w:overflowPunct/>
        <w:topLinePunct w:val="0"/>
        <w:bidi w:val="0"/>
        <w:snapToGrid w:val="0"/>
        <w:spacing w:line="420" w:lineRule="exact"/>
        <w:ind w:left="0" w:leftChars="0"/>
        <w:jc w:val="left"/>
        <w:textAlignment w:val="auto"/>
        <w:outlineLvl w:val="1"/>
        <w:rPr>
          <w:rFonts w:hint="eastAsia" w:ascii="仿宋" w:hAnsi="仿宋" w:eastAsia="仿宋" w:cs="仿宋"/>
          <w:b/>
          <w:sz w:val="24"/>
          <w:highlight w:val="none"/>
        </w:rPr>
      </w:pPr>
      <w:bookmarkStart w:id="12" w:name="第四部分"/>
      <w:r>
        <w:rPr>
          <w:rFonts w:hint="eastAsia" w:ascii="仿宋" w:hAnsi="仿宋" w:eastAsia="仿宋" w:cs="仿宋"/>
          <w:b/>
          <w:sz w:val="24"/>
          <w:highlight w:val="none"/>
        </w:rPr>
        <w:t>1. 适用范围</w:t>
      </w:r>
    </w:p>
    <w:p w14:paraId="0C54890C">
      <w:pPr>
        <w:keepNext w:val="0"/>
        <w:keepLines w:val="0"/>
        <w:pageBreakBefore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本招标文件适用于该项目的招标、投标、开标、资格审查及信用信息查询、评标、定标、合同、验收等行为（法律、法规另有规定的，从其规定）。</w:t>
      </w:r>
    </w:p>
    <w:p w14:paraId="15D19E89">
      <w:pPr>
        <w:keepNext w:val="0"/>
        <w:keepLines w:val="0"/>
        <w:pageBreakBefore w:val="0"/>
        <w:kinsoku/>
        <w:wordWrap/>
        <w:overflowPunct/>
        <w:topLinePunct w:val="0"/>
        <w:bidi w:val="0"/>
        <w:adjustRightInd/>
        <w:spacing w:line="420" w:lineRule="exact"/>
        <w:ind w:left="0" w:leftChars="0"/>
        <w:textAlignment w:val="auto"/>
        <w:outlineLvl w:val="0"/>
        <w:rPr>
          <w:rFonts w:hint="eastAsia" w:ascii="仿宋" w:hAnsi="仿宋" w:eastAsia="仿宋" w:cs="仿宋"/>
          <w:b/>
          <w:sz w:val="24"/>
          <w:highlight w:val="none"/>
        </w:rPr>
      </w:pPr>
      <w:r>
        <w:rPr>
          <w:rFonts w:hint="eastAsia" w:ascii="仿宋" w:hAnsi="仿宋" w:eastAsia="仿宋" w:cs="仿宋"/>
          <w:b/>
          <w:sz w:val="24"/>
          <w:highlight w:val="none"/>
        </w:rPr>
        <w:t>2.定义</w:t>
      </w:r>
    </w:p>
    <w:p w14:paraId="2ADF445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 “采购人”系指招标公告中载明的本项目的采购人。</w:t>
      </w:r>
    </w:p>
    <w:p w14:paraId="52D24CB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 “采购代理机构”系指招标公告中载明的本项目的采购代理机构。</w:t>
      </w:r>
    </w:p>
    <w:p w14:paraId="5DA3774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2.3 “</w:t>
      </w:r>
      <w:r>
        <w:rPr>
          <w:rFonts w:hint="eastAsia" w:ascii="仿宋" w:hAnsi="仿宋" w:eastAsia="仿宋" w:cs="仿宋"/>
          <w:sz w:val="24"/>
          <w:highlight w:val="none"/>
          <w:lang w:eastAsia="zh-CN"/>
        </w:rPr>
        <w:t>磋商供应商</w:t>
      </w:r>
      <w:r>
        <w:rPr>
          <w:rFonts w:hint="eastAsia" w:ascii="仿宋" w:hAnsi="仿宋" w:eastAsia="仿宋" w:cs="仿宋"/>
          <w:sz w:val="24"/>
          <w:highlight w:val="none"/>
        </w:rPr>
        <w:t>”系指是指响应招标、参加投标竞争的法人、其他组织或者自然人。</w:t>
      </w:r>
    </w:p>
    <w:p w14:paraId="4FE1F40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2.4 “负责人”系指法人企业的法定负责人，或其他组织为法律、行政法规规定代表单位行使职权的主要负责人，或自然人本人。</w:t>
      </w:r>
    </w:p>
    <w:p w14:paraId="21ABC26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2.5“电子签名”系指数据电文中以电子形式所含、所附用于识别签名人身份并表明签名人认可其中内容的数据；“公章”系指单位法定名称章。</w:t>
      </w:r>
    </w:p>
    <w:p w14:paraId="4218D77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2.6“电子交易平台”是指本项目政府采购活动所依托的政府采购云平台（https://www.zcygov.cn/）。</w:t>
      </w:r>
    </w:p>
    <w:p w14:paraId="5FEB699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2.7 “★” 系指实质性要求条款，“</w:t>
      </w:r>
      <w:r>
        <w:rPr>
          <w:rFonts w:hint="eastAsia" w:ascii="仿宋" w:hAnsi="仿宋" w:eastAsia="仿宋" w:cs="仿宋"/>
          <w:kern w:val="0"/>
          <w:sz w:val="24"/>
          <w:highlight w:val="none"/>
        </w:rPr>
        <w:t></w:t>
      </w:r>
      <w:r>
        <w:rPr>
          <w:rFonts w:hint="eastAsia" w:ascii="仿宋" w:hAnsi="仿宋" w:eastAsia="仿宋" w:cs="仿宋"/>
          <w:sz w:val="24"/>
          <w:highlight w:val="none"/>
        </w:rPr>
        <w:t>” 系指适用本项目的要求，“☐” 系指不适用本项目的要求。</w:t>
      </w:r>
    </w:p>
    <w:p w14:paraId="0AF0BD8D">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highlight w:val="none"/>
        </w:rPr>
      </w:pPr>
      <w:r>
        <w:rPr>
          <w:rFonts w:hint="eastAsia" w:ascii="仿宋" w:hAnsi="仿宋" w:eastAsia="仿宋" w:cs="仿宋"/>
          <w:b/>
          <w:sz w:val="24"/>
          <w:highlight w:val="none"/>
        </w:rPr>
        <w:t>3.</w:t>
      </w:r>
      <w:r>
        <w:rPr>
          <w:rFonts w:hint="eastAsia" w:ascii="仿宋" w:hAnsi="仿宋" w:eastAsia="仿宋" w:cs="仿宋"/>
          <w:highlight w:val="none"/>
        </w:rPr>
        <w:t xml:space="preserve"> </w:t>
      </w:r>
      <w:r>
        <w:rPr>
          <w:rFonts w:hint="eastAsia" w:ascii="仿宋" w:hAnsi="仿宋" w:eastAsia="仿宋" w:cs="仿宋"/>
          <w:b/>
          <w:sz w:val="24"/>
          <w:highlight w:val="none"/>
        </w:rPr>
        <w:t>采购项目需要落实的政府采购政策</w:t>
      </w:r>
    </w:p>
    <w:p w14:paraId="7F355B5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98A2B1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3.2 支持绿色发展</w:t>
      </w:r>
    </w:p>
    <w:p w14:paraId="5508B36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highlight w:val="none"/>
        </w:rPr>
      </w:pPr>
      <w:r>
        <w:rPr>
          <w:rFonts w:hint="eastAsia" w:ascii="仿宋" w:hAnsi="仿宋" w:eastAsia="仿宋" w:cs="仿宋"/>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sz w:val="24"/>
          <w:highlight w:val="none"/>
          <w:lang w:eastAsia="zh-CN"/>
        </w:rPr>
        <w:t>磋商供应商</w:t>
      </w:r>
      <w:r>
        <w:rPr>
          <w:rFonts w:hint="eastAsia" w:ascii="仿宋" w:hAnsi="仿宋" w:eastAsia="仿宋" w:cs="仿宋"/>
          <w:sz w:val="24"/>
          <w:highlight w:val="none"/>
        </w:rPr>
        <w:t>须按招标文件要求提供相关产品认证证书。</w:t>
      </w:r>
      <w:r>
        <w:rPr>
          <w:rFonts w:hint="eastAsia" w:ascii="仿宋" w:hAnsi="仿宋" w:eastAsia="仿宋" w:cs="仿宋"/>
          <w:b/>
          <w:sz w:val="24"/>
          <w:highlight w:val="none"/>
        </w:rPr>
        <w:t>★采购人拟采购的产品属于政府强制采购的节能产品品目清单范围的，</w:t>
      </w:r>
      <w:r>
        <w:rPr>
          <w:rFonts w:hint="eastAsia" w:ascii="仿宋" w:hAnsi="仿宋" w:eastAsia="仿宋" w:cs="仿宋"/>
          <w:b/>
          <w:sz w:val="24"/>
          <w:highlight w:val="none"/>
          <w:lang w:eastAsia="zh-CN"/>
        </w:rPr>
        <w:t>磋商供应商</w:t>
      </w:r>
      <w:r>
        <w:rPr>
          <w:rFonts w:hint="eastAsia" w:ascii="仿宋" w:hAnsi="仿宋" w:eastAsia="仿宋" w:cs="仿宋"/>
          <w:b/>
          <w:sz w:val="24"/>
          <w:highlight w:val="none"/>
        </w:rPr>
        <w:t>未按招标文件要求提供国家确定的认证机构出具的、处于有效期之内的节能产品认证证书的，投标无效。</w:t>
      </w:r>
    </w:p>
    <w:p w14:paraId="66F2C8E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3.2.2 修缮、装修类项目采购建材的，采购人应将绿色建筑和绿色建材性能、指标等作为实质性条件纳入招标文件和合同。</w:t>
      </w:r>
    </w:p>
    <w:p w14:paraId="22419FD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4EAA19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3.3支持中小企业发展</w:t>
      </w:r>
    </w:p>
    <w:p w14:paraId="37A917E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11801E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2EED97FE">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bCs/>
          <w:sz w:val="24"/>
          <w:highlight w:val="none"/>
        </w:rPr>
        <w:t>3.3.2</w:t>
      </w:r>
      <w:r>
        <w:rPr>
          <w:rFonts w:hint="eastAsia" w:ascii="仿宋" w:hAnsi="仿宋" w:eastAsia="仿宋" w:cs="仿宋"/>
          <w:kern w:val="0"/>
          <w:sz w:val="24"/>
          <w:highlight w:val="none"/>
        </w:rPr>
        <w:t>在政府采购活动中，</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提供的货物、工程或者服务符合下列情形的，享受中小企业扶持政策：</w:t>
      </w:r>
    </w:p>
    <w:p w14:paraId="1171A33D">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3.3.2.1在货物采购项目中，货物由中小企业制造，即货物由中小企业生产且使用该中小企业商号或者注册商标；</w:t>
      </w:r>
    </w:p>
    <w:p w14:paraId="57AAFF8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3.3.2.2在工程采购项目中，工程由中小企业承建，即工程施工单位为中小企业；</w:t>
      </w:r>
    </w:p>
    <w:p w14:paraId="3E5D0479">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3.3.2.3在服务采购项目中，服务由中小企业承接，即提供服务的人员为中小企业依照《中华人民共和国民法典》订立劳动合同的从业人员。</w:t>
      </w:r>
    </w:p>
    <w:p w14:paraId="519ACE38">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在货物采购项目中，</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提供的货物既有中小企业制造货物，也有大型企业制造货物的，不享受中小企业扶持政策。</w:t>
      </w:r>
    </w:p>
    <w:p w14:paraId="102FDDB0">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14:paraId="1426ADC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w:t>
      </w:r>
    </w:p>
    <w:p w14:paraId="51C1CF8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14:paraId="79D35AA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23D20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3.3.6可享受中小企业扶持政策的</w:t>
      </w:r>
      <w:r>
        <w:rPr>
          <w:rFonts w:hint="eastAsia" w:ascii="仿宋" w:hAnsi="仿宋" w:eastAsia="仿宋" w:cs="仿宋"/>
          <w:sz w:val="24"/>
          <w:highlight w:val="none"/>
          <w:lang w:eastAsia="zh-CN"/>
        </w:rPr>
        <w:t>磋商供应商</w:t>
      </w:r>
      <w:r>
        <w:rPr>
          <w:rFonts w:hint="eastAsia" w:ascii="仿宋" w:hAnsi="仿宋" w:eastAsia="仿宋" w:cs="仿宋"/>
          <w:sz w:val="24"/>
          <w:highlight w:val="none"/>
        </w:rPr>
        <w:t>应按照招标文件格式要求提供《中小企业声明函》，</w:t>
      </w:r>
      <w:r>
        <w:rPr>
          <w:rFonts w:hint="eastAsia" w:ascii="仿宋" w:hAnsi="仿宋" w:eastAsia="仿宋" w:cs="仿宋"/>
          <w:sz w:val="24"/>
          <w:highlight w:val="none"/>
          <w:lang w:eastAsia="zh-CN"/>
        </w:rPr>
        <w:t>磋商供应商</w:t>
      </w:r>
      <w:r>
        <w:rPr>
          <w:rFonts w:hint="eastAsia" w:ascii="仿宋" w:hAnsi="仿宋" w:eastAsia="仿宋" w:cs="仿宋"/>
          <w:sz w:val="24"/>
          <w:highlight w:val="none"/>
        </w:rPr>
        <w:t>提供的《中小企业声明函》与实际情况不符或未按照要求提供的，不享受中小企业扶持政策。声明内容不实的，属于提供虚假材料谋取中标、成交的，依法承担法律责任。</w:t>
      </w:r>
    </w:p>
    <w:p w14:paraId="2E69747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3.3.7中小企业享受扶持政策获得政府采购合同的，小微企业不得将合同分包给大中型企业，中型企业不得将合同分包给大型企业。 </w:t>
      </w:r>
    </w:p>
    <w:p w14:paraId="546F6CF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3.3.8采购人严格贯彻落实《保障中小企业款项支付条例》，按规定向中小企业支付款项。</w:t>
      </w:r>
    </w:p>
    <w:p w14:paraId="5444D19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3.3.9中小企业信用融资：供应商中标后可在政府采购云平台申请政采贷：操作路径：登录政府采购云平台-金融服务中心-【融资服务】。</w:t>
      </w:r>
    </w:p>
    <w:p w14:paraId="0C4A967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3.4</w:t>
      </w:r>
      <w:r>
        <w:rPr>
          <w:rFonts w:hint="eastAsia" w:ascii="仿宋" w:hAnsi="仿宋" w:eastAsia="仿宋" w:cs="仿宋"/>
          <w:bCs/>
          <w:sz w:val="24"/>
          <w:highlight w:val="none"/>
        </w:rPr>
        <w:t>支持创新发展</w:t>
      </w:r>
    </w:p>
    <w:p w14:paraId="0876B65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3.4.1 采购人优先采购被认定为首台套产品和“制造精品”的自主创新产品。</w:t>
      </w:r>
    </w:p>
    <w:p w14:paraId="56D9400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59AE4156">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highlight w:val="none"/>
        </w:rPr>
      </w:pPr>
      <w:r>
        <w:rPr>
          <w:rFonts w:hint="eastAsia" w:ascii="仿宋" w:hAnsi="仿宋" w:eastAsia="仿宋" w:cs="仿宋"/>
          <w:b/>
          <w:sz w:val="24"/>
          <w:highlight w:val="none"/>
        </w:rPr>
        <w:t>4. 询问、质疑、投诉</w:t>
      </w:r>
    </w:p>
    <w:p w14:paraId="72C9CCD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highlight w:val="none"/>
        </w:rPr>
      </w:pPr>
      <w:r>
        <w:rPr>
          <w:rFonts w:hint="eastAsia" w:ascii="仿宋" w:hAnsi="仿宋" w:eastAsia="仿宋" w:cs="仿宋"/>
          <w:kern w:val="0"/>
          <w:sz w:val="24"/>
          <w:highlight w:val="none"/>
          <w:lang w:val="zh-CN"/>
        </w:rPr>
        <w:t>4.1供应商询问</w:t>
      </w:r>
    </w:p>
    <w:p w14:paraId="51A260F6">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07DF617">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4.2供应商质疑</w:t>
      </w:r>
    </w:p>
    <w:p w14:paraId="2C909CD7">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.1提出质疑的供应商应当是参与所质疑项目采购活动的供应商。潜在供应商已依法获取其可质疑的招标文件的，可以对该文件提出质疑。</w:t>
      </w:r>
    </w:p>
    <w:p w14:paraId="0D6554E7">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49AD9F8A">
      <w:pPr>
        <w:pStyle w:val="17"/>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4.2.2.1对招标文件提出质疑的，质疑期限为供应商获得招标文件之日或者招标文件公告期限届满之日起计算。</w:t>
      </w:r>
    </w:p>
    <w:p w14:paraId="04FC8F24">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4.2.2.2对采购过程提出质疑的，质疑期限为各采购程序环节结束之日起计算。对同一采购程序环节的质疑，供应商须一次性提出。</w:t>
      </w:r>
    </w:p>
    <w:p w14:paraId="78007264">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4.2.2.3对采购结果提出质疑的，质疑期限自采购结果公告期限届满之日起计算。</w:t>
      </w:r>
    </w:p>
    <w:p w14:paraId="11692D98">
      <w:pPr>
        <w:pStyle w:val="35"/>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4.2.2.4针对采购文件中特定资格条件、采购需求、评分办法提出的质疑，应向采购人提出；对采购文件中其他内容、采购过程、采购结果提出的质疑，应向采购代理机构提出。</w:t>
      </w:r>
    </w:p>
    <w:p w14:paraId="482FDAD8">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w:t>
      </w:r>
      <w:r>
        <w:rPr>
          <w:rFonts w:hint="eastAsia" w:ascii="仿宋" w:hAnsi="仿宋" w:eastAsia="仿宋" w:cs="仿宋"/>
          <w:sz w:val="24"/>
          <w:highlight w:val="none"/>
        </w:rPr>
        <w:t>供应商提出质疑应当提交质疑函和必要的证明材料。质疑函应当包括下列内容：</w:t>
      </w:r>
    </w:p>
    <w:p w14:paraId="606D99A5">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4.2.3.1供应商的姓名或者名称、地址、邮编、联系人及联系电话；</w:t>
      </w:r>
    </w:p>
    <w:p w14:paraId="7A479EBD">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4.2.3.2质疑项目的名称、编号；</w:t>
      </w:r>
    </w:p>
    <w:p w14:paraId="7B4FBC07">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4.2.3.3具体、明确的质疑事项和与质疑事项相关的请求；</w:t>
      </w:r>
    </w:p>
    <w:p w14:paraId="5BA362FC">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4.2.3.4事实依据；</w:t>
      </w:r>
    </w:p>
    <w:p w14:paraId="3F17E0AA">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4.2.3.5必要的法律依据；</w:t>
      </w:r>
    </w:p>
    <w:p w14:paraId="146383C0">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lang w:val="zh-CN"/>
        </w:rPr>
        <w:t>4.2.</w:t>
      </w:r>
      <w:r>
        <w:rPr>
          <w:rFonts w:hint="eastAsia" w:ascii="仿宋" w:hAnsi="仿宋" w:eastAsia="仿宋" w:cs="仿宋"/>
          <w:sz w:val="24"/>
          <w:highlight w:val="none"/>
        </w:rPr>
        <w:t>3.6提出质疑的日期。</w:t>
      </w:r>
    </w:p>
    <w:p w14:paraId="0CC5A660">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4B036E3D">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5F26AE86">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4.2.5询问或者质疑事项可能影响采购结果的，采购人应当暂停签订合同，已经签订合同的，应当中止履行合同。</w:t>
      </w:r>
    </w:p>
    <w:p w14:paraId="7C1B4F6C">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4.3质疑供应商投诉</w:t>
      </w:r>
    </w:p>
    <w:p w14:paraId="45673DED">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49964578">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4.3.2供应商投诉的事项不得超出已质疑事项的范围，基于质疑答复内容提出的投诉事项除外。</w:t>
      </w:r>
    </w:p>
    <w:p w14:paraId="2425587A">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4.3.3供应商投诉应当有明确的请求和必要的证明材料。</w:t>
      </w:r>
    </w:p>
    <w:p w14:paraId="641EBFA5">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4.3.5 以联合体形式参加政府采购活动的，其投诉应当由组成联合体的所有供应商共同提出。投诉书范本及制作说明详见附件3。</w:t>
      </w:r>
    </w:p>
    <w:p w14:paraId="2818DFC7">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1618D7">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 xml:space="preserve">      二、招标文件的构成、澄清、补充、修改</w:t>
      </w:r>
    </w:p>
    <w:p w14:paraId="05805B7F">
      <w:pPr>
        <w:pStyle w:val="35"/>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5．招标文件的构成</w:t>
      </w:r>
    </w:p>
    <w:p w14:paraId="3DA4E83F">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 招标文件包括下列文件及附件：</w:t>
      </w:r>
    </w:p>
    <w:p w14:paraId="2796E042">
      <w:pPr>
        <w:pStyle w:val="35"/>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5.1.1招标公告；</w:t>
      </w:r>
    </w:p>
    <w:p w14:paraId="096B2DAE">
      <w:pPr>
        <w:pStyle w:val="35"/>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5.1.2</w:t>
      </w:r>
      <w:r>
        <w:rPr>
          <w:rFonts w:hint="eastAsia" w:ascii="仿宋" w:hAnsi="仿宋" w:eastAsia="仿宋" w:cs="仿宋"/>
          <w:sz w:val="24"/>
          <w:szCs w:val="24"/>
          <w:highlight w:val="none"/>
          <w:lang w:eastAsia="zh-CN"/>
        </w:rPr>
        <w:t>磋商供应商</w:t>
      </w:r>
      <w:r>
        <w:rPr>
          <w:rFonts w:hint="eastAsia" w:ascii="仿宋" w:hAnsi="仿宋" w:eastAsia="仿宋" w:cs="仿宋"/>
          <w:sz w:val="24"/>
          <w:szCs w:val="24"/>
          <w:highlight w:val="none"/>
        </w:rPr>
        <w:t>须知；</w:t>
      </w:r>
    </w:p>
    <w:p w14:paraId="7065C898">
      <w:pPr>
        <w:pStyle w:val="35"/>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5.1.3采购需求；</w:t>
      </w:r>
    </w:p>
    <w:p w14:paraId="38398A4F">
      <w:pPr>
        <w:pStyle w:val="35"/>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5.1.4评标办法；</w:t>
      </w:r>
    </w:p>
    <w:p w14:paraId="4D5B22C5">
      <w:pPr>
        <w:pStyle w:val="35"/>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5.1.5拟签订的合同文本；</w:t>
      </w:r>
    </w:p>
    <w:p w14:paraId="1451CE10">
      <w:pPr>
        <w:pStyle w:val="35"/>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highlight w:val="none"/>
        </w:rPr>
        <w:t>5.1.6</w:t>
      </w:r>
      <w:r>
        <w:rPr>
          <w:rFonts w:hint="eastAsia" w:ascii="仿宋" w:hAnsi="仿宋" w:eastAsia="仿宋" w:cs="仿宋"/>
          <w:sz w:val="24"/>
          <w:szCs w:val="24"/>
          <w:highlight w:val="none"/>
        </w:rPr>
        <w:t>应提交的有关格式范例。</w:t>
      </w:r>
    </w:p>
    <w:p w14:paraId="6432137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5.2与本项目有关的</w:t>
      </w:r>
      <w:r>
        <w:rPr>
          <w:rFonts w:hint="eastAsia" w:ascii="仿宋" w:hAnsi="仿宋" w:eastAsia="仿宋" w:cs="仿宋"/>
          <w:bCs/>
          <w:sz w:val="24"/>
          <w:highlight w:val="none"/>
        </w:rPr>
        <w:t>澄清、补充、修改的内容为招标文件的组成部分</w:t>
      </w:r>
      <w:r>
        <w:rPr>
          <w:rFonts w:hint="eastAsia" w:ascii="仿宋" w:hAnsi="仿宋" w:eastAsia="仿宋" w:cs="仿宋"/>
          <w:sz w:val="24"/>
          <w:highlight w:val="none"/>
        </w:rPr>
        <w:t>。</w:t>
      </w:r>
    </w:p>
    <w:p w14:paraId="6A37F710">
      <w:pPr>
        <w:pStyle w:val="35"/>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6. 招标文件的澄清、补充、修改</w:t>
      </w:r>
    </w:p>
    <w:p w14:paraId="6830BA99">
      <w:pPr>
        <w:pStyle w:val="166"/>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6.1已获取招标文件的潜在</w:t>
      </w:r>
      <w:r>
        <w:rPr>
          <w:rFonts w:hint="eastAsia" w:ascii="仿宋" w:hAnsi="仿宋" w:eastAsia="仿宋" w:cs="仿宋"/>
          <w:highlight w:val="none"/>
          <w:lang w:eastAsia="zh-CN"/>
        </w:rPr>
        <w:t>磋商供应商</w:t>
      </w:r>
      <w:r>
        <w:rPr>
          <w:rFonts w:hint="eastAsia" w:ascii="仿宋" w:hAnsi="仿宋" w:eastAsia="仿宋" w:cs="仿宋"/>
          <w:highlight w:val="none"/>
        </w:rPr>
        <w:t>，若有问题需要澄清，应于投标截止时间前，以书面形式向采购代理机构提出。</w:t>
      </w:r>
    </w:p>
    <w:p w14:paraId="46BDA329">
      <w:pPr>
        <w:pStyle w:val="166"/>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6.2 采购代理机构对招标文件进行澄清、补充、修改的，将以网上发布补充（更正）公告的形式通知所有潜在</w:t>
      </w:r>
      <w:r>
        <w:rPr>
          <w:rFonts w:hint="eastAsia" w:ascii="仿宋" w:hAnsi="仿宋" w:eastAsia="仿宋" w:cs="仿宋"/>
          <w:highlight w:val="none"/>
          <w:lang w:eastAsia="zh-CN"/>
        </w:rPr>
        <w:t>磋商供应商</w:t>
      </w:r>
      <w:r>
        <w:rPr>
          <w:rFonts w:hint="eastAsia" w:ascii="仿宋" w:hAnsi="仿宋" w:eastAsia="仿宋" w:cs="仿宋"/>
          <w:highlight w:val="none"/>
        </w:rPr>
        <w:t>，同时视情况延长投标截止时间和开标时间。该澄清、补充、修改的内容为招标文件的组成部分。</w:t>
      </w:r>
    </w:p>
    <w:p w14:paraId="229DE479">
      <w:pPr>
        <w:pStyle w:val="166"/>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6.3当招标文件与澄清、补充、修改就同一内容表述不一致的以最后发出的文件或公告为准。</w:t>
      </w:r>
    </w:p>
    <w:p w14:paraId="7503618A">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0"/>
        <w:rPr>
          <w:rFonts w:hint="eastAsia" w:ascii="仿宋" w:hAnsi="仿宋" w:eastAsia="仿宋" w:cs="仿宋"/>
          <w:b/>
          <w:sz w:val="30"/>
          <w:szCs w:val="20"/>
          <w:highlight w:val="none"/>
        </w:rPr>
      </w:pPr>
      <w:r>
        <w:rPr>
          <w:rFonts w:hint="eastAsia" w:ascii="仿宋" w:hAnsi="仿宋" w:eastAsia="仿宋" w:cs="仿宋"/>
          <w:b/>
          <w:sz w:val="30"/>
          <w:szCs w:val="20"/>
          <w:highlight w:val="none"/>
        </w:rPr>
        <w:t>三、投标</w:t>
      </w:r>
    </w:p>
    <w:p w14:paraId="5C809D71">
      <w:pPr>
        <w:pStyle w:val="35"/>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7. 招标文件的获取</w:t>
      </w:r>
    </w:p>
    <w:p w14:paraId="48C8209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napToGrid w:val="0"/>
          <w:kern w:val="28"/>
          <w:sz w:val="24"/>
          <w:highlight w:val="none"/>
        </w:rPr>
      </w:pPr>
      <w:r>
        <w:rPr>
          <w:rFonts w:hint="eastAsia" w:ascii="仿宋" w:hAnsi="仿宋" w:eastAsia="仿宋" w:cs="仿宋"/>
          <w:snapToGrid w:val="0"/>
          <w:kern w:val="28"/>
          <w:sz w:val="24"/>
          <w:highlight w:val="none"/>
        </w:rPr>
        <w:t>详见招标公告中获取招标文件的时间期限、地点、方式及招标文件售价。</w:t>
      </w:r>
    </w:p>
    <w:p w14:paraId="108E7196">
      <w:pPr>
        <w:pStyle w:val="35"/>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8.开标前答疑会或现场考察</w:t>
      </w:r>
    </w:p>
    <w:p w14:paraId="6788D850">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采购人组织潜在</w:t>
      </w:r>
      <w:r>
        <w:rPr>
          <w:rFonts w:hint="eastAsia" w:ascii="仿宋" w:hAnsi="仿宋" w:eastAsia="仿宋" w:cs="仿宋"/>
          <w:sz w:val="24"/>
          <w:szCs w:val="24"/>
          <w:highlight w:val="none"/>
          <w:lang w:eastAsia="zh-CN"/>
        </w:rPr>
        <w:t>磋商供应商</w:t>
      </w:r>
      <w:r>
        <w:rPr>
          <w:rFonts w:hint="eastAsia" w:ascii="仿宋" w:hAnsi="仿宋" w:eastAsia="仿宋" w:cs="仿宋"/>
          <w:sz w:val="24"/>
          <w:szCs w:val="24"/>
          <w:highlight w:val="none"/>
        </w:rPr>
        <w:t>现场考察或者召开开标前答疑会的，潜在</w:t>
      </w:r>
      <w:r>
        <w:rPr>
          <w:rFonts w:hint="eastAsia" w:ascii="仿宋" w:hAnsi="仿宋" w:eastAsia="仿宋" w:cs="仿宋"/>
          <w:sz w:val="24"/>
          <w:szCs w:val="24"/>
          <w:highlight w:val="none"/>
          <w:lang w:eastAsia="zh-CN"/>
        </w:rPr>
        <w:t>磋商供应商</w:t>
      </w:r>
      <w:r>
        <w:rPr>
          <w:rFonts w:hint="eastAsia" w:ascii="仿宋" w:hAnsi="仿宋" w:eastAsia="仿宋" w:cs="仿宋"/>
          <w:sz w:val="24"/>
          <w:szCs w:val="24"/>
          <w:highlight w:val="none"/>
        </w:rPr>
        <w:t>按第二部分</w:t>
      </w:r>
      <w:r>
        <w:rPr>
          <w:rFonts w:hint="eastAsia" w:ascii="仿宋" w:hAnsi="仿宋" w:eastAsia="仿宋" w:cs="仿宋"/>
          <w:sz w:val="24"/>
          <w:szCs w:val="24"/>
          <w:highlight w:val="none"/>
          <w:lang w:eastAsia="zh-CN"/>
        </w:rPr>
        <w:t>磋商供应商</w:t>
      </w:r>
      <w:r>
        <w:rPr>
          <w:rFonts w:hint="eastAsia" w:ascii="仿宋" w:hAnsi="仿宋" w:eastAsia="仿宋" w:cs="仿宋"/>
          <w:sz w:val="24"/>
          <w:szCs w:val="24"/>
          <w:highlight w:val="none"/>
        </w:rPr>
        <w:t>须知前附表的规定参加现场考察或者开标前答疑会。</w:t>
      </w:r>
    </w:p>
    <w:p w14:paraId="39203420">
      <w:pPr>
        <w:pStyle w:val="35"/>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Cs w:val="24"/>
          <w:highlight w:val="none"/>
        </w:rPr>
      </w:pPr>
      <w:r>
        <w:rPr>
          <w:rFonts w:hint="eastAsia" w:ascii="仿宋" w:hAnsi="仿宋" w:eastAsia="仿宋" w:cs="仿宋"/>
          <w:b/>
          <w:kern w:val="28"/>
          <w:sz w:val="24"/>
          <w:szCs w:val="24"/>
          <w:highlight w:val="none"/>
        </w:rPr>
        <w:t>9.投标保证金</w:t>
      </w:r>
    </w:p>
    <w:p w14:paraId="51A5283C">
      <w:pPr>
        <w:pStyle w:val="17"/>
        <w:keepNext w:val="0"/>
        <w:keepLines w:val="0"/>
        <w:pageBreakBefore w:val="0"/>
        <w:kinsoku/>
        <w:wordWrap/>
        <w:overflowPunct/>
        <w:topLinePunct w:val="0"/>
        <w:bidi w:val="0"/>
        <w:spacing w:line="420" w:lineRule="exact"/>
        <w:ind w:left="0" w:leftChars="0"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00C0AE36">
      <w:pPr>
        <w:pStyle w:val="35"/>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10. 投标文件的语言</w:t>
      </w:r>
    </w:p>
    <w:p w14:paraId="4D3E3900">
      <w:pPr>
        <w:keepNext w:val="0"/>
        <w:keepLines w:val="0"/>
        <w:pageBreakBefore w:val="0"/>
        <w:kinsoku/>
        <w:wordWrap/>
        <w:overflowPunct/>
        <w:topLinePunct w:val="0"/>
        <w:autoSpaceDE w:val="0"/>
        <w:autoSpaceDN w:val="0"/>
        <w:bidi w:val="0"/>
        <w:spacing w:line="420" w:lineRule="exact"/>
        <w:ind w:left="0" w:leftChars="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rPr>
        <w:t>投标文件及</w:t>
      </w:r>
      <w:r>
        <w:rPr>
          <w:rFonts w:hint="eastAsia" w:ascii="仿宋" w:hAnsi="仿宋" w:eastAsia="仿宋" w:cs="仿宋"/>
          <w:sz w:val="24"/>
          <w:highlight w:val="none"/>
          <w:lang w:eastAsia="zh-CN"/>
        </w:rPr>
        <w:t>磋商供应商</w:t>
      </w:r>
      <w:r>
        <w:rPr>
          <w:rFonts w:hint="eastAsia" w:ascii="仿宋" w:hAnsi="仿宋" w:eastAsia="仿宋" w:cs="仿宋"/>
          <w:sz w:val="24"/>
          <w:highlight w:val="none"/>
        </w:rPr>
        <w:t>与采购有关的来往通知、函件和文件均应使用中文。</w:t>
      </w:r>
    </w:p>
    <w:p w14:paraId="7B902E3B">
      <w:pPr>
        <w:pStyle w:val="35"/>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11. 投标文件的组成</w:t>
      </w:r>
    </w:p>
    <w:p w14:paraId="762824EE">
      <w:pPr>
        <w:keepNext w:val="0"/>
        <w:keepLines w:val="0"/>
        <w:pageBreakBefore w:val="0"/>
        <w:kinsoku/>
        <w:wordWrap/>
        <w:overflowPunct/>
        <w:topLinePunct w:val="0"/>
        <w:bidi w:val="0"/>
        <w:snapToGrid w:val="0"/>
        <w:spacing w:line="420" w:lineRule="exact"/>
        <w:ind w:left="0" w:leftChars="0"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11.1资格文件：</w:t>
      </w:r>
    </w:p>
    <w:p w14:paraId="6096B34F">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11.1.1符合参加政府采购活动应当具备的一般条件的承诺函；</w:t>
      </w:r>
    </w:p>
    <w:p w14:paraId="6C080958">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11.1.2落实政府采购政策需满足的资格要求（如需）；</w:t>
      </w:r>
    </w:p>
    <w:p w14:paraId="4F70E80D">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11.1.3本项目的特定资格要求（如需）。</w:t>
      </w:r>
    </w:p>
    <w:p w14:paraId="21BA55A6">
      <w:pPr>
        <w:keepNext w:val="0"/>
        <w:keepLines w:val="0"/>
        <w:pageBreakBefore w:val="0"/>
        <w:kinsoku/>
        <w:wordWrap/>
        <w:overflowPunct/>
        <w:topLinePunct w:val="0"/>
        <w:bidi w:val="0"/>
        <w:snapToGrid w:val="0"/>
        <w:spacing w:line="420" w:lineRule="exact"/>
        <w:ind w:left="0" w:leftChars="0" w:firstLine="482" w:firstLineChars="200"/>
        <w:textAlignment w:val="auto"/>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11.</w:t>
      </w:r>
      <w:r>
        <w:rPr>
          <w:rFonts w:hint="eastAsia" w:ascii="仿宋" w:hAnsi="仿宋" w:eastAsia="仿宋" w:cs="仿宋"/>
          <w:b/>
          <w:bCs/>
          <w:sz w:val="24"/>
          <w:highlight w:val="none"/>
        </w:rPr>
        <w:t>2</w:t>
      </w:r>
      <w:r>
        <w:rPr>
          <w:rFonts w:hint="eastAsia" w:ascii="仿宋" w:hAnsi="仿宋" w:eastAsia="仿宋" w:cs="仿宋"/>
          <w:b/>
          <w:bCs/>
          <w:sz w:val="24"/>
          <w:highlight w:val="none"/>
          <w:lang w:val="zh-CN"/>
        </w:rPr>
        <w:t xml:space="preserve">  </w:t>
      </w:r>
      <w:r>
        <w:rPr>
          <w:rFonts w:hint="eastAsia" w:ascii="仿宋" w:hAnsi="仿宋" w:eastAsia="仿宋" w:cs="仿宋"/>
          <w:b/>
          <w:bCs/>
          <w:sz w:val="24"/>
          <w:highlight w:val="none"/>
        </w:rPr>
        <w:t>商务技术</w:t>
      </w:r>
      <w:r>
        <w:rPr>
          <w:rFonts w:hint="eastAsia" w:ascii="仿宋" w:hAnsi="仿宋" w:eastAsia="仿宋" w:cs="仿宋"/>
          <w:b/>
          <w:bCs/>
          <w:sz w:val="24"/>
          <w:highlight w:val="none"/>
          <w:lang w:val="zh-CN"/>
        </w:rPr>
        <w:t>文件：</w:t>
      </w:r>
    </w:p>
    <w:p w14:paraId="0C9D16CD">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11.2.1投标函；</w:t>
      </w:r>
      <w:r>
        <w:rPr>
          <w:rFonts w:hint="eastAsia" w:ascii="仿宋" w:hAnsi="仿宋" w:eastAsia="仿宋" w:cs="仿宋"/>
          <w:sz w:val="24"/>
          <w:highlight w:val="none"/>
          <w:lang w:val="zh-CN"/>
        </w:rPr>
        <w:t xml:space="preserve"> </w:t>
      </w:r>
    </w:p>
    <w:p w14:paraId="49FED314">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11.2.2授权委托书或法定代表人（单位负责人、自然人本人）身份证明；</w:t>
      </w:r>
    </w:p>
    <w:p w14:paraId="73640406">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11.2.3联合协议（如需）；</w:t>
      </w:r>
    </w:p>
    <w:p w14:paraId="5AD0CD56">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11.2.4分包意向协议（如需）；</w:t>
      </w:r>
    </w:p>
    <w:p w14:paraId="419AB53E">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11.2.5符合性审查资料；</w:t>
      </w:r>
    </w:p>
    <w:p w14:paraId="07F5EE30">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11.2.6评标标准相应的商务技术资料（如需）；</w:t>
      </w:r>
    </w:p>
    <w:p w14:paraId="460A51F6">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11.2.7商务技术偏离表；</w:t>
      </w:r>
    </w:p>
    <w:p w14:paraId="4F660771">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lang w:val="zh-CN"/>
        </w:rPr>
        <w:t>11.</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14:paraId="59EF3A0D">
      <w:pPr>
        <w:keepNext w:val="0"/>
        <w:keepLines w:val="0"/>
        <w:pageBreakBefore w:val="0"/>
        <w:kinsoku/>
        <w:wordWrap/>
        <w:overflowPunct/>
        <w:topLinePunct w:val="0"/>
        <w:bidi w:val="0"/>
        <w:snapToGrid w:val="0"/>
        <w:spacing w:line="420" w:lineRule="exact"/>
        <w:ind w:left="0" w:leftChars="0" w:firstLine="482" w:firstLineChars="200"/>
        <w:textAlignment w:val="auto"/>
        <w:rPr>
          <w:rFonts w:hint="eastAsia" w:ascii="仿宋" w:hAnsi="仿宋" w:eastAsia="仿宋" w:cs="仿宋"/>
          <w:b/>
          <w:bCs/>
          <w:sz w:val="24"/>
          <w:highlight w:val="none"/>
          <w:u w:val="single"/>
          <w:lang w:val="zh-CN"/>
        </w:rPr>
      </w:pPr>
      <w:r>
        <w:rPr>
          <w:rFonts w:hint="eastAsia" w:ascii="仿宋" w:hAnsi="仿宋" w:eastAsia="仿宋" w:cs="仿宋"/>
          <w:b/>
          <w:bCs/>
          <w:kern w:val="0"/>
          <w:sz w:val="24"/>
          <w:highlight w:val="none"/>
          <w:lang w:val="zh-CN"/>
        </w:rPr>
        <w:t>11.</w:t>
      </w:r>
      <w:r>
        <w:rPr>
          <w:rFonts w:hint="eastAsia" w:ascii="仿宋" w:hAnsi="仿宋" w:eastAsia="仿宋" w:cs="仿宋"/>
          <w:b/>
          <w:bCs/>
          <w:kern w:val="0"/>
          <w:sz w:val="24"/>
          <w:highlight w:val="none"/>
        </w:rPr>
        <w:t>3</w:t>
      </w:r>
      <w:r>
        <w:rPr>
          <w:rFonts w:hint="eastAsia" w:ascii="仿宋" w:hAnsi="仿宋" w:eastAsia="仿宋" w:cs="仿宋"/>
          <w:b/>
          <w:bCs/>
          <w:sz w:val="24"/>
          <w:highlight w:val="none"/>
        </w:rPr>
        <w:t xml:space="preserve">报价文件： </w:t>
      </w:r>
    </w:p>
    <w:p w14:paraId="685BE2E4">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11.3.1开标一览表（报价表）；</w:t>
      </w:r>
    </w:p>
    <w:p w14:paraId="32F402AC">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11.3.2中小企业声明函（如需）。</w:t>
      </w:r>
    </w:p>
    <w:p w14:paraId="4C608A99">
      <w:pPr>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11.4投标文件含有采购人不能接受的附加条件的，投标无效；</w:t>
      </w:r>
      <w:r>
        <w:rPr>
          <w:rFonts w:hint="eastAsia" w:ascii="仿宋" w:hAnsi="仿宋" w:eastAsia="仿宋" w:cs="仿宋"/>
          <w:b/>
          <w:sz w:val="24"/>
          <w:highlight w:val="none"/>
          <w:lang w:eastAsia="zh-CN"/>
        </w:rPr>
        <w:t>磋商供应商</w:t>
      </w:r>
      <w:r>
        <w:rPr>
          <w:rFonts w:hint="eastAsia" w:ascii="仿宋" w:hAnsi="仿宋" w:eastAsia="仿宋" w:cs="仿宋"/>
          <w:b/>
          <w:sz w:val="24"/>
          <w:highlight w:val="none"/>
        </w:rPr>
        <w:t>提供虚假材料投标的，投标无效。</w:t>
      </w:r>
    </w:p>
    <w:p w14:paraId="5E849768">
      <w:pPr>
        <w:pStyle w:val="166"/>
        <w:keepNext w:val="0"/>
        <w:keepLines w:val="0"/>
        <w:pageBreakBefore w:val="0"/>
        <w:kinsoku/>
        <w:wordWrap/>
        <w:overflowPunct/>
        <w:topLinePunct w:val="0"/>
        <w:bidi w:val="0"/>
        <w:snapToGrid w:val="0"/>
        <w:spacing w:before="0" w:line="420" w:lineRule="exact"/>
        <w:ind w:left="0" w:leftChars="0" w:firstLine="0" w:firstLineChars="0"/>
        <w:textAlignment w:val="auto"/>
        <w:outlineLvl w:val="0"/>
        <w:rPr>
          <w:rFonts w:hint="eastAsia" w:ascii="仿宋" w:hAnsi="仿宋" w:eastAsia="仿宋" w:cs="仿宋"/>
          <w:b/>
          <w:szCs w:val="24"/>
          <w:highlight w:val="none"/>
        </w:rPr>
      </w:pPr>
      <w:r>
        <w:rPr>
          <w:rFonts w:hint="eastAsia" w:ascii="仿宋" w:hAnsi="仿宋" w:eastAsia="仿宋" w:cs="仿宋"/>
          <w:b/>
          <w:szCs w:val="24"/>
          <w:highlight w:val="none"/>
        </w:rPr>
        <w:t>12</w:t>
      </w:r>
      <w:r>
        <w:rPr>
          <w:rFonts w:hint="eastAsia" w:ascii="仿宋" w:hAnsi="仿宋" w:eastAsia="仿宋" w:cs="仿宋"/>
          <w:b/>
          <w:kern w:val="0"/>
          <w:szCs w:val="24"/>
          <w:highlight w:val="none"/>
          <w:lang w:val="zh-CN"/>
        </w:rPr>
        <w:t xml:space="preserve">. </w:t>
      </w:r>
      <w:r>
        <w:rPr>
          <w:rFonts w:hint="eastAsia" w:ascii="仿宋" w:hAnsi="仿宋" w:eastAsia="仿宋" w:cs="仿宋"/>
          <w:b/>
          <w:szCs w:val="24"/>
          <w:highlight w:val="none"/>
        </w:rPr>
        <w:t>投标文件的编制</w:t>
      </w:r>
    </w:p>
    <w:p w14:paraId="0168EB3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highlight w:val="none"/>
        </w:rPr>
      </w:pPr>
      <w:r>
        <w:rPr>
          <w:rFonts w:hint="eastAsia" w:ascii="仿宋" w:hAnsi="仿宋" w:eastAsia="仿宋" w:cs="仿宋"/>
          <w:kern w:val="0"/>
          <w:sz w:val="24"/>
          <w:highlight w:val="none"/>
          <w:lang w:val="zh-CN"/>
        </w:rPr>
        <w:t>12.1投标文件分为资格文件、商务技术文件、报价文件三部分。各磋商供应商在编制投标文件时请按照招标文件第六部分规定的格式进行，混乱的编排导致投标文件被误读或评标委员会查找不到有效文件是磋商供应商的风险。</w:t>
      </w:r>
    </w:p>
    <w:p w14:paraId="39E128C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12.2磋商供应商进行电子投标应安装客户端软件—“政采云电子交易客户端”，并按照招标文件和电子交易平台的要求编制并加密投标文件。磋商供应商未按规定加密的投标文件，电子交易平台将拒收并提示。</w:t>
      </w:r>
    </w:p>
    <w:p w14:paraId="7EE3F78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12.3使用“政采云电子交易客户端”需要提前申领CA数字证书，申领流程请自行前往“浙江政府采购网-下载专区-电子交易客户端-CA驱动和申领流程”进行查阅。</w:t>
      </w:r>
    </w:p>
    <w:p w14:paraId="1C571DC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12.4磋商供应商应充分考虑完成平台注册、申领CA证书等所需时间，如未在“政府采购云平台”系统内完成相关流程，而引起的投标或响应无效的责任自负。</w:t>
      </w:r>
    </w:p>
    <w:p w14:paraId="579EF330">
      <w:pPr>
        <w:keepNext w:val="0"/>
        <w:keepLines w:val="0"/>
        <w:pageBreakBefore w:val="0"/>
        <w:kinsoku/>
        <w:wordWrap/>
        <w:overflowPunct/>
        <w:topLinePunct w:val="0"/>
        <w:bidi w:val="0"/>
        <w:snapToGrid w:val="0"/>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13.投标文件的签署、盖章</w:t>
      </w:r>
    </w:p>
    <w:p w14:paraId="6E8718DF">
      <w:pPr>
        <w:pStyle w:val="166"/>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b/>
          <w:highlight w:val="none"/>
        </w:rPr>
      </w:pPr>
      <w:r>
        <w:rPr>
          <w:rFonts w:hint="eastAsia" w:ascii="仿宋" w:hAnsi="仿宋" w:eastAsia="仿宋" w:cs="仿宋"/>
          <w:szCs w:val="24"/>
          <w:highlight w:val="none"/>
        </w:rPr>
        <w:t>13.1投标文件按照招标文件第六部分格式要</w:t>
      </w:r>
      <w:r>
        <w:rPr>
          <w:rFonts w:hint="eastAsia" w:ascii="仿宋" w:hAnsi="仿宋" w:eastAsia="仿宋" w:cs="仿宋"/>
          <w:highlight w:val="none"/>
        </w:rPr>
        <w:t>求进行签署、盖章。</w:t>
      </w:r>
      <w:r>
        <w:rPr>
          <w:rFonts w:hint="eastAsia" w:ascii="仿宋" w:hAnsi="仿宋" w:eastAsia="仿宋" w:cs="仿宋"/>
          <w:b/>
          <w:highlight w:val="none"/>
        </w:rPr>
        <w:t>★</w:t>
      </w:r>
      <w:r>
        <w:rPr>
          <w:rFonts w:hint="eastAsia" w:ascii="仿宋" w:hAnsi="仿宋" w:eastAsia="仿宋" w:cs="仿宋"/>
          <w:b/>
          <w:highlight w:val="none"/>
          <w:lang w:eastAsia="zh-CN"/>
        </w:rPr>
        <w:t>磋商供应商</w:t>
      </w:r>
      <w:r>
        <w:rPr>
          <w:rFonts w:hint="eastAsia" w:ascii="仿宋" w:hAnsi="仿宋" w:eastAsia="仿宋" w:cs="仿宋"/>
          <w:b/>
          <w:highlight w:val="none"/>
        </w:rPr>
        <w:t>的投标文件未按照招标文件要求签署、盖章的，其投标无效</w:t>
      </w:r>
      <w:r>
        <w:rPr>
          <w:rFonts w:hint="eastAsia" w:ascii="仿宋" w:hAnsi="仿宋" w:eastAsia="仿宋" w:cs="仿宋"/>
          <w:szCs w:val="24"/>
          <w:highlight w:val="none"/>
        </w:rPr>
        <w:t>。</w:t>
      </w:r>
    </w:p>
    <w:p w14:paraId="6B91D214">
      <w:pPr>
        <w:pStyle w:val="166"/>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13.2为确保网上操作合法、有效和安全，</w:t>
      </w:r>
      <w:r>
        <w:rPr>
          <w:rFonts w:hint="eastAsia" w:ascii="仿宋" w:hAnsi="仿宋" w:eastAsia="仿宋" w:cs="仿宋"/>
          <w:highlight w:val="none"/>
          <w:lang w:eastAsia="zh-CN"/>
        </w:rPr>
        <w:t>磋商供应商</w:t>
      </w:r>
      <w:r>
        <w:rPr>
          <w:rFonts w:hint="eastAsia" w:ascii="仿宋" w:hAnsi="仿宋" w:eastAsia="仿宋" w:cs="仿宋"/>
          <w:highlight w:val="none"/>
        </w:rPr>
        <w:t>应当在投标截止时间前完成在“政府采购云平台”的身份认证，确保在电子投标过程中能够对相关数据电文进行加密和使用电子签名。</w:t>
      </w:r>
    </w:p>
    <w:p w14:paraId="4309B505">
      <w:pPr>
        <w:pStyle w:val="166"/>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szCs w:val="24"/>
          <w:highlight w:val="none"/>
        </w:rPr>
      </w:pPr>
      <w:r>
        <w:rPr>
          <w:rFonts w:hint="eastAsia" w:ascii="仿宋" w:hAnsi="仿宋" w:eastAsia="仿宋" w:cs="仿宋"/>
          <w:highlight w:val="none"/>
        </w:rPr>
        <w:t>13.3招标文件对投标文件签署、盖章的要求适用于电子签名。</w:t>
      </w:r>
    </w:p>
    <w:p w14:paraId="51C65838">
      <w:pPr>
        <w:pStyle w:val="166"/>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highlight w:val="none"/>
        </w:rPr>
      </w:pPr>
      <w:r>
        <w:rPr>
          <w:rFonts w:hint="eastAsia" w:ascii="仿宋" w:hAnsi="仿宋" w:eastAsia="仿宋" w:cs="仿宋"/>
          <w:b/>
          <w:szCs w:val="24"/>
          <w:highlight w:val="none"/>
        </w:rPr>
        <w:t>14. 投标文件的提交、补充、修改、撤回</w:t>
      </w:r>
    </w:p>
    <w:p w14:paraId="0C448A47">
      <w:pPr>
        <w:pStyle w:val="166"/>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szCs w:val="24"/>
          <w:highlight w:val="none"/>
        </w:rPr>
      </w:pPr>
      <w:r>
        <w:rPr>
          <w:rFonts w:hint="eastAsia" w:ascii="仿宋" w:hAnsi="仿宋" w:eastAsia="仿宋" w:cs="仿宋"/>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57DA4DD">
      <w:pPr>
        <w:pStyle w:val="166"/>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szCs w:val="24"/>
          <w:highlight w:val="none"/>
        </w:rPr>
      </w:pPr>
      <w:r>
        <w:rPr>
          <w:rFonts w:hint="eastAsia" w:ascii="仿宋" w:hAnsi="仿宋" w:eastAsia="仿宋" w:cs="仿宋"/>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7928410">
      <w:pPr>
        <w:pStyle w:val="166"/>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color w:val="FF0000"/>
          <w:szCs w:val="24"/>
          <w:highlight w:val="none"/>
          <w:u w:val="single"/>
        </w:rPr>
      </w:pPr>
      <w:r>
        <w:rPr>
          <w:rFonts w:hint="eastAsia" w:ascii="仿宋" w:hAnsi="仿宋" w:eastAsia="仿宋" w:cs="仿宋"/>
          <w:szCs w:val="24"/>
          <w:highlight w:val="none"/>
        </w:rPr>
        <w:t>14.3采购人、采购代理机构可以视情况延长投标文件提交的截止时间。在上述情况下，采购代理机构与</w:t>
      </w:r>
      <w:r>
        <w:rPr>
          <w:rFonts w:hint="eastAsia" w:ascii="仿宋" w:hAnsi="仿宋" w:eastAsia="仿宋" w:cs="仿宋"/>
          <w:szCs w:val="24"/>
          <w:highlight w:val="none"/>
          <w:lang w:eastAsia="zh-CN"/>
        </w:rPr>
        <w:t>磋商供应商</w:t>
      </w:r>
      <w:r>
        <w:rPr>
          <w:rFonts w:hint="eastAsia" w:ascii="仿宋" w:hAnsi="仿宋" w:eastAsia="仿宋" w:cs="仿宋"/>
          <w:szCs w:val="24"/>
          <w:highlight w:val="none"/>
        </w:rPr>
        <w:t>以前在投标截止期方面的全部权利、责任和义务，将适用于延长至新的投标截止期。</w:t>
      </w:r>
    </w:p>
    <w:p w14:paraId="11369734">
      <w:pPr>
        <w:pStyle w:val="35"/>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15.备份投标文件</w:t>
      </w:r>
    </w:p>
    <w:p w14:paraId="410D2345">
      <w:pPr>
        <w:pStyle w:val="35"/>
        <w:keepNext w:val="0"/>
        <w:keepLines w:val="0"/>
        <w:pageBreakBefore w:val="0"/>
        <w:kinsoku/>
        <w:wordWrap/>
        <w:overflowPunct/>
        <w:topLinePunct w:val="0"/>
        <w:bidi w:val="0"/>
        <w:spacing w:line="420" w:lineRule="exact"/>
        <w:ind w:left="0" w:leftChars="0" w:firstLine="360" w:firstLineChars="15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 xml:space="preserve"> 15.1</w:t>
      </w:r>
      <w:r>
        <w:rPr>
          <w:rFonts w:hint="eastAsia" w:ascii="仿宋" w:hAnsi="仿宋" w:eastAsia="仿宋" w:cs="仿宋"/>
          <w:sz w:val="24"/>
          <w:szCs w:val="24"/>
          <w:highlight w:val="none"/>
          <w:lang w:eastAsia="zh-CN"/>
        </w:rPr>
        <w:t>磋商供应商</w:t>
      </w:r>
      <w:r>
        <w:rPr>
          <w:rFonts w:hint="eastAsia" w:ascii="仿宋" w:hAnsi="仿宋" w:eastAsia="仿宋" w:cs="仿宋"/>
          <w:sz w:val="24"/>
          <w:szCs w:val="24"/>
          <w:highlight w:val="none"/>
        </w:rPr>
        <w:t>在电子交易平台传输递交投标文件后，还可以在投标截止时间前向绍兴盈伽工程咨询有限公司</w:t>
      </w:r>
      <w:r>
        <w:rPr>
          <w:rFonts w:hint="eastAsia" w:ascii="仿宋" w:hAnsi="仿宋" w:eastAsia="仿宋" w:cs="仿宋"/>
          <w:bCs/>
          <w:sz w:val="24"/>
          <w:szCs w:val="24"/>
          <w:highlight w:val="none"/>
        </w:rPr>
        <w:t>邮箱（3652086121@qq.com</w:t>
      </w:r>
      <w:r>
        <w:rPr>
          <w:rFonts w:hint="eastAsia" w:ascii="仿宋" w:hAnsi="仿宋" w:eastAsia="仿宋" w:cs="仿宋"/>
          <w:sz w:val="24"/>
          <w:szCs w:val="24"/>
          <w:highlight w:val="none"/>
        </w:rPr>
        <w:t>）递交备份投标文件1份，</w:t>
      </w:r>
      <w:r>
        <w:rPr>
          <w:rFonts w:hint="eastAsia" w:ascii="仿宋" w:hAnsi="仿宋" w:eastAsia="仿宋" w:cs="仿宋"/>
          <w:b/>
          <w:sz w:val="24"/>
          <w:szCs w:val="24"/>
          <w:highlight w:val="none"/>
        </w:rPr>
        <w:t>但采购人、采购代理机构不强制或变相强制</w:t>
      </w:r>
      <w:r>
        <w:rPr>
          <w:rFonts w:hint="eastAsia" w:ascii="仿宋" w:hAnsi="仿宋" w:eastAsia="仿宋" w:cs="仿宋"/>
          <w:b/>
          <w:sz w:val="24"/>
          <w:szCs w:val="24"/>
          <w:highlight w:val="none"/>
          <w:lang w:eastAsia="zh-CN"/>
        </w:rPr>
        <w:t>磋商供应商</w:t>
      </w:r>
      <w:r>
        <w:rPr>
          <w:rFonts w:hint="eastAsia" w:ascii="仿宋" w:hAnsi="仿宋" w:eastAsia="仿宋" w:cs="仿宋"/>
          <w:b/>
          <w:sz w:val="24"/>
          <w:szCs w:val="24"/>
          <w:highlight w:val="none"/>
        </w:rPr>
        <w:t>提交备份投标文件。</w:t>
      </w:r>
    </w:p>
    <w:p w14:paraId="23537CDD">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15.2备份投标文件须在“政采云投标客户端”制作生成。</w:t>
      </w:r>
      <w:r>
        <w:rPr>
          <w:rFonts w:hint="eastAsia" w:ascii="仿宋" w:hAnsi="仿宋" w:eastAsia="仿宋" w:cs="仿宋"/>
          <w:b/>
          <w:sz w:val="24"/>
          <w:szCs w:val="24"/>
          <w:highlight w:val="none"/>
        </w:rPr>
        <w:t xml:space="preserve"> </w:t>
      </w:r>
    </w:p>
    <w:p w14:paraId="4D479E6F">
      <w:pPr>
        <w:pStyle w:val="3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15.3采购代理机构将拒绝接受逾期送达的备份投标文件。</w:t>
      </w:r>
    </w:p>
    <w:p w14:paraId="523CC887">
      <w:pPr>
        <w:pStyle w:val="35"/>
        <w:keepNext w:val="0"/>
        <w:keepLines w:val="0"/>
        <w:pageBreakBefore w:val="0"/>
        <w:kinsoku/>
        <w:wordWrap/>
        <w:overflowPunct/>
        <w:topLinePunct w:val="0"/>
        <w:bidi w:val="0"/>
        <w:spacing w:line="420" w:lineRule="exact"/>
        <w:ind w:left="0" w:leftChars="0" w:firstLine="479" w:firstLineChars="199"/>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15.4</w:t>
      </w:r>
      <w:r>
        <w:rPr>
          <w:rFonts w:hint="eastAsia" w:ascii="仿宋" w:hAnsi="仿宋" w:eastAsia="仿宋" w:cs="仿宋"/>
          <w:b/>
          <w:sz w:val="24"/>
          <w:szCs w:val="24"/>
          <w:highlight w:val="none"/>
          <w:lang w:eastAsia="zh-CN"/>
        </w:rPr>
        <w:t>磋商供应商</w:t>
      </w:r>
      <w:r>
        <w:rPr>
          <w:rFonts w:hint="eastAsia" w:ascii="仿宋" w:hAnsi="仿宋" w:eastAsia="仿宋" w:cs="仿宋"/>
          <w:b/>
          <w:sz w:val="24"/>
          <w:szCs w:val="24"/>
          <w:highlight w:val="none"/>
        </w:rPr>
        <w:t>仅提交备份投标文件，没有在电子交易平台传输递交投标文件的，投标无效。</w:t>
      </w:r>
    </w:p>
    <w:p w14:paraId="22EEABCC">
      <w:pPr>
        <w:pStyle w:val="35"/>
        <w:keepNext w:val="0"/>
        <w:keepLines w:val="0"/>
        <w:pageBreakBefore w:val="0"/>
        <w:kinsoku/>
        <w:wordWrap/>
        <w:overflowPunct/>
        <w:topLinePunct w:val="0"/>
        <w:bidi w:val="0"/>
        <w:spacing w:line="420" w:lineRule="exact"/>
        <w:ind w:left="0" w:leftChars="0" w:firstLine="477" w:firstLineChars="199"/>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15.5投标文件如有补充、修改，备份投标文件应同步调整并再次提交，采购代理机构以最新备份投标文件为准。</w:t>
      </w:r>
    </w:p>
    <w:p w14:paraId="3198A73D">
      <w:pPr>
        <w:pStyle w:val="166"/>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highlight w:val="none"/>
        </w:rPr>
      </w:pPr>
      <w:r>
        <w:rPr>
          <w:rFonts w:hint="eastAsia" w:ascii="仿宋" w:hAnsi="仿宋" w:eastAsia="仿宋" w:cs="仿宋"/>
          <w:b/>
          <w:szCs w:val="24"/>
          <w:highlight w:val="none"/>
        </w:rPr>
        <w:t>16.投标文件的无效处理</w:t>
      </w:r>
    </w:p>
    <w:p w14:paraId="4C96791E">
      <w:pPr>
        <w:pStyle w:val="27"/>
        <w:keepNext w:val="0"/>
        <w:keepLines w:val="0"/>
        <w:pageBreakBefore w:val="0"/>
        <w:kinsoku/>
        <w:wordWrap/>
        <w:overflowPunct/>
        <w:topLinePunct w:val="0"/>
        <w:bidi w:val="0"/>
        <w:spacing w:line="420" w:lineRule="exact"/>
        <w:ind w:left="0" w:leftChars="0" w:firstLine="360" w:firstLineChars="150"/>
        <w:textAlignment w:val="auto"/>
        <w:rPr>
          <w:rFonts w:hint="eastAsia" w:ascii="仿宋" w:hAnsi="仿宋" w:eastAsia="仿宋" w:cs="仿宋"/>
          <w:szCs w:val="21"/>
          <w:highlight w:val="none"/>
        </w:rPr>
      </w:pPr>
      <w:r>
        <w:rPr>
          <w:rFonts w:hint="eastAsia" w:ascii="仿宋" w:hAnsi="仿宋" w:eastAsia="仿宋" w:cs="仿宋"/>
          <w:szCs w:val="21"/>
          <w:highlight w:val="none"/>
        </w:rPr>
        <w:t>有招标文件第四部分</w:t>
      </w:r>
      <w:r>
        <w:rPr>
          <w:rFonts w:hint="eastAsia" w:ascii="仿宋" w:hAnsi="仿宋" w:eastAsia="仿宋" w:cs="仿宋"/>
          <w:highlight w:val="none"/>
        </w:rPr>
        <w:t>第4.2项规定</w:t>
      </w:r>
      <w:r>
        <w:rPr>
          <w:rFonts w:hint="eastAsia" w:ascii="仿宋" w:hAnsi="仿宋" w:eastAsia="仿宋" w:cs="仿宋"/>
          <w:szCs w:val="21"/>
          <w:highlight w:val="none"/>
        </w:rPr>
        <w:t>的情形之一的，投标无效。</w:t>
      </w:r>
    </w:p>
    <w:p w14:paraId="5F91276C">
      <w:pPr>
        <w:pStyle w:val="166"/>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highlight w:val="none"/>
        </w:rPr>
      </w:pPr>
      <w:r>
        <w:rPr>
          <w:rFonts w:hint="eastAsia" w:ascii="仿宋" w:hAnsi="仿宋" w:eastAsia="仿宋" w:cs="仿宋"/>
          <w:b/>
          <w:szCs w:val="24"/>
          <w:highlight w:val="none"/>
        </w:rPr>
        <w:t>17.投标有效期</w:t>
      </w:r>
    </w:p>
    <w:p w14:paraId="5660532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szCs w:val="21"/>
          <w:highlight w:val="none"/>
        </w:rPr>
      </w:pPr>
      <w:r>
        <w:rPr>
          <w:rFonts w:hint="eastAsia" w:ascii="仿宋" w:hAnsi="仿宋" w:eastAsia="仿宋" w:cs="仿宋"/>
          <w:sz w:val="24"/>
          <w:szCs w:val="20"/>
          <w:highlight w:val="none"/>
        </w:rPr>
        <w:t>17.1投标有效期为从提交投标文件的截止之日起90天。</w:t>
      </w:r>
      <w:r>
        <w:rPr>
          <w:rFonts w:hint="eastAsia" w:ascii="仿宋" w:hAnsi="仿宋" w:eastAsia="仿宋" w:cs="仿宋"/>
          <w:sz w:val="24"/>
          <w:highlight w:val="none"/>
        </w:rPr>
        <w:t>★</w:t>
      </w:r>
      <w:r>
        <w:rPr>
          <w:rFonts w:hint="eastAsia" w:ascii="仿宋" w:hAnsi="仿宋" w:eastAsia="仿宋" w:cs="仿宋"/>
          <w:b/>
          <w:sz w:val="24"/>
          <w:szCs w:val="20"/>
          <w:highlight w:val="none"/>
          <w:lang w:eastAsia="zh-CN"/>
        </w:rPr>
        <w:t>磋商供应商</w:t>
      </w:r>
      <w:r>
        <w:rPr>
          <w:rFonts w:hint="eastAsia" w:ascii="仿宋" w:hAnsi="仿宋" w:eastAsia="仿宋" w:cs="仿宋"/>
          <w:b/>
          <w:sz w:val="24"/>
          <w:szCs w:val="20"/>
          <w:highlight w:val="none"/>
        </w:rPr>
        <w:t>的投标文件中承</w:t>
      </w:r>
      <w:r>
        <w:rPr>
          <w:rFonts w:hint="eastAsia" w:ascii="仿宋" w:hAnsi="仿宋" w:eastAsia="仿宋" w:cs="仿宋"/>
          <w:b/>
          <w:sz w:val="24"/>
          <w:szCs w:val="21"/>
          <w:highlight w:val="none"/>
        </w:rPr>
        <w:t>诺的投标有效期少于招标文件中载明的投标有效期的，投标无效。</w:t>
      </w:r>
    </w:p>
    <w:p w14:paraId="7E9926BA">
      <w:pPr>
        <w:pStyle w:val="166"/>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17.2投标文件合格投递后，自投标截止日期起，在投标有效期内有效。</w:t>
      </w:r>
    </w:p>
    <w:p w14:paraId="644A09CB">
      <w:pPr>
        <w:pStyle w:val="166"/>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17.3在原定投标有效期满之前，如果出现特殊情况，采购代理机构可以以书面形式通知</w:t>
      </w:r>
      <w:r>
        <w:rPr>
          <w:rFonts w:hint="eastAsia" w:ascii="仿宋" w:hAnsi="仿宋" w:eastAsia="仿宋" w:cs="仿宋"/>
          <w:highlight w:val="none"/>
          <w:lang w:eastAsia="zh-CN"/>
        </w:rPr>
        <w:t>磋商供应商</w:t>
      </w:r>
      <w:r>
        <w:rPr>
          <w:rFonts w:hint="eastAsia" w:ascii="仿宋" w:hAnsi="仿宋" w:eastAsia="仿宋" w:cs="仿宋"/>
          <w:highlight w:val="none"/>
        </w:rPr>
        <w:t>延长投标有效期。</w:t>
      </w:r>
      <w:r>
        <w:rPr>
          <w:rFonts w:hint="eastAsia" w:ascii="仿宋" w:hAnsi="仿宋" w:eastAsia="仿宋" w:cs="仿宋"/>
          <w:highlight w:val="none"/>
          <w:lang w:eastAsia="zh-CN"/>
        </w:rPr>
        <w:t>磋商供应商</w:t>
      </w:r>
      <w:r>
        <w:rPr>
          <w:rFonts w:hint="eastAsia" w:ascii="仿宋" w:hAnsi="仿宋" w:eastAsia="仿宋" w:cs="仿宋"/>
          <w:highlight w:val="none"/>
        </w:rPr>
        <w:t>同意延长的，不得要求或被允许修改其投标文件，</w:t>
      </w:r>
      <w:r>
        <w:rPr>
          <w:rFonts w:hint="eastAsia" w:ascii="仿宋" w:hAnsi="仿宋" w:eastAsia="仿宋" w:cs="仿宋"/>
          <w:highlight w:val="none"/>
          <w:lang w:eastAsia="zh-CN"/>
        </w:rPr>
        <w:t>磋商供应商</w:t>
      </w:r>
      <w:r>
        <w:rPr>
          <w:rFonts w:hint="eastAsia" w:ascii="仿宋" w:hAnsi="仿宋" w:eastAsia="仿宋" w:cs="仿宋"/>
          <w:highlight w:val="none"/>
        </w:rPr>
        <w:t>拒绝延长的，其投标无效。</w:t>
      </w:r>
    </w:p>
    <w:p w14:paraId="60C655A1">
      <w:pPr>
        <w:pStyle w:val="166"/>
        <w:keepNext w:val="0"/>
        <w:keepLines w:val="0"/>
        <w:pageBreakBefore w:val="0"/>
        <w:widowControl w:val="0"/>
        <w:kinsoku/>
        <w:wordWrap/>
        <w:overflowPunct/>
        <w:topLinePunct w:val="0"/>
        <w:autoSpaceDE/>
        <w:autoSpaceDN/>
        <w:bidi w:val="0"/>
        <w:adjustRightInd w:val="0"/>
        <w:snapToGrid/>
        <w:spacing w:before="315" w:beforeLines="101" w:beforeAutospacing="0" w:line="360" w:lineRule="auto"/>
        <w:ind w:left="0" w:leftChars="0" w:firstLine="1928" w:firstLineChars="600"/>
        <w:textAlignment w:val="auto"/>
        <w:rPr>
          <w:rFonts w:hint="eastAsia" w:ascii="仿宋" w:hAnsi="仿宋" w:eastAsia="仿宋" w:cs="仿宋"/>
          <w:b/>
          <w:sz w:val="32"/>
          <w:highlight w:val="none"/>
        </w:rPr>
      </w:pPr>
      <w:r>
        <w:rPr>
          <w:rFonts w:hint="eastAsia" w:ascii="仿宋" w:hAnsi="仿宋" w:eastAsia="仿宋" w:cs="仿宋"/>
          <w:b/>
          <w:sz w:val="32"/>
          <w:highlight w:val="none"/>
        </w:rPr>
        <w:t>四、开标、资格审查与信用信息查询</w:t>
      </w:r>
    </w:p>
    <w:p w14:paraId="4ED94F01">
      <w:pPr>
        <w:pStyle w:val="566"/>
        <w:keepNext w:val="0"/>
        <w:keepLines w:val="0"/>
        <w:pageBreakBefore w:val="0"/>
        <w:kinsoku/>
        <w:wordWrap/>
        <w:overflowPunct/>
        <w:topLinePunct w:val="0"/>
        <w:bidi w:val="0"/>
        <w:spacing w:before="0" w:line="420" w:lineRule="exact"/>
        <w:ind w:left="0" w:leftChars="0" w:firstLine="0"/>
        <w:contextualSpacing/>
        <w:textAlignment w:val="auto"/>
        <w:rPr>
          <w:rFonts w:hint="eastAsia" w:ascii="仿宋" w:hAnsi="仿宋" w:eastAsia="仿宋" w:cs="仿宋"/>
          <w:sz w:val="24"/>
          <w:highlight w:val="none"/>
        </w:rPr>
      </w:pPr>
      <w:r>
        <w:rPr>
          <w:rFonts w:hint="eastAsia" w:ascii="仿宋" w:hAnsi="仿宋" w:eastAsia="仿宋" w:cs="仿宋"/>
          <w:b/>
          <w:sz w:val="24"/>
          <w:szCs w:val="24"/>
          <w:highlight w:val="none"/>
        </w:rPr>
        <w:t>18.开标</w:t>
      </w:r>
      <w:r>
        <w:rPr>
          <w:rFonts w:hint="eastAsia" w:ascii="仿宋" w:hAnsi="仿宋" w:eastAsia="仿宋" w:cs="仿宋"/>
          <w:sz w:val="24"/>
          <w:highlight w:val="none"/>
        </w:rPr>
        <w:t xml:space="preserve"> </w:t>
      </w:r>
    </w:p>
    <w:p w14:paraId="6DAEF7DB">
      <w:pPr>
        <w:pStyle w:val="566"/>
        <w:keepNext w:val="0"/>
        <w:keepLines w:val="0"/>
        <w:pageBreakBefore w:val="0"/>
        <w:kinsoku/>
        <w:wordWrap/>
        <w:overflowPunct/>
        <w:topLinePunct w:val="0"/>
        <w:bidi w:val="0"/>
        <w:spacing w:before="0" w:line="420" w:lineRule="exact"/>
        <w:ind w:left="0" w:leftChars="0" w:firstLine="480" w:firstLineChars="200"/>
        <w:contextualSpacing/>
        <w:textAlignment w:val="auto"/>
        <w:rPr>
          <w:rFonts w:hint="eastAsia" w:ascii="仿宋" w:hAnsi="仿宋" w:eastAsia="仿宋" w:cs="仿宋"/>
          <w:sz w:val="24"/>
          <w:highlight w:val="none"/>
        </w:rPr>
      </w:pPr>
      <w:r>
        <w:rPr>
          <w:rFonts w:hint="eastAsia" w:ascii="仿宋" w:hAnsi="仿宋" w:eastAsia="仿宋" w:cs="仿宋"/>
          <w:sz w:val="24"/>
          <w:highlight w:val="none"/>
        </w:rPr>
        <w:t>18.1采购代理机构按照招标文件规定的时间通过电子交易平台组织开标，所有</w:t>
      </w:r>
      <w:r>
        <w:rPr>
          <w:rFonts w:hint="eastAsia" w:ascii="仿宋" w:hAnsi="仿宋" w:eastAsia="仿宋" w:cs="仿宋"/>
          <w:sz w:val="24"/>
          <w:highlight w:val="none"/>
          <w:lang w:eastAsia="zh-CN"/>
        </w:rPr>
        <w:t>磋商供应商</w:t>
      </w:r>
      <w:r>
        <w:rPr>
          <w:rFonts w:hint="eastAsia" w:ascii="仿宋" w:hAnsi="仿宋" w:eastAsia="仿宋" w:cs="仿宋"/>
          <w:sz w:val="24"/>
          <w:highlight w:val="none"/>
        </w:rPr>
        <w:t>均应当准时在线参加。</w:t>
      </w:r>
      <w:r>
        <w:rPr>
          <w:rFonts w:hint="eastAsia" w:ascii="仿宋" w:hAnsi="仿宋" w:eastAsia="仿宋" w:cs="仿宋"/>
          <w:sz w:val="24"/>
          <w:highlight w:val="none"/>
          <w:lang w:eastAsia="zh-CN"/>
        </w:rPr>
        <w:t>磋商供应商</w:t>
      </w:r>
      <w:r>
        <w:rPr>
          <w:rFonts w:hint="eastAsia" w:ascii="仿宋" w:hAnsi="仿宋" w:eastAsia="仿宋" w:cs="仿宋"/>
          <w:sz w:val="24"/>
          <w:highlight w:val="none"/>
        </w:rPr>
        <w:t>不足3家的，不得开标。</w:t>
      </w:r>
    </w:p>
    <w:p w14:paraId="25D8EB93">
      <w:pPr>
        <w:pStyle w:val="566"/>
        <w:keepNext w:val="0"/>
        <w:keepLines w:val="0"/>
        <w:pageBreakBefore w:val="0"/>
        <w:kinsoku/>
        <w:wordWrap/>
        <w:overflowPunct/>
        <w:topLinePunct w:val="0"/>
        <w:bidi w:val="0"/>
        <w:spacing w:before="0" w:line="420" w:lineRule="exact"/>
        <w:ind w:left="0" w:leftChars="0" w:firstLine="240" w:firstLineChars="100"/>
        <w:contextualSpacing/>
        <w:textAlignment w:val="auto"/>
        <w:rPr>
          <w:rFonts w:hint="eastAsia" w:ascii="仿宋" w:hAnsi="仿宋" w:eastAsia="仿宋" w:cs="仿宋"/>
          <w:sz w:val="24"/>
          <w:highlight w:val="none"/>
        </w:rPr>
      </w:pPr>
      <w:r>
        <w:rPr>
          <w:rFonts w:hint="eastAsia" w:ascii="仿宋" w:hAnsi="仿宋" w:eastAsia="仿宋" w:cs="仿宋"/>
          <w:sz w:val="24"/>
          <w:highlight w:val="none"/>
        </w:rPr>
        <w:t>　18.2开标时，电子交易平台按开标时间自动提取所有投标文件。采购代理机构依托电子交易平台发起开始解密指令，</w:t>
      </w:r>
      <w:r>
        <w:rPr>
          <w:rFonts w:hint="eastAsia" w:ascii="仿宋" w:hAnsi="仿宋" w:eastAsia="仿宋" w:cs="仿宋"/>
          <w:sz w:val="24"/>
          <w:highlight w:val="none"/>
          <w:lang w:eastAsia="zh-CN"/>
        </w:rPr>
        <w:t>磋商供应商</w:t>
      </w:r>
      <w:r>
        <w:rPr>
          <w:rFonts w:hint="eastAsia" w:ascii="仿宋" w:hAnsi="仿宋" w:eastAsia="仿宋" w:cs="仿宋"/>
          <w:sz w:val="24"/>
          <w:highlight w:val="none"/>
        </w:rPr>
        <w:t>按照平台提示在招标文件规定时间内完成在线解密。</w:t>
      </w:r>
    </w:p>
    <w:p w14:paraId="10582433">
      <w:pPr>
        <w:pStyle w:val="566"/>
        <w:keepNext w:val="0"/>
        <w:keepLines w:val="0"/>
        <w:pageBreakBefore w:val="0"/>
        <w:kinsoku/>
        <w:wordWrap/>
        <w:overflowPunct/>
        <w:topLinePunct w:val="0"/>
        <w:bidi w:val="0"/>
        <w:spacing w:before="0" w:line="420" w:lineRule="exact"/>
        <w:ind w:left="0" w:leftChars="0" w:firstLine="240" w:firstLineChars="100"/>
        <w:contextualSpacing/>
        <w:textAlignment w:val="auto"/>
        <w:rPr>
          <w:rFonts w:hint="eastAsia" w:ascii="仿宋" w:hAnsi="仿宋" w:eastAsia="仿宋" w:cs="仿宋"/>
          <w:b/>
          <w:sz w:val="24"/>
          <w:highlight w:val="none"/>
        </w:rPr>
      </w:pPr>
      <w:r>
        <w:rPr>
          <w:rFonts w:hint="eastAsia" w:ascii="仿宋" w:hAnsi="仿宋" w:eastAsia="仿宋" w:cs="仿宋"/>
          <w:sz w:val="24"/>
          <w:highlight w:val="none"/>
        </w:rPr>
        <w:t>　18.3</w:t>
      </w:r>
      <w:r>
        <w:rPr>
          <w:rFonts w:hint="eastAsia" w:ascii="仿宋" w:hAnsi="仿宋" w:eastAsia="仿宋" w:cs="仿宋"/>
          <w:b/>
          <w:sz w:val="24"/>
          <w:highlight w:val="none"/>
        </w:rPr>
        <w:t>投标文件未按时解密，</w:t>
      </w:r>
      <w:r>
        <w:rPr>
          <w:rFonts w:hint="eastAsia" w:ascii="仿宋" w:hAnsi="仿宋" w:eastAsia="仿宋" w:cs="仿宋"/>
          <w:b/>
          <w:sz w:val="24"/>
          <w:highlight w:val="none"/>
          <w:lang w:eastAsia="zh-CN"/>
        </w:rPr>
        <w:t>磋商供应商</w:t>
      </w:r>
      <w:r>
        <w:rPr>
          <w:rFonts w:hint="eastAsia" w:ascii="仿宋" w:hAnsi="仿宋" w:eastAsia="仿宋" w:cs="仿宋"/>
          <w:b/>
          <w:sz w:val="24"/>
          <w:highlight w:val="none"/>
        </w:rPr>
        <w:t>提供了备份投标文件的，经</w:t>
      </w:r>
      <w:r>
        <w:rPr>
          <w:rFonts w:hint="eastAsia" w:ascii="仿宋" w:hAnsi="仿宋" w:eastAsia="仿宋" w:cs="仿宋"/>
          <w:b/>
          <w:sz w:val="24"/>
          <w:highlight w:val="none"/>
          <w:lang w:eastAsia="zh-CN"/>
        </w:rPr>
        <w:t>磋商供应商</w:t>
      </w:r>
      <w:r>
        <w:rPr>
          <w:rFonts w:hint="eastAsia" w:ascii="仿宋" w:hAnsi="仿宋" w:eastAsia="仿宋" w:cs="仿宋"/>
          <w:b/>
          <w:sz w:val="24"/>
          <w:highlight w:val="none"/>
        </w:rPr>
        <w:t>同意后以备份投标文件作为依据，否则视为投标文件撤回。投标文件已按时解密的，备份投标文件自动失效。</w:t>
      </w:r>
    </w:p>
    <w:p w14:paraId="4BFB9091">
      <w:pPr>
        <w:pStyle w:val="566"/>
        <w:keepNext w:val="0"/>
        <w:keepLines w:val="0"/>
        <w:pageBreakBefore w:val="0"/>
        <w:kinsoku/>
        <w:wordWrap/>
        <w:overflowPunct/>
        <w:topLinePunct w:val="0"/>
        <w:bidi w:val="0"/>
        <w:spacing w:before="0" w:line="420" w:lineRule="exact"/>
        <w:ind w:left="0" w:leftChars="0" w:firstLine="0"/>
        <w:contextualSpacing/>
        <w:textAlignment w:val="auto"/>
        <w:rPr>
          <w:rFonts w:hint="eastAsia" w:ascii="仿宋" w:hAnsi="仿宋" w:eastAsia="仿宋" w:cs="仿宋"/>
          <w:b/>
          <w:sz w:val="24"/>
          <w:highlight w:val="none"/>
        </w:rPr>
      </w:pPr>
      <w:r>
        <w:rPr>
          <w:rFonts w:hint="eastAsia" w:ascii="仿宋" w:hAnsi="仿宋" w:eastAsia="仿宋" w:cs="仿宋"/>
          <w:b/>
          <w:sz w:val="24"/>
          <w:highlight w:val="none"/>
        </w:rPr>
        <w:t>19</w:t>
      </w:r>
      <w:r>
        <w:rPr>
          <w:rFonts w:hint="eastAsia" w:ascii="仿宋" w:hAnsi="仿宋" w:eastAsia="仿宋" w:cs="仿宋"/>
          <w:b/>
          <w:sz w:val="24"/>
          <w:szCs w:val="24"/>
          <w:highlight w:val="none"/>
        </w:rPr>
        <w:t>.</w:t>
      </w:r>
      <w:r>
        <w:rPr>
          <w:rFonts w:hint="eastAsia" w:ascii="仿宋" w:hAnsi="仿宋" w:eastAsia="仿宋" w:cs="仿宋"/>
          <w:b/>
          <w:sz w:val="24"/>
          <w:highlight w:val="none"/>
        </w:rPr>
        <w:t>资格审查</w:t>
      </w:r>
    </w:p>
    <w:p w14:paraId="533086CA">
      <w:pPr>
        <w:pStyle w:val="166"/>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19.1开标后，采购人或采购代理机构将依法对</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的资格进行审查。</w:t>
      </w:r>
    </w:p>
    <w:p w14:paraId="764E86C3">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kern w:val="0"/>
          <w:sz w:val="24"/>
          <w:highlight w:val="none"/>
        </w:rPr>
        <w:t>19.2</w:t>
      </w:r>
      <w:r>
        <w:rPr>
          <w:rFonts w:hint="eastAsia" w:ascii="仿宋" w:hAnsi="仿宋" w:eastAsia="仿宋" w:cs="仿宋"/>
          <w:sz w:val="24"/>
          <w:highlight w:val="none"/>
        </w:rPr>
        <w:t>采购人或采购代理机构依据法律法规和招标文件的规定，对</w:t>
      </w:r>
      <w:r>
        <w:rPr>
          <w:rFonts w:hint="eastAsia" w:ascii="仿宋" w:hAnsi="仿宋" w:eastAsia="仿宋" w:cs="仿宋"/>
          <w:sz w:val="24"/>
          <w:highlight w:val="none"/>
          <w:lang w:eastAsia="zh-CN"/>
        </w:rPr>
        <w:t>磋商供应商</w:t>
      </w:r>
      <w:r>
        <w:rPr>
          <w:rFonts w:hint="eastAsia" w:ascii="仿宋" w:hAnsi="仿宋" w:eastAsia="仿宋" w:cs="仿宋"/>
          <w:sz w:val="24"/>
          <w:highlight w:val="none"/>
        </w:rPr>
        <w:t>的基本资格条件、特定资格条件进行审查。</w:t>
      </w:r>
    </w:p>
    <w:p w14:paraId="03806C3A">
      <w:pPr>
        <w:pStyle w:val="166"/>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19.3</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未按照招标文件要求提供与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szCs w:val="24"/>
          <w:highlight w:val="none"/>
        </w:rPr>
        <w:t>有效资格证明材料的，视为</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不具备招标文件中规定的资格要求，其投标无效。</w:t>
      </w:r>
    </w:p>
    <w:p w14:paraId="7AC0F9C8">
      <w:pPr>
        <w:pStyle w:val="166"/>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19.4对未通过资格审查的</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，采购人或采购代理机构告知其未通过的原因。</w:t>
      </w:r>
    </w:p>
    <w:p w14:paraId="2E0F20AF">
      <w:pPr>
        <w:pStyle w:val="166"/>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kern w:val="0"/>
          <w:szCs w:val="24"/>
          <w:highlight w:val="none"/>
        </w:rPr>
        <w:t>19.</w:t>
      </w:r>
      <w:r>
        <w:rPr>
          <w:rFonts w:hint="eastAsia" w:ascii="仿宋" w:hAnsi="仿宋" w:eastAsia="仿宋" w:cs="仿宋"/>
          <w:highlight w:val="none"/>
        </w:rPr>
        <w:t>5合格</w:t>
      </w:r>
      <w:r>
        <w:rPr>
          <w:rFonts w:hint="eastAsia" w:ascii="仿宋" w:hAnsi="仿宋" w:eastAsia="仿宋" w:cs="仿宋"/>
          <w:highlight w:val="none"/>
          <w:lang w:eastAsia="zh-CN"/>
        </w:rPr>
        <w:t>磋商供应商</w:t>
      </w:r>
      <w:r>
        <w:rPr>
          <w:rFonts w:hint="eastAsia" w:ascii="仿宋" w:hAnsi="仿宋" w:eastAsia="仿宋" w:cs="仿宋"/>
          <w:highlight w:val="none"/>
        </w:rPr>
        <w:t>不足3家的，不再评标。</w:t>
      </w:r>
    </w:p>
    <w:p w14:paraId="2F8308A2">
      <w:pPr>
        <w:pStyle w:val="166"/>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highlight w:val="none"/>
        </w:rPr>
      </w:pPr>
      <w:r>
        <w:rPr>
          <w:rFonts w:hint="eastAsia" w:ascii="仿宋" w:hAnsi="仿宋" w:eastAsia="仿宋" w:cs="仿宋"/>
          <w:b/>
          <w:szCs w:val="24"/>
          <w:highlight w:val="none"/>
        </w:rPr>
        <w:t>20.信用信息查询</w:t>
      </w:r>
    </w:p>
    <w:p w14:paraId="51B26217">
      <w:pPr>
        <w:pStyle w:val="166"/>
        <w:keepNext w:val="0"/>
        <w:keepLines w:val="0"/>
        <w:pageBreakBefore w:val="0"/>
        <w:kinsoku/>
        <w:wordWrap/>
        <w:overflowPunct/>
        <w:topLinePunct w:val="0"/>
        <w:bidi w:val="0"/>
        <w:spacing w:before="0" w:line="420" w:lineRule="exact"/>
        <w:ind w:left="0" w:leftChars="0" w:firstLine="495" w:firstLineChars="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20.1信用信息查询渠道及截止时间：采购代理机构将通过“信用中国”网站(www.creditchina.gov.cn)、中国政府采购网(www.ccgp.gov.cn)渠道查询</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投标截止时间当天的信用记录。</w:t>
      </w:r>
    </w:p>
    <w:p w14:paraId="3B736ACC">
      <w:pPr>
        <w:pStyle w:val="166"/>
        <w:keepNext w:val="0"/>
        <w:keepLines w:val="0"/>
        <w:pageBreakBefore w:val="0"/>
        <w:kinsoku/>
        <w:wordWrap/>
        <w:overflowPunct/>
        <w:topLinePunct w:val="0"/>
        <w:bidi w:val="0"/>
        <w:spacing w:before="0" w:line="420" w:lineRule="exact"/>
        <w:ind w:left="0" w:leftChars="0" w:firstLine="495" w:firstLineChars="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20.2信用信息查询记录和证据留存的具体方式：现场查询的</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的信用记录、查询结果经确认后将与采购文件一起存档。</w:t>
      </w:r>
    </w:p>
    <w:p w14:paraId="400EB90C">
      <w:pPr>
        <w:pStyle w:val="166"/>
        <w:keepNext w:val="0"/>
        <w:keepLines w:val="0"/>
        <w:pageBreakBefore w:val="0"/>
        <w:kinsoku/>
        <w:wordWrap/>
        <w:overflowPunct/>
        <w:topLinePunct w:val="0"/>
        <w:bidi w:val="0"/>
        <w:spacing w:before="0" w:line="420" w:lineRule="exact"/>
        <w:ind w:left="0" w:leftChars="0" w:firstLine="495" w:firstLineChars="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20.3信用信息的使用规则：经查询列入失信被执行人名单、重大税收违法案件当事人名单、政府采购严重违法失信行为记录名单的</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将被拒绝参与政府采购活动。</w:t>
      </w:r>
    </w:p>
    <w:p w14:paraId="6186F025">
      <w:pPr>
        <w:pStyle w:val="166"/>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highlight w:val="none"/>
        </w:rPr>
        <w:t>。</w:t>
      </w:r>
    </w:p>
    <w:p w14:paraId="1F31CE3F">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jc w:val="center"/>
        <w:textAlignment w:val="auto"/>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五、评标</w:t>
      </w:r>
    </w:p>
    <w:p w14:paraId="6E660D2E">
      <w:pPr>
        <w:pStyle w:val="166"/>
        <w:keepNext w:val="0"/>
        <w:keepLines w:val="0"/>
        <w:pageBreakBefore w:val="0"/>
        <w:kinsoku/>
        <w:wordWrap/>
        <w:overflowPunct/>
        <w:topLinePunct w:val="0"/>
        <w:bidi w:val="0"/>
        <w:spacing w:before="0" w:line="420" w:lineRule="exact"/>
        <w:ind w:left="0" w:leftChars="0" w:firstLine="495" w:firstLineChars="0"/>
        <w:textAlignment w:val="auto"/>
        <w:rPr>
          <w:rFonts w:hint="eastAsia" w:ascii="仿宋" w:hAnsi="仿宋" w:eastAsia="仿宋" w:cs="仿宋"/>
          <w:kern w:val="0"/>
          <w:szCs w:val="24"/>
          <w:highlight w:val="none"/>
        </w:rPr>
      </w:pPr>
      <w:bookmarkStart w:id="13" w:name="_Toc91899903"/>
      <w:r>
        <w:rPr>
          <w:rFonts w:hint="eastAsia" w:ascii="仿宋" w:hAnsi="仿宋" w:eastAsia="仿宋" w:cs="仿宋"/>
          <w:kern w:val="0"/>
          <w:szCs w:val="24"/>
          <w:highlight w:val="none"/>
        </w:rPr>
        <w:t>21. 评标委员会将根据招标文件和有关规定，履行评标工作职责，并按照评标方法及评分标准，全面衡量各</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对招标文件的响应情况。对实质上响应招标文件的</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，按照评审因素进行评审。详见招标文件第四部分评标办法。</w:t>
      </w:r>
    </w:p>
    <w:p w14:paraId="447DDB8B">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jc w:val="center"/>
        <w:textAlignment w:val="auto"/>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六、定标</w:t>
      </w:r>
    </w:p>
    <w:p w14:paraId="47F36F59">
      <w:pPr>
        <w:pStyle w:val="27"/>
        <w:keepNext w:val="0"/>
        <w:keepLines w:val="0"/>
        <w:pageBreakBefore w:val="0"/>
        <w:kinsoku/>
        <w:wordWrap/>
        <w:overflowPunct/>
        <w:topLinePunct w:val="0"/>
        <w:bidi w:val="0"/>
        <w:spacing w:line="420" w:lineRule="exact"/>
        <w:ind w:left="479" w:leftChars="0" w:hanging="479" w:hangingChars="199"/>
        <w:textAlignment w:val="auto"/>
        <w:rPr>
          <w:rFonts w:hint="eastAsia" w:ascii="仿宋" w:hAnsi="仿宋" w:eastAsia="仿宋" w:cs="仿宋"/>
          <w:b/>
          <w:highlight w:val="none"/>
        </w:rPr>
      </w:pPr>
      <w:r>
        <w:rPr>
          <w:rFonts w:hint="eastAsia" w:ascii="仿宋" w:hAnsi="仿宋" w:eastAsia="仿宋" w:cs="仿宋"/>
          <w:b/>
          <w:highlight w:val="none"/>
        </w:rPr>
        <w:t>22. 确定中标供应商</w:t>
      </w:r>
    </w:p>
    <w:p w14:paraId="66DD21CB">
      <w:pPr>
        <w:pStyle w:val="166"/>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b/>
          <w:szCs w:val="24"/>
          <w:highlight w:val="none"/>
        </w:rPr>
      </w:pPr>
      <w:r>
        <w:rPr>
          <w:rFonts w:hint="eastAsia" w:ascii="仿宋" w:hAnsi="仿宋" w:eastAsia="仿宋" w:cs="仿宋"/>
          <w:szCs w:val="24"/>
          <w:highlight w:val="none"/>
        </w:rPr>
        <w:t>采购人将自收到评审报告之日起5个工作日内通过电子交易平台在评审报告推荐的中标候选人中确定中标供应商，并将结果确认书面提交给采购代理机构。</w:t>
      </w:r>
    </w:p>
    <w:p w14:paraId="50330617">
      <w:pPr>
        <w:pStyle w:val="166"/>
        <w:keepNext w:val="0"/>
        <w:keepLines w:val="0"/>
        <w:pageBreakBefore w:val="0"/>
        <w:kinsoku/>
        <w:wordWrap/>
        <w:overflowPunct/>
        <w:topLinePunct w:val="0"/>
        <w:bidi w:val="0"/>
        <w:snapToGrid w:val="0"/>
        <w:spacing w:before="0" w:line="420" w:lineRule="exact"/>
        <w:ind w:left="0" w:leftChars="0" w:firstLine="0" w:firstLineChars="0"/>
        <w:textAlignment w:val="auto"/>
        <w:rPr>
          <w:rFonts w:hint="eastAsia" w:ascii="仿宋" w:hAnsi="仿宋" w:eastAsia="仿宋" w:cs="仿宋"/>
          <w:b/>
          <w:szCs w:val="24"/>
          <w:highlight w:val="none"/>
        </w:rPr>
      </w:pPr>
      <w:r>
        <w:rPr>
          <w:rFonts w:hint="eastAsia" w:ascii="仿宋" w:hAnsi="仿宋" w:eastAsia="仿宋" w:cs="仿宋"/>
          <w:b/>
          <w:szCs w:val="24"/>
          <w:highlight w:val="none"/>
        </w:rPr>
        <w:t>23. 中标通知与中标结果公告</w:t>
      </w:r>
    </w:p>
    <w:p w14:paraId="0FFF07EF">
      <w:pPr>
        <w:keepNext w:val="0"/>
        <w:keepLines w:val="0"/>
        <w:pageBreakBefore w:val="0"/>
        <w:widowControl/>
        <w:shd w:val="clear" w:color="auto" w:fill="FFFFFF"/>
        <w:kinsoku/>
        <w:wordWrap/>
        <w:overflowPunct/>
        <w:topLinePunct w:val="0"/>
        <w:bidi w:val="0"/>
        <w:spacing w:line="420" w:lineRule="exact"/>
        <w:ind w:left="0" w:leftChars="0" w:firstLine="48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23.1自中标人确定之日起2个工作日内，采购代理机构通过电子交易平台向中标人发出中标通知书，同时编制发布采购结果公告。</w:t>
      </w:r>
    </w:p>
    <w:p w14:paraId="06CC0A97">
      <w:pPr>
        <w:keepNext w:val="0"/>
        <w:keepLines w:val="0"/>
        <w:pageBreakBefore w:val="0"/>
        <w:widowControl/>
        <w:shd w:val="clear" w:color="auto" w:fill="FFFFFF"/>
        <w:kinsoku/>
        <w:wordWrap/>
        <w:overflowPunct/>
        <w:topLinePunct w:val="0"/>
        <w:bidi w:val="0"/>
        <w:spacing w:line="420" w:lineRule="exact"/>
        <w:ind w:left="0" w:leftChars="0" w:firstLine="48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23.2公告期限为1个工作日。</w:t>
      </w:r>
    </w:p>
    <w:p w14:paraId="66DE58C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150"/>
        <w:jc w:val="center"/>
        <w:textAlignment w:val="auto"/>
        <w:rPr>
          <w:rFonts w:hint="eastAsia" w:ascii="仿宋" w:hAnsi="仿宋" w:eastAsia="仿宋" w:cs="仿宋"/>
          <w:b/>
          <w:sz w:val="32"/>
          <w:highlight w:val="none"/>
        </w:rPr>
      </w:pPr>
      <w:r>
        <w:rPr>
          <w:rFonts w:hint="eastAsia" w:ascii="仿宋" w:hAnsi="仿宋" w:eastAsia="仿宋" w:cs="仿宋"/>
          <w:b/>
          <w:sz w:val="32"/>
          <w:highlight w:val="none"/>
        </w:rPr>
        <w:t>七、合同授予</w:t>
      </w:r>
    </w:p>
    <w:p w14:paraId="3A5C2028">
      <w:pPr>
        <w:pStyle w:val="27"/>
        <w:keepNext w:val="0"/>
        <w:keepLines w:val="0"/>
        <w:pageBreakBefore w:val="0"/>
        <w:kinsoku/>
        <w:wordWrap/>
        <w:overflowPunct/>
        <w:topLinePunct w:val="0"/>
        <w:bidi w:val="0"/>
        <w:spacing w:line="420" w:lineRule="exact"/>
        <w:ind w:left="479" w:leftChars="0" w:hanging="479" w:hangingChars="199"/>
        <w:textAlignment w:val="auto"/>
        <w:rPr>
          <w:rFonts w:hint="eastAsia" w:ascii="仿宋" w:hAnsi="仿宋" w:eastAsia="仿宋" w:cs="仿宋"/>
          <w:b/>
          <w:highlight w:val="none"/>
        </w:rPr>
      </w:pPr>
      <w:r>
        <w:rPr>
          <w:rFonts w:hint="eastAsia" w:ascii="仿宋" w:hAnsi="仿宋" w:eastAsia="仿宋" w:cs="仿宋"/>
          <w:b/>
          <w:highlight w:val="none"/>
        </w:rPr>
        <w:t xml:space="preserve">24. </w:t>
      </w:r>
      <w:r>
        <w:rPr>
          <w:rFonts w:hint="eastAsia" w:ascii="仿宋" w:hAnsi="仿宋" w:eastAsia="仿宋" w:cs="仿宋"/>
          <w:highlight w:val="none"/>
        </w:rPr>
        <w:t>合同主要条款详见第五部分拟签订的合同文本。</w:t>
      </w:r>
    </w:p>
    <w:p w14:paraId="38CB520D">
      <w:pPr>
        <w:pStyle w:val="27"/>
        <w:keepNext w:val="0"/>
        <w:keepLines w:val="0"/>
        <w:pageBreakBefore w:val="0"/>
        <w:kinsoku/>
        <w:wordWrap/>
        <w:overflowPunct/>
        <w:topLinePunct w:val="0"/>
        <w:bidi w:val="0"/>
        <w:spacing w:line="420" w:lineRule="exact"/>
        <w:ind w:left="479" w:leftChars="0" w:hanging="479" w:hangingChars="199"/>
        <w:textAlignment w:val="auto"/>
        <w:rPr>
          <w:rFonts w:hint="eastAsia" w:ascii="仿宋" w:hAnsi="仿宋" w:eastAsia="仿宋" w:cs="仿宋"/>
          <w:b/>
          <w:highlight w:val="none"/>
        </w:rPr>
      </w:pPr>
      <w:r>
        <w:rPr>
          <w:rFonts w:hint="eastAsia" w:ascii="仿宋" w:hAnsi="仿宋" w:eastAsia="仿宋" w:cs="仿宋"/>
          <w:b/>
          <w:highlight w:val="none"/>
        </w:rPr>
        <w:t>25. 合同的签订</w:t>
      </w:r>
    </w:p>
    <w:p w14:paraId="6BC7CF45">
      <w:pPr>
        <w:keepNext w:val="0"/>
        <w:keepLines w:val="0"/>
        <w:pageBreakBefore w:val="0"/>
        <w:widowControl/>
        <w:shd w:val="clear" w:color="auto" w:fill="FFFFFF"/>
        <w:kinsoku/>
        <w:wordWrap/>
        <w:overflowPunct/>
        <w:topLinePunct w:val="0"/>
        <w:bidi w:val="0"/>
        <w:spacing w:line="420" w:lineRule="exact"/>
        <w:ind w:left="0" w:leftChars="0" w:firstLine="480"/>
        <w:jc w:val="left"/>
        <w:textAlignment w:val="auto"/>
        <w:rPr>
          <w:rFonts w:hint="eastAsia" w:ascii="仿宋" w:hAnsi="仿宋" w:eastAsia="仿宋" w:cs="仿宋"/>
          <w:kern w:val="0"/>
          <w:sz w:val="24"/>
          <w:highlight w:val="none"/>
        </w:rPr>
      </w:pPr>
      <w:r>
        <w:rPr>
          <w:rFonts w:hint="eastAsia" w:ascii="仿宋" w:hAnsi="仿宋" w:eastAsia="仿宋" w:cs="仿宋"/>
          <w:sz w:val="24"/>
          <w:highlight w:val="none"/>
        </w:rPr>
        <w:t>25.1</w:t>
      </w:r>
      <w:r>
        <w:rPr>
          <w:rFonts w:hint="eastAsia" w:ascii="仿宋" w:hAnsi="仿宋" w:eastAsia="仿宋" w:cs="仿宋"/>
          <w:kern w:val="0"/>
          <w:sz w:val="24"/>
          <w:highlight w:val="none"/>
        </w:rPr>
        <w:t xml:space="preserve"> 采购人与中标人应当在中标通知书发出之日起三十日内，按照招标文件确定的事项签订政府采购合同，并在合同签订之日起2个工作日内依法发布合同公告。</w:t>
      </w:r>
    </w:p>
    <w:p w14:paraId="6E20C785">
      <w:pPr>
        <w:pStyle w:val="166"/>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kern w:val="0"/>
          <w:highlight w:val="none"/>
          <w:lang w:val="zh-CN"/>
        </w:rPr>
      </w:pPr>
      <w:r>
        <w:rPr>
          <w:rFonts w:hint="eastAsia" w:ascii="仿宋" w:hAnsi="仿宋" w:eastAsia="仿宋" w:cs="仿宋"/>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C1C9D5A">
      <w:pPr>
        <w:pStyle w:val="166"/>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kern w:val="0"/>
          <w:highlight w:val="none"/>
        </w:rPr>
      </w:pPr>
      <w:r>
        <w:rPr>
          <w:rFonts w:hint="eastAsia" w:ascii="仿宋" w:hAnsi="仿宋" w:eastAsia="仿宋" w:cs="仿宋"/>
          <w:highlight w:val="none"/>
        </w:rPr>
        <w:t>25.3采购人对合同内容负责。合同金额200万元及以上的必须由法律顾问根据《政府采购法》、《民法典》等对合同条款进行审查，出具法律意见书后方可签订合同。对于合同金额200万元以下的项目，采购单位自行组织审查合同条款。</w:t>
      </w:r>
    </w:p>
    <w:p w14:paraId="58128B49">
      <w:pPr>
        <w:pStyle w:val="166"/>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25.4如签订合同并生效后，供应商无故拒绝或延期，除按照合同条款处理外，将上报政府采购监管部门予以处理。</w:t>
      </w:r>
    </w:p>
    <w:p w14:paraId="100F09B3">
      <w:pPr>
        <w:pStyle w:val="166"/>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25.5中标供应商拒绝与采购人签订合同的，采购人应当重新开展政府采购活动。</w:t>
      </w:r>
    </w:p>
    <w:p w14:paraId="39C8F0BA">
      <w:pPr>
        <w:pStyle w:val="166"/>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highlight w:val="none"/>
        </w:rPr>
      </w:pPr>
      <w:r>
        <w:rPr>
          <w:rFonts w:hint="eastAsia" w:ascii="仿宋" w:hAnsi="仿宋" w:eastAsia="仿宋" w:cs="仿宋"/>
          <w:highlight w:val="none"/>
        </w:rPr>
        <w:t>25.6采购合同由采购人与中标供应商根据招标文件、投标文件等内容签订并公告。</w:t>
      </w:r>
    </w:p>
    <w:p w14:paraId="282BA3BF">
      <w:pPr>
        <w:pStyle w:val="27"/>
        <w:keepNext w:val="0"/>
        <w:keepLines w:val="0"/>
        <w:pageBreakBefore w:val="0"/>
        <w:kinsoku/>
        <w:wordWrap/>
        <w:overflowPunct/>
        <w:topLinePunct w:val="0"/>
        <w:bidi w:val="0"/>
        <w:spacing w:line="420" w:lineRule="exact"/>
        <w:ind w:left="479" w:leftChars="0" w:hanging="479" w:hangingChars="199"/>
        <w:textAlignment w:val="auto"/>
        <w:rPr>
          <w:rFonts w:hint="eastAsia" w:ascii="仿宋" w:hAnsi="仿宋" w:eastAsia="仿宋" w:cs="仿宋"/>
          <w:b/>
          <w:highlight w:val="none"/>
        </w:rPr>
      </w:pPr>
      <w:r>
        <w:rPr>
          <w:rFonts w:hint="eastAsia" w:ascii="仿宋" w:hAnsi="仿宋" w:eastAsia="仿宋" w:cs="仿宋"/>
          <w:b/>
          <w:highlight w:val="none"/>
        </w:rPr>
        <w:t>26. 履约保证金</w:t>
      </w:r>
    </w:p>
    <w:p w14:paraId="42885C0A">
      <w:pPr>
        <w:keepNext w:val="0"/>
        <w:keepLines w:val="0"/>
        <w:pageBreakBefore w:val="0"/>
        <w:tabs>
          <w:tab w:val="left" w:pos="0"/>
        </w:tabs>
        <w:kinsoku/>
        <w:wordWrap/>
        <w:overflowPunct/>
        <w:topLinePunct w:val="0"/>
        <w:bidi w:val="0"/>
        <w:spacing w:line="420" w:lineRule="exact"/>
        <w:ind w:left="0" w:leftChars="0" w:firstLine="482"/>
        <w:textAlignment w:val="auto"/>
        <w:rPr>
          <w:rFonts w:hint="eastAsia" w:ascii="仿宋" w:hAnsi="仿宋" w:eastAsia="仿宋" w:cs="仿宋"/>
          <w:b/>
          <w:sz w:val="24"/>
          <w:highlight w:val="none"/>
        </w:rPr>
      </w:pPr>
      <w:r>
        <w:rPr>
          <w:rFonts w:hint="eastAsia" w:ascii="仿宋" w:hAnsi="仿宋" w:eastAsia="仿宋" w:cs="仿宋"/>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highlight w:val="none"/>
        </w:rPr>
        <w:t>。履约保证金的数额不得超过政府采购合同金额</w:t>
      </w:r>
      <w:r>
        <w:rPr>
          <w:rFonts w:hint="eastAsia" w:ascii="仿宋" w:hAnsi="仿宋" w:eastAsia="仿宋" w:cs="仿宋"/>
          <w:kern w:val="0"/>
          <w:sz w:val="24"/>
          <w:highlight w:val="none"/>
        </w:rPr>
        <w:t>的</w:t>
      </w:r>
      <w:r>
        <w:rPr>
          <w:rFonts w:hint="eastAsia" w:ascii="仿宋" w:hAnsi="仿宋" w:eastAsia="仿宋" w:cs="仿宋"/>
          <w:kern w:val="0"/>
          <w:sz w:val="24"/>
          <w:highlight w:val="none"/>
          <w:lang w:val="en-US" w:eastAsia="zh-CN"/>
        </w:rPr>
        <w:t>1</w:t>
      </w:r>
      <w:r>
        <w:rPr>
          <w:rFonts w:hint="eastAsia" w:ascii="仿宋" w:hAnsi="仿宋" w:eastAsia="仿宋" w:cs="仿宋"/>
          <w:kern w:val="0"/>
          <w:sz w:val="24"/>
          <w:highlight w:val="none"/>
        </w:rPr>
        <w:t>%。</w:t>
      </w:r>
      <w:r>
        <w:rPr>
          <w:rFonts w:hint="eastAsia" w:ascii="仿宋" w:hAnsi="仿宋" w:eastAsia="仿宋" w:cs="仿宋"/>
          <w:sz w:val="24"/>
          <w:highlight w:val="none"/>
        </w:rPr>
        <w:t>鼓励和支持供应商以银行、保险公司出具的保函形式提供履约保证金。</w:t>
      </w:r>
      <w:r>
        <w:rPr>
          <w:rFonts w:hint="eastAsia" w:ascii="仿宋" w:hAnsi="仿宋" w:eastAsia="仿宋" w:cs="仿宋"/>
          <w:b/>
          <w:sz w:val="24"/>
          <w:highlight w:val="none"/>
        </w:rPr>
        <w:t>采购人不得拒收履约保函。</w:t>
      </w:r>
    </w:p>
    <w:p w14:paraId="5B22CF30">
      <w:pPr>
        <w:keepNext w:val="0"/>
        <w:keepLines w:val="0"/>
        <w:pageBreakBefore w:val="0"/>
        <w:tabs>
          <w:tab w:val="left" w:pos="0"/>
        </w:tabs>
        <w:kinsoku/>
        <w:wordWrap/>
        <w:overflowPunct/>
        <w:topLinePunct w:val="0"/>
        <w:bidi w:val="0"/>
        <w:spacing w:line="420" w:lineRule="exact"/>
        <w:ind w:left="0" w:leftChars="0" w:firstLine="482"/>
        <w:textAlignment w:val="auto"/>
        <w:rPr>
          <w:rFonts w:hint="eastAsia" w:ascii="仿宋" w:hAnsi="仿宋" w:eastAsia="仿宋" w:cs="仿宋"/>
          <w:b/>
          <w:sz w:val="32"/>
          <w:highlight w:val="none"/>
        </w:rPr>
      </w:pPr>
      <w:r>
        <w:rPr>
          <w:rFonts w:hint="eastAsia" w:ascii="仿宋" w:hAnsi="仿宋" w:eastAsia="仿宋" w:cs="仿宋"/>
          <w:kern w:val="0"/>
          <w:sz w:val="24"/>
          <w:highlight w:val="none"/>
        </w:rPr>
        <w:t>供应商可登录政府采购云平台-【金融服务】—【我的项目】—【已备案合同】以保函形式提供。政府采购云平台金融专线400-903-9583。</w:t>
      </w:r>
    </w:p>
    <w:p w14:paraId="206C47C5">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jc w:val="center"/>
        <w:textAlignment w:val="auto"/>
        <w:rPr>
          <w:rFonts w:hint="eastAsia" w:ascii="仿宋" w:hAnsi="仿宋" w:eastAsia="仿宋" w:cs="仿宋"/>
          <w:b/>
          <w:sz w:val="24"/>
          <w:highlight w:val="none"/>
        </w:rPr>
      </w:pPr>
      <w:r>
        <w:rPr>
          <w:rFonts w:hint="eastAsia" w:ascii="仿宋" w:hAnsi="仿宋" w:eastAsia="仿宋" w:cs="仿宋"/>
          <w:b/>
          <w:sz w:val="32"/>
          <w:highlight w:val="none"/>
        </w:rPr>
        <w:t>八、电子交易活动的中止</w:t>
      </w:r>
    </w:p>
    <w:p w14:paraId="363A42AC">
      <w:pPr>
        <w:pStyle w:val="166"/>
        <w:keepNext w:val="0"/>
        <w:keepLines w:val="0"/>
        <w:pageBreakBefore w:val="0"/>
        <w:widowControl w:val="0"/>
        <w:kinsoku/>
        <w:wordWrap/>
        <w:overflowPunct/>
        <w:topLinePunct w:val="0"/>
        <w:autoSpaceDE/>
        <w:autoSpaceDN/>
        <w:bidi w:val="0"/>
        <w:adjustRightInd w:val="0"/>
        <w:snapToGrid w:val="0"/>
        <w:spacing w:before="0" w:line="420" w:lineRule="atLeast"/>
        <w:ind w:left="0" w:leftChars="0" w:firstLine="0" w:firstLineChars="0"/>
        <w:textAlignment w:val="auto"/>
        <w:rPr>
          <w:rFonts w:hint="eastAsia" w:ascii="仿宋" w:hAnsi="仿宋" w:eastAsia="仿宋" w:cs="仿宋"/>
          <w:highlight w:val="none"/>
        </w:rPr>
      </w:pPr>
      <w:r>
        <w:rPr>
          <w:rFonts w:hint="eastAsia" w:ascii="仿宋" w:hAnsi="仿宋" w:eastAsia="仿宋" w:cs="仿宋"/>
          <w:b/>
          <w:bCs/>
          <w:highlight w:val="none"/>
        </w:rPr>
        <w:t xml:space="preserve">27. </w:t>
      </w:r>
      <w:r>
        <w:rPr>
          <w:rFonts w:hint="eastAsia" w:ascii="仿宋" w:hAnsi="仿宋" w:eastAsia="仿宋" w:cs="仿宋"/>
          <w:b/>
          <w:szCs w:val="24"/>
          <w:highlight w:val="none"/>
        </w:rPr>
        <w:t>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采购过程中出现以下情形，导致电子交易平台无法正常运行，或者无法保证电子交易的公平、公正和安全时，采购代理机构可中止电子交易活动：</w:t>
      </w:r>
    </w:p>
    <w:p w14:paraId="1F378801">
      <w:pPr>
        <w:pStyle w:val="166"/>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highlight w:val="none"/>
        </w:rPr>
      </w:pPr>
      <w:r>
        <w:rPr>
          <w:rFonts w:hint="eastAsia" w:ascii="仿宋" w:hAnsi="仿宋" w:eastAsia="仿宋" w:cs="仿宋"/>
          <w:highlight w:val="none"/>
        </w:rPr>
        <w:t xml:space="preserve">27.1电子交易平台发生故障而无法登录访问的； </w:t>
      </w:r>
    </w:p>
    <w:p w14:paraId="7D4A0F57">
      <w:pPr>
        <w:pStyle w:val="166"/>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highlight w:val="none"/>
        </w:rPr>
      </w:pPr>
      <w:r>
        <w:rPr>
          <w:rFonts w:hint="eastAsia" w:ascii="仿宋" w:hAnsi="仿宋" w:eastAsia="仿宋" w:cs="仿宋"/>
          <w:highlight w:val="none"/>
        </w:rPr>
        <w:t>27.2电子交易平台应用或数据库出现错误，不能进行正常操作的；</w:t>
      </w:r>
    </w:p>
    <w:p w14:paraId="2A59F4C9">
      <w:pPr>
        <w:pStyle w:val="166"/>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highlight w:val="none"/>
        </w:rPr>
      </w:pPr>
      <w:r>
        <w:rPr>
          <w:rFonts w:hint="eastAsia" w:ascii="仿宋" w:hAnsi="仿宋" w:eastAsia="仿宋" w:cs="仿宋"/>
          <w:highlight w:val="none"/>
        </w:rPr>
        <w:t>27.3电子交易平台发现严重安全漏洞，有潜在泄密危险的；</w:t>
      </w:r>
    </w:p>
    <w:p w14:paraId="34170109">
      <w:pPr>
        <w:pStyle w:val="166"/>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highlight w:val="none"/>
        </w:rPr>
      </w:pPr>
      <w:r>
        <w:rPr>
          <w:rFonts w:hint="eastAsia" w:ascii="仿宋" w:hAnsi="仿宋" w:eastAsia="仿宋" w:cs="仿宋"/>
          <w:highlight w:val="none"/>
        </w:rPr>
        <w:t xml:space="preserve">27.4病毒发作导致不能进行正常操作的； </w:t>
      </w:r>
    </w:p>
    <w:p w14:paraId="7D1E99D6">
      <w:pPr>
        <w:pStyle w:val="166"/>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highlight w:val="none"/>
        </w:rPr>
      </w:pPr>
      <w:r>
        <w:rPr>
          <w:rFonts w:hint="eastAsia" w:ascii="仿宋" w:hAnsi="仿宋" w:eastAsia="仿宋" w:cs="仿宋"/>
          <w:highlight w:val="none"/>
        </w:rPr>
        <w:t>27.5其他无法保证电子交易的公平、公正和安全的情况。</w:t>
      </w:r>
    </w:p>
    <w:p w14:paraId="19A023E6">
      <w:pPr>
        <w:pStyle w:val="166"/>
        <w:keepNext w:val="0"/>
        <w:keepLines w:val="0"/>
        <w:pageBreakBefore w:val="0"/>
        <w:widowControl w:val="0"/>
        <w:kinsoku/>
        <w:wordWrap/>
        <w:overflowPunct/>
        <w:topLinePunct w:val="0"/>
        <w:autoSpaceDE/>
        <w:autoSpaceDN/>
        <w:bidi w:val="0"/>
        <w:adjustRightInd w:val="0"/>
        <w:snapToGrid w:val="0"/>
        <w:spacing w:before="0" w:line="420" w:lineRule="atLeast"/>
        <w:ind w:firstLine="0" w:firstLineChars="0"/>
        <w:textAlignment w:val="auto"/>
        <w:rPr>
          <w:rFonts w:hint="eastAsia" w:ascii="仿宋" w:hAnsi="仿宋" w:eastAsia="仿宋" w:cs="仿宋"/>
          <w:highlight w:val="none"/>
        </w:rPr>
      </w:pPr>
      <w:r>
        <w:rPr>
          <w:rFonts w:hint="eastAsia" w:ascii="仿宋" w:hAnsi="仿宋" w:eastAsia="仿宋" w:cs="仿宋"/>
          <w:b/>
          <w:bCs/>
          <w:highlight w:val="none"/>
        </w:rPr>
        <w:t>28.</w:t>
      </w:r>
      <w:r>
        <w:rPr>
          <w:rFonts w:hint="eastAsia" w:ascii="仿宋" w:hAnsi="仿宋" w:eastAsia="仿宋" w:cs="仿宋"/>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777482BD">
      <w:pPr>
        <w:snapToGrid w:val="0"/>
        <w:spacing w:line="360" w:lineRule="auto"/>
        <w:ind w:left="120" w:leftChars="57" w:firstLine="482" w:firstLineChars="150"/>
        <w:jc w:val="center"/>
        <w:rPr>
          <w:rFonts w:hint="eastAsia" w:ascii="仿宋" w:hAnsi="仿宋" w:eastAsia="仿宋" w:cs="仿宋"/>
          <w:b/>
          <w:sz w:val="32"/>
          <w:highlight w:val="none"/>
        </w:rPr>
      </w:pPr>
      <w:r>
        <w:rPr>
          <w:rFonts w:hint="eastAsia" w:ascii="仿宋" w:hAnsi="仿宋" w:eastAsia="仿宋" w:cs="仿宋"/>
          <w:b/>
          <w:sz w:val="32"/>
          <w:highlight w:val="none"/>
        </w:rPr>
        <w:t>九、验收</w:t>
      </w:r>
    </w:p>
    <w:p w14:paraId="232FCC3F">
      <w:pPr>
        <w:pStyle w:val="27"/>
        <w:spacing w:line="360" w:lineRule="auto"/>
        <w:ind w:firstLine="0" w:firstLineChars="0"/>
        <w:rPr>
          <w:rFonts w:hint="eastAsia" w:ascii="仿宋" w:hAnsi="仿宋" w:eastAsia="仿宋" w:cs="仿宋"/>
          <w:b/>
          <w:highlight w:val="none"/>
        </w:rPr>
      </w:pPr>
      <w:r>
        <w:rPr>
          <w:rFonts w:hint="eastAsia" w:ascii="仿宋" w:hAnsi="仿宋" w:eastAsia="仿宋" w:cs="仿宋"/>
          <w:b/>
          <w:highlight w:val="none"/>
        </w:rPr>
        <w:t>29.验收</w:t>
      </w:r>
    </w:p>
    <w:p w14:paraId="3A96793F">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D6078CC">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29.2采购人可以邀请参加本项目的其他</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或者第三方机构参与验收。参与验收的</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或者第三方机构的意见作为验收书的参考资料一并存档。</w:t>
      </w:r>
    </w:p>
    <w:p w14:paraId="298607B7">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5F75F7">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sz w:val="18"/>
          <w:szCs w:val="18"/>
          <w:highlight w:val="none"/>
        </w:rPr>
      </w:pPr>
      <w:r>
        <w:rPr>
          <w:rFonts w:hint="eastAsia" w:ascii="仿宋" w:hAnsi="仿宋" w:eastAsia="仿宋" w:cs="仿宋"/>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EB1C408">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highlight w:val="none"/>
        </w:rPr>
      </w:pPr>
      <w:bookmarkStart w:id="14" w:name="_Hlt75236290"/>
      <w:bookmarkEnd w:id="14"/>
      <w:bookmarkStart w:id="15" w:name="_Hlt68072990"/>
      <w:bookmarkEnd w:id="15"/>
      <w:bookmarkStart w:id="16" w:name="_Hlt68403820"/>
      <w:bookmarkEnd w:id="16"/>
      <w:bookmarkStart w:id="17" w:name="_Hlt75236101"/>
      <w:bookmarkEnd w:id="17"/>
      <w:bookmarkStart w:id="18" w:name="_Hlt74729768"/>
      <w:bookmarkEnd w:id="18"/>
      <w:bookmarkStart w:id="19" w:name="_Hlt68073093"/>
      <w:bookmarkEnd w:id="19"/>
      <w:bookmarkStart w:id="20" w:name="_Hlt68072998"/>
      <w:bookmarkEnd w:id="20"/>
      <w:bookmarkStart w:id="21" w:name="_Hlt75236011"/>
      <w:bookmarkEnd w:id="21"/>
      <w:bookmarkStart w:id="22" w:name="_Hlt74707468"/>
      <w:bookmarkEnd w:id="22"/>
      <w:bookmarkStart w:id="23" w:name="_Hlt68057669"/>
      <w:bookmarkEnd w:id="23"/>
      <w:bookmarkStart w:id="24" w:name="_Hlt74730295"/>
      <w:bookmarkEnd w:id="24"/>
      <w:bookmarkStart w:id="25" w:name="_Hlt74714665"/>
      <w:bookmarkEnd w:id="25"/>
    </w:p>
    <w:p w14:paraId="73E0217A">
      <w:pPr>
        <w:snapToGrid w:val="0"/>
        <w:spacing w:line="360" w:lineRule="auto"/>
        <w:ind w:left="120" w:leftChars="57" w:firstLine="482" w:firstLineChars="150"/>
        <w:jc w:val="center"/>
        <w:rPr>
          <w:rFonts w:hint="eastAsia" w:ascii="仿宋" w:hAnsi="仿宋" w:eastAsia="仿宋" w:cs="仿宋"/>
          <w:b/>
          <w:sz w:val="32"/>
          <w:highlight w:val="none"/>
          <w:lang w:val="en-US" w:eastAsia="zh-CN"/>
        </w:rPr>
      </w:pPr>
      <w:r>
        <w:rPr>
          <w:rFonts w:hint="eastAsia" w:ascii="仿宋" w:hAnsi="仿宋" w:eastAsia="仿宋" w:cs="仿宋"/>
          <w:b/>
          <w:sz w:val="32"/>
          <w:highlight w:val="none"/>
          <w:lang w:val="en-US" w:eastAsia="zh-CN"/>
        </w:rPr>
        <w:t>十、监督和解释</w:t>
      </w:r>
    </w:p>
    <w:p w14:paraId="251D67BD">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en-US" w:eastAsia="zh-CN"/>
        </w:rPr>
        <w:t>7</w:t>
      </w:r>
      <w:r>
        <w:rPr>
          <w:rFonts w:hint="eastAsia" w:ascii="仿宋" w:hAnsi="仿宋" w:eastAsia="仿宋" w:cs="仿宋"/>
          <w:kern w:val="0"/>
          <w:sz w:val="24"/>
          <w:highlight w:val="none"/>
        </w:rPr>
        <w:t>.本次招标活动接受</w:t>
      </w:r>
      <w:r>
        <w:rPr>
          <w:rFonts w:hint="eastAsia" w:ascii="仿宋" w:hAnsi="仿宋" w:eastAsia="仿宋" w:cs="仿宋"/>
          <w:kern w:val="0"/>
          <w:sz w:val="24"/>
          <w:highlight w:val="none"/>
          <w:lang w:val="en-US" w:eastAsia="zh-CN"/>
        </w:rPr>
        <w:t>诸暨市财政局</w:t>
      </w:r>
      <w:r>
        <w:rPr>
          <w:rFonts w:hint="eastAsia" w:ascii="仿宋" w:hAnsi="仿宋" w:eastAsia="仿宋" w:cs="仿宋"/>
          <w:kern w:val="0"/>
          <w:sz w:val="24"/>
          <w:highlight w:val="none"/>
        </w:rPr>
        <w:t>的监督。</w:t>
      </w:r>
    </w:p>
    <w:p w14:paraId="61E68FD5">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highlight w:val="none"/>
          <w:lang w:eastAsia="zh-CN"/>
        </w:rPr>
        <w:sectPr>
          <w:pgSz w:w="11906" w:h="16838"/>
          <w:pgMar w:top="1247" w:right="1803" w:bottom="1247" w:left="1803" w:header="907" w:footer="992" w:gutter="0"/>
          <w:pgNumType w:fmt="decimal"/>
          <w:cols w:space="720" w:num="1"/>
          <w:titlePg/>
          <w:docGrid w:linePitch="312" w:charSpace="0"/>
        </w:sect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en-US" w:eastAsia="zh-CN"/>
        </w:rPr>
        <w:t>8</w:t>
      </w:r>
      <w:r>
        <w:rPr>
          <w:rFonts w:hint="eastAsia" w:ascii="仿宋" w:hAnsi="仿宋" w:eastAsia="仿宋" w:cs="仿宋"/>
          <w:kern w:val="0"/>
          <w:sz w:val="24"/>
          <w:highlight w:val="none"/>
        </w:rPr>
        <w:t>.本</w:t>
      </w:r>
      <w:r>
        <w:rPr>
          <w:rFonts w:hint="eastAsia" w:ascii="仿宋" w:hAnsi="仿宋" w:eastAsia="仿宋" w:cs="仿宋"/>
          <w:kern w:val="0"/>
          <w:sz w:val="24"/>
          <w:highlight w:val="none"/>
          <w:lang w:val="en-US" w:eastAsia="zh-CN"/>
        </w:rPr>
        <w:t>磋商</w:t>
      </w:r>
      <w:r>
        <w:rPr>
          <w:rFonts w:hint="eastAsia" w:ascii="仿宋" w:hAnsi="仿宋" w:eastAsia="仿宋" w:cs="仿宋"/>
          <w:kern w:val="0"/>
          <w:sz w:val="24"/>
          <w:highlight w:val="none"/>
        </w:rPr>
        <w:t>文件的解释权属于采购单位和</w:t>
      </w:r>
      <w:r>
        <w:rPr>
          <w:rFonts w:hint="eastAsia" w:ascii="仿宋" w:hAnsi="仿宋" w:eastAsia="仿宋" w:cs="仿宋"/>
          <w:sz w:val="24"/>
          <w:highlight w:val="none"/>
          <w:lang w:val="en-US" w:eastAsia="zh-CN"/>
        </w:rPr>
        <w:t>绍兴盈伽工程咨询有限公司</w:t>
      </w:r>
      <w:r>
        <w:rPr>
          <w:rFonts w:hint="eastAsia" w:ascii="仿宋" w:hAnsi="仿宋" w:eastAsia="仿宋" w:cs="仿宋"/>
          <w:kern w:val="0"/>
          <w:sz w:val="24"/>
          <w:highlight w:val="none"/>
          <w:lang w:eastAsia="zh-CN"/>
        </w:rPr>
        <w:t>。</w:t>
      </w:r>
    </w:p>
    <w:p w14:paraId="74027197">
      <w:pPr>
        <w:keepNext w:val="0"/>
        <w:keepLines w:val="0"/>
        <w:pageBreakBefore w:val="0"/>
        <w:widowControl w:val="0"/>
        <w:kinsoku/>
        <w:wordWrap/>
        <w:overflowPunct/>
        <w:topLinePunct w:val="0"/>
        <w:autoSpaceDE/>
        <w:autoSpaceDN/>
        <w:bidi w:val="0"/>
        <w:adjustRightInd w:val="0"/>
        <w:snapToGrid/>
        <w:spacing w:after="240" w:line="420" w:lineRule="exact"/>
        <w:ind w:left="0" w:firstLine="723" w:firstLineChars="200"/>
        <w:jc w:val="center"/>
        <w:textAlignment w:val="auto"/>
        <w:rPr>
          <w:rFonts w:hint="eastAsia" w:ascii="仿宋" w:hAnsi="仿宋" w:eastAsia="仿宋" w:cs="仿宋"/>
          <w:b/>
          <w:color w:val="auto"/>
          <w:kern w:val="44"/>
          <w:sz w:val="36"/>
          <w:szCs w:val="36"/>
          <w:highlight w:val="none"/>
          <w:lang w:val="en-US" w:eastAsia="zh-CN" w:bidi="ar-SA"/>
        </w:rPr>
      </w:pPr>
      <w:r>
        <w:rPr>
          <w:rFonts w:hint="eastAsia" w:ascii="仿宋" w:hAnsi="仿宋" w:eastAsia="仿宋" w:cs="仿宋"/>
          <w:b/>
          <w:color w:val="auto"/>
          <w:kern w:val="44"/>
          <w:sz w:val="36"/>
          <w:szCs w:val="36"/>
          <w:highlight w:val="none"/>
          <w:lang w:val="en-US" w:eastAsia="zh-CN" w:bidi="ar-SA"/>
        </w:rPr>
        <w:t>第三部分 采购需求</w:t>
      </w:r>
    </w:p>
    <w:p w14:paraId="3F318A51">
      <w:pPr>
        <w:pStyle w:val="408"/>
        <w:keepNext w:val="0"/>
        <w:keepLines w:val="0"/>
        <w:pageBreakBefore w:val="0"/>
        <w:widowControl w:val="0"/>
        <w:numPr>
          <w:ilvl w:val="0"/>
          <w:numId w:val="0"/>
        </w:numPr>
        <w:kinsoku/>
        <w:wordWrap/>
        <w:overflowPunct/>
        <w:topLinePunct w:val="0"/>
        <w:autoSpaceDE/>
        <w:autoSpaceDN/>
        <w:bidi w:val="0"/>
        <w:adjustRightInd/>
        <w:snapToGrid/>
        <w:spacing w:afterLines="0" w:line="420" w:lineRule="exact"/>
        <w:ind w:right="0" w:rightChars="0" w:firstLine="482" w:firstLineChars="200"/>
        <w:jc w:val="left"/>
        <w:textAlignment w:val="auto"/>
        <w:outlineLvl w:val="9"/>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（一）项目概况：</w:t>
      </w:r>
    </w:p>
    <w:p w14:paraId="189207C2">
      <w:pPr>
        <w:pStyle w:val="408"/>
        <w:keepNext w:val="0"/>
        <w:keepLines w:val="0"/>
        <w:pageBreakBefore w:val="0"/>
        <w:widowControl w:val="0"/>
        <w:kinsoku/>
        <w:wordWrap/>
        <w:overflowPunct/>
        <w:topLinePunct w:val="0"/>
        <w:autoSpaceDE/>
        <w:autoSpaceDN/>
        <w:bidi w:val="0"/>
        <w:adjustRightInd/>
        <w:snapToGrid/>
        <w:spacing w:after="159" w:afterLines="51" w:afterAutospacing="0" w:line="420" w:lineRule="exact"/>
        <w:ind w:left="0" w:leftChars="0" w:right="0" w:rightChars="0" w:firstLine="480" w:firstLineChars="200"/>
        <w:jc w:val="both"/>
        <w:textAlignment w:val="auto"/>
        <w:outlineLvl w:val="9"/>
        <w:rPr>
          <w:rFonts w:hint="eastAsia" w:ascii="仿宋" w:hAnsi="仿宋" w:eastAsia="仿宋" w:cs="仿宋"/>
          <w:b w:val="0"/>
          <w:bCs w:val="0"/>
          <w:color w:val="auto"/>
          <w:kern w:val="2"/>
          <w:sz w:val="24"/>
          <w:szCs w:val="24"/>
          <w:highlight w:val="none"/>
          <w:lang w:eastAsia="zh-CN"/>
        </w:rPr>
      </w:pPr>
      <w:r>
        <w:rPr>
          <w:rFonts w:hint="eastAsia" w:ascii="仿宋" w:hAnsi="仿宋" w:eastAsia="仿宋" w:cs="仿宋"/>
          <w:b w:val="0"/>
          <w:bCs w:val="0"/>
          <w:color w:val="auto"/>
          <w:kern w:val="2"/>
          <w:sz w:val="24"/>
          <w:szCs w:val="24"/>
          <w:highlight w:val="none"/>
          <w:lang w:val="en-US" w:eastAsia="zh-CN"/>
        </w:rPr>
        <w:t>1、</w:t>
      </w:r>
      <w:r>
        <w:rPr>
          <w:rFonts w:hint="eastAsia" w:ascii="仿宋" w:hAnsi="仿宋" w:eastAsia="仿宋" w:cs="仿宋"/>
          <w:b w:val="0"/>
          <w:bCs w:val="0"/>
          <w:color w:val="auto"/>
          <w:kern w:val="2"/>
          <w:sz w:val="24"/>
          <w:szCs w:val="24"/>
          <w:highlight w:val="none"/>
          <w:lang w:eastAsia="zh-CN"/>
        </w:rPr>
        <w:t>诸暨市东和乡2025年度水利设计服务采购项目，采购预算金额为人民币</w:t>
      </w:r>
      <w:r>
        <w:rPr>
          <w:rFonts w:hint="eastAsia" w:ascii="仿宋" w:hAnsi="仿宋" w:eastAsia="仿宋" w:cs="仿宋"/>
          <w:b w:val="0"/>
          <w:bCs w:val="0"/>
          <w:color w:val="auto"/>
          <w:kern w:val="2"/>
          <w:sz w:val="24"/>
          <w:szCs w:val="24"/>
          <w:highlight w:val="none"/>
          <w:lang w:val="en-US" w:eastAsia="zh-CN"/>
        </w:rPr>
        <w:t>陆拾</w:t>
      </w:r>
      <w:r>
        <w:rPr>
          <w:rFonts w:hint="eastAsia" w:ascii="仿宋" w:hAnsi="仿宋" w:eastAsia="仿宋" w:cs="仿宋"/>
          <w:b w:val="0"/>
          <w:bCs w:val="0"/>
          <w:color w:val="auto"/>
          <w:kern w:val="2"/>
          <w:sz w:val="24"/>
          <w:szCs w:val="24"/>
          <w:highlight w:val="none"/>
          <w:lang w:eastAsia="zh-CN"/>
        </w:rPr>
        <w:t>万元整（¥</w:t>
      </w:r>
      <w:r>
        <w:rPr>
          <w:rFonts w:hint="eastAsia" w:ascii="仿宋" w:hAnsi="仿宋" w:eastAsia="仿宋" w:cs="仿宋"/>
          <w:b w:val="0"/>
          <w:bCs w:val="0"/>
          <w:color w:val="auto"/>
          <w:kern w:val="2"/>
          <w:sz w:val="24"/>
          <w:szCs w:val="24"/>
          <w:highlight w:val="none"/>
          <w:lang w:val="en-US" w:eastAsia="zh-CN"/>
        </w:rPr>
        <w:t>6</w:t>
      </w:r>
      <w:r>
        <w:rPr>
          <w:rFonts w:hint="eastAsia" w:ascii="仿宋" w:hAnsi="仿宋" w:eastAsia="仿宋" w:cs="仿宋"/>
          <w:b w:val="0"/>
          <w:bCs w:val="0"/>
          <w:color w:val="auto"/>
          <w:kern w:val="2"/>
          <w:sz w:val="24"/>
          <w:szCs w:val="24"/>
          <w:highlight w:val="none"/>
          <w:lang w:eastAsia="zh-CN"/>
        </w:rPr>
        <w:t>00000.00），本项目分2个标项，每个标项内容和预算金额见下表，按折扣招标，</w:t>
      </w:r>
      <w:r>
        <w:rPr>
          <w:rFonts w:hint="eastAsia" w:ascii="仿宋" w:hAnsi="仿宋" w:eastAsia="仿宋" w:cs="仿宋"/>
          <w:b w:val="0"/>
          <w:bCs w:val="0"/>
          <w:color w:val="auto"/>
          <w:kern w:val="2"/>
          <w:sz w:val="24"/>
          <w:szCs w:val="24"/>
          <w:highlight w:val="none"/>
          <w:lang w:val="en-US" w:eastAsia="zh-CN"/>
        </w:rPr>
        <w:t>工程量</w:t>
      </w:r>
      <w:r>
        <w:rPr>
          <w:rFonts w:hint="eastAsia" w:ascii="仿宋" w:hAnsi="仿宋" w:eastAsia="仿宋" w:cs="仿宋"/>
          <w:b w:val="0"/>
          <w:bCs w:val="0"/>
          <w:color w:val="auto"/>
          <w:kern w:val="2"/>
          <w:sz w:val="24"/>
          <w:szCs w:val="24"/>
          <w:highlight w:val="none"/>
          <w:lang w:eastAsia="zh-CN"/>
        </w:rPr>
        <w:t>按实结算，年度服务期限内，中标单位设计费累计结算金额不超过本项目各标项采购预算金额。</w:t>
      </w:r>
    </w:p>
    <w:tbl>
      <w:tblPr>
        <w:tblStyle w:val="66"/>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4916"/>
        <w:gridCol w:w="1688"/>
      </w:tblGrid>
      <w:tr w14:paraId="707B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89" w:type="dxa"/>
            <w:noWrap w:val="0"/>
            <w:vAlign w:val="center"/>
          </w:tcPr>
          <w:p w14:paraId="1E8568D7">
            <w:pPr>
              <w:snapToGrid w:val="0"/>
              <w:spacing w:beforeAutospacing="0"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标项</w:t>
            </w:r>
          </w:p>
        </w:tc>
        <w:tc>
          <w:tcPr>
            <w:tcW w:w="4916" w:type="dxa"/>
            <w:noWrap w:val="0"/>
            <w:vAlign w:val="center"/>
          </w:tcPr>
          <w:p w14:paraId="5F466CA5">
            <w:pPr>
              <w:snapToGrid w:val="0"/>
              <w:spacing w:line="312" w:lineRule="auto"/>
              <w:ind w:firstLine="480" w:firstLineChars="200"/>
              <w:jc w:val="center"/>
              <w:rPr>
                <w:rFonts w:hint="eastAsia" w:ascii="仿宋" w:hAnsi="仿宋" w:eastAsia="仿宋" w:cs="仿宋"/>
                <w:bCs/>
                <w:sz w:val="24"/>
                <w:highlight w:val="none"/>
              </w:rPr>
            </w:pPr>
            <w:r>
              <w:rPr>
                <w:rFonts w:hint="eastAsia" w:ascii="仿宋" w:hAnsi="仿宋" w:eastAsia="仿宋" w:cs="仿宋"/>
                <w:bCs/>
                <w:sz w:val="24"/>
                <w:highlight w:val="none"/>
              </w:rPr>
              <w:t>标项内容</w:t>
            </w:r>
          </w:p>
        </w:tc>
        <w:tc>
          <w:tcPr>
            <w:tcW w:w="1688" w:type="dxa"/>
            <w:noWrap w:val="0"/>
            <w:vAlign w:val="center"/>
          </w:tcPr>
          <w:p w14:paraId="3EE4182B">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预算金额</w:t>
            </w:r>
          </w:p>
        </w:tc>
      </w:tr>
      <w:tr w14:paraId="06C8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9" w:type="dxa"/>
            <w:noWrap w:val="0"/>
            <w:vAlign w:val="center"/>
          </w:tcPr>
          <w:p w14:paraId="4F97F05E">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标项1</w:t>
            </w:r>
          </w:p>
        </w:tc>
        <w:tc>
          <w:tcPr>
            <w:tcW w:w="4916" w:type="dxa"/>
            <w:noWrap w:val="0"/>
            <w:vAlign w:val="center"/>
          </w:tcPr>
          <w:p w14:paraId="202C64AE">
            <w:pPr>
              <w:snapToGrid w:val="0"/>
              <w:spacing w:line="312"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实施区域1</w:t>
            </w:r>
          </w:p>
        </w:tc>
        <w:tc>
          <w:tcPr>
            <w:tcW w:w="1688" w:type="dxa"/>
            <w:noWrap w:val="0"/>
            <w:vAlign w:val="center"/>
          </w:tcPr>
          <w:p w14:paraId="60554DD7">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3</w:t>
            </w:r>
            <w:r>
              <w:rPr>
                <w:rFonts w:hint="eastAsia" w:ascii="仿宋" w:hAnsi="仿宋" w:eastAsia="仿宋" w:cs="仿宋"/>
                <w:bCs/>
                <w:sz w:val="24"/>
                <w:highlight w:val="none"/>
              </w:rPr>
              <w:t>0万元</w:t>
            </w:r>
          </w:p>
        </w:tc>
      </w:tr>
      <w:tr w14:paraId="776D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9" w:type="dxa"/>
            <w:noWrap w:val="0"/>
            <w:vAlign w:val="center"/>
          </w:tcPr>
          <w:p w14:paraId="4344FD9A">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rPr>
              <w:t>标项2</w:t>
            </w:r>
          </w:p>
        </w:tc>
        <w:tc>
          <w:tcPr>
            <w:tcW w:w="4916" w:type="dxa"/>
            <w:noWrap w:val="0"/>
            <w:vAlign w:val="center"/>
          </w:tcPr>
          <w:p w14:paraId="3BF48ACF">
            <w:pPr>
              <w:snapToGrid w:val="0"/>
              <w:spacing w:line="312" w:lineRule="auto"/>
              <w:jc w:val="center"/>
              <w:rPr>
                <w:rFonts w:hint="default" w:ascii="仿宋" w:hAnsi="仿宋" w:eastAsia="仿宋" w:cs="仿宋"/>
                <w:sz w:val="24"/>
                <w:highlight w:val="none"/>
                <w:lang w:val="en-US"/>
              </w:rPr>
            </w:pPr>
            <w:r>
              <w:rPr>
                <w:rFonts w:hint="eastAsia" w:ascii="仿宋" w:hAnsi="仿宋" w:eastAsia="仿宋" w:cs="仿宋"/>
                <w:sz w:val="24"/>
                <w:highlight w:val="none"/>
                <w:lang w:val="en-US" w:eastAsia="zh-CN"/>
              </w:rPr>
              <w:t>实施区域2</w:t>
            </w:r>
          </w:p>
        </w:tc>
        <w:tc>
          <w:tcPr>
            <w:tcW w:w="1688" w:type="dxa"/>
            <w:noWrap w:val="0"/>
            <w:vAlign w:val="center"/>
          </w:tcPr>
          <w:p w14:paraId="19F03AD9">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3</w:t>
            </w:r>
            <w:r>
              <w:rPr>
                <w:rFonts w:hint="eastAsia" w:ascii="仿宋" w:hAnsi="仿宋" w:eastAsia="仿宋" w:cs="仿宋"/>
                <w:bCs/>
                <w:sz w:val="24"/>
                <w:highlight w:val="none"/>
              </w:rPr>
              <w:t>0万元</w:t>
            </w:r>
          </w:p>
        </w:tc>
      </w:tr>
      <w:tr w14:paraId="468C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05" w:type="dxa"/>
            <w:gridSpan w:val="2"/>
            <w:noWrap w:val="0"/>
            <w:vAlign w:val="center"/>
          </w:tcPr>
          <w:p w14:paraId="2B54AE76">
            <w:pPr>
              <w:snapToGrid w:val="0"/>
              <w:spacing w:line="312" w:lineRule="auto"/>
              <w:jc w:val="center"/>
              <w:rPr>
                <w:rFonts w:hint="eastAsia" w:ascii="仿宋" w:hAnsi="仿宋" w:eastAsia="仿宋" w:cs="仿宋"/>
                <w:sz w:val="24"/>
                <w:highlight w:val="none"/>
              </w:rPr>
            </w:pPr>
            <w:r>
              <w:rPr>
                <w:rFonts w:hint="eastAsia" w:ascii="仿宋" w:hAnsi="仿宋" w:eastAsia="仿宋" w:cs="仿宋"/>
                <w:bCs/>
                <w:sz w:val="24"/>
                <w:highlight w:val="none"/>
              </w:rPr>
              <w:t>合计</w:t>
            </w:r>
          </w:p>
        </w:tc>
        <w:tc>
          <w:tcPr>
            <w:tcW w:w="1688" w:type="dxa"/>
            <w:noWrap w:val="0"/>
            <w:vAlign w:val="center"/>
          </w:tcPr>
          <w:p w14:paraId="26C53A10">
            <w:pPr>
              <w:snapToGrid w:val="0"/>
              <w:spacing w:line="312" w:lineRule="auto"/>
              <w:jc w:val="center"/>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6</w:t>
            </w:r>
            <w:r>
              <w:rPr>
                <w:rFonts w:hint="eastAsia" w:ascii="仿宋" w:hAnsi="仿宋" w:eastAsia="仿宋" w:cs="仿宋"/>
                <w:bCs/>
                <w:sz w:val="24"/>
                <w:highlight w:val="none"/>
              </w:rPr>
              <w:t>0万元</w:t>
            </w:r>
          </w:p>
        </w:tc>
      </w:tr>
    </w:tbl>
    <w:p w14:paraId="07BF36F9">
      <w:pPr>
        <w:keepNext w:val="0"/>
        <w:keepLines w:val="0"/>
        <w:pageBreakBefore w:val="0"/>
        <w:widowControl w:val="0"/>
        <w:kinsoku/>
        <w:wordWrap/>
        <w:overflowPunct/>
        <w:topLinePunct w:val="0"/>
        <w:autoSpaceDE/>
        <w:autoSpaceDN/>
        <w:bidi w:val="0"/>
        <w:adjustRightInd w:val="0"/>
        <w:snapToGrid w:val="0"/>
        <w:spacing w:before="98" w:beforeLines="31" w:beforeAutospacing="0" w:line="312" w:lineRule="auto"/>
        <w:ind w:firstLine="482" w:firstLineChars="200"/>
        <w:textAlignment w:val="auto"/>
        <w:rPr>
          <w:rFonts w:hint="eastAsia" w:ascii="仿宋" w:hAnsi="仿宋" w:eastAsia="仿宋" w:cs="仿宋"/>
          <w:b/>
          <w:bCs/>
          <w:sz w:val="24"/>
          <w:highlight w:val="none"/>
        </w:rPr>
      </w:pPr>
      <w:r>
        <w:rPr>
          <w:rFonts w:hint="eastAsia" w:ascii="仿宋" w:hAnsi="仿宋" w:eastAsia="仿宋" w:cs="仿宋"/>
          <w:b/>
          <w:sz w:val="24"/>
          <w:highlight w:val="none"/>
        </w:rPr>
        <w:t>2</w:t>
      </w:r>
      <w:r>
        <w:rPr>
          <w:rFonts w:hint="eastAsia" w:ascii="仿宋" w:hAnsi="仿宋" w:eastAsia="仿宋" w:cs="仿宋"/>
          <w:bCs/>
          <w:sz w:val="24"/>
          <w:highlight w:val="none"/>
        </w:rPr>
        <w:t>.</w:t>
      </w:r>
      <w:r>
        <w:rPr>
          <w:rFonts w:hint="eastAsia" w:ascii="仿宋" w:hAnsi="仿宋" w:eastAsia="仿宋" w:cs="仿宋"/>
          <w:b/>
          <w:bCs/>
          <w:sz w:val="24"/>
          <w:highlight w:val="none"/>
        </w:rPr>
        <w:t>服务期限：</w:t>
      </w:r>
      <w:r>
        <w:rPr>
          <w:rFonts w:hint="eastAsia" w:ascii="仿宋" w:hAnsi="仿宋" w:eastAsia="仿宋" w:cs="仿宋"/>
          <w:bCs/>
          <w:sz w:val="24"/>
          <w:highlight w:val="none"/>
          <w:lang w:val="en-US" w:eastAsia="zh-CN"/>
        </w:rPr>
        <w:t>本项目的合同履约期限均为合同签订之日起至2025年12月31日止，或各标项实际结算费用达到预算金额（以先到为准）。如未及时招标，经与业主协商要求，可适当延期至下一阶段招标。</w:t>
      </w:r>
    </w:p>
    <w:p w14:paraId="425F69ED">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3.收费标准：</w:t>
      </w:r>
      <w:r>
        <w:rPr>
          <w:rFonts w:hint="eastAsia" w:ascii="仿宋" w:hAnsi="仿宋" w:eastAsia="仿宋" w:cs="仿宋"/>
          <w:bCs/>
          <w:sz w:val="24"/>
          <w:highlight w:val="none"/>
          <w:lang w:val="en-US" w:eastAsia="zh-CN"/>
        </w:rPr>
        <w:t>参照</w:t>
      </w:r>
      <w:r>
        <w:rPr>
          <w:rFonts w:hint="eastAsia" w:ascii="仿宋" w:hAnsi="仿宋" w:eastAsia="仿宋" w:cs="仿宋"/>
          <w:bCs/>
          <w:sz w:val="24"/>
          <w:highlight w:val="none"/>
        </w:rPr>
        <w:t>《工程勘察设计收费标准》（2002年修订本）</w:t>
      </w:r>
      <w:r>
        <w:rPr>
          <w:rFonts w:hint="eastAsia" w:ascii="仿宋" w:hAnsi="仿宋" w:eastAsia="仿宋" w:cs="仿宋"/>
          <w:bCs/>
          <w:sz w:val="24"/>
          <w:highlight w:val="none"/>
          <w:lang w:val="en-US" w:eastAsia="zh-CN"/>
        </w:rPr>
        <w:t>执行，本年度所有项目的工程设计收费标准的调整系数按专业调整系数为1，工程复杂程度系数为0.85，附加调整系数为1执行。</w:t>
      </w:r>
    </w:p>
    <w:p w14:paraId="4C0161D0">
      <w:pPr>
        <w:keepNext w:val="0"/>
        <w:keepLines w:val="0"/>
        <w:pageBreakBefore w:val="0"/>
        <w:widowControl w:val="0"/>
        <w:kinsoku/>
        <w:wordWrap/>
        <w:overflowPunct/>
        <w:topLinePunct w:val="0"/>
        <w:autoSpaceDE/>
        <w:autoSpaceDN/>
        <w:bidi w:val="0"/>
        <w:adjustRightInd w:val="0"/>
        <w:spacing w:line="312" w:lineRule="auto"/>
        <w:textAlignment w:val="auto"/>
        <w:rPr>
          <w:rFonts w:hint="default" w:ascii="仿宋" w:hAnsi="仿宋" w:eastAsia="仿宋" w:cs="仿宋"/>
          <w:b/>
          <w:sz w:val="24"/>
          <w:highlight w:val="none"/>
          <w:lang w:val="en-US" w:eastAsia="zh-CN"/>
        </w:rPr>
      </w:pPr>
      <w:r>
        <w:rPr>
          <w:rFonts w:hint="eastAsia" w:ascii="仿宋" w:hAnsi="仿宋" w:eastAsia="仿宋" w:cs="仿宋"/>
          <w:b/>
          <w:sz w:val="24"/>
          <w:highlight w:val="none"/>
        </w:rPr>
        <w:t>（二）</w:t>
      </w:r>
      <w:r>
        <w:rPr>
          <w:rFonts w:hint="eastAsia" w:ascii="仿宋" w:hAnsi="仿宋" w:eastAsia="仿宋" w:cs="仿宋"/>
          <w:b/>
          <w:sz w:val="24"/>
          <w:highlight w:val="none"/>
          <w:lang w:val="en-US" w:eastAsia="zh-CN"/>
        </w:rPr>
        <w:t>服务要求</w:t>
      </w:r>
    </w:p>
    <w:p w14:paraId="03FA28E4">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1、服务内容（包括但不限于）:方案设计及深化、初步设计、概算编制、施工图设计、报批审查配合、按审查和招标人意见对整个设计过程的修改、深化整合和优化设计；按文件要求提供纸质和电子图纸；设计补图和工程施工阶段的变更联系单；施工配合、验收配合等相关服务；根据工程实际需要提供现场服务等。</w:t>
      </w:r>
    </w:p>
    <w:p w14:paraId="39EAE738">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2、设计要求（包括但不限于）:</w:t>
      </w:r>
    </w:p>
    <w:p w14:paraId="0B49B4CF">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（1）中标人应按国家技术规范、标准、规程及采购人提出的设计要求，进行工程设计，按合同规定的进度要求提交质量合格的设计资料，并对其负责。</w:t>
      </w:r>
    </w:p>
    <w:p w14:paraId="0E341DD3">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（2）中标人采用的主要技术标准：按国家现行的设计规范和要求。</w:t>
      </w:r>
    </w:p>
    <w:p w14:paraId="53A92BFB">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（3）质量要求：中标人提供的设计文件应符合国家相关规范（或规定）的要求，并满足采购人的要求并满足相关规范规定。</w:t>
      </w:r>
    </w:p>
    <w:p w14:paraId="338B21A5">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（4）中标人应向采购人交付的设计资料及文件（包括但不限于）：纸质施工图文件（每个项目8套）、电子存档文件（每个项目以光盘或U盘形式递交一份，包含单个项目的全套电子成果资料）</w:t>
      </w:r>
    </w:p>
    <w:p w14:paraId="2EA538AE">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5）中标人交付设计资料及文件后，应按规定参加有关的设计审查，并根据审查结论负责对不超出原定设计范围的内容做必要调整和补充。中标人按合同规定时限交付设计资料及文件，并负责向采购人及施工单位进行设计交底、处理有关设计问题和参加竣工验收。</w:t>
      </w:r>
    </w:p>
    <w:p w14:paraId="609C1176">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6）中标人应保护采购人的知识产权，不得向第三人泄露、转让采购人提交的产品图纸等技术经济资料，并在提供服务过程中不得侵犯任何第三方知识产权。如发生以上情况并给采购人造成经济或名誉损失的，采购人有权向中标人索赔。</w:t>
      </w:r>
    </w:p>
    <w:p w14:paraId="4C69E42E">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（7）如需设计人员参加建设单位组织的（包括但不限于）施工图论证、施工图完善优化、施工图交底、技术答疑、监理例会等现场或线上会议的，设计人员均不得缺席，每缺席一次的将被扣除该项目1%的设计费。</w:t>
      </w:r>
    </w:p>
    <w:p w14:paraId="2FB14BED">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（8）本工程设计资料及文件中的建筑材料、建筑构配件和设备，中标人应当注明其规格、型号、性能等技术指标，但不得指定生产厂商或供应商。</w:t>
      </w:r>
    </w:p>
    <w:p w14:paraId="07E66E2A">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（9）施工图设计的设计深度除取得地方有关建设管理部门的审核批准外，还必须满足工程施工及工程发包的需要。</w:t>
      </w:r>
    </w:p>
    <w:p w14:paraId="63BB2814">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（10）施工图必须由中标人组织设计，中标人不得擅自将部分或全部服务内容分包给其他人。</w:t>
      </w:r>
    </w:p>
    <w:p w14:paraId="7F33842D">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（11）投标人中标后在服务期内设计团队人员不得随意变动，如遇特殊情况确需变更，则须经采购人同意后方可变更，否则采购人有权取消其中标资格并追究相关责任。</w:t>
      </w:r>
    </w:p>
    <w:p w14:paraId="6A663CFA">
      <w:pPr>
        <w:keepNext w:val="0"/>
        <w:keepLines w:val="0"/>
        <w:pageBreakBefore w:val="0"/>
        <w:widowControl w:val="0"/>
        <w:kinsoku/>
        <w:wordWrap/>
        <w:overflowPunct/>
        <w:topLinePunct w:val="0"/>
        <w:autoSpaceDE w:val="0"/>
        <w:autoSpaceDN w:val="0"/>
        <w:bidi w:val="0"/>
        <w:adjustRightInd w:val="0"/>
        <w:snapToGrid w:val="0"/>
        <w:spacing w:line="42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w:t>
      </w:r>
      <w:r>
        <w:rPr>
          <w:rFonts w:hint="eastAsia" w:ascii="仿宋" w:hAnsi="仿宋" w:eastAsia="仿宋" w:cs="仿宋"/>
          <w:b/>
          <w:color w:val="auto"/>
          <w:sz w:val="24"/>
          <w:highlight w:val="none"/>
          <w:lang w:val="en-US" w:eastAsia="zh-CN"/>
        </w:rPr>
        <w:t>项目</w:t>
      </w:r>
      <w:r>
        <w:rPr>
          <w:rFonts w:hint="eastAsia" w:ascii="仿宋" w:hAnsi="仿宋" w:eastAsia="仿宋" w:cs="仿宋"/>
          <w:b/>
          <w:color w:val="auto"/>
          <w:sz w:val="24"/>
          <w:highlight w:val="none"/>
        </w:rPr>
        <w:t>主要技术标准</w:t>
      </w:r>
    </w:p>
    <w:p w14:paraId="3D15E05E">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设计过程和成果必须符合国家有关标准强制性条文现行的标准、规范、规程、定额、办法、示例，以及招标项目所在地设计方面的文件、规定。</w:t>
      </w:r>
    </w:p>
    <w:p w14:paraId="060262E7">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设计人</w:t>
      </w:r>
      <w:r>
        <w:rPr>
          <w:rFonts w:hint="eastAsia" w:ascii="仿宋" w:hAnsi="仿宋" w:eastAsia="仿宋" w:cs="仿宋"/>
          <w:bCs/>
          <w:color w:val="auto"/>
          <w:sz w:val="24"/>
          <w:highlight w:val="none"/>
        </w:rPr>
        <w:t>在</w:t>
      </w:r>
      <w:r>
        <w:rPr>
          <w:rFonts w:hint="eastAsia" w:ascii="仿宋" w:hAnsi="仿宋" w:eastAsia="仿宋" w:cs="仿宋"/>
          <w:bCs/>
          <w:color w:val="auto"/>
          <w:sz w:val="24"/>
          <w:highlight w:val="none"/>
          <w:lang w:val="en-US" w:eastAsia="zh-CN"/>
        </w:rPr>
        <w:t>设计</w:t>
      </w:r>
      <w:r>
        <w:rPr>
          <w:rFonts w:hint="eastAsia" w:ascii="仿宋" w:hAnsi="仿宋" w:eastAsia="仿宋" w:cs="仿宋"/>
          <w:bCs/>
          <w:color w:val="auto"/>
          <w:sz w:val="24"/>
          <w:highlight w:val="none"/>
        </w:rPr>
        <w:t>工作中使用或参考上述标准、规范以外的技术标准、规范时，应征得采购人或采购人的指定代表人的同意。</w:t>
      </w:r>
    </w:p>
    <w:p w14:paraId="02A075C5">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在合同履行过程中，如果国家或有关部门颁布了新的技术标准或规范，则应采用新的标准或规范进行设计。</w:t>
      </w:r>
    </w:p>
    <w:p w14:paraId="574DAC7E">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设计人在设计工作中必须使用中华人民共和国《工程建设标准强制性条文》和下述标准、规范（</w:t>
      </w:r>
      <w:r>
        <w:rPr>
          <w:rFonts w:hint="eastAsia" w:ascii="仿宋" w:hAnsi="仿宋" w:eastAsia="仿宋" w:cs="仿宋"/>
          <w:b w:val="0"/>
          <w:bCs/>
          <w:color w:val="auto"/>
          <w:sz w:val="24"/>
          <w:highlight w:val="none"/>
          <w:lang w:val="en-US" w:eastAsia="zh-CN"/>
        </w:rPr>
        <w:t>包括但</w:t>
      </w:r>
      <w:r>
        <w:rPr>
          <w:rFonts w:hint="eastAsia" w:ascii="仿宋" w:hAnsi="仿宋" w:eastAsia="仿宋" w:cs="仿宋"/>
          <w:b w:val="0"/>
          <w:bCs/>
          <w:color w:val="auto"/>
          <w:sz w:val="24"/>
          <w:highlight w:val="none"/>
        </w:rPr>
        <w:t>不限于）：</w:t>
      </w:r>
    </w:p>
    <w:p w14:paraId="71862D66">
      <w:pPr>
        <w:keepNext w:val="0"/>
        <w:keepLines w:val="0"/>
        <w:pageBreakBefore w:val="0"/>
        <w:widowControl w:val="0"/>
        <w:numPr>
          <w:ilvl w:val="0"/>
          <w:numId w:val="6"/>
        </w:numPr>
        <w:kinsoku/>
        <w:wordWrap/>
        <w:overflowPunct/>
        <w:topLinePunct w:val="0"/>
        <w:autoSpaceDE w:val="0"/>
        <w:autoSpaceDN w:val="0"/>
        <w:bidi w:val="0"/>
        <w:adjustRightInd w:val="0"/>
        <w:snapToGrid w:val="0"/>
        <w:spacing w:line="420" w:lineRule="atLeast"/>
        <w:ind w:left="0" w:leftChars="0"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《工程建设标准强制性条文-水利工程部分》（2020版）；</w:t>
      </w:r>
    </w:p>
    <w:p w14:paraId="5E41069C">
      <w:pPr>
        <w:keepNext w:val="0"/>
        <w:keepLines w:val="0"/>
        <w:pageBreakBefore w:val="0"/>
        <w:widowControl w:val="0"/>
        <w:numPr>
          <w:ilvl w:val="0"/>
          <w:numId w:val="6"/>
        </w:numPr>
        <w:kinsoku/>
        <w:wordWrap/>
        <w:overflowPunct/>
        <w:topLinePunct w:val="0"/>
        <w:autoSpaceDE w:val="0"/>
        <w:autoSpaceDN w:val="0"/>
        <w:bidi w:val="0"/>
        <w:adjustRightInd w:val="0"/>
        <w:snapToGrid w:val="0"/>
        <w:spacing w:line="420" w:lineRule="atLeast"/>
        <w:ind w:left="0" w:leftChars="0"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《防洪标准》（GB50201-2014）； </w:t>
      </w:r>
    </w:p>
    <w:p w14:paraId="3EF16DD1">
      <w:pPr>
        <w:keepNext w:val="0"/>
        <w:keepLines w:val="0"/>
        <w:pageBreakBefore w:val="0"/>
        <w:widowControl w:val="0"/>
        <w:numPr>
          <w:ilvl w:val="0"/>
          <w:numId w:val="6"/>
        </w:numPr>
        <w:kinsoku/>
        <w:wordWrap/>
        <w:overflowPunct/>
        <w:topLinePunct w:val="0"/>
        <w:autoSpaceDE w:val="0"/>
        <w:autoSpaceDN w:val="0"/>
        <w:bidi w:val="0"/>
        <w:adjustRightInd w:val="0"/>
        <w:snapToGrid w:val="0"/>
        <w:spacing w:line="420" w:lineRule="atLeast"/>
        <w:ind w:left="0" w:leftChars="0"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《水利水电工程等级划分及洪水标准》（SL252-2017）；</w:t>
      </w:r>
    </w:p>
    <w:p w14:paraId="23E0AA4A">
      <w:pPr>
        <w:keepNext w:val="0"/>
        <w:keepLines w:val="0"/>
        <w:pageBreakBefore w:val="0"/>
        <w:widowControl w:val="0"/>
        <w:numPr>
          <w:ilvl w:val="0"/>
          <w:numId w:val="6"/>
        </w:numPr>
        <w:kinsoku/>
        <w:wordWrap/>
        <w:overflowPunct/>
        <w:topLinePunct w:val="0"/>
        <w:autoSpaceDE w:val="0"/>
        <w:autoSpaceDN w:val="0"/>
        <w:bidi w:val="0"/>
        <w:adjustRightInd w:val="0"/>
        <w:snapToGrid w:val="0"/>
        <w:spacing w:line="420" w:lineRule="atLeast"/>
        <w:ind w:left="0" w:leftChars="0"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《水利水电工程设计洪水计算规范》（SL44-2006）； </w:t>
      </w:r>
    </w:p>
    <w:p w14:paraId="37B4220E">
      <w:pPr>
        <w:keepNext w:val="0"/>
        <w:keepLines w:val="0"/>
        <w:pageBreakBefore w:val="0"/>
        <w:widowControl w:val="0"/>
        <w:numPr>
          <w:ilvl w:val="0"/>
          <w:numId w:val="6"/>
        </w:numPr>
        <w:kinsoku/>
        <w:wordWrap/>
        <w:overflowPunct/>
        <w:topLinePunct w:val="0"/>
        <w:autoSpaceDE w:val="0"/>
        <w:autoSpaceDN w:val="0"/>
        <w:bidi w:val="0"/>
        <w:adjustRightInd w:val="0"/>
        <w:snapToGrid w:val="0"/>
        <w:spacing w:line="420" w:lineRule="atLeast"/>
        <w:ind w:left="0" w:leftChars="0"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《堤防工程设计规范》（GB50286-2013）； </w:t>
      </w:r>
    </w:p>
    <w:p w14:paraId="77C03645">
      <w:pPr>
        <w:keepNext w:val="0"/>
        <w:keepLines w:val="0"/>
        <w:pageBreakBefore w:val="0"/>
        <w:widowControl w:val="0"/>
        <w:numPr>
          <w:ilvl w:val="0"/>
          <w:numId w:val="6"/>
        </w:numPr>
        <w:kinsoku/>
        <w:wordWrap/>
        <w:overflowPunct/>
        <w:topLinePunct w:val="0"/>
        <w:autoSpaceDE w:val="0"/>
        <w:autoSpaceDN w:val="0"/>
        <w:bidi w:val="0"/>
        <w:adjustRightInd w:val="0"/>
        <w:snapToGrid w:val="0"/>
        <w:spacing w:line="420" w:lineRule="atLeast"/>
        <w:ind w:left="0" w:leftChars="0"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《水闸设计规范》（SL265-2016） ；</w:t>
      </w:r>
    </w:p>
    <w:p w14:paraId="5ECBB45A">
      <w:pPr>
        <w:keepNext w:val="0"/>
        <w:keepLines w:val="0"/>
        <w:pageBreakBefore w:val="0"/>
        <w:widowControl w:val="0"/>
        <w:numPr>
          <w:ilvl w:val="0"/>
          <w:numId w:val="6"/>
        </w:numPr>
        <w:kinsoku/>
        <w:wordWrap/>
        <w:overflowPunct/>
        <w:topLinePunct w:val="0"/>
        <w:autoSpaceDE w:val="0"/>
        <w:autoSpaceDN w:val="0"/>
        <w:bidi w:val="0"/>
        <w:adjustRightInd w:val="0"/>
        <w:snapToGrid w:val="0"/>
        <w:spacing w:line="420" w:lineRule="atLeast"/>
        <w:ind w:left="0" w:leftChars="0"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《水工挡土墙设计规范》（SL379-2007）； </w:t>
      </w:r>
    </w:p>
    <w:p w14:paraId="48E7136D">
      <w:pPr>
        <w:keepNext w:val="0"/>
        <w:keepLines w:val="0"/>
        <w:pageBreakBefore w:val="0"/>
        <w:widowControl w:val="0"/>
        <w:numPr>
          <w:ilvl w:val="0"/>
          <w:numId w:val="6"/>
        </w:numPr>
        <w:kinsoku/>
        <w:wordWrap/>
        <w:overflowPunct/>
        <w:topLinePunct w:val="0"/>
        <w:autoSpaceDE w:val="0"/>
        <w:autoSpaceDN w:val="0"/>
        <w:bidi w:val="0"/>
        <w:adjustRightInd w:val="0"/>
        <w:snapToGrid w:val="0"/>
        <w:spacing w:line="420" w:lineRule="atLeast"/>
        <w:ind w:left="0" w:leftChars="0"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《河道整治设计规范》（GB50707-2011）； </w:t>
      </w:r>
    </w:p>
    <w:p w14:paraId="0369B478">
      <w:pPr>
        <w:keepNext w:val="0"/>
        <w:keepLines w:val="0"/>
        <w:pageBreakBefore w:val="0"/>
        <w:widowControl w:val="0"/>
        <w:numPr>
          <w:ilvl w:val="0"/>
          <w:numId w:val="6"/>
        </w:numPr>
        <w:kinsoku/>
        <w:wordWrap/>
        <w:overflowPunct/>
        <w:topLinePunct w:val="0"/>
        <w:autoSpaceDE w:val="0"/>
        <w:autoSpaceDN w:val="0"/>
        <w:bidi w:val="0"/>
        <w:adjustRightInd w:val="0"/>
        <w:snapToGrid w:val="0"/>
        <w:spacing w:line="420" w:lineRule="atLeast"/>
        <w:ind w:left="0" w:leftChars="0"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《水工混凝土结构设计规范》（SL191-2008）；</w:t>
      </w:r>
    </w:p>
    <w:p w14:paraId="1EC217ED">
      <w:pPr>
        <w:keepNext w:val="0"/>
        <w:keepLines w:val="0"/>
        <w:pageBreakBefore w:val="0"/>
        <w:widowControl w:val="0"/>
        <w:numPr>
          <w:ilvl w:val="0"/>
          <w:numId w:val="6"/>
        </w:numPr>
        <w:kinsoku/>
        <w:wordWrap/>
        <w:overflowPunct/>
        <w:topLinePunct w:val="0"/>
        <w:autoSpaceDE w:val="0"/>
        <w:autoSpaceDN w:val="0"/>
        <w:bidi w:val="0"/>
        <w:adjustRightInd w:val="0"/>
        <w:snapToGrid w:val="0"/>
        <w:spacing w:line="420" w:lineRule="atLeast"/>
        <w:ind w:left="0" w:leftChars="0"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《浙江省河道建设标准》（DB33/T614-2016）；</w:t>
      </w:r>
    </w:p>
    <w:p w14:paraId="1F43FBA6">
      <w:pPr>
        <w:keepNext w:val="0"/>
        <w:keepLines w:val="0"/>
        <w:pageBreakBefore w:val="0"/>
        <w:widowControl w:val="0"/>
        <w:numPr>
          <w:ilvl w:val="0"/>
          <w:numId w:val="6"/>
        </w:numPr>
        <w:kinsoku/>
        <w:wordWrap/>
        <w:overflowPunct/>
        <w:topLinePunct w:val="0"/>
        <w:autoSpaceDE w:val="0"/>
        <w:autoSpaceDN w:val="0"/>
        <w:bidi w:val="0"/>
        <w:adjustRightInd w:val="0"/>
        <w:snapToGrid w:val="0"/>
        <w:spacing w:line="420" w:lineRule="atLeast"/>
        <w:ind w:left="0" w:leftChars="0"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《城市防洪工程设计规范》（GB/T50805-2012）；</w:t>
      </w:r>
    </w:p>
    <w:p w14:paraId="3FE2387A">
      <w:pPr>
        <w:keepNext w:val="0"/>
        <w:keepLines w:val="0"/>
        <w:pageBreakBefore w:val="0"/>
        <w:widowControl w:val="0"/>
        <w:numPr>
          <w:ilvl w:val="0"/>
          <w:numId w:val="6"/>
        </w:numPr>
        <w:kinsoku/>
        <w:wordWrap/>
        <w:overflowPunct/>
        <w:topLinePunct w:val="0"/>
        <w:autoSpaceDE w:val="0"/>
        <w:autoSpaceDN w:val="0"/>
        <w:bidi w:val="0"/>
        <w:adjustRightInd w:val="0"/>
        <w:snapToGrid w:val="0"/>
        <w:spacing w:line="420" w:lineRule="atLeast"/>
        <w:ind w:left="0" w:leftChars="0"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《水利水电工程施工组织设计规范》（SL303-2017）； </w:t>
      </w:r>
    </w:p>
    <w:p w14:paraId="0C1BCF83">
      <w:pPr>
        <w:keepNext w:val="0"/>
        <w:keepLines w:val="0"/>
        <w:pageBreakBefore w:val="0"/>
        <w:widowControl w:val="0"/>
        <w:numPr>
          <w:ilvl w:val="0"/>
          <w:numId w:val="6"/>
        </w:numPr>
        <w:kinsoku/>
        <w:wordWrap/>
        <w:overflowPunct/>
        <w:topLinePunct w:val="0"/>
        <w:autoSpaceDE w:val="0"/>
        <w:autoSpaceDN w:val="0"/>
        <w:bidi w:val="0"/>
        <w:adjustRightInd w:val="0"/>
        <w:snapToGrid w:val="0"/>
        <w:spacing w:line="420" w:lineRule="atLeast"/>
        <w:ind w:left="0" w:leftChars="0"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《水利水电工程施工通用安全技术规范》（SL398-2007）；</w:t>
      </w:r>
    </w:p>
    <w:p w14:paraId="2D048D9A">
      <w:pPr>
        <w:keepNext w:val="0"/>
        <w:keepLines w:val="0"/>
        <w:pageBreakBefore w:val="0"/>
        <w:widowControl w:val="0"/>
        <w:numPr>
          <w:ilvl w:val="0"/>
          <w:numId w:val="6"/>
        </w:numPr>
        <w:kinsoku/>
        <w:wordWrap/>
        <w:overflowPunct/>
        <w:topLinePunct w:val="0"/>
        <w:autoSpaceDE w:val="0"/>
        <w:autoSpaceDN w:val="0"/>
        <w:bidi w:val="0"/>
        <w:adjustRightInd w:val="0"/>
        <w:snapToGrid w:val="0"/>
        <w:spacing w:afterAutospacing="0" w:line="420" w:lineRule="atLeast"/>
        <w:ind w:left="0" w:leftChars="0"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国家其它相关法律法规及现行技术规程规范。</w:t>
      </w:r>
    </w:p>
    <w:p w14:paraId="4A18D938">
      <w:pPr>
        <w:keepNext w:val="0"/>
        <w:keepLines w:val="0"/>
        <w:pageBreakBefore w:val="0"/>
        <w:widowControl w:val="0"/>
        <w:kinsoku/>
        <w:wordWrap/>
        <w:overflowPunct/>
        <w:topLinePunct w:val="0"/>
        <w:autoSpaceDE/>
        <w:autoSpaceDN/>
        <w:bidi w:val="0"/>
        <w:adjustRightInd w:val="0"/>
        <w:snapToGrid w:val="0"/>
        <w:spacing w:before="145" w:beforeLines="50" w:beforeAutospacing="0" w:line="312" w:lineRule="auto"/>
        <w:textAlignment w:val="auto"/>
        <w:rPr>
          <w:rFonts w:hint="eastAsia" w:ascii="仿宋" w:hAnsi="仿宋" w:eastAsia="仿宋" w:cs="仿宋"/>
          <w:b/>
          <w:sz w:val="24"/>
          <w:highlight w:val="none"/>
          <w:lang w:eastAsia="zh-CN"/>
        </w:rPr>
      </w:pPr>
      <w:r>
        <w:rPr>
          <w:rFonts w:hint="eastAsia" w:ascii="仿宋" w:hAnsi="仿宋" w:eastAsia="仿宋" w:cs="仿宋"/>
          <w:b/>
          <w:sz w:val="24"/>
          <w:highlight w:val="none"/>
        </w:rPr>
        <w:t>（</w:t>
      </w:r>
      <w:r>
        <w:rPr>
          <w:rFonts w:hint="eastAsia" w:ascii="仿宋" w:hAnsi="仿宋" w:eastAsia="仿宋" w:cs="仿宋"/>
          <w:b/>
          <w:sz w:val="24"/>
          <w:highlight w:val="none"/>
          <w:lang w:eastAsia="zh-CN"/>
        </w:rPr>
        <w:t>四</w:t>
      </w: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其他要求</w:t>
      </w:r>
    </w:p>
    <w:p w14:paraId="07E346F1">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1、对于施工图设计过程中出现的补充、修改、完善等，中标人应无条件配合直至设计图通过相关部门的审核；施工过程中如需出具的设计变更（补充）单等任务，中标人应无条件配合。以上情况中标人均不得主张向建设单位收取额外费用。</w:t>
      </w:r>
    </w:p>
    <w:p w14:paraId="4873FC35">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2、中标人应对设计文件出现的遗漏或错误负责修改或补充。如有因中标人原因造成工程事故或工程延期的，中标人除负责采取补救措施外，采购人有权罚没部分或全部的设计费，并根据实际情况由中标人向采购人赔偿相应损失，赔偿金数额由双方商定。</w:t>
      </w:r>
    </w:p>
    <w:p w14:paraId="060F9A3F">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3、中标人如在合同服务期内出现造假、行贿、受贿等违法违纪行为或其他违反行业规定的行为，采购人有权随时终止合同并没收全部履约保证金，并上报监督部门和禁止中标人两年内在东和乡的投标资格，所有损失均由中标人自行承担。</w:t>
      </w:r>
    </w:p>
    <w:p w14:paraId="73D40035">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仿宋" w:hAnsi="仿宋" w:eastAsia="仿宋" w:cs="仿宋"/>
          <w:b/>
          <w:sz w:val="24"/>
          <w:highlight w:val="none"/>
        </w:rPr>
      </w:pPr>
      <w:r>
        <w:rPr>
          <w:rFonts w:hint="eastAsia" w:ascii="仿宋" w:hAnsi="仿宋" w:eastAsia="仿宋" w:cs="仿宋"/>
          <w:b/>
          <w:sz w:val="24"/>
          <w:highlight w:val="none"/>
        </w:rPr>
        <w:t>（五）验收</w:t>
      </w:r>
    </w:p>
    <w:p w14:paraId="035B602E">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严格遵循国家和行业质量验收相关规范</w:t>
      </w:r>
      <w:r>
        <w:rPr>
          <w:rFonts w:hint="eastAsia" w:ascii="仿宋" w:hAnsi="仿宋" w:eastAsia="仿宋" w:cs="仿宋"/>
          <w:sz w:val="24"/>
          <w:highlight w:val="none"/>
        </w:rPr>
        <w:t>、标准执行。</w:t>
      </w:r>
    </w:p>
    <w:p w14:paraId="2AA1A990">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仿宋" w:hAnsi="仿宋" w:eastAsia="仿宋" w:cs="仿宋"/>
          <w:b/>
          <w:sz w:val="24"/>
          <w:highlight w:val="none"/>
        </w:rPr>
      </w:pPr>
      <w:r>
        <w:rPr>
          <w:rFonts w:hint="eastAsia" w:ascii="仿宋" w:hAnsi="仿宋" w:eastAsia="仿宋" w:cs="仿宋"/>
          <w:b/>
          <w:sz w:val="24"/>
          <w:highlight w:val="none"/>
        </w:rPr>
        <w:t>（六）项目成果</w:t>
      </w:r>
    </w:p>
    <w:p w14:paraId="3AEFC20F">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本次设计主要内容包括市政、房建、园林等工程相关设计，具体成果及数量按采购人要求为准。</w:t>
      </w:r>
    </w:p>
    <w:p w14:paraId="00D229C8">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仿宋" w:hAnsi="仿宋" w:eastAsia="仿宋" w:cs="仿宋"/>
          <w:b/>
          <w:sz w:val="24"/>
          <w:highlight w:val="none"/>
        </w:rPr>
      </w:pPr>
      <w:r>
        <w:rPr>
          <w:rFonts w:hint="eastAsia" w:ascii="仿宋" w:hAnsi="仿宋" w:eastAsia="仿宋" w:cs="仿宋"/>
          <w:b/>
          <w:sz w:val="24"/>
          <w:highlight w:val="none"/>
        </w:rPr>
        <w:t>（七）报价要求</w:t>
      </w:r>
    </w:p>
    <w:p w14:paraId="2AC3CC84">
      <w:pPr>
        <w:keepNext w:val="0"/>
        <w:keepLines w:val="0"/>
        <w:pageBreakBefore w:val="0"/>
        <w:widowControl w:val="0"/>
        <w:kinsoku/>
        <w:wordWrap/>
        <w:overflowPunct/>
        <w:topLinePunct w:val="0"/>
        <w:autoSpaceDE/>
        <w:autoSpaceDN/>
        <w:bidi w:val="0"/>
        <w:adjustRightInd w:val="0"/>
        <w:snapToGrid w:val="0"/>
        <w:spacing w:line="312" w:lineRule="auto"/>
        <w:ind w:firstLine="480"/>
        <w:textAlignment w:val="auto"/>
        <w:rPr>
          <w:rFonts w:hint="eastAsia" w:ascii="仿宋" w:hAnsi="仿宋" w:eastAsia="仿宋" w:cs="仿宋"/>
          <w:sz w:val="24"/>
          <w:highlight w:val="none"/>
        </w:rPr>
      </w:pPr>
      <w:r>
        <w:rPr>
          <w:rFonts w:hint="eastAsia" w:ascii="仿宋" w:hAnsi="仿宋" w:eastAsia="仿宋" w:cs="仿宋"/>
          <w:sz w:val="24"/>
          <w:highlight w:val="none"/>
        </w:rPr>
        <w:t>本标项投标报价采用折扣方式报价；折扣报价上限为65%，任何高于65%的报价将被认定为无效报价，作无效投标处理。</w:t>
      </w:r>
    </w:p>
    <w:p w14:paraId="4FABBE34">
      <w:pPr>
        <w:keepNext w:val="0"/>
        <w:keepLines w:val="0"/>
        <w:pageBreakBefore w:val="0"/>
        <w:widowControl w:val="0"/>
        <w:kinsoku/>
        <w:wordWrap/>
        <w:overflowPunct/>
        <w:topLinePunct w:val="0"/>
        <w:autoSpaceDE/>
        <w:autoSpaceDN/>
        <w:bidi w:val="0"/>
        <w:adjustRightInd w:val="0"/>
        <w:snapToGrid w:val="0"/>
        <w:spacing w:line="312" w:lineRule="auto"/>
        <w:ind w:firstLine="480"/>
        <w:textAlignment w:val="auto"/>
        <w:rPr>
          <w:rFonts w:hint="eastAsia" w:ascii="仿宋" w:hAnsi="仿宋" w:eastAsia="仿宋" w:cs="仿宋"/>
          <w:sz w:val="24"/>
          <w:highlight w:val="none"/>
        </w:rPr>
      </w:pPr>
      <w:r>
        <w:rPr>
          <w:rFonts w:hint="eastAsia" w:ascii="仿宋" w:hAnsi="仿宋" w:eastAsia="仿宋" w:cs="仿宋"/>
          <w:sz w:val="24"/>
          <w:highlight w:val="none"/>
        </w:rPr>
        <w:t>投标折扣在合同实施期间均保持不变，</w:t>
      </w:r>
      <w:r>
        <w:rPr>
          <w:rFonts w:hint="eastAsia" w:ascii="仿宋" w:hAnsi="仿宋" w:eastAsia="仿宋" w:cs="仿宋"/>
          <w:spacing w:val="-6"/>
          <w:sz w:val="24"/>
          <w:highlight w:val="none"/>
        </w:rPr>
        <w:t>报价包括履行本项目所有规定服务所产生的全部</w:t>
      </w:r>
      <w:r>
        <w:rPr>
          <w:rFonts w:hint="eastAsia" w:ascii="仿宋" w:hAnsi="仿宋" w:eastAsia="仿宋" w:cs="仿宋"/>
          <w:sz w:val="24"/>
          <w:highlight w:val="none"/>
        </w:rPr>
        <w:t>税金、利润和费用</w:t>
      </w:r>
      <w:r>
        <w:rPr>
          <w:rFonts w:hint="eastAsia" w:ascii="仿宋" w:hAnsi="仿宋" w:eastAsia="仿宋" w:cs="仿宋"/>
          <w:spacing w:val="-6"/>
          <w:sz w:val="24"/>
          <w:highlight w:val="none"/>
        </w:rPr>
        <w:t>，</w:t>
      </w:r>
      <w:r>
        <w:rPr>
          <w:rFonts w:hint="eastAsia" w:ascii="仿宋" w:hAnsi="仿宋" w:eastAsia="仿宋" w:cs="仿宋"/>
          <w:sz w:val="24"/>
          <w:highlight w:val="none"/>
        </w:rPr>
        <w:t>投标人应充分考虑并将</w:t>
      </w:r>
      <w:r>
        <w:rPr>
          <w:rFonts w:hint="eastAsia" w:ascii="仿宋" w:hAnsi="仿宋" w:eastAsia="仿宋" w:cs="仿宋"/>
          <w:sz w:val="24"/>
          <w:highlight w:val="none"/>
          <w:lang w:val="zh-CN"/>
        </w:rPr>
        <w:t>有关本项目实施所涉及的一切费用均计入报价。</w:t>
      </w:r>
    </w:p>
    <w:p w14:paraId="15AC9CC8">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仿宋" w:hAnsi="仿宋" w:eastAsia="仿宋" w:cs="仿宋"/>
          <w:b/>
          <w:sz w:val="24"/>
          <w:highlight w:val="none"/>
        </w:rPr>
      </w:pPr>
      <w:r>
        <w:rPr>
          <w:rFonts w:hint="eastAsia" w:ascii="仿宋" w:hAnsi="仿宋" w:eastAsia="仿宋" w:cs="仿宋"/>
          <w:b/>
          <w:sz w:val="24"/>
          <w:highlight w:val="none"/>
        </w:rPr>
        <w:t>（八）履约保证金</w:t>
      </w:r>
      <w:r>
        <w:rPr>
          <w:rFonts w:hint="eastAsia" w:ascii="仿宋" w:hAnsi="仿宋" w:eastAsia="仿宋" w:cs="仿宋"/>
          <w:b/>
          <w:sz w:val="24"/>
          <w:highlight w:val="none"/>
          <w:lang w:eastAsia="zh-CN"/>
        </w:rPr>
        <w:t>、</w:t>
      </w:r>
      <w:r>
        <w:rPr>
          <w:rFonts w:hint="eastAsia" w:ascii="仿宋" w:hAnsi="仿宋" w:eastAsia="仿宋" w:cs="仿宋"/>
          <w:b/>
          <w:sz w:val="24"/>
          <w:highlight w:val="none"/>
          <w:lang w:val="en-US" w:eastAsia="zh-CN"/>
        </w:rPr>
        <w:t>费用结算</w:t>
      </w:r>
      <w:r>
        <w:rPr>
          <w:rFonts w:hint="eastAsia" w:ascii="仿宋" w:hAnsi="仿宋" w:eastAsia="仿宋" w:cs="仿宋"/>
          <w:b/>
          <w:sz w:val="24"/>
          <w:highlight w:val="none"/>
        </w:rPr>
        <w:t>及付款方式</w:t>
      </w:r>
    </w:p>
    <w:p w14:paraId="4CE66679">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1、履约保证金：签订合同前，中标人向采购人缴纳合同总金额1％的履约保证金，服务期结束后且无任何问题一个月内退回，不计息。</w:t>
      </w:r>
    </w:p>
    <w:p w14:paraId="2CFD5742">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2、</w:t>
      </w:r>
      <w:r>
        <w:rPr>
          <w:rFonts w:hint="eastAsia" w:ascii="仿宋" w:hAnsi="仿宋" w:eastAsia="仿宋" w:cs="仿宋"/>
          <w:bCs/>
          <w:sz w:val="24"/>
          <w:highlight w:val="none"/>
          <w:lang w:val="en-US" w:eastAsia="zh-CN"/>
        </w:rPr>
        <w:t>费用结算</w:t>
      </w:r>
      <w:r>
        <w:rPr>
          <w:rFonts w:hint="eastAsia" w:ascii="仿宋" w:hAnsi="仿宋" w:eastAsia="仿宋" w:cs="仿宋"/>
          <w:bCs/>
          <w:sz w:val="24"/>
          <w:highlight w:val="none"/>
        </w:rPr>
        <w:t>：</w:t>
      </w:r>
    </w:p>
    <w:p w14:paraId="228C296D">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1）设计费按单个工程计算。按《工程勘察设计收费标准》（2002年修订本）收费标准计算后，再按中标折扣率计算最终设计费。其中专业调整系数按1.0计取，复杂程度调整系数按0.85计取，附加调整系数按1.0计取。工程设计费收费基价的取费基数为施工合同价。即每只独立项目设计费＝工程设计收费基价×1.0（专业调整系数）×0.85（工程复杂程度调整系数）×1.0（工程附加调整系数）×中标折扣率。</w:t>
      </w:r>
    </w:p>
    <w:p w14:paraId="286A3DEB">
      <w:pPr>
        <w:keepNext w:val="0"/>
        <w:keepLines w:val="0"/>
        <w:pageBreakBefore w:val="0"/>
        <w:widowControl w:val="0"/>
        <w:numPr>
          <w:ilvl w:val="0"/>
          <w:numId w:val="7"/>
        </w:numPr>
        <w:kinsoku/>
        <w:wordWrap/>
        <w:overflowPunct/>
        <w:topLinePunct w:val="0"/>
        <w:autoSpaceDE/>
        <w:autoSpaceDN/>
        <w:bidi w:val="0"/>
        <w:adjustRightInd w:val="0"/>
        <w:spacing w:line="312" w:lineRule="auto"/>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lang w:val="en-US" w:eastAsia="zh-CN"/>
        </w:rPr>
        <w:t>付款</w:t>
      </w:r>
      <w:r>
        <w:rPr>
          <w:rFonts w:hint="eastAsia" w:ascii="仿宋" w:hAnsi="仿宋" w:eastAsia="仿宋" w:cs="仿宋"/>
          <w:b/>
          <w:sz w:val="24"/>
          <w:highlight w:val="none"/>
        </w:rPr>
        <w:t>方式：</w:t>
      </w:r>
    </w:p>
    <w:p w14:paraId="296CCFE9">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1</w:t>
      </w:r>
      <w:r>
        <w:rPr>
          <w:rFonts w:hint="eastAsia" w:ascii="仿宋" w:hAnsi="仿宋" w:eastAsia="仿宋" w:cs="仿宋"/>
          <w:bCs/>
          <w:sz w:val="24"/>
          <w:highlight w:val="none"/>
        </w:rPr>
        <w:t>）镇乡级工程费用由诸暨市东和乡人民政府在服务期结束后统一支付，中标人应在付款时提供发票及其它付款所需资料</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采购人审核通过后进行支付</w:t>
      </w:r>
      <w:r>
        <w:rPr>
          <w:rFonts w:hint="eastAsia" w:ascii="仿宋" w:hAnsi="仿宋" w:eastAsia="仿宋" w:cs="仿宋"/>
          <w:bCs/>
          <w:sz w:val="24"/>
          <w:highlight w:val="none"/>
        </w:rPr>
        <w:t>。</w:t>
      </w:r>
    </w:p>
    <w:p w14:paraId="19D94B06">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w:t>
      </w: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rPr>
        <w:t>）村级工程费用由各村单独支付，中标人可在设计完成并递交完成的设计资料及文件后向各村申请支付费用，中标人应在付款时提供发票及其它付款所需资料。</w:t>
      </w:r>
    </w:p>
    <w:p w14:paraId="5C73C70A">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仿宋" w:hAnsi="仿宋" w:eastAsia="仿宋" w:cs="仿宋"/>
          <w:b/>
          <w:sz w:val="24"/>
          <w:highlight w:val="none"/>
        </w:rPr>
      </w:pPr>
      <w:r>
        <w:rPr>
          <w:rFonts w:hint="eastAsia" w:ascii="仿宋" w:hAnsi="仿宋" w:eastAsia="仿宋" w:cs="仿宋"/>
          <w:b/>
          <w:sz w:val="24"/>
          <w:highlight w:val="none"/>
        </w:rPr>
        <w:t>（九）最高限价</w:t>
      </w:r>
    </w:p>
    <w:p w14:paraId="4D015C12">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textAlignment w:val="auto"/>
        <w:rPr>
          <w:rFonts w:hint="eastAsia" w:ascii="仿宋" w:hAnsi="仿宋" w:eastAsia="仿宋" w:cs="仿宋"/>
          <w:b/>
          <w:bCs w:val="0"/>
          <w:sz w:val="24"/>
          <w:highlight w:val="none"/>
        </w:rPr>
      </w:pPr>
      <w:r>
        <w:rPr>
          <w:rFonts w:hint="eastAsia" w:ascii="仿宋" w:hAnsi="仿宋" w:eastAsia="仿宋" w:cs="仿宋"/>
          <w:b/>
          <w:bCs w:val="0"/>
          <w:sz w:val="24"/>
          <w:highlight w:val="none"/>
        </w:rPr>
        <w:t>本项目按折扣招标，具体</w:t>
      </w:r>
      <w:r>
        <w:rPr>
          <w:rFonts w:hint="eastAsia" w:ascii="仿宋" w:hAnsi="仿宋" w:eastAsia="仿宋" w:cs="仿宋"/>
          <w:b/>
          <w:bCs w:val="0"/>
          <w:sz w:val="24"/>
          <w:highlight w:val="none"/>
          <w:lang w:val="en-US" w:eastAsia="zh-CN"/>
        </w:rPr>
        <w:t>工程</w:t>
      </w:r>
      <w:r>
        <w:rPr>
          <w:rFonts w:hint="eastAsia" w:ascii="仿宋" w:hAnsi="仿宋" w:eastAsia="仿宋" w:cs="仿宋"/>
          <w:b/>
          <w:bCs w:val="0"/>
          <w:sz w:val="24"/>
          <w:highlight w:val="none"/>
        </w:rPr>
        <w:t>量按实结算，最高折扣限价为65%，任何超过最高限价的报价将被认定为无效报价，报价包含了与本项目设计服务相关的一切费用。</w:t>
      </w:r>
    </w:p>
    <w:p w14:paraId="41E8FF34">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textAlignment w:val="auto"/>
        <w:rPr>
          <w:rFonts w:hint="eastAsia" w:ascii="仿宋" w:hAnsi="仿宋" w:eastAsia="仿宋" w:cs="仿宋"/>
          <w:b/>
          <w:bCs w:val="0"/>
          <w:sz w:val="24"/>
          <w:highlight w:val="none"/>
          <w:u w:val="single"/>
        </w:rPr>
      </w:pPr>
      <w:r>
        <w:rPr>
          <w:rFonts w:hint="eastAsia" w:ascii="仿宋" w:hAnsi="仿宋" w:eastAsia="仿宋" w:cs="仿宋"/>
          <w:b/>
          <w:bCs w:val="0"/>
          <w:sz w:val="24"/>
          <w:highlight w:val="none"/>
          <w:u w:val="single"/>
        </w:rPr>
        <w:t>标项1最高合同金额为人民币</w:t>
      </w:r>
      <w:r>
        <w:rPr>
          <w:rFonts w:hint="eastAsia" w:ascii="仿宋" w:hAnsi="仿宋" w:eastAsia="仿宋" w:cs="仿宋"/>
          <w:b/>
          <w:bCs w:val="0"/>
          <w:sz w:val="24"/>
          <w:highlight w:val="none"/>
          <w:u w:val="single"/>
          <w:lang w:val="en-US" w:eastAsia="zh-CN"/>
        </w:rPr>
        <w:t>叁拾</w:t>
      </w:r>
      <w:r>
        <w:rPr>
          <w:rFonts w:hint="eastAsia" w:ascii="仿宋" w:hAnsi="仿宋" w:eastAsia="仿宋" w:cs="仿宋"/>
          <w:b/>
          <w:bCs w:val="0"/>
          <w:sz w:val="24"/>
          <w:highlight w:val="none"/>
          <w:u w:val="single"/>
        </w:rPr>
        <w:t>万元（¥</w:t>
      </w:r>
      <w:r>
        <w:rPr>
          <w:rFonts w:hint="eastAsia" w:ascii="仿宋" w:hAnsi="仿宋" w:eastAsia="仿宋" w:cs="仿宋"/>
          <w:b/>
          <w:bCs w:val="0"/>
          <w:sz w:val="24"/>
          <w:highlight w:val="none"/>
          <w:u w:val="single"/>
          <w:lang w:val="en-US" w:eastAsia="zh-CN"/>
        </w:rPr>
        <w:t>3</w:t>
      </w:r>
      <w:r>
        <w:rPr>
          <w:rFonts w:hint="eastAsia" w:ascii="仿宋" w:hAnsi="仿宋" w:eastAsia="仿宋" w:cs="仿宋"/>
          <w:b/>
          <w:bCs w:val="0"/>
          <w:sz w:val="24"/>
          <w:highlight w:val="none"/>
          <w:u w:val="single"/>
        </w:rPr>
        <w:t>00000.00）整</w:t>
      </w:r>
      <w:r>
        <w:rPr>
          <w:rFonts w:hint="eastAsia" w:ascii="仿宋" w:hAnsi="仿宋" w:eastAsia="仿宋" w:cs="仿宋"/>
          <w:b/>
          <w:bCs w:val="0"/>
          <w:sz w:val="24"/>
          <w:highlight w:val="none"/>
        </w:rPr>
        <w:t>；</w:t>
      </w:r>
    </w:p>
    <w:p w14:paraId="1309DA15">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textAlignment w:val="auto"/>
        <w:rPr>
          <w:rFonts w:hint="eastAsia" w:ascii="仿宋" w:hAnsi="仿宋" w:eastAsia="仿宋" w:cs="仿宋"/>
          <w:b/>
          <w:bCs w:val="0"/>
          <w:sz w:val="36"/>
          <w:szCs w:val="36"/>
          <w:highlight w:val="none"/>
        </w:rPr>
      </w:pPr>
      <w:r>
        <w:rPr>
          <w:rFonts w:hint="eastAsia" w:ascii="仿宋" w:hAnsi="仿宋" w:eastAsia="仿宋" w:cs="仿宋"/>
          <w:b/>
          <w:bCs w:val="0"/>
          <w:sz w:val="24"/>
          <w:highlight w:val="none"/>
          <w:u w:val="single"/>
        </w:rPr>
        <w:t>标项2最高合同金额为人民币</w:t>
      </w:r>
      <w:r>
        <w:rPr>
          <w:rFonts w:hint="eastAsia" w:ascii="仿宋" w:hAnsi="仿宋" w:eastAsia="仿宋" w:cs="仿宋"/>
          <w:b/>
          <w:bCs w:val="0"/>
          <w:sz w:val="24"/>
          <w:highlight w:val="none"/>
          <w:u w:val="single"/>
          <w:lang w:val="en-US" w:eastAsia="zh-CN"/>
        </w:rPr>
        <w:t>叁拾</w:t>
      </w:r>
      <w:r>
        <w:rPr>
          <w:rFonts w:hint="eastAsia" w:ascii="仿宋" w:hAnsi="仿宋" w:eastAsia="仿宋" w:cs="仿宋"/>
          <w:b/>
          <w:bCs w:val="0"/>
          <w:sz w:val="24"/>
          <w:highlight w:val="none"/>
          <w:u w:val="single"/>
        </w:rPr>
        <w:t>万元（¥</w:t>
      </w:r>
      <w:r>
        <w:rPr>
          <w:rFonts w:hint="eastAsia" w:ascii="仿宋" w:hAnsi="仿宋" w:eastAsia="仿宋" w:cs="仿宋"/>
          <w:b/>
          <w:bCs w:val="0"/>
          <w:sz w:val="24"/>
          <w:highlight w:val="none"/>
          <w:u w:val="single"/>
          <w:lang w:val="en-US" w:eastAsia="zh-CN"/>
        </w:rPr>
        <w:t>3</w:t>
      </w:r>
      <w:r>
        <w:rPr>
          <w:rFonts w:hint="eastAsia" w:ascii="仿宋" w:hAnsi="仿宋" w:eastAsia="仿宋" w:cs="仿宋"/>
          <w:b/>
          <w:bCs w:val="0"/>
          <w:sz w:val="24"/>
          <w:highlight w:val="none"/>
          <w:u w:val="single"/>
        </w:rPr>
        <w:t xml:space="preserve">00000.00）整 </w:t>
      </w:r>
      <w:r>
        <w:rPr>
          <w:rFonts w:hint="eastAsia" w:ascii="仿宋" w:hAnsi="仿宋" w:eastAsia="仿宋" w:cs="仿宋"/>
          <w:b/>
          <w:bCs w:val="0"/>
          <w:sz w:val="24"/>
          <w:highlight w:val="none"/>
        </w:rPr>
        <w:t>。</w:t>
      </w:r>
    </w:p>
    <w:p w14:paraId="51C3839F">
      <w:pPr>
        <w:pStyle w:val="408"/>
        <w:keepNext w:val="0"/>
        <w:keepLines w:val="0"/>
        <w:pageBreakBefore w:val="0"/>
        <w:widowControl w:val="0"/>
        <w:kinsoku/>
        <w:wordWrap/>
        <w:overflowPunct/>
        <w:topLinePunct w:val="0"/>
        <w:bidi w:val="0"/>
        <w:spacing w:afterLines="0" w:line="420" w:lineRule="exact"/>
        <w:jc w:val="left"/>
        <w:textAlignment w:val="auto"/>
        <w:rPr>
          <w:rFonts w:hint="eastAsia" w:ascii="仿宋" w:hAnsi="仿宋" w:eastAsia="仿宋" w:cs="仿宋"/>
          <w:b w:val="0"/>
          <w:bCs w:val="0"/>
          <w:color w:val="auto"/>
          <w:kern w:val="2"/>
          <w:sz w:val="24"/>
          <w:szCs w:val="24"/>
          <w:highlight w:val="none"/>
        </w:rPr>
      </w:pPr>
    </w:p>
    <w:p w14:paraId="4F3CD988">
      <w:pP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br w:type="page"/>
      </w:r>
    </w:p>
    <w:p w14:paraId="2C8BC199">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仿宋" w:hAnsi="仿宋" w:eastAsia="仿宋" w:cs="仿宋"/>
          <w:b/>
          <w:color w:val="auto"/>
          <w:kern w:val="44"/>
          <w:sz w:val="36"/>
          <w:szCs w:val="36"/>
          <w:highlight w:val="none"/>
          <w:lang w:val="en-US" w:eastAsia="zh-CN" w:bidi="ar-SA"/>
        </w:rPr>
      </w:pPr>
      <w:r>
        <w:rPr>
          <w:rFonts w:hint="eastAsia" w:ascii="仿宋" w:hAnsi="仿宋" w:eastAsia="仿宋" w:cs="仿宋"/>
          <w:b/>
          <w:color w:val="auto"/>
          <w:kern w:val="44"/>
          <w:sz w:val="36"/>
          <w:szCs w:val="36"/>
          <w:highlight w:val="none"/>
          <w:lang w:val="en-US" w:eastAsia="zh-CN" w:bidi="ar-SA"/>
        </w:rPr>
        <w:t xml:space="preserve">第四部分 </w:t>
      </w:r>
      <w:bookmarkStart w:id="26" w:name="_Toc184312117"/>
      <w:bookmarkEnd w:id="26"/>
      <w:bookmarkStart w:id="27" w:name="_Toc184308079"/>
      <w:bookmarkEnd w:id="27"/>
      <w:bookmarkStart w:id="28" w:name="_Toc184313271"/>
      <w:bookmarkEnd w:id="28"/>
      <w:bookmarkStart w:id="29" w:name="_Toc184310284"/>
      <w:bookmarkEnd w:id="29"/>
      <w:bookmarkStart w:id="30" w:name="_Toc184313289"/>
      <w:bookmarkEnd w:id="30"/>
      <w:bookmarkStart w:id="31" w:name="_Toc184308045"/>
      <w:bookmarkEnd w:id="31"/>
      <w:bookmarkStart w:id="32" w:name="_Toc184312127"/>
      <w:bookmarkEnd w:id="32"/>
      <w:bookmarkStart w:id="33" w:name="_Toc184310323"/>
      <w:bookmarkEnd w:id="33"/>
      <w:bookmarkStart w:id="34" w:name="_Toc184308087"/>
      <w:bookmarkEnd w:id="34"/>
      <w:bookmarkStart w:id="35" w:name="_Toc184310330"/>
      <w:bookmarkEnd w:id="35"/>
      <w:bookmarkStart w:id="36" w:name="_Toc184312132"/>
      <w:bookmarkEnd w:id="36"/>
      <w:bookmarkStart w:id="37" w:name="_Toc184312092"/>
      <w:bookmarkEnd w:id="37"/>
      <w:bookmarkStart w:id="38" w:name="_Toc184310334"/>
      <w:bookmarkEnd w:id="38"/>
      <w:bookmarkStart w:id="39" w:name="_Toc184308107"/>
      <w:bookmarkEnd w:id="39"/>
      <w:bookmarkStart w:id="40" w:name="_Toc184312075"/>
      <w:bookmarkEnd w:id="40"/>
      <w:bookmarkStart w:id="41" w:name="_Toc184313293"/>
      <w:bookmarkEnd w:id="41"/>
      <w:bookmarkStart w:id="42" w:name="_Toc184314411"/>
      <w:bookmarkEnd w:id="42"/>
      <w:bookmarkStart w:id="43" w:name="_Toc184313280"/>
      <w:bookmarkEnd w:id="43"/>
      <w:bookmarkStart w:id="44" w:name="_Toc184310332"/>
      <w:bookmarkEnd w:id="44"/>
      <w:bookmarkStart w:id="45" w:name="_Toc184308083"/>
      <w:bookmarkEnd w:id="45"/>
      <w:bookmarkStart w:id="46" w:name="_Toc184313248"/>
      <w:bookmarkEnd w:id="46"/>
      <w:bookmarkStart w:id="47" w:name="_Toc184312115"/>
      <w:bookmarkEnd w:id="47"/>
      <w:bookmarkStart w:id="48" w:name="_Toc184314427"/>
      <w:bookmarkEnd w:id="48"/>
      <w:bookmarkStart w:id="49" w:name="_Toc184313259"/>
      <w:bookmarkEnd w:id="49"/>
      <w:bookmarkStart w:id="50" w:name="_Toc184308056"/>
      <w:bookmarkEnd w:id="50"/>
      <w:bookmarkStart w:id="51" w:name="_Toc184308091"/>
      <w:bookmarkEnd w:id="51"/>
      <w:bookmarkStart w:id="52" w:name="_Toc184312082"/>
      <w:bookmarkEnd w:id="52"/>
      <w:bookmarkStart w:id="53" w:name="_Toc184314443"/>
      <w:bookmarkEnd w:id="53"/>
      <w:bookmarkStart w:id="54" w:name="_Toc184312079"/>
      <w:bookmarkEnd w:id="54"/>
      <w:bookmarkStart w:id="55" w:name="_Toc184308048"/>
      <w:bookmarkEnd w:id="55"/>
      <w:bookmarkStart w:id="56" w:name="_Toc184313238"/>
      <w:bookmarkEnd w:id="56"/>
      <w:bookmarkStart w:id="57" w:name="_Toc184310276"/>
      <w:bookmarkEnd w:id="57"/>
      <w:bookmarkStart w:id="58" w:name="_Toc184308076"/>
      <w:bookmarkEnd w:id="58"/>
      <w:bookmarkStart w:id="59" w:name="_Toc184308040"/>
      <w:bookmarkEnd w:id="59"/>
      <w:bookmarkStart w:id="60" w:name="_Toc184310308"/>
      <w:bookmarkEnd w:id="60"/>
      <w:bookmarkStart w:id="61" w:name="_Toc184308089"/>
      <w:bookmarkEnd w:id="61"/>
      <w:bookmarkStart w:id="62" w:name="_Toc184310339"/>
      <w:bookmarkEnd w:id="62"/>
      <w:bookmarkStart w:id="63" w:name="_Toc184313263"/>
      <w:bookmarkEnd w:id="63"/>
      <w:bookmarkStart w:id="64" w:name="_Toc184310331"/>
      <w:bookmarkEnd w:id="64"/>
      <w:bookmarkStart w:id="65" w:name="_Toc184312110"/>
      <w:bookmarkEnd w:id="65"/>
      <w:bookmarkStart w:id="66" w:name="_Toc184314458"/>
      <w:bookmarkEnd w:id="66"/>
      <w:bookmarkStart w:id="67" w:name="_Toc184313304"/>
      <w:bookmarkEnd w:id="67"/>
      <w:bookmarkStart w:id="68" w:name="_Toc184308064"/>
      <w:bookmarkEnd w:id="68"/>
      <w:bookmarkStart w:id="69" w:name="_Toc184314423"/>
      <w:bookmarkEnd w:id="69"/>
      <w:bookmarkStart w:id="70" w:name="_Toc184314456"/>
      <w:bookmarkEnd w:id="70"/>
      <w:bookmarkStart w:id="71" w:name="_Toc184308067"/>
      <w:bookmarkEnd w:id="71"/>
      <w:bookmarkStart w:id="72" w:name="_Toc184308062"/>
      <w:bookmarkEnd w:id="72"/>
      <w:bookmarkStart w:id="73" w:name="_Toc184312120"/>
      <w:bookmarkEnd w:id="73"/>
      <w:bookmarkStart w:id="74" w:name="_Toc184314475"/>
      <w:bookmarkEnd w:id="74"/>
      <w:bookmarkStart w:id="75" w:name="_Toc184314462"/>
      <w:bookmarkEnd w:id="75"/>
      <w:bookmarkStart w:id="76" w:name="_Toc184310283"/>
      <w:bookmarkEnd w:id="76"/>
      <w:bookmarkStart w:id="77" w:name="_Toc184310306"/>
      <w:bookmarkEnd w:id="77"/>
      <w:bookmarkStart w:id="78" w:name="_Toc184314468"/>
      <w:bookmarkEnd w:id="78"/>
      <w:bookmarkStart w:id="79" w:name="_Toc184314450"/>
      <w:bookmarkEnd w:id="79"/>
      <w:bookmarkStart w:id="80" w:name="_Toc184314457"/>
      <w:bookmarkEnd w:id="80"/>
      <w:bookmarkStart w:id="81" w:name="_Toc184313261"/>
      <w:bookmarkEnd w:id="81"/>
      <w:bookmarkStart w:id="82" w:name="_Toc184314442"/>
      <w:bookmarkEnd w:id="82"/>
      <w:bookmarkStart w:id="83" w:name="_Toc184314432"/>
      <w:bookmarkEnd w:id="83"/>
      <w:bookmarkStart w:id="84" w:name="_Toc184310333"/>
      <w:bookmarkEnd w:id="84"/>
      <w:bookmarkStart w:id="85" w:name="_Toc184312111"/>
      <w:bookmarkEnd w:id="85"/>
      <w:bookmarkStart w:id="86" w:name="_Toc184310309"/>
      <w:bookmarkEnd w:id="86"/>
      <w:bookmarkStart w:id="87" w:name="_Toc184310341"/>
      <w:bookmarkEnd w:id="87"/>
      <w:bookmarkStart w:id="88" w:name="_Toc184308108"/>
      <w:bookmarkEnd w:id="88"/>
      <w:bookmarkStart w:id="89" w:name="_Toc184312090"/>
      <w:bookmarkEnd w:id="89"/>
      <w:bookmarkStart w:id="90" w:name="_Toc184314469"/>
      <w:bookmarkEnd w:id="90"/>
      <w:bookmarkStart w:id="91" w:name="_Toc184314410"/>
      <w:bookmarkEnd w:id="91"/>
      <w:bookmarkStart w:id="92" w:name="_Toc184312136"/>
      <w:bookmarkEnd w:id="92"/>
      <w:bookmarkStart w:id="93" w:name="_Toc184314429"/>
      <w:bookmarkEnd w:id="93"/>
      <w:bookmarkStart w:id="94" w:name="_Toc184313300"/>
      <w:bookmarkEnd w:id="94"/>
      <w:bookmarkStart w:id="95" w:name="_Toc184308090"/>
      <w:bookmarkEnd w:id="95"/>
      <w:bookmarkStart w:id="96" w:name="_Toc184312107"/>
      <w:bookmarkEnd w:id="96"/>
      <w:bookmarkStart w:id="97" w:name="_Toc184308055"/>
      <w:bookmarkEnd w:id="97"/>
      <w:bookmarkStart w:id="98" w:name="_Toc184312112"/>
      <w:bookmarkEnd w:id="98"/>
      <w:bookmarkStart w:id="99" w:name="_Toc184313281"/>
      <w:bookmarkEnd w:id="99"/>
      <w:bookmarkStart w:id="100" w:name="_Toc184313310"/>
      <w:bookmarkEnd w:id="100"/>
      <w:bookmarkStart w:id="101" w:name="_Toc184310325"/>
      <w:bookmarkEnd w:id="101"/>
      <w:bookmarkStart w:id="102" w:name="_Toc184314418"/>
      <w:bookmarkEnd w:id="102"/>
      <w:bookmarkStart w:id="103" w:name="_Toc184308069"/>
      <w:bookmarkEnd w:id="103"/>
      <w:bookmarkStart w:id="104" w:name="_Toc184314453"/>
      <w:bookmarkEnd w:id="104"/>
      <w:bookmarkStart w:id="105" w:name="_Toc184312119"/>
      <w:bookmarkEnd w:id="105"/>
      <w:bookmarkStart w:id="106" w:name="_Toc184310320"/>
      <w:bookmarkEnd w:id="106"/>
      <w:bookmarkStart w:id="107" w:name="_Toc184310298"/>
      <w:bookmarkEnd w:id="107"/>
      <w:bookmarkStart w:id="108" w:name="_Toc184314477"/>
      <w:bookmarkEnd w:id="108"/>
      <w:bookmarkStart w:id="109" w:name="_Toc184313242"/>
      <w:bookmarkEnd w:id="109"/>
      <w:bookmarkStart w:id="110" w:name="_Toc184313275"/>
      <w:bookmarkEnd w:id="110"/>
      <w:bookmarkStart w:id="111" w:name="_Toc184314445"/>
      <w:bookmarkEnd w:id="111"/>
      <w:bookmarkStart w:id="112" w:name="_Toc184313262"/>
      <w:bookmarkEnd w:id="112"/>
      <w:bookmarkStart w:id="113" w:name="_Toc184313277"/>
      <w:bookmarkEnd w:id="113"/>
      <w:bookmarkStart w:id="114" w:name="_Toc184313243"/>
      <w:bookmarkEnd w:id="114"/>
      <w:bookmarkStart w:id="115" w:name="_Toc184310274"/>
      <w:bookmarkEnd w:id="115"/>
      <w:bookmarkStart w:id="116" w:name="_Toc184313307"/>
      <w:bookmarkEnd w:id="116"/>
      <w:bookmarkStart w:id="117" w:name="_Toc184312069"/>
      <w:bookmarkEnd w:id="117"/>
      <w:bookmarkStart w:id="118" w:name="_Toc184313296"/>
      <w:bookmarkEnd w:id="118"/>
      <w:bookmarkStart w:id="119" w:name="_Toc184308050"/>
      <w:bookmarkEnd w:id="119"/>
      <w:bookmarkStart w:id="120" w:name="_Toc184312084"/>
      <w:bookmarkEnd w:id="120"/>
      <w:bookmarkStart w:id="121" w:name="_Toc184310312"/>
      <w:bookmarkEnd w:id="121"/>
      <w:bookmarkStart w:id="122" w:name="_Toc184308099"/>
      <w:bookmarkEnd w:id="122"/>
      <w:bookmarkStart w:id="123" w:name="_Toc184313245"/>
      <w:bookmarkEnd w:id="123"/>
      <w:bookmarkStart w:id="124" w:name="_Toc184308078"/>
      <w:bookmarkEnd w:id="124"/>
      <w:bookmarkStart w:id="125" w:name="_Toc184314440"/>
      <w:bookmarkEnd w:id="125"/>
      <w:bookmarkStart w:id="126" w:name="_Toc184313282"/>
      <w:bookmarkEnd w:id="126"/>
      <w:bookmarkStart w:id="127" w:name="_Toc184312103"/>
      <w:bookmarkEnd w:id="127"/>
      <w:bookmarkStart w:id="128" w:name="_Toc184312106"/>
      <w:bookmarkEnd w:id="128"/>
      <w:bookmarkStart w:id="129" w:name="_Toc184308037"/>
      <w:bookmarkEnd w:id="129"/>
      <w:bookmarkStart w:id="130" w:name="_Toc184308081"/>
      <w:bookmarkEnd w:id="130"/>
      <w:bookmarkStart w:id="131" w:name="_Toc184314448"/>
      <w:bookmarkEnd w:id="131"/>
      <w:bookmarkStart w:id="132" w:name="_Toc184313274"/>
      <w:bookmarkEnd w:id="132"/>
      <w:bookmarkStart w:id="133" w:name="_Toc184314481"/>
      <w:bookmarkEnd w:id="133"/>
      <w:bookmarkStart w:id="134" w:name="_Toc184308057"/>
      <w:bookmarkEnd w:id="134"/>
      <w:bookmarkStart w:id="135" w:name="_Toc184310277"/>
      <w:bookmarkEnd w:id="135"/>
      <w:bookmarkStart w:id="136" w:name="_Toc184310278"/>
      <w:bookmarkEnd w:id="136"/>
      <w:bookmarkStart w:id="137" w:name="_Toc184308060"/>
      <w:bookmarkEnd w:id="137"/>
      <w:bookmarkStart w:id="138" w:name="_Toc184308073"/>
      <w:bookmarkEnd w:id="138"/>
      <w:bookmarkStart w:id="139" w:name="_Toc184308105"/>
      <w:bookmarkEnd w:id="139"/>
      <w:bookmarkStart w:id="140" w:name="_Toc184314480"/>
      <w:bookmarkEnd w:id="140"/>
      <w:bookmarkStart w:id="141" w:name="_Toc184310342"/>
      <w:bookmarkEnd w:id="141"/>
      <w:bookmarkStart w:id="142" w:name="_Toc184312093"/>
      <w:bookmarkEnd w:id="142"/>
      <w:bookmarkStart w:id="143" w:name="_Toc184308085"/>
      <w:bookmarkEnd w:id="143"/>
      <w:bookmarkStart w:id="144" w:name="_Toc184312134"/>
      <w:bookmarkEnd w:id="144"/>
      <w:bookmarkStart w:id="145" w:name="_Toc184308063"/>
      <w:bookmarkEnd w:id="145"/>
      <w:bookmarkStart w:id="146" w:name="_Toc184312096"/>
      <w:bookmarkEnd w:id="146"/>
      <w:bookmarkStart w:id="147" w:name="_Toc184313264"/>
      <w:bookmarkEnd w:id="147"/>
      <w:bookmarkStart w:id="148" w:name="_Toc184308101"/>
      <w:bookmarkEnd w:id="148"/>
      <w:bookmarkStart w:id="149" w:name="_Toc184314479"/>
      <w:bookmarkEnd w:id="149"/>
      <w:bookmarkStart w:id="150" w:name="_Toc184313256"/>
      <w:bookmarkEnd w:id="150"/>
      <w:bookmarkStart w:id="151" w:name="_Toc184314467"/>
      <w:bookmarkEnd w:id="151"/>
      <w:bookmarkStart w:id="152" w:name="_Toc184314439"/>
      <w:bookmarkEnd w:id="152"/>
      <w:bookmarkStart w:id="153" w:name="_Toc184308059"/>
      <w:bookmarkEnd w:id="153"/>
      <w:bookmarkStart w:id="154" w:name="_Toc184314425"/>
      <w:bookmarkEnd w:id="154"/>
      <w:bookmarkStart w:id="155" w:name="_Toc184312098"/>
      <w:bookmarkEnd w:id="155"/>
      <w:bookmarkStart w:id="156" w:name="_Toc184314474"/>
      <w:bookmarkEnd w:id="156"/>
      <w:bookmarkStart w:id="157" w:name="_Toc184313247"/>
      <w:bookmarkEnd w:id="157"/>
      <w:bookmarkStart w:id="158" w:name="_Toc184314424"/>
      <w:bookmarkEnd w:id="158"/>
      <w:bookmarkStart w:id="159" w:name="_Toc184312076"/>
      <w:bookmarkEnd w:id="159"/>
      <w:bookmarkStart w:id="160" w:name="_Toc184310314"/>
      <w:bookmarkEnd w:id="160"/>
      <w:bookmarkStart w:id="161" w:name="_Toc184310319"/>
      <w:bookmarkEnd w:id="161"/>
      <w:bookmarkStart w:id="162" w:name="_Toc184313250"/>
      <w:bookmarkEnd w:id="162"/>
      <w:bookmarkStart w:id="163" w:name="_Toc184310316"/>
      <w:bookmarkEnd w:id="163"/>
      <w:bookmarkStart w:id="164" w:name="_Toc184313240"/>
      <w:bookmarkEnd w:id="164"/>
      <w:bookmarkStart w:id="165" w:name="_Toc184312114"/>
      <w:bookmarkEnd w:id="165"/>
      <w:bookmarkStart w:id="166" w:name="_Toc184312067"/>
      <w:bookmarkEnd w:id="166"/>
      <w:bookmarkStart w:id="167" w:name="_Toc184310300"/>
      <w:bookmarkEnd w:id="167"/>
      <w:bookmarkStart w:id="168" w:name="_Toc184313309"/>
      <w:bookmarkEnd w:id="168"/>
      <w:bookmarkStart w:id="169" w:name="_Toc184308058"/>
      <w:bookmarkEnd w:id="169"/>
      <w:bookmarkStart w:id="170" w:name="_Toc184314436"/>
      <w:bookmarkEnd w:id="170"/>
      <w:bookmarkStart w:id="171" w:name="_Toc184308082"/>
      <w:bookmarkEnd w:id="171"/>
      <w:bookmarkStart w:id="172" w:name="_Toc184314449"/>
      <w:bookmarkEnd w:id="172"/>
      <w:bookmarkStart w:id="173" w:name="_Toc184310336"/>
      <w:bookmarkEnd w:id="173"/>
      <w:bookmarkStart w:id="174" w:name="_Toc184312080"/>
      <w:bookmarkEnd w:id="174"/>
      <w:bookmarkStart w:id="175" w:name="_Toc184310324"/>
      <w:bookmarkEnd w:id="175"/>
      <w:bookmarkStart w:id="176" w:name="_Toc184314465"/>
      <w:bookmarkEnd w:id="176"/>
      <w:bookmarkStart w:id="177" w:name="_Toc184313303"/>
      <w:bookmarkEnd w:id="177"/>
      <w:bookmarkStart w:id="178" w:name="_Toc184308092"/>
      <w:bookmarkEnd w:id="178"/>
      <w:bookmarkStart w:id="179" w:name="_Toc184312102"/>
      <w:bookmarkEnd w:id="179"/>
      <w:bookmarkStart w:id="180" w:name="_Toc184308046"/>
      <w:bookmarkEnd w:id="180"/>
      <w:bookmarkStart w:id="181" w:name="_Toc184310292"/>
      <w:bookmarkEnd w:id="181"/>
      <w:bookmarkStart w:id="182" w:name="_Toc184308044"/>
      <w:bookmarkEnd w:id="182"/>
      <w:bookmarkStart w:id="183" w:name="_Toc184312088"/>
      <w:bookmarkEnd w:id="183"/>
      <w:bookmarkStart w:id="184" w:name="_Toc184310296"/>
      <w:bookmarkEnd w:id="184"/>
      <w:bookmarkStart w:id="185" w:name="_Toc184312105"/>
      <w:bookmarkEnd w:id="185"/>
      <w:bookmarkStart w:id="186" w:name="_Toc184313288"/>
      <w:bookmarkEnd w:id="186"/>
      <w:bookmarkStart w:id="187" w:name="_Toc184313295"/>
      <w:bookmarkEnd w:id="187"/>
      <w:bookmarkStart w:id="188" w:name="_Toc184308072"/>
      <w:bookmarkEnd w:id="188"/>
      <w:bookmarkStart w:id="189" w:name="_Toc184310329"/>
      <w:bookmarkEnd w:id="189"/>
      <w:bookmarkStart w:id="190" w:name="_Toc184308039"/>
      <w:bookmarkEnd w:id="190"/>
      <w:bookmarkStart w:id="191" w:name="_Toc184314435"/>
      <w:bookmarkEnd w:id="191"/>
      <w:bookmarkStart w:id="192" w:name="_Toc184310310"/>
      <w:bookmarkEnd w:id="192"/>
      <w:bookmarkStart w:id="193" w:name="_Toc184313244"/>
      <w:bookmarkEnd w:id="193"/>
      <w:bookmarkStart w:id="194" w:name="_Toc184312118"/>
      <w:bookmarkEnd w:id="194"/>
      <w:bookmarkStart w:id="195" w:name="_Toc184312089"/>
      <w:bookmarkEnd w:id="195"/>
      <w:bookmarkStart w:id="196" w:name="_Toc184313286"/>
      <w:bookmarkEnd w:id="196"/>
      <w:bookmarkStart w:id="197" w:name="_Toc184312126"/>
      <w:bookmarkEnd w:id="197"/>
      <w:bookmarkStart w:id="198" w:name="_Toc184313302"/>
      <w:bookmarkEnd w:id="198"/>
      <w:bookmarkStart w:id="199" w:name="_Toc184313285"/>
      <w:bookmarkEnd w:id="199"/>
      <w:bookmarkStart w:id="200" w:name="_Toc184312109"/>
      <w:bookmarkEnd w:id="200"/>
      <w:bookmarkStart w:id="201" w:name="_Toc184310302"/>
      <w:bookmarkEnd w:id="201"/>
      <w:bookmarkStart w:id="202" w:name="_Toc184312133"/>
      <w:bookmarkEnd w:id="202"/>
      <w:bookmarkStart w:id="203" w:name="_Toc184314437"/>
      <w:bookmarkEnd w:id="203"/>
      <w:bookmarkStart w:id="204" w:name="_Toc184310273"/>
      <w:bookmarkEnd w:id="204"/>
      <w:bookmarkStart w:id="205" w:name="_Toc184313278"/>
      <w:bookmarkEnd w:id="205"/>
      <w:bookmarkStart w:id="206" w:name="_Toc184310281"/>
      <w:bookmarkEnd w:id="206"/>
      <w:bookmarkStart w:id="207" w:name="_Toc184314417"/>
      <w:bookmarkEnd w:id="207"/>
      <w:bookmarkStart w:id="208" w:name="_Toc184312094"/>
      <w:bookmarkEnd w:id="208"/>
      <w:bookmarkStart w:id="209" w:name="_Toc184308065"/>
      <w:bookmarkEnd w:id="209"/>
      <w:bookmarkStart w:id="210" w:name="_Toc184312128"/>
      <w:bookmarkEnd w:id="210"/>
      <w:bookmarkStart w:id="211" w:name="_Toc184313284"/>
      <w:bookmarkEnd w:id="211"/>
      <w:bookmarkStart w:id="212" w:name="_Toc184314421"/>
      <w:bookmarkEnd w:id="212"/>
      <w:bookmarkStart w:id="213" w:name="_Toc184312101"/>
      <w:bookmarkEnd w:id="213"/>
      <w:bookmarkStart w:id="214" w:name="_Toc184313292"/>
      <w:bookmarkEnd w:id="214"/>
      <w:bookmarkStart w:id="215" w:name="_Toc184314459"/>
      <w:bookmarkEnd w:id="215"/>
      <w:bookmarkStart w:id="216" w:name="_Toc184313272"/>
      <w:bookmarkEnd w:id="216"/>
      <w:bookmarkStart w:id="217" w:name="_Toc184312095"/>
      <w:bookmarkEnd w:id="217"/>
      <w:bookmarkStart w:id="218" w:name="_Toc184314416"/>
      <w:bookmarkEnd w:id="218"/>
      <w:bookmarkStart w:id="219" w:name="_Toc184310343"/>
      <w:bookmarkEnd w:id="219"/>
      <w:bookmarkStart w:id="220" w:name="_Toc184314434"/>
      <w:bookmarkEnd w:id="220"/>
      <w:bookmarkStart w:id="221" w:name="_Toc184314454"/>
      <w:bookmarkEnd w:id="221"/>
      <w:bookmarkStart w:id="222" w:name="_Toc184314476"/>
      <w:bookmarkEnd w:id="222"/>
      <w:bookmarkStart w:id="223" w:name="_Toc184310340"/>
      <w:bookmarkEnd w:id="223"/>
      <w:bookmarkStart w:id="224" w:name="_Toc184314472"/>
      <w:bookmarkEnd w:id="224"/>
      <w:bookmarkStart w:id="225" w:name="_Toc184308086"/>
      <w:bookmarkEnd w:id="225"/>
      <w:bookmarkStart w:id="226" w:name="_Toc184312068"/>
      <w:bookmarkEnd w:id="226"/>
      <w:bookmarkStart w:id="227" w:name="_Toc184312124"/>
      <w:bookmarkEnd w:id="227"/>
      <w:bookmarkStart w:id="228" w:name="_Toc184313266"/>
      <w:bookmarkEnd w:id="228"/>
      <w:bookmarkStart w:id="229" w:name="_Toc184313283"/>
      <w:bookmarkEnd w:id="229"/>
      <w:bookmarkStart w:id="230" w:name="_Toc184314414"/>
      <w:bookmarkEnd w:id="230"/>
      <w:bookmarkStart w:id="231" w:name="_Toc184308071"/>
      <w:bookmarkEnd w:id="231"/>
      <w:bookmarkStart w:id="232" w:name="_Toc184314452"/>
      <w:bookmarkEnd w:id="232"/>
      <w:bookmarkStart w:id="233" w:name="_Toc184308054"/>
      <w:bookmarkEnd w:id="233"/>
      <w:bookmarkStart w:id="234" w:name="_Toc184313287"/>
      <w:bookmarkEnd w:id="234"/>
      <w:bookmarkStart w:id="235" w:name="_Toc184312086"/>
      <w:bookmarkEnd w:id="235"/>
      <w:bookmarkStart w:id="236" w:name="_Toc184314466"/>
      <w:bookmarkEnd w:id="236"/>
      <w:bookmarkStart w:id="237" w:name="_Toc184313294"/>
      <w:bookmarkEnd w:id="237"/>
      <w:bookmarkStart w:id="238" w:name="_Toc184313268"/>
      <w:bookmarkEnd w:id="238"/>
      <w:bookmarkStart w:id="239" w:name="_Toc184308106"/>
      <w:bookmarkEnd w:id="239"/>
      <w:bookmarkStart w:id="240" w:name="_Toc184310303"/>
      <w:bookmarkEnd w:id="240"/>
      <w:bookmarkStart w:id="241" w:name="_Toc184314431"/>
      <w:bookmarkEnd w:id="241"/>
      <w:bookmarkStart w:id="242" w:name="_Toc184308053"/>
      <w:bookmarkEnd w:id="242"/>
      <w:bookmarkStart w:id="243" w:name="_Toc184312073"/>
      <w:bookmarkEnd w:id="243"/>
      <w:bookmarkStart w:id="244" w:name="_Toc184314451"/>
      <w:bookmarkEnd w:id="244"/>
      <w:bookmarkStart w:id="245" w:name="_Toc184310290"/>
      <w:bookmarkEnd w:id="245"/>
      <w:bookmarkStart w:id="246" w:name="_Toc184312137"/>
      <w:bookmarkEnd w:id="246"/>
      <w:bookmarkStart w:id="247" w:name="_Toc184312070"/>
      <w:bookmarkEnd w:id="247"/>
      <w:bookmarkStart w:id="248" w:name="_Toc184308084"/>
      <w:bookmarkEnd w:id="248"/>
      <w:bookmarkStart w:id="249" w:name="_Toc184312074"/>
      <w:bookmarkEnd w:id="249"/>
      <w:bookmarkStart w:id="250" w:name="_Toc184314422"/>
      <w:bookmarkEnd w:id="250"/>
      <w:bookmarkStart w:id="251" w:name="_Toc184313301"/>
      <w:bookmarkEnd w:id="251"/>
      <w:bookmarkStart w:id="252" w:name="_Toc184314426"/>
      <w:bookmarkEnd w:id="252"/>
      <w:bookmarkStart w:id="253" w:name="_Toc184313305"/>
      <w:bookmarkEnd w:id="253"/>
      <w:bookmarkStart w:id="254" w:name="_Toc184310295"/>
      <w:bookmarkEnd w:id="254"/>
      <w:bookmarkStart w:id="255" w:name="_Toc184310313"/>
      <w:bookmarkEnd w:id="255"/>
      <w:bookmarkStart w:id="256" w:name="_Toc184312099"/>
      <w:bookmarkEnd w:id="256"/>
      <w:bookmarkStart w:id="257" w:name="_Toc184312072"/>
      <w:bookmarkEnd w:id="257"/>
      <w:bookmarkStart w:id="258" w:name="_Toc184308061"/>
      <w:bookmarkEnd w:id="258"/>
      <w:bookmarkStart w:id="259" w:name="_Toc184312135"/>
      <w:bookmarkEnd w:id="259"/>
      <w:bookmarkStart w:id="260" w:name="_Toc184313251"/>
      <w:bookmarkEnd w:id="260"/>
      <w:bookmarkStart w:id="261" w:name="_Toc184310275"/>
      <w:bookmarkEnd w:id="261"/>
      <w:bookmarkStart w:id="262" w:name="_Toc184310326"/>
      <w:bookmarkEnd w:id="262"/>
      <w:bookmarkStart w:id="263" w:name="_Toc184312125"/>
      <w:bookmarkEnd w:id="263"/>
      <w:bookmarkStart w:id="264" w:name="_Toc184308096"/>
      <w:bookmarkEnd w:id="264"/>
      <w:bookmarkStart w:id="265" w:name="_Toc184314446"/>
      <w:bookmarkEnd w:id="265"/>
      <w:bookmarkStart w:id="266" w:name="_Toc184313253"/>
      <w:bookmarkEnd w:id="266"/>
      <w:bookmarkStart w:id="267" w:name="_Toc184312139"/>
      <w:bookmarkEnd w:id="267"/>
      <w:bookmarkStart w:id="268" w:name="_Toc184308074"/>
      <w:bookmarkEnd w:id="268"/>
      <w:bookmarkStart w:id="269" w:name="_Toc184312121"/>
      <w:bookmarkEnd w:id="269"/>
      <w:bookmarkStart w:id="270" w:name="_Toc184314482"/>
      <w:bookmarkEnd w:id="270"/>
      <w:bookmarkStart w:id="271" w:name="_Toc184313306"/>
      <w:bookmarkEnd w:id="271"/>
      <w:bookmarkStart w:id="272" w:name="_Toc184308100"/>
      <w:bookmarkEnd w:id="272"/>
      <w:bookmarkStart w:id="273" w:name="_Toc184308095"/>
      <w:bookmarkEnd w:id="273"/>
      <w:bookmarkStart w:id="274" w:name="_Toc184314438"/>
      <w:bookmarkEnd w:id="274"/>
      <w:bookmarkStart w:id="275" w:name="_Toc184308068"/>
      <w:bookmarkEnd w:id="275"/>
      <w:bookmarkStart w:id="276" w:name="_Toc184314433"/>
      <w:bookmarkEnd w:id="276"/>
      <w:bookmarkStart w:id="277" w:name="_Toc184308102"/>
      <w:bookmarkEnd w:id="277"/>
      <w:bookmarkStart w:id="278" w:name="_Toc184310327"/>
      <w:bookmarkEnd w:id="278"/>
      <w:bookmarkStart w:id="279" w:name="_Toc184313255"/>
      <w:bookmarkEnd w:id="279"/>
      <w:bookmarkStart w:id="280" w:name="_Toc184312100"/>
      <w:bookmarkEnd w:id="280"/>
      <w:bookmarkStart w:id="281" w:name="_Toc184310337"/>
      <w:bookmarkEnd w:id="281"/>
      <w:bookmarkStart w:id="282" w:name="_Toc184313279"/>
      <w:bookmarkEnd w:id="282"/>
      <w:bookmarkStart w:id="283" w:name="_Toc184310272"/>
      <w:bookmarkEnd w:id="283"/>
      <w:bookmarkStart w:id="284" w:name="_Toc184308103"/>
      <w:bookmarkEnd w:id="284"/>
      <w:bookmarkStart w:id="285" w:name="_Toc184312108"/>
      <w:bookmarkEnd w:id="285"/>
      <w:bookmarkStart w:id="286" w:name="_Toc184313252"/>
      <w:bookmarkEnd w:id="286"/>
      <w:bookmarkStart w:id="287" w:name="_Toc184310311"/>
      <w:bookmarkEnd w:id="287"/>
      <w:bookmarkStart w:id="288" w:name="_Toc184310315"/>
      <w:bookmarkEnd w:id="288"/>
      <w:bookmarkStart w:id="289" w:name="_Toc184312078"/>
      <w:bookmarkEnd w:id="289"/>
      <w:bookmarkStart w:id="290" w:name="_Toc184314441"/>
      <w:bookmarkEnd w:id="290"/>
      <w:bookmarkStart w:id="291" w:name="_Toc184314464"/>
      <w:bookmarkEnd w:id="291"/>
      <w:bookmarkStart w:id="292" w:name="_Toc184313246"/>
      <w:bookmarkEnd w:id="292"/>
      <w:bookmarkStart w:id="293" w:name="_Toc184310299"/>
      <w:bookmarkEnd w:id="293"/>
      <w:bookmarkStart w:id="294" w:name="_Toc184313273"/>
      <w:bookmarkEnd w:id="294"/>
      <w:bookmarkStart w:id="295" w:name="_Toc184310301"/>
      <w:bookmarkEnd w:id="295"/>
      <w:bookmarkStart w:id="296" w:name="_Toc184313257"/>
      <w:bookmarkEnd w:id="296"/>
      <w:bookmarkStart w:id="297" w:name="_Toc184310286"/>
      <w:bookmarkEnd w:id="297"/>
      <w:bookmarkStart w:id="298" w:name="_Toc184310294"/>
      <w:bookmarkEnd w:id="298"/>
      <w:bookmarkStart w:id="299" w:name="_Toc184313298"/>
      <w:bookmarkEnd w:id="299"/>
      <w:bookmarkStart w:id="300" w:name="_Toc184310288"/>
      <w:bookmarkEnd w:id="300"/>
      <w:bookmarkStart w:id="301" w:name="_Toc184314412"/>
      <w:bookmarkEnd w:id="301"/>
      <w:bookmarkStart w:id="302" w:name="_Toc184310279"/>
      <w:bookmarkEnd w:id="302"/>
      <w:bookmarkStart w:id="303" w:name="_Toc184312113"/>
      <w:bookmarkEnd w:id="303"/>
      <w:bookmarkStart w:id="304" w:name="_Toc184312085"/>
      <w:bookmarkEnd w:id="304"/>
      <w:bookmarkStart w:id="305" w:name="_Toc184313241"/>
      <w:bookmarkEnd w:id="305"/>
      <w:bookmarkStart w:id="306" w:name="_Toc184312077"/>
      <w:bookmarkEnd w:id="306"/>
      <w:bookmarkStart w:id="307" w:name="_Toc184308094"/>
      <w:bookmarkEnd w:id="307"/>
      <w:bookmarkStart w:id="308" w:name="_Toc184314471"/>
      <w:bookmarkEnd w:id="308"/>
      <w:bookmarkStart w:id="309" w:name="_Toc184312123"/>
      <w:bookmarkEnd w:id="309"/>
      <w:bookmarkStart w:id="310" w:name="_Toc184313291"/>
      <w:bookmarkEnd w:id="310"/>
      <w:bookmarkStart w:id="311" w:name="_Toc184314415"/>
      <w:bookmarkEnd w:id="311"/>
      <w:bookmarkStart w:id="312" w:name="_Toc184314473"/>
      <w:bookmarkEnd w:id="312"/>
      <w:bookmarkStart w:id="313" w:name="_Toc184312122"/>
      <w:bookmarkEnd w:id="313"/>
      <w:bookmarkStart w:id="314" w:name="_Toc184314419"/>
      <w:bookmarkEnd w:id="314"/>
      <w:bookmarkStart w:id="315" w:name="_Toc184310344"/>
      <w:bookmarkEnd w:id="315"/>
      <w:bookmarkStart w:id="316" w:name="_Toc184312071"/>
      <w:bookmarkEnd w:id="316"/>
      <w:bookmarkStart w:id="317" w:name="_Toc184308038"/>
      <w:bookmarkEnd w:id="317"/>
      <w:bookmarkStart w:id="318" w:name="_Toc184310318"/>
      <w:bookmarkEnd w:id="318"/>
      <w:bookmarkStart w:id="319" w:name="_Toc184310293"/>
      <w:bookmarkEnd w:id="319"/>
      <w:bookmarkStart w:id="320" w:name="_Toc184310307"/>
      <w:bookmarkEnd w:id="320"/>
      <w:bookmarkStart w:id="321" w:name="_Toc184314420"/>
      <w:bookmarkEnd w:id="321"/>
      <w:bookmarkStart w:id="322" w:name="_Toc184308043"/>
      <w:bookmarkEnd w:id="322"/>
      <w:bookmarkStart w:id="323" w:name="_Toc184310304"/>
      <w:bookmarkEnd w:id="323"/>
      <w:bookmarkStart w:id="324" w:name="_Toc184312130"/>
      <w:bookmarkEnd w:id="324"/>
      <w:bookmarkStart w:id="325" w:name="_Toc184313308"/>
      <w:bookmarkEnd w:id="325"/>
      <w:bookmarkStart w:id="326" w:name="_Toc184314455"/>
      <w:bookmarkEnd w:id="326"/>
      <w:bookmarkStart w:id="327" w:name="_Toc184313249"/>
      <w:bookmarkEnd w:id="327"/>
      <w:bookmarkStart w:id="328" w:name="_Toc184313267"/>
      <w:bookmarkEnd w:id="328"/>
      <w:bookmarkStart w:id="329" w:name="_Toc184314470"/>
      <w:bookmarkEnd w:id="329"/>
      <w:bookmarkStart w:id="330" w:name="_Toc184313299"/>
      <w:bookmarkEnd w:id="330"/>
      <w:bookmarkStart w:id="331" w:name="_Toc184312091"/>
      <w:bookmarkEnd w:id="331"/>
      <w:bookmarkStart w:id="332" w:name="_Toc184310282"/>
      <w:bookmarkEnd w:id="332"/>
      <w:bookmarkStart w:id="333" w:name="_Toc184308047"/>
      <w:bookmarkEnd w:id="333"/>
      <w:bookmarkStart w:id="334" w:name="_Toc184308088"/>
      <w:bookmarkEnd w:id="334"/>
      <w:bookmarkStart w:id="335" w:name="_Toc184308093"/>
      <w:bookmarkEnd w:id="335"/>
      <w:bookmarkStart w:id="336" w:name="_Toc184314428"/>
      <w:bookmarkEnd w:id="336"/>
      <w:bookmarkStart w:id="337" w:name="_Toc184308104"/>
      <w:bookmarkEnd w:id="337"/>
      <w:bookmarkStart w:id="338" w:name="_Toc184308077"/>
      <w:bookmarkEnd w:id="338"/>
      <w:bookmarkStart w:id="339" w:name="_Toc184314444"/>
      <w:bookmarkEnd w:id="339"/>
      <w:bookmarkStart w:id="340" w:name="_Toc184308051"/>
      <w:bookmarkEnd w:id="340"/>
      <w:bookmarkStart w:id="341" w:name="_Toc184314461"/>
      <w:bookmarkEnd w:id="341"/>
      <w:bookmarkStart w:id="342" w:name="_Toc184313260"/>
      <w:bookmarkEnd w:id="342"/>
      <w:bookmarkStart w:id="343" w:name="_Toc184312081"/>
      <w:bookmarkEnd w:id="343"/>
      <w:bookmarkStart w:id="344" w:name="_Toc184313269"/>
      <w:bookmarkEnd w:id="344"/>
      <w:bookmarkStart w:id="345" w:name="_Toc184313297"/>
      <w:bookmarkEnd w:id="345"/>
      <w:bookmarkStart w:id="346" w:name="_Toc184313239"/>
      <w:bookmarkEnd w:id="346"/>
      <w:bookmarkStart w:id="347" w:name="_Toc184308041"/>
      <w:bookmarkEnd w:id="347"/>
      <w:bookmarkStart w:id="348" w:name="_Toc184312083"/>
      <w:bookmarkEnd w:id="348"/>
      <w:bookmarkStart w:id="349" w:name="_Toc184314478"/>
      <w:bookmarkEnd w:id="349"/>
      <w:bookmarkStart w:id="350" w:name="_Toc184308070"/>
      <w:bookmarkEnd w:id="350"/>
      <w:bookmarkStart w:id="351" w:name="_Toc184308052"/>
      <w:bookmarkEnd w:id="351"/>
      <w:bookmarkStart w:id="352" w:name="_Toc184310287"/>
      <w:bookmarkEnd w:id="352"/>
      <w:bookmarkStart w:id="353" w:name="_Toc184312138"/>
      <w:bookmarkEnd w:id="353"/>
      <w:bookmarkStart w:id="354" w:name="_Toc184308075"/>
      <w:bookmarkEnd w:id="354"/>
      <w:bookmarkStart w:id="355" w:name="_Toc184313258"/>
      <w:bookmarkEnd w:id="355"/>
      <w:bookmarkStart w:id="356" w:name="_Toc184310335"/>
      <w:bookmarkEnd w:id="356"/>
      <w:bookmarkStart w:id="357" w:name="_Toc184313276"/>
      <w:bookmarkEnd w:id="357"/>
      <w:bookmarkStart w:id="358" w:name="_Toc184310297"/>
      <w:bookmarkEnd w:id="358"/>
      <w:bookmarkStart w:id="359" w:name="_Toc184310338"/>
      <w:bookmarkEnd w:id="359"/>
      <w:bookmarkStart w:id="360" w:name="_Toc184308066"/>
      <w:bookmarkEnd w:id="360"/>
      <w:bookmarkStart w:id="361" w:name="_Toc184310328"/>
      <w:bookmarkEnd w:id="361"/>
      <w:bookmarkStart w:id="362" w:name="_Toc184310317"/>
      <w:bookmarkEnd w:id="362"/>
      <w:bookmarkStart w:id="363" w:name="_Toc184310321"/>
      <w:bookmarkEnd w:id="363"/>
      <w:bookmarkStart w:id="364" w:name="_Toc184310289"/>
      <w:bookmarkEnd w:id="364"/>
      <w:bookmarkStart w:id="365" w:name="_Toc184313254"/>
      <w:bookmarkEnd w:id="365"/>
      <w:bookmarkStart w:id="366" w:name="_Toc184310291"/>
      <w:bookmarkEnd w:id="366"/>
      <w:bookmarkStart w:id="367" w:name="_Toc184308080"/>
      <w:bookmarkEnd w:id="367"/>
      <w:bookmarkStart w:id="368" w:name="_Toc184310305"/>
      <w:bookmarkEnd w:id="368"/>
      <w:bookmarkStart w:id="369" w:name="_Toc184314413"/>
      <w:bookmarkEnd w:id="369"/>
      <w:bookmarkStart w:id="370" w:name="_Toc184312129"/>
      <w:bookmarkEnd w:id="370"/>
      <w:bookmarkStart w:id="371" w:name="_Toc184308097"/>
      <w:bookmarkEnd w:id="371"/>
      <w:bookmarkStart w:id="372" w:name="_Toc184312131"/>
      <w:bookmarkEnd w:id="372"/>
      <w:bookmarkStart w:id="373" w:name="_Toc184310322"/>
      <w:bookmarkEnd w:id="373"/>
      <w:bookmarkStart w:id="374" w:name="_Toc184308049"/>
      <w:bookmarkEnd w:id="374"/>
      <w:bookmarkStart w:id="375" w:name="_Toc184308036"/>
      <w:bookmarkEnd w:id="375"/>
      <w:bookmarkStart w:id="376" w:name="_Toc184312097"/>
      <w:bookmarkEnd w:id="376"/>
      <w:bookmarkStart w:id="377" w:name="_Toc184313290"/>
      <w:bookmarkEnd w:id="377"/>
      <w:bookmarkStart w:id="378" w:name="_Toc184314447"/>
      <w:bookmarkEnd w:id="378"/>
      <w:bookmarkStart w:id="379" w:name="_Toc184310280"/>
      <w:bookmarkEnd w:id="379"/>
      <w:bookmarkStart w:id="380" w:name="_Toc184312116"/>
      <w:bookmarkEnd w:id="380"/>
      <w:bookmarkStart w:id="381" w:name="_Toc184313265"/>
      <w:bookmarkEnd w:id="381"/>
      <w:bookmarkStart w:id="382" w:name="_Toc184313270"/>
      <w:bookmarkEnd w:id="382"/>
      <w:bookmarkStart w:id="383" w:name="_Toc184308098"/>
      <w:bookmarkEnd w:id="383"/>
      <w:bookmarkStart w:id="384" w:name="_Toc184308042"/>
      <w:bookmarkEnd w:id="384"/>
      <w:bookmarkStart w:id="385" w:name="_Toc184314430"/>
      <w:bookmarkEnd w:id="385"/>
      <w:bookmarkStart w:id="386" w:name="_Toc184312104"/>
      <w:bookmarkEnd w:id="386"/>
      <w:bookmarkStart w:id="387" w:name="_Toc184312087"/>
      <w:bookmarkEnd w:id="387"/>
      <w:bookmarkStart w:id="388" w:name="_Toc184310285"/>
      <w:bookmarkEnd w:id="388"/>
      <w:bookmarkStart w:id="389" w:name="_Toc184314463"/>
      <w:bookmarkEnd w:id="389"/>
      <w:bookmarkStart w:id="390" w:name="_Toc184314460"/>
      <w:bookmarkEnd w:id="390"/>
      <w:r>
        <w:rPr>
          <w:rFonts w:hint="eastAsia" w:ascii="仿宋" w:hAnsi="仿宋" w:eastAsia="仿宋" w:cs="仿宋"/>
          <w:b/>
          <w:color w:val="auto"/>
          <w:kern w:val="44"/>
          <w:sz w:val="36"/>
          <w:szCs w:val="36"/>
          <w:highlight w:val="none"/>
          <w:lang w:val="en-US" w:eastAsia="zh-CN" w:bidi="ar-SA"/>
        </w:rPr>
        <w:t>评标办法</w:t>
      </w:r>
    </w:p>
    <w:p w14:paraId="05F1FDF4">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120" w:line="420" w:lineRule="exact"/>
        <w:jc w:val="center"/>
        <w:textAlignment w:val="auto"/>
        <w:rPr>
          <w:rFonts w:hint="eastAsia" w:ascii="仿宋" w:hAnsi="仿宋" w:eastAsia="仿宋" w:cs="仿宋"/>
          <w:b/>
          <w:color w:val="auto"/>
          <w:kern w:val="44"/>
          <w:sz w:val="32"/>
          <w:szCs w:val="32"/>
          <w:highlight w:val="none"/>
          <w:lang w:val="en-US" w:eastAsia="zh-CN" w:bidi="ar-SA"/>
        </w:rPr>
      </w:pPr>
      <w:r>
        <w:rPr>
          <w:rFonts w:hint="eastAsia" w:ascii="仿宋" w:hAnsi="仿宋" w:eastAsia="仿宋" w:cs="仿宋"/>
          <w:b/>
          <w:color w:val="auto"/>
          <w:kern w:val="44"/>
          <w:sz w:val="32"/>
          <w:szCs w:val="32"/>
          <w:highlight w:val="none"/>
          <w:lang w:val="en-US" w:eastAsia="zh-CN" w:bidi="ar-SA"/>
        </w:rPr>
        <w:t>评标办法前附表</w:t>
      </w:r>
    </w:p>
    <w:p w14:paraId="2C47CDD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（1）满分为100分。总得分=商务技术得分+报价得分；</w:t>
      </w:r>
    </w:p>
    <w:p w14:paraId="79DE810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（2）商务技术得分=商务技术评分，商务技术评分=所有评委的有效评分的算术平均数。</w:t>
      </w:r>
    </w:p>
    <w:p w14:paraId="1D7944E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（3）报价得分=（评标基准价/投标报价）*价格权值*100，评标基准价=有效投标人的最低投标报价，价格权值=20%；</w:t>
      </w:r>
    </w:p>
    <w:p w14:paraId="070618A8">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480" w:firstLineChars="200"/>
        <w:textAlignment w:val="auto"/>
        <w:rPr>
          <w:rFonts w:hint="eastAsia" w:ascii="仿宋" w:hAnsi="仿宋" w:eastAsia="仿宋" w:cs="仿宋"/>
          <w:sz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sz w:val="24"/>
          <w:highlight w:val="none"/>
        </w:rPr>
        <w:t>商务技术分评分细则（</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0分）</w:t>
      </w:r>
    </w:p>
    <w:p w14:paraId="5D9FA8F2">
      <w:pPr>
        <w:autoSpaceDE w:val="0"/>
        <w:autoSpaceDN w:val="0"/>
        <w:adjustRightInd w:val="0"/>
        <w:spacing w:after="159" w:afterLines="50" w:afterAutospacing="0" w:line="420" w:lineRule="exact"/>
        <w:rPr>
          <w:rFonts w:hint="eastAsia" w:ascii="仿宋" w:hAnsi="仿宋" w:eastAsia="仿宋" w:cs="仿宋"/>
          <w:b/>
          <w:bCs/>
          <w:i w:val="0"/>
          <w:iCs w:val="0"/>
          <w:sz w:val="24"/>
          <w:highlight w:val="none"/>
        </w:rPr>
      </w:pPr>
      <w:r>
        <w:rPr>
          <w:rFonts w:hint="eastAsia" w:eastAsia="仿宋"/>
          <w:b/>
          <w:bCs/>
          <w:i w:val="0"/>
          <w:iCs w:val="0"/>
          <w:sz w:val="24"/>
          <w:highlight w:val="none"/>
        </w:rPr>
        <w:t>标项1</w:t>
      </w:r>
      <w:r>
        <w:rPr>
          <w:rFonts w:hint="eastAsia" w:eastAsia="仿宋"/>
          <w:b/>
          <w:bCs/>
          <w:i w:val="0"/>
          <w:iCs w:val="0"/>
          <w:sz w:val="24"/>
          <w:highlight w:val="none"/>
          <w:lang w:eastAsia="zh-CN"/>
        </w:rPr>
        <w:t>、</w:t>
      </w:r>
      <w:r>
        <w:rPr>
          <w:rFonts w:hint="eastAsia" w:eastAsia="仿宋"/>
          <w:b/>
          <w:bCs/>
          <w:i w:val="0"/>
          <w:iCs w:val="0"/>
          <w:sz w:val="24"/>
          <w:highlight w:val="none"/>
          <w:lang w:val="en-US" w:eastAsia="zh-CN"/>
        </w:rPr>
        <w:t>2</w:t>
      </w:r>
      <w:r>
        <w:rPr>
          <w:rFonts w:hint="eastAsia" w:eastAsia="仿宋"/>
          <w:b/>
          <w:bCs/>
          <w:i w:val="0"/>
          <w:iCs w:val="0"/>
          <w:sz w:val="24"/>
          <w:highlight w:val="none"/>
        </w:rPr>
        <w:t>：</w:t>
      </w:r>
      <w:r>
        <w:rPr>
          <w:rFonts w:hint="eastAsia" w:ascii="仿宋" w:hAnsi="仿宋" w:eastAsia="仿宋" w:cs="仿宋"/>
          <w:b/>
          <w:bCs/>
          <w:i w:val="0"/>
          <w:iCs w:val="0"/>
          <w:sz w:val="24"/>
          <w:highlight w:val="none"/>
        </w:rPr>
        <w:t>商务</w:t>
      </w:r>
      <w:r>
        <w:rPr>
          <w:rFonts w:hint="eastAsia" w:ascii="仿宋" w:hAnsi="仿宋" w:eastAsia="仿宋" w:cs="宋体"/>
          <w:b/>
          <w:bCs/>
          <w:i w:val="0"/>
          <w:iCs w:val="0"/>
          <w:sz w:val="24"/>
          <w:highlight w:val="none"/>
        </w:rPr>
        <w:t>技术分评分细则（80分）</w:t>
      </w:r>
    </w:p>
    <w:tbl>
      <w:tblPr>
        <w:tblStyle w:val="66"/>
        <w:tblW w:w="93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4"/>
        <w:gridCol w:w="805"/>
        <w:gridCol w:w="6978"/>
        <w:gridCol w:w="791"/>
      </w:tblGrid>
      <w:tr w14:paraId="5EBCD8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744" w:type="dxa"/>
            <w:noWrap/>
            <w:vAlign w:val="center"/>
          </w:tcPr>
          <w:p w14:paraId="077B8AF6">
            <w:pPr>
              <w:autoSpaceDE/>
              <w:autoSpaceDN/>
              <w:spacing w:line="320" w:lineRule="exact"/>
              <w:ind w:firstLine="0" w:firstLineChars="0"/>
              <w:jc w:val="center"/>
              <w:rPr>
                <w:rFonts w:ascii="仿宋" w:hAnsi="仿宋" w:eastAsia="仿宋" w:cs="宋体"/>
                <w:b/>
                <w:bCs/>
                <w:kern w:val="2"/>
                <w:sz w:val="24"/>
                <w:szCs w:val="24"/>
                <w:highlight w:val="none"/>
              </w:rPr>
            </w:pPr>
            <w:r>
              <w:rPr>
                <w:rFonts w:hint="eastAsia" w:ascii="仿宋" w:hAnsi="仿宋" w:eastAsia="仿宋" w:cs="宋体"/>
                <w:b/>
                <w:bCs/>
                <w:kern w:val="2"/>
                <w:sz w:val="24"/>
                <w:szCs w:val="24"/>
                <w:highlight w:val="none"/>
              </w:rPr>
              <w:t>序号</w:t>
            </w:r>
          </w:p>
        </w:tc>
        <w:tc>
          <w:tcPr>
            <w:tcW w:w="805" w:type="dxa"/>
            <w:noWrap/>
            <w:vAlign w:val="center"/>
          </w:tcPr>
          <w:p w14:paraId="2D05105E">
            <w:pPr>
              <w:autoSpaceDE/>
              <w:autoSpaceDN/>
              <w:spacing w:line="320" w:lineRule="exact"/>
              <w:ind w:firstLine="0" w:firstLineChars="0"/>
              <w:jc w:val="center"/>
              <w:rPr>
                <w:rFonts w:ascii="仿宋" w:hAnsi="仿宋" w:eastAsia="仿宋" w:cs="宋体"/>
                <w:b/>
                <w:bCs/>
                <w:kern w:val="2"/>
                <w:sz w:val="24"/>
                <w:szCs w:val="24"/>
                <w:highlight w:val="none"/>
              </w:rPr>
            </w:pPr>
            <w:r>
              <w:rPr>
                <w:rFonts w:hint="eastAsia" w:ascii="仿宋" w:hAnsi="仿宋" w:eastAsia="仿宋" w:cs="宋体"/>
                <w:b/>
                <w:bCs/>
                <w:kern w:val="2"/>
                <w:sz w:val="24"/>
                <w:szCs w:val="24"/>
                <w:highlight w:val="none"/>
              </w:rPr>
              <w:t>项目</w:t>
            </w:r>
          </w:p>
        </w:tc>
        <w:tc>
          <w:tcPr>
            <w:tcW w:w="6978" w:type="dxa"/>
            <w:noWrap/>
            <w:vAlign w:val="center"/>
          </w:tcPr>
          <w:p w14:paraId="258A9C67">
            <w:pPr>
              <w:autoSpaceDE/>
              <w:autoSpaceDN/>
              <w:spacing w:line="320" w:lineRule="exact"/>
              <w:ind w:firstLine="0" w:firstLineChars="0"/>
              <w:jc w:val="center"/>
              <w:rPr>
                <w:rFonts w:ascii="仿宋" w:hAnsi="仿宋" w:eastAsia="仿宋" w:cs="宋体"/>
                <w:b/>
                <w:bCs/>
                <w:kern w:val="2"/>
                <w:sz w:val="24"/>
                <w:szCs w:val="24"/>
                <w:highlight w:val="none"/>
              </w:rPr>
            </w:pPr>
            <w:r>
              <w:rPr>
                <w:rFonts w:hint="eastAsia" w:ascii="仿宋" w:hAnsi="仿宋" w:eastAsia="仿宋" w:cs="宋体"/>
                <w:b/>
                <w:bCs/>
                <w:kern w:val="2"/>
                <w:sz w:val="24"/>
                <w:szCs w:val="24"/>
                <w:highlight w:val="none"/>
              </w:rPr>
              <w:t>评分标准</w:t>
            </w:r>
          </w:p>
        </w:tc>
        <w:tc>
          <w:tcPr>
            <w:tcW w:w="791" w:type="dxa"/>
            <w:noWrap/>
            <w:vAlign w:val="center"/>
          </w:tcPr>
          <w:p w14:paraId="687AAA42">
            <w:pPr>
              <w:autoSpaceDE/>
              <w:autoSpaceDN/>
              <w:spacing w:line="320" w:lineRule="exact"/>
              <w:ind w:firstLine="0" w:firstLineChars="0"/>
              <w:jc w:val="center"/>
              <w:rPr>
                <w:rFonts w:ascii="仿宋" w:hAnsi="仿宋" w:eastAsia="仿宋" w:cs="宋体"/>
                <w:b/>
                <w:bCs/>
                <w:kern w:val="2"/>
                <w:sz w:val="24"/>
                <w:szCs w:val="24"/>
                <w:highlight w:val="none"/>
              </w:rPr>
            </w:pPr>
            <w:r>
              <w:rPr>
                <w:rFonts w:hint="eastAsia" w:ascii="仿宋" w:hAnsi="仿宋" w:eastAsia="仿宋" w:cs="宋体"/>
                <w:b/>
                <w:bCs/>
                <w:kern w:val="2"/>
                <w:sz w:val="24"/>
                <w:szCs w:val="24"/>
                <w:highlight w:val="none"/>
              </w:rPr>
              <w:t>分值</w:t>
            </w:r>
          </w:p>
        </w:tc>
      </w:tr>
      <w:tr w14:paraId="24C1A0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0" w:hRule="atLeast"/>
          <w:jc w:val="center"/>
        </w:trPr>
        <w:tc>
          <w:tcPr>
            <w:tcW w:w="744" w:type="dxa"/>
            <w:noWrap/>
            <w:vAlign w:val="center"/>
          </w:tcPr>
          <w:p w14:paraId="38F38BC7">
            <w:pPr>
              <w:autoSpaceDE/>
              <w:autoSpaceDN/>
              <w:spacing w:line="320" w:lineRule="exact"/>
              <w:ind w:firstLine="0" w:firstLineChars="0"/>
              <w:jc w:val="center"/>
              <w:rPr>
                <w:rFonts w:hint="eastAsia" w:ascii="仿宋" w:hAnsi="仿宋" w:eastAsia="仿宋" w:cs="宋体"/>
                <w:b/>
                <w:bCs/>
                <w:kern w:val="2"/>
                <w:sz w:val="24"/>
                <w:szCs w:val="24"/>
                <w:highlight w:val="none"/>
                <w:lang w:eastAsia="zh-CN"/>
              </w:rPr>
            </w:pPr>
            <w:r>
              <w:rPr>
                <w:rFonts w:hint="eastAsia" w:ascii="仿宋" w:hAnsi="仿宋" w:eastAsia="仿宋" w:cs="宋体"/>
                <w:b/>
                <w:bCs/>
                <w:kern w:val="2"/>
                <w:sz w:val="24"/>
                <w:szCs w:val="24"/>
                <w:highlight w:val="none"/>
                <w:lang w:val="en-US" w:eastAsia="zh-CN"/>
              </w:rPr>
              <w:t>1</w:t>
            </w:r>
          </w:p>
        </w:tc>
        <w:tc>
          <w:tcPr>
            <w:tcW w:w="805" w:type="dxa"/>
            <w:noWrap/>
            <w:vAlign w:val="center"/>
          </w:tcPr>
          <w:p w14:paraId="7C07C2B6">
            <w:pPr>
              <w:autoSpaceDE/>
              <w:autoSpaceDN/>
              <w:spacing w:line="320" w:lineRule="exact"/>
              <w:ind w:firstLine="0" w:firstLineChars="0"/>
              <w:jc w:val="center"/>
              <w:rPr>
                <w:rFonts w:ascii="仿宋" w:hAnsi="仿宋" w:eastAsia="仿宋" w:cs="宋体"/>
                <w:b/>
                <w:bCs/>
                <w:kern w:val="2"/>
                <w:sz w:val="24"/>
                <w:szCs w:val="24"/>
                <w:highlight w:val="none"/>
              </w:rPr>
            </w:pPr>
            <w:r>
              <w:rPr>
                <w:rFonts w:hint="eastAsia" w:ascii="仿宋" w:hAnsi="仿宋" w:eastAsia="仿宋" w:cs="宋体"/>
                <w:b/>
                <w:bCs/>
                <w:kern w:val="2"/>
                <w:sz w:val="24"/>
                <w:szCs w:val="24"/>
                <w:highlight w:val="none"/>
              </w:rPr>
              <w:t>项目</w:t>
            </w:r>
          </w:p>
          <w:p w14:paraId="67CC80CE">
            <w:pPr>
              <w:autoSpaceDE/>
              <w:autoSpaceDN/>
              <w:spacing w:line="320" w:lineRule="exact"/>
              <w:ind w:firstLine="0" w:firstLineChars="0"/>
              <w:jc w:val="center"/>
              <w:rPr>
                <w:rFonts w:ascii="仿宋" w:hAnsi="仿宋" w:eastAsia="仿宋" w:cs="宋体"/>
                <w:b/>
                <w:bCs/>
                <w:kern w:val="2"/>
                <w:sz w:val="24"/>
                <w:szCs w:val="24"/>
                <w:highlight w:val="none"/>
              </w:rPr>
            </w:pPr>
            <w:r>
              <w:rPr>
                <w:rFonts w:hint="eastAsia" w:ascii="仿宋" w:hAnsi="仿宋" w:eastAsia="仿宋" w:cs="宋体"/>
                <w:b/>
                <w:bCs/>
                <w:kern w:val="2"/>
                <w:sz w:val="24"/>
                <w:szCs w:val="24"/>
                <w:highlight w:val="none"/>
              </w:rPr>
              <w:t>经验</w:t>
            </w:r>
          </w:p>
        </w:tc>
        <w:tc>
          <w:tcPr>
            <w:tcW w:w="6978" w:type="dxa"/>
            <w:noWrap/>
            <w:vAlign w:val="center"/>
          </w:tcPr>
          <w:p w14:paraId="10B9074B">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自2021年1月1日以来（以合同签订时间为准），具有同类项目经验的，每提供一项得1分，最高得2分。</w:t>
            </w:r>
          </w:p>
          <w:p w14:paraId="5677D0AA">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注：提供项目合同复印件以及政府采购网官方截图等证明材料并加盖投标人CA公章，不提供或提供不全不得分。</w:t>
            </w:r>
          </w:p>
        </w:tc>
        <w:tc>
          <w:tcPr>
            <w:tcW w:w="791" w:type="dxa"/>
            <w:noWrap/>
            <w:vAlign w:val="center"/>
          </w:tcPr>
          <w:p w14:paraId="21E482F3">
            <w:pPr>
              <w:autoSpaceDE/>
              <w:autoSpaceDN/>
              <w:spacing w:line="320" w:lineRule="exact"/>
              <w:ind w:firstLine="0" w:firstLineChars="0"/>
              <w:jc w:val="center"/>
              <w:rPr>
                <w:rFonts w:ascii="仿宋" w:hAnsi="仿宋" w:eastAsia="仿宋" w:cs="仿宋_GB2312"/>
                <w:bCs/>
                <w:kern w:val="2"/>
                <w:sz w:val="24"/>
                <w:szCs w:val="24"/>
                <w:highlight w:val="none"/>
              </w:rPr>
            </w:pPr>
            <w:r>
              <w:rPr>
                <w:rFonts w:hint="eastAsia" w:ascii="仿宋" w:hAnsi="仿宋" w:eastAsia="仿宋" w:cs="宋体"/>
                <w:b/>
                <w:bCs/>
                <w:kern w:val="2"/>
                <w:sz w:val="24"/>
                <w:szCs w:val="24"/>
                <w:highlight w:val="none"/>
              </w:rPr>
              <w:t>2分</w:t>
            </w:r>
          </w:p>
        </w:tc>
      </w:tr>
      <w:tr w14:paraId="130698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2" w:hRule="atLeast"/>
          <w:jc w:val="center"/>
        </w:trPr>
        <w:tc>
          <w:tcPr>
            <w:tcW w:w="744" w:type="dxa"/>
            <w:noWrap/>
            <w:vAlign w:val="center"/>
          </w:tcPr>
          <w:p w14:paraId="5A7A957E">
            <w:pPr>
              <w:autoSpaceDE/>
              <w:autoSpaceDN/>
              <w:spacing w:line="320" w:lineRule="exact"/>
              <w:ind w:firstLine="0" w:firstLineChars="0"/>
              <w:jc w:val="center"/>
              <w:rPr>
                <w:rFonts w:hint="eastAsia" w:ascii="仿宋" w:hAnsi="仿宋" w:eastAsia="仿宋" w:cs="宋体"/>
                <w:b/>
                <w:bCs/>
                <w:kern w:val="2"/>
                <w:sz w:val="24"/>
                <w:szCs w:val="24"/>
                <w:highlight w:val="none"/>
                <w:lang w:eastAsia="zh-CN"/>
              </w:rPr>
            </w:pPr>
            <w:r>
              <w:rPr>
                <w:rFonts w:hint="eastAsia" w:ascii="仿宋" w:hAnsi="仿宋" w:eastAsia="仿宋" w:cs="宋体"/>
                <w:b/>
                <w:bCs/>
                <w:kern w:val="2"/>
                <w:sz w:val="24"/>
                <w:szCs w:val="24"/>
                <w:highlight w:val="none"/>
                <w:lang w:val="en-US" w:eastAsia="zh-CN"/>
              </w:rPr>
              <w:t>2</w:t>
            </w:r>
          </w:p>
        </w:tc>
        <w:tc>
          <w:tcPr>
            <w:tcW w:w="805" w:type="dxa"/>
            <w:noWrap/>
            <w:vAlign w:val="center"/>
          </w:tcPr>
          <w:p w14:paraId="0B902A15">
            <w:pPr>
              <w:autoSpaceDE/>
              <w:autoSpaceDN/>
              <w:spacing w:line="320" w:lineRule="exact"/>
              <w:ind w:firstLine="0" w:firstLineChars="0"/>
              <w:jc w:val="center"/>
              <w:rPr>
                <w:rFonts w:ascii="仿宋" w:hAnsi="仿宋" w:eastAsia="仿宋" w:cs="仿宋_GB2312"/>
                <w:b/>
                <w:kern w:val="2"/>
                <w:sz w:val="24"/>
                <w:szCs w:val="24"/>
                <w:highlight w:val="none"/>
              </w:rPr>
            </w:pPr>
            <w:r>
              <w:rPr>
                <w:rFonts w:hint="eastAsia" w:ascii="仿宋" w:hAnsi="仿宋" w:eastAsia="仿宋" w:cs="仿宋_GB2312"/>
                <w:b/>
                <w:kern w:val="2"/>
                <w:sz w:val="24"/>
                <w:szCs w:val="24"/>
                <w:highlight w:val="none"/>
              </w:rPr>
              <w:t>配备</w:t>
            </w:r>
          </w:p>
          <w:p w14:paraId="42EC07BA">
            <w:pPr>
              <w:autoSpaceDE/>
              <w:autoSpaceDN/>
              <w:spacing w:line="320" w:lineRule="exact"/>
              <w:ind w:firstLine="0" w:firstLineChars="0"/>
              <w:jc w:val="center"/>
              <w:rPr>
                <w:rFonts w:ascii="仿宋" w:hAnsi="仿宋" w:eastAsia="仿宋" w:cs="仿宋_GB2312"/>
                <w:b/>
                <w:kern w:val="2"/>
                <w:sz w:val="24"/>
                <w:szCs w:val="24"/>
                <w:highlight w:val="none"/>
              </w:rPr>
            </w:pPr>
            <w:r>
              <w:rPr>
                <w:rFonts w:hint="eastAsia" w:ascii="仿宋" w:hAnsi="仿宋" w:eastAsia="仿宋" w:cs="仿宋_GB2312"/>
                <w:b/>
                <w:kern w:val="2"/>
                <w:sz w:val="24"/>
                <w:szCs w:val="24"/>
                <w:highlight w:val="none"/>
              </w:rPr>
              <w:t>人员</w:t>
            </w:r>
          </w:p>
          <w:p w14:paraId="339ED838">
            <w:pPr>
              <w:autoSpaceDE/>
              <w:autoSpaceDN/>
              <w:spacing w:line="320" w:lineRule="exact"/>
              <w:ind w:firstLine="0" w:firstLineChars="0"/>
              <w:jc w:val="center"/>
              <w:rPr>
                <w:rFonts w:ascii="仿宋" w:hAnsi="仿宋" w:eastAsia="仿宋" w:cs="仿宋_GB2312"/>
                <w:bCs/>
                <w:kern w:val="2"/>
                <w:sz w:val="24"/>
                <w:szCs w:val="24"/>
                <w:highlight w:val="none"/>
              </w:rPr>
            </w:pPr>
          </w:p>
        </w:tc>
        <w:tc>
          <w:tcPr>
            <w:tcW w:w="6978" w:type="dxa"/>
            <w:noWrap/>
            <w:vAlign w:val="center"/>
          </w:tcPr>
          <w:p w14:paraId="2D42CA02">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根据投标人拟派项目组人员配备情况进行打分：</w:t>
            </w:r>
          </w:p>
          <w:p w14:paraId="6213F2F1">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b/>
                <w:bCs/>
                <w:sz w:val="24"/>
                <w:highlight w:val="none"/>
                <w:lang w:val="en-US" w:eastAsia="zh-CN"/>
              </w:rPr>
              <w:t>拟派项目负责人：</w:t>
            </w:r>
            <w:r>
              <w:rPr>
                <w:rFonts w:hint="eastAsia" w:ascii="仿宋" w:hAnsi="仿宋" w:eastAsia="仿宋" w:cs="宋体"/>
                <w:sz w:val="24"/>
                <w:highlight w:val="none"/>
                <w:lang w:val="en-US" w:eastAsia="zh-CN"/>
              </w:rPr>
              <w:t>具有高级工程师职称的得4分，中级工程师职称的得2分，本项最高得4分。</w:t>
            </w:r>
          </w:p>
          <w:p w14:paraId="35DA8B62">
            <w:pPr>
              <w:spacing w:line="300" w:lineRule="auto"/>
              <w:ind w:firstLine="0" w:firstLineChars="0"/>
              <w:jc w:val="both"/>
              <w:rPr>
                <w:rFonts w:hint="eastAsia" w:ascii="仿宋" w:hAnsi="仿宋" w:eastAsia="仿宋" w:cs="宋体"/>
                <w:b/>
                <w:bCs/>
                <w:sz w:val="24"/>
                <w:highlight w:val="none"/>
                <w:lang w:val="en-US" w:eastAsia="zh-CN"/>
              </w:rPr>
            </w:pPr>
            <w:r>
              <w:rPr>
                <w:rFonts w:hint="eastAsia" w:ascii="仿宋" w:hAnsi="仿宋" w:eastAsia="仿宋" w:cs="宋体"/>
                <w:b/>
                <w:bCs/>
                <w:sz w:val="24"/>
                <w:highlight w:val="none"/>
                <w:lang w:val="en-US" w:eastAsia="zh-CN"/>
              </w:rPr>
              <w:t>项目组其他人员（不含项目负责人）：</w:t>
            </w:r>
          </w:p>
          <w:p w14:paraId="65E3397A">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仿宋"/>
                <w:bCs/>
                <w:color w:val="auto"/>
                <w:kern w:val="0"/>
                <w:sz w:val="24"/>
                <w:szCs w:val="24"/>
                <w:highlight w:val="none"/>
                <w:lang w:val="en-US" w:eastAsia="zh-CN" w:bidi="ar-SA"/>
              </w:rPr>
              <w:t>具有高级工程师职称的，每提供一名得4分；具有中级工程师职称的，每提供一名得2分，本项最高得20分</w:t>
            </w:r>
            <w:r>
              <w:rPr>
                <w:rFonts w:hint="eastAsia" w:ascii="仿宋" w:hAnsi="仿宋" w:eastAsia="仿宋" w:cs="宋体"/>
                <w:sz w:val="24"/>
                <w:highlight w:val="none"/>
                <w:lang w:val="en-US" w:eastAsia="zh-CN"/>
              </w:rPr>
              <w:t>。</w:t>
            </w:r>
          </w:p>
          <w:p w14:paraId="6F966B90">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 xml:space="preserve">同一人只按最高等级职称得分且只计一次分，不得重复或累计得分。 </w:t>
            </w:r>
          </w:p>
          <w:p w14:paraId="23EAB3E6">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注：商务技术文件中需提供相关人员证书复印件和近三个月内任意一个月的社保证明（社保缴纳证明以社保机构出具的社保证明为准；具有事业双重性质的单位人员社保情况需出具主管部门的意见，视同投标人缴纳），不提供或提供不全则相关部分不得分。</w:t>
            </w:r>
          </w:p>
        </w:tc>
        <w:tc>
          <w:tcPr>
            <w:tcW w:w="791" w:type="dxa"/>
            <w:noWrap/>
            <w:vAlign w:val="center"/>
          </w:tcPr>
          <w:p w14:paraId="3FBC3C25">
            <w:pPr>
              <w:autoSpaceDE/>
              <w:autoSpaceDN/>
              <w:spacing w:line="320" w:lineRule="exact"/>
              <w:ind w:firstLine="0" w:firstLineChars="0"/>
              <w:jc w:val="center"/>
              <w:rPr>
                <w:rFonts w:ascii="仿宋" w:hAnsi="仿宋" w:eastAsia="仿宋" w:cs="仿宋"/>
                <w:kern w:val="16"/>
                <w:sz w:val="24"/>
                <w:szCs w:val="24"/>
                <w:highlight w:val="none"/>
              </w:rPr>
            </w:pPr>
            <w:r>
              <w:rPr>
                <w:rFonts w:hint="eastAsia" w:ascii="仿宋" w:hAnsi="仿宋" w:eastAsia="仿宋" w:cs="宋体"/>
                <w:b/>
                <w:bCs/>
                <w:kern w:val="2"/>
                <w:sz w:val="24"/>
                <w:szCs w:val="24"/>
                <w:highlight w:val="none"/>
                <w:lang w:val="en-US" w:eastAsia="zh-CN"/>
              </w:rPr>
              <w:t>24</w:t>
            </w:r>
            <w:r>
              <w:rPr>
                <w:rFonts w:hint="eastAsia" w:ascii="仿宋" w:hAnsi="仿宋" w:eastAsia="仿宋" w:cs="宋体"/>
                <w:b/>
                <w:bCs/>
                <w:kern w:val="2"/>
                <w:sz w:val="24"/>
                <w:szCs w:val="24"/>
                <w:highlight w:val="none"/>
              </w:rPr>
              <w:t>分</w:t>
            </w:r>
          </w:p>
        </w:tc>
      </w:tr>
      <w:tr w14:paraId="6AB4BE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744" w:type="dxa"/>
            <w:vMerge w:val="restart"/>
            <w:noWrap/>
            <w:vAlign w:val="center"/>
          </w:tcPr>
          <w:p w14:paraId="6B7B2786">
            <w:pPr>
              <w:autoSpaceDE/>
              <w:autoSpaceDN/>
              <w:spacing w:line="320" w:lineRule="exact"/>
              <w:ind w:firstLine="0" w:firstLineChars="0"/>
              <w:jc w:val="center"/>
              <w:rPr>
                <w:rFonts w:hint="eastAsia" w:ascii="仿宋" w:hAnsi="仿宋" w:eastAsia="仿宋" w:cs="宋体"/>
                <w:b/>
                <w:bCs/>
                <w:kern w:val="2"/>
                <w:sz w:val="24"/>
                <w:szCs w:val="24"/>
                <w:highlight w:val="none"/>
                <w:lang w:eastAsia="zh-CN"/>
              </w:rPr>
            </w:pPr>
            <w:r>
              <w:rPr>
                <w:rFonts w:hint="eastAsia" w:ascii="仿宋" w:hAnsi="仿宋" w:eastAsia="仿宋" w:cs="宋体"/>
                <w:b/>
                <w:bCs/>
                <w:kern w:val="2"/>
                <w:sz w:val="24"/>
                <w:szCs w:val="24"/>
                <w:highlight w:val="none"/>
                <w:lang w:val="en-US" w:eastAsia="zh-CN"/>
              </w:rPr>
              <w:t>3</w:t>
            </w:r>
          </w:p>
        </w:tc>
        <w:tc>
          <w:tcPr>
            <w:tcW w:w="805" w:type="dxa"/>
            <w:vMerge w:val="restart"/>
            <w:noWrap/>
            <w:vAlign w:val="center"/>
          </w:tcPr>
          <w:p w14:paraId="4552A88C">
            <w:pPr>
              <w:autoSpaceDE/>
              <w:autoSpaceDN/>
              <w:spacing w:line="320" w:lineRule="exact"/>
              <w:ind w:firstLine="0" w:firstLineChars="0"/>
              <w:jc w:val="center"/>
              <w:rPr>
                <w:rFonts w:hint="default" w:ascii="仿宋" w:hAnsi="仿宋" w:eastAsia="仿宋" w:cs="宋体"/>
                <w:b/>
                <w:bCs/>
                <w:kern w:val="2"/>
                <w:sz w:val="24"/>
                <w:szCs w:val="24"/>
                <w:highlight w:val="none"/>
                <w:lang w:val="en-US" w:eastAsia="zh-CN"/>
              </w:rPr>
            </w:pPr>
            <w:r>
              <w:rPr>
                <w:rFonts w:hint="eastAsia" w:ascii="仿宋" w:hAnsi="仿宋" w:eastAsia="仿宋" w:cs="宋体"/>
                <w:b/>
                <w:bCs/>
                <w:kern w:val="2"/>
                <w:sz w:val="24"/>
                <w:szCs w:val="24"/>
                <w:highlight w:val="none"/>
                <w:lang w:val="en-US" w:eastAsia="zh-CN"/>
              </w:rPr>
              <w:t>技术方案</w:t>
            </w:r>
          </w:p>
        </w:tc>
        <w:tc>
          <w:tcPr>
            <w:tcW w:w="6978" w:type="dxa"/>
            <w:noWrap/>
            <w:vAlign w:val="center"/>
          </w:tcPr>
          <w:p w14:paraId="0E4C3E5D">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根据投标人针对本项目功能、特点、重点、难点等理解情况，是否理解深刻、有独到见解的，由评审专家进行综合打分。</w:t>
            </w:r>
          </w:p>
          <w:p w14:paraId="647B49FE">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1.阐述详细，各项措施合理明确，针对性及可行性强的得（6,9]分；</w:t>
            </w:r>
          </w:p>
          <w:p w14:paraId="56DDF6D7">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2.阐述较为详细，各项措施较为合理明确，具有一定针对性及可行性的得（3,6]分；</w:t>
            </w:r>
          </w:p>
          <w:p w14:paraId="52BF03DF">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3.内容阐述较为粗略，各项措施欠缺合理性，针对性、可行性较弱的得(0,3]分；</w:t>
            </w:r>
          </w:p>
          <w:p w14:paraId="5B1A6954">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4.未提供相关内容阐述或不符合项目的不得分。</w:t>
            </w:r>
          </w:p>
        </w:tc>
        <w:tc>
          <w:tcPr>
            <w:tcW w:w="791" w:type="dxa"/>
            <w:noWrap/>
            <w:vAlign w:val="center"/>
          </w:tcPr>
          <w:p w14:paraId="62B02DBE">
            <w:pPr>
              <w:autoSpaceDE/>
              <w:autoSpaceDN/>
              <w:spacing w:line="320" w:lineRule="exact"/>
              <w:ind w:firstLine="0" w:firstLineChars="0"/>
              <w:jc w:val="center"/>
              <w:rPr>
                <w:rFonts w:ascii="仿宋" w:hAnsi="仿宋" w:eastAsia="仿宋"/>
                <w:kern w:val="2"/>
                <w:sz w:val="24"/>
                <w:szCs w:val="24"/>
                <w:highlight w:val="none"/>
              </w:rPr>
            </w:pPr>
            <w:r>
              <w:rPr>
                <w:rFonts w:hint="eastAsia" w:ascii="仿宋" w:hAnsi="仿宋" w:eastAsia="仿宋"/>
                <w:b/>
                <w:bCs/>
                <w:kern w:val="2"/>
                <w:sz w:val="24"/>
                <w:szCs w:val="24"/>
                <w:highlight w:val="none"/>
                <w:lang w:val="en-US" w:eastAsia="zh-CN"/>
              </w:rPr>
              <w:t>9</w:t>
            </w:r>
            <w:r>
              <w:rPr>
                <w:rFonts w:hint="eastAsia" w:ascii="仿宋" w:hAnsi="仿宋" w:eastAsia="仿宋"/>
                <w:b/>
                <w:bCs/>
                <w:kern w:val="2"/>
                <w:sz w:val="24"/>
                <w:szCs w:val="24"/>
                <w:highlight w:val="none"/>
              </w:rPr>
              <w:t>分</w:t>
            </w:r>
          </w:p>
        </w:tc>
      </w:tr>
      <w:tr w14:paraId="21FCC6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44" w:type="dxa"/>
            <w:vMerge w:val="continue"/>
            <w:noWrap/>
            <w:vAlign w:val="center"/>
          </w:tcPr>
          <w:p w14:paraId="430B804A">
            <w:pPr>
              <w:autoSpaceDE/>
              <w:autoSpaceDN/>
              <w:spacing w:line="320" w:lineRule="exact"/>
              <w:ind w:firstLine="0" w:firstLineChars="0"/>
              <w:jc w:val="center"/>
              <w:rPr>
                <w:rFonts w:ascii="仿宋" w:hAnsi="仿宋" w:eastAsia="仿宋" w:cs="宋体"/>
                <w:b/>
                <w:bCs/>
                <w:kern w:val="2"/>
                <w:sz w:val="24"/>
                <w:szCs w:val="24"/>
                <w:highlight w:val="none"/>
              </w:rPr>
            </w:pPr>
          </w:p>
        </w:tc>
        <w:tc>
          <w:tcPr>
            <w:tcW w:w="805" w:type="dxa"/>
            <w:vMerge w:val="continue"/>
            <w:noWrap/>
            <w:vAlign w:val="center"/>
          </w:tcPr>
          <w:p w14:paraId="7E56AFBF">
            <w:pPr>
              <w:autoSpaceDE/>
              <w:autoSpaceDN/>
              <w:spacing w:line="320" w:lineRule="exact"/>
              <w:ind w:firstLine="0" w:firstLineChars="0"/>
              <w:jc w:val="center"/>
              <w:rPr>
                <w:rFonts w:hint="default" w:ascii="仿宋" w:hAnsi="仿宋" w:eastAsia="仿宋" w:cs="宋体"/>
                <w:b/>
                <w:bCs/>
                <w:kern w:val="2"/>
                <w:sz w:val="24"/>
                <w:szCs w:val="24"/>
                <w:highlight w:val="none"/>
                <w:lang w:val="en-US" w:eastAsia="zh-CN"/>
              </w:rPr>
            </w:pPr>
          </w:p>
        </w:tc>
        <w:tc>
          <w:tcPr>
            <w:tcW w:w="6978" w:type="dxa"/>
            <w:noWrap/>
            <w:vAlign w:val="center"/>
          </w:tcPr>
          <w:p w14:paraId="5968464D">
            <w:pPr>
              <w:spacing w:line="300" w:lineRule="auto"/>
              <w:ind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根据投标人针对本项目总体设计思路是否清晰、是否符合项目实际情况</w:t>
            </w:r>
            <w:r>
              <w:rPr>
                <w:rFonts w:hint="eastAsia" w:ascii="仿宋" w:hAnsi="仿宋" w:eastAsia="仿宋" w:cs="仿宋"/>
                <w:sz w:val="24"/>
                <w:szCs w:val="24"/>
                <w:highlight w:val="none"/>
                <w:lang w:val="en-US" w:eastAsia="zh-CN"/>
              </w:rPr>
              <w:t>，</w:t>
            </w:r>
            <w:r>
              <w:rPr>
                <w:rFonts w:hint="eastAsia" w:ascii="仿宋" w:hAnsi="仿宋" w:eastAsia="仿宋" w:cs="仿宋"/>
                <w:color w:val="auto"/>
                <w:sz w:val="24"/>
                <w:szCs w:val="24"/>
                <w:highlight w:val="none"/>
                <w:lang w:val="en-US" w:eastAsia="zh-CN"/>
              </w:rPr>
              <w:t>由评审专家进行综合打分。</w:t>
            </w:r>
          </w:p>
          <w:p w14:paraId="6989BBAD">
            <w:pPr>
              <w:spacing w:line="300" w:lineRule="auto"/>
              <w:ind w:firstLine="0" w:firstLineChars="0"/>
              <w:jc w:val="both"/>
              <w:rPr>
                <w:rFonts w:hint="eastAsia" w:ascii="仿宋" w:hAnsi="仿宋" w:eastAsia="仿宋" w:cs="宋体"/>
                <w:sz w:val="24"/>
                <w:highlight w:val="none"/>
              </w:rPr>
            </w:pP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阐述详细，各项措施合理明确，针对性及可行性强的得</w:t>
            </w:r>
            <w:r>
              <w:rPr>
                <w:rFonts w:hint="eastAsia" w:ascii="仿宋" w:hAnsi="仿宋" w:eastAsia="仿宋" w:cs="宋体"/>
                <w:sz w:val="24"/>
                <w:szCs w:val="24"/>
                <w:highlight w:val="none"/>
                <w:lang w:eastAsia="zh-CN"/>
              </w:rPr>
              <w:t>（</w:t>
            </w:r>
            <w:r>
              <w:rPr>
                <w:rFonts w:hint="eastAsia" w:ascii="仿宋" w:hAnsi="仿宋" w:eastAsia="仿宋" w:cs="宋体"/>
                <w:sz w:val="24"/>
                <w:szCs w:val="24"/>
                <w:highlight w:val="none"/>
                <w:lang w:val="en-US" w:eastAsia="zh-CN"/>
              </w:rPr>
              <w:t>4</w:t>
            </w:r>
            <w:r>
              <w:rPr>
                <w:rFonts w:hint="eastAsia" w:ascii="仿宋" w:hAnsi="仿宋" w:eastAsia="仿宋" w:cs="宋体"/>
                <w:sz w:val="24"/>
                <w:szCs w:val="24"/>
                <w:highlight w:val="none"/>
              </w:rPr>
              <w:t>,</w:t>
            </w:r>
            <w:r>
              <w:rPr>
                <w:rFonts w:hint="eastAsia" w:ascii="仿宋" w:hAnsi="仿宋" w:cs="宋体"/>
                <w:sz w:val="24"/>
                <w:szCs w:val="24"/>
                <w:highlight w:val="none"/>
                <w:lang w:val="en-US" w:eastAsia="zh-CN"/>
              </w:rPr>
              <w:t>6</w:t>
            </w:r>
            <w:r>
              <w:rPr>
                <w:rFonts w:hint="eastAsia" w:ascii="仿宋" w:hAnsi="仿宋" w:eastAsia="仿宋" w:cs="宋体"/>
                <w:sz w:val="24"/>
                <w:szCs w:val="24"/>
                <w:highlight w:val="none"/>
              </w:rPr>
              <w:t>]</w:t>
            </w:r>
            <w:r>
              <w:rPr>
                <w:rFonts w:hint="eastAsia" w:ascii="仿宋" w:hAnsi="仿宋" w:eastAsia="仿宋"/>
                <w:sz w:val="24"/>
                <w:szCs w:val="24"/>
                <w:highlight w:val="none"/>
              </w:rPr>
              <w:t>分</w:t>
            </w:r>
            <w:r>
              <w:rPr>
                <w:rFonts w:hint="eastAsia" w:ascii="仿宋" w:hAnsi="仿宋" w:eastAsia="仿宋" w:cs="宋体"/>
                <w:sz w:val="24"/>
                <w:highlight w:val="none"/>
              </w:rPr>
              <w:t>；</w:t>
            </w:r>
          </w:p>
          <w:p w14:paraId="0F2B3703">
            <w:pPr>
              <w:spacing w:line="300" w:lineRule="auto"/>
              <w:ind w:firstLine="0" w:firstLineChars="0"/>
              <w:jc w:val="both"/>
              <w:rPr>
                <w:rFonts w:hint="eastAsia" w:ascii="仿宋" w:hAnsi="仿宋" w:eastAsia="仿宋" w:cs="宋体"/>
                <w:sz w:val="24"/>
                <w:highlight w:val="none"/>
              </w:rPr>
            </w:pPr>
            <w:r>
              <w:rPr>
                <w:rFonts w:hint="eastAsia" w:ascii="仿宋" w:hAnsi="仿宋" w:eastAsia="仿宋" w:cs="宋体"/>
                <w:sz w:val="24"/>
                <w:highlight w:val="none"/>
                <w:lang w:val="en-US" w:eastAsia="zh-CN"/>
              </w:rPr>
              <w:t>2.</w:t>
            </w:r>
            <w:r>
              <w:rPr>
                <w:rFonts w:hint="eastAsia" w:ascii="仿宋" w:hAnsi="仿宋" w:eastAsia="仿宋" w:cs="宋体"/>
                <w:sz w:val="24"/>
                <w:highlight w:val="none"/>
              </w:rPr>
              <w:t>阐述较为详细，各项</w:t>
            </w:r>
            <w:r>
              <w:rPr>
                <w:rFonts w:hint="eastAsia" w:ascii="仿宋" w:hAnsi="仿宋" w:eastAsia="仿宋"/>
                <w:sz w:val="24"/>
                <w:szCs w:val="24"/>
                <w:highlight w:val="none"/>
              </w:rPr>
              <w:t>措施较为合理明确，</w:t>
            </w:r>
            <w:r>
              <w:rPr>
                <w:rFonts w:hint="eastAsia" w:ascii="仿宋" w:hAnsi="仿宋" w:eastAsia="仿宋" w:cs="宋体"/>
                <w:sz w:val="24"/>
                <w:highlight w:val="none"/>
              </w:rPr>
              <w:t>具有一定针对性及可行性的得</w:t>
            </w:r>
            <w:r>
              <w:rPr>
                <w:rFonts w:hint="eastAsia" w:ascii="仿宋" w:hAnsi="仿宋" w:eastAsia="仿宋" w:cs="宋体"/>
                <w:sz w:val="24"/>
                <w:szCs w:val="24"/>
                <w:highlight w:val="none"/>
                <w:lang w:eastAsia="zh-CN"/>
              </w:rPr>
              <w:t>（</w:t>
            </w:r>
            <w:r>
              <w:rPr>
                <w:rFonts w:hint="eastAsia" w:ascii="仿宋" w:hAnsi="仿宋" w:eastAsia="仿宋" w:cs="宋体"/>
                <w:sz w:val="24"/>
                <w:szCs w:val="24"/>
                <w:highlight w:val="none"/>
                <w:lang w:val="en-US" w:eastAsia="zh-CN"/>
              </w:rPr>
              <w:t>2</w:t>
            </w:r>
            <w:r>
              <w:rPr>
                <w:rFonts w:hint="eastAsia" w:ascii="仿宋" w:hAnsi="仿宋" w:eastAsia="仿宋" w:cs="宋体"/>
                <w:sz w:val="24"/>
                <w:szCs w:val="24"/>
                <w:highlight w:val="none"/>
              </w:rPr>
              <w:t>,</w:t>
            </w:r>
            <w:r>
              <w:rPr>
                <w:rFonts w:hint="eastAsia" w:ascii="仿宋" w:hAnsi="仿宋" w:eastAsia="仿宋" w:cs="宋体"/>
                <w:sz w:val="24"/>
                <w:szCs w:val="24"/>
                <w:highlight w:val="none"/>
                <w:lang w:val="en-US" w:eastAsia="zh-CN"/>
              </w:rPr>
              <w:t>4</w:t>
            </w:r>
            <w:r>
              <w:rPr>
                <w:rFonts w:hint="eastAsia" w:ascii="仿宋" w:hAnsi="仿宋" w:eastAsia="仿宋" w:cs="宋体"/>
                <w:sz w:val="24"/>
                <w:szCs w:val="24"/>
                <w:highlight w:val="none"/>
              </w:rPr>
              <w:t>]</w:t>
            </w:r>
            <w:r>
              <w:rPr>
                <w:rFonts w:hint="eastAsia" w:ascii="仿宋" w:hAnsi="仿宋" w:eastAsia="仿宋" w:cs="宋体"/>
                <w:sz w:val="24"/>
                <w:highlight w:val="none"/>
              </w:rPr>
              <w:t>分；</w:t>
            </w:r>
          </w:p>
          <w:p w14:paraId="78E670C7">
            <w:pPr>
              <w:spacing w:line="300" w:lineRule="auto"/>
              <w:ind w:firstLine="0" w:firstLineChars="0"/>
              <w:jc w:val="both"/>
              <w:rPr>
                <w:rFonts w:hint="eastAsia" w:ascii="仿宋" w:hAnsi="仿宋" w:eastAsia="仿宋" w:cs="宋体"/>
                <w:sz w:val="24"/>
                <w:highlight w:val="none"/>
              </w:rPr>
            </w:pPr>
            <w:r>
              <w:rPr>
                <w:rFonts w:hint="eastAsia" w:ascii="仿宋" w:hAnsi="仿宋" w:eastAsia="仿宋" w:cs="宋体"/>
                <w:sz w:val="24"/>
                <w:highlight w:val="none"/>
                <w:lang w:val="en-US" w:eastAsia="zh-CN"/>
              </w:rPr>
              <w:t>3.</w:t>
            </w:r>
            <w:r>
              <w:rPr>
                <w:rFonts w:hint="eastAsia" w:ascii="仿宋" w:hAnsi="仿宋" w:eastAsia="仿宋" w:cs="宋体"/>
                <w:sz w:val="24"/>
                <w:highlight w:val="none"/>
              </w:rPr>
              <w:t>内容阐述较为粗略，各项措施欠缺合理性，针对性、可行性较弱的得</w:t>
            </w:r>
            <w:r>
              <w:rPr>
                <w:rFonts w:hint="eastAsia" w:ascii="仿宋" w:hAnsi="仿宋" w:eastAsia="仿宋" w:cs="宋体"/>
                <w:sz w:val="24"/>
                <w:szCs w:val="24"/>
                <w:highlight w:val="none"/>
              </w:rPr>
              <w:t>(0,</w:t>
            </w:r>
            <w:r>
              <w:rPr>
                <w:rFonts w:hint="eastAsia" w:ascii="仿宋" w:hAnsi="仿宋" w:eastAsia="仿宋" w:cs="宋体"/>
                <w:sz w:val="24"/>
                <w:szCs w:val="24"/>
                <w:highlight w:val="none"/>
                <w:lang w:val="en-US" w:eastAsia="zh-CN"/>
              </w:rPr>
              <w:t>2</w:t>
            </w:r>
            <w:r>
              <w:rPr>
                <w:rFonts w:hint="eastAsia" w:ascii="仿宋" w:hAnsi="仿宋" w:eastAsia="仿宋" w:cs="宋体"/>
                <w:sz w:val="24"/>
                <w:szCs w:val="24"/>
                <w:highlight w:val="none"/>
              </w:rPr>
              <w:t>]</w:t>
            </w:r>
            <w:r>
              <w:rPr>
                <w:rFonts w:hint="eastAsia" w:ascii="仿宋" w:hAnsi="仿宋" w:eastAsia="仿宋" w:cs="宋体"/>
                <w:sz w:val="24"/>
                <w:highlight w:val="none"/>
              </w:rPr>
              <w:t>分；</w:t>
            </w:r>
          </w:p>
          <w:p w14:paraId="5B643126">
            <w:pPr>
              <w:spacing w:line="300" w:lineRule="auto"/>
              <w:ind w:firstLine="0" w:firstLineChars="0"/>
              <w:jc w:val="both"/>
              <w:rPr>
                <w:rFonts w:ascii="仿宋" w:hAnsi="仿宋" w:eastAsia="仿宋" w:cs="仿宋_GB2312"/>
                <w:bCs/>
                <w:kern w:val="2"/>
                <w:sz w:val="24"/>
                <w:szCs w:val="24"/>
                <w:highlight w:val="none"/>
              </w:rPr>
            </w:pPr>
            <w:r>
              <w:rPr>
                <w:rFonts w:hint="eastAsia" w:ascii="仿宋" w:hAnsi="仿宋" w:eastAsia="仿宋" w:cs="宋体"/>
                <w:sz w:val="24"/>
                <w:highlight w:val="none"/>
                <w:lang w:val="en-US" w:eastAsia="zh-CN"/>
              </w:rPr>
              <w:t>4.</w:t>
            </w:r>
            <w:r>
              <w:rPr>
                <w:rFonts w:hint="eastAsia" w:ascii="仿宋" w:hAnsi="仿宋" w:eastAsia="仿宋" w:cs="宋体"/>
                <w:sz w:val="24"/>
                <w:highlight w:val="none"/>
              </w:rPr>
              <w:t>未提供相关内容阐述或不符合项目的不得分。</w:t>
            </w:r>
          </w:p>
        </w:tc>
        <w:tc>
          <w:tcPr>
            <w:tcW w:w="791" w:type="dxa"/>
            <w:noWrap/>
            <w:vAlign w:val="center"/>
          </w:tcPr>
          <w:p w14:paraId="708A9994">
            <w:pPr>
              <w:autoSpaceDE/>
              <w:autoSpaceDN/>
              <w:spacing w:line="320" w:lineRule="exact"/>
              <w:ind w:firstLine="0" w:firstLineChars="0"/>
              <w:jc w:val="center"/>
              <w:rPr>
                <w:rFonts w:ascii="仿宋" w:hAnsi="仿宋" w:eastAsia="仿宋"/>
                <w:b/>
                <w:bCs/>
                <w:kern w:val="2"/>
                <w:sz w:val="24"/>
                <w:szCs w:val="24"/>
                <w:highlight w:val="none"/>
              </w:rPr>
            </w:pPr>
            <w:r>
              <w:rPr>
                <w:rFonts w:hint="eastAsia" w:ascii="仿宋" w:hAnsi="仿宋" w:eastAsia="仿宋"/>
                <w:b/>
                <w:bCs/>
                <w:kern w:val="2"/>
                <w:sz w:val="24"/>
                <w:szCs w:val="24"/>
                <w:highlight w:val="none"/>
                <w:lang w:val="en-US" w:eastAsia="zh-CN"/>
              </w:rPr>
              <w:t>6</w:t>
            </w:r>
            <w:r>
              <w:rPr>
                <w:rFonts w:hint="eastAsia" w:ascii="仿宋" w:hAnsi="仿宋" w:eastAsia="仿宋"/>
                <w:b/>
                <w:bCs/>
                <w:kern w:val="2"/>
                <w:sz w:val="24"/>
                <w:szCs w:val="24"/>
                <w:highlight w:val="none"/>
              </w:rPr>
              <w:t>分</w:t>
            </w:r>
          </w:p>
        </w:tc>
      </w:tr>
      <w:tr w14:paraId="3A8F5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44" w:type="dxa"/>
            <w:vMerge w:val="continue"/>
            <w:noWrap/>
            <w:vAlign w:val="center"/>
          </w:tcPr>
          <w:p w14:paraId="690DA255">
            <w:pPr>
              <w:autoSpaceDE/>
              <w:autoSpaceDN/>
              <w:spacing w:line="320" w:lineRule="exact"/>
              <w:ind w:firstLine="0" w:firstLineChars="0"/>
              <w:jc w:val="center"/>
              <w:rPr>
                <w:rFonts w:ascii="仿宋" w:hAnsi="仿宋" w:eastAsia="仿宋" w:cs="宋体"/>
                <w:b/>
                <w:bCs/>
                <w:kern w:val="2"/>
                <w:sz w:val="24"/>
                <w:szCs w:val="24"/>
                <w:highlight w:val="none"/>
              </w:rPr>
            </w:pPr>
          </w:p>
        </w:tc>
        <w:tc>
          <w:tcPr>
            <w:tcW w:w="805" w:type="dxa"/>
            <w:vMerge w:val="continue"/>
            <w:noWrap/>
            <w:vAlign w:val="center"/>
          </w:tcPr>
          <w:p w14:paraId="4FDE0640">
            <w:pPr>
              <w:autoSpaceDE/>
              <w:autoSpaceDN/>
              <w:spacing w:line="320" w:lineRule="exact"/>
              <w:ind w:firstLine="0" w:firstLineChars="0"/>
              <w:jc w:val="center"/>
              <w:rPr>
                <w:rFonts w:hint="default" w:ascii="仿宋" w:hAnsi="仿宋" w:eastAsia="仿宋" w:cs="宋体"/>
                <w:b/>
                <w:bCs/>
                <w:kern w:val="2"/>
                <w:sz w:val="24"/>
                <w:szCs w:val="24"/>
                <w:highlight w:val="none"/>
                <w:lang w:val="en-US" w:eastAsia="zh-CN"/>
              </w:rPr>
            </w:pPr>
          </w:p>
        </w:tc>
        <w:tc>
          <w:tcPr>
            <w:tcW w:w="6978" w:type="dxa"/>
            <w:noWrap/>
            <w:vAlign w:val="center"/>
          </w:tcPr>
          <w:p w14:paraId="37FFDA0B">
            <w:pPr>
              <w:spacing w:line="300" w:lineRule="auto"/>
              <w:ind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根据投标人提供的本项目后续具体服务安排及措施、承诺明确并切实可行</w:t>
            </w:r>
            <w:r>
              <w:rPr>
                <w:rFonts w:hint="eastAsia" w:ascii="仿宋" w:hAnsi="仿宋" w:eastAsia="仿宋" w:cs="仿宋"/>
                <w:sz w:val="24"/>
                <w:szCs w:val="24"/>
                <w:highlight w:val="none"/>
                <w:lang w:val="en-US" w:eastAsia="zh-CN"/>
              </w:rPr>
              <w:t>，</w:t>
            </w:r>
            <w:r>
              <w:rPr>
                <w:rFonts w:hint="eastAsia" w:ascii="仿宋" w:hAnsi="仿宋" w:eastAsia="仿宋" w:cs="仿宋"/>
                <w:color w:val="auto"/>
                <w:sz w:val="24"/>
                <w:szCs w:val="24"/>
                <w:highlight w:val="none"/>
                <w:lang w:val="en-US" w:eastAsia="zh-CN"/>
              </w:rPr>
              <w:t>由评审专家进行综合打分。</w:t>
            </w:r>
          </w:p>
          <w:p w14:paraId="7318A2B1">
            <w:pPr>
              <w:spacing w:line="300" w:lineRule="auto"/>
              <w:ind w:firstLine="0" w:firstLineChars="0"/>
              <w:jc w:val="both"/>
              <w:rPr>
                <w:rFonts w:hint="eastAsia" w:ascii="仿宋" w:hAnsi="仿宋" w:eastAsia="仿宋" w:cs="宋体"/>
                <w:sz w:val="24"/>
                <w:highlight w:val="none"/>
              </w:rPr>
            </w:pP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阐述详细，各项措施合理明确，针对性及可行性强的得</w:t>
            </w:r>
            <w:r>
              <w:rPr>
                <w:rFonts w:hint="eastAsia" w:ascii="仿宋" w:hAnsi="仿宋" w:eastAsia="仿宋" w:cs="宋体"/>
                <w:sz w:val="24"/>
                <w:szCs w:val="24"/>
                <w:highlight w:val="none"/>
                <w:lang w:eastAsia="zh-CN"/>
              </w:rPr>
              <w:t>（</w:t>
            </w:r>
            <w:r>
              <w:rPr>
                <w:rFonts w:hint="eastAsia" w:ascii="仿宋" w:hAnsi="仿宋" w:eastAsia="仿宋" w:cs="宋体"/>
                <w:sz w:val="24"/>
                <w:szCs w:val="24"/>
                <w:highlight w:val="none"/>
                <w:lang w:val="en-US" w:eastAsia="zh-CN"/>
              </w:rPr>
              <w:t>4</w:t>
            </w:r>
            <w:r>
              <w:rPr>
                <w:rFonts w:hint="eastAsia" w:ascii="仿宋" w:hAnsi="仿宋" w:eastAsia="仿宋" w:cs="宋体"/>
                <w:sz w:val="24"/>
                <w:szCs w:val="24"/>
                <w:highlight w:val="none"/>
              </w:rPr>
              <w:t>,</w:t>
            </w:r>
            <w:r>
              <w:rPr>
                <w:rFonts w:hint="eastAsia" w:ascii="仿宋" w:hAnsi="仿宋" w:cs="宋体"/>
                <w:sz w:val="24"/>
                <w:szCs w:val="24"/>
                <w:highlight w:val="none"/>
                <w:lang w:val="en-US" w:eastAsia="zh-CN"/>
              </w:rPr>
              <w:t>6</w:t>
            </w:r>
            <w:r>
              <w:rPr>
                <w:rFonts w:hint="eastAsia" w:ascii="仿宋" w:hAnsi="仿宋" w:eastAsia="仿宋" w:cs="宋体"/>
                <w:sz w:val="24"/>
                <w:szCs w:val="24"/>
                <w:highlight w:val="none"/>
              </w:rPr>
              <w:t>]</w:t>
            </w:r>
            <w:r>
              <w:rPr>
                <w:rFonts w:hint="eastAsia" w:ascii="仿宋" w:hAnsi="仿宋" w:eastAsia="仿宋"/>
                <w:sz w:val="24"/>
                <w:szCs w:val="24"/>
                <w:highlight w:val="none"/>
              </w:rPr>
              <w:t>分</w:t>
            </w:r>
            <w:r>
              <w:rPr>
                <w:rFonts w:hint="eastAsia" w:ascii="仿宋" w:hAnsi="仿宋" w:eastAsia="仿宋" w:cs="宋体"/>
                <w:sz w:val="24"/>
                <w:highlight w:val="none"/>
              </w:rPr>
              <w:t>；</w:t>
            </w:r>
          </w:p>
          <w:p w14:paraId="1059DF21">
            <w:pPr>
              <w:spacing w:line="300" w:lineRule="auto"/>
              <w:ind w:firstLine="0" w:firstLineChars="0"/>
              <w:jc w:val="both"/>
              <w:rPr>
                <w:rFonts w:hint="eastAsia" w:ascii="仿宋" w:hAnsi="仿宋" w:eastAsia="仿宋" w:cs="宋体"/>
                <w:sz w:val="24"/>
                <w:highlight w:val="none"/>
              </w:rPr>
            </w:pPr>
            <w:r>
              <w:rPr>
                <w:rFonts w:hint="eastAsia" w:ascii="仿宋" w:hAnsi="仿宋" w:eastAsia="仿宋" w:cs="宋体"/>
                <w:sz w:val="24"/>
                <w:highlight w:val="none"/>
                <w:lang w:val="en-US" w:eastAsia="zh-CN"/>
              </w:rPr>
              <w:t>2.</w:t>
            </w:r>
            <w:r>
              <w:rPr>
                <w:rFonts w:hint="eastAsia" w:ascii="仿宋" w:hAnsi="仿宋" w:eastAsia="仿宋" w:cs="宋体"/>
                <w:sz w:val="24"/>
                <w:highlight w:val="none"/>
              </w:rPr>
              <w:t>阐述较为详细，各项</w:t>
            </w:r>
            <w:r>
              <w:rPr>
                <w:rFonts w:hint="eastAsia" w:ascii="仿宋" w:hAnsi="仿宋" w:eastAsia="仿宋"/>
                <w:sz w:val="24"/>
                <w:szCs w:val="24"/>
                <w:highlight w:val="none"/>
              </w:rPr>
              <w:t>措施较为合理明确，</w:t>
            </w:r>
            <w:r>
              <w:rPr>
                <w:rFonts w:hint="eastAsia" w:ascii="仿宋" w:hAnsi="仿宋" w:eastAsia="仿宋" w:cs="宋体"/>
                <w:sz w:val="24"/>
                <w:highlight w:val="none"/>
              </w:rPr>
              <w:t>具有一定针对性及可行性的得</w:t>
            </w:r>
            <w:r>
              <w:rPr>
                <w:rFonts w:hint="eastAsia" w:ascii="仿宋" w:hAnsi="仿宋" w:eastAsia="仿宋" w:cs="宋体"/>
                <w:sz w:val="24"/>
                <w:szCs w:val="24"/>
                <w:highlight w:val="none"/>
                <w:lang w:eastAsia="zh-CN"/>
              </w:rPr>
              <w:t>（</w:t>
            </w:r>
            <w:r>
              <w:rPr>
                <w:rFonts w:hint="eastAsia" w:ascii="仿宋" w:hAnsi="仿宋" w:eastAsia="仿宋" w:cs="宋体"/>
                <w:sz w:val="24"/>
                <w:szCs w:val="24"/>
                <w:highlight w:val="none"/>
                <w:lang w:val="en-US" w:eastAsia="zh-CN"/>
              </w:rPr>
              <w:t>2</w:t>
            </w:r>
            <w:r>
              <w:rPr>
                <w:rFonts w:hint="eastAsia" w:ascii="仿宋" w:hAnsi="仿宋" w:eastAsia="仿宋" w:cs="宋体"/>
                <w:sz w:val="24"/>
                <w:szCs w:val="24"/>
                <w:highlight w:val="none"/>
              </w:rPr>
              <w:t>,</w:t>
            </w:r>
            <w:r>
              <w:rPr>
                <w:rFonts w:hint="eastAsia" w:ascii="仿宋" w:hAnsi="仿宋" w:eastAsia="仿宋" w:cs="宋体"/>
                <w:sz w:val="24"/>
                <w:szCs w:val="24"/>
                <w:highlight w:val="none"/>
                <w:lang w:val="en-US" w:eastAsia="zh-CN"/>
              </w:rPr>
              <w:t>4</w:t>
            </w:r>
            <w:r>
              <w:rPr>
                <w:rFonts w:hint="eastAsia" w:ascii="仿宋" w:hAnsi="仿宋" w:eastAsia="仿宋" w:cs="宋体"/>
                <w:sz w:val="24"/>
                <w:szCs w:val="24"/>
                <w:highlight w:val="none"/>
              </w:rPr>
              <w:t>]</w:t>
            </w:r>
            <w:r>
              <w:rPr>
                <w:rFonts w:hint="eastAsia" w:ascii="仿宋" w:hAnsi="仿宋" w:eastAsia="仿宋" w:cs="宋体"/>
                <w:sz w:val="24"/>
                <w:highlight w:val="none"/>
              </w:rPr>
              <w:t>分；</w:t>
            </w:r>
          </w:p>
          <w:p w14:paraId="37863154">
            <w:pPr>
              <w:spacing w:line="300" w:lineRule="auto"/>
              <w:ind w:firstLine="0" w:firstLineChars="0"/>
              <w:jc w:val="both"/>
              <w:rPr>
                <w:rFonts w:hint="eastAsia" w:ascii="仿宋" w:hAnsi="仿宋" w:eastAsia="仿宋" w:cs="宋体"/>
                <w:sz w:val="24"/>
                <w:highlight w:val="none"/>
              </w:rPr>
            </w:pPr>
            <w:r>
              <w:rPr>
                <w:rFonts w:hint="eastAsia" w:ascii="仿宋" w:hAnsi="仿宋" w:eastAsia="仿宋" w:cs="宋体"/>
                <w:sz w:val="24"/>
                <w:highlight w:val="none"/>
                <w:lang w:val="en-US" w:eastAsia="zh-CN"/>
              </w:rPr>
              <w:t>3.</w:t>
            </w:r>
            <w:r>
              <w:rPr>
                <w:rFonts w:hint="eastAsia" w:ascii="仿宋" w:hAnsi="仿宋" w:eastAsia="仿宋" w:cs="宋体"/>
                <w:sz w:val="24"/>
                <w:highlight w:val="none"/>
              </w:rPr>
              <w:t>内容阐述较为粗略，各项措施欠缺合理性，针对性、可行性较弱的得</w:t>
            </w:r>
            <w:r>
              <w:rPr>
                <w:rFonts w:hint="eastAsia" w:ascii="仿宋" w:hAnsi="仿宋" w:eastAsia="仿宋" w:cs="宋体"/>
                <w:sz w:val="24"/>
                <w:szCs w:val="24"/>
                <w:highlight w:val="none"/>
              </w:rPr>
              <w:t>(0,</w:t>
            </w:r>
            <w:r>
              <w:rPr>
                <w:rFonts w:hint="eastAsia" w:ascii="仿宋" w:hAnsi="仿宋" w:eastAsia="仿宋" w:cs="宋体"/>
                <w:sz w:val="24"/>
                <w:szCs w:val="24"/>
                <w:highlight w:val="none"/>
                <w:lang w:val="en-US" w:eastAsia="zh-CN"/>
              </w:rPr>
              <w:t>2</w:t>
            </w:r>
            <w:r>
              <w:rPr>
                <w:rFonts w:hint="eastAsia" w:ascii="仿宋" w:hAnsi="仿宋" w:eastAsia="仿宋" w:cs="宋体"/>
                <w:sz w:val="24"/>
                <w:szCs w:val="24"/>
                <w:highlight w:val="none"/>
              </w:rPr>
              <w:t>]</w:t>
            </w:r>
            <w:r>
              <w:rPr>
                <w:rFonts w:hint="eastAsia" w:ascii="仿宋" w:hAnsi="仿宋" w:eastAsia="仿宋" w:cs="宋体"/>
                <w:sz w:val="24"/>
                <w:highlight w:val="none"/>
              </w:rPr>
              <w:t>分；</w:t>
            </w:r>
          </w:p>
          <w:p w14:paraId="0AB18C65">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4.</w:t>
            </w:r>
            <w:r>
              <w:rPr>
                <w:rFonts w:hint="eastAsia" w:ascii="仿宋" w:hAnsi="仿宋" w:eastAsia="仿宋" w:cs="宋体"/>
                <w:sz w:val="24"/>
                <w:highlight w:val="none"/>
              </w:rPr>
              <w:t>未提供相关内容阐述或不符合项目的不得分。</w:t>
            </w:r>
          </w:p>
        </w:tc>
        <w:tc>
          <w:tcPr>
            <w:tcW w:w="791" w:type="dxa"/>
            <w:noWrap/>
            <w:vAlign w:val="center"/>
          </w:tcPr>
          <w:p w14:paraId="3CF3DD7E">
            <w:pPr>
              <w:autoSpaceDE/>
              <w:autoSpaceDN/>
              <w:spacing w:line="320" w:lineRule="exact"/>
              <w:ind w:firstLine="0" w:firstLineChars="0"/>
              <w:jc w:val="center"/>
              <w:rPr>
                <w:rFonts w:hint="default" w:ascii="仿宋" w:hAnsi="仿宋" w:eastAsia="仿宋"/>
                <w:b/>
                <w:bCs/>
                <w:kern w:val="2"/>
                <w:sz w:val="24"/>
                <w:szCs w:val="24"/>
                <w:highlight w:val="none"/>
                <w:lang w:val="en-US" w:eastAsia="zh-CN"/>
              </w:rPr>
            </w:pPr>
            <w:r>
              <w:rPr>
                <w:rFonts w:hint="eastAsia" w:ascii="仿宋" w:hAnsi="仿宋" w:eastAsia="仿宋"/>
                <w:b/>
                <w:bCs/>
                <w:kern w:val="2"/>
                <w:sz w:val="24"/>
                <w:szCs w:val="24"/>
                <w:highlight w:val="none"/>
                <w:lang w:val="en-US" w:eastAsia="zh-CN"/>
              </w:rPr>
              <w:t>6分</w:t>
            </w:r>
          </w:p>
        </w:tc>
      </w:tr>
      <w:tr w14:paraId="5487D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44" w:type="dxa"/>
            <w:vMerge w:val="continue"/>
            <w:noWrap/>
            <w:vAlign w:val="center"/>
          </w:tcPr>
          <w:p w14:paraId="1F17D914">
            <w:pPr>
              <w:autoSpaceDE/>
              <w:autoSpaceDN/>
              <w:spacing w:line="320" w:lineRule="exact"/>
              <w:ind w:firstLine="0" w:firstLineChars="0"/>
              <w:jc w:val="both"/>
              <w:rPr>
                <w:rFonts w:eastAsia="宋体"/>
                <w:kern w:val="2"/>
                <w:sz w:val="21"/>
                <w:szCs w:val="24"/>
                <w:highlight w:val="none"/>
              </w:rPr>
            </w:pPr>
          </w:p>
        </w:tc>
        <w:tc>
          <w:tcPr>
            <w:tcW w:w="805" w:type="dxa"/>
            <w:vMerge w:val="continue"/>
            <w:noWrap/>
            <w:vAlign w:val="center"/>
          </w:tcPr>
          <w:p w14:paraId="0457C46A">
            <w:pPr>
              <w:autoSpaceDE/>
              <w:autoSpaceDN/>
              <w:spacing w:line="320" w:lineRule="exact"/>
              <w:ind w:firstLine="0" w:firstLineChars="0"/>
              <w:jc w:val="center"/>
              <w:rPr>
                <w:rFonts w:ascii="仿宋" w:hAnsi="仿宋" w:eastAsia="仿宋" w:cs="宋体"/>
                <w:b/>
                <w:bCs/>
                <w:kern w:val="2"/>
                <w:sz w:val="24"/>
                <w:szCs w:val="24"/>
                <w:highlight w:val="none"/>
              </w:rPr>
            </w:pPr>
          </w:p>
        </w:tc>
        <w:tc>
          <w:tcPr>
            <w:tcW w:w="6978" w:type="dxa"/>
            <w:noWrap/>
            <w:vAlign w:val="center"/>
          </w:tcPr>
          <w:p w14:paraId="18AC9AC6">
            <w:pPr>
              <w:spacing w:line="300" w:lineRule="auto"/>
              <w:ind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根据投标人提供的本项目设计进度计划、设计质量保证措施、关键部位的技术措施等</w:t>
            </w:r>
            <w:r>
              <w:rPr>
                <w:rFonts w:hint="eastAsia" w:ascii="仿宋" w:hAnsi="仿宋" w:eastAsia="仿宋" w:cs="仿宋"/>
                <w:sz w:val="24"/>
                <w:szCs w:val="24"/>
                <w:highlight w:val="none"/>
                <w:lang w:val="en-US" w:eastAsia="zh-CN"/>
              </w:rPr>
              <w:t>，</w:t>
            </w:r>
            <w:r>
              <w:rPr>
                <w:rFonts w:hint="eastAsia" w:ascii="仿宋" w:hAnsi="仿宋" w:eastAsia="仿宋" w:cs="仿宋"/>
                <w:color w:val="auto"/>
                <w:sz w:val="24"/>
                <w:szCs w:val="24"/>
                <w:highlight w:val="none"/>
                <w:lang w:val="en-US" w:eastAsia="zh-CN"/>
              </w:rPr>
              <w:t>由评审专家进行综合打分。</w:t>
            </w:r>
          </w:p>
          <w:p w14:paraId="7A63AE90">
            <w:pPr>
              <w:numPr>
                <w:ilvl w:val="0"/>
                <w:numId w:val="8"/>
              </w:num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阐述详细，各项措施合理明确，针对性及可行性强的得（4,6]分；</w:t>
            </w:r>
          </w:p>
          <w:p w14:paraId="5C618E43">
            <w:pPr>
              <w:numPr>
                <w:ilvl w:val="0"/>
                <w:numId w:val="8"/>
              </w:num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阐述较为详细，各项措施较为合理明确，具有一定针对性及可行性的得（2,4]分；</w:t>
            </w:r>
          </w:p>
          <w:p w14:paraId="174668A2">
            <w:pPr>
              <w:numPr>
                <w:ilvl w:val="0"/>
                <w:numId w:val="8"/>
              </w:num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内容阐述较为粗略，各项措施欠缺合理性，针对性、可行性较弱的得(0,2]分；</w:t>
            </w:r>
          </w:p>
          <w:p w14:paraId="754D24D7">
            <w:pPr>
              <w:numPr>
                <w:ilvl w:val="0"/>
                <w:numId w:val="8"/>
              </w:num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未提供相关内容阐述或不符合项目的不得分。</w:t>
            </w:r>
          </w:p>
        </w:tc>
        <w:tc>
          <w:tcPr>
            <w:tcW w:w="791" w:type="dxa"/>
            <w:noWrap/>
            <w:vAlign w:val="center"/>
          </w:tcPr>
          <w:p w14:paraId="599AB20D">
            <w:pPr>
              <w:autoSpaceDE/>
              <w:autoSpaceDN/>
              <w:spacing w:line="320" w:lineRule="exact"/>
              <w:ind w:firstLine="0" w:firstLineChars="0"/>
              <w:jc w:val="center"/>
              <w:rPr>
                <w:rFonts w:ascii="仿宋" w:hAnsi="仿宋" w:eastAsia="仿宋" w:cs="仿宋_GB2312"/>
                <w:bCs/>
                <w:kern w:val="2"/>
                <w:sz w:val="24"/>
                <w:szCs w:val="24"/>
                <w:highlight w:val="none"/>
              </w:rPr>
            </w:pPr>
            <w:r>
              <w:rPr>
                <w:rFonts w:hint="eastAsia" w:ascii="仿宋" w:hAnsi="仿宋" w:eastAsia="仿宋"/>
                <w:b/>
                <w:bCs/>
                <w:kern w:val="2"/>
                <w:sz w:val="24"/>
                <w:szCs w:val="24"/>
                <w:highlight w:val="none"/>
                <w:lang w:val="en-US" w:eastAsia="zh-CN"/>
              </w:rPr>
              <w:t>6</w:t>
            </w:r>
            <w:r>
              <w:rPr>
                <w:rFonts w:hint="eastAsia" w:ascii="仿宋" w:hAnsi="仿宋" w:eastAsia="仿宋"/>
                <w:b/>
                <w:bCs/>
                <w:kern w:val="2"/>
                <w:sz w:val="24"/>
                <w:szCs w:val="24"/>
                <w:highlight w:val="none"/>
              </w:rPr>
              <w:t>分</w:t>
            </w:r>
          </w:p>
        </w:tc>
      </w:tr>
      <w:tr w14:paraId="46B71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44" w:type="dxa"/>
            <w:vMerge w:val="continue"/>
            <w:noWrap/>
            <w:vAlign w:val="center"/>
          </w:tcPr>
          <w:p w14:paraId="064D2663">
            <w:pPr>
              <w:autoSpaceDE/>
              <w:autoSpaceDN/>
              <w:spacing w:line="320" w:lineRule="exact"/>
              <w:ind w:firstLine="0" w:firstLineChars="0"/>
              <w:jc w:val="both"/>
              <w:rPr>
                <w:rFonts w:eastAsia="宋体"/>
                <w:kern w:val="2"/>
                <w:sz w:val="21"/>
                <w:szCs w:val="24"/>
                <w:highlight w:val="none"/>
              </w:rPr>
            </w:pPr>
          </w:p>
        </w:tc>
        <w:tc>
          <w:tcPr>
            <w:tcW w:w="805" w:type="dxa"/>
            <w:vMerge w:val="continue"/>
            <w:noWrap/>
            <w:vAlign w:val="center"/>
          </w:tcPr>
          <w:p w14:paraId="40843481">
            <w:pPr>
              <w:autoSpaceDE/>
              <w:autoSpaceDN/>
              <w:spacing w:line="320" w:lineRule="exact"/>
              <w:ind w:firstLine="0" w:firstLineChars="0"/>
              <w:jc w:val="center"/>
              <w:rPr>
                <w:rFonts w:ascii="仿宋" w:hAnsi="仿宋" w:eastAsia="仿宋" w:cs="宋体"/>
                <w:b/>
                <w:bCs/>
                <w:kern w:val="2"/>
                <w:sz w:val="24"/>
                <w:szCs w:val="24"/>
                <w:highlight w:val="none"/>
              </w:rPr>
            </w:pPr>
          </w:p>
        </w:tc>
        <w:tc>
          <w:tcPr>
            <w:tcW w:w="6978" w:type="dxa"/>
            <w:noWrap/>
            <w:vAlign w:val="center"/>
          </w:tcPr>
          <w:p w14:paraId="2EB6157D">
            <w:pPr>
              <w:spacing w:line="300" w:lineRule="auto"/>
              <w:ind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根据投标人提供的本项目组织机构是否健全、质量控制措施及内部校审制度是否明确可靠，前期对接、设计过程及项目实施中，与各方沟通协调措施及能力情况</w:t>
            </w:r>
            <w:r>
              <w:rPr>
                <w:rFonts w:hint="eastAsia" w:ascii="仿宋" w:hAnsi="仿宋" w:eastAsia="仿宋" w:cs="仿宋"/>
                <w:sz w:val="24"/>
                <w:szCs w:val="24"/>
                <w:highlight w:val="none"/>
                <w:lang w:val="en-US" w:eastAsia="zh-CN"/>
              </w:rPr>
              <w:t>，</w:t>
            </w:r>
            <w:r>
              <w:rPr>
                <w:rFonts w:hint="eastAsia" w:ascii="仿宋" w:hAnsi="仿宋" w:eastAsia="仿宋" w:cs="仿宋"/>
                <w:color w:val="auto"/>
                <w:sz w:val="24"/>
                <w:szCs w:val="24"/>
                <w:highlight w:val="none"/>
                <w:lang w:val="en-US" w:eastAsia="zh-CN"/>
              </w:rPr>
              <w:t>由评审专家进行综合打分。</w:t>
            </w:r>
          </w:p>
          <w:p w14:paraId="0EDA9813">
            <w:pPr>
              <w:spacing w:line="300" w:lineRule="auto"/>
              <w:ind w:firstLine="0" w:firstLineChars="0"/>
              <w:jc w:val="both"/>
              <w:rPr>
                <w:rFonts w:hint="eastAsia" w:ascii="仿宋" w:hAnsi="仿宋" w:eastAsia="仿宋" w:cs="宋体"/>
                <w:sz w:val="24"/>
                <w:highlight w:val="none"/>
              </w:rPr>
            </w:pP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阐述详细，各项措施合理明确，针对性及可行性强的得</w:t>
            </w:r>
            <w:r>
              <w:rPr>
                <w:rFonts w:hint="eastAsia" w:ascii="仿宋" w:hAnsi="仿宋" w:eastAsia="仿宋" w:cs="宋体"/>
                <w:sz w:val="24"/>
                <w:szCs w:val="24"/>
                <w:highlight w:val="none"/>
                <w:lang w:eastAsia="zh-CN"/>
              </w:rPr>
              <w:t>（</w:t>
            </w:r>
            <w:r>
              <w:rPr>
                <w:rFonts w:hint="eastAsia" w:ascii="仿宋" w:hAnsi="仿宋" w:eastAsia="仿宋" w:cs="宋体"/>
                <w:sz w:val="24"/>
                <w:szCs w:val="24"/>
                <w:highlight w:val="none"/>
                <w:lang w:val="en-US" w:eastAsia="zh-CN"/>
              </w:rPr>
              <w:t>4</w:t>
            </w:r>
            <w:r>
              <w:rPr>
                <w:rFonts w:hint="eastAsia" w:ascii="仿宋" w:hAnsi="仿宋" w:eastAsia="仿宋" w:cs="宋体"/>
                <w:sz w:val="24"/>
                <w:szCs w:val="24"/>
                <w:highlight w:val="none"/>
              </w:rPr>
              <w:t>,</w:t>
            </w:r>
            <w:r>
              <w:rPr>
                <w:rFonts w:hint="eastAsia" w:ascii="仿宋" w:hAnsi="仿宋" w:cs="宋体"/>
                <w:sz w:val="24"/>
                <w:szCs w:val="24"/>
                <w:highlight w:val="none"/>
                <w:lang w:val="en-US" w:eastAsia="zh-CN"/>
              </w:rPr>
              <w:t>6</w:t>
            </w:r>
            <w:r>
              <w:rPr>
                <w:rFonts w:hint="eastAsia" w:ascii="仿宋" w:hAnsi="仿宋" w:eastAsia="仿宋" w:cs="宋体"/>
                <w:sz w:val="24"/>
                <w:szCs w:val="24"/>
                <w:highlight w:val="none"/>
              </w:rPr>
              <w:t>]</w:t>
            </w:r>
            <w:r>
              <w:rPr>
                <w:rFonts w:hint="eastAsia" w:ascii="仿宋" w:hAnsi="仿宋" w:eastAsia="仿宋"/>
                <w:sz w:val="24"/>
                <w:szCs w:val="24"/>
                <w:highlight w:val="none"/>
              </w:rPr>
              <w:t>分</w:t>
            </w:r>
            <w:r>
              <w:rPr>
                <w:rFonts w:hint="eastAsia" w:ascii="仿宋" w:hAnsi="仿宋" w:eastAsia="仿宋" w:cs="宋体"/>
                <w:sz w:val="24"/>
                <w:highlight w:val="none"/>
              </w:rPr>
              <w:t>；</w:t>
            </w:r>
          </w:p>
          <w:p w14:paraId="44A59616">
            <w:pPr>
              <w:spacing w:line="300" w:lineRule="auto"/>
              <w:ind w:firstLine="0" w:firstLineChars="0"/>
              <w:jc w:val="both"/>
              <w:rPr>
                <w:rFonts w:hint="eastAsia" w:ascii="仿宋" w:hAnsi="仿宋" w:eastAsia="仿宋" w:cs="宋体"/>
                <w:sz w:val="24"/>
                <w:highlight w:val="none"/>
              </w:rPr>
            </w:pPr>
            <w:r>
              <w:rPr>
                <w:rFonts w:hint="eastAsia" w:ascii="仿宋" w:hAnsi="仿宋" w:eastAsia="仿宋" w:cs="宋体"/>
                <w:sz w:val="24"/>
                <w:highlight w:val="none"/>
                <w:lang w:val="en-US" w:eastAsia="zh-CN"/>
              </w:rPr>
              <w:t>2.</w:t>
            </w:r>
            <w:r>
              <w:rPr>
                <w:rFonts w:hint="eastAsia" w:ascii="仿宋" w:hAnsi="仿宋" w:eastAsia="仿宋" w:cs="宋体"/>
                <w:sz w:val="24"/>
                <w:highlight w:val="none"/>
              </w:rPr>
              <w:t>阐述较为详细，各项</w:t>
            </w:r>
            <w:r>
              <w:rPr>
                <w:rFonts w:hint="eastAsia" w:ascii="仿宋" w:hAnsi="仿宋" w:eastAsia="仿宋"/>
                <w:sz w:val="24"/>
                <w:szCs w:val="24"/>
                <w:highlight w:val="none"/>
              </w:rPr>
              <w:t>措施较为合理明确，</w:t>
            </w:r>
            <w:r>
              <w:rPr>
                <w:rFonts w:hint="eastAsia" w:ascii="仿宋" w:hAnsi="仿宋" w:eastAsia="仿宋" w:cs="宋体"/>
                <w:sz w:val="24"/>
                <w:highlight w:val="none"/>
              </w:rPr>
              <w:t>具有一定针对性及可行性的得</w:t>
            </w:r>
            <w:r>
              <w:rPr>
                <w:rFonts w:hint="eastAsia" w:ascii="仿宋" w:hAnsi="仿宋" w:eastAsia="仿宋" w:cs="宋体"/>
                <w:sz w:val="24"/>
                <w:szCs w:val="24"/>
                <w:highlight w:val="none"/>
                <w:lang w:eastAsia="zh-CN"/>
              </w:rPr>
              <w:t>（</w:t>
            </w:r>
            <w:r>
              <w:rPr>
                <w:rFonts w:hint="eastAsia" w:ascii="仿宋" w:hAnsi="仿宋" w:eastAsia="仿宋" w:cs="宋体"/>
                <w:sz w:val="24"/>
                <w:szCs w:val="24"/>
                <w:highlight w:val="none"/>
                <w:lang w:val="en-US" w:eastAsia="zh-CN"/>
              </w:rPr>
              <w:t>2</w:t>
            </w:r>
            <w:r>
              <w:rPr>
                <w:rFonts w:hint="eastAsia" w:ascii="仿宋" w:hAnsi="仿宋" w:eastAsia="仿宋" w:cs="宋体"/>
                <w:sz w:val="24"/>
                <w:szCs w:val="24"/>
                <w:highlight w:val="none"/>
              </w:rPr>
              <w:t>,</w:t>
            </w:r>
            <w:r>
              <w:rPr>
                <w:rFonts w:hint="eastAsia" w:ascii="仿宋" w:hAnsi="仿宋" w:eastAsia="仿宋" w:cs="宋体"/>
                <w:sz w:val="24"/>
                <w:szCs w:val="24"/>
                <w:highlight w:val="none"/>
                <w:lang w:val="en-US" w:eastAsia="zh-CN"/>
              </w:rPr>
              <w:t>4</w:t>
            </w:r>
            <w:r>
              <w:rPr>
                <w:rFonts w:hint="eastAsia" w:ascii="仿宋" w:hAnsi="仿宋" w:eastAsia="仿宋" w:cs="宋体"/>
                <w:sz w:val="24"/>
                <w:szCs w:val="24"/>
                <w:highlight w:val="none"/>
              </w:rPr>
              <w:t>]</w:t>
            </w:r>
            <w:r>
              <w:rPr>
                <w:rFonts w:hint="eastAsia" w:ascii="仿宋" w:hAnsi="仿宋" w:eastAsia="仿宋" w:cs="宋体"/>
                <w:sz w:val="24"/>
                <w:highlight w:val="none"/>
              </w:rPr>
              <w:t>分；</w:t>
            </w:r>
          </w:p>
          <w:p w14:paraId="7C0120B3">
            <w:pPr>
              <w:spacing w:line="300" w:lineRule="auto"/>
              <w:ind w:firstLine="0" w:firstLineChars="0"/>
              <w:jc w:val="both"/>
              <w:rPr>
                <w:rFonts w:hint="eastAsia" w:ascii="仿宋" w:hAnsi="仿宋" w:eastAsia="仿宋" w:cs="宋体"/>
                <w:sz w:val="24"/>
                <w:highlight w:val="none"/>
              </w:rPr>
            </w:pPr>
            <w:r>
              <w:rPr>
                <w:rFonts w:hint="eastAsia" w:ascii="仿宋" w:hAnsi="仿宋" w:eastAsia="仿宋" w:cs="宋体"/>
                <w:sz w:val="24"/>
                <w:highlight w:val="none"/>
                <w:lang w:val="en-US" w:eastAsia="zh-CN"/>
              </w:rPr>
              <w:t>3.</w:t>
            </w:r>
            <w:r>
              <w:rPr>
                <w:rFonts w:hint="eastAsia" w:ascii="仿宋" w:hAnsi="仿宋" w:eastAsia="仿宋" w:cs="宋体"/>
                <w:sz w:val="24"/>
                <w:highlight w:val="none"/>
              </w:rPr>
              <w:t>内容阐述较为粗略，各项措施欠缺合理性，针对性、可行性较弱的得</w:t>
            </w:r>
            <w:r>
              <w:rPr>
                <w:rFonts w:hint="eastAsia" w:ascii="仿宋" w:hAnsi="仿宋" w:eastAsia="仿宋" w:cs="宋体"/>
                <w:sz w:val="24"/>
                <w:szCs w:val="24"/>
                <w:highlight w:val="none"/>
              </w:rPr>
              <w:t>(0,</w:t>
            </w:r>
            <w:r>
              <w:rPr>
                <w:rFonts w:hint="eastAsia" w:ascii="仿宋" w:hAnsi="仿宋" w:eastAsia="仿宋" w:cs="宋体"/>
                <w:sz w:val="24"/>
                <w:szCs w:val="24"/>
                <w:highlight w:val="none"/>
                <w:lang w:val="en-US" w:eastAsia="zh-CN"/>
              </w:rPr>
              <w:t>2</w:t>
            </w:r>
            <w:r>
              <w:rPr>
                <w:rFonts w:hint="eastAsia" w:ascii="仿宋" w:hAnsi="仿宋" w:eastAsia="仿宋" w:cs="宋体"/>
                <w:sz w:val="24"/>
                <w:szCs w:val="24"/>
                <w:highlight w:val="none"/>
              </w:rPr>
              <w:t>]</w:t>
            </w:r>
            <w:r>
              <w:rPr>
                <w:rFonts w:hint="eastAsia" w:ascii="仿宋" w:hAnsi="仿宋" w:eastAsia="仿宋" w:cs="宋体"/>
                <w:sz w:val="24"/>
                <w:highlight w:val="none"/>
              </w:rPr>
              <w:t>分；</w:t>
            </w:r>
          </w:p>
          <w:p w14:paraId="7ED4CF3F">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4.</w:t>
            </w:r>
            <w:r>
              <w:rPr>
                <w:rFonts w:hint="eastAsia" w:ascii="仿宋" w:hAnsi="仿宋" w:eastAsia="仿宋" w:cs="宋体"/>
                <w:sz w:val="24"/>
                <w:highlight w:val="none"/>
              </w:rPr>
              <w:t>未提供相关内容阐述或不符合项目的不得分。</w:t>
            </w:r>
          </w:p>
        </w:tc>
        <w:tc>
          <w:tcPr>
            <w:tcW w:w="791" w:type="dxa"/>
            <w:noWrap/>
            <w:vAlign w:val="center"/>
          </w:tcPr>
          <w:p w14:paraId="38628B71">
            <w:pPr>
              <w:autoSpaceDE/>
              <w:autoSpaceDN/>
              <w:spacing w:line="320" w:lineRule="exact"/>
              <w:ind w:firstLine="0" w:firstLineChars="0"/>
              <w:jc w:val="center"/>
              <w:rPr>
                <w:rFonts w:hint="default" w:ascii="仿宋" w:hAnsi="仿宋" w:eastAsia="仿宋"/>
                <w:b/>
                <w:bCs/>
                <w:kern w:val="2"/>
                <w:sz w:val="24"/>
                <w:szCs w:val="24"/>
                <w:highlight w:val="none"/>
                <w:lang w:val="en-US" w:eastAsia="zh-CN"/>
              </w:rPr>
            </w:pPr>
            <w:r>
              <w:rPr>
                <w:rFonts w:hint="eastAsia" w:ascii="仿宋" w:hAnsi="仿宋" w:eastAsia="仿宋"/>
                <w:b/>
                <w:bCs/>
                <w:kern w:val="2"/>
                <w:sz w:val="24"/>
                <w:szCs w:val="24"/>
                <w:highlight w:val="none"/>
                <w:lang w:val="en-US" w:eastAsia="zh-CN"/>
              </w:rPr>
              <w:t>6分</w:t>
            </w:r>
          </w:p>
        </w:tc>
      </w:tr>
      <w:tr w14:paraId="0177D0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44" w:type="dxa"/>
            <w:noWrap/>
            <w:vAlign w:val="center"/>
          </w:tcPr>
          <w:p w14:paraId="61751238">
            <w:pPr>
              <w:autoSpaceDE/>
              <w:autoSpaceDN/>
              <w:spacing w:line="320" w:lineRule="exact"/>
              <w:ind w:firstLine="0" w:firstLineChars="0"/>
              <w:jc w:val="center"/>
              <w:rPr>
                <w:rFonts w:hint="eastAsia" w:eastAsia="宋体"/>
                <w:kern w:val="2"/>
                <w:sz w:val="21"/>
                <w:szCs w:val="24"/>
                <w:highlight w:val="none"/>
                <w:lang w:val="en-US" w:eastAsia="zh-CN"/>
              </w:rPr>
            </w:pPr>
            <w:r>
              <w:rPr>
                <w:rFonts w:hint="eastAsia" w:ascii="仿宋" w:hAnsi="仿宋" w:eastAsia="仿宋" w:cs="宋体"/>
                <w:b/>
                <w:bCs/>
                <w:kern w:val="2"/>
                <w:sz w:val="24"/>
                <w:szCs w:val="24"/>
                <w:highlight w:val="none"/>
                <w:lang w:val="en-US" w:eastAsia="zh-CN"/>
              </w:rPr>
              <w:t>4</w:t>
            </w:r>
          </w:p>
        </w:tc>
        <w:tc>
          <w:tcPr>
            <w:tcW w:w="805" w:type="dxa"/>
            <w:noWrap/>
            <w:vAlign w:val="center"/>
          </w:tcPr>
          <w:p w14:paraId="4FF114A7">
            <w:pPr>
              <w:autoSpaceDE/>
              <w:autoSpaceDN/>
              <w:spacing w:line="320" w:lineRule="exact"/>
              <w:ind w:firstLine="0" w:firstLineChars="0"/>
              <w:jc w:val="center"/>
              <w:rPr>
                <w:rFonts w:ascii="仿宋" w:hAnsi="仿宋" w:eastAsia="仿宋" w:cs="宋体"/>
                <w:b/>
                <w:bCs/>
                <w:kern w:val="2"/>
                <w:sz w:val="24"/>
                <w:szCs w:val="24"/>
                <w:highlight w:val="none"/>
              </w:rPr>
            </w:pPr>
            <w:r>
              <w:rPr>
                <w:rFonts w:hint="eastAsia" w:ascii="仿宋" w:hAnsi="仿宋" w:eastAsia="仿宋" w:cs="宋体"/>
                <w:b/>
                <w:color w:val="auto"/>
                <w:sz w:val="24"/>
                <w:highlight w:val="none"/>
              </w:rPr>
              <w:t>实施方案与措施</w:t>
            </w:r>
          </w:p>
        </w:tc>
        <w:tc>
          <w:tcPr>
            <w:tcW w:w="6978" w:type="dxa"/>
            <w:noWrap/>
            <w:vAlign w:val="center"/>
          </w:tcPr>
          <w:p w14:paraId="21D26AD3">
            <w:pPr>
              <w:spacing w:line="300" w:lineRule="auto"/>
              <w:ind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根据投标人</w:t>
            </w:r>
            <w:r>
              <w:rPr>
                <w:rFonts w:hint="eastAsia" w:ascii="仿宋" w:hAnsi="仿宋" w:eastAsia="仿宋" w:cs="仿宋"/>
                <w:color w:val="auto"/>
                <w:sz w:val="24"/>
                <w:szCs w:val="24"/>
                <w:highlight w:val="none"/>
                <w:lang w:val="en-US" w:eastAsia="zh-CN"/>
              </w:rPr>
              <w:t>提供的</w:t>
            </w:r>
            <w:r>
              <w:rPr>
                <w:rFonts w:hint="eastAsia" w:ascii="仿宋" w:hAnsi="仿宋" w:eastAsia="仿宋" w:cs="仿宋"/>
                <w:color w:val="auto"/>
                <w:sz w:val="24"/>
                <w:szCs w:val="24"/>
                <w:highlight w:val="none"/>
              </w:rPr>
              <w:t>管理组织机构是否健全、管理运作流程（包括内部校审制度等）</w:t>
            </w:r>
            <w:r>
              <w:rPr>
                <w:rFonts w:hint="eastAsia" w:ascii="仿宋" w:hAnsi="仿宋" w:eastAsia="仿宋" w:cs="仿宋"/>
                <w:color w:val="auto"/>
                <w:sz w:val="24"/>
                <w:szCs w:val="24"/>
                <w:highlight w:val="none"/>
                <w:lang w:val="en-US" w:eastAsia="zh-CN"/>
              </w:rPr>
              <w:t>的合理性、科学性</w:t>
            </w:r>
            <w:r>
              <w:rPr>
                <w:rFonts w:hint="eastAsia" w:ascii="仿宋" w:hAnsi="仿宋" w:eastAsia="仿宋" w:cs="仿宋"/>
                <w:sz w:val="24"/>
                <w:szCs w:val="24"/>
                <w:highlight w:val="none"/>
                <w:lang w:val="en-US" w:eastAsia="zh-CN"/>
              </w:rPr>
              <w:t>，</w:t>
            </w:r>
            <w:r>
              <w:rPr>
                <w:rFonts w:hint="eastAsia" w:ascii="仿宋" w:hAnsi="仿宋" w:eastAsia="仿宋" w:cs="仿宋"/>
                <w:color w:val="auto"/>
                <w:sz w:val="24"/>
                <w:szCs w:val="24"/>
                <w:highlight w:val="none"/>
                <w:lang w:val="en-US" w:eastAsia="zh-CN"/>
              </w:rPr>
              <w:t>由评审专家进行综合打分。</w:t>
            </w:r>
          </w:p>
          <w:p w14:paraId="7F0EEF84">
            <w:pPr>
              <w:spacing w:line="300" w:lineRule="auto"/>
              <w:ind w:firstLine="0" w:firstLineChars="0"/>
              <w:jc w:val="both"/>
              <w:rPr>
                <w:rFonts w:hint="eastAsia" w:ascii="仿宋" w:hAnsi="仿宋" w:eastAsia="仿宋" w:cs="宋体"/>
                <w:sz w:val="24"/>
                <w:highlight w:val="none"/>
              </w:rPr>
            </w:pP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阐述详细，各项措施合理明确，针对性及可行性强的得</w:t>
            </w:r>
            <w:r>
              <w:rPr>
                <w:rFonts w:hint="eastAsia" w:ascii="仿宋" w:hAnsi="仿宋" w:eastAsia="仿宋" w:cs="宋体"/>
                <w:sz w:val="24"/>
                <w:szCs w:val="24"/>
                <w:highlight w:val="none"/>
                <w:lang w:eastAsia="zh-CN"/>
              </w:rPr>
              <w:t>（</w:t>
            </w:r>
            <w:r>
              <w:rPr>
                <w:rFonts w:hint="eastAsia" w:ascii="仿宋" w:hAnsi="仿宋" w:eastAsia="仿宋" w:cs="宋体"/>
                <w:sz w:val="24"/>
                <w:szCs w:val="24"/>
                <w:highlight w:val="none"/>
                <w:lang w:val="en-US" w:eastAsia="zh-CN"/>
              </w:rPr>
              <w:t>5,7</w:t>
            </w:r>
            <w:r>
              <w:rPr>
                <w:rFonts w:hint="eastAsia" w:ascii="仿宋" w:hAnsi="仿宋" w:eastAsia="仿宋" w:cs="宋体"/>
                <w:sz w:val="24"/>
                <w:szCs w:val="24"/>
                <w:highlight w:val="none"/>
              </w:rPr>
              <w:t>]</w:t>
            </w:r>
            <w:r>
              <w:rPr>
                <w:rFonts w:hint="eastAsia" w:ascii="仿宋" w:hAnsi="仿宋" w:eastAsia="仿宋"/>
                <w:sz w:val="24"/>
                <w:szCs w:val="24"/>
                <w:highlight w:val="none"/>
              </w:rPr>
              <w:t>分</w:t>
            </w:r>
            <w:r>
              <w:rPr>
                <w:rFonts w:hint="eastAsia" w:ascii="仿宋" w:hAnsi="仿宋" w:eastAsia="仿宋" w:cs="宋体"/>
                <w:sz w:val="24"/>
                <w:highlight w:val="none"/>
              </w:rPr>
              <w:t>；</w:t>
            </w:r>
          </w:p>
          <w:p w14:paraId="7F3500CA">
            <w:pPr>
              <w:spacing w:line="300" w:lineRule="auto"/>
              <w:ind w:firstLine="0" w:firstLineChars="0"/>
              <w:jc w:val="both"/>
              <w:rPr>
                <w:rFonts w:hint="eastAsia" w:ascii="仿宋" w:hAnsi="仿宋" w:eastAsia="仿宋" w:cs="宋体"/>
                <w:sz w:val="24"/>
                <w:highlight w:val="none"/>
              </w:rPr>
            </w:pPr>
            <w:r>
              <w:rPr>
                <w:rFonts w:hint="eastAsia" w:ascii="仿宋" w:hAnsi="仿宋" w:eastAsia="仿宋" w:cs="宋体"/>
                <w:sz w:val="24"/>
                <w:highlight w:val="none"/>
                <w:lang w:val="en-US" w:eastAsia="zh-CN"/>
              </w:rPr>
              <w:t>2.</w:t>
            </w:r>
            <w:r>
              <w:rPr>
                <w:rFonts w:hint="eastAsia" w:ascii="仿宋" w:hAnsi="仿宋" w:eastAsia="仿宋" w:cs="宋体"/>
                <w:sz w:val="24"/>
                <w:highlight w:val="none"/>
              </w:rPr>
              <w:t>阐述较为详细，各项</w:t>
            </w:r>
            <w:r>
              <w:rPr>
                <w:rFonts w:hint="eastAsia" w:ascii="仿宋" w:hAnsi="仿宋" w:eastAsia="仿宋"/>
                <w:sz w:val="24"/>
                <w:szCs w:val="24"/>
                <w:highlight w:val="none"/>
              </w:rPr>
              <w:t>措施较为合理明确，</w:t>
            </w:r>
            <w:r>
              <w:rPr>
                <w:rFonts w:hint="eastAsia" w:ascii="仿宋" w:hAnsi="仿宋" w:eastAsia="仿宋" w:cs="宋体"/>
                <w:sz w:val="24"/>
                <w:highlight w:val="none"/>
              </w:rPr>
              <w:t>具有一定针对性及可行性的得</w:t>
            </w:r>
            <w:r>
              <w:rPr>
                <w:rFonts w:hint="eastAsia" w:ascii="仿宋" w:hAnsi="仿宋" w:eastAsia="仿宋" w:cs="Times New Roman"/>
                <w:sz w:val="24"/>
                <w:szCs w:val="24"/>
                <w:highlight w:val="none"/>
                <w:lang w:eastAsia="zh-CN"/>
              </w:rPr>
              <w:t>（</w:t>
            </w:r>
            <w:r>
              <w:rPr>
                <w:rFonts w:hint="eastAsia" w:ascii="仿宋" w:hAnsi="仿宋" w:eastAsia="仿宋" w:cs="宋体"/>
                <w:sz w:val="24"/>
                <w:szCs w:val="24"/>
                <w:highlight w:val="none"/>
              </w:rPr>
              <w:t>2,</w:t>
            </w:r>
            <w:r>
              <w:rPr>
                <w:rFonts w:hint="eastAsia" w:ascii="仿宋" w:hAnsi="仿宋" w:eastAsia="仿宋" w:cs="宋体"/>
                <w:sz w:val="24"/>
                <w:szCs w:val="24"/>
                <w:highlight w:val="none"/>
                <w:lang w:val="en-US" w:eastAsia="zh-CN"/>
              </w:rPr>
              <w:t>5</w:t>
            </w:r>
            <w:r>
              <w:rPr>
                <w:rFonts w:hint="eastAsia" w:ascii="仿宋" w:hAnsi="仿宋" w:eastAsia="仿宋" w:cs="宋体"/>
                <w:sz w:val="24"/>
                <w:szCs w:val="24"/>
                <w:highlight w:val="none"/>
              </w:rPr>
              <w:t>]</w:t>
            </w:r>
            <w:r>
              <w:rPr>
                <w:rFonts w:hint="eastAsia" w:ascii="仿宋" w:hAnsi="仿宋" w:eastAsia="仿宋" w:cs="Times New Roman"/>
                <w:sz w:val="24"/>
                <w:szCs w:val="24"/>
                <w:highlight w:val="none"/>
              </w:rPr>
              <w:t>分</w:t>
            </w:r>
            <w:r>
              <w:rPr>
                <w:rFonts w:hint="eastAsia" w:ascii="仿宋" w:hAnsi="仿宋" w:eastAsia="仿宋" w:cs="宋体"/>
                <w:sz w:val="24"/>
                <w:highlight w:val="none"/>
              </w:rPr>
              <w:t>；</w:t>
            </w:r>
          </w:p>
          <w:p w14:paraId="35930367">
            <w:pPr>
              <w:spacing w:line="300" w:lineRule="auto"/>
              <w:ind w:firstLine="0" w:firstLineChars="0"/>
              <w:jc w:val="both"/>
              <w:rPr>
                <w:rFonts w:hint="eastAsia" w:ascii="仿宋" w:hAnsi="仿宋" w:eastAsia="仿宋" w:cs="宋体"/>
                <w:sz w:val="24"/>
                <w:highlight w:val="none"/>
              </w:rPr>
            </w:pPr>
            <w:r>
              <w:rPr>
                <w:rFonts w:hint="eastAsia" w:ascii="仿宋" w:hAnsi="仿宋" w:eastAsia="仿宋" w:cs="宋体"/>
                <w:sz w:val="24"/>
                <w:highlight w:val="none"/>
                <w:lang w:val="en-US" w:eastAsia="zh-CN"/>
              </w:rPr>
              <w:t>3.</w:t>
            </w:r>
            <w:r>
              <w:rPr>
                <w:rFonts w:hint="eastAsia" w:ascii="仿宋" w:hAnsi="仿宋" w:eastAsia="仿宋" w:cs="宋体"/>
                <w:sz w:val="24"/>
                <w:highlight w:val="none"/>
              </w:rPr>
              <w:t>内容阐述较为粗略，各项措施欠缺合理性，针对性、可行性较弱的得</w:t>
            </w:r>
            <w:r>
              <w:rPr>
                <w:rFonts w:hint="eastAsia" w:ascii="仿宋" w:hAnsi="仿宋" w:eastAsia="仿宋" w:cs="宋体"/>
                <w:sz w:val="24"/>
                <w:szCs w:val="24"/>
                <w:highlight w:val="none"/>
              </w:rPr>
              <w:t>(0,</w:t>
            </w:r>
            <w:r>
              <w:rPr>
                <w:rFonts w:hint="eastAsia" w:ascii="仿宋" w:hAnsi="仿宋" w:eastAsia="仿宋" w:cs="宋体"/>
                <w:sz w:val="24"/>
                <w:szCs w:val="24"/>
                <w:highlight w:val="none"/>
                <w:lang w:val="en-US" w:eastAsia="zh-CN"/>
              </w:rPr>
              <w:t>2</w:t>
            </w:r>
            <w:r>
              <w:rPr>
                <w:rFonts w:hint="eastAsia" w:ascii="仿宋" w:hAnsi="仿宋" w:eastAsia="仿宋" w:cs="宋体"/>
                <w:sz w:val="24"/>
                <w:szCs w:val="24"/>
                <w:highlight w:val="none"/>
              </w:rPr>
              <w:t>]</w:t>
            </w:r>
            <w:r>
              <w:rPr>
                <w:rFonts w:hint="eastAsia" w:ascii="仿宋" w:hAnsi="仿宋" w:eastAsia="仿宋" w:cs="宋体"/>
                <w:sz w:val="24"/>
                <w:highlight w:val="none"/>
              </w:rPr>
              <w:t>分；</w:t>
            </w:r>
          </w:p>
          <w:p w14:paraId="04248743">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4.</w:t>
            </w:r>
            <w:r>
              <w:rPr>
                <w:rFonts w:hint="eastAsia" w:ascii="仿宋" w:hAnsi="仿宋" w:eastAsia="仿宋" w:cs="宋体"/>
                <w:sz w:val="24"/>
                <w:highlight w:val="none"/>
              </w:rPr>
              <w:t>未提供相关内容阐述或不符合项目的不得分。</w:t>
            </w:r>
          </w:p>
        </w:tc>
        <w:tc>
          <w:tcPr>
            <w:tcW w:w="791" w:type="dxa"/>
            <w:noWrap/>
            <w:vAlign w:val="center"/>
          </w:tcPr>
          <w:p w14:paraId="4ED5042D">
            <w:pPr>
              <w:autoSpaceDE/>
              <w:autoSpaceDN/>
              <w:spacing w:line="320" w:lineRule="exact"/>
              <w:ind w:firstLine="0" w:firstLineChars="0"/>
              <w:jc w:val="center"/>
              <w:rPr>
                <w:rFonts w:hint="default" w:ascii="仿宋" w:hAnsi="仿宋" w:eastAsia="仿宋"/>
                <w:b/>
                <w:bCs/>
                <w:kern w:val="2"/>
                <w:sz w:val="24"/>
                <w:szCs w:val="24"/>
                <w:highlight w:val="none"/>
                <w:lang w:val="en-US" w:eastAsia="zh-CN"/>
              </w:rPr>
            </w:pPr>
            <w:r>
              <w:rPr>
                <w:rFonts w:hint="eastAsia" w:ascii="仿宋" w:hAnsi="仿宋" w:eastAsia="仿宋"/>
                <w:b/>
                <w:bCs/>
                <w:kern w:val="2"/>
                <w:sz w:val="24"/>
                <w:szCs w:val="24"/>
                <w:highlight w:val="none"/>
                <w:lang w:val="en-US" w:eastAsia="zh-CN"/>
              </w:rPr>
              <w:t>7分</w:t>
            </w:r>
          </w:p>
        </w:tc>
      </w:tr>
      <w:tr w14:paraId="738C2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44" w:type="dxa"/>
            <w:noWrap/>
            <w:vAlign w:val="center"/>
          </w:tcPr>
          <w:p w14:paraId="3926AECB">
            <w:pPr>
              <w:autoSpaceDE/>
              <w:autoSpaceDN/>
              <w:spacing w:line="320" w:lineRule="exact"/>
              <w:ind w:firstLine="0" w:firstLineChars="0"/>
              <w:jc w:val="center"/>
              <w:rPr>
                <w:rFonts w:hint="eastAsia" w:ascii="仿宋" w:hAnsi="仿宋" w:eastAsia="仿宋" w:cs="宋体"/>
                <w:b/>
                <w:bCs/>
                <w:kern w:val="2"/>
                <w:sz w:val="24"/>
                <w:szCs w:val="24"/>
                <w:highlight w:val="none"/>
                <w:lang w:eastAsia="zh-CN"/>
              </w:rPr>
            </w:pPr>
            <w:r>
              <w:rPr>
                <w:rFonts w:hint="eastAsia" w:ascii="仿宋" w:hAnsi="仿宋" w:eastAsia="仿宋" w:cs="宋体"/>
                <w:b/>
                <w:bCs/>
                <w:kern w:val="2"/>
                <w:sz w:val="24"/>
                <w:szCs w:val="24"/>
                <w:highlight w:val="none"/>
                <w:lang w:val="en-US" w:eastAsia="zh-CN"/>
              </w:rPr>
              <w:t>5</w:t>
            </w:r>
          </w:p>
        </w:tc>
        <w:tc>
          <w:tcPr>
            <w:tcW w:w="805" w:type="dxa"/>
            <w:noWrap/>
            <w:vAlign w:val="center"/>
          </w:tcPr>
          <w:p w14:paraId="178675DA">
            <w:pPr>
              <w:autoSpaceDE/>
              <w:autoSpaceDN/>
              <w:spacing w:line="320" w:lineRule="exact"/>
              <w:ind w:firstLine="0" w:firstLineChars="0"/>
              <w:jc w:val="center"/>
              <w:rPr>
                <w:rFonts w:ascii="仿宋" w:hAnsi="仿宋" w:eastAsia="仿宋" w:cs="宋体"/>
                <w:b/>
                <w:bCs/>
                <w:kern w:val="2"/>
                <w:sz w:val="24"/>
                <w:szCs w:val="24"/>
                <w:highlight w:val="none"/>
              </w:rPr>
            </w:pPr>
            <w:r>
              <w:rPr>
                <w:rFonts w:hint="eastAsia" w:ascii="仿宋" w:hAnsi="仿宋" w:eastAsia="仿宋" w:cs="宋体"/>
                <w:b/>
                <w:bCs/>
                <w:kern w:val="2"/>
                <w:sz w:val="24"/>
                <w:szCs w:val="24"/>
                <w:highlight w:val="none"/>
              </w:rPr>
              <w:t>应急预案</w:t>
            </w:r>
          </w:p>
        </w:tc>
        <w:tc>
          <w:tcPr>
            <w:tcW w:w="6978" w:type="dxa"/>
            <w:noWrap/>
            <w:vAlign w:val="center"/>
          </w:tcPr>
          <w:p w14:paraId="756064B2">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根据投标人提供的针对本项目应急预案合理性、应急保障能力、应急响应时间、人员应急安排等情况，由评审专家进行综合打分。</w:t>
            </w:r>
          </w:p>
          <w:p w14:paraId="741CF5F8">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1.阐述详细，各项措施合理明确，针对性及可行性强的得</w:t>
            </w:r>
            <w:r>
              <w:rPr>
                <w:rFonts w:hint="eastAsia" w:ascii="仿宋" w:hAnsi="仿宋" w:eastAsia="仿宋" w:cs="宋体"/>
                <w:sz w:val="24"/>
                <w:szCs w:val="24"/>
                <w:highlight w:val="none"/>
                <w:lang w:eastAsia="zh-CN"/>
              </w:rPr>
              <w:t>（</w:t>
            </w:r>
            <w:r>
              <w:rPr>
                <w:rFonts w:hint="eastAsia" w:ascii="仿宋" w:hAnsi="仿宋" w:eastAsia="仿宋" w:cs="宋体"/>
                <w:sz w:val="24"/>
                <w:szCs w:val="24"/>
                <w:highlight w:val="none"/>
                <w:lang w:val="en-US" w:eastAsia="zh-CN"/>
              </w:rPr>
              <w:t>5,7</w:t>
            </w:r>
            <w:r>
              <w:rPr>
                <w:rFonts w:hint="eastAsia" w:ascii="仿宋" w:hAnsi="仿宋" w:eastAsia="仿宋" w:cs="宋体"/>
                <w:sz w:val="24"/>
                <w:szCs w:val="24"/>
                <w:highlight w:val="none"/>
              </w:rPr>
              <w:t>]</w:t>
            </w:r>
            <w:r>
              <w:rPr>
                <w:rFonts w:hint="eastAsia" w:ascii="仿宋" w:hAnsi="仿宋" w:eastAsia="仿宋" w:cs="宋体"/>
                <w:sz w:val="24"/>
                <w:highlight w:val="none"/>
                <w:lang w:val="en-US" w:eastAsia="zh-CN"/>
              </w:rPr>
              <w:t>分；</w:t>
            </w:r>
          </w:p>
          <w:p w14:paraId="074E3417">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2.阐述较为详细，各项措施较为合理明确，具有一定针对性及可行性的得</w:t>
            </w:r>
            <w:r>
              <w:rPr>
                <w:rFonts w:hint="eastAsia" w:ascii="仿宋" w:hAnsi="仿宋" w:eastAsia="仿宋" w:cs="Times New Roman"/>
                <w:sz w:val="24"/>
                <w:szCs w:val="24"/>
                <w:highlight w:val="none"/>
                <w:lang w:eastAsia="zh-CN"/>
              </w:rPr>
              <w:t>（</w:t>
            </w:r>
            <w:r>
              <w:rPr>
                <w:rFonts w:hint="eastAsia" w:ascii="仿宋" w:hAnsi="仿宋" w:eastAsia="仿宋" w:cs="宋体"/>
                <w:sz w:val="24"/>
                <w:szCs w:val="24"/>
                <w:highlight w:val="none"/>
              </w:rPr>
              <w:t>2,</w:t>
            </w:r>
            <w:r>
              <w:rPr>
                <w:rFonts w:hint="eastAsia" w:ascii="仿宋" w:hAnsi="仿宋" w:eastAsia="仿宋" w:cs="宋体"/>
                <w:sz w:val="24"/>
                <w:szCs w:val="24"/>
                <w:highlight w:val="none"/>
                <w:lang w:val="en-US" w:eastAsia="zh-CN"/>
              </w:rPr>
              <w:t>5</w:t>
            </w:r>
            <w:r>
              <w:rPr>
                <w:rFonts w:hint="eastAsia" w:ascii="仿宋" w:hAnsi="仿宋" w:eastAsia="仿宋" w:cs="宋体"/>
                <w:sz w:val="24"/>
                <w:szCs w:val="24"/>
                <w:highlight w:val="none"/>
              </w:rPr>
              <w:t>]</w:t>
            </w:r>
            <w:r>
              <w:rPr>
                <w:rFonts w:hint="eastAsia" w:ascii="仿宋" w:hAnsi="仿宋" w:eastAsia="仿宋" w:cs="Times New Roman"/>
                <w:sz w:val="24"/>
                <w:szCs w:val="24"/>
                <w:highlight w:val="none"/>
              </w:rPr>
              <w:t>分</w:t>
            </w:r>
            <w:r>
              <w:rPr>
                <w:rFonts w:hint="eastAsia" w:ascii="仿宋" w:hAnsi="仿宋" w:eastAsia="仿宋" w:cs="宋体"/>
                <w:sz w:val="24"/>
                <w:highlight w:val="none"/>
                <w:lang w:val="en-US" w:eastAsia="zh-CN"/>
              </w:rPr>
              <w:t>；</w:t>
            </w:r>
          </w:p>
          <w:p w14:paraId="2D7B8EDB">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3.内容阐述较为粗略，各项措施欠缺合理性，针对性、可行性较弱的得(0,2]分；</w:t>
            </w:r>
          </w:p>
          <w:p w14:paraId="5E393EE7">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宋体"/>
                <w:sz w:val="24"/>
                <w:highlight w:val="none"/>
                <w:lang w:val="en-US" w:eastAsia="zh-CN"/>
              </w:rPr>
              <w:t>4.未提供相关内容阐述或不符合项目的不得分。</w:t>
            </w:r>
          </w:p>
        </w:tc>
        <w:tc>
          <w:tcPr>
            <w:tcW w:w="791" w:type="dxa"/>
            <w:noWrap/>
            <w:vAlign w:val="center"/>
          </w:tcPr>
          <w:p w14:paraId="3A27DCFB">
            <w:pPr>
              <w:autoSpaceDE/>
              <w:autoSpaceDN/>
              <w:spacing w:line="320" w:lineRule="exact"/>
              <w:ind w:firstLine="0" w:firstLineChars="0"/>
              <w:jc w:val="center"/>
              <w:rPr>
                <w:rFonts w:ascii="仿宋" w:hAnsi="仿宋" w:eastAsia="仿宋"/>
                <w:b/>
                <w:bCs/>
                <w:kern w:val="2"/>
                <w:sz w:val="24"/>
                <w:szCs w:val="24"/>
                <w:highlight w:val="none"/>
              </w:rPr>
            </w:pPr>
            <w:r>
              <w:rPr>
                <w:rFonts w:hint="eastAsia" w:ascii="仿宋" w:hAnsi="仿宋" w:eastAsia="仿宋"/>
                <w:b/>
                <w:bCs/>
                <w:kern w:val="2"/>
                <w:sz w:val="24"/>
                <w:szCs w:val="24"/>
                <w:highlight w:val="none"/>
                <w:lang w:val="en-US" w:eastAsia="zh-CN"/>
              </w:rPr>
              <w:t>7</w:t>
            </w:r>
            <w:r>
              <w:rPr>
                <w:rFonts w:hint="eastAsia" w:ascii="仿宋" w:hAnsi="仿宋" w:eastAsia="仿宋"/>
                <w:b/>
                <w:bCs/>
                <w:kern w:val="2"/>
                <w:sz w:val="24"/>
                <w:szCs w:val="24"/>
                <w:highlight w:val="none"/>
              </w:rPr>
              <w:t>分</w:t>
            </w:r>
          </w:p>
        </w:tc>
      </w:tr>
      <w:tr w14:paraId="6E3BA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744" w:type="dxa"/>
            <w:noWrap/>
            <w:vAlign w:val="center"/>
          </w:tcPr>
          <w:p w14:paraId="366417DC">
            <w:pPr>
              <w:autoSpaceDE/>
              <w:autoSpaceDN/>
              <w:spacing w:line="320" w:lineRule="exact"/>
              <w:ind w:firstLine="0" w:firstLineChars="0"/>
              <w:jc w:val="center"/>
              <w:rPr>
                <w:rFonts w:hint="eastAsia" w:ascii="仿宋" w:hAnsi="仿宋" w:eastAsia="仿宋" w:cs="宋体"/>
                <w:b/>
                <w:bCs/>
                <w:kern w:val="2"/>
                <w:sz w:val="24"/>
                <w:szCs w:val="24"/>
                <w:highlight w:val="none"/>
                <w:lang w:eastAsia="zh-CN"/>
              </w:rPr>
            </w:pPr>
            <w:r>
              <w:rPr>
                <w:rFonts w:hint="eastAsia" w:ascii="仿宋" w:hAnsi="仿宋" w:eastAsia="仿宋" w:cs="宋体"/>
                <w:b/>
                <w:bCs/>
                <w:kern w:val="2"/>
                <w:sz w:val="24"/>
                <w:szCs w:val="24"/>
                <w:highlight w:val="none"/>
                <w:lang w:val="en-US" w:eastAsia="zh-CN"/>
              </w:rPr>
              <w:t>6</w:t>
            </w:r>
          </w:p>
        </w:tc>
        <w:tc>
          <w:tcPr>
            <w:tcW w:w="805" w:type="dxa"/>
            <w:noWrap/>
            <w:vAlign w:val="center"/>
          </w:tcPr>
          <w:p w14:paraId="15B9A001">
            <w:pPr>
              <w:autoSpaceDE/>
              <w:autoSpaceDN/>
              <w:spacing w:line="320" w:lineRule="exact"/>
              <w:ind w:firstLine="0" w:firstLineChars="0"/>
              <w:jc w:val="center"/>
              <w:rPr>
                <w:rFonts w:ascii="仿宋" w:hAnsi="仿宋" w:eastAsia="仿宋" w:cs="宋体"/>
                <w:b/>
                <w:bCs/>
                <w:kern w:val="2"/>
                <w:sz w:val="24"/>
                <w:szCs w:val="24"/>
                <w:highlight w:val="none"/>
              </w:rPr>
            </w:pPr>
            <w:r>
              <w:rPr>
                <w:rFonts w:hint="eastAsia" w:ascii="仿宋" w:hAnsi="仿宋" w:eastAsia="仿宋" w:cs="宋体"/>
                <w:b/>
                <w:bCs/>
                <w:kern w:val="2"/>
                <w:sz w:val="24"/>
                <w:szCs w:val="24"/>
                <w:highlight w:val="none"/>
              </w:rPr>
              <w:t>售后服务方案</w:t>
            </w:r>
          </w:p>
        </w:tc>
        <w:tc>
          <w:tcPr>
            <w:tcW w:w="6978" w:type="dxa"/>
            <w:noWrap/>
            <w:vAlign w:val="center"/>
          </w:tcPr>
          <w:p w14:paraId="32A316F4">
            <w:pPr>
              <w:spacing w:line="300" w:lineRule="auto"/>
              <w:ind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宋体"/>
                <w:bCs/>
                <w:sz w:val="24"/>
                <w:szCs w:val="24"/>
                <w:highlight w:val="none"/>
              </w:rPr>
              <w:t>根据投标人</w:t>
            </w:r>
            <w:r>
              <w:rPr>
                <w:rFonts w:hint="eastAsia" w:ascii="仿宋" w:hAnsi="仿宋" w:eastAsia="仿宋" w:cs="宋体"/>
                <w:bCs/>
                <w:sz w:val="24"/>
                <w:szCs w:val="24"/>
                <w:highlight w:val="none"/>
                <w:lang w:val="en-US" w:eastAsia="zh-CN"/>
              </w:rPr>
              <w:t>提供的售后</w:t>
            </w:r>
            <w:r>
              <w:rPr>
                <w:rFonts w:hint="eastAsia" w:ascii="仿宋" w:hAnsi="仿宋" w:eastAsia="仿宋" w:cs="宋体"/>
                <w:bCs/>
                <w:sz w:val="24"/>
                <w:szCs w:val="24"/>
                <w:highlight w:val="none"/>
              </w:rPr>
              <w:t>服务响应方案（包括</w:t>
            </w:r>
            <w:r>
              <w:rPr>
                <w:rFonts w:hint="eastAsia" w:ascii="仿宋" w:hAnsi="仿宋" w:eastAsia="仿宋" w:cs="Times New Roman"/>
                <w:sz w:val="24"/>
                <w:szCs w:val="24"/>
                <w:highlight w:val="none"/>
              </w:rPr>
              <w:t>本地化服务承诺、对拟投入的技术人员制定具体本地服务工作计划，确保技术人员到位，提供</w:t>
            </w:r>
            <w:r>
              <w:rPr>
                <w:rFonts w:hint="eastAsia" w:ascii="仿宋" w:hAnsi="仿宋" w:eastAsia="仿宋" w:cs="仿宋"/>
                <w:sz w:val="24"/>
                <w:szCs w:val="24"/>
                <w:highlight w:val="none"/>
              </w:rPr>
              <w:t>快速本地服务响应</w:t>
            </w:r>
            <w:r>
              <w:rPr>
                <w:rFonts w:hint="eastAsia" w:ascii="仿宋" w:hAnsi="仿宋" w:eastAsia="仿宋" w:cs="Times New Roman"/>
                <w:sz w:val="24"/>
                <w:szCs w:val="24"/>
                <w:highlight w:val="none"/>
              </w:rPr>
              <w:t>等相应的保障措施</w:t>
            </w:r>
            <w:r>
              <w:rPr>
                <w:rFonts w:hint="eastAsia" w:ascii="仿宋" w:hAnsi="仿宋" w:eastAsia="仿宋" w:cs="宋体"/>
                <w:bCs/>
                <w:sz w:val="24"/>
                <w:szCs w:val="24"/>
                <w:highlight w:val="none"/>
              </w:rPr>
              <w:t>）是否详细明确、合理可行</w:t>
            </w:r>
            <w:r>
              <w:rPr>
                <w:rFonts w:hint="eastAsia" w:ascii="仿宋" w:hAnsi="仿宋" w:eastAsia="仿宋" w:cs="仿宋"/>
                <w:sz w:val="24"/>
                <w:szCs w:val="24"/>
                <w:highlight w:val="none"/>
                <w:lang w:val="en-US" w:eastAsia="zh-CN"/>
              </w:rPr>
              <w:t>，</w:t>
            </w:r>
            <w:r>
              <w:rPr>
                <w:rFonts w:hint="eastAsia" w:ascii="仿宋" w:hAnsi="仿宋" w:eastAsia="仿宋" w:cs="仿宋"/>
                <w:color w:val="auto"/>
                <w:sz w:val="24"/>
                <w:szCs w:val="24"/>
                <w:highlight w:val="none"/>
                <w:lang w:val="en-US" w:eastAsia="zh-CN"/>
              </w:rPr>
              <w:t>由评审专家进行综合打分。</w:t>
            </w:r>
          </w:p>
          <w:p w14:paraId="478B7299">
            <w:pPr>
              <w:spacing w:line="300" w:lineRule="auto"/>
              <w:ind w:firstLine="0" w:firstLineChars="0"/>
              <w:jc w:val="both"/>
              <w:rPr>
                <w:rFonts w:hint="eastAsia" w:ascii="仿宋" w:hAnsi="仿宋" w:eastAsia="仿宋" w:cs="Times New Roman"/>
                <w:sz w:val="24"/>
                <w:szCs w:val="24"/>
                <w:highlight w:val="none"/>
              </w:rPr>
            </w:pPr>
            <w:r>
              <w:rPr>
                <w:rFonts w:hint="eastAsia" w:ascii="仿宋" w:hAnsi="仿宋" w:eastAsia="仿宋" w:cs="宋体"/>
                <w:bCs/>
                <w:sz w:val="24"/>
                <w:szCs w:val="24"/>
                <w:highlight w:val="none"/>
                <w:lang w:val="en-US" w:eastAsia="zh-CN"/>
              </w:rPr>
              <w:t>1.</w:t>
            </w:r>
            <w:r>
              <w:rPr>
                <w:rFonts w:hint="eastAsia" w:ascii="仿宋" w:hAnsi="仿宋" w:eastAsia="仿宋" w:cs="宋体"/>
                <w:bCs/>
                <w:sz w:val="24"/>
                <w:szCs w:val="24"/>
                <w:highlight w:val="none"/>
              </w:rPr>
              <w:t>方案阐述</w:t>
            </w:r>
            <w:r>
              <w:rPr>
                <w:rFonts w:hint="eastAsia" w:ascii="仿宋" w:hAnsi="仿宋" w:eastAsia="仿宋" w:cs="Times New Roman"/>
                <w:sz w:val="24"/>
                <w:szCs w:val="24"/>
                <w:highlight w:val="none"/>
              </w:rPr>
              <w:t>详细，有明确、合理可行的承诺及措施，能够充分保证及时有效服务响应的得</w:t>
            </w:r>
            <w:r>
              <w:rPr>
                <w:rFonts w:hint="eastAsia" w:ascii="仿宋" w:hAnsi="仿宋" w:eastAsia="仿宋" w:cs="宋体"/>
                <w:sz w:val="24"/>
                <w:szCs w:val="24"/>
                <w:highlight w:val="none"/>
                <w:lang w:eastAsia="zh-CN"/>
              </w:rPr>
              <w:t>（</w:t>
            </w:r>
            <w:r>
              <w:rPr>
                <w:rFonts w:hint="eastAsia" w:ascii="仿宋" w:hAnsi="仿宋" w:eastAsia="仿宋" w:cs="宋体"/>
                <w:sz w:val="24"/>
                <w:szCs w:val="24"/>
                <w:highlight w:val="none"/>
                <w:lang w:val="en-US" w:eastAsia="zh-CN"/>
              </w:rPr>
              <w:t>5,7</w:t>
            </w:r>
            <w:r>
              <w:rPr>
                <w:rFonts w:hint="eastAsia" w:ascii="仿宋" w:hAnsi="仿宋" w:eastAsia="仿宋" w:cs="宋体"/>
                <w:sz w:val="24"/>
                <w:szCs w:val="24"/>
                <w:highlight w:val="none"/>
              </w:rPr>
              <w:t>]</w:t>
            </w:r>
            <w:r>
              <w:rPr>
                <w:rFonts w:hint="eastAsia" w:ascii="仿宋" w:hAnsi="仿宋" w:eastAsia="仿宋" w:cs="Times New Roman"/>
                <w:sz w:val="24"/>
                <w:szCs w:val="24"/>
                <w:highlight w:val="none"/>
              </w:rPr>
              <w:t>分；</w:t>
            </w:r>
          </w:p>
          <w:p w14:paraId="27E10E88">
            <w:pPr>
              <w:spacing w:line="300" w:lineRule="auto"/>
              <w:ind w:firstLine="0" w:firstLineChars="0"/>
              <w:jc w:val="both"/>
              <w:rPr>
                <w:rFonts w:hint="eastAsia" w:ascii="仿宋" w:hAnsi="仿宋" w:eastAsia="仿宋" w:cs="Times New Roman"/>
                <w:sz w:val="24"/>
                <w:szCs w:val="24"/>
                <w:highlight w:val="none"/>
              </w:rPr>
            </w:pPr>
            <w:r>
              <w:rPr>
                <w:rFonts w:hint="eastAsia" w:ascii="仿宋" w:hAnsi="仿宋" w:eastAsia="仿宋" w:cs="Times New Roman"/>
                <w:sz w:val="24"/>
                <w:szCs w:val="24"/>
                <w:highlight w:val="none"/>
                <w:lang w:val="en-US" w:eastAsia="zh-CN"/>
              </w:rPr>
              <w:t>2.</w:t>
            </w:r>
            <w:r>
              <w:rPr>
                <w:rFonts w:hint="eastAsia" w:ascii="仿宋" w:hAnsi="仿宋" w:eastAsia="仿宋" w:cs="Times New Roman"/>
                <w:sz w:val="24"/>
                <w:szCs w:val="24"/>
                <w:highlight w:val="none"/>
              </w:rPr>
              <w:t>方案阐述较为详细，有较合理可行的承诺及措施，能较好的保障及时有效服务响应的得</w:t>
            </w:r>
            <w:r>
              <w:rPr>
                <w:rFonts w:hint="eastAsia" w:ascii="仿宋" w:hAnsi="仿宋" w:eastAsia="仿宋" w:cs="Times New Roman"/>
                <w:sz w:val="24"/>
                <w:szCs w:val="24"/>
                <w:highlight w:val="none"/>
                <w:lang w:eastAsia="zh-CN"/>
              </w:rPr>
              <w:t>（</w:t>
            </w:r>
            <w:r>
              <w:rPr>
                <w:rFonts w:hint="eastAsia" w:ascii="仿宋" w:hAnsi="仿宋" w:eastAsia="仿宋" w:cs="宋体"/>
                <w:sz w:val="24"/>
                <w:szCs w:val="24"/>
                <w:highlight w:val="none"/>
              </w:rPr>
              <w:t>2,</w:t>
            </w:r>
            <w:r>
              <w:rPr>
                <w:rFonts w:hint="eastAsia" w:ascii="仿宋" w:hAnsi="仿宋" w:eastAsia="仿宋" w:cs="宋体"/>
                <w:sz w:val="24"/>
                <w:szCs w:val="24"/>
                <w:highlight w:val="none"/>
                <w:lang w:val="en-US" w:eastAsia="zh-CN"/>
              </w:rPr>
              <w:t>5</w:t>
            </w:r>
            <w:r>
              <w:rPr>
                <w:rFonts w:hint="eastAsia" w:ascii="仿宋" w:hAnsi="仿宋" w:eastAsia="仿宋" w:cs="宋体"/>
                <w:sz w:val="24"/>
                <w:szCs w:val="24"/>
                <w:highlight w:val="none"/>
              </w:rPr>
              <w:t>]</w:t>
            </w:r>
            <w:r>
              <w:rPr>
                <w:rFonts w:hint="eastAsia" w:ascii="仿宋" w:hAnsi="仿宋" w:eastAsia="仿宋" w:cs="Times New Roman"/>
                <w:sz w:val="24"/>
                <w:szCs w:val="24"/>
                <w:highlight w:val="none"/>
              </w:rPr>
              <w:t>分；</w:t>
            </w:r>
          </w:p>
          <w:p w14:paraId="330BA301">
            <w:pPr>
              <w:spacing w:line="300" w:lineRule="auto"/>
              <w:ind w:firstLine="0" w:firstLineChars="0"/>
              <w:jc w:val="both"/>
              <w:rPr>
                <w:rFonts w:hint="eastAsia" w:ascii="仿宋" w:hAnsi="仿宋" w:eastAsia="仿宋" w:cs="Times New Roman"/>
                <w:sz w:val="24"/>
                <w:szCs w:val="24"/>
                <w:highlight w:val="none"/>
              </w:rPr>
            </w:pPr>
            <w:r>
              <w:rPr>
                <w:rFonts w:hint="eastAsia" w:ascii="仿宋" w:hAnsi="仿宋" w:eastAsia="仿宋" w:cs="Times New Roman"/>
                <w:sz w:val="24"/>
                <w:szCs w:val="24"/>
                <w:highlight w:val="none"/>
                <w:lang w:val="en-US" w:eastAsia="zh-CN"/>
              </w:rPr>
              <w:t>3.</w:t>
            </w:r>
            <w:r>
              <w:rPr>
                <w:rFonts w:hint="eastAsia" w:ascii="仿宋" w:hAnsi="仿宋" w:eastAsia="仿宋" w:cs="Times New Roman"/>
                <w:sz w:val="24"/>
                <w:szCs w:val="24"/>
                <w:highlight w:val="none"/>
              </w:rPr>
              <w:t>方案阐述较为粗略，</w:t>
            </w:r>
            <w:r>
              <w:rPr>
                <w:rFonts w:hint="eastAsia" w:ascii="仿宋" w:hAnsi="仿宋" w:eastAsia="仿宋"/>
                <w:sz w:val="24"/>
                <w:szCs w:val="24"/>
                <w:highlight w:val="none"/>
              </w:rPr>
              <w:t>内容</w:t>
            </w:r>
            <w:r>
              <w:rPr>
                <w:rFonts w:hint="eastAsia" w:ascii="仿宋" w:hAnsi="仿宋" w:eastAsia="仿宋" w:cs="仿宋_GB2312"/>
                <w:bCs/>
                <w:sz w:val="24"/>
                <w:szCs w:val="24"/>
                <w:highlight w:val="none"/>
              </w:rPr>
              <w:t>存在缺陷、</w:t>
            </w:r>
            <w:r>
              <w:rPr>
                <w:rFonts w:hint="eastAsia" w:ascii="仿宋" w:hAnsi="仿宋" w:eastAsia="仿宋"/>
                <w:sz w:val="24"/>
                <w:highlight w:val="none"/>
              </w:rPr>
              <w:t>合理可行性欠缺，</w:t>
            </w:r>
            <w:r>
              <w:rPr>
                <w:rFonts w:hint="eastAsia" w:ascii="仿宋" w:hAnsi="仿宋" w:eastAsia="仿宋" w:cs="Times New Roman"/>
                <w:sz w:val="24"/>
                <w:szCs w:val="24"/>
                <w:highlight w:val="none"/>
              </w:rPr>
              <w:t>总体服务响应保障能力较为一般的得</w:t>
            </w:r>
            <w:r>
              <w:rPr>
                <w:rFonts w:hint="eastAsia" w:ascii="仿宋" w:hAnsi="仿宋" w:eastAsia="仿宋" w:cs="宋体"/>
                <w:sz w:val="24"/>
                <w:szCs w:val="24"/>
                <w:highlight w:val="none"/>
              </w:rPr>
              <w:t>(0,</w:t>
            </w:r>
            <w:r>
              <w:rPr>
                <w:rFonts w:hint="eastAsia" w:ascii="仿宋" w:hAnsi="仿宋" w:eastAsia="仿宋" w:cs="宋体"/>
                <w:sz w:val="24"/>
                <w:szCs w:val="24"/>
                <w:highlight w:val="none"/>
                <w:lang w:val="en-US" w:eastAsia="zh-CN"/>
              </w:rPr>
              <w:t>2</w:t>
            </w:r>
            <w:r>
              <w:rPr>
                <w:rFonts w:hint="eastAsia" w:ascii="仿宋" w:hAnsi="仿宋" w:eastAsia="仿宋" w:cs="宋体"/>
                <w:sz w:val="24"/>
                <w:szCs w:val="24"/>
                <w:highlight w:val="none"/>
              </w:rPr>
              <w:t>]</w:t>
            </w:r>
            <w:r>
              <w:rPr>
                <w:rFonts w:hint="eastAsia" w:ascii="仿宋" w:hAnsi="仿宋" w:eastAsia="仿宋" w:cs="Times New Roman"/>
                <w:sz w:val="24"/>
                <w:szCs w:val="24"/>
                <w:highlight w:val="none"/>
              </w:rPr>
              <w:t>分；</w:t>
            </w:r>
          </w:p>
          <w:p w14:paraId="2CC1F841">
            <w:pPr>
              <w:spacing w:line="300" w:lineRule="auto"/>
              <w:ind w:firstLine="0" w:firstLineChars="0"/>
              <w:jc w:val="both"/>
              <w:rPr>
                <w:rFonts w:hint="eastAsia" w:ascii="仿宋" w:hAnsi="仿宋" w:eastAsia="仿宋" w:cs="宋体"/>
                <w:sz w:val="24"/>
                <w:highlight w:val="none"/>
                <w:lang w:val="en-US" w:eastAsia="zh-CN"/>
              </w:rPr>
            </w:pPr>
            <w:r>
              <w:rPr>
                <w:rFonts w:hint="eastAsia" w:ascii="仿宋" w:hAnsi="仿宋" w:eastAsia="仿宋" w:cs="Times New Roman"/>
                <w:sz w:val="24"/>
                <w:szCs w:val="24"/>
                <w:highlight w:val="none"/>
                <w:lang w:val="en-US" w:eastAsia="zh-CN"/>
              </w:rPr>
              <w:t>4.</w:t>
            </w:r>
            <w:r>
              <w:rPr>
                <w:rFonts w:hint="eastAsia" w:ascii="仿宋" w:hAnsi="仿宋" w:eastAsia="仿宋" w:cs="Times New Roman"/>
                <w:sz w:val="24"/>
                <w:szCs w:val="24"/>
                <w:highlight w:val="none"/>
              </w:rPr>
              <w:t>无</w:t>
            </w:r>
            <w:r>
              <w:rPr>
                <w:rFonts w:hint="eastAsia" w:ascii="仿宋" w:hAnsi="仿宋" w:eastAsia="仿宋" w:cs="宋体"/>
                <w:sz w:val="24"/>
                <w:highlight w:val="none"/>
              </w:rPr>
              <w:t>相关内容阐述或不符合项目的不得分。</w:t>
            </w:r>
          </w:p>
        </w:tc>
        <w:tc>
          <w:tcPr>
            <w:tcW w:w="791" w:type="dxa"/>
            <w:noWrap/>
            <w:vAlign w:val="center"/>
          </w:tcPr>
          <w:p w14:paraId="47AB82E0">
            <w:pPr>
              <w:autoSpaceDE/>
              <w:autoSpaceDN/>
              <w:spacing w:line="320" w:lineRule="exact"/>
              <w:ind w:firstLine="0" w:firstLineChars="0"/>
              <w:jc w:val="center"/>
              <w:rPr>
                <w:rFonts w:ascii="仿宋" w:hAnsi="仿宋" w:eastAsia="仿宋" w:cs="仿宋_GB2312"/>
                <w:bCs/>
                <w:kern w:val="2"/>
                <w:sz w:val="24"/>
                <w:szCs w:val="24"/>
                <w:highlight w:val="none"/>
              </w:rPr>
            </w:pPr>
            <w:r>
              <w:rPr>
                <w:rFonts w:hint="eastAsia" w:ascii="仿宋" w:hAnsi="仿宋" w:eastAsia="仿宋"/>
                <w:b/>
                <w:bCs/>
                <w:kern w:val="2"/>
                <w:sz w:val="24"/>
                <w:szCs w:val="24"/>
                <w:highlight w:val="none"/>
                <w:lang w:val="en-US" w:eastAsia="zh-CN"/>
              </w:rPr>
              <w:t>7</w:t>
            </w:r>
            <w:r>
              <w:rPr>
                <w:rFonts w:hint="eastAsia" w:ascii="仿宋" w:hAnsi="仿宋" w:eastAsia="仿宋"/>
                <w:b/>
                <w:bCs/>
                <w:kern w:val="2"/>
                <w:sz w:val="24"/>
                <w:szCs w:val="24"/>
                <w:highlight w:val="none"/>
              </w:rPr>
              <w:t>分</w:t>
            </w:r>
          </w:p>
        </w:tc>
      </w:tr>
    </w:tbl>
    <w:p w14:paraId="638E34DF">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b/>
          <w:bCs/>
          <w:highlight w:val="none"/>
        </w:rPr>
      </w:pPr>
      <w:r>
        <w:rPr>
          <w:rFonts w:hint="eastAsia" w:ascii="仿宋" w:hAnsi="仿宋" w:eastAsia="仿宋" w:cs="宋体"/>
          <w:b/>
          <w:bCs/>
          <w:sz w:val="24"/>
          <w:highlight w:val="none"/>
        </w:rPr>
        <w:t>注：</w:t>
      </w:r>
    </w:p>
    <w:p w14:paraId="211B9F2F">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宋体"/>
          <w:sz w:val="24"/>
          <w:highlight w:val="none"/>
        </w:rPr>
      </w:pPr>
      <w:r>
        <w:rPr>
          <w:rFonts w:hint="eastAsia" w:ascii="仿宋" w:hAnsi="仿宋" w:eastAsia="仿宋" w:cs="宋体"/>
          <w:sz w:val="24"/>
          <w:highlight w:val="none"/>
        </w:rPr>
        <w:t>①上述评审细则中要求提供的相关证书等证明材料均需加盖投标人电子签章，且所有证书等证明材料均需在有效期内，否则对应项不得分。</w:t>
      </w:r>
    </w:p>
    <w:p w14:paraId="3695E384">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宋体"/>
          <w:sz w:val="24"/>
          <w:highlight w:val="none"/>
        </w:rPr>
      </w:pPr>
      <w:r>
        <w:rPr>
          <w:rFonts w:hint="eastAsia" w:ascii="仿宋" w:hAnsi="仿宋" w:eastAsia="仿宋" w:cs="宋体"/>
          <w:sz w:val="24"/>
          <w:highlight w:val="none"/>
        </w:rPr>
        <w:t>②</w:t>
      </w:r>
      <w:r>
        <w:rPr>
          <w:rFonts w:hint="eastAsia" w:ascii="仿宋" w:hAnsi="仿宋" w:eastAsia="仿宋" w:cs="宋体"/>
          <w:sz w:val="24"/>
          <w:highlight w:val="none"/>
          <w:lang w:val="en-US" w:eastAsia="zh-CN"/>
        </w:rPr>
        <w:t>磋商供应商</w:t>
      </w:r>
      <w:r>
        <w:rPr>
          <w:rFonts w:hint="eastAsia" w:ascii="仿宋" w:hAnsi="仿宋" w:eastAsia="仿宋" w:cs="宋体"/>
          <w:sz w:val="24"/>
          <w:highlight w:val="none"/>
        </w:rPr>
        <w:t>编制投标文件（商务技术文件部分）时，建议按此目录（序号和内容）提供评标标准相应的商务技术资料。</w:t>
      </w:r>
    </w:p>
    <w:p w14:paraId="6CD5BEF6">
      <w:pPr>
        <w:spacing w:line="420" w:lineRule="exact"/>
        <w:ind w:firstLine="482" w:firstLineChars="200"/>
        <w:rPr>
          <w:rFonts w:hint="eastAsia" w:ascii="仿宋" w:hAnsi="仿宋" w:eastAsia="仿宋" w:cs="宋体"/>
          <w:b/>
          <w:bCs/>
          <w:sz w:val="24"/>
          <w:highlight w:val="none"/>
        </w:rPr>
      </w:pPr>
      <w:r>
        <w:rPr>
          <w:rFonts w:hint="eastAsia" w:ascii="仿宋" w:hAnsi="仿宋" w:eastAsia="仿宋" w:cs="宋体"/>
          <w:b/>
          <w:bCs/>
          <w:sz w:val="24"/>
          <w:highlight w:val="none"/>
        </w:rPr>
        <w:t>特别注明</w:t>
      </w:r>
    </w:p>
    <w:p w14:paraId="7CA40683">
      <w:pPr>
        <w:spacing w:line="420" w:lineRule="exact"/>
        <w:ind w:firstLine="480" w:firstLineChars="200"/>
        <w:rPr>
          <w:rFonts w:hint="eastAsia" w:ascii="仿宋" w:hAnsi="仿宋" w:eastAsia="仿宋" w:cs="宋体"/>
          <w:sz w:val="24"/>
          <w:highlight w:val="none"/>
        </w:rPr>
      </w:pPr>
      <w:r>
        <w:rPr>
          <w:rFonts w:hint="eastAsia" w:ascii="仿宋" w:hAnsi="仿宋" w:eastAsia="仿宋" w:cs="宋体"/>
          <w:sz w:val="24"/>
          <w:highlight w:val="none"/>
        </w:rPr>
        <w:t>1.本项目共2个标项，按标项1到标项2的先后顺序依次进行开评标；通过资格审查和符合性评审的全部入围进行报价评审。</w:t>
      </w:r>
    </w:p>
    <w:p w14:paraId="2894E01B">
      <w:pPr>
        <w:keepNext w:val="0"/>
        <w:keepLines w:val="0"/>
        <w:pageBreakBefore w:val="0"/>
        <w:widowControl w:val="0"/>
        <w:kinsoku/>
        <w:wordWrap/>
        <w:overflowPunct/>
        <w:topLinePunct w:val="0"/>
        <w:autoSpaceDE/>
        <w:autoSpaceDN/>
        <w:bidi w:val="0"/>
        <w:adjustRightInd w:val="0"/>
        <w:snapToGrid w:val="0"/>
        <w:spacing w:before="159" w:beforeLines="50" w:beforeAutospacing="0" w:line="420" w:lineRule="exact"/>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宋体"/>
          <w:sz w:val="24"/>
          <w:highlight w:val="none"/>
        </w:rPr>
        <w:t>2.</w:t>
      </w:r>
      <w:r>
        <w:rPr>
          <w:rFonts w:hint="eastAsia" w:ascii="仿宋" w:hAnsi="仿宋" w:eastAsia="仿宋" w:cs="宋体"/>
          <w:sz w:val="24"/>
          <w:highlight w:val="none"/>
          <w:lang w:val="en-US" w:eastAsia="zh-CN"/>
        </w:rPr>
        <w:t>供应商</w:t>
      </w:r>
      <w:r>
        <w:rPr>
          <w:rFonts w:hint="eastAsia" w:ascii="仿宋" w:hAnsi="仿宋" w:eastAsia="仿宋" w:cs="宋体"/>
          <w:sz w:val="24"/>
          <w:highlight w:val="none"/>
        </w:rPr>
        <w:t>可以选择单个或多个标项投标，但同一个</w:t>
      </w:r>
      <w:r>
        <w:rPr>
          <w:rFonts w:hint="eastAsia" w:ascii="仿宋" w:hAnsi="仿宋" w:eastAsia="仿宋" w:cs="宋体"/>
          <w:sz w:val="24"/>
          <w:highlight w:val="none"/>
          <w:lang w:val="en-US" w:eastAsia="zh-CN"/>
        </w:rPr>
        <w:t>供应商</w:t>
      </w:r>
      <w:r>
        <w:rPr>
          <w:rFonts w:hint="eastAsia" w:ascii="仿宋" w:hAnsi="仿宋" w:eastAsia="仿宋" w:cs="宋体"/>
          <w:sz w:val="24"/>
          <w:highlight w:val="none"/>
        </w:rPr>
        <w:t>最多只能成为其中一个标项的第一中标候选人；即已在之前任一标项中推荐综合得分排名第一名的中标候选人不再进入后续标项的评审，也不在后续标项中被推荐为中标候选人。</w:t>
      </w:r>
    </w:p>
    <w:bookmarkEnd w:id="12"/>
    <w:p w14:paraId="131CAA23">
      <w:pPr>
        <w:pageBreakBefore w:val="0"/>
        <w:kinsoku/>
        <w:wordWrap/>
        <w:overflowPunct/>
        <w:topLinePunct w:val="0"/>
        <w:bidi w:val="0"/>
        <w:snapToGrid w:val="0"/>
        <w:spacing w:line="420" w:lineRule="exact"/>
        <w:ind w:left="0" w:leftChars="0"/>
        <w:textAlignment w:val="auto"/>
        <w:rPr>
          <w:rFonts w:hint="eastAsia" w:ascii="仿宋" w:hAnsi="仿宋" w:eastAsia="仿宋" w:cs="仿宋"/>
          <w:b/>
          <w:sz w:val="24"/>
          <w:szCs w:val="24"/>
          <w:highlight w:val="none"/>
        </w:rPr>
      </w:pPr>
      <w:bookmarkStart w:id="391" w:name="第五部分"/>
      <w:bookmarkStart w:id="392" w:name="_Toc86217003"/>
      <w:r>
        <w:rPr>
          <w:rFonts w:hint="eastAsia" w:ascii="仿宋" w:hAnsi="仿宋" w:eastAsia="仿宋" w:cs="仿宋"/>
          <w:b/>
          <w:sz w:val="28"/>
          <w:szCs w:val="22"/>
          <w:highlight w:val="none"/>
        </w:rPr>
        <w:t>一、评标方法</w:t>
      </w:r>
    </w:p>
    <w:p w14:paraId="4879A37E">
      <w:pPr>
        <w:pageBreakBefore w:val="0"/>
        <w:kinsoku/>
        <w:wordWrap/>
        <w:overflowPunct/>
        <w:topLinePunct w:val="0"/>
        <w:bidi w:val="0"/>
        <w:adjustRightInd/>
        <w:spacing w:line="420" w:lineRule="exact"/>
        <w:ind w:left="0" w:leftChars="0" w:firstLine="472" w:firstLineChars="196"/>
        <w:textAlignment w:val="auto"/>
        <w:rPr>
          <w:rFonts w:hint="eastAsia" w:ascii="仿宋" w:hAnsi="仿宋" w:eastAsia="仿宋" w:cs="仿宋"/>
          <w:kern w:val="0"/>
          <w:sz w:val="24"/>
          <w:highlight w:val="none"/>
        </w:rPr>
      </w:pPr>
      <w:r>
        <w:rPr>
          <w:rFonts w:hint="eastAsia" w:ascii="仿宋" w:hAnsi="仿宋" w:eastAsia="仿宋" w:cs="仿宋"/>
          <w:b/>
          <w:kern w:val="0"/>
          <w:sz w:val="24"/>
          <w:highlight w:val="none"/>
        </w:rPr>
        <w:t>1.</w:t>
      </w:r>
      <w:r>
        <w:rPr>
          <w:rFonts w:hint="eastAsia" w:ascii="仿宋" w:hAnsi="仿宋" w:eastAsia="仿宋" w:cs="仿宋"/>
          <w:b/>
          <w:kern w:val="0"/>
          <w:sz w:val="24"/>
          <w:highlight w:val="none"/>
          <w:u w:val="none"/>
        </w:rPr>
        <w:t>本项目采用综合评分法</w:t>
      </w:r>
      <w:r>
        <w:rPr>
          <w:rFonts w:hint="eastAsia" w:ascii="仿宋" w:hAnsi="仿宋" w:eastAsia="仿宋" w:cs="仿宋"/>
          <w:b/>
          <w:kern w:val="0"/>
          <w:sz w:val="24"/>
          <w:highlight w:val="none"/>
        </w:rPr>
        <w:t>。</w:t>
      </w:r>
      <w:r>
        <w:rPr>
          <w:rFonts w:hint="eastAsia" w:ascii="仿宋" w:hAnsi="仿宋" w:eastAsia="仿宋" w:cs="仿宋"/>
          <w:kern w:val="0"/>
          <w:sz w:val="24"/>
          <w:highlight w:val="none"/>
        </w:rPr>
        <w:t>综合评分法，是指投标文件满足招标文件全部实质性要求，且按照评审因素的量化指标评审得分最高的</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为中标候选人的评标方法。</w:t>
      </w:r>
    </w:p>
    <w:p w14:paraId="39713ECC">
      <w:pPr>
        <w:pageBreakBefore w:val="0"/>
        <w:kinsoku/>
        <w:wordWrap/>
        <w:overflowPunct/>
        <w:topLinePunct w:val="0"/>
        <w:bidi w:val="0"/>
        <w:adjustRightInd/>
        <w:spacing w:line="420" w:lineRule="exact"/>
        <w:ind w:left="0" w:leftChars="0"/>
        <w:textAlignment w:val="auto"/>
        <w:rPr>
          <w:rFonts w:hint="eastAsia" w:ascii="仿宋" w:hAnsi="仿宋" w:eastAsia="仿宋" w:cs="仿宋"/>
          <w:kern w:val="0"/>
          <w:sz w:val="22"/>
          <w:szCs w:val="22"/>
          <w:highlight w:val="none"/>
        </w:rPr>
      </w:pPr>
      <w:r>
        <w:rPr>
          <w:rFonts w:hint="eastAsia" w:ascii="仿宋" w:hAnsi="仿宋" w:eastAsia="仿宋" w:cs="仿宋"/>
          <w:b/>
          <w:sz w:val="28"/>
          <w:szCs w:val="22"/>
          <w:highlight w:val="none"/>
        </w:rPr>
        <w:t>二、评标标准</w:t>
      </w:r>
    </w:p>
    <w:p w14:paraId="7955620A">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highlight w:val="none"/>
        </w:rPr>
        <w:t xml:space="preserve"> </w:t>
      </w:r>
      <w:r>
        <w:rPr>
          <w:rFonts w:hint="eastAsia" w:ascii="仿宋" w:hAnsi="仿宋" w:eastAsia="仿宋" w:cs="仿宋"/>
          <w:b/>
          <w:sz w:val="24"/>
          <w:highlight w:val="none"/>
        </w:rPr>
        <w:t>评标标准：</w:t>
      </w:r>
      <w:r>
        <w:rPr>
          <w:rFonts w:hint="eastAsia" w:ascii="仿宋" w:hAnsi="仿宋" w:eastAsia="仿宋" w:cs="仿宋"/>
          <w:kern w:val="0"/>
          <w:sz w:val="24"/>
          <w:highlight w:val="none"/>
        </w:rPr>
        <w:t>见评标办法前附表。</w:t>
      </w:r>
    </w:p>
    <w:p w14:paraId="3B1F97A7">
      <w:pPr>
        <w:pageBreakBefore w:val="0"/>
        <w:kinsoku/>
        <w:wordWrap/>
        <w:overflowPunct/>
        <w:topLinePunct w:val="0"/>
        <w:bidi w:val="0"/>
        <w:spacing w:line="420" w:lineRule="exact"/>
        <w:ind w:left="0" w:leftChars="0"/>
        <w:textAlignment w:val="auto"/>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三、评标程序</w:t>
      </w:r>
    </w:p>
    <w:p w14:paraId="31C8AA6A">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kern w:val="0"/>
          <w:sz w:val="24"/>
          <w:highlight w:val="none"/>
        </w:rPr>
      </w:pPr>
      <w:r>
        <w:rPr>
          <w:rFonts w:hint="eastAsia" w:ascii="仿宋" w:hAnsi="仿宋" w:eastAsia="仿宋" w:cs="仿宋"/>
          <w:b/>
          <w:kern w:val="0"/>
          <w:sz w:val="24"/>
          <w:highlight w:val="none"/>
        </w:rPr>
        <w:t>3.1符合性审查。</w:t>
      </w:r>
      <w:r>
        <w:rPr>
          <w:rFonts w:hint="eastAsia" w:ascii="仿宋" w:hAnsi="仿宋" w:eastAsia="仿宋" w:cs="仿宋"/>
          <w:kern w:val="0"/>
          <w:sz w:val="24"/>
          <w:highlight w:val="none"/>
        </w:rPr>
        <w:t>评标委员会应当对符合资格的</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的投标文件进行符合性审查，以确定其是否满足招标文件的实质性要求。不满足招标文件的实质性要求的，投标无效。</w:t>
      </w:r>
    </w:p>
    <w:p w14:paraId="56D02F5C">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kern w:val="0"/>
          <w:sz w:val="24"/>
          <w:highlight w:val="none"/>
        </w:rPr>
      </w:pPr>
      <w:r>
        <w:rPr>
          <w:rFonts w:hint="eastAsia" w:ascii="仿宋" w:hAnsi="仿宋" w:eastAsia="仿宋" w:cs="仿宋"/>
          <w:b/>
          <w:kern w:val="0"/>
          <w:sz w:val="24"/>
          <w:highlight w:val="none"/>
        </w:rPr>
        <w:t>3.2 比较与评价。</w:t>
      </w:r>
      <w:r>
        <w:rPr>
          <w:rFonts w:hint="eastAsia" w:ascii="仿宋" w:hAnsi="仿宋" w:eastAsia="仿宋" w:cs="仿宋"/>
          <w:kern w:val="0"/>
          <w:sz w:val="24"/>
          <w:highlight w:val="none"/>
        </w:rPr>
        <w:t>评标委员会应当按照招标文件中规定的评标方法和标准，对符合性审查合格的投标文件进行商务和技术评估，综合比较与评价。</w:t>
      </w:r>
    </w:p>
    <w:p w14:paraId="4563BC71">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kern w:val="0"/>
          <w:sz w:val="24"/>
          <w:highlight w:val="none"/>
        </w:rPr>
      </w:pPr>
      <w:r>
        <w:rPr>
          <w:rFonts w:hint="eastAsia" w:ascii="仿宋" w:hAnsi="仿宋" w:eastAsia="仿宋" w:cs="仿宋"/>
          <w:b/>
          <w:kern w:val="0"/>
          <w:sz w:val="24"/>
          <w:highlight w:val="none"/>
        </w:rPr>
        <w:t>3.3汇总商务技术得分。</w:t>
      </w:r>
      <w:r>
        <w:rPr>
          <w:rFonts w:hint="eastAsia" w:ascii="仿宋" w:hAnsi="仿宋" w:eastAsia="仿宋" w:cs="仿宋"/>
          <w:kern w:val="0"/>
          <w:sz w:val="24"/>
          <w:highlight w:val="none"/>
        </w:rPr>
        <w:t>评标委员会各成员应当独立对每个</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的商务和技术文件进行评价，并汇总商务技术得分情况。</w:t>
      </w:r>
    </w:p>
    <w:p w14:paraId="3E3517A4">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b/>
          <w:kern w:val="0"/>
          <w:sz w:val="24"/>
          <w:highlight w:val="none"/>
        </w:rPr>
      </w:pPr>
      <w:r>
        <w:rPr>
          <w:rFonts w:hint="eastAsia" w:ascii="仿宋" w:hAnsi="仿宋" w:eastAsia="仿宋" w:cs="仿宋"/>
          <w:b/>
          <w:kern w:val="0"/>
          <w:sz w:val="24"/>
          <w:highlight w:val="none"/>
        </w:rPr>
        <w:t>3.4报价评审。</w:t>
      </w:r>
    </w:p>
    <w:p w14:paraId="5D6BEC30">
      <w:pPr>
        <w:pStyle w:val="166"/>
        <w:pageBreakBefore w:val="0"/>
        <w:kinsoku/>
        <w:wordWrap/>
        <w:overflowPunct/>
        <w:topLinePunct w:val="0"/>
        <w:bidi w:val="0"/>
        <w:spacing w:before="0" w:line="420" w:lineRule="exact"/>
        <w:ind w:left="0" w:leftChars="0" w:firstLine="508" w:firstLineChars="212"/>
        <w:textAlignment w:val="auto"/>
        <w:rPr>
          <w:rFonts w:hint="eastAsia" w:ascii="仿宋" w:hAnsi="仿宋" w:eastAsia="仿宋" w:cs="仿宋"/>
          <w:kern w:val="0"/>
          <w:szCs w:val="24"/>
          <w:highlight w:val="none"/>
        </w:rPr>
      </w:pPr>
      <w:r>
        <w:rPr>
          <w:rFonts w:hint="eastAsia" w:ascii="仿宋" w:hAnsi="仿宋" w:eastAsia="仿宋" w:cs="仿宋"/>
          <w:kern w:val="0"/>
          <w:highlight w:val="none"/>
        </w:rPr>
        <w:t>3.4</w:t>
      </w:r>
      <w:r>
        <w:rPr>
          <w:rFonts w:hint="eastAsia" w:ascii="仿宋" w:hAnsi="仿宋" w:eastAsia="仿宋" w:cs="仿宋"/>
          <w:kern w:val="0"/>
          <w:szCs w:val="24"/>
          <w:highlight w:val="none"/>
        </w:rPr>
        <w:t>.1投标文件报价出现前后不一致的，按照下列规定修正：</w:t>
      </w:r>
    </w:p>
    <w:p w14:paraId="1D93B64E">
      <w:pPr>
        <w:pStyle w:val="166"/>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3.4.1.1投标文件中开标一览表(报价表)内容与投标文件中相应内容不一致的，以开标一览表(报价表)为准;</w:t>
      </w:r>
    </w:p>
    <w:p w14:paraId="6588CA7D">
      <w:pPr>
        <w:pStyle w:val="166"/>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3.4.1.2大写金额和小写金额不一致的，以大写金额为准;</w:t>
      </w:r>
    </w:p>
    <w:p w14:paraId="0F153C99">
      <w:pPr>
        <w:pStyle w:val="166"/>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3.4.1.3单价金额小数点或者百分比有明显错位的，以开标一览表的总价为准，并修改单价;</w:t>
      </w:r>
    </w:p>
    <w:p w14:paraId="6C0DA931">
      <w:pPr>
        <w:pStyle w:val="166"/>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3.4.1.4总价金额与按单价汇总金额不一致的，以单价金额计算结果为准。</w:t>
      </w:r>
    </w:p>
    <w:p w14:paraId="6330FCDA">
      <w:pPr>
        <w:pStyle w:val="166"/>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3.4.1.5同时出现两种以上不一致的，按照3.4.1规定的顺序修正。修正后的报价按照《政府采购货物和服务招标投标管理办法》（财政部令第87号）第五十一条第二款的规定经</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确认后产生约束力。</w:t>
      </w:r>
    </w:p>
    <w:p w14:paraId="32C21D07">
      <w:pPr>
        <w:pageBreakBefore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3.4.2投标文件出现不是唯一的、有选择性投标报价的，投标无效。</w:t>
      </w:r>
    </w:p>
    <w:p w14:paraId="00A28D38">
      <w:pPr>
        <w:pageBreakBefore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3.4.3投标报价超过招标文件中规定的预算金额或者最高限价的，投标无效。</w:t>
      </w:r>
    </w:p>
    <w:p w14:paraId="5B2EE7A0">
      <w:pPr>
        <w:pStyle w:val="166"/>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3.4.4评标委员会认为</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的报价明显低于其他通过符合性审查</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的报价，有可能影响产品质量或者不能诚信履约的，应当要求其在合理的时间内提供书面说明，必要时提交相关证明材料;</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不能证明其报价合理性的，评标委员会应当将其作为无效投标处理。</w:t>
      </w:r>
    </w:p>
    <w:p w14:paraId="4449AF5B">
      <w:pPr>
        <w:pStyle w:val="166"/>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highlight w:val="none"/>
        </w:rPr>
      </w:pPr>
      <w:r>
        <w:rPr>
          <w:rFonts w:hint="eastAsia" w:ascii="仿宋" w:hAnsi="仿宋" w:eastAsia="仿宋" w:cs="仿宋"/>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highlight w:val="none"/>
          <w:lang w:val="en-US" w:eastAsia="zh-CN"/>
        </w:rPr>
        <w:t>2</w:t>
      </w:r>
      <w:r>
        <w:rPr>
          <w:rFonts w:hint="eastAsia" w:ascii="仿宋" w:hAnsi="仿宋" w:eastAsia="仿宋" w:cs="仿宋"/>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highlight w:val="none"/>
          <w:lang w:val="en-US" w:eastAsia="zh-CN"/>
        </w:rPr>
        <w:t>6</w:t>
      </w:r>
      <w:r>
        <w:rPr>
          <w:rFonts w:hint="eastAsia" w:ascii="仿宋" w:hAnsi="仿宋" w:eastAsia="仿宋" w:cs="仿宋"/>
          <w:kern w:val="0"/>
          <w:szCs w:val="24"/>
          <w:highlight w:val="none"/>
        </w:rPr>
        <w:t>%的扣除，用扣除后的价格参加评审。组成联合体或者接受分包的小微企业与联合体内其他企业、分包企业之间存在直接控股、管理关系的，不享受价格扣除优惠政策。</w:t>
      </w:r>
    </w:p>
    <w:p w14:paraId="5414E520">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kern w:val="0"/>
          <w:sz w:val="24"/>
          <w:highlight w:val="none"/>
        </w:rPr>
      </w:pPr>
      <w:r>
        <w:rPr>
          <w:rFonts w:hint="eastAsia" w:ascii="仿宋" w:hAnsi="仿宋" w:eastAsia="仿宋" w:cs="仿宋"/>
          <w:b/>
          <w:kern w:val="0"/>
          <w:sz w:val="24"/>
          <w:highlight w:val="none"/>
        </w:rPr>
        <w:t>3.5排序与推荐。</w:t>
      </w:r>
      <w:r>
        <w:rPr>
          <w:rFonts w:hint="eastAsia" w:ascii="仿宋" w:hAnsi="仿宋" w:eastAsia="仿宋" w:cs="仿宋"/>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为中标候选人。本项目只推荐评审综合得分最高的</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为中标候选人。</w:t>
      </w:r>
    </w:p>
    <w:p w14:paraId="35720BD8">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kern w:val="0"/>
          <w:sz w:val="24"/>
          <w:highlight w:val="none"/>
        </w:rPr>
      </w:pPr>
      <w:r>
        <w:rPr>
          <w:rFonts w:hint="eastAsia" w:ascii="仿宋" w:hAnsi="仿宋" w:eastAsia="仿宋" w:cs="仿宋"/>
          <w:kern w:val="0"/>
          <w:sz w:val="24"/>
          <w:highlight w:val="none"/>
        </w:rPr>
        <w:t>多家</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提供相同品牌产品（单一产品采购项目中的该产品或者非单一产品采购项目的核心产品）且通过资格审查、符合性审查的不同</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参加同一合同项下投标的，按一家</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计算，评审后得分最高的同品牌</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获得中标人推荐资格；评审得分相同的，采取随机抽取方式确定，其他同品牌</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不作为中标候选人。</w:t>
      </w:r>
    </w:p>
    <w:p w14:paraId="111F6B51">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kern w:val="0"/>
          <w:sz w:val="24"/>
          <w:highlight w:val="none"/>
        </w:rPr>
      </w:pPr>
      <w:r>
        <w:rPr>
          <w:rFonts w:hint="eastAsia" w:ascii="仿宋" w:hAnsi="仿宋" w:eastAsia="仿宋" w:cs="仿宋"/>
          <w:b/>
          <w:kern w:val="0"/>
          <w:sz w:val="24"/>
          <w:highlight w:val="none"/>
        </w:rPr>
        <w:t>3.6编写评标报告。</w:t>
      </w:r>
      <w:r>
        <w:rPr>
          <w:rFonts w:hint="eastAsia" w:ascii="仿宋" w:hAnsi="仿宋" w:eastAsia="仿宋" w:cs="仿宋"/>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03A8BCD">
      <w:pPr>
        <w:pageBreakBefore w:val="0"/>
        <w:widowControl/>
        <w:shd w:val="clear" w:color="auto" w:fill="FFFFFF"/>
        <w:kinsoku/>
        <w:wordWrap/>
        <w:overflowPunct/>
        <w:topLinePunct w:val="0"/>
        <w:bidi w:val="0"/>
        <w:adjustRightInd/>
        <w:spacing w:line="420" w:lineRule="exact"/>
        <w:ind w:left="0" w:leftChars="0"/>
        <w:jc w:val="left"/>
        <w:textAlignment w:val="auto"/>
        <w:rPr>
          <w:rFonts w:hint="eastAsia" w:ascii="仿宋" w:hAnsi="仿宋" w:eastAsia="仿宋" w:cs="仿宋"/>
          <w:b/>
          <w:sz w:val="28"/>
          <w:szCs w:val="22"/>
          <w:highlight w:val="none"/>
        </w:rPr>
      </w:pPr>
      <w:r>
        <w:rPr>
          <w:rFonts w:hint="eastAsia" w:ascii="仿宋" w:hAnsi="仿宋" w:eastAsia="仿宋" w:cs="仿宋"/>
          <w:b/>
          <w:sz w:val="28"/>
          <w:szCs w:val="22"/>
          <w:highlight w:val="none"/>
        </w:rPr>
        <w:t>四、评标中的其他事项</w:t>
      </w:r>
    </w:p>
    <w:p w14:paraId="7A622881">
      <w:pPr>
        <w:pStyle w:val="166"/>
        <w:pageBreakBefore w:val="0"/>
        <w:kinsoku/>
        <w:wordWrap/>
        <w:overflowPunct/>
        <w:topLinePunct w:val="0"/>
        <w:bidi w:val="0"/>
        <w:spacing w:before="0" w:line="420" w:lineRule="exact"/>
        <w:ind w:left="0" w:leftChars="0" w:firstLine="472" w:firstLineChars="196"/>
        <w:textAlignment w:val="auto"/>
        <w:rPr>
          <w:rFonts w:hint="eastAsia" w:ascii="仿宋" w:hAnsi="仿宋" w:eastAsia="仿宋" w:cs="仿宋"/>
          <w:kern w:val="0"/>
          <w:szCs w:val="24"/>
          <w:highlight w:val="none"/>
        </w:rPr>
      </w:pPr>
      <w:r>
        <w:rPr>
          <w:rFonts w:hint="eastAsia" w:ascii="仿宋" w:hAnsi="仿宋" w:eastAsia="仿宋" w:cs="仿宋"/>
          <w:b/>
          <w:kern w:val="0"/>
          <w:szCs w:val="24"/>
          <w:highlight w:val="none"/>
        </w:rPr>
        <w:t>4.1</w:t>
      </w:r>
      <w:r>
        <w:rPr>
          <w:rFonts w:hint="eastAsia" w:ascii="仿宋" w:hAnsi="仿宋" w:eastAsia="仿宋" w:cs="仿宋"/>
          <w:b/>
          <w:kern w:val="0"/>
          <w:szCs w:val="24"/>
          <w:highlight w:val="none"/>
          <w:lang w:eastAsia="zh-CN"/>
        </w:rPr>
        <w:t>磋商供应商</w:t>
      </w:r>
      <w:r>
        <w:rPr>
          <w:rFonts w:hint="eastAsia" w:ascii="仿宋" w:hAnsi="仿宋" w:eastAsia="仿宋" w:cs="仿宋"/>
          <w:b/>
          <w:kern w:val="0"/>
          <w:szCs w:val="24"/>
          <w:highlight w:val="none"/>
        </w:rPr>
        <w:t>澄清、说明或者补正。</w:t>
      </w:r>
      <w:r>
        <w:rPr>
          <w:rFonts w:hint="eastAsia" w:ascii="仿宋" w:hAnsi="仿宋" w:eastAsia="仿宋" w:cs="仿宋"/>
          <w:kern w:val="0"/>
          <w:szCs w:val="24"/>
          <w:highlight w:val="none"/>
        </w:rPr>
        <w:t>对于投标文件中含义不明确、同类问题表述不一致或者有明显文字和计算错误的内容需要</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作出必要的澄清、说明或者补正的，评标委员会和</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通过电子交易平台交换数据电文，</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提交使用电子签名的相关数据电文或通过平台上传加盖公章的扫描件。给予</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提交澄清、说明或补正的时间不得少于半小时，</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已经明确表示澄清说明或补正完毕的除外。</w:t>
      </w:r>
      <w:r>
        <w:rPr>
          <w:rFonts w:hint="eastAsia" w:ascii="仿宋" w:hAnsi="仿宋" w:eastAsia="仿宋" w:cs="仿宋"/>
          <w:kern w:val="0"/>
          <w:szCs w:val="24"/>
          <w:highlight w:val="none"/>
          <w:lang w:eastAsia="zh-CN"/>
        </w:rPr>
        <w:t>磋商供应商</w:t>
      </w:r>
      <w:r>
        <w:rPr>
          <w:rFonts w:hint="eastAsia" w:ascii="仿宋" w:hAnsi="仿宋" w:eastAsia="仿宋" w:cs="仿宋"/>
          <w:kern w:val="0"/>
          <w:szCs w:val="24"/>
          <w:highlight w:val="none"/>
        </w:rPr>
        <w:t>的澄清、说明或者补正不得超出投标文件的范围或者改变投标文件的实质性内容。</w:t>
      </w:r>
    </w:p>
    <w:p w14:paraId="7C7C61CB">
      <w:pPr>
        <w:pStyle w:val="27"/>
        <w:pageBreakBefore w:val="0"/>
        <w:kinsoku/>
        <w:wordWrap/>
        <w:overflowPunct/>
        <w:topLinePunct w:val="0"/>
        <w:bidi w:val="0"/>
        <w:spacing w:line="420" w:lineRule="exact"/>
        <w:ind w:left="544" w:leftChars="228" w:hanging="65" w:hangingChars="27"/>
        <w:textAlignment w:val="auto"/>
        <w:rPr>
          <w:rFonts w:hint="eastAsia" w:ascii="仿宋" w:hAnsi="仿宋" w:eastAsia="仿宋" w:cs="仿宋"/>
          <w:szCs w:val="21"/>
          <w:highlight w:val="none"/>
        </w:rPr>
      </w:pPr>
      <w:r>
        <w:rPr>
          <w:rFonts w:hint="eastAsia" w:ascii="仿宋" w:hAnsi="仿宋" w:eastAsia="仿宋" w:cs="仿宋"/>
          <w:b/>
          <w:kern w:val="0"/>
          <w:highlight w:val="none"/>
        </w:rPr>
        <w:t>4.2投标无效。</w:t>
      </w:r>
      <w:r>
        <w:rPr>
          <w:rFonts w:hint="eastAsia" w:ascii="仿宋" w:hAnsi="仿宋" w:eastAsia="仿宋" w:cs="仿宋"/>
          <w:szCs w:val="21"/>
          <w:highlight w:val="none"/>
        </w:rPr>
        <w:t>有下列情况之一的，投标无效：</w:t>
      </w:r>
    </w:p>
    <w:p w14:paraId="52331B3A">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4.2.1</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不具备招标文件中规定的资格要求的（</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未提供有效的资格文件的，视为</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不具备招标文件中规定的资格要求）；</w:t>
      </w:r>
    </w:p>
    <w:p w14:paraId="04811437">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4.2.2投标文件未按照招标文件要求签署、盖章的；</w:t>
      </w:r>
    </w:p>
    <w:p w14:paraId="4B62F9A4">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4.2.3采购人拟采购的产品属于政府强制采购的节能产品品目清单范围的，</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未按招标文件要求提供国家确定的认证机构出具的、处于有效期之内的节能产品认证证书的；</w:t>
      </w:r>
    </w:p>
    <w:p w14:paraId="2DDC252B">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4.2.4投标文件含有采购人不能接受的附加条件的；</w:t>
      </w:r>
    </w:p>
    <w:p w14:paraId="6D9EA75B">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4.2.5投标文件中承诺的投标有效期少于招标文件中载明的投标有效期的；</w:t>
      </w:r>
    </w:p>
    <w:p w14:paraId="7A87AC8A">
      <w:pPr>
        <w:pageBreakBefore w:val="0"/>
        <w:kinsoku/>
        <w:wordWrap/>
        <w:overflowPunct/>
        <w:topLinePunct w:val="0"/>
        <w:bidi w:val="0"/>
        <w:snapToGrid w:val="0"/>
        <w:spacing w:line="420" w:lineRule="exact"/>
        <w:ind w:left="0" w:leftChars="0" w:firstLine="120" w:firstLineChars="5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4.2.6投标文件出现不是唯一的、有选择性投标报价的;</w:t>
      </w:r>
    </w:p>
    <w:p w14:paraId="5B8B3843">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4.2.7投标报价超过招标文件中规定的预算金额或者最高限价的;</w:t>
      </w:r>
    </w:p>
    <w:p w14:paraId="0B13971F">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4.2.8报价明显低于其他通过符合性审查</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的报价，有可能影响产品质量或者不能诚信履约的，未能按要求提供书面说明或者提交相关证明材料，不能证明其报价合理性的;</w:t>
      </w:r>
    </w:p>
    <w:p w14:paraId="37C3D6C0">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4.2.9</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对根据修正原则修正后的报价不确认的；</w:t>
      </w:r>
    </w:p>
    <w:p w14:paraId="6652B27C">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4.2.10</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提供虚假材料投标的；</w:t>
      </w:r>
    </w:p>
    <w:p w14:paraId="6171ED70">
      <w:pPr>
        <w:pageBreakBefore w:val="0"/>
        <w:kinsoku/>
        <w:wordWrap/>
        <w:overflowPunct/>
        <w:topLinePunct w:val="0"/>
        <w:bidi w:val="0"/>
        <w:spacing w:line="420" w:lineRule="exact"/>
        <w:ind w:left="0" w:leftChars="0" w:firstLine="240" w:firstLineChars="1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4.2.11</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有恶意串通、妨碍其他</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的竞争行为、损害采购人或者其他</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的合法权益情形的；</w:t>
      </w:r>
    </w:p>
    <w:p w14:paraId="303F8244">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4.2.12</w:t>
      </w:r>
      <w:r>
        <w:rPr>
          <w:rFonts w:hint="eastAsia" w:ascii="仿宋" w:hAnsi="仿宋" w:eastAsia="仿宋" w:cs="仿宋"/>
          <w:kern w:val="0"/>
          <w:sz w:val="24"/>
          <w:highlight w:val="none"/>
          <w:lang w:eastAsia="zh-CN"/>
        </w:rPr>
        <w:t>磋商供应商</w:t>
      </w:r>
      <w:r>
        <w:rPr>
          <w:rFonts w:hint="eastAsia" w:ascii="仿宋" w:hAnsi="仿宋" w:eastAsia="仿宋" w:cs="仿宋"/>
          <w:kern w:val="0"/>
          <w:sz w:val="24"/>
          <w:highlight w:val="none"/>
        </w:rPr>
        <w:t>仅提交备份投标文件，没有在电子交易平台传输递交投标文件的，投标无效；</w:t>
      </w:r>
    </w:p>
    <w:p w14:paraId="039CF6D3">
      <w:pPr>
        <w:pStyle w:val="5"/>
        <w:pageBreakBefore w:val="0"/>
        <w:kinsoku/>
        <w:wordWrap/>
        <w:overflowPunct/>
        <w:topLinePunct w:val="0"/>
        <w:bidi w:val="0"/>
        <w:spacing w:line="420" w:lineRule="exact"/>
        <w:ind w:left="0" w:leftChars="0"/>
        <w:textAlignment w:val="auto"/>
        <w:rPr>
          <w:rFonts w:hint="eastAsia" w:ascii="仿宋" w:hAnsi="仿宋" w:eastAsia="仿宋" w:cs="仿宋"/>
          <w:b w:val="0"/>
          <w:bCs w:val="0"/>
          <w:kern w:val="0"/>
          <w:sz w:val="24"/>
          <w:szCs w:val="24"/>
          <w:highlight w:val="none"/>
          <w:lang w:val="en-US"/>
        </w:rPr>
      </w:pPr>
      <w:r>
        <w:rPr>
          <w:rFonts w:hint="eastAsia" w:ascii="仿宋" w:hAnsi="仿宋" w:eastAsia="仿宋" w:cs="仿宋"/>
          <w:b w:val="0"/>
          <w:bCs w:val="0"/>
          <w:kern w:val="0"/>
          <w:sz w:val="24"/>
          <w:szCs w:val="24"/>
          <w:highlight w:val="none"/>
          <w:lang w:val="en-US"/>
        </w:rPr>
        <w:t>4.2.13 投标文件不满足招标文件的其它实质性要求的；</w:t>
      </w:r>
    </w:p>
    <w:p w14:paraId="52BA3311">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4.2.14法律、法规、规章（适用本市的）及省级以上规范性文件（适用本市的）规定的其他无效情形。</w:t>
      </w:r>
    </w:p>
    <w:p w14:paraId="74306C0C">
      <w:pPr>
        <w:pStyle w:val="27"/>
        <w:pageBreakBefore w:val="0"/>
        <w:kinsoku/>
        <w:wordWrap/>
        <w:overflowPunct/>
        <w:topLinePunct w:val="0"/>
        <w:bidi w:val="0"/>
        <w:snapToGrid w:val="0"/>
        <w:spacing w:line="420" w:lineRule="exact"/>
        <w:ind w:left="0" w:leftChars="0" w:firstLine="472" w:firstLineChars="196"/>
        <w:textAlignment w:val="auto"/>
        <w:rPr>
          <w:rFonts w:hint="eastAsia" w:ascii="仿宋" w:hAnsi="仿宋" w:eastAsia="仿宋" w:cs="仿宋"/>
          <w:highlight w:val="none"/>
        </w:rPr>
      </w:pPr>
      <w:r>
        <w:rPr>
          <w:rFonts w:hint="eastAsia" w:ascii="仿宋" w:hAnsi="仿宋" w:eastAsia="仿宋" w:cs="仿宋"/>
          <w:b/>
          <w:highlight w:val="none"/>
        </w:rPr>
        <w:t>4.3.废标。</w:t>
      </w:r>
      <w:r>
        <w:rPr>
          <w:rFonts w:hint="eastAsia" w:ascii="仿宋" w:hAnsi="仿宋" w:eastAsia="仿宋" w:cs="仿宋"/>
          <w:highlight w:val="none"/>
        </w:rPr>
        <w:t>根据《中华人民共和国政府采购法》第三十六条之规定，在采购中，出现下列情形之一的，应予废标：</w:t>
      </w:r>
    </w:p>
    <w:p w14:paraId="3F24FC0F">
      <w:pPr>
        <w:pStyle w:val="27"/>
        <w:pageBreakBefore w:val="0"/>
        <w:kinsoku/>
        <w:wordWrap/>
        <w:overflowPunct/>
        <w:topLinePunct w:val="0"/>
        <w:bidi w:val="0"/>
        <w:snapToGrid w:val="0"/>
        <w:spacing w:line="420" w:lineRule="exact"/>
        <w:ind w:left="0" w:leftChars="0"/>
        <w:textAlignment w:val="auto"/>
        <w:rPr>
          <w:rFonts w:hint="eastAsia" w:ascii="仿宋" w:hAnsi="仿宋" w:eastAsia="仿宋" w:cs="仿宋"/>
          <w:highlight w:val="none"/>
        </w:rPr>
      </w:pPr>
      <w:r>
        <w:rPr>
          <w:rFonts w:hint="eastAsia" w:ascii="仿宋" w:hAnsi="仿宋" w:eastAsia="仿宋" w:cs="仿宋"/>
          <w:highlight w:val="none"/>
        </w:rPr>
        <w:t>4.3.1符合专业条件的供应商或者对招标文件作实质响应的供应商不足3家的；</w:t>
      </w:r>
    </w:p>
    <w:p w14:paraId="02ACDC9E">
      <w:pPr>
        <w:pStyle w:val="27"/>
        <w:pageBreakBefore w:val="0"/>
        <w:kinsoku/>
        <w:wordWrap/>
        <w:overflowPunct/>
        <w:topLinePunct w:val="0"/>
        <w:bidi w:val="0"/>
        <w:snapToGrid w:val="0"/>
        <w:spacing w:line="420" w:lineRule="exact"/>
        <w:ind w:left="0" w:leftChars="0"/>
        <w:textAlignment w:val="auto"/>
        <w:rPr>
          <w:rFonts w:hint="eastAsia" w:ascii="仿宋" w:hAnsi="仿宋" w:eastAsia="仿宋" w:cs="仿宋"/>
          <w:highlight w:val="none"/>
        </w:rPr>
      </w:pPr>
      <w:r>
        <w:rPr>
          <w:rFonts w:hint="eastAsia" w:ascii="仿宋" w:hAnsi="仿宋" w:eastAsia="仿宋" w:cs="仿宋"/>
          <w:highlight w:val="none"/>
        </w:rPr>
        <w:t>4.3.2出现影响采购公正的违法、违规行为的；</w:t>
      </w:r>
    </w:p>
    <w:p w14:paraId="57099676">
      <w:pPr>
        <w:pStyle w:val="27"/>
        <w:pageBreakBefore w:val="0"/>
        <w:kinsoku/>
        <w:wordWrap/>
        <w:overflowPunct/>
        <w:topLinePunct w:val="0"/>
        <w:bidi w:val="0"/>
        <w:snapToGrid w:val="0"/>
        <w:spacing w:line="420" w:lineRule="exact"/>
        <w:ind w:left="0" w:leftChars="0"/>
        <w:textAlignment w:val="auto"/>
        <w:rPr>
          <w:rFonts w:hint="eastAsia" w:ascii="仿宋" w:hAnsi="仿宋" w:eastAsia="仿宋" w:cs="仿宋"/>
          <w:highlight w:val="none"/>
        </w:rPr>
      </w:pPr>
      <w:r>
        <w:rPr>
          <w:rFonts w:hint="eastAsia" w:ascii="仿宋" w:hAnsi="仿宋" w:eastAsia="仿宋" w:cs="仿宋"/>
          <w:highlight w:val="none"/>
        </w:rPr>
        <w:t>4.3.3</w:t>
      </w:r>
      <w:r>
        <w:rPr>
          <w:rFonts w:hint="eastAsia" w:ascii="仿宋" w:hAnsi="仿宋" w:eastAsia="仿宋" w:cs="仿宋"/>
          <w:highlight w:val="none"/>
          <w:lang w:eastAsia="zh-CN"/>
        </w:rPr>
        <w:t>磋商供应商</w:t>
      </w:r>
      <w:r>
        <w:rPr>
          <w:rFonts w:hint="eastAsia" w:ascii="仿宋" w:hAnsi="仿宋" w:eastAsia="仿宋" w:cs="仿宋"/>
          <w:highlight w:val="none"/>
        </w:rPr>
        <w:t>的报价均超过了采购预算，采购人不能支付的；</w:t>
      </w:r>
    </w:p>
    <w:p w14:paraId="0C227242">
      <w:pPr>
        <w:pStyle w:val="27"/>
        <w:pageBreakBefore w:val="0"/>
        <w:kinsoku/>
        <w:wordWrap/>
        <w:overflowPunct/>
        <w:topLinePunct w:val="0"/>
        <w:bidi w:val="0"/>
        <w:snapToGrid w:val="0"/>
        <w:spacing w:line="420" w:lineRule="exact"/>
        <w:ind w:left="0" w:leftChars="0"/>
        <w:textAlignment w:val="auto"/>
        <w:rPr>
          <w:rFonts w:hint="eastAsia" w:ascii="仿宋" w:hAnsi="仿宋" w:eastAsia="仿宋" w:cs="仿宋"/>
          <w:highlight w:val="none"/>
        </w:rPr>
      </w:pPr>
      <w:r>
        <w:rPr>
          <w:rFonts w:hint="eastAsia" w:ascii="仿宋" w:hAnsi="仿宋" w:eastAsia="仿宋" w:cs="仿宋"/>
          <w:highlight w:val="none"/>
        </w:rPr>
        <w:t>4.3.4因重大变故，采购任务取消的。</w:t>
      </w:r>
    </w:p>
    <w:p w14:paraId="099651E3">
      <w:pPr>
        <w:pStyle w:val="27"/>
        <w:pageBreakBefore w:val="0"/>
        <w:kinsoku/>
        <w:wordWrap/>
        <w:overflowPunct/>
        <w:topLinePunct w:val="0"/>
        <w:bidi w:val="0"/>
        <w:snapToGrid w:val="0"/>
        <w:spacing w:line="420" w:lineRule="exact"/>
        <w:ind w:left="0" w:leftChars="0"/>
        <w:textAlignment w:val="auto"/>
        <w:rPr>
          <w:rFonts w:hint="eastAsia" w:ascii="仿宋" w:hAnsi="仿宋" w:eastAsia="仿宋" w:cs="仿宋"/>
          <w:highlight w:val="none"/>
        </w:rPr>
      </w:pPr>
      <w:r>
        <w:rPr>
          <w:rFonts w:hint="eastAsia" w:ascii="仿宋" w:hAnsi="仿宋" w:eastAsia="仿宋" w:cs="仿宋"/>
          <w:highlight w:val="none"/>
        </w:rPr>
        <w:t>废标后，采购代理机构应当将废标理由通知所有</w:t>
      </w:r>
      <w:r>
        <w:rPr>
          <w:rFonts w:hint="eastAsia" w:ascii="仿宋" w:hAnsi="仿宋" w:eastAsia="仿宋" w:cs="仿宋"/>
          <w:highlight w:val="none"/>
          <w:lang w:eastAsia="zh-CN"/>
        </w:rPr>
        <w:t>磋商供应商</w:t>
      </w:r>
      <w:r>
        <w:rPr>
          <w:rFonts w:hint="eastAsia" w:ascii="仿宋" w:hAnsi="仿宋" w:eastAsia="仿宋" w:cs="仿宋"/>
          <w:highlight w:val="none"/>
        </w:rPr>
        <w:t>。</w:t>
      </w:r>
    </w:p>
    <w:p w14:paraId="43CA1945">
      <w:pPr>
        <w:pStyle w:val="27"/>
        <w:pageBreakBefore w:val="0"/>
        <w:kinsoku/>
        <w:wordWrap/>
        <w:overflowPunct/>
        <w:topLinePunct w:val="0"/>
        <w:bidi w:val="0"/>
        <w:snapToGrid w:val="0"/>
        <w:spacing w:line="420" w:lineRule="exact"/>
        <w:ind w:left="0" w:leftChars="0" w:firstLine="482"/>
        <w:textAlignment w:val="auto"/>
        <w:rPr>
          <w:rFonts w:hint="eastAsia" w:ascii="仿宋" w:hAnsi="仿宋" w:eastAsia="仿宋" w:cs="仿宋"/>
          <w:highlight w:val="none"/>
        </w:rPr>
      </w:pPr>
      <w:r>
        <w:rPr>
          <w:rFonts w:hint="eastAsia" w:ascii="仿宋" w:hAnsi="仿宋" w:eastAsia="仿宋" w:cs="仿宋"/>
          <w:b/>
          <w:highlight w:val="none"/>
        </w:rPr>
        <w:t>4.4.修改招标文件，重新组织采购活动。</w:t>
      </w: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B5D3DF5">
      <w:pPr>
        <w:pStyle w:val="27"/>
        <w:pageBreakBefore w:val="0"/>
        <w:kinsoku/>
        <w:wordWrap/>
        <w:overflowPunct/>
        <w:topLinePunct w:val="0"/>
        <w:bidi w:val="0"/>
        <w:snapToGrid w:val="0"/>
        <w:spacing w:line="420" w:lineRule="exact"/>
        <w:ind w:left="0" w:leftChars="0" w:firstLine="482"/>
        <w:textAlignment w:val="auto"/>
        <w:rPr>
          <w:rFonts w:hint="eastAsia" w:ascii="仿宋" w:hAnsi="仿宋" w:eastAsia="仿宋" w:cs="仿宋"/>
          <w:highlight w:val="none"/>
        </w:rPr>
      </w:pPr>
      <w:r>
        <w:rPr>
          <w:rFonts w:hint="eastAsia" w:ascii="仿宋" w:hAnsi="仿宋" w:eastAsia="仿宋" w:cs="仿宋"/>
          <w:b/>
          <w:kern w:val="0"/>
          <w:highlight w:val="none"/>
        </w:rPr>
        <w:t>4.5.重新开展采购。</w:t>
      </w:r>
      <w:r>
        <w:rPr>
          <w:rFonts w:hint="eastAsia" w:ascii="仿宋" w:hAnsi="仿宋" w:eastAsia="仿宋" w:cs="仿宋"/>
          <w:highlight w:val="none"/>
        </w:rPr>
        <w:t>有政府采购法第七十一条、第七十二条规定的违法行为之一，影响或者可能影响中标、成交结果的，依照下列规定处理：</w:t>
      </w:r>
    </w:p>
    <w:p w14:paraId="6E63DF21">
      <w:pPr>
        <w:pStyle w:val="27"/>
        <w:pageBreakBefore w:val="0"/>
        <w:kinsoku/>
        <w:wordWrap/>
        <w:overflowPunct/>
        <w:topLinePunct w:val="0"/>
        <w:bidi w:val="0"/>
        <w:snapToGrid w:val="0"/>
        <w:spacing w:line="420" w:lineRule="exact"/>
        <w:ind w:left="0" w:leftChars="0" w:firstLine="600" w:firstLineChars="250"/>
        <w:textAlignment w:val="auto"/>
        <w:rPr>
          <w:rFonts w:hint="eastAsia" w:ascii="仿宋" w:hAnsi="仿宋" w:eastAsia="仿宋" w:cs="仿宋"/>
          <w:highlight w:val="none"/>
        </w:rPr>
      </w:pPr>
      <w:r>
        <w:rPr>
          <w:rFonts w:hint="eastAsia" w:ascii="仿宋" w:hAnsi="仿宋" w:eastAsia="仿宋" w:cs="仿宋"/>
          <w:highlight w:val="none"/>
        </w:rPr>
        <w:t>4.5.1未确定中标或者中标人的，终止本次政府采购活动，重新开展政府采购活动。</w:t>
      </w:r>
    </w:p>
    <w:p w14:paraId="328F7B48">
      <w:pPr>
        <w:pStyle w:val="27"/>
        <w:pageBreakBefore w:val="0"/>
        <w:kinsoku/>
        <w:wordWrap/>
        <w:overflowPunct/>
        <w:topLinePunct w:val="0"/>
        <w:bidi w:val="0"/>
        <w:snapToGrid w:val="0"/>
        <w:spacing w:line="420" w:lineRule="exact"/>
        <w:ind w:left="0" w:leftChars="0" w:firstLine="600" w:firstLineChars="250"/>
        <w:textAlignment w:val="auto"/>
        <w:rPr>
          <w:rFonts w:hint="eastAsia" w:ascii="仿宋" w:hAnsi="仿宋" w:eastAsia="仿宋" w:cs="仿宋"/>
          <w:highlight w:val="none"/>
        </w:rPr>
      </w:pPr>
      <w:r>
        <w:rPr>
          <w:rFonts w:hint="eastAsia" w:ascii="仿宋" w:hAnsi="仿宋" w:eastAsia="仿宋" w:cs="仿宋"/>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14:paraId="53580ED5">
      <w:pPr>
        <w:pStyle w:val="27"/>
        <w:pageBreakBefore w:val="0"/>
        <w:kinsoku/>
        <w:wordWrap/>
        <w:overflowPunct/>
        <w:topLinePunct w:val="0"/>
        <w:bidi w:val="0"/>
        <w:snapToGrid w:val="0"/>
        <w:spacing w:line="420" w:lineRule="exact"/>
        <w:ind w:left="0" w:leftChars="0" w:firstLine="600" w:firstLineChars="250"/>
        <w:textAlignment w:val="auto"/>
        <w:rPr>
          <w:rFonts w:hint="eastAsia" w:ascii="仿宋" w:hAnsi="仿宋" w:eastAsia="仿宋" w:cs="仿宋"/>
          <w:highlight w:val="none"/>
        </w:rPr>
      </w:pPr>
      <w:r>
        <w:rPr>
          <w:rFonts w:hint="eastAsia" w:ascii="仿宋" w:hAnsi="仿宋" w:eastAsia="仿宋" w:cs="仿宋"/>
          <w:highlight w:val="none"/>
        </w:rPr>
        <w:t>4.5.3政府采购合同已签订但尚未履行的，撤销合同，从合格的中标或者成交候选人中另行确定中标或者中标人；没有合格的中标或者成交候选人的，重新开展政府采购活动。</w:t>
      </w:r>
    </w:p>
    <w:p w14:paraId="58D21418">
      <w:pPr>
        <w:pStyle w:val="27"/>
        <w:pageBreakBefore w:val="0"/>
        <w:kinsoku/>
        <w:wordWrap/>
        <w:overflowPunct/>
        <w:topLinePunct w:val="0"/>
        <w:bidi w:val="0"/>
        <w:snapToGrid w:val="0"/>
        <w:spacing w:line="420" w:lineRule="exact"/>
        <w:ind w:left="0" w:leftChars="0"/>
        <w:textAlignment w:val="auto"/>
        <w:rPr>
          <w:rFonts w:hint="eastAsia" w:ascii="仿宋" w:hAnsi="仿宋" w:eastAsia="仿宋" w:cs="仿宋"/>
          <w:highlight w:val="none"/>
        </w:rPr>
      </w:pPr>
      <w:r>
        <w:rPr>
          <w:rFonts w:hint="eastAsia" w:ascii="仿宋" w:hAnsi="仿宋" w:eastAsia="仿宋" w:cs="仿宋"/>
          <w:highlight w:val="none"/>
        </w:rPr>
        <w:t>4.5.4政府采购合同已经履行，给采购人、供应商造成损失的，由责任人承担赔偿责任。</w:t>
      </w:r>
    </w:p>
    <w:p w14:paraId="710FF1D1">
      <w:pPr>
        <w:pStyle w:val="27"/>
        <w:pageBreakBefore w:val="0"/>
        <w:kinsoku/>
        <w:wordWrap/>
        <w:overflowPunct/>
        <w:topLinePunct w:val="0"/>
        <w:bidi w:val="0"/>
        <w:snapToGrid w:val="0"/>
        <w:spacing w:line="420" w:lineRule="exact"/>
        <w:ind w:left="0" w:leftChars="0"/>
        <w:textAlignment w:val="auto"/>
        <w:rPr>
          <w:rFonts w:hint="eastAsia" w:ascii="仿宋" w:hAnsi="仿宋" w:eastAsia="仿宋" w:cs="仿宋"/>
          <w:highlight w:val="none"/>
        </w:rPr>
      </w:pPr>
      <w:r>
        <w:rPr>
          <w:rFonts w:hint="eastAsia" w:ascii="仿宋" w:hAnsi="仿宋" w:eastAsia="仿宋" w:cs="仿宋"/>
          <w:highlight w:val="none"/>
        </w:rPr>
        <w:t>4.5.5政府采购当事人有其他违反政府采购法或者政府采购法实施条例等法律法规规定的行为，经改正后仍然影响或者可能影响中标、成交结果或者依法被认定为中标、成交无效的，依照7.1-7.4规定处理。</w:t>
      </w:r>
    </w:p>
    <w:p w14:paraId="0F22585D">
      <w:pPr>
        <w:pStyle w:val="27"/>
        <w:snapToGrid w:val="0"/>
        <w:spacing w:line="360" w:lineRule="auto"/>
        <w:ind w:firstLine="0" w:firstLineChars="0"/>
        <w:rPr>
          <w:rFonts w:hint="eastAsia" w:ascii="仿宋" w:hAnsi="仿宋" w:eastAsia="仿宋" w:cs="仿宋"/>
          <w:highlight w:val="none"/>
        </w:rPr>
      </w:pPr>
    </w:p>
    <w:p w14:paraId="2B396A0D">
      <w:pPr>
        <w:rPr>
          <w:rFonts w:hint="eastAsia" w:ascii="仿宋" w:hAnsi="仿宋" w:eastAsia="仿宋" w:cs="仿宋"/>
          <w:b/>
          <w:color w:val="auto"/>
          <w:kern w:val="44"/>
          <w:sz w:val="36"/>
          <w:szCs w:val="36"/>
          <w:highlight w:val="none"/>
          <w:lang w:val="en-US" w:eastAsia="zh-CN" w:bidi="ar-SA"/>
        </w:rPr>
      </w:pPr>
      <w:r>
        <w:rPr>
          <w:rFonts w:hint="eastAsia" w:ascii="仿宋" w:hAnsi="仿宋" w:eastAsia="仿宋" w:cs="仿宋"/>
          <w:b/>
          <w:color w:val="auto"/>
          <w:kern w:val="44"/>
          <w:sz w:val="36"/>
          <w:szCs w:val="36"/>
          <w:highlight w:val="none"/>
          <w:lang w:val="en-US" w:eastAsia="zh-CN" w:bidi="ar-SA"/>
        </w:rPr>
        <w:br w:type="page"/>
      </w:r>
    </w:p>
    <w:p w14:paraId="58E13EDD">
      <w:pPr>
        <w:spacing w:line="360" w:lineRule="auto"/>
        <w:jc w:val="center"/>
        <w:outlineLvl w:val="0"/>
        <w:rPr>
          <w:rFonts w:hint="eastAsia" w:ascii="仿宋" w:hAnsi="仿宋" w:eastAsia="仿宋" w:cs="仿宋"/>
          <w:b/>
          <w:color w:val="auto"/>
          <w:kern w:val="44"/>
          <w:sz w:val="36"/>
          <w:szCs w:val="36"/>
          <w:highlight w:val="none"/>
          <w:lang w:val="en-US" w:eastAsia="zh-CN" w:bidi="ar-SA"/>
        </w:rPr>
      </w:pPr>
      <w:r>
        <w:rPr>
          <w:rFonts w:hint="eastAsia" w:ascii="仿宋" w:hAnsi="仿宋" w:eastAsia="仿宋" w:cs="仿宋"/>
          <w:b/>
          <w:color w:val="auto"/>
          <w:kern w:val="44"/>
          <w:sz w:val="36"/>
          <w:szCs w:val="36"/>
          <w:highlight w:val="none"/>
          <w:lang w:val="en-US" w:eastAsia="zh-CN" w:bidi="ar-SA"/>
        </w:rPr>
        <w:t>第五部分 拟签订的合同文本</w:t>
      </w:r>
    </w:p>
    <w:p w14:paraId="00401DDA">
      <w:pPr>
        <w:rPr>
          <w:rFonts w:hint="eastAsia" w:ascii="仿宋" w:hAnsi="仿宋" w:eastAsia="仿宋" w:cs="仿宋"/>
          <w:sz w:val="24"/>
          <w:highlight w:val="none"/>
        </w:rPr>
      </w:pPr>
    </w:p>
    <w:p w14:paraId="0962C63C">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6D9B5D43">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val="en-US" w:eastAsia="zh-CN"/>
        </w:rPr>
        <w:t>服务</w:t>
      </w:r>
      <w:r>
        <w:rPr>
          <w:rFonts w:hint="eastAsia" w:ascii="仿宋" w:hAnsi="仿宋" w:eastAsia="仿宋" w:cs="仿宋"/>
          <w:b/>
          <w:color w:val="auto"/>
          <w:sz w:val="36"/>
          <w:szCs w:val="36"/>
          <w:highlight w:val="none"/>
        </w:rPr>
        <w:t>类）</w:t>
      </w:r>
    </w:p>
    <w:p w14:paraId="23C8425B">
      <w:pPr>
        <w:pStyle w:val="17"/>
        <w:rPr>
          <w:rFonts w:hint="eastAsia" w:ascii="仿宋" w:hAnsi="仿宋" w:eastAsia="仿宋" w:cs="仿宋"/>
          <w:color w:val="auto"/>
          <w:highlight w:val="none"/>
        </w:rPr>
      </w:pPr>
    </w:p>
    <w:p w14:paraId="68DEFC1C">
      <w:pPr>
        <w:pStyle w:val="17"/>
        <w:rPr>
          <w:rFonts w:hint="eastAsia" w:ascii="仿宋" w:hAnsi="仿宋" w:eastAsia="仿宋" w:cs="仿宋"/>
          <w:color w:val="auto"/>
          <w:highlight w:val="none"/>
        </w:rPr>
      </w:pPr>
    </w:p>
    <w:p w14:paraId="1D516C4F">
      <w:pPr>
        <w:pStyle w:val="17"/>
        <w:ind w:firstLine="562"/>
        <w:jc w:val="center"/>
        <w:rPr>
          <w:rFonts w:hint="eastAsia" w:ascii="仿宋" w:hAnsi="仿宋" w:eastAsia="仿宋" w:cs="仿宋"/>
          <w:b/>
          <w:color w:val="auto"/>
          <w:highlight w:val="none"/>
        </w:rPr>
      </w:pPr>
      <w:r>
        <w:rPr>
          <w:rFonts w:hint="eastAsia" w:ascii="仿宋" w:hAnsi="仿宋" w:eastAsia="仿宋" w:cs="仿宋"/>
          <w:b/>
          <w:color w:val="auto"/>
          <w:highlight w:val="none"/>
        </w:rPr>
        <w:t>第一部分   合同书</w:t>
      </w:r>
    </w:p>
    <w:p w14:paraId="7B2423CD">
      <w:pPr>
        <w:pStyle w:val="17"/>
        <w:rPr>
          <w:rFonts w:hint="eastAsia" w:ascii="仿宋" w:hAnsi="仿宋" w:eastAsia="仿宋" w:cs="仿宋"/>
          <w:color w:val="auto"/>
          <w:highlight w:val="none"/>
        </w:rPr>
      </w:pPr>
    </w:p>
    <w:p w14:paraId="500C56D9">
      <w:pPr>
        <w:pStyle w:val="17"/>
        <w:rPr>
          <w:rFonts w:hint="eastAsia" w:ascii="仿宋" w:hAnsi="仿宋" w:eastAsia="仿宋" w:cs="仿宋"/>
          <w:color w:val="auto"/>
          <w:highlight w:val="none"/>
        </w:rPr>
      </w:pPr>
    </w:p>
    <w:p w14:paraId="062E2D8D">
      <w:pPr>
        <w:spacing w:before="120" w:line="22" w:lineRule="atLeast"/>
        <w:rPr>
          <w:rFonts w:hint="eastAsia" w:ascii="仿宋" w:hAnsi="仿宋" w:eastAsia="仿宋" w:cs="仿宋"/>
          <w:color w:val="auto"/>
          <w:sz w:val="24"/>
          <w:highlight w:val="none"/>
        </w:rPr>
      </w:pPr>
    </w:p>
    <w:p w14:paraId="7670C5B0">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12B91038">
      <w:pPr>
        <w:pStyle w:val="608"/>
        <w:spacing w:before="120" w:line="22" w:lineRule="atLeast"/>
        <w:rPr>
          <w:rFonts w:hint="eastAsia" w:ascii="仿宋" w:hAnsi="仿宋" w:eastAsia="仿宋" w:cs="仿宋"/>
          <w:color w:val="auto"/>
          <w:szCs w:val="24"/>
          <w:highlight w:val="none"/>
        </w:rPr>
      </w:pPr>
    </w:p>
    <w:p w14:paraId="53B62A14">
      <w:pPr>
        <w:pStyle w:val="608"/>
        <w:spacing w:before="120" w:line="22" w:lineRule="atLeast"/>
        <w:rPr>
          <w:rFonts w:hint="eastAsia" w:ascii="仿宋" w:hAnsi="仿宋" w:eastAsia="仿宋" w:cs="仿宋"/>
          <w:color w:val="auto"/>
          <w:szCs w:val="24"/>
          <w:highlight w:val="none"/>
        </w:rPr>
      </w:pPr>
    </w:p>
    <w:p w14:paraId="4F398373">
      <w:pPr>
        <w:rPr>
          <w:rFonts w:hint="eastAsia" w:ascii="仿宋" w:hAnsi="仿宋" w:eastAsia="仿宋" w:cs="仿宋"/>
          <w:color w:val="auto"/>
          <w:sz w:val="24"/>
          <w:highlight w:val="none"/>
        </w:rPr>
      </w:pPr>
    </w:p>
    <w:p w14:paraId="3573192D">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7C54652D">
      <w:pPr>
        <w:spacing w:before="120" w:line="22" w:lineRule="atLeast"/>
        <w:rPr>
          <w:rFonts w:hint="eastAsia" w:ascii="仿宋" w:hAnsi="仿宋" w:eastAsia="仿宋" w:cs="仿宋"/>
          <w:color w:val="auto"/>
          <w:sz w:val="24"/>
          <w:highlight w:val="none"/>
        </w:rPr>
      </w:pPr>
    </w:p>
    <w:p w14:paraId="49312729">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6F5582B8">
      <w:pPr>
        <w:spacing w:before="120" w:line="22" w:lineRule="atLeast"/>
        <w:rPr>
          <w:rFonts w:hint="eastAsia" w:ascii="仿宋" w:hAnsi="仿宋" w:eastAsia="仿宋" w:cs="仿宋"/>
          <w:color w:val="auto"/>
          <w:sz w:val="24"/>
          <w:highlight w:val="none"/>
        </w:rPr>
      </w:pPr>
    </w:p>
    <w:p w14:paraId="670472EF">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478B167E">
      <w:pPr>
        <w:spacing w:before="120" w:line="22" w:lineRule="atLeast"/>
        <w:rPr>
          <w:rFonts w:hint="eastAsia" w:ascii="仿宋" w:hAnsi="仿宋" w:eastAsia="仿宋" w:cs="仿宋"/>
          <w:color w:val="auto"/>
          <w:sz w:val="24"/>
          <w:highlight w:val="none"/>
        </w:rPr>
      </w:pPr>
    </w:p>
    <w:p w14:paraId="7E2AB639">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730286A">
      <w:pPr>
        <w:widowControl/>
        <w:jc w:val="left"/>
        <w:rPr>
          <w:rFonts w:hint="eastAsia" w:ascii="仿宋" w:hAnsi="仿宋" w:eastAsia="仿宋" w:cs="仿宋"/>
          <w:color w:val="auto"/>
          <w:kern w:val="0"/>
          <w:sz w:val="24"/>
          <w:highlight w:val="none"/>
        </w:rPr>
        <w:sectPr>
          <w:headerReference r:id="rId10" w:type="default"/>
          <w:footerReference r:id="rId11" w:type="default"/>
          <w:pgSz w:w="11907" w:h="16840"/>
          <w:pgMar w:top="1247" w:right="1803" w:bottom="1247" w:left="1803" w:header="907" w:footer="992" w:gutter="0"/>
          <w:pgNumType w:fmt="decimal"/>
          <w:cols w:space="720" w:num="1"/>
          <w:titlePg/>
          <w:docGrid w:linePitch="286" w:charSpace="0"/>
        </w:sectPr>
      </w:pPr>
    </w:p>
    <w:p w14:paraId="0DA21316">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年</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214753CB">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7A62C7F">
      <w:pPr>
        <w:keepNext w:val="0"/>
        <w:keepLines w:val="0"/>
        <w:pageBreakBefore w:val="0"/>
        <w:kinsoku/>
        <w:wordWrap/>
        <w:overflowPunct/>
        <w:topLinePunct w:val="0"/>
        <w:autoSpaceDE/>
        <w:autoSpaceDN/>
        <w:bidi w:val="0"/>
        <w:snapToGrid/>
        <w:spacing w:line="420" w:lineRule="exact"/>
        <w:ind w:firstLine="482" w:firstLineChars="200"/>
        <w:textAlignment w:val="auto"/>
        <w:outlineLvl w:val="0"/>
        <w:rPr>
          <w:rFonts w:ascii="仿宋" w:hAnsi="仿宋" w:eastAsia="仿宋" w:cs="仿宋"/>
          <w:sz w:val="24"/>
          <w:highlight w:val="none"/>
        </w:rPr>
      </w:pPr>
      <w:bookmarkStart w:id="393" w:name="_Toc28855"/>
      <w:bookmarkStart w:id="394" w:name="_Toc20421"/>
      <w:bookmarkStart w:id="395" w:name="_Toc22967"/>
      <w:bookmarkStart w:id="396" w:name="_Toc19273"/>
      <w:bookmarkStart w:id="397" w:name="_Toc15367"/>
      <w:r>
        <w:rPr>
          <w:rFonts w:hint="eastAsia" w:ascii="仿宋" w:hAnsi="仿宋" w:eastAsia="仿宋" w:cs="仿宋"/>
          <w:b/>
          <w:sz w:val="24"/>
          <w:highlight w:val="none"/>
        </w:rPr>
        <w:t>1.1 合同组成部分</w:t>
      </w:r>
      <w:bookmarkEnd w:id="393"/>
      <w:bookmarkEnd w:id="394"/>
      <w:bookmarkEnd w:id="395"/>
      <w:bookmarkEnd w:id="396"/>
      <w:bookmarkEnd w:id="397"/>
    </w:p>
    <w:p w14:paraId="14C36DB7">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829B1C7">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1.1.1 本合同及其补充合同、变更协议；</w:t>
      </w:r>
    </w:p>
    <w:p w14:paraId="3F62DFA5">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1.1.2 中标或者成交通知书；</w:t>
      </w:r>
    </w:p>
    <w:p w14:paraId="27A149D8">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1.1.3 磋商响应文件（含澄清或者说明文件）；</w:t>
      </w:r>
    </w:p>
    <w:p w14:paraId="2DDDA480">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1.1.4 采购文件（含澄清或者修改文件）；</w:t>
      </w:r>
    </w:p>
    <w:p w14:paraId="0685427F">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1.1.5 其他相关采购文件。</w:t>
      </w:r>
    </w:p>
    <w:p w14:paraId="5D87B973">
      <w:pPr>
        <w:keepNext w:val="0"/>
        <w:keepLines w:val="0"/>
        <w:pageBreakBefore w:val="0"/>
        <w:kinsoku/>
        <w:wordWrap/>
        <w:overflowPunct/>
        <w:topLinePunct w:val="0"/>
        <w:autoSpaceDE/>
        <w:autoSpaceDN/>
        <w:bidi w:val="0"/>
        <w:snapToGrid/>
        <w:spacing w:line="420" w:lineRule="exact"/>
        <w:ind w:firstLine="482" w:firstLineChars="200"/>
        <w:textAlignment w:val="auto"/>
        <w:outlineLvl w:val="0"/>
        <w:rPr>
          <w:rFonts w:ascii="仿宋" w:hAnsi="仿宋" w:eastAsia="仿宋" w:cs="仿宋"/>
          <w:b/>
          <w:sz w:val="24"/>
          <w:highlight w:val="none"/>
        </w:rPr>
      </w:pPr>
      <w:bookmarkStart w:id="398" w:name="_Toc6773"/>
      <w:bookmarkStart w:id="399" w:name="_Toc18585"/>
      <w:bookmarkStart w:id="400" w:name="_Toc22185"/>
      <w:bookmarkStart w:id="401" w:name="_Toc2918"/>
      <w:bookmarkStart w:id="402" w:name="_Toc6311"/>
      <w:r>
        <w:rPr>
          <w:rFonts w:hint="eastAsia" w:ascii="仿宋" w:hAnsi="仿宋" w:eastAsia="仿宋" w:cs="仿宋"/>
          <w:b/>
          <w:sz w:val="24"/>
          <w:highlight w:val="none"/>
        </w:rPr>
        <w:t>1.2 标的</w:t>
      </w:r>
      <w:bookmarkEnd w:id="398"/>
      <w:bookmarkEnd w:id="399"/>
      <w:bookmarkEnd w:id="400"/>
      <w:bookmarkEnd w:id="401"/>
      <w:bookmarkEnd w:id="402"/>
    </w:p>
    <w:p w14:paraId="58DD0E57">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u w:val="single"/>
        </w:rPr>
      </w:pPr>
      <w:r>
        <w:rPr>
          <w:rFonts w:hint="eastAsia" w:ascii="仿宋" w:hAnsi="仿宋" w:eastAsia="仿宋" w:cs="仿宋"/>
          <w:sz w:val="24"/>
          <w:highlight w:val="none"/>
        </w:rPr>
        <w:t>1.2.1 服务内容：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5C992E95">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u w:val="single"/>
        </w:rPr>
      </w:pPr>
      <w:r>
        <w:rPr>
          <w:rFonts w:hint="eastAsia" w:ascii="仿宋" w:hAnsi="仿宋" w:eastAsia="仿宋" w:cs="仿宋"/>
          <w:sz w:val="24"/>
          <w:highlight w:val="none"/>
        </w:rPr>
        <w:t>1.2.2 服务标准：</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7587B316">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u w:val="single"/>
        </w:rPr>
      </w:pPr>
      <w:r>
        <w:rPr>
          <w:rFonts w:hint="eastAsia" w:ascii="仿宋" w:hAnsi="仿宋" w:eastAsia="仿宋" w:cs="仿宋"/>
          <w:sz w:val="24"/>
          <w:highlight w:val="none"/>
        </w:rPr>
        <w:t>1.2.3 技术保障：</w:t>
      </w:r>
      <w:r>
        <w:rPr>
          <w:rFonts w:hint="eastAsia" w:ascii="仿宋" w:hAnsi="仿宋" w:eastAsia="仿宋" w:cs="仿宋"/>
          <w:sz w:val="24"/>
          <w:highlight w:val="none"/>
          <w:u w:val="single"/>
        </w:rPr>
        <w:t>　　　　　　　　　                      　      ；</w:t>
      </w:r>
    </w:p>
    <w:p w14:paraId="2205E2D5">
      <w:pPr>
        <w:keepNext w:val="0"/>
        <w:keepLines w:val="0"/>
        <w:pageBreakBefore w:val="0"/>
        <w:kinsoku/>
        <w:wordWrap/>
        <w:overflowPunct/>
        <w:topLinePunct w:val="0"/>
        <w:autoSpaceDE/>
        <w:autoSpaceDN/>
        <w:bidi w:val="0"/>
        <w:snapToGrid/>
        <w:spacing w:line="420" w:lineRule="exact"/>
        <w:ind w:firstLine="480" w:firstLineChars="200"/>
        <w:jc w:val="left"/>
        <w:textAlignment w:val="auto"/>
        <w:rPr>
          <w:rFonts w:ascii="仿宋" w:hAnsi="仿宋" w:eastAsia="仿宋" w:cs="仿宋"/>
          <w:sz w:val="24"/>
          <w:highlight w:val="none"/>
        </w:rPr>
      </w:pPr>
      <w:r>
        <w:rPr>
          <w:rFonts w:hint="eastAsia" w:ascii="仿宋" w:hAnsi="仿宋" w:eastAsia="仿宋" w:cs="仿宋"/>
          <w:sz w:val="24"/>
          <w:highlight w:val="none"/>
        </w:rPr>
        <w:t>1.2.4 服务人员组成：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4AC327A0">
      <w:pPr>
        <w:pStyle w:val="967"/>
        <w:keepNext w:val="0"/>
        <w:keepLines w:val="0"/>
        <w:pageBreakBefore w:val="0"/>
        <w:kinsoku/>
        <w:wordWrap/>
        <w:overflowPunct/>
        <w:topLinePunct w:val="0"/>
        <w:autoSpaceDE/>
        <w:autoSpaceDN/>
        <w:bidi w:val="0"/>
        <w:snapToGrid/>
        <w:spacing w:before="0" w:beforeAutospacing="0" w:after="0" w:afterAutospacing="0" w:line="420" w:lineRule="exact"/>
        <w:ind w:firstLine="480"/>
        <w:textAlignment w:val="auto"/>
        <w:rPr>
          <w:rFonts w:ascii="仿宋" w:hAnsi="仿宋" w:eastAsia="仿宋" w:cs="仿宋"/>
          <w:highlight w:val="none"/>
        </w:rPr>
      </w:pPr>
      <w:r>
        <w:rPr>
          <w:rFonts w:hint="eastAsia" w:ascii="仿宋" w:hAnsi="仿宋" w:eastAsia="仿宋" w:cs="仿宋"/>
          <w:highlight w:val="none"/>
        </w:rPr>
        <w:t>1.2.5</w:t>
      </w:r>
      <w:r>
        <w:rPr>
          <w:rFonts w:hint="eastAsia" w:ascii="仿宋" w:hAnsi="仿宋" w:eastAsia="仿宋" w:cs="仿宋"/>
          <w:highlight w:val="none"/>
          <w:lang w:val="en-US" w:eastAsia="zh-CN"/>
        </w:rPr>
        <w:t xml:space="preserve"> </w:t>
      </w:r>
      <w:r>
        <w:rPr>
          <w:rFonts w:hint="eastAsia" w:ascii="仿宋" w:hAnsi="仿宋" w:eastAsia="仿宋" w:cs="仿宋"/>
          <w:highlight w:val="none"/>
        </w:rPr>
        <w:t>合同</w:t>
      </w:r>
      <w:r>
        <w:rPr>
          <w:rFonts w:hint="eastAsia" w:ascii="仿宋" w:hAnsi="仿宋" w:eastAsia="仿宋" w:cs="仿宋"/>
          <w:highlight w:val="none"/>
          <w:u w:val="single"/>
        </w:rPr>
        <w:t xml:space="preserve">     </w:t>
      </w:r>
      <w:r>
        <w:rPr>
          <w:rFonts w:hint="eastAsia" w:ascii="仿宋" w:hAnsi="仿宋" w:eastAsia="仿宋" w:cs="仿宋"/>
          <w:highlight w:val="none"/>
        </w:rPr>
        <w:t>（是/否）涉及货物。若涉及货物的，则：</w:t>
      </w:r>
    </w:p>
    <w:p w14:paraId="4CA62BC7">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u w:val="single"/>
        </w:rPr>
      </w:pPr>
      <w:bookmarkStart w:id="403" w:name="_Toc5635"/>
      <w:bookmarkStart w:id="404" w:name="_Toc1386"/>
      <w:bookmarkStart w:id="405" w:name="_Toc21124"/>
      <w:bookmarkStart w:id="406" w:name="_Toc13918"/>
      <w:bookmarkStart w:id="407" w:name="_Toc4929"/>
      <w:r>
        <w:rPr>
          <w:rFonts w:hint="eastAsia" w:ascii="仿宋" w:hAnsi="仿宋" w:eastAsia="仿宋" w:cs="仿宋"/>
          <w:sz w:val="24"/>
          <w:highlight w:val="none"/>
        </w:rPr>
        <w:t>1.2.5.1 货物名称、品牌、规格型号、花色：</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6A2CDBB9">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u w:val="single"/>
        </w:rPr>
      </w:pPr>
      <w:r>
        <w:rPr>
          <w:rFonts w:hint="eastAsia" w:ascii="仿宋" w:hAnsi="仿宋" w:eastAsia="仿宋" w:cs="仿宋"/>
          <w:sz w:val="24"/>
          <w:highlight w:val="none"/>
        </w:rPr>
        <w:t>1.2.5.2 货物数量：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10962073">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u w:val="single"/>
        </w:rPr>
      </w:pPr>
      <w:r>
        <w:rPr>
          <w:rFonts w:hint="eastAsia" w:ascii="仿宋" w:hAnsi="仿宋" w:eastAsia="仿宋" w:cs="仿宋"/>
          <w:sz w:val="24"/>
          <w:highlight w:val="none"/>
        </w:rPr>
        <w:t>1.2.5.3 货物质量：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B7A1676">
      <w:pPr>
        <w:keepNext w:val="0"/>
        <w:keepLines w:val="0"/>
        <w:pageBreakBefore w:val="0"/>
        <w:kinsoku/>
        <w:wordWrap/>
        <w:overflowPunct/>
        <w:topLinePunct w:val="0"/>
        <w:autoSpaceDE/>
        <w:autoSpaceDN/>
        <w:bidi w:val="0"/>
        <w:snapToGrid/>
        <w:spacing w:line="420" w:lineRule="exact"/>
        <w:ind w:firstLine="482" w:firstLineChars="200"/>
        <w:textAlignment w:val="auto"/>
        <w:outlineLvl w:val="0"/>
        <w:rPr>
          <w:rFonts w:ascii="仿宋" w:hAnsi="仿宋" w:eastAsia="仿宋" w:cs="仿宋"/>
          <w:b/>
          <w:sz w:val="24"/>
          <w:highlight w:val="none"/>
        </w:rPr>
      </w:pPr>
      <w:r>
        <w:rPr>
          <w:rFonts w:hint="eastAsia" w:ascii="仿宋" w:hAnsi="仿宋" w:eastAsia="仿宋" w:cs="仿宋"/>
          <w:b/>
          <w:sz w:val="24"/>
          <w:highlight w:val="none"/>
        </w:rPr>
        <w:t>1.3 价款</w:t>
      </w:r>
      <w:bookmarkEnd w:id="403"/>
      <w:bookmarkEnd w:id="404"/>
      <w:bookmarkEnd w:id="405"/>
      <w:bookmarkEnd w:id="406"/>
      <w:bookmarkEnd w:id="407"/>
    </w:p>
    <w:p w14:paraId="2827D138">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本项目采用以下第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条款规定的计价方式计价。</w:t>
      </w:r>
    </w:p>
    <w:p w14:paraId="380B0B6D">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1.3.1总价合同，本合同总价（含税）为：￥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元人民币）。</w:t>
      </w:r>
    </w:p>
    <w:p w14:paraId="15878072">
      <w:pPr>
        <w:keepNext w:val="0"/>
        <w:keepLines w:val="0"/>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u w:val="single"/>
        </w:rPr>
      </w:pPr>
      <w:r>
        <w:rPr>
          <w:rFonts w:hint="eastAsia" w:ascii="仿宋" w:hAnsi="仿宋" w:eastAsia="仿宋" w:cs="仿宋"/>
          <w:sz w:val="24"/>
          <w:highlight w:val="none"/>
        </w:rPr>
        <w:t>分项价格：</w:t>
      </w:r>
    </w:p>
    <w:tbl>
      <w:tblPr>
        <w:tblStyle w:val="6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7C3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1" w:type="dxa"/>
            <w:vAlign w:val="center"/>
          </w:tcPr>
          <w:p w14:paraId="3C6A275B">
            <w:pPr>
              <w:pStyle w:val="337"/>
              <w:spacing w:line="336"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3402" w:type="dxa"/>
            <w:vAlign w:val="center"/>
          </w:tcPr>
          <w:p w14:paraId="486A97FF">
            <w:pPr>
              <w:pStyle w:val="337"/>
              <w:spacing w:line="336" w:lineRule="auto"/>
              <w:ind w:firstLine="200"/>
              <w:jc w:val="center"/>
              <w:rPr>
                <w:rFonts w:ascii="仿宋" w:hAnsi="仿宋" w:eastAsia="仿宋" w:cs="仿宋"/>
                <w:sz w:val="24"/>
                <w:szCs w:val="24"/>
                <w:highlight w:val="none"/>
              </w:rPr>
            </w:pPr>
            <w:r>
              <w:rPr>
                <w:rFonts w:hint="eastAsia" w:ascii="仿宋" w:hAnsi="仿宋" w:eastAsia="仿宋" w:cs="仿宋"/>
                <w:sz w:val="24"/>
                <w:szCs w:val="24"/>
                <w:highlight w:val="none"/>
              </w:rPr>
              <w:t>分项名称</w:t>
            </w:r>
          </w:p>
        </w:tc>
        <w:tc>
          <w:tcPr>
            <w:tcW w:w="2552" w:type="dxa"/>
            <w:vAlign w:val="center"/>
          </w:tcPr>
          <w:p w14:paraId="1FBC8AA0">
            <w:pPr>
              <w:pStyle w:val="337"/>
              <w:spacing w:line="336"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分项价格</w:t>
            </w:r>
          </w:p>
        </w:tc>
      </w:tr>
      <w:tr w14:paraId="6C9A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AB5539">
            <w:pPr>
              <w:pStyle w:val="337"/>
              <w:spacing w:line="336" w:lineRule="auto"/>
              <w:ind w:firstLine="200"/>
              <w:jc w:val="center"/>
              <w:rPr>
                <w:rFonts w:ascii="仿宋" w:hAnsi="仿宋" w:eastAsia="仿宋" w:cs="仿宋"/>
                <w:sz w:val="24"/>
                <w:szCs w:val="24"/>
                <w:highlight w:val="none"/>
              </w:rPr>
            </w:pPr>
          </w:p>
        </w:tc>
        <w:tc>
          <w:tcPr>
            <w:tcW w:w="3402" w:type="dxa"/>
            <w:vAlign w:val="center"/>
          </w:tcPr>
          <w:p w14:paraId="20639FD2">
            <w:pPr>
              <w:pStyle w:val="337"/>
              <w:spacing w:line="336" w:lineRule="auto"/>
              <w:ind w:firstLine="200"/>
              <w:jc w:val="center"/>
              <w:rPr>
                <w:rFonts w:ascii="仿宋" w:hAnsi="仿宋" w:eastAsia="仿宋" w:cs="仿宋"/>
                <w:sz w:val="24"/>
                <w:szCs w:val="24"/>
                <w:highlight w:val="none"/>
              </w:rPr>
            </w:pPr>
          </w:p>
        </w:tc>
        <w:tc>
          <w:tcPr>
            <w:tcW w:w="2552" w:type="dxa"/>
            <w:vAlign w:val="center"/>
          </w:tcPr>
          <w:p w14:paraId="4CED35AC">
            <w:pPr>
              <w:pStyle w:val="337"/>
              <w:spacing w:line="336" w:lineRule="auto"/>
              <w:ind w:firstLine="200"/>
              <w:jc w:val="center"/>
              <w:rPr>
                <w:rFonts w:ascii="仿宋" w:hAnsi="仿宋" w:eastAsia="仿宋" w:cs="仿宋"/>
                <w:sz w:val="24"/>
                <w:szCs w:val="24"/>
                <w:highlight w:val="none"/>
              </w:rPr>
            </w:pPr>
          </w:p>
        </w:tc>
      </w:tr>
      <w:tr w14:paraId="5AAE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FE4238">
            <w:pPr>
              <w:pStyle w:val="337"/>
              <w:spacing w:line="336" w:lineRule="auto"/>
              <w:ind w:firstLine="200"/>
              <w:jc w:val="center"/>
              <w:rPr>
                <w:rFonts w:ascii="仿宋" w:hAnsi="仿宋" w:eastAsia="仿宋" w:cs="仿宋"/>
                <w:sz w:val="24"/>
                <w:szCs w:val="24"/>
                <w:highlight w:val="none"/>
              </w:rPr>
            </w:pPr>
          </w:p>
        </w:tc>
        <w:tc>
          <w:tcPr>
            <w:tcW w:w="3402" w:type="dxa"/>
            <w:vAlign w:val="center"/>
          </w:tcPr>
          <w:p w14:paraId="7EA0B241">
            <w:pPr>
              <w:pStyle w:val="337"/>
              <w:spacing w:line="336" w:lineRule="auto"/>
              <w:ind w:firstLine="200"/>
              <w:jc w:val="center"/>
              <w:rPr>
                <w:rFonts w:ascii="仿宋" w:hAnsi="仿宋" w:eastAsia="仿宋" w:cs="仿宋"/>
                <w:sz w:val="24"/>
                <w:szCs w:val="24"/>
                <w:highlight w:val="none"/>
              </w:rPr>
            </w:pPr>
          </w:p>
        </w:tc>
        <w:tc>
          <w:tcPr>
            <w:tcW w:w="2552" w:type="dxa"/>
            <w:vAlign w:val="center"/>
          </w:tcPr>
          <w:p w14:paraId="231347D8">
            <w:pPr>
              <w:pStyle w:val="337"/>
              <w:spacing w:line="336" w:lineRule="auto"/>
              <w:ind w:firstLine="200"/>
              <w:jc w:val="center"/>
              <w:rPr>
                <w:rFonts w:ascii="仿宋" w:hAnsi="仿宋" w:eastAsia="仿宋" w:cs="仿宋"/>
                <w:sz w:val="24"/>
                <w:szCs w:val="24"/>
                <w:highlight w:val="none"/>
              </w:rPr>
            </w:pPr>
          </w:p>
        </w:tc>
      </w:tr>
      <w:tr w14:paraId="48A4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12F223">
            <w:pPr>
              <w:pStyle w:val="337"/>
              <w:spacing w:line="336" w:lineRule="auto"/>
              <w:ind w:firstLine="200"/>
              <w:jc w:val="center"/>
              <w:rPr>
                <w:rFonts w:ascii="仿宋" w:hAnsi="仿宋" w:eastAsia="仿宋" w:cs="仿宋"/>
                <w:sz w:val="24"/>
                <w:szCs w:val="24"/>
                <w:highlight w:val="none"/>
              </w:rPr>
            </w:pPr>
          </w:p>
        </w:tc>
        <w:tc>
          <w:tcPr>
            <w:tcW w:w="3402" w:type="dxa"/>
            <w:vAlign w:val="center"/>
          </w:tcPr>
          <w:p w14:paraId="0255AA7C">
            <w:pPr>
              <w:pStyle w:val="337"/>
              <w:spacing w:line="336" w:lineRule="auto"/>
              <w:ind w:firstLine="200"/>
              <w:jc w:val="center"/>
              <w:rPr>
                <w:rFonts w:ascii="仿宋" w:hAnsi="仿宋" w:eastAsia="仿宋" w:cs="仿宋"/>
                <w:sz w:val="24"/>
                <w:szCs w:val="24"/>
                <w:highlight w:val="none"/>
              </w:rPr>
            </w:pPr>
          </w:p>
        </w:tc>
        <w:tc>
          <w:tcPr>
            <w:tcW w:w="2552" w:type="dxa"/>
            <w:vAlign w:val="center"/>
          </w:tcPr>
          <w:p w14:paraId="0F63ECD1">
            <w:pPr>
              <w:pStyle w:val="337"/>
              <w:spacing w:line="336" w:lineRule="auto"/>
              <w:ind w:firstLine="200"/>
              <w:jc w:val="center"/>
              <w:rPr>
                <w:rFonts w:ascii="仿宋" w:hAnsi="仿宋" w:eastAsia="仿宋" w:cs="仿宋"/>
                <w:sz w:val="24"/>
                <w:szCs w:val="24"/>
                <w:highlight w:val="none"/>
              </w:rPr>
            </w:pPr>
          </w:p>
        </w:tc>
      </w:tr>
      <w:tr w14:paraId="06D1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BD1DD0">
            <w:pPr>
              <w:pStyle w:val="337"/>
              <w:spacing w:line="336" w:lineRule="auto"/>
              <w:ind w:firstLine="200"/>
              <w:jc w:val="center"/>
              <w:rPr>
                <w:rFonts w:ascii="仿宋" w:hAnsi="仿宋" w:eastAsia="仿宋" w:cs="仿宋"/>
                <w:sz w:val="24"/>
                <w:szCs w:val="24"/>
                <w:highlight w:val="none"/>
              </w:rPr>
            </w:pPr>
          </w:p>
        </w:tc>
        <w:tc>
          <w:tcPr>
            <w:tcW w:w="3402" w:type="dxa"/>
            <w:vAlign w:val="center"/>
          </w:tcPr>
          <w:p w14:paraId="6034D6E4">
            <w:pPr>
              <w:pStyle w:val="337"/>
              <w:spacing w:line="336" w:lineRule="auto"/>
              <w:ind w:firstLine="200"/>
              <w:jc w:val="center"/>
              <w:rPr>
                <w:rFonts w:ascii="仿宋" w:hAnsi="仿宋" w:eastAsia="仿宋" w:cs="仿宋"/>
                <w:sz w:val="24"/>
                <w:szCs w:val="24"/>
                <w:highlight w:val="none"/>
              </w:rPr>
            </w:pPr>
          </w:p>
        </w:tc>
        <w:tc>
          <w:tcPr>
            <w:tcW w:w="2552" w:type="dxa"/>
            <w:vAlign w:val="center"/>
          </w:tcPr>
          <w:p w14:paraId="33ECD06D">
            <w:pPr>
              <w:pStyle w:val="337"/>
              <w:spacing w:line="336" w:lineRule="auto"/>
              <w:ind w:firstLine="200"/>
              <w:jc w:val="center"/>
              <w:rPr>
                <w:rFonts w:ascii="仿宋" w:hAnsi="仿宋" w:eastAsia="仿宋" w:cs="仿宋"/>
                <w:sz w:val="24"/>
                <w:szCs w:val="24"/>
                <w:highlight w:val="none"/>
              </w:rPr>
            </w:pPr>
          </w:p>
        </w:tc>
      </w:tr>
      <w:tr w14:paraId="58BC7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628B0C0">
            <w:pPr>
              <w:pStyle w:val="337"/>
              <w:spacing w:line="336" w:lineRule="auto"/>
              <w:ind w:firstLine="200"/>
              <w:jc w:val="center"/>
              <w:rPr>
                <w:rFonts w:ascii="仿宋" w:hAnsi="仿宋" w:eastAsia="仿宋" w:cs="仿宋"/>
                <w:sz w:val="24"/>
                <w:szCs w:val="24"/>
                <w:highlight w:val="none"/>
              </w:rPr>
            </w:pPr>
            <w:r>
              <w:rPr>
                <w:rFonts w:hint="eastAsia" w:ascii="仿宋" w:hAnsi="仿宋" w:eastAsia="仿宋" w:cs="仿宋"/>
                <w:sz w:val="24"/>
                <w:szCs w:val="24"/>
                <w:highlight w:val="none"/>
              </w:rPr>
              <w:t>总价</w:t>
            </w:r>
          </w:p>
        </w:tc>
        <w:tc>
          <w:tcPr>
            <w:tcW w:w="2552" w:type="dxa"/>
            <w:vAlign w:val="center"/>
          </w:tcPr>
          <w:p w14:paraId="140CA78A">
            <w:pPr>
              <w:pStyle w:val="337"/>
              <w:spacing w:line="336" w:lineRule="auto"/>
              <w:ind w:firstLine="200"/>
              <w:jc w:val="center"/>
              <w:rPr>
                <w:rFonts w:ascii="仿宋" w:hAnsi="仿宋" w:eastAsia="仿宋" w:cs="仿宋"/>
                <w:sz w:val="24"/>
                <w:szCs w:val="24"/>
                <w:highlight w:val="none"/>
              </w:rPr>
            </w:pPr>
          </w:p>
        </w:tc>
      </w:tr>
    </w:tbl>
    <w:p w14:paraId="297CAE94">
      <w:pPr>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bookmarkStart w:id="408" w:name="_Toc26916"/>
      <w:bookmarkStart w:id="409" w:name="_Toc14993"/>
      <w:bookmarkStart w:id="410" w:name="_Toc30506"/>
      <w:bookmarkStart w:id="411" w:name="_Toc30158"/>
      <w:bookmarkStart w:id="412" w:name="_Toc3654"/>
      <w:r>
        <w:rPr>
          <w:rFonts w:hint="eastAsia" w:ascii="仿宋" w:hAnsi="仿宋" w:eastAsia="仿宋" w:cs="仿宋"/>
          <w:bCs/>
          <w:sz w:val="24"/>
          <w:highlight w:val="none"/>
        </w:rPr>
        <w:t>1.3.2单价合同，本合同单价（含税）标准为：</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。服务工作量的计量方式为：</w:t>
      </w:r>
      <w:r>
        <w:rPr>
          <w:rFonts w:hint="eastAsia" w:ascii="仿宋" w:hAnsi="仿宋" w:eastAsia="仿宋" w:cs="仿宋"/>
          <w:bCs/>
          <w:sz w:val="24"/>
          <w:highlight w:val="none"/>
          <w:u w:val="single"/>
        </w:rPr>
        <w:t xml:space="preserve">       </w:t>
      </w:r>
      <w:r>
        <w:rPr>
          <w:rFonts w:hint="eastAsia" w:ascii="仿宋" w:hAnsi="仿宋" w:eastAsia="仿宋" w:cs="仿宋"/>
          <w:b/>
          <w:i/>
          <w:sz w:val="24"/>
          <w:highlight w:val="none"/>
          <w:u w:val="single"/>
        </w:rPr>
        <w:t>合同专用条款</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。单价合同，在合同履行期间内，根据实际完成的工作量据实结算，但结算总价上限不得超过预算金额或者双方确定的金额￥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元人民币）。</w:t>
      </w:r>
    </w:p>
    <w:p w14:paraId="12D87F65">
      <w:pPr>
        <w:pStyle w:val="5"/>
        <w:pageBreakBefore w:val="0"/>
        <w:numPr>
          <w:ilvl w:val="0"/>
          <w:numId w:val="0"/>
        </w:numPr>
        <w:kinsoku/>
        <w:wordWrap/>
        <w:overflowPunct/>
        <w:topLinePunct w:val="0"/>
        <w:autoSpaceDE/>
        <w:autoSpaceDN/>
        <w:bidi w:val="0"/>
        <w:snapToGrid/>
        <w:spacing w:line="420" w:lineRule="exact"/>
        <w:ind w:left="-432" w:firstLine="482" w:firstLineChars="200"/>
        <w:textAlignment w:val="auto"/>
        <w:rPr>
          <w:rFonts w:ascii="仿宋" w:eastAsia="仿宋" w:cs="仿宋"/>
          <w:highlight w:val="none"/>
          <w:lang w:val="en-US"/>
        </w:rPr>
      </w:pPr>
      <w:r>
        <w:rPr>
          <w:rFonts w:hint="eastAsia" w:ascii="仿宋" w:eastAsia="仿宋" w:cs="仿宋"/>
          <w:sz w:val="24"/>
          <w:highlight w:val="none"/>
          <w:lang w:val="en-US"/>
        </w:rPr>
        <w:t xml:space="preserve">   </w:t>
      </w:r>
      <w:r>
        <w:rPr>
          <w:rFonts w:hint="eastAsia" w:ascii="仿宋" w:eastAsia="仿宋" w:cs="仿宋"/>
          <w:sz w:val="24"/>
          <w:highlight w:val="none"/>
          <w:lang w:val="en-US" w:eastAsia="zh-CN"/>
        </w:rPr>
        <w:t xml:space="preserve"> </w:t>
      </w:r>
      <w:r>
        <w:rPr>
          <w:rFonts w:hint="eastAsia" w:ascii="仿宋" w:eastAsia="仿宋" w:cs="仿宋"/>
          <w:b w:val="0"/>
          <w:bCs w:val="0"/>
          <w:sz w:val="24"/>
          <w:highlight w:val="none"/>
          <w:lang w:val="en-US"/>
        </w:rPr>
        <w:t>1.3.3其他计价方式：</w:t>
      </w:r>
      <w:r>
        <w:rPr>
          <w:rFonts w:hint="eastAsia" w:ascii="仿宋" w:eastAsia="仿宋" w:cs="仿宋"/>
          <w:b w:val="0"/>
          <w:bCs w:val="0"/>
          <w:sz w:val="24"/>
          <w:highlight w:val="none"/>
          <w:u w:val="single"/>
          <w:lang w:val="en-US"/>
        </w:rPr>
        <w:t xml:space="preserve">                   </w:t>
      </w:r>
      <w:r>
        <w:rPr>
          <w:rFonts w:hint="eastAsia" w:ascii="仿宋" w:eastAsia="仿宋" w:cs="仿宋"/>
          <w:b w:val="0"/>
          <w:bCs w:val="0"/>
          <w:sz w:val="24"/>
          <w:highlight w:val="none"/>
        </w:rPr>
        <w:t>。</w:t>
      </w:r>
    </w:p>
    <w:bookmarkEnd w:id="408"/>
    <w:bookmarkEnd w:id="409"/>
    <w:bookmarkEnd w:id="410"/>
    <w:bookmarkEnd w:id="411"/>
    <w:bookmarkEnd w:id="412"/>
    <w:p w14:paraId="47D0AC7B">
      <w:pPr>
        <w:pStyle w:val="967"/>
        <w:pageBreakBefore w:val="0"/>
        <w:kinsoku/>
        <w:wordWrap/>
        <w:overflowPunct/>
        <w:topLinePunct w:val="0"/>
        <w:autoSpaceDE/>
        <w:autoSpaceDN/>
        <w:bidi w:val="0"/>
        <w:snapToGrid/>
        <w:spacing w:before="0" w:beforeAutospacing="0" w:after="0" w:afterAutospacing="0" w:line="420" w:lineRule="exact"/>
        <w:ind w:firstLine="480"/>
        <w:textAlignment w:val="auto"/>
        <w:rPr>
          <w:rFonts w:ascii="仿宋" w:hAnsi="仿宋" w:eastAsia="仿宋" w:cs="仿宋"/>
          <w:b/>
          <w:highlight w:val="none"/>
        </w:rPr>
      </w:pPr>
      <w:bookmarkStart w:id="413" w:name="_Toc10340"/>
      <w:bookmarkStart w:id="414" w:name="_Toc1814"/>
      <w:bookmarkStart w:id="415" w:name="_Toc22618"/>
      <w:bookmarkStart w:id="416" w:name="_Toc8772"/>
      <w:bookmarkStart w:id="417" w:name="_Toc3625"/>
      <w:bookmarkStart w:id="418" w:name="_Toc31421"/>
      <w:bookmarkStart w:id="419" w:name="_Toc11108"/>
      <w:bookmarkStart w:id="420" w:name="_Toc4760"/>
      <w:r>
        <w:rPr>
          <w:rFonts w:hint="eastAsia" w:ascii="仿宋" w:hAnsi="仿宋" w:eastAsia="仿宋" w:cs="仿宋"/>
          <w:b/>
          <w:highlight w:val="none"/>
        </w:rPr>
        <w:t>1.4履约保证金</w:t>
      </w:r>
    </w:p>
    <w:p w14:paraId="1FCDBBB8">
      <w:pPr>
        <w:pStyle w:val="967"/>
        <w:pageBreakBefore w:val="0"/>
        <w:kinsoku/>
        <w:wordWrap/>
        <w:overflowPunct/>
        <w:topLinePunct w:val="0"/>
        <w:autoSpaceDE/>
        <w:autoSpaceDN/>
        <w:bidi w:val="0"/>
        <w:snapToGrid/>
        <w:spacing w:before="0" w:beforeAutospacing="0" w:after="0" w:afterAutospacing="0" w:line="420" w:lineRule="exact"/>
        <w:ind w:firstLine="480"/>
        <w:textAlignment w:val="auto"/>
        <w:rPr>
          <w:rFonts w:ascii="仿宋" w:hAnsi="仿宋" w:eastAsia="仿宋" w:cs="仿宋"/>
          <w:highlight w:val="none"/>
        </w:rPr>
      </w:pPr>
      <w:r>
        <w:rPr>
          <w:rFonts w:hint="eastAsia" w:ascii="仿宋" w:hAnsi="仿宋" w:eastAsia="仿宋" w:cs="仿宋"/>
          <w:highlight w:val="none"/>
        </w:rPr>
        <w:t>乙方</w:t>
      </w:r>
      <w:r>
        <w:rPr>
          <w:rFonts w:hint="eastAsia" w:ascii="仿宋" w:hAnsi="仿宋" w:eastAsia="仿宋" w:cs="仿宋"/>
          <w:highlight w:val="none"/>
          <w:u w:val="single"/>
        </w:rPr>
        <w:t xml:space="preserve">     </w:t>
      </w:r>
      <w:r>
        <w:rPr>
          <w:rFonts w:hint="eastAsia" w:ascii="仿宋" w:hAnsi="仿宋" w:eastAsia="仿宋" w:cs="仿宋"/>
          <w:highlight w:val="none"/>
        </w:rPr>
        <w:t>（是/否）需要支付履约保证金。若需要支付履约保证金的，则：</w:t>
      </w:r>
    </w:p>
    <w:p w14:paraId="25814033">
      <w:pPr>
        <w:pageBreakBefore w:val="0"/>
        <w:kinsoku/>
        <w:wordWrap/>
        <w:overflowPunct/>
        <w:topLinePunct w:val="0"/>
        <w:autoSpaceDE/>
        <w:autoSpaceDN/>
        <w:bidi w:val="0"/>
        <w:snapToGrid/>
        <w:spacing w:line="420" w:lineRule="exact"/>
        <w:ind w:firstLine="480" w:firstLineChars="200"/>
        <w:textAlignment w:val="auto"/>
        <w:outlineLvl w:val="0"/>
        <w:rPr>
          <w:rFonts w:ascii="仿宋" w:hAnsi="仿宋" w:eastAsia="仿宋" w:cs="仿宋"/>
          <w:kern w:val="0"/>
          <w:sz w:val="24"/>
          <w:highlight w:val="none"/>
        </w:rPr>
      </w:pPr>
      <w:r>
        <w:rPr>
          <w:rFonts w:hint="eastAsia" w:ascii="仿宋" w:hAnsi="仿宋" w:eastAsia="仿宋" w:cs="仿宋"/>
          <w:kern w:val="0"/>
          <w:sz w:val="24"/>
          <w:highlight w:val="none"/>
        </w:rPr>
        <w:t>1.4.1履约保证金的比例为合同金额的</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570CBB29">
      <w:pPr>
        <w:pageBreakBefore w:val="0"/>
        <w:kinsoku/>
        <w:wordWrap/>
        <w:overflowPunct/>
        <w:topLinePunct w:val="0"/>
        <w:autoSpaceDE/>
        <w:autoSpaceDN/>
        <w:bidi w:val="0"/>
        <w:snapToGrid/>
        <w:spacing w:line="420" w:lineRule="exact"/>
        <w:ind w:firstLine="480" w:firstLineChars="200"/>
        <w:textAlignment w:val="auto"/>
        <w:outlineLvl w:val="0"/>
        <w:rPr>
          <w:rFonts w:ascii="仿宋" w:hAnsi="仿宋" w:eastAsia="仿宋" w:cs="仿宋"/>
          <w:kern w:val="0"/>
          <w:sz w:val="24"/>
          <w:highlight w:val="none"/>
        </w:rPr>
      </w:pPr>
      <w:r>
        <w:rPr>
          <w:rFonts w:hint="eastAsia" w:ascii="仿宋" w:hAnsi="仿宋" w:eastAsia="仿宋" w:cs="仿宋"/>
          <w:kern w:val="0"/>
          <w:sz w:val="24"/>
          <w:highlight w:val="none"/>
        </w:rPr>
        <w:t>1.4.2履约保证金支付方式详见</w:t>
      </w:r>
      <w:r>
        <w:rPr>
          <w:rFonts w:hint="eastAsia" w:ascii="仿宋" w:hAnsi="仿宋" w:eastAsia="仿宋" w:cs="仿宋"/>
          <w:kern w:val="0"/>
          <w:sz w:val="24"/>
          <w:highlight w:val="none"/>
          <w:u w:val="single"/>
        </w:rPr>
        <w:t xml:space="preserve">    </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0DAAAD34">
      <w:pPr>
        <w:pStyle w:val="5"/>
        <w:pageBreakBefore w:val="0"/>
        <w:numPr>
          <w:ilvl w:val="0"/>
          <w:numId w:val="0"/>
        </w:numPr>
        <w:tabs>
          <w:tab w:val="clear" w:pos="432"/>
        </w:tabs>
        <w:kinsoku/>
        <w:wordWrap/>
        <w:overflowPunct/>
        <w:topLinePunct w:val="0"/>
        <w:autoSpaceDE/>
        <w:autoSpaceDN/>
        <w:bidi w:val="0"/>
        <w:snapToGrid/>
        <w:spacing w:line="420" w:lineRule="exact"/>
        <w:ind w:left="852" w:leftChars="200"/>
        <w:textAlignment w:val="auto"/>
        <w:rPr>
          <w:rFonts w:ascii="仿宋" w:eastAsia="仿宋" w:cs="仿宋"/>
          <w:highlight w:val="none"/>
          <w:lang w:val="en-US"/>
        </w:rPr>
      </w:pPr>
      <w:r>
        <w:rPr>
          <w:rFonts w:hint="eastAsia" w:ascii="仿宋" w:eastAsia="仿宋" w:cs="仿宋"/>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D48E176">
      <w:pPr>
        <w:pageBreakBefore w:val="0"/>
        <w:kinsoku/>
        <w:wordWrap/>
        <w:overflowPunct/>
        <w:topLinePunct w:val="0"/>
        <w:autoSpaceDE/>
        <w:autoSpaceDN/>
        <w:bidi w:val="0"/>
        <w:snapToGrid/>
        <w:spacing w:line="420" w:lineRule="exact"/>
        <w:ind w:firstLine="480" w:firstLineChars="200"/>
        <w:textAlignment w:val="auto"/>
        <w:outlineLvl w:val="0"/>
        <w:rPr>
          <w:rFonts w:ascii="仿宋" w:hAnsi="仿宋" w:eastAsia="仿宋" w:cs="仿宋"/>
          <w:kern w:val="0"/>
          <w:sz w:val="24"/>
          <w:highlight w:val="none"/>
        </w:rPr>
      </w:pPr>
      <w:r>
        <w:rPr>
          <w:rFonts w:hint="eastAsia" w:ascii="仿宋" w:hAnsi="仿宋" w:eastAsia="仿宋" w:cs="仿宋"/>
          <w:kern w:val="0"/>
          <w:sz w:val="24"/>
          <w:highlight w:val="none"/>
        </w:rPr>
        <w:t>1.4.4甲方在项目验收结束后及时退还履约保证金。甲方在项目通过验收之日起</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%计算，最高限额为本合同履约保证金的</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 xml:space="preserve"> %。</w:t>
      </w:r>
    </w:p>
    <w:p w14:paraId="1038DE05">
      <w:pPr>
        <w:pageBreakBefore w:val="0"/>
        <w:kinsoku/>
        <w:wordWrap/>
        <w:overflowPunct/>
        <w:topLinePunct w:val="0"/>
        <w:autoSpaceDE/>
        <w:autoSpaceDN/>
        <w:bidi w:val="0"/>
        <w:snapToGrid/>
        <w:spacing w:line="420" w:lineRule="exact"/>
        <w:ind w:firstLine="482" w:firstLineChars="200"/>
        <w:textAlignment w:val="auto"/>
        <w:outlineLvl w:val="0"/>
        <w:rPr>
          <w:rFonts w:ascii="仿宋" w:hAnsi="仿宋" w:eastAsia="仿宋" w:cs="仿宋"/>
          <w:b/>
          <w:sz w:val="24"/>
          <w:highlight w:val="none"/>
        </w:rPr>
      </w:pPr>
      <w:r>
        <w:rPr>
          <w:rFonts w:hint="eastAsia" w:ascii="仿宋" w:hAnsi="仿宋" w:eastAsia="仿宋" w:cs="仿宋"/>
          <w:b/>
          <w:sz w:val="24"/>
          <w:highlight w:val="none"/>
        </w:rPr>
        <w:t>1.5</w:t>
      </w:r>
      <w:bookmarkEnd w:id="413"/>
      <w:bookmarkEnd w:id="414"/>
      <w:bookmarkEnd w:id="415"/>
      <w:r>
        <w:rPr>
          <w:rFonts w:hint="eastAsia" w:ascii="仿宋" w:hAnsi="仿宋" w:eastAsia="仿宋" w:cs="仿宋"/>
          <w:b/>
          <w:sz w:val="24"/>
          <w:highlight w:val="none"/>
        </w:rPr>
        <w:t>预付款</w:t>
      </w:r>
    </w:p>
    <w:p w14:paraId="5A7E7737">
      <w:pPr>
        <w:pStyle w:val="967"/>
        <w:pageBreakBefore w:val="0"/>
        <w:kinsoku/>
        <w:wordWrap/>
        <w:overflowPunct/>
        <w:topLinePunct w:val="0"/>
        <w:autoSpaceDE/>
        <w:autoSpaceDN/>
        <w:bidi w:val="0"/>
        <w:snapToGrid/>
        <w:spacing w:before="0" w:beforeAutospacing="0" w:after="0" w:afterAutospacing="0" w:line="420" w:lineRule="exact"/>
        <w:ind w:firstLine="480"/>
        <w:textAlignment w:val="auto"/>
        <w:rPr>
          <w:rFonts w:ascii="仿宋" w:hAnsi="仿宋" w:eastAsia="仿宋" w:cs="仿宋"/>
          <w:highlight w:val="none"/>
        </w:rPr>
      </w:pPr>
      <w:r>
        <w:rPr>
          <w:rFonts w:hint="eastAsia" w:ascii="仿宋" w:hAnsi="仿宋" w:eastAsia="仿宋" w:cs="仿宋"/>
          <w:highlight w:val="none"/>
        </w:rPr>
        <w:t>甲方</w:t>
      </w:r>
      <w:r>
        <w:rPr>
          <w:rFonts w:hint="eastAsia" w:ascii="仿宋" w:hAnsi="仿宋" w:eastAsia="仿宋" w:cs="仿宋"/>
          <w:highlight w:val="none"/>
          <w:u w:val="single"/>
        </w:rPr>
        <w:t xml:space="preserve">     </w:t>
      </w:r>
      <w:r>
        <w:rPr>
          <w:rFonts w:hint="eastAsia" w:ascii="仿宋" w:hAnsi="仿宋" w:eastAsia="仿宋" w:cs="仿宋"/>
          <w:highlight w:val="none"/>
        </w:rPr>
        <w:t>（是/否）需要支付预付款。若需要支付预付款的，则：</w:t>
      </w:r>
    </w:p>
    <w:p w14:paraId="237DAA2C">
      <w:pPr>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kern w:val="0"/>
          <w:sz w:val="24"/>
          <w:highlight w:val="none"/>
        </w:rPr>
      </w:pPr>
      <w:r>
        <w:rPr>
          <w:rFonts w:hint="eastAsia" w:ascii="仿宋" w:hAnsi="仿宋" w:eastAsia="仿宋" w:cs="仿宋"/>
          <w:kern w:val="0"/>
          <w:sz w:val="24"/>
          <w:highlight w:val="none"/>
        </w:rPr>
        <w:t>1.5.1预付款比例、支付方式、时间详见</w:t>
      </w:r>
      <w:r>
        <w:rPr>
          <w:rFonts w:hint="eastAsia" w:ascii="仿宋" w:hAnsi="仿宋" w:eastAsia="仿宋" w:cs="仿宋"/>
          <w:kern w:val="0"/>
          <w:sz w:val="24"/>
          <w:highlight w:val="none"/>
          <w:u w:val="single"/>
        </w:rPr>
        <w:t xml:space="preserve">    </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65DE58CB">
      <w:pPr>
        <w:pStyle w:val="967"/>
        <w:pageBreakBefore w:val="0"/>
        <w:kinsoku/>
        <w:wordWrap/>
        <w:overflowPunct/>
        <w:topLinePunct w:val="0"/>
        <w:autoSpaceDE/>
        <w:autoSpaceDN/>
        <w:bidi w:val="0"/>
        <w:snapToGrid/>
        <w:spacing w:before="0" w:beforeAutospacing="0" w:after="0" w:afterAutospacing="0" w:line="420" w:lineRule="exact"/>
        <w:ind w:firstLine="480"/>
        <w:textAlignment w:val="auto"/>
        <w:rPr>
          <w:rFonts w:ascii="仿宋" w:hAnsi="仿宋" w:eastAsia="仿宋" w:cs="仿宋"/>
          <w:highlight w:val="none"/>
        </w:rPr>
      </w:pPr>
      <w:r>
        <w:rPr>
          <w:rFonts w:hint="eastAsia" w:ascii="仿宋" w:hAnsi="仿宋" w:eastAsia="仿宋" w:cs="仿宋"/>
          <w:highlight w:val="none"/>
        </w:rPr>
        <w:t>1.5.2预付款的扣回方式详见</w:t>
      </w:r>
      <w:r>
        <w:rPr>
          <w:rFonts w:hint="eastAsia" w:ascii="仿宋" w:hAnsi="仿宋" w:eastAsia="仿宋" w:cs="仿宋"/>
          <w:highlight w:val="none"/>
          <w:u w:val="single"/>
        </w:rPr>
        <w:t xml:space="preserve">    </w:t>
      </w:r>
      <w:r>
        <w:rPr>
          <w:rFonts w:hint="eastAsia" w:ascii="仿宋" w:hAnsi="仿宋" w:eastAsia="仿宋" w:cs="仿宋"/>
          <w:b/>
          <w:i/>
          <w:highlight w:val="none"/>
          <w:u w:val="single"/>
        </w:rPr>
        <w:t>合同专用条款</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38114E2F">
      <w:pPr>
        <w:pStyle w:val="967"/>
        <w:pageBreakBefore w:val="0"/>
        <w:kinsoku/>
        <w:wordWrap/>
        <w:overflowPunct/>
        <w:topLinePunct w:val="0"/>
        <w:autoSpaceDE/>
        <w:autoSpaceDN/>
        <w:bidi w:val="0"/>
        <w:snapToGrid/>
        <w:spacing w:before="0" w:beforeAutospacing="0" w:after="0" w:afterAutospacing="0" w:line="420" w:lineRule="exact"/>
        <w:ind w:firstLine="480"/>
        <w:textAlignment w:val="auto"/>
        <w:rPr>
          <w:rFonts w:ascii="仿宋" w:hAnsi="仿宋" w:eastAsia="仿宋" w:cs="仿宋"/>
          <w:highlight w:val="none"/>
          <w:u w:val="single"/>
        </w:rPr>
      </w:pPr>
      <w:r>
        <w:rPr>
          <w:rFonts w:hint="eastAsia" w:ascii="仿宋" w:hAnsi="仿宋" w:eastAsia="仿宋" w:cs="仿宋"/>
          <w:highlight w:val="none"/>
        </w:rPr>
        <w:t>1.5.3预付款的担保措施详见</w:t>
      </w:r>
      <w:r>
        <w:rPr>
          <w:rFonts w:hint="eastAsia" w:ascii="仿宋" w:hAnsi="仿宋" w:eastAsia="仿宋" w:cs="仿宋"/>
          <w:highlight w:val="none"/>
          <w:u w:val="single"/>
        </w:rPr>
        <w:t xml:space="preserve">    </w:t>
      </w:r>
      <w:r>
        <w:rPr>
          <w:rFonts w:hint="eastAsia" w:ascii="仿宋" w:hAnsi="仿宋" w:eastAsia="仿宋" w:cs="仿宋"/>
          <w:b/>
          <w:i/>
          <w:highlight w:val="none"/>
          <w:u w:val="single"/>
        </w:rPr>
        <w:t>合同专用条款</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1132C381">
      <w:pPr>
        <w:pStyle w:val="967"/>
        <w:pageBreakBefore w:val="0"/>
        <w:kinsoku/>
        <w:wordWrap/>
        <w:overflowPunct/>
        <w:topLinePunct w:val="0"/>
        <w:autoSpaceDE/>
        <w:autoSpaceDN/>
        <w:bidi w:val="0"/>
        <w:snapToGrid/>
        <w:spacing w:before="0" w:beforeAutospacing="0" w:after="0" w:afterAutospacing="0" w:line="420" w:lineRule="exact"/>
        <w:ind w:firstLine="480"/>
        <w:textAlignment w:val="auto"/>
        <w:rPr>
          <w:rFonts w:ascii="仿宋" w:hAnsi="仿宋" w:eastAsia="仿宋" w:cs="仿宋"/>
          <w:b/>
          <w:bCs/>
          <w:highlight w:val="none"/>
        </w:rPr>
      </w:pPr>
      <w:r>
        <w:rPr>
          <w:rFonts w:hint="eastAsia" w:ascii="仿宋" w:hAnsi="仿宋" w:eastAsia="仿宋" w:cs="仿宋"/>
          <w:b/>
          <w:bCs/>
          <w:highlight w:val="none"/>
        </w:rPr>
        <w:t>1.6资金支付</w:t>
      </w:r>
    </w:p>
    <w:p w14:paraId="483282A1">
      <w:pPr>
        <w:pStyle w:val="967"/>
        <w:pageBreakBefore w:val="0"/>
        <w:kinsoku/>
        <w:wordWrap/>
        <w:overflowPunct/>
        <w:topLinePunct w:val="0"/>
        <w:autoSpaceDE/>
        <w:autoSpaceDN/>
        <w:bidi w:val="0"/>
        <w:snapToGrid/>
        <w:spacing w:before="0" w:beforeAutospacing="0" w:after="0" w:afterAutospacing="0" w:line="420" w:lineRule="exact"/>
        <w:ind w:firstLine="480"/>
        <w:textAlignment w:val="auto"/>
        <w:rPr>
          <w:rFonts w:ascii="仿宋" w:hAnsi="仿宋" w:eastAsia="仿宋" w:cs="仿宋"/>
          <w:highlight w:val="none"/>
        </w:rPr>
      </w:pPr>
      <w:r>
        <w:rPr>
          <w:rFonts w:hint="eastAsia" w:ascii="仿宋" w:hAnsi="仿宋" w:eastAsia="仿宋" w:cs="仿宋"/>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CD0CBB0">
      <w:pPr>
        <w:pageBreakBefore w:val="0"/>
        <w:kinsoku/>
        <w:wordWrap/>
        <w:overflowPunct/>
        <w:topLinePunct w:val="0"/>
        <w:autoSpaceDE/>
        <w:autoSpaceDN/>
        <w:bidi w:val="0"/>
        <w:snapToGrid/>
        <w:spacing w:line="420" w:lineRule="exact"/>
        <w:ind w:firstLine="480" w:firstLineChars="200"/>
        <w:textAlignment w:val="auto"/>
        <w:outlineLvl w:val="0"/>
        <w:rPr>
          <w:rFonts w:ascii="仿宋" w:hAnsi="仿宋" w:eastAsia="仿宋" w:cs="仿宋"/>
          <w:sz w:val="24"/>
          <w:highlight w:val="none"/>
        </w:rPr>
      </w:pPr>
      <w:r>
        <w:rPr>
          <w:rFonts w:hint="eastAsia" w:ascii="仿宋" w:hAnsi="仿宋" w:eastAsia="仿宋" w:cs="仿宋"/>
          <w:sz w:val="24"/>
          <w:highlight w:val="none"/>
        </w:rPr>
        <w:t>1.6.2资金支付的方式、时间和条件详见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680E0F47">
      <w:pPr>
        <w:pageBreakBefore w:val="0"/>
        <w:kinsoku/>
        <w:wordWrap/>
        <w:overflowPunct/>
        <w:topLinePunct w:val="0"/>
        <w:autoSpaceDE/>
        <w:autoSpaceDN/>
        <w:bidi w:val="0"/>
        <w:snapToGrid/>
        <w:spacing w:line="420" w:lineRule="exact"/>
        <w:ind w:firstLine="482" w:firstLineChars="200"/>
        <w:textAlignment w:val="auto"/>
        <w:outlineLvl w:val="0"/>
        <w:rPr>
          <w:rFonts w:ascii="仿宋" w:hAnsi="仿宋" w:eastAsia="仿宋" w:cs="仿宋"/>
          <w:b/>
          <w:sz w:val="24"/>
          <w:highlight w:val="none"/>
        </w:rPr>
      </w:pPr>
      <w:r>
        <w:rPr>
          <w:rFonts w:hint="eastAsia" w:ascii="仿宋" w:hAnsi="仿宋" w:eastAsia="仿宋" w:cs="仿宋"/>
          <w:b/>
          <w:sz w:val="24"/>
          <w:highlight w:val="none"/>
        </w:rPr>
        <w:t>1.7 履行期限、地点和方式</w:t>
      </w:r>
      <w:bookmarkEnd w:id="416"/>
      <w:bookmarkEnd w:id="417"/>
      <w:bookmarkEnd w:id="418"/>
      <w:bookmarkEnd w:id="419"/>
      <w:bookmarkEnd w:id="420"/>
    </w:p>
    <w:p w14:paraId="7901FF9C">
      <w:pPr>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u w:val="single"/>
        </w:rPr>
      </w:pPr>
      <w:r>
        <w:rPr>
          <w:rFonts w:hint="eastAsia" w:ascii="仿宋" w:hAnsi="仿宋" w:eastAsia="仿宋" w:cs="仿宋"/>
          <w:sz w:val="24"/>
          <w:highlight w:val="none"/>
        </w:rPr>
        <w:t>1.7.1 服务交付（实施）的时间（期限）：</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48D29D10">
      <w:pPr>
        <w:pageBreakBefore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1.7.2 服务交付（实施）的地点（地域范围）：</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5261A002">
      <w:pPr>
        <w:pageBreakBefore w:val="0"/>
        <w:widowControl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1.7.3 服务交付（实施）的方式：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6D948DF6">
      <w:pPr>
        <w:pageBreakBefore w:val="0"/>
        <w:widowControl w:val="0"/>
        <w:kinsoku/>
        <w:wordWrap/>
        <w:overflowPunct/>
        <w:topLinePunct w:val="0"/>
        <w:autoSpaceDE/>
        <w:autoSpaceDN/>
        <w:bidi w:val="0"/>
        <w:snapToGrid/>
        <w:spacing w:line="420" w:lineRule="exact"/>
        <w:ind w:firstLine="480" w:firstLineChars="200"/>
        <w:textAlignment w:val="auto"/>
        <w:outlineLvl w:val="0"/>
        <w:rPr>
          <w:rFonts w:ascii="仿宋" w:hAnsi="仿宋" w:eastAsia="仿宋" w:cs="仿宋"/>
          <w:bCs/>
          <w:sz w:val="24"/>
          <w:highlight w:val="none"/>
        </w:rPr>
      </w:pPr>
      <w:bookmarkStart w:id="421" w:name="_Toc3079"/>
      <w:bookmarkStart w:id="422" w:name="_Toc2375"/>
      <w:bookmarkStart w:id="423" w:name="_Toc8586"/>
      <w:bookmarkStart w:id="424" w:name="_Toc24662"/>
      <w:bookmarkStart w:id="425" w:name="_Toc5698"/>
      <w:r>
        <w:rPr>
          <w:rFonts w:hint="eastAsia" w:ascii="仿宋" w:hAnsi="仿宋" w:eastAsia="仿宋" w:cs="仿宋"/>
          <w:bCs/>
          <w:sz w:val="24"/>
          <w:highlight w:val="none"/>
        </w:rPr>
        <w:t>1.7.4若服务涉及货物的，则货物的：</w:t>
      </w:r>
    </w:p>
    <w:p w14:paraId="35D7F7B5">
      <w:pPr>
        <w:pageBreakBefore w:val="0"/>
        <w:widowControl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u w:val="single"/>
        </w:rPr>
      </w:pPr>
      <w:r>
        <w:rPr>
          <w:rFonts w:hint="eastAsia" w:ascii="仿宋" w:hAnsi="仿宋" w:eastAsia="仿宋" w:cs="仿宋"/>
          <w:sz w:val="24"/>
          <w:highlight w:val="none"/>
        </w:rPr>
        <w:t>1.7.4.1 交付期限：详见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284ECE86">
      <w:pPr>
        <w:pageBreakBefore w:val="0"/>
        <w:widowControl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1.7.4.2 交付地点：</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291619C5">
      <w:pPr>
        <w:pageBreakBefore w:val="0"/>
        <w:widowControl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1.7.4.3 交付方式：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1AB4FFF7">
      <w:pPr>
        <w:pageBreakBefore w:val="0"/>
        <w:widowControl w:val="0"/>
        <w:kinsoku/>
        <w:wordWrap/>
        <w:overflowPunct/>
        <w:topLinePunct w:val="0"/>
        <w:autoSpaceDE/>
        <w:autoSpaceDN/>
        <w:bidi w:val="0"/>
        <w:snapToGrid/>
        <w:spacing w:line="420" w:lineRule="exact"/>
        <w:ind w:firstLine="482" w:firstLineChars="200"/>
        <w:textAlignment w:val="auto"/>
        <w:outlineLvl w:val="0"/>
        <w:rPr>
          <w:rFonts w:ascii="仿宋" w:hAnsi="仿宋" w:eastAsia="仿宋" w:cs="仿宋"/>
          <w:sz w:val="24"/>
          <w:highlight w:val="none"/>
          <w:u w:val="single"/>
        </w:rPr>
      </w:pPr>
      <w:r>
        <w:rPr>
          <w:rFonts w:hint="eastAsia" w:ascii="仿宋" w:hAnsi="仿宋" w:eastAsia="仿宋" w:cs="仿宋"/>
          <w:b/>
          <w:sz w:val="24"/>
          <w:highlight w:val="none"/>
        </w:rPr>
        <w:t>1.8违约责任</w:t>
      </w:r>
      <w:bookmarkEnd w:id="421"/>
      <w:bookmarkEnd w:id="422"/>
      <w:bookmarkEnd w:id="423"/>
      <w:bookmarkEnd w:id="424"/>
      <w:bookmarkEnd w:id="425"/>
    </w:p>
    <w:p w14:paraId="31C556E6">
      <w:pPr>
        <w:pageBreakBefore w:val="0"/>
        <w:widowControl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%；迟延履行的违约金计算数额达到前述最高限额之日起，甲方有权在要求乙方支付违约金的同时，书面通知乙方解除本合同；</w:t>
      </w:r>
    </w:p>
    <w:p w14:paraId="4E71161D">
      <w:pPr>
        <w:pStyle w:val="5"/>
        <w:pageBreakBefore w:val="0"/>
        <w:widowControl w:val="0"/>
        <w:kinsoku/>
        <w:wordWrap/>
        <w:overflowPunct/>
        <w:topLinePunct w:val="0"/>
        <w:autoSpaceDE/>
        <w:autoSpaceDN/>
        <w:bidi w:val="0"/>
        <w:snapToGrid/>
        <w:spacing w:line="420" w:lineRule="exact"/>
        <w:ind w:left="0" w:firstLine="480" w:firstLineChars="200"/>
        <w:textAlignment w:val="auto"/>
        <w:rPr>
          <w:rFonts w:ascii="仿宋" w:eastAsia="仿宋" w:cs="仿宋"/>
          <w:b w:val="0"/>
          <w:bCs w:val="0"/>
          <w:sz w:val="24"/>
          <w:szCs w:val="24"/>
          <w:highlight w:val="none"/>
          <w:lang w:val="en-US"/>
        </w:rPr>
      </w:pPr>
      <w:r>
        <w:rPr>
          <w:rFonts w:hint="eastAsia" w:ascii="仿宋" w:eastAsia="仿宋" w:cs="仿宋"/>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sz w:val="24"/>
          <w:szCs w:val="24"/>
          <w:highlight w:val="none"/>
          <w:u w:val="single"/>
          <w:lang w:val="en-US"/>
        </w:rPr>
        <w:t xml:space="preserve"> </w:t>
      </w:r>
      <w:r>
        <w:rPr>
          <w:rFonts w:hint="eastAsia" w:ascii="仿宋" w:eastAsia="仿宋" w:cs="仿宋"/>
          <w:b w:val="0"/>
          <w:bCs w:val="0"/>
          <w:sz w:val="24"/>
          <w:szCs w:val="24"/>
          <w:highlight w:val="none"/>
          <w:u w:val="single"/>
          <w:lang w:val="en-US" w:eastAsia="zh-CN"/>
        </w:rPr>
        <w:t xml:space="preserve">   </w:t>
      </w:r>
      <w:r>
        <w:rPr>
          <w:rFonts w:hint="eastAsia" w:ascii="仿宋" w:eastAsia="仿宋" w:cs="仿宋"/>
          <w:b w:val="0"/>
          <w:bCs w:val="0"/>
          <w:sz w:val="24"/>
          <w:szCs w:val="24"/>
          <w:highlight w:val="none"/>
          <w:u w:val="single"/>
          <w:lang w:val="en-US"/>
        </w:rPr>
        <w:t xml:space="preserve"> </w:t>
      </w:r>
      <w:r>
        <w:rPr>
          <w:rFonts w:hint="eastAsia" w:ascii="仿宋" w:eastAsia="仿宋" w:cs="仿宋"/>
          <w:b w:val="0"/>
          <w:bCs w:val="0"/>
          <w:sz w:val="24"/>
          <w:szCs w:val="24"/>
          <w:highlight w:val="none"/>
          <w:lang w:val="en-US"/>
        </w:rPr>
        <w:t>%计算，最高限额为本合同总价的</w:t>
      </w:r>
      <w:r>
        <w:rPr>
          <w:rFonts w:hint="eastAsia" w:ascii="仿宋" w:eastAsia="仿宋" w:cs="仿宋"/>
          <w:b w:val="0"/>
          <w:bCs w:val="0"/>
          <w:sz w:val="24"/>
          <w:szCs w:val="24"/>
          <w:highlight w:val="none"/>
          <w:u w:val="single"/>
          <w:lang w:val="en-US"/>
        </w:rPr>
        <w:t xml:space="preserve">  </w:t>
      </w:r>
      <w:r>
        <w:rPr>
          <w:rFonts w:hint="eastAsia" w:ascii="仿宋" w:eastAsia="仿宋" w:cs="仿宋"/>
          <w:b w:val="0"/>
          <w:bCs w:val="0"/>
          <w:sz w:val="24"/>
          <w:szCs w:val="24"/>
          <w:highlight w:val="none"/>
          <w:u w:val="single"/>
          <w:lang w:val="en-US" w:eastAsia="zh-CN"/>
        </w:rPr>
        <w:t xml:space="preserve">  </w:t>
      </w:r>
      <w:r>
        <w:rPr>
          <w:rFonts w:hint="eastAsia" w:ascii="仿宋" w:eastAsia="仿宋" w:cs="仿宋"/>
          <w:b w:val="0"/>
          <w:bCs w:val="0"/>
          <w:sz w:val="24"/>
          <w:szCs w:val="24"/>
          <w:highlight w:val="none"/>
          <w:u w:val="single"/>
          <w:lang w:val="en-US"/>
        </w:rPr>
        <w:t xml:space="preserve"> </w:t>
      </w:r>
      <w:r>
        <w:rPr>
          <w:rFonts w:hint="eastAsia" w:ascii="仿宋" w:eastAsia="仿宋" w:cs="仿宋"/>
          <w:b w:val="0"/>
          <w:bCs w:val="0"/>
          <w:sz w:val="24"/>
          <w:szCs w:val="24"/>
          <w:highlight w:val="none"/>
          <w:lang w:val="en-US"/>
        </w:rPr>
        <w:t>%；迟延交付货物的违约金计算数额达到前述最高限额之日起，甲方有权在要求乙方支付违约金的同时，书面通知乙方解除本合同；</w:t>
      </w:r>
    </w:p>
    <w:p w14:paraId="62B2644F">
      <w:pPr>
        <w:pageBreakBefore w:val="0"/>
        <w:widowControl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%；迟延付款的违约金计算数额达到前述最高限额之日起，乙方有权在要求甲方支付违约金的同时，书面通知甲方解除本合同；</w:t>
      </w:r>
    </w:p>
    <w:p w14:paraId="7D45D22B">
      <w:pPr>
        <w:pageBreakBefore w:val="0"/>
        <w:widowControl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bookmarkStart w:id="426" w:name="_Toc26807"/>
      <w:bookmarkStart w:id="427" w:name="_Toc30329"/>
      <w:bookmarkStart w:id="428" w:name="_Toc32454"/>
      <w:bookmarkStart w:id="429" w:name="_Toc18683"/>
      <w:bookmarkStart w:id="430" w:name="_Toc9497"/>
      <w:r>
        <w:rPr>
          <w:rFonts w:hint="eastAsia" w:ascii="仿宋" w:hAnsi="仿宋" w:eastAsia="仿宋" w:cs="仿宋"/>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2789027">
      <w:pPr>
        <w:pageBreakBefore w:val="0"/>
        <w:widowControl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39AFF18">
      <w:pPr>
        <w:pageBreakBefore w:val="0"/>
        <w:widowControl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77202C9D">
      <w:pPr>
        <w:pageBreakBefore w:val="0"/>
        <w:widowControl w:val="0"/>
        <w:kinsoku/>
        <w:wordWrap/>
        <w:overflowPunct/>
        <w:topLinePunct w:val="0"/>
        <w:autoSpaceDE/>
        <w:autoSpaceDN/>
        <w:bidi w:val="0"/>
        <w:snapToGrid/>
        <w:spacing w:line="420" w:lineRule="exact"/>
        <w:ind w:firstLine="480" w:firstLineChars="200"/>
        <w:textAlignment w:val="auto"/>
        <w:rPr>
          <w:rFonts w:ascii="仿宋" w:hAnsi="仿宋" w:eastAsia="仿宋" w:cs="仿宋"/>
          <w:highlight w:val="none"/>
        </w:rPr>
      </w:pPr>
      <w:r>
        <w:rPr>
          <w:rFonts w:hint="eastAsia" w:ascii="仿宋" w:hAnsi="仿宋" w:eastAsia="仿宋" w:cs="仿宋"/>
          <w:sz w:val="24"/>
          <w:highlight w:val="none"/>
        </w:rPr>
        <w:t>1.8.7违约责任</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另有约定的，从其约定。</w:t>
      </w:r>
    </w:p>
    <w:bookmarkEnd w:id="426"/>
    <w:bookmarkEnd w:id="427"/>
    <w:bookmarkEnd w:id="428"/>
    <w:bookmarkEnd w:id="429"/>
    <w:bookmarkEnd w:id="430"/>
    <w:p w14:paraId="527D9D64">
      <w:pPr>
        <w:pageBreakBefore w:val="0"/>
        <w:widowControl w:val="0"/>
        <w:kinsoku/>
        <w:wordWrap/>
        <w:overflowPunct/>
        <w:topLinePunct w:val="0"/>
        <w:autoSpaceDE/>
        <w:autoSpaceDN/>
        <w:bidi w:val="0"/>
        <w:snapToGrid/>
        <w:spacing w:line="420" w:lineRule="exact"/>
        <w:ind w:firstLine="482" w:firstLineChars="200"/>
        <w:textAlignment w:val="auto"/>
        <w:outlineLvl w:val="0"/>
        <w:rPr>
          <w:rFonts w:ascii="仿宋" w:hAnsi="仿宋" w:eastAsia="仿宋" w:cs="仿宋"/>
          <w:b/>
          <w:sz w:val="24"/>
          <w:highlight w:val="none"/>
        </w:rPr>
      </w:pPr>
      <w:r>
        <w:rPr>
          <w:rFonts w:hint="eastAsia" w:ascii="仿宋" w:hAnsi="仿宋" w:eastAsia="仿宋" w:cs="仿宋"/>
          <w:b/>
          <w:sz w:val="24"/>
          <w:highlight w:val="none"/>
        </w:rPr>
        <w:t>1.9合同争议的解决</w:t>
      </w:r>
    </w:p>
    <w:p w14:paraId="4113F914">
      <w:pPr>
        <w:pageBreakBefore w:val="0"/>
        <w:widowControl w:val="0"/>
        <w:kinsoku/>
        <w:wordWrap/>
        <w:overflowPunct/>
        <w:topLinePunct w:val="0"/>
        <w:autoSpaceDE/>
        <w:autoSpaceDN/>
        <w:bidi w:val="0"/>
        <w:snapToGrid/>
        <w:spacing w:line="420" w:lineRule="exact"/>
        <w:ind w:firstLine="240" w:firstLineChars="100"/>
        <w:textAlignment w:val="auto"/>
        <w:rPr>
          <w:rFonts w:ascii="仿宋" w:hAnsi="仿宋" w:eastAsia="仿宋" w:cs="仿宋"/>
          <w:sz w:val="24"/>
          <w:highlight w:val="none"/>
        </w:rPr>
      </w:pPr>
      <w:r>
        <w:rPr>
          <w:rFonts w:hint="eastAsia" w:ascii="仿宋" w:hAnsi="仿宋" w:eastAsia="仿宋" w:cs="仿宋"/>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highlight w:val="none"/>
          <w:u w:val="single"/>
        </w:rPr>
        <w:t xml:space="preserve">      </w:t>
      </w:r>
      <w:r>
        <w:rPr>
          <w:rFonts w:hint="eastAsia" w:ascii="仿宋" w:hAnsi="仿宋" w:eastAsia="仿宋" w:cs="仿宋"/>
          <w:sz w:val="24"/>
          <w:highlight w:val="none"/>
        </w:rPr>
        <w:t>条款规定的方式解决：</w:t>
      </w:r>
    </w:p>
    <w:p w14:paraId="51340965">
      <w:pPr>
        <w:pageBreakBefore w:val="0"/>
        <w:widowControl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1.9.1 将争议提交</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仲裁委员会依申请仲裁时其现行有效的仲裁规则裁决；</w:t>
      </w:r>
    </w:p>
    <w:p w14:paraId="53311342">
      <w:pPr>
        <w:pageBreakBefore w:val="0"/>
        <w:widowControl w:val="0"/>
        <w:kinsoku/>
        <w:wordWrap/>
        <w:overflowPunct/>
        <w:topLinePunct w:val="0"/>
        <w:autoSpaceDE/>
        <w:autoSpaceDN/>
        <w:bidi w:val="0"/>
        <w:snapToGrid/>
        <w:spacing w:line="42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1.9.2 向</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人民法院起诉。</w:t>
      </w:r>
    </w:p>
    <w:p w14:paraId="07F1138E">
      <w:pPr>
        <w:pageBreakBefore w:val="0"/>
        <w:widowControl w:val="0"/>
        <w:kinsoku/>
        <w:wordWrap/>
        <w:overflowPunct/>
        <w:topLinePunct w:val="0"/>
        <w:autoSpaceDE/>
        <w:autoSpaceDN/>
        <w:bidi w:val="0"/>
        <w:snapToGrid/>
        <w:spacing w:line="420" w:lineRule="exact"/>
        <w:ind w:firstLine="482" w:firstLineChars="200"/>
        <w:textAlignment w:val="auto"/>
        <w:outlineLvl w:val="0"/>
        <w:rPr>
          <w:rFonts w:ascii="仿宋" w:hAnsi="仿宋" w:eastAsia="仿宋" w:cs="仿宋"/>
          <w:b/>
          <w:sz w:val="24"/>
          <w:highlight w:val="none"/>
        </w:rPr>
      </w:pPr>
      <w:r>
        <w:rPr>
          <w:rFonts w:hint="eastAsia" w:ascii="仿宋" w:hAnsi="仿宋" w:eastAsia="仿宋" w:cs="仿宋"/>
          <w:b/>
          <w:sz w:val="24"/>
          <w:highlight w:val="none"/>
        </w:rPr>
        <w:t>2.0 合同生效</w:t>
      </w:r>
    </w:p>
    <w:p w14:paraId="0485174C">
      <w:pPr>
        <w:pageBreakBefore w:val="0"/>
        <w:widowControl w:val="0"/>
        <w:kinsoku/>
        <w:wordWrap/>
        <w:overflowPunct/>
        <w:topLinePunct w:val="0"/>
        <w:autoSpaceDE/>
        <w:autoSpaceDN/>
        <w:bidi w:val="0"/>
        <w:snapToGrid/>
        <w:spacing w:line="420" w:lineRule="exact"/>
        <w:ind w:firstLine="480" w:firstLineChars="200"/>
        <w:textAlignment w:val="auto"/>
        <w:rPr>
          <w:rFonts w:ascii="仿宋" w:hAnsi="仿宋" w:eastAsia="仿宋" w:cs="仿宋"/>
          <w:b/>
          <w:sz w:val="24"/>
          <w:highlight w:val="none"/>
        </w:rPr>
      </w:pPr>
      <w:r>
        <w:rPr>
          <w:rFonts w:hint="eastAsia" w:ascii="仿宋" w:hAnsi="仿宋" w:eastAsia="仿宋" w:cs="仿宋"/>
          <w:sz w:val="24"/>
          <w:highlight w:val="none"/>
        </w:rPr>
        <w:t>本合同自双方当事人盖章签字时生效。</w:t>
      </w:r>
    </w:p>
    <w:p w14:paraId="1BA0EBF8">
      <w:pPr>
        <w:autoSpaceDE w:val="0"/>
        <w:autoSpaceDN w:val="0"/>
        <w:spacing w:line="336" w:lineRule="auto"/>
        <w:rPr>
          <w:rFonts w:ascii="仿宋" w:hAnsi="仿宋" w:eastAsia="仿宋" w:cs="仿宋"/>
          <w:sz w:val="24"/>
          <w:highlight w:val="none"/>
          <w:lang w:val="zh-CN"/>
        </w:rPr>
      </w:pPr>
    </w:p>
    <w:p w14:paraId="5E5C8161">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ascii="仿宋" w:hAnsi="仿宋" w:eastAsia="仿宋" w:cs="仿宋"/>
          <w:sz w:val="24"/>
          <w:highlight w:val="none"/>
          <w:lang w:val="zh-CN"/>
        </w:rPr>
      </w:pPr>
      <w:r>
        <w:rPr>
          <w:rFonts w:hint="eastAsia" w:ascii="仿宋" w:hAnsi="仿宋" w:eastAsia="仿宋" w:cs="仿宋"/>
          <w:b/>
          <w:sz w:val="24"/>
          <w:highlight w:val="none"/>
          <w:lang w:val="zh-CN"/>
        </w:rPr>
        <w:t>甲方</w:t>
      </w:r>
      <w:r>
        <w:rPr>
          <w:rFonts w:hint="eastAsia" w:ascii="仿宋" w:hAnsi="仿宋" w:eastAsia="仿宋" w:cs="仿宋"/>
          <w:sz w:val="24"/>
          <w:highlight w:val="none"/>
          <w:lang w:val="zh-CN"/>
        </w:rPr>
        <w:t xml:space="preserve">：                             </w:t>
      </w:r>
      <w:r>
        <w:rPr>
          <w:rFonts w:hint="eastAsia" w:ascii="仿宋" w:hAnsi="仿宋" w:eastAsia="仿宋" w:cs="仿宋"/>
          <w:b/>
          <w:sz w:val="24"/>
          <w:highlight w:val="none"/>
          <w:lang w:val="zh-CN"/>
        </w:rPr>
        <w:t xml:space="preserve">      乙方</w:t>
      </w:r>
      <w:r>
        <w:rPr>
          <w:rFonts w:hint="eastAsia" w:ascii="仿宋" w:hAnsi="仿宋" w:eastAsia="仿宋" w:cs="仿宋"/>
          <w:sz w:val="24"/>
          <w:highlight w:val="none"/>
          <w:lang w:val="zh-CN"/>
        </w:rPr>
        <w:t>：</w:t>
      </w:r>
    </w:p>
    <w:p w14:paraId="51DA7072">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ascii="仿宋" w:hAnsi="仿宋" w:eastAsia="仿宋" w:cs="仿宋"/>
          <w:sz w:val="24"/>
          <w:highlight w:val="none"/>
          <w:lang w:val="zh-CN"/>
        </w:rPr>
      </w:pPr>
      <w:r>
        <w:rPr>
          <w:rFonts w:hint="eastAsia" w:ascii="仿宋" w:hAnsi="仿宋" w:eastAsia="仿宋" w:cs="仿宋"/>
          <w:sz w:val="24"/>
          <w:highlight w:val="none"/>
          <w:lang w:val="zh-CN"/>
        </w:rPr>
        <w:t>统一社会信用代码：                        统一社会信用代码或身份证号码：</w:t>
      </w:r>
    </w:p>
    <w:p w14:paraId="2F02A665">
      <w:pPr>
        <w:keepNext w:val="0"/>
        <w:keepLines w:val="0"/>
        <w:pageBreakBefore w:val="0"/>
        <w:widowControl w:val="0"/>
        <w:kinsoku/>
        <w:wordWrap/>
        <w:overflowPunct/>
        <w:topLinePunct w:val="0"/>
        <w:autoSpaceDE w:val="0"/>
        <w:autoSpaceDN w:val="0"/>
        <w:bidi w:val="0"/>
        <w:adjustRightInd w:val="0"/>
        <w:snapToGrid/>
        <w:spacing w:line="336" w:lineRule="auto"/>
        <w:ind w:firstLine="720" w:firstLineChars="300"/>
        <w:textAlignment w:val="auto"/>
        <w:rPr>
          <w:rFonts w:ascii="仿宋" w:hAnsi="仿宋" w:eastAsia="仿宋" w:cs="仿宋"/>
          <w:sz w:val="24"/>
          <w:highlight w:val="none"/>
          <w:lang w:val="zh-CN"/>
        </w:rPr>
      </w:pPr>
    </w:p>
    <w:p w14:paraId="4B0359FE">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ascii="仿宋" w:hAnsi="仿宋" w:eastAsia="仿宋" w:cs="仿宋"/>
          <w:sz w:val="24"/>
          <w:highlight w:val="none"/>
          <w:lang w:val="zh-CN"/>
        </w:rPr>
      </w:pPr>
      <w:r>
        <w:rPr>
          <w:rFonts w:hint="eastAsia" w:ascii="仿宋" w:hAnsi="仿宋" w:eastAsia="仿宋" w:cs="仿宋"/>
          <w:sz w:val="24"/>
          <w:highlight w:val="none"/>
          <w:lang w:val="zh-CN"/>
        </w:rPr>
        <w:t>住所：                                   住所：</w:t>
      </w:r>
    </w:p>
    <w:p w14:paraId="7149EB39">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ascii="仿宋" w:hAnsi="仿宋" w:eastAsia="仿宋" w:cs="仿宋"/>
          <w:sz w:val="24"/>
          <w:highlight w:val="none"/>
          <w:lang w:val="zh-CN"/>
        </w:rPr>
      </w:pPr>
      <w:r>
        <w:rPr>
          <w:rFonts w:hint="eastAsia" w:ascii="仿宋" w:hAnsi="仿宋" w:eastAsia="仿宋" w:cs="仿宋"/>
          <w:sz w:val="24"/>
          <w:highlight w:val="none"/>
          <w:lang w:val="zh-CN"/>
        </w:rPr>
        <w:t>法定代表人或                             法定代表人或</w:t>
      </w:r>
    </w:p>
    <w:p w14:paraId="188525FE">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ascii="仿宋" w:hAnsi="仿宋" w:eastAsia="仿宋" w:cs="仿宋"/>
          <w:sz w:val="24"/>
          <w:highlight w:val="none"/>
          <w:lang w:val="zh-CN"/>
        </w:rPr>
      </w:pPr>
      <w:r>
        <w:rPr>
          <w:rFonts w:hint="eastAsia" w:ascii="仿宋" w:hAnsi="仿宋" w:eastAsia="仿宋" w:cs="仿宋"/>
          <w:sz w:val="24"/>
          <w:highlight w:val="none"/>
          <w:lang w:val="zh-CN"/>
        </w:rPr>
        <w:t xml:space="preserve">授权代表（签字）：                       授权代表（签字）: </w:t>
      </w:r>
    </w:p>
    <w:p w14:paraId="59F165B4">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ascii="仿宋" w:hAnsi="仿宋" w:eastAsia="仿宋" w:cs="仿宋"/>
          <w:sz w:val="24"/>
          <w:highlight w:val="none"/>
          <w:lang w:val="zh-CN"/>
        </w:rPr>
      </w:pPr>
      <w:r>
        <w:rPr>
          <w:rFonts w:hint="eastAsia" w:ascii="仿宋" w:hAnsi="仿宋" w:eastAsia="仿宋" w:cs="仿宋"/>
          <w:sz w:val="24"/>
          <w:highlight w:val="none"/>
          <w:lang w:val="zh-CN"/>
        </w:rPr>
        <w:t>联系人：                                 联系人：</w:t>
      </w:r>
    </w:p>
    <w:p w14:paraId="3495A891">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ascii="仿宋" w:hAnsi="仿宋" w:eastAsia="仿宋" w:cs="仿宋"/>
          <w:sz w:val="24"/>
          <w:highlight w:val="none"/>
          <w:lang w:val="zh-CN"/>
        </w:rPr>
      </w:pPr>
      <w:r>
        <w:rPr>
          <w:rFonts w:hint="eastAsia" w:ascii="仿宋" w:hAnsi="仿宋" w:eastAsia="仿宋" w:cs="仿宋"/>
          <w:sz w:val="24"/>
          <w:highlight w:val="none"/>
          <w:lang w:val="zh-CN"/>
        </w:rPr>
        <w:t>约定送达地址：                           约定送达地址：</w:t>
      </w:r>
    </w:p>
    <w:p w14:paraId="7B9BF59E">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ascii="仿宋" w:hAnsi="仿宋" w:eastAsia="仿宋" w:cs="仿宋"/>
          <w:sz w:val="24"/>
          <w:highlight w:val="none"/>
          <w:lang w:val="zh-CN"/>
        </w:rPr>
      </w:pPr>
      <w:r>
        <w:rPr>
          <w:rFonts w:hint="eastAsia" w:ascii="仿宋" w:hAnsi="仿宋" w:eastAsia="仿宋" w:cs="仿宋"/>
          <w:sz w:val="24"/>
          <w:highlight w:val="none"/>
          <w:lang w:val="zh-CN"/>
        </w:rPr>
        <w:t>邮政编码：                               邮政编码：</w:t>
      </w:r>
    </w:p>
    <w:p w14:paraId="0DCC40B9">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ascii="仿宋" w:hAnsi="仿宋" w:eastAsia="仿宋" w:cs="仿宋"/>
          <w:sz w:val="24"/>
          <w:highlight w:val="none"/>
          <w:lang w:val="zh-CN"/>
        </w:rPr>
      </w:pPr>
      <w:r>
        <w:rPr>
          <w:rFonts w:hint="eastAsia" w:ascii="仿宋" w:hAnsi="仿宋" w:eastAsia="仿宋" w:cs="仿宋"/>
          <w:sz w:val="24"/>
          <w:highlight w:val="none"/>
          <w:lang w:val="zh-CN"/>
        </w:rPr>
        <w:t xml:space="preserve">电话:                                    电话: </w:t>
      </w:r>
    </w:p>
    <w:p w14:paraId="555D9968">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ascii="仿宋" w:hAnsi="仿宋" w:eastAsia="仿宋" w:cs="仿宋"/>
          <w:sz w:val="24"/>
          <w:highlight w:val="none"/>
          <w:lang w:val="zh-CN"/>
        </w:rPr>
      </w:pPr>
      <w:r>
        <w:rPr>
          <w:rFonts w:hint="eastAsia" w:ascii="仿宋" w:hAnsi="仿宋" w:eastAsia="仿宋" w:cs="仿宋"/>
          <w:sz w:val="24"/>
          <w:highlight w:val="none"/>
          <w:lang w:val="zh-CN"/>
        </w:rPr>
        <w:t>传真:                                    传真:</w:t>
      </w:r>
    </w:p>
    <w:p w14:paraId="10707F54">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ascii="仿宋" w:hAnsi="仿宋" w:eastAsia="仿宋" w:cs="仿宋"/>
          <w:sz w:val="24"/>
          <w:highlight w:val="none"/>
        </w:rPr>
      </w:pPr>
      <w:r>
        <w:rPr>
          <w:rFonts w:hint="eastAsia" w:ascii="仿宋" w:hAnsi="仿宋" w:eastAsia="仿宋" w:cs="仿宋"/>
          <w:sz w:val="24"/>
          <w:highlight w:val="none"/>
          <w:lang w:val="zh-CN"/>
        </w:rPr>
        <w:t>电子邮箱：                               电子邮箱：</w:t>
      </w:r>
    </w:p>
    <w:p w14:paraId="72595D05">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ascii="仿宋" w:hAnsi="仿宋" w:eastAsia="仿宋" w:cs="仿宋"/>
          <w:sz w:val="24"/>
          <w:highlight w:val="none"/>
        </w:rPr>
      </w:pPr>
      <w:r>
        <w:rPr>
          <w:rFonts w:hint="eastAsia" w:ascii="仿宋" w:hAnsi="仿宋" w:eastAsia="仿宋" w:cs="仿宋"/>
          <w:sz w:val="24"/>
          <w:highlight w:val="none"/>
        </w:rPr>
        <w:t xml:space="preserve">开户银行：                               开户银行： </w:t>
      </w:r>
    </w:p>
    <w:p w14:paraId="7BF433EE">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ascii="仿宋" w:hAnsi="仿宋" w:eastAsia="仿宋" w:cs="仿宋"/>
          <w:sz w:val="24"/>
          <w:highlight w:val="none"/>
        </w:rPr>
      </w:pPr>
      <w:r>
        <w:rPr>
          <w:rFonts w:hint="eastAsia" w:ascii="仿宋" w:hAnsi="仿宋" w:eastAsia="仿宋" w:cs="仿宋"/>
          <w:sz w:val="24"/>
          <w:highlight w:val="none"/>
        </w:rPr>
        <w:t xml:space="preserve">开户名称：                               开户名称： </w:t>
      </w:r>
    </w:p>
    <w:p w14:paraId="4FEAED33">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ascii="仿宋" w:hAnsi="仿宋" w:eastAsia="仿宋" w:cs="仿宋"/>
          <w:sz w:val="24"/>
          <w:highlight w:val="none"/>
        </w:rPr>
      </w:pPr>
      <w:r>
        <w:rPr>
          <w:rFonts w:hint="eastAsia" w:ascii="仿宋" w:hAnsi="仿宋" w:eastAsia="仿宋" w:cs="仿宋"/>
          <w:sz w:val="24"/>
          <w:highlight w:val="none"/>
        </w:rPr>
        <w:t>开户账号：</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开户账号：</w:t>
      </w:r>
    </w:p>
    <w:p w14:paraId="1D062AEB">
      <w:pPr>
        <w:widowControl/>
        <w:spacing w:line="336" w:lineRule="auto"/>
        <w:jc w:val="left"/>
        <w:rPr>
          <w:rFonts w:ascii="仿宋" w:hAnsi="仿宋" w:eastAsia="仿宋" w:cs="仿宋"/>
          <w:b/>
          <w:sz w:val="24"/>
          <w:highlight w:val="none"/>
        </w:rPr>
      </w:pPr>
    </w:p>
    <w:p w14:paraId="77F43015">
      <w:pPr>
        <w:widowControl/>
        <w:adjustRightInd/>
        <w:spacing w:line="336" w:lineRule="auto"/>
        <w:jc w:val="left"/>
        <w:rPr>
          <w:rFonts w:ascii="仿宋" w:hAnsi="仿宋" w:eastAsia="仿宋" w:cs="仿宋"/>
          <w:b/>
          <w:sz w:val="24"/>
          <w:highlight w:val="none"/>
        </w:rPr>
      </w:pPr>
      <w:r>
        <w:rPr>
          <w:rFonts w:hint="eastAsia" w:ascii="仿宋" w:hAnsi="仿宋" w:eastAsia="仿宋" w:cs="仿宋"/>
          <w:b/>
          <w:highlight w:val="none"/>
        </w:rPr>
        <w:br w:type="page"/>
      </w:r>
    </w:p>
    <w:p w14:paraId="63F5BAC0">
      <w:pPr>
        <w:pStyle w:val="710"/>
        <w:spacing w:after="0" w:line="336" w:lineRule="auto"/>
        <w:ind w:left="0" w:leftChars="0" w:firstLine="482"/>
        <w:jc w:val="center"/>
        <w:rPr>
          <w:rFonts w:ascii="仿宋" w:hAnsi="仿宋" w:eastAsia="仿宋" w:cs="仿宋"/>
          <w:b/>
          <w:szCs w:val="24"/>
          <w:highlight w:val="none"/>
        </w:rPr>
      </w:pPr>
      <w:r>
        <w:rPr>
          <w:rFonts w:hint="eastAsia" w:ascii="仿宋" w:hAnsi="仿宋" w:eastAsia="仿宋" w:cs="仿宋"/>
          <w:b/>
          <w:szCs w:val="24"/>
          <w:highlight w:val="none"/>
        </w:rPr>
        <w:t>第二部分 合同一般条款</w:t>
      </w:r>
    </w:p>
    <w:p w14:paraId="6E8996D5">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bookmarkStart w:id="431" w:name="_Toc14021"/>
      <w:bookmarkStart w:id="432" w:name="_Toc25079"/>
      <w:bookmarkStart w:id="433" w:name="_Toc5228"/>
      <w:bookmarkStart w:id="434" w:name="_Toc19680"/>
      <w:bookmarkStart w:id="435" w:name="_Toc31297"/>
      <w:r>
        <w:rPr>
          <w:rFonts w:hint="eastAsia" w:ascii="仿宋" w:hAnsi="仿宋" w:eastAsia="仿宋" w:cs="仿宋"/>
          <w:b/>
          <w:sz w:val="24"/>
          <w:highlight w:val="none"/>
        </w:rPr>
        <w:t>2.1 定义</w:t>
      </w:r>
      <w:bookmarkEnd w:id="431"/>
      <w:bookmarkEnd w:id="432"/>
      <w:bookmarkEnd w:id="433"/>
      <w:bookmarkEnd w:id="434"/>
      <w:bookmarkEnd w:id="435"/>
    </w:p>
    <w:p w14:paraId="7CC8B143">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本合同中的下列词语应按以下内容进行解释：</w:t>
      </w:r>
    </w:p>
    <w:p w14:paraId="6346C931">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2.1.1 “合同”系指采购人和中标或成交供应商签订的载明双方当事人所达成的协议，并包括所有的附件、附录和构成合同的其他文件。</w:t>
      </w:r>
    </w:p>
    <w:p w14:paraId="435BBDC7">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2.1.2 “合同价”系指根据合同约定，中标或成交供应商在完全履行合同义务后，采购人应支付给中标或成交供应商的价格。</w:t>
      </w:r>
    </w:p>
    <w:p w14:paraId="388A60F1">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2.1.3 “服务”系指中标或成交供应商根据合同约定应向采购人履行的除货物和工程以外的其他政府采购对象，包括采购人自身需要的服务和向社会公众提供的公共服务。</w:t>
      </w:r>
    </w:p>
    <w:p w14:paraId="16B50071">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2.1.4 “甲方”系指与中标或成交供应商签署合同的采购人；采购人委托采购代理机构代表其与乙方签订合同的，采购人的授权委托书作为合同附件。</w:t>
      </w:r>
    </w:p>
    <w:p w14:paraId="53A8119B">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3A6D751">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2.1.6 “现场”系指合同约定提供服务的地点。</w:t>
      </w:r>
    </w:p>
    <w:p w14:paraId="191EFCCB">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bookmarkStart w:id="436" w:name="_Toc16752"/>
      <w:bookmarkStart w:id="437" w:name="_Toc3769"/>
      <w:bookmarkStart w:id="438" w:name="_Toc31402"/>
      <w:bookmarkStart w:id="439" w:name="_Toc19539"/>
      <w:bookmarkStart w:id="440" w:name="_Toc23289"/>
      <w:r>
        <w:rPr>
          <w:rFonts w:hint="eastAsia" w:ascii="仿宋" w:hAnsi="仿宋" w:eastAsia="仿宋" w:cs="仿宋"/>
          <w:b/>
          <w:sz w:val="24"/>
          <w:highlight w:val="none"/>
        </w:rPr>
        <w:t>2.2 技术规范</w:t>
      </w:r>
      <w:bookmarkEnd w:id="436"/>
      <w:bookmarkEnd w:id="437"/>
      <w:bookmarkEnd w:id="438"/>
      <w:bookmarkEnd w:id="439"/>
      <w:bookmarkEnd w:id="440"/>
    </w:p>
    <w:p w14:paraId="658845E7">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BDEBF86">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bookmarkStart w:id="441" w:name="_Toc12412"/>
      <w:bookmarkStart w:id="442" w:name="_Toc4133"/>
      <w:bookmarkStart w:id="443" w:name="_Toc9161"/>
      <w:bookmarkStart w:id="444" w:name="_Toc13673"/>
      <w:bookmarkStart w:id="445" w:name="_Toc27945"/>
      <w:r>
        <w:rPr>
          <w:rFonts w:hint="eastAsia" w:ascii="仿宋" w:hAnsi="仿宋" w:eastAsia="仿宋" w:cs="仿宋"/>
          <w:b/>
          <w:sz w:val="24"/>
          <w:highlight w:val="none"/>
        </w:rPr>
        <w:t>2.3 知识产权</w:t>
      </w:r>
      <w:bookmarkEnd w:id="441"/>
      <w:bookmarkEnd w:id="442"/>
      <w:bookmarkEnd w:id="443"/>
      <w:bookmarkEnd w:id="444"/>
      <w:bookmarkEnd w:id="445"/>
    </w:p>
    <w:p w14:paraId="7F15C7FC">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2B9AA12">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2.3.2 合同涉及技术成果的归属和收益的分成办法的，详见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5AD81E3F">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rPr>
          <w:rFonts w:ascii="仿宋" w:hAnsi="仿宋" w:eastAsia="仿宋" w:cs="仿宋"/>
          <w:b/>
          <w:sz w:val="24"/>
          <w:highlight w:val="none"/>
        </w:rPr>
      </w:pPr>
      <w:r>
        <w:rPr>
          <w:rFonts w:hint="eastAsia" w:ascii="仿宋" w:hAnsi="仿宋" w:eastAsia="仿宋" w:cs="仿宋"/>
          <w:b/>
          <w:sz w:val="24"/>
          <w:highlight w:val="none"/>
        </w:rPr>
        <w:t>2.4 履约检查和问题反馈</w:t>
      </w:r>
    </w:p>
    <w:p w14:paraId="36C45176">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D72E7FF">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2.4.2 合同履行期间，甲方有权将履行过程中出现的问题反馈给乙方，双方当事人应以书面形式约定需要完善和改进的内容。</w:t>
      </w:r>
    </w:p>
    <w:p w14:paraId="612CD0FC">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bookmarkStart w:id="446" w:name="_Toc26555"/>
      <w:bookmarkStart w:id="447" w:name="_Toc15447"/>
      <w:bookmarkStart w:id="448" w:name="_Toc32670"/>
      <w:bookmarkStart w:id="449" w:name="_Toc31233"/>
      <w:bookmarkStart w:id="450" w:name="_Toc22011"/>
      <w:r>
        <w:rPr>
          <w:rFonts w:hint="eastAsia" w:ascii="仿宋" w:hAnsi="仿宋" w:eastAsia="仿宋" w:cs="仿宋"/>
          <w:b/>
          <w:sz w:val="24"/>
          <w:highlight w:val="none"/>
        </w:rPr>
        <w:t>2.5 结算方式和付款条件</w:t>
      </w:r>
      <w:bookmarkEnd w:id="446"/>
      <w:bookmarkEnd w:id="447"/>
      <w:bookmarkEnd w:id="448"/>
      <w:bookmarkEnd w:id="449"/>
      <w:bookmarkEnd w:id="450"/>
    </w:p>
    <w:p w14:paraId="69C30E6D">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18AACC6C">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bookmarkStart w:id="451" w:name="_Toc18990"/>
      <w:bookmarkStart w:id="452" w:name="_Toc30507"/>
      <w:bookmarkStart w:id="453" w:name="_Toc16163"/>
      <w:bookmarkStart w:id="454" w:name="_Toc13154"/>
      <w:bookmarkStart w:id="455" w:name="_Toc13467"/>
      <w:r>
        <w:rPr>
          <w:rFonts w:hint="eastAsia" w:ascii="仿宋" w:hAnsi="仿宋" w:eastAsia="仿宋" w:cs="仿宋"/>
          <w:b/>
          <w:sz w:val="24"/>
          <w:highlight w:val="none"/>
        </w:rPr>
        <w:t>2.6 技术资料和保密义务</w:t>
      </w:r>
      <w:bookmarkEnd w:id="451"/>
      <w:bookmarkEnd w:id="452"/>
      <w:bookmarkEnd w:id="453"/>
      <w:bookmarkEnd w:id="454"/>
      <w:bookmarkEnd w:id="455"/>
    </w:p>
    <w:p w14:paraId="39FD1E21">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2.6.1 乙方有权依据合同约定和项目需要，向甲方了解有关情况，调阅有关资料等，甲方应予积极配合；</w:t>
      </w:r>
    </w:p>
    <w:p w14:paraId="4816A891">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2.6.2 乙方有义务妥善保管和保护由甲方提供的前款信息和资料等；</w:t>
      </w:r>
    </w:p>
    <w:p w14:paraId="2D6E4C5C">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0F39956">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bookmarkStart w:id="456" w:name="_Toc19069"/>
      <w:r>
        <w:rPr>
          <w:rFonts w:hint="eastAsia" w:ascii="仿宋" w:hAnsi="仿宋" w:eastAsia="仿宋" w:cs="仿宋"/>
          <w:b/>
          <w:sz w:val="24"/>
          <w:highlight w:val="none"/>
        </w:rPr>
        <w:t>2.7 质量保证</w:t>
      </w:r>
      <w:bookmarkEnd w:id="456"/>
    </w:p>
    <w:p w14:paraId="50D090F5">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2.7.1 乙方应建立和完善履行合同的内部质量保证体系，并提供相关内部规章制度给甲方，以便甲方进行监督检查；</w:t>
      </w:r>
    </w:p>
    <w:p w14:paraId="60A84D99">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2.7.2 乙方应保证履行合同的人员数量和素质、软件和硬件设备的配置、场地、环境和设施等满足全面履行合同的要求，并应接受甲方的监督检查。</w:t>
      </w:r>
    </w:p>
    <w:p w14:paraId="1F4AE2B5">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bookmarkStart w:id="457" w:name="_Toc22267"/>
      <w:r>
        <w:rPr>
          <w:rFonts w:hint="eastAsia" w:ascii="仿宋" w:hAnsi="仿宋" w:eastAsia="仿宋" w:cs="仿宋"/>
          <w:b/>
          <w:sz w:val="24"/>
          <w:highlight w:val="none"/>
        </w:rPr>
        <w:t>2.8 延迟履行</w:t>
      </w:r>
      <w:bookmarkEnd w:id="457"/>
    </w:p>
    <w:p w14:paraId="5216D458">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757296C">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bookmarkStart w:id="458" w:name="_Toc10611"/>
      <w:r>
        <w:rPr>
          <w:rFonts w:hint="eastAsia" w:ascii="仿宋" w:hAnsi="仿宋" w:eastAsia="仿宋" w:cs="仿宋"/>
          <w:b/>
          <w:sz w:val="24"/>
          <w:highlight w:val="none"/>
        </w:rPr>
        <w:t>2.9 合同变更</w:t>
      </w:r>
      <w:bookmarkEnd w:id="458"/>
    </w:p>
    <w:p w14:paraId="075D237B">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合同继续履行将损害国家利益和社会公共利益的，双方当事人应当以书面形式变更合同。有过错的一方应当承担赔偿责任，双方当事人都有过错的，各自承担相应的责任。</w:t>
      </w:r>
    </w:p>
    <w:p w14:paraId="6D7864EC">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bookmarkStart w:id="459" w:name="_Toc26689"/>
      <w:bookmarkStart w:id="460" w:name="_Toc10663"/>
      <w:bookmarkStart w:id="461" w:name="_Toc23368"/>
      <w:bookmarkStart w:id="462" w:name="_Toc42"/>
      <w:bookmarkStart w:id="463" w:name="_Toc21830"/>
      <w:r>
        <w:rPr>
          <w:rFonts w:hint="eastAsia" w:ascii="仿宋" w:hAnsi="仿宋" w:eastAsia="仿宋" w:cs="仿宋"/>
          <w:b/>
          <w:sz w:val="24"/>
          <w:highlight w:val="none"/>
        </w:rPr>
        <w:t>2.10 合同转让和分包</w:t>
      </w:r>
      <w:bookmarkEnd w:id="459"/>
      <w:bookmarkEnd w:id="460"/>
      <w:bookmarkEnd w:id="461"/>
      <w:bookmarkEnd w:id="462"/>
      <w:bookmarkEnd w:id="463"/>
    </w:p>
    <w:p w14:paraId="6727149C">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7E2CBBB">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bookmarkStart w:id="464" w:name="_Toc4720"/>
      <w:bookmarkStart w:id="465" w:name="_Toc32494"/>
      <w:bookmarkStart w:id="466" w:name="_Toc25571"/>
      <w:bookmarkStart w:id="467" w:name="_Toc26633"/>
      <w:bookmarkStart w:id="468" w:name="_Toc14371"/>
      <w:r>
        <w:rPr>
          <w:rFonts w:hint="eastAsia" w:ascii="仿宋" w:hAnsi="仿宋" w:eastAsia="仿宋" w:cs="仿宋"/>
          <w:b/>
          <w:sz w:val="24"/>
          <w:highlight w:val="none"/>
        </w:rPr>
        <w:t>2.11 不可抗力</w:t>
      </w:r>
      <w:bookmarkEnd w:id="464"/>
      <w:bookmarkEnd w:id="465"/>
      <w:bookmarkEnd w:id="466"/>
      <w:bookmarkEnd w:id="467"/>
      <w:bookmarkEnd w:id="468"/>
    </w:p>
    <w:p w14:paraId="7310AFE4">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2.11.1如果任何一方遭遇法律规定的不可抗力，致使合同履行受阻时，履行合同的期限应予延长，延长的期限应相当于不可抗力所影响的时间；</w:t>
      </w:r>
    </w:p>
    <w:p w14:paraId="0B5F5EBF">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2.11.2 因不可抗力致使不能实现合同目的的，当事人可以解除合同；</w:t>
      </w:r>
    </w:p>
    <w:p w14:paraId="696E4D98">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2.11.3 因不可抗力致使合同有变更必要的，双方当事人应在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约定时间内以书面形式变更合同；</w:t>
      </w:r>
    </w:p>
    <w:p w14:paraId="1F981C08">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2.11.4受不可抗力影响的一方在不可抗力发生后，应在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约定时间内以书面形式通知对方当事人，并在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约定时间内，将有关部门出具的证明文件送达对方当事人。</w:t>
      </w:r>
    </w:p>
    <w:p w14:paraId="0DBB69AA">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bookmarkStart w:id="469" w:name="_Toc25783"/>
      <w:bookmarkStart w:id="470" w:name="_Toc14115"/>
      <w:bookmarkStart w:id="471" w:name="_Toc3638"/>
      <w:bookmarkStart w:id="472" w:name="_Toc24465"/>
      <w:bookmarkStart w:id="473" w:name="_Toc23854"/>
      <w:r>
        <w:rPr>
          <w:rFonts w:hint="eastAsia" w:ascii="仿宋" w:hAnsi="仿宋" w:eastAsia="仿宋" w:cs="仿宋"/>
          <w:b/>
          <w:sz w:val="24"/>
          <w:highlight w:val="none"/>
        </w:rPr>
        <w:t>2.12 税费</w:t>
      </w:r>
      <w:bookmarkEnd w:id="469"/>
      <w:bookmarkEnd w:id="470"/>
      <w:bookmarkEnd w:id="471"/>
      <w:bookmarkEnd w:id="472"/>
      <w:bookmarkEnd w:id="473"/>
    </w:p>
    <w:p w14:paraId="1DB4DCFF">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与合同有关的一切税费，均按照中华人民共和国法律的相关规定缴纳。</w:t>
      </w:r>
    </w:p>
    <w:p w14:paraId="4A6A4550">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bookmarkStart w:id="474" w:name="_Toc7315"/>
      <w:bookmarkStart w:id="475" w:name="_Toc26883"/>
      <w:bookmarkStart w:id="476" w:name="_Toc30105"/>
      <w:bookmarkStart w:id="477" w:name="_Toc14814"/>
      <w:bookmarkStart w:id="478" w:name="_Toc25525"/>
      <w:r>
        <w:rPr>
          <w:rFonts w:hint="eastAsia" w:ascii="仿宋" w:hAnsi="仿宋" w:eastAsia="仿宋" w:cs="仿宋"/>
          <w:b/>
          <w:sz w:val="24"/>
          <w:highlight w:val="none"/>
        </w:rPr>
        <w:t>2.13 乙方破产</w:t>
      </w:r>
      <w:bookmarkEnd w:id="474"/>
      <w:bookmarkEnd w:id="475"/>
      <w:bookmarkEnd w:id="476"/>
      <w:bookmarkEnd w:id="477"/>
      <w:bookmarkEnd w:id="478"/>
    </w:p>
    <w:p w14:paraId="7FEF9C5B">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79AC8FB">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bookmarkStart w:id="479" w:name="_Toc1123"/>
      <w:bookmarkStart w:id="480" w:name="_Toc23323"/>
      <w:bookmarkStart w:id="481" w:name="_Toc2016"/>
      <w:r>
        <w:rPr>
          <w:rFonts w:hint="eastAsia" w:ascii="仿宋" w:hAnsi="仿宋" w:eastAsia="仿宋" w:cs="仿宋"/>
          <w:b/>
          <w:sz w:val="24"/>
          <w:highlight w:val="none"/>
        </w:rPr>
        <w:t>2.14 合同中止、终止</w:t>
      </w:r>
      <w:bookmarkEnd w:id="479"/>
      <w:bookmarkEnd w:id="480"/>
      <w:bookmarkEnd w:id="481"/>
    </w:p>
    <w:p w14:paraId="3BC41019">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2.14.1 双方当事人不得擅自中止或者终止合同；</w:t>
      </w:r>
    </w:p>
    <w:p w14:paraId="7DEE8F3B">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2.14.2合同继续履行将损害国家利益和社会公共利益的，双方当事人应当中止或者终止合同。有过错的一方应当承担赔偿责任，双方当事人都有过错的，各自承担相应的责任。</w:t>
      </w:r>
    </w:p>
    <w:p w14:paraId="1EB582B2">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bookmarkStart w:id="482" w:name="_Toc14525"/>
      <w:bookmarkStart w:id="483" w:name="_Toc1969"/>
      <w:bookmarkStart w:id="484" w:name="_Toc17363"/>
      <w:r>
        <w:rPr>
          <w:rFonts w:hint="eastAsia" w:ascii="仿宋" w:hAnsi="仿宋" w:eastAsia="仿宋" w:cs="仿宋"/>
          <w:b/>
          <w:sz w:val="24"/>
          <w:highlight w:val="none"/>
        </w:rPr>
        <w:t>2.15 检验和验收</w:t>
      </w:r>
      <w:bookmarkEnd w:id="482"/>
      <w:bookmarkEnd w:id="483"/>
      <w:bookmarkEnd w:id="484"/>
    </w:p>
    <w:p w14:paraId="1C32B485">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2.15.1 乙方按照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的约定，定期提交服务报告，甲方按照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的约定进行定期验收；</w:t>
      </w:r>
    </w:p>
    <w:p w14:paraId="234343B5">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A0F1A70">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2.15.3 检验和验收标准、程序等具体内容以及前述验收书的效力详见</w:t>
      </w:r>
      <w:r>
        <w:rPr>
          <w:rFonts w:hint="eastAsia" w:ascii="仿宋" w:hAnsi="仿宋" w:eastAsia="仿宋" w:cs="仿宋"/>
          <w:b/>
          <w:i/>
          <w:sz w:val="24"/>
          <w:highlight w:val="none"/>
          <w:u w:val="single"/>
        </w:rPr>
        <w:t>合同专用条款</w:t>
      </w:r>
      <w:r>
        <w:rPr>
          <w:rFonts w:hint="eastAsia" w:ascii="仿宋" w:hAnsi="仿宋" w:eastAsia="仿宋" w:cs="仿宋"/>
          <w:i/>
          <w:sz w:val="24"/>
          <w:highlight w:val="none"/>
        </w:rPr>
        <w:t>。</w:t>
      </w:r>
    </w:p>
    <w:p w14:paraId="01AFC4B1">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bookmarkStart w:id="485" w:name="_Toc25198"/>
      <w:bookmarkStart w:id="486" w:name="_Toc31892"/>
      <w:bookmarkStart w:id="487" w:name="_Toc2308"/>
      <w:bookmarkStart w:id="488" w:name="_Toc12666"/>
      <w:bookmarkStart w:id="489" w:name="_Toc9808"/>
      <w:r>
        <w:rPr>
          <w:rFonts w:hint="eastAsia" w:ascii="仿宋" w:hAnsi="仿宋" w:eastAsia="仿宋" w:cs="仿宋"/>
          <w:b/>
          <w:sz w:val="24"/>
          <w:highlight w:val="none"/>
        </w:rPr>
        <w:t>2.16 通知和送达</w:t>
      </w:r>
      <w:bookmarkEnd w:id="485"/>
      <w:bookmarkEnd w:id="486"/>
      <w:bookmarkEnd w:id="487"/>
      <w:bookmarkEnd w:id="488"/>
      <w:bookmarkEnd w:id="489"/>
    </w:p>
    <w:p w14:paraId="3F17E0E3">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bookmarkStart w:id="490" w:name="_Toc18401"/>
      <w:bookmarkStart w:id="491" w:name="_Toc27674"/>
      <w:r>
        <w:rPr>
          <w:rFonts w:hint="eastAsia" w:ascii="仿宋" w:hAnsi="仿宋" w:eastAsia="仿宋" w:cs="仿宋"/>
          <w:sz w:val="24"/>
          <w:highlight w:val="none"/>
        </w:rPr>
        <w:t xml:space="preserve">2.17.1任何一方因履行合同而以合同第一部分尾部所列明的传真或电子邮件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发出的所有通知、文件、材料，均视为已向对方当事人送达；任何一方变更上述送达方式或者地址的，应于</w:t>
      </w:r>
      <w:r>
        <w:rPr>
          <w:rFonts w:hint="eastAsia" w:ascii="仿宋" w:hAnsi="仿宋" w:eastAsia="仿宋" w:cs="仿宋"/>
          <w:sz w:val="24"/>
          <w:highlight w:val="none"/>
          <w:u w:val="single"/>
        </w:rPr>
        <w:t>3</w:t>
      </w:r>
      <w:r>
        <w:rPr>
          <w:rFonts w:hint="eastAsia" w:ascii="仿宋" w:hAnsi="仿宋" w:eastAsia="仿宋" w:cs="仿宋"/>
          <w:sz w:val="24"/>
          <w:highlight w:val="none"/>
        </w:rPr>
        <w:t>个工作日内书面通知对方当事人，在对方当事人收到有关变更通知之前，变更前的约定送达方式或者地址仍视为有效。</w:t>
      </w:r>
    </w:p>
    <w:p w14:paraId="7E306366">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0"/>
      <w:bookmarkEnd w:id="491"/>
    </w:p>
    <w:p w14:paraId="105BAB1F">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bookmarkStart w:id="492" w:name="_Toc28906"/>
      <w:bookmarkStart w:id="493" w:name="_Toc5063"/>
      <w:bookmarkStart w:id="494" w:name="_Toc20808"/>
      <w:bookmarkStart w:id="495" w:name="_Toc27644"/>
      <w:bookmarkStart w:id="496" w:name="_Toc12254"/>
      <w:r>
        <w:rPr>
          <w:rFonts w:hint="eastAsia" w:ascii="仿宋" w:hAnsi="仿宋" w:eastAsia="仿宋" w:cs="仿宋"/>
          <w:b/>
          <w:sz w:val="24"/>
          <w:highlight w:val="none"/>
        </w:rPr>
        <w:t>2.17 合同使用的文字和适用的法律</w:t>
      </w:r>
      <w:bookmarkEnd w:id="492"/>
      <w:bookmarkEnd w:id="493"/>
      <w:bookmarkEnd w:id="494"/>
      <w:bookmarkEnd w:id="495"/>
      <w:bookmarkEnd w:id="496"/>
    </w:p>
    <w:p w14:paraId="59183719">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2.17.1 合同使用汉语书就、变更和解释；</w:t>
      </w:r>
    </w:p>
    <w:p w14:paraId="092F9749">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2.17.2 合同适用中华人民共和国法律。</w:t>
      </w:r>
    </w:p>
    <w:p w14:paraId="708D601C">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ascii="仿宋" w:hAnsi="仿宋" w:eastAsia="仿宋" w:cs="仿宋"/>
          <w:b/>
          <w:sz w:val="24"/>
          <w:highlight w:val="none"/>
        </w:rPr>
      </w:pPr>
      <w:r>
        <w:rPr>
          <w:rFonts w:hint="eastAsia" w:ascii="仿宋" w:hAnsi="仿宋" w:eastAsia="仿宋" w:cs="仿宋"/>
          <w:b/>
          <w:sz w:val="24"/>
          <w:highlight w:val="none"/>
        </w:rPr>
        <w:t>2.18 计量单位</w:t>
      </w:r>
    </w:p>
    <w:p w14:paraId="2307488B">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除技术规范中另有规定外,合同的计量单位均使用国家法定计量单位。</w:t>
      </w:r>
    </w:p>
    <w:p w14:paraId="6003B895">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outlineLvl w:val="0"/>
        <w:rPr>
          <w:rFonts w:hint="eastAsia" w:ascii="仿宋" w:hAnsi="仿宋" w:eastAsia="仿宋" w:cs="仿宋"/>
          <w:b/>
          <w:sz w:val="24"/>
          <w:highlight w:val="none"/>
        </w:rPr>
      </w:pPr>
      <w:bookmarkStart w:id="497" w:name="_Toc10330"/>
      <w:bookmarkStart w:id="498" w:name="_Toc279701263"/>
      <w:bookmarkStart w:id="499" w:name="_Toc18567"/>
      <w:bookmarkStart w:id="500" w:name="_Toc259093692"/>
      <w:bookmarkStart w:id="501" w:name="_Toc487900373"/>
      <w:bookmarkStart w:id="502" w:name="_Toc12773"/>
      <w:r>
        <w:rPr>
          <w:rFonts w:hint="eastAsia" w:ascii="仿宋" w:hAnsi="仿宋" w:eastAsia="仿宋" w:cs="仿宋"/>
          <w:b/>
          <w:sz w:val="24"/>
          <w:highlight w:val="none"/>
        </w:rPr>
        <w:t>2.19 合同使用的文字和适用的法律</w:t>
      </w:r>
      <w:bookmarkEnd w:id="497"/>
      <w:bookmarkEnd w:id="498"/>
      <w:bookmarkEnd w:id="499"/>
      <w:bookmarkEnd w:id="500"/>
      <w:bookmarkEnd w:id="501"/>
      <w:bookmarkEnd w:id="502"/>
    </w:p>
    <w:p w14:paraId="4959D307">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2.19.1 合同使用汉语书就、变更和解释；</w:t>
      </w:r>
    </w:p>
    <w:p w14:paraId="17CF7552">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2.19.2 合同适用中华人民共和国法律。</w:t>
      </w:r>
    </w:p>
    <w:p w14:paraId="2AC8D753">
      <w:pPr>
        <w:keepNext w:val="0"/>
        <w:keepLines w:val="0"/>
        <w:pageBreakBefore w:val="0"/>
        <w:widowControl w:val="0"/>
        <w:kinsoku/>
        <w:wordWrap/>
        <w:overflowPunct/>
        <w:topLinePunct w:val="0"/>
        <w:autoSpaceDE/>
        <w:autoSpaceDN/>
        <w:bidi w:val="0"/>
        <w:adjustRightInd w:val="0"/>
        <w:snapToGrid/>
        <w:spacing w:line="400" w:lineRule="exact"/>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2.</w:t>
      </w:r>
      <w:r>
        <w:rPr>
          <w:rFonts w:hint="eastAsia" w:ascii="仿宋" w:hAnsi="仿宋" w:eastAsia="仿宋" w:cs="仿宋"/>
          <w:b/>
          <w:sz w:val="24"/>
          <w:highlight w:val="none"/>
          <w:lang w:val="en-US" w:eastAsia="zh-CN"/>
        </w:rPr>
        <w:t>20</w:t>
      </w:r>
      <w:r>
        <w:rPr>
          <w:rFonts w:hint="eastAsia" w:ascii="仿宋" w:hAnsi="仿宋" w:eastAsia="仿宋" w:cs="仿宋"/>
          <w:b/>
          <w:sz w:val="24"/>
          <w:highlight w:val="none"/>
        </w:rPr>
        <w:t>合同份数</w:t>
      </w:r>
    </w:p>
    <w:p w14:paraId="27D8C506">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合同份数按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规定，每份均具有同等法律效力。</w:t>
      </w:r>
    </w:p>
    <w:p w14:paraId="7C3B329A">
      <w:pPr>
        <w:spacing w:line="336" w:lineRule="auto"/>
        <w:ind w:firstLine="480" w:firstLineChars="200"/>
        <w:jc w:val="center"/>
        <w:outlineLvl w:val="0"/>
        <w:rPr>
          <w:rFonts w:hint="eastAsia" w:ascii="仿宋_GB2312" w:hAnsi="仿宋" w:eastAsia="仿宋_GB2312" w:cs="Times New Roman"/>
          <w:b/>
          <w:kern w:val="2"/>
          <w:sz w:val="24"/>
          <w:szCs w:val="24"/>
          <w:highlight w:val="none"/>
          <w:lang w:val="en-US" w:eastAsia="zh-CN" w:bidi="ar-SA"/>
        </w:rPr>
      </w:pPr>
      <w:r>
        <w:rPr>
          <w:rFonts w:hint="eastAsia" w:ascii="仿宋" w:hAnsi="仿宋" w:eastAsia="仿宋" w:cs="仿宋"/>
          <w:sz w:val="24"/>
          <w:highlight w:val="none"/>
        </w:rPr>
        <w:br w:type="page"/>
      </w:r>
      <w:r>
        <w:rPr>
          <w:rFonts w:hint="eastAsia" w:ascii="仿宋" w:hAnsi="仿宋" w:eastAsia="仿宋" w:cs="仿宋"/>
          <w:b/>
          <w:sz w:val="24"/>
          <w:highlight w:val="none"/>
        </w:rPr>
        <w:t xml:space="preserve"> </w:t>
      </w:r>
      <w:r>
        <w:rPr>
          <w:rFonts w:hint="eastAsia" w:ascii="仿宋_GB2312" w:hAnsi="仿宋" w:eastAsia="仿宋_GB2312" w:cs="Times New Roman"/>
          <w:b/>
          <w:kern w:val="2"/>
          <w:sz w:val="24"/>
          <w:szCs w:val="24"/>
          <w:highlight w:val="none"/>
          <w:lang w:val="en-US" w:eastAsia="zh-CN" w:bidi="ar-SA"/>
        </w:rPr>
        <w:t>第三部分  合同专用条款</w:t>
      </w:r>
    </w:p>
    <w:p w14:paraId="1EFDFFE4">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ascii="仿宋" w:hAnsi="仿宋" w:eastAsia="仿宋" w:cs="仿宋"/>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90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5"/>
        <w:gridCol w:w="8049"/>
      </w:tblGrid>
      <w:tr w14:paraId="5008A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965" w:type="dxa"/>
            <w:tcBorders>
              <w:left w:val="single" w:color="auto" w:sz="4" w:space="0"/>
            </w:tcBorders>
            <w:vAlign w:val="center"/>
          </w:tcPr>
          <w:p w14:paraId="2D3B924E">
            <w:pPr>
              <w:spacing w:line="336" w:lineRule="auto"/>
              <w:jc w:val="center"/>
              <w:rPr>
                <w:rFonts w:ascii="仿宋" w:hAnsi="仿宋" w:eastAsia="仿宋" w:cs="仿宋"/>
                <w:b/>
                <w:sz w:val="24"/>
                <w:highlight w:val="none"/>
              </w:rPr>
            </w:pPr>
            <w:r>
              <w:rPr>
                <w:rFonts w:hint="eastAsia" w:ascii="仿宋" w:hAnsi="仿宋" w:eastAsia="仿宋" w:cs="仿宋"/>
                <w:b/>
                <w:sz w:val="24"/>
                <w:highlight w:val="none"/>
              </w:rPr>
              <w:t>条款号</w:t>
            </w:r>
          </w:p>
        </w:tc>
        <w:tc>
          <w:tcPr>
            <w:tcW w:w="8049" w:type="dxa"/>
            <w:vAlign w:val="center"/>
          </w:tcPr>
          <w:p w14:paraId="38A07C65">
            <w:pPr>
              <w:spacing w:line="336" w:lineRule="auto"/>
              <w:jc w:val="center"/>
              <w:rPr>
                <w:rFonts w:ascii="仿宋" w:hAnsi="仿宋" w:eastAsia="仿宋" w:cs="仿宋"/>
                <w:b/>
                <w:sz w:val="24"/>
                <w:highlight w:val="none"/>
              </w:rPr>
            </w:pPr>
            <w:r>
              <w:rPr>
                <w:rFonts w:hint="eastAsia" w:ascii="仿宋" w:hAnsi="仿宋" w:eastAsia="仿宋" w:cs="仿宋"/>
                <w:b/>
                <w:sz w:val="24"/>
                <w:highlight w:val="none"/>
              </w:rPr>
              <w:t>约定内容</w:t>
            </w:r>
          </w:p>
        </w:tc>
      </w:tr>
      <w:tr w14:paraId="06C16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692D0E82">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1.3.2</w:t>
            </w:r>
          </w:p>
        </w:tc>
        <w:tc>
          <w:tcPr>
            <w:tcW w:w="8049" w:type="dxa"/>
            <w:vAlign w:val="center"/>
          </w:tcPr>
          <w:p w14:paraId="45B7E613">
            <w:pPr>
              <w:spacing w:line="336" w:lineRule="auto"/>
              <w:jc w:val="center"/>
              <w:rPr>
                <w:rFonts w:ascii="仿宋" w:hAnsi="仿宋" w:eastAsia="仿宋" w:cs="仿宋"/>
                <w:sz w:val="24"/>
                <w:highlight w:val="none"/>
              </w:rPr>
            </w:pPr>
          </w:p>
        </w:tc>
      </w:tr>
      <w:tr w14:paraId="6D9FA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21F7AFC4">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1.4.2</w:t>
            </w:r>
          </w:p>
        </w:tc>
        <w:tc>
          <w:tcPr>
            <w:tcW w:w="8049" w:type="dxa"/>
            <w:vAlign w:val="center"/>
          </w:tcPr>
          <w:p w14:paraId="6396FD8C">
            <w:pPr>
              <w:spacing w:line="336" w:lineRule="auto"/>
              <w:jc w:val="center"/>
              <w:rPr>
                <w:rFonts w:ascii="仿宋" w:hAnsi="仿宋" w:eastAsia="仿宋" w:cs="仿宋"/>
                <w:sz w:val="24"/>
                <w:highlight w:val="none"/>
              </w:rPr>
            </w:pPr>
          </w:p>
        </w:tc>
      </w:tr>
      <w:tr w14:paraId="7FE3E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237ABDEE">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1.5.1</w:t>
            </w:r>
          </w:p>
        </w:tc>
        <w:tc>
          <w:tcPr>
            <w:tcW w:w="8049" w:type="dxa"/>
            <w:vAlign w:val="center"/>
          </w:tcPr>
          <w:p w14:paraId="70C90E2A">
            <w:pPr>
              <w:spacing w:line="336" w:lineRule="auto"/>
              <w:jc w:val="center"/>
              <w:rPr>
                <w:rFonts w:ascii="仿宋" w:hAnsi="仿宋" w:eastAsia="仿宋" w:cs="仿宋"/>
                <w:sz w:val="24"/>
                <w:highlight w:val="none"/>
              </w:rPr>
            </w:pPr>
          </w:p>
        </w:tc>
      </w:tr>
      <w:tr w14:paraId="7EABB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7B16B2DE">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1.5.2</w:t>
            </w:r>
          </w:p>
        </w:tc>
        <w:tc>
          <w:tcPr>
            <w:tcW w:w="8049" w:type="dxa"/>
            <w:vAlign w:val="center"/>
          </w:tcPr>
          <w:p w14:paraId="05877375">
            <w:pPr>
              <w:spacing w:line="336" w:lineRule="auto"/>
              <w:jc w:val="center"/>
              <w:rPr>
                <w:rFonts w:ascii="仿宋" w:hAnsi="仿宋" w:eastAsia="仿宋" w:cs="仿宋"/>
                <w:sz w:val="24"/>
                <w:highlight w:val="none"/>
              </w:rPr>
            </w:pPr>
          </w:p>
        </w:tc>
      </w:tr>
      <w:tr w14:paraId="1D577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430064D1">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1.5.3</w:t>
            </w:r>
          </w:p>
        </w:tc>
        <w:tc>
          <w:tcPr>
            <w:tcW w:w="8049" w:type="dxa"/>
            <w:vAlign w:val="center"/>
          </w:tcPr>
          <w:p w14:paraId="2A889CBA">
            <w:pPr>
              <w:spacing w:line="336" w:lineRule="auto"/>
              <w:jc w:val="center"/>
              <w:rPr>
                <w:rFonts w:ascii="仿宋" w:hAnsi="仿宋" w:eastAsia="仿宋" w:cs="仿宋"/>
                <w:sz w:val="24"/>
                <w:highlight w:val="none"/>
              </w:rPr>
            </w:pPr>
          </w:p>
        </w:tc>
      </w:tr>
      <w:tr w14:paraId="22906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1982AE9F">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1.6.2</w:t>
            </w:r>
          </w:p>
        </w:tc>
        <w:tc>
          <w:tcPr>
            <w:tcW w:w="8049" w:type="dxa"/>
            <w:vAlign w:val="center"/>
          </w:tcPr>
          <w:p w14:paraId="6B081918">
            <w:pPr>
              <w:spacing w:line="336" w:lineRule="auto"/>
              <w:jc w:val="center"/>
              <w:rPr>
                <w:rFonts w:ascii="仿宋" w:hAnsi="仿宋" w:eastAsia="仿宋" w:cs="仿宋"/>
                <w:sz w:val="24"/>
                <w:highlight w:val="none"/>
              </w:rPr>
            </w:pPr>
          </w:p>
        </w:tc>
      </w:tr>
      <w:tr w14:paraId="2A34E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489C06E9">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1.7.1</w:t>
            </w:r>
          </w:p>
        </w:tc>
        <w:tc>
          <w:tcPr>
            <w:tcW w:w="8049" w:type="dxa"/>
            <w:vAlign w:val="center"/>
          </w:tcPr>
          <w:p w14:paraId="54CC7F01">
            <w:pPr>
              <w:spacing w:line="336" w:lineRule="auto"/>
              <w:jc w:val="center"/>
              <w:rPr>
                <w:rFonts w:ascii="仿宋" w:hAnsi="仿宋" w:eastAsia="仿宋" w:cs="仿宋"/>
                <w:sz w:val="24"/>
                <w:highlight w:val="none"/>
              </w:rPr>
            </w:pPr>
          </w:p>
        </w:tc>
      </w:tr>
      <w:tr w14:paraId="2483D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23E9DB38">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1.7.2</w:t>
            </w:r>
          </w:p>
        </w:tc>
        <w:tc>
          <w:tcPr>
            <w:tcW w:w="8049" w:type="dxa"/>
            <w:vAlign w:val="center"/>
          </w:tcPr>
          <w:p w14:paraId="3008EF85">
            <w:pPr>
              <w:spacing w:line="336" w:lineRule="auto"/>
              <w:jc w:val="center"/>
              <w:rPr>
                <w:rFonts w:ascii="仿宋" w:hAnsi="仿宋" w:eastAsia="仿宋" w:cs="仿宋"/>
                <w:sz w:val="24"/>
                <w:highlight w:val="none"/>
              </w:rPr>
            </w:pPr>
          </w:p>
        </w:tc>
      </w:tr>
      <w:tr w14:paraId="62915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70C9A149">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1.7.3</w:t>
            </w:r>
          </w:p>
        </w:tc>
        <w:tc>
          <w:tcPr>
            <w:tcW w:w="8049" w:type="dxa"/>
            <w:vAlign w:val="center"/>
          </w:tcPr>
          <w:p w14:paraId="7BEA334D">
            <w:pPr>
              <w:spacing w:line="336" w:lineRule="auto"/>
              <w:jc w:val="center"/>
              <w:rPr>
                <w:rFonts w:ascii="仿宋" w:hAnsi="仿宋" w:eastAsia="仿宋" w:cs="仿宋"/>
                <w:sz w:val="24"/>
                <w:highlight w:val="none"/>
              </w:rPr>
            </w:pPr>
          </w:p>
        </w:tc>
      </w:tr>
      <w:tr w14:paraId="28545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32A03BE2">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1.7.4.1</w:t>
            </w:r>
          </w:p>
        </w:tc>
        <w:tc>
          <w:tcPr>
            <w:tcW w:w="8049" w:type="dxa"/>
            <w:vAlign w:val="center"/>
          </w:tcPr>
          <w:p w14:paraId="4E55FE65">
            <w:pPr>
              <w:spacing w:line="336" w:lineRule="auto"/>
              <w:jc w:val="center"/>
              <w:rPr>
                <w:rFonts w:ascii="仿宋" w:hAnsi="仿宋" w:eastAsia="仿宋" w:cs="仿宋"/>
                <w:sz w:val="24"/>
                <w:highlight w:val="none"/>
              </w:rPr>
            </w:pPr>
          </w:p>
        </w:tc>
      </w:tr>
      <w:tr w14:paraId="07B94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4E626DDA">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1.7.4.2</w:t>
            </w:r>
          </w:p>
        </w:tc>
        <w:tc>
          <w:tcPr>
            <w:tcW w:w="8049" w:type="dxa"/>
            <w:vAlign w:val="center"/>
          </w:tcPr>
          <w:p w14:paraId="41AB5F30">
            <w:pPr>
              <w:spacing w:line="336" w:lineRule="auto"/>
              <w:jc w:val="center"/>
              <w:rPr>
                <w:rFonts w:ascii="仿宋" w:hAnsi="仿宋" w:eastAsia="仿宋" w:cs="仿宋"/>
                <w:sz w:val="24"/>
                <w:highlight w:val="none"/>
              </w:rPr>
            </w:pPr>
          </w:p>
        </w:tc>
      </w:tr>
      <w:tr w14:paraId="18B3A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76A2E882">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1.7.4.3</w:t>
            </w:r>
          </w:p>
        </w:tc>
        <w:tc>
          <w:tcPr>
            <w:tcW w:w="8049" w:type="dxa"/>
            <w:vAlign w:val="center"/>
          </w:tcPr>
          <w:p w14:paraId="33CF40D5">
            <w:pPr>
              <w:spacing w:line="336" w:lineRule="auto"/>
              <w:jc w:val="center"/>
              <w:rPr>
                <w:rFonts w:ascii="仿宋" w:hAnsi="仿宋" w:eastAsia="仿宋" w:cs="仿宋"/>
                <w:sz w:val="24"/>
                <w:highlight w:val="none"/>
              </w:rPr>
            </w:pPr>
          </w:p>
        </w:tc>
      </w:tr>
      <w:tr w14:paraId="54490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3ACA5604">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1.8.7</w:t>
            </w:r>
          </w:p>
        </w:tc>
        <w:tc>
          <w:tcPr>
            <w:tcW w:w="8049" w:type="dxa"/>
            <w:vAlign w:val="center"/>
          </w:tcPr>
          <w:p w14:paraId="7CA4AFE5">
            <w:pPr>
              <w:spacing w:line="336" w:lineRule="auto"/>
              <w:jc w:val="center"/>
              <w:rPr>
                <w:rFonts w:ascii="仿宋" w:hAnsi="仿宋" w:eastAsia="仿宋" w:cs="仿宋"/>
                <w:sz w:val="24"/>
                <w:highlight w:val="none"/>
              </w:rPr>
            </w:pPr>
          </w:p>
        </w:tc>
      </w:tr>
      <w:tr w14:paraId="1D82D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54BCC7F1">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1.9.1</w:t>
            </w:r>
          </w:p>
        </w:tc>
        <w:tc>
          <w:tcPr>
            <w:tcW w:w="8049" w:type="dxa"/>
            <w:vAlign w:val="center"/>
          </w:tcPr>
          <w:p w14:paraId="692BB520">
            <w:pPr>
              <w:spacing w:line="336" w:lineRule="auto"/>
              <w:jc w:val="center"/>
              <w:rPr>
                <w:rFonts w:ascii="仿宋" w:hAnsi="仿宋" w:eastAsia="仿宋" w:cs="仿宋"/>
                <w:sz w:val="24"/>
                <w:highlight w:val="none"/>
              </w:rPr>
            </w:pPr>
          </w:p>
        </w:tc>
      </w:tr>
      <w:tr w14:paraId="5283F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37A506AD">
            <w:pPr>
              <w:spacing w:line="336" w:lineRule="auto"/>
              <w:jc w:val="center"/>
              <w:rPr>
                <w:rFonts w:ascii="仿宋" w:hAnsi="仿宋" w:eastAsia="仿宋" w:cs="仿宋"/>
                <w:sz w:val="24"/>
                <w:highlight w:val="none"/>
              </w:rPr>
            </w:pPr>
            <w:r>
              <w:rPr>
                <w:rFonts w:hint="eastAsia" w:ascii="仿宋" w:hAnsi="仿宋" w:eastAsia="仿宋" w:cs="仿宋"/>
                <w:sz w:val="24"/>
                <w:highlight w:val="none"/>
              </w:rPr>
              <w:t>1.9.2</w:t>
            </w:r>
          </w:p>
        </w:tc>
        <w:tc>
          <w:tcPr>
            <w:tcW w:w="8049" w:type="dxa"/>
            <w:vAlign w:val="center"/>
          </w:tcPr>
          <w:p w14:paraId="44B2359B">
            <w:pPr>
              <w:spacing w:line="336" w:lineRule="auto"/>
              <w:jc w:val="center"/>
              <w:rPr>
                <w:rFonts w:ascii="仿宋" w:hAnsi="仿宋" w:eastAsia="仿宋" w:cs="仿宋"/>
                <w:sz w:val="24"/>
                <w:highlight w:val="none"/>
              </w:rPr>
            </w:pPr>
          </w:p>
        </w:tc>
      </w:tr>
      <w:tr w14:paraId="25F21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71DBF0E0">
            <w:pPr>
              <w:spacing w:line="336" w:lineRule="auto"/>
              <w:jc w:val="center"/>
              <w:rPr>
                <w:rFonts w:ascii="仿宋" w:hAnsi="仿宋" w:eastAsia="仿宋" w:cs="仿宋"/>
                <w:sz w:val="24"/>
                <w:highlight w:val="none"/>
              </w:rPr>
            </w:pPr>
            <w:r>
              <w:rPr>
                <w:rFonts w:hint="eastAsia" w:ascii="仿宋" w:hAnsi="仿宋" w:eastAsia="仿宋" w:cs="仿宋"/>
                <w:sz w:val="24"/>
                <w:highlight w:val="none"/>
              </w:rPr>
              <w:t>2.3.2</w:t>
            </w:r>
          </w:p>
        </w:tc>
        <w:tc>
          <w:tcPr>
            <w:tcW w:w="8049" w:type="dxa"/>
            <w:vAlign w:val="center"/>
          </w:tcPr>
          <w:p w14:paraId="18C5FCFE">
            <w:pPr>
              <w:spacing w:line="336" w:lineRule="auto"/>
              <w:ind w:firstLine="480" w:firstLineChars="200"/>
              <w:jc w:val="center"/>
              <w:rPr>
                <w:rFonts w:ascii="仿宋" w:hAnsi="仿宋" w:eastAsia="仿宋" w:cs="仿宋"/>
                <w:sz w:val="24"/>
                <w:highlight w:val="none"/>
              </w:rPr>
            </w:pPr>
          </w:p>
        </w:tc>
      </w:tr>
      <w:tr w14:paraId="1D8D4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5C9BA560">
            <w:pPr>
              <w:spacing w:line="336" w:lineRule="auto"/>
              <w:jc w:val="center"/>
              <w:rPr>
                <w:rFonts w:ascii="仿宋" w:hAnsi="仿宋" w:eastAsia="仿宋" w:cs="仿宋"/>
                <w:sz w:val="24"/>
                <w:highlight w:val="none"/>
              </w:rPr>
            </w:pPr>
            <w:r>
              <w:rPr>
                <w:rFonts w:hint="eastAsia" w:ascii="仿宋" w:hAnsi="仿宋" w:eastAsia="仿宋" w:cs="仿宋"/>
                <w:sz w:val="24"/>
                <w:highlight w:val="none"/>
              </w:rPr>
              <w:t>2.5</w:t>
            </w:r>
          </w:p>
        </w:tc>
        <w:tc>
          <w:tcPr>
            <w:tcW w:w="8049" w:type="dxa"/>
            <w:vAlign w:val="center"/>
          </w:tcPr>
          <w:p w14:paraId="7BE29389">
            <w:pPr>
              <w:spacing w:line="336" w:lineRule="auto"/>
              <w:ind w:firstLine="480" w:firstLineChars="200"/>
              <w:jc w:val="center"/>
              <w:rPr>
                <w:rFonts w:ascii="仿宋" w:hAnsi="仿宋" w:eastAsia="仿宋" w:cs="仿宋"/>
                <w:sz w:val="24"/>
                <w:highlight w:val="none"/>
              </w:rPr>
            </w:pPr>
          </w:p>
        </w:tc>
      </w:tr>
      <w:tr w14:paraId="0F2B0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5487C45A">
            <w:pPr>
              <w:spacing w:line="336" w:lineRule="auto"/>
              <w:jc w:val="center"/>
              <w:rPr>
                <w:rFonts w:ascii="仿宋" w:hAnsi="仿宋" w:eastAsia="仿宋" w:cs="仿宋"/>
                <w:sz w:val="24"/>
                <w:highlight w:val="none"/>
              </w:rPr>
            </w:pPr>
            <w:r>
              <w:rPr>
                <w:rFonts w:hint="eastAsia" w:ascii="仿宋" w:hAnsi="仿宋" w:eastAsia="仿宋" w:cs="仿宋"/>
                <w:sz w:val="24"/>
                <w:highlight w:val="none"/>
              </w:rPr>
              <w:t>2.11.3</w:t>
            </w:r>
          </w:p>
        </w:tc>
        <w:tc>
          <w:tcPr>
            <w:tcW w:w="8049" w:type="dxa"/>
            <w:vAlign w:val="center"/>
          </w:tcPr>
          <w:p w14:paraId="3AD92258">
            <w:pPr>
              <w:spacing w:line="336" w:lineRule="auto"/>
              <w:jc w:val="center"/>
              <w:rPr>
                <w:rFonts w:ascii="仿宋" w:hAnsi="仿宋" w:eastAsia="仿宋" w:cs="仿宋"/>
                <w:sz w:val="24"/>
                <w:highlight w:val="none"/>
              </w:rPr>
            </w:pPr>
          </w:p>
        </w:tc>
      </w:tr>
      <w:tr w14:paraId="24DA9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6722E943">
            <w:pPr>
              <w:spacing w:line="336" w:lineRule="auto"/>
              <w:jc w:val="center"/>
              <w:rPr>
                <w:rFonts w:ascii="仿宋" w:hAnsi="仿宋" w:eastAsia="仿宋" w:cs="仿宋"/>
                <w:sz w:val="24"/>
                <w:highlight w:val="none"/>
              </w:rPr>
            </w:pPr>
            <w:r>
              <w:rPr>
                <w:rFonts w:hint="eastAsia" w:ascii="仿宋" w:hAnsi="仿宋" w:eastAsia="仿宋" w:cs="仿宋"/>
                <w:sz w:val="24"/>
                <w:highlight w:val="none"/>
              </w:rPr>
              <w:t>2.11.4</w:t>
            </w:r>
          </w:p>
        </w:tc>
        <w:tc>
          <w:tcPr>
            <w:tcW w:w="8049" w:type="dxa"/>
            <w:vAlign w:val="center"/>
          </w:tcPr>
          <w:p w14:paraId="37DBE9D7">
            <w:pPr>
              <w:spacing w:line="336" w:lineRule="auto"/>
              <w:jc w:val="center"/>
              <w:rPr>
                <w:rFonts w:ascii="仿宋" w:hAnsi="仿宋" w:eastAsia="仿宋" w:cs="仿宋"/>
                <w:sz w:val="24"/>
                <w:highlight w:val="none"/>
              </w:rPr>
            </w:pPr>
          </w:p>
        </w:tc>
      </w:tr>
      <w:tr w14:paraId="0BB24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382DFCD1">
            <w:pPr>
              <w:spacing w:line="336" w:lineRule="auto"/>
              <w:jc w:val="center"/>
              <w:rPr>
                <w:rFonts w:ascii="仿宋" w:hAnsi="仿宋" w:eastAsia="仿宋" w:cs="仿宋"/>
                <w:sz w:val="24"/>
                <w:highlight w:val="none"/>
              </w:rPr>
            </w:pPr>
            <w:r>
              <w:rPr>
                <w:rFonts w:hint="eastAsia" w:ascii="仿宋" w:hAnsi="仿宋" w:eastAsia="仿宋" w:cs="仿宋"/>
                <w:sz w:val="24"/>
                <w:highlight w:val="none"/>
              </w:rPr>
              <w:t>2.15.1</w:t>
            </w:r>
          </w:p>
        </w:tc>
        <w:tc>
          <w:tcPr>
            <w:tcW w:w="8049" w:type="dxa"/>
            <w:vAlign w:val="center"/>
          </w:tcPr>
          <w:p w14:paraId="788B993B">
            <w:pPr>
              <w:spacing w:line="336" w:lineRule="auto"/>
              <w:jc w:val="center"/>
              <w:rPr>
                <w:rFonts w:ascii="仿宋" w:hAnsi="仿宋" w:eastAsia="仿宋" w:cs="仿宋"/>
                <w:sz w:val="24"/>
                <w:highlight w:val="none"/>
              </w:rPr>
            </w:pPr>
          </w:p>
        </w:tc>
      </w:tr>
      <w:tr w14:paraId="4B0B9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65" w:type="dxa"/>
            <w:tcBorders>
              <w:left w:val="single" w:color="auto" w:sz="4" w:space="0"/>
            </w:tcBorders>
            <w:vAlign w:val="center"/>
          </w:tcPr>
          <w:p w14:paraId="09BE255E">
            <w:pPr>
              <w:spacing w:line="336" w:lineRule="auto"/>
              <w:jc w:val="center"/>
              <w:rPr>
                <w:rFonts w:ascii="仿宋" w:hAnsi="仿宋" w:eastAsia="仿宋" w:cs="仿宋"/>
                <w:sz w:val="24"/>
                <w:highlight w:val="none"/>
              </w:rPr>
            </w:pPr>
            <w:r>
              <w:rPr>
                <w:rFonts w:hint="eastAsia" w:ascii="仿宋" w:hAnsi="仿宋" w:eastAsia="仿宋" w:cs="仿宋"/>
                <w:sz w:val="24"/>
                <w:highlight w:val="none"/>
              </w:rPr>
              <w:t>2.15.3</w:t>
            </w:r>
          </w:p>
        </w:tc>
        <w:tc>
          <w:tcPr>
            <w:tcW w:w="8049" w:type="dxa"/>
            <w:vAlign w:val="center"/>
          </w:tcPr>
          <w:p w14:paraId="04D27D96">
            <w:pPr>
              <w:spacing w:line="336" w:lineRule="auto"/>
              <w:jc w:val="center"/>
              <w:rPr>
                <w:rFonts w:ascii="仿宋" w:hAnsi="仿宋" w:eastAsia="仿宋" w:cs="仿宋"/>
                <w:sz w:val="24"/>
                <w:highlight w:val="none"/>
              </w:rPr>
            </w:pPr>
          </w:p>
        </w:tc>
      </w:tr>
    </w:tbl>
    <w:p w14:paraId="2006DF80">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533C746">
      <w:pPr>
        <w:autoSpaceDE w:val="0"/>
        <w:autoSpaceDN w:val="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第六部分</w:t>
      </w:r>
      <w:bookmarkEnd w:id="391"/>
      <w:r>
        <w:rPr>
          <w:rFonts w:hint="eastAsia" w:ascii="仿宋" w:hAnsi="仿宋" w:eastAsia="仿宋" w:cs="仿宋"/>
          <w:b/>
          <w:color w:val="auto"/>
          <w:kern w:val="0"/>
          <w:sz w:val="36"/>
          <w:szCs w:val="36"/>
          <w:highlight w:val="none"/>
        </w:rPr>
        <w:t xml:space="preserve"> </w:t>
      </w:r>
      <w:bookmarkEnd w:id="392"/>
      <w:r>
        <w:rPr>
          <w:rFonts w:hint="eastAsia" w:ascii="仿宋" w:hAnsi="仿宋" w:eastAsia="仿宋" w:cs="仿宋"/>
          <w:b/>
          <w:color w:val="auto"/>
          <w:kern w:val="0"/>
          <w:sz w:val="36"/>
          <w:szCs w:val="36"/>
          <w:highlight w:val="none"/>
        </w:rPr>
        <w:t>应提交的有关格式范例</w:t>
      </w:r>
    </w:p>
    <w:p w14:paraId="7BA9F579">
      <w:pPr>
        <w:spacing w:line="360" w:lineRule="auto"/>
        <w:jc w:val="center"/>
        <w:outlineLvl w:val="0"/>
        <w:rPr>
          <w:rFonts w:hint="eastAsia" w:ascii="仿宋" w:hAnsi="仿宋" w:eastAsia="仿宋" w:cs="仿宋"/>
          <w:b/>
          <w:kern w:val="0"/>
          <w:sz w:val="36"/>
          <w:szCs w:val="36"/>
          <w:highlight w:val="none"/>
        </w:rPr>
      </w:pPr>
    </w:p>
    <w:p w14:paraId="55744D7E">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14:paraId="62E635F1">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10B76F7D">
      <w:pPr>
        <w:snapToGrid w:val="0"/>
        <w:spacing w:line="360" w:lineRule="auto"/>
        <w:rPr>
          <w:rFonts w:hint="eastAsia" w:ascii="仿宋" w:hAnsi="仿宋" w:eastAsia="仿宋" w:cs="仿宋"/>
          <w:sz w:val="24"/>
          <w:highlight w:val="none"/>
        </w:rPr>
      </w:pPr>
    </w:p>
    <w:p w14:paraId="2D9F32C6">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（1）营业执照或事业法人证书复印件（加盖单位公章）…………………（页码）</w:t>
      </w:r>
    </w:p>
    <w:p w14:paraId="1828722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）符合参加政府采购活动应当具备的一般条件的承诺函………………（页码）</w:t>
      </w:r>
    </w:p>
    <w:p w14:paraId="7165F8C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）落实政府采购政策需满足的资格要求（如需）………………………（页码）</w:t>
      </w:r>
    </w:p>
    <w:p w14:paraId="65E72C3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）本项目的特定资格要求（如需）………………………………………（页码）</w:t>
      </w:r>
    </w:p>
    <w:p w14:paraId="3992C184">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kern w:val="0"/>
          <w:sz w:val="24"/>
          <w:highlight w:val="none"/>
        </w:rPr>
        <w:br w:type="page"/>
      </w:r>
      <w:r>
        <w:rPr>
          <w:rFonts w:hint="eastAsia" w:ascii="仿宋" w:hAnsi="仿宋" w:eastAsia="仿宋" w:cs="仿宋"/>
          <w:b/>
          <w:kern w:val="0"/>
          <w:sz w:val="32"/>
          <w:szCs w:val="32"/>
          <w:highlight w:val="none"/>
        </w:rPr>
        <w:t>一、营业执照或事业法人证书复印件</w:t>
      </w:r>
    </w:p>
    <w:p w14:paraId="5480C5B0">
      <w:pPr>
        <w:snapToGrid w:val="0"/>
        <w:spacing w:line="360" w:lineRule="auto"/>
        <w:ind w:right="480"/>
        <w:jc w:val="center"/>
        <w:rPr>
          <w:rFonts w:hint="eastAsia" w:ascii="仿宋" w:hAnsi="仿宋" w:eastAsia="仿宋" w:cs="仿宋"/>
          <w:b/>
          <w:kern w:val="0"/>
          <w:sz w:val="32"/>
          <w:szCs w:val="32"/>
          <w:highlight w:val="none"/>
        </w:rPr>
        <w:sectPr>
          <w:headerReference r:id="rId13" w:type="first"/>
          <w:footerReference r:id="rId15" w:type="first"/>
          <w:headerReference r:id="rId12" w:type="default"/>
          <w:footerReference r:id="rId14" w:type="default"/>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54980CB7">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二、</w:t>
      </w:r>
      <w:r>
        <w:rPr>
          <w:rFonts w:hint="eastAsia" w:ascii="仿宋" w:hAnsi="仿宋" w:eastAsia="仿宋" w:cs="仿宋"/>
          <w:b/>
          <w:kern w:val="0"/>
          <w:sz w:val="32"/>
          <w:szCs w:val="32"/>
          <w:highlight w:val="none"/>
        </w:rPr>
        <w:t>符合参加政府采购活动应当具备的一般条件的</w:t>
      </w:r>
      <w:r>
        <w:rPr>
          <w:rFonts w:hint="eastAsia" w:ascii="仿宋" w:hAnsi="仿宋" w:eastAsia="仿宋" w:cs="仿宋"/>
          <w:b/>
          <w:kern w:val="0"/>
          <w:sz w:val="32"/>
          <w:szCs w:val="32"/>
          <w:highlight w:val="none"/>
          <w:lang w:eastAsia="zh-CN"/>
        </w:rPr>
        <w:t>承诺</w:t>
      </w:r>
      <w:r>
        <w:rPr>
          <w:rFonts w:hint="eastAsia" w:ascii="仿宋" w:hAnsi="仿宋" w:eastAsia="仿宋" w:cs="仿宋"/>
          <w:b/>
          <w:kern w:val="0"/>
          <w:sz w:val="32"/>
          <w:szCs w:val="32"/>
          <w:highlight w:val="none"/>
        </w:rPr>
        <w:t>函</w:t>
      </w:r>
    </w:p>
    <w:p w14:paraId="2508C1D2">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（采购人）、（采购代理机构）</w:t>
      </w:r>
    </w:p>
    <w:p w14:paraId="0725579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我方参与（项目名称）【招标编号：（采购编号）】政府采购活动，郑重承诺：</w:t>
      </w:r>
    </w:p>
    <w:p w14:paraId="4BA79E3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（一）</w:t>
      </w:r>
      <w:r>
        <w:rPr>
          <w:rFonts w:hint="eastAsia" w:ascii="仿宋" w:hAnsi="仿宋" w:eastAsia="仿宋" w:cs="仿宋"/>
          <w:sz w:val="24"/>
          <w:highlight w:val="none"/>
          <w:lang w:val="en-US" w:eastAsia="zh-CN"/>
        </w:rPr>
        <w:t>我方</w:t>
      </w:r>
      <w:r>
        <w:rPr>
          <w:rFonts w:hint="eastAsia" w:ascii="仿宋" w:hAnsi="仿宋" w:eastAsia="仿宋" w:cs="仿宋"/>
          <w:sz w:val="24"/>
          <w:highlight w:val="none"/>
        </w:rPr>
        <w:t>具备《中华人民共和国政府采购法》第二十二条规定的以下条件：</w:t>
      </w:r>
    </w:p>
    <w:p w14:paraId="31CBD3C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061AB54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5EB4112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5A597558">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1A798E38">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5、我方</w:t>
      </w:r>
      <w:r>
        <w:rPr>
          <w:rFonts w:hint="eastAsia" w:ascii="仿宋" w:hAnsi="仿宋" w:eastAsia="仿宋" w:cs="仿宋"/>
          <w:sz w:val="24"/>
          <w:highlight w:val="none"/>
          <w:lang w:val="en-US" w:eastAsia="zh-CN"/>
        </w:rPr>
        <w:t>在</w:t>
      </w:r>
      <w:r>
        <w:rPr>
          <w:rFonts w:hint="eastAsia" w:ascii="仿宋" w:hAnsi="仿宋" w:eastAsia="仿宋" w:cs="仿宋"/>
          <w:sz w:val="24"/>
          <w:highlight w:val="none"/>
        </w:rPr>
        <w:t>参加</w:t>
      </w:r>
      <w:r>
        <w:rPr>
          <w:rFonts w:hint="eastAsia" w:ascii="仿宋" w:hAnsi="仿宋" w:eastAsia="仿宋" w:cs="仿宋"/>
          <w:sz w:val="24"/>
          <w:highlight w:val="none"/>
          <w:lang w:val="en-US" w:eastAsia="zh-CN"/>
        </w:rPr>
        <w:t>本次</w:t>
      </w:r>
      <w:r>
        <w:rPr>
          <w:rFonts w:hint="eastAsia" w:ascii="仿宋" w:hAnsi="仿宋" w:eastAsia="仿宋" w:cs="仿宋"/>
          <w:sz w:val="24"/>
          <w:highlight w:val="none"/>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74B23C6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6、法律、行政法规规定的其他条件。</w:t>
      </w:r>
    </w:p>
    <w:p w14:paraId="15EA377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（二）</w:t>
      </w:r>
      <w:r>
        <w:rPr>
          <w:rFonts w:hint="eastAsia" w:ascii="仿宋" w:hAnsi="仿宋" w:eastAsia="仿宋" w:cs="仿宋"/>
          <w:sz w:val="24"/>
          <w:highlight w:val="none"/>
          <w:lang w:val="en-US" w:eastAsia="zh-CN"/>
        </w:rPr>
        <w:t>我方</w:t>
      </w:r>
      <w:r>
        <w:rPr>
          <w:rFonts w:hint="eastAsia" w:ascii="仿宋" w:hAnsi="仿宋" w:eastAsia="仿宋" w:cs="仿宋"/>
          <w:sz w:val="24"/>
          <w:highlight w:val="none"/>
        </w:rPr>
        <w:t>未被</w:t>
      </w:r>
      <w:r>
        <w:rPr>
          <w:rFonts w:hint="eastAsia" w:ascii="仿宋" w:hAnsi="仿宋" w:eastAsia="仿宋" w:cs="仿宋"/>
          <w:sz w:val="24"/>
          <w:highlight w:val="none"/>
          <w:lang w:eastAsia="zh-CN"/>
        </w:rPr>
        <w:t>“</w:t>
      </w:r>
      <w:r>
        <w:rPr>
          <w:rFonts w:hint="eastAsia" w:ascii="仿宋" w:hAnsi="仿宋" w:eastAsia="仿宋" w:cs="仿宋"/>
          <w:sz w:val="24"/>
          <w:highlight w:val="none"/>
        </w:rPr>
        <w:t>信用中国</w:t>
      </w:r>
      <w:r>
        <w:rPr>
          <w:rFonts w:hint="eastAsia" w:ascii="仿宋" w:hAnsi="仿宋" w:eastAsia="仿宋" w:cs="仿宋"/>
          <w:sz w:val="24"/>
          <w:highlight w:val="none"/>
          <w:lang w:eastAsia="zh-CN"/>
        </w:rPr>
        <w:t>”</w:t>
      </w:r>
      <w:r>
        <w:rPr>
          <w:rFonts w:hint="eastAsia" w:ascii="仿宋" w:hAnsi="仿宋" w:eastAsia="仿宋" w:cs="仿宋"/>
          <w:sz w:val="24"/>
          <w:highlight w:val="none"/>
        </w:rPr>
        <w:t>（www.creditchina.gov.cn)、中国政府采购网（www.ccgp.gov.cn）列入失信被执行人、重大税收违法案件当事人名单、政府采购严重违法失信行为记录名单。</w:t>
      </w:r>
    </w:p>
    <w:p w14:paraId="6DDAC25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5CD266B6">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6F8E15C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5CBBCD8C">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hint="eastAsia" w:ascii="仿宋" w:hAnsi="仿宋" w:eastAsia="仿宋" w:cs="仿宋"/>
          <w:spacing w:val="8"/>
          <w:sz w:val="24"/>
          <w:szCs w:val="24"/>
          <w:highlight w:val="none"/>
        </w:rPr>
      </w:pPr>
      <w:r>
        <w:rPr>
          <w:rFonts w:hint="eastAsia" w:ascii="仿宋" w:hAnsi="仿宋" w:eastAsia="仿宋" w:cs="仿宋"/>
          <w:spacing w:val="8"/>
          <w:sz w:val="24"/>
          <w:szCs w:val="24"/>
          <w:highlight w:val="none"/>
        </w:rPr>
        <w:t>我方对上述承诺的所有内容的真实性负责。如有虚假，将依法承担相应责任，我方对此无任何异议。</w:t>
      </w:r>
    </w:p>
    <w:p w14:paraId="52A33712">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hint="eastAsia" w:ascii="仿宋" w:hAnsi="仿宋" w:eastAsia="仿宋" w:cs="仿宋"/>
          <w:spacing w:val="8"/>
          <w:sz w:val="24"/>
          <w:szCs w:val="24"/>
          <w:highlight w:val="none"/>
        </w:rPr>
      </w:pPr>
      <w:r>
        <w:rPr>
          <w:rFonts w:hint="eastAsia" w:ascii="仿宋" w:hAnsi="仿宋" w:eastAsia="仿宋" w:cs="仿宋"/>
          <w:spacing w:val="8"/>
          <w:sz w:val="24"/>
          <w:szCs w:val="24"/>
          <w:highlight w:val="none"/>
        </w:rPr>
        <w:t>特此承诺！</w:t>
      </w:r>
    </w:p>
    <w:p w14:paraId="125C2671">
      <w:pPr>
        <w:pStyle w:val="5"/>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highlight w:val="none"/>
          <w:lang w:val="en-US"/>
        </w:rPr>
      </w:pPr>
    </w:p>
    <w:p w14:paraId="022162E2">
      <w:pPr>
        <w:rPr>
          <w:rFonts w:hint="eastAsia" w:ascii="仿宋" w:hAnsi="仿宋" w:eastAsia="仿宋" w:cs="仿宋"/>
          <w:highlight w:val="none"/>
        </w:rPr>
      </w:pPr>
    </w:p>
    <w:p w14:paraId="12F861B5">
      <w:pPr>
        <w:snapToGrid w:val="0"/>
        <w:spacing w:line="360" w:lineRule="auto"/>
        <w:ind w:firstLine="5280" w:firstLineChars="220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zh-CN"/>
        </w:rPr>
        <w:t>磋商供应商名称（电子签名）：</w:t>
      </w:r>
      <w:r>
        <w:rPr>
          <w:rFonts w:hint="eastAsia" w:ascii="仿宋" w:hAnsi="仿宋" w:eastAsia="仿宋" w:cs="仿宋"/>
          <w:kern w:val="0"/>
          <w:sz w:val="24"/>
          <w:highlight w:val="none"/>
          <w:lang w:val="en-US" w:eastAsia="zh-CN"/>
        </w:rPr>
        <w:t xml:space="preserve"> </w:t>
      </w:r>
    </w:p>
    <w:p w14:paraId="5F79AD8D">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6937B18F">
      <w:pPr>
        <w:snapToGrid w:val="0"/>
        <w:spacing w:line="360" w:lineRule="auto"/>
        <w:ind w:right="480"/>
        <w:jc w:val="center"/>
        <w:rPr>
          <w:rFonts w:hint="eastAsia" w:ascii="仿宋" w:hAnsi="仿宋" w:eastAsia="仿宋" w:cs="仿宋"/>
          <w:b/>
          <w:kern w:val="0"/>
          <w:sz w:val="32"/>
          <w:szCs w:val="32"/>
          <w:highlight w:val="none"/>
          <w:lang w:val="en-US" w:eastAsia="zh-CN"/>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11350DAB">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三</w:t>
      </w:r>
      <w:r>
        <w:rPr>
          <w:rFonts w:hint="eastAsia" w:ascii="仿宋" w:hAnsi="仿宋" w:eastAsia="仿宋" w:cs="仿宋"/>
          <w:b/>
          <w:kern w:val="0"/>
          <w:sz w:val="32"/>
          <w:szCs w:val="32"/>
          <w:highlight w:val="none"/>
        </w:rPr>
        <w:t>、落实政府采购政策需满足的资格要求</w:t>
      </w:r>
    </w:p>
    <w:p w14:paraId="16F7A032">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14:paraId="1A9C1DBE">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0E11CA40">
      <w:pPr>
        <w:pStyle w:val="8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59021DF">
      <w:pPr>
        <w:snapToGrid w:val="0"/>
        <w:spacing w:before="50" w:after="50"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联合协议</w:t>
      </w:r>
    </w:p>
    <w:p w14:paraId="281FBC4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投标。</w:t>
      </w:r>
    </w:p>
    <w:p w14:paraId="087727D9">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14:paraId="710EC80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授权代表根据招标文件规定及投标内容而对采购人、采购代理机构所作的任何合法承诺，包括书面澄清及相应等均对联合投标各方产生约束力。</w:t>
      </w:r>
    </w:p>
    <w:p w14:paraId="7AA4CC8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 xml:space="preserve"> ；……。</w:t>
      </w:r>
    </w:p>
    <w:p w14:paraId="0A7B310C">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w:t>
      </w: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p>
    <w:p w14:paraId="633C4EF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14:paraId="6DF8C28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14:paraId="5C9FB5AC">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14:paraId="1752C09D">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37BB146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14:paraId="2A10EAB6">
      <w:pPr>
        <w:snapToGrid w:val="0"/>
        <w:spacing w:line="360" w:lineRule="auto"/>
        <w:ind w:firstLine="4800" w:firstLineChars="20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0E0057CD">
      <w:pPr>
        <w:snapToGrid w:val="0"/>
        <w:spacing w:line="360" w:lineRule="auto"/>
        <w:ind w:firstLine="4800" w:firstLineChars="20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350C5F28">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4C878744">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5BDA46E3">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highlight w:val="none"/>
        </w:rPr>
      </w:pPr>
      <w:r>
        <w:rPr>
          <w:rFonts w:hint="eastAsia" w:ascii="仿宋" w:hAnsi="仿宋" w:eastAsia="仿宋" w:cs="仿宋"/>
          <w:b/>
          <w:sz w:val="24"/>
          <w:highlight w:val="none"/>
        </w:rPr>
        <w:t>C、</w:t>
      </w:r>
      <w:r>
        <w:rPr>
          <w:rFonts w:hint="eastAsia" w:ascii="仿宋" w:hAnsi="仿宋" w:eastAsia="仿宋" w:cs="仿宋"/>
          <w:sz w:val="24"/>
          <w:highlight w:val="none"/>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6B7E447C">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highlight w:val="none"/>
        </w:rPr>
      </w:pPr>
    </w:p>
    <w:p w14:paraId="1E9A1CCD">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分包意向协议</w:t>
      </w:r>
    </w:p>
    <w:p w14:paraId="5F6583D0">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14:paraId="372431D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73C46034">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789E3230">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00D3521D">
      <w:pPr>
        <w:pStyle w:val="5"/>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highlight w:val="none"/>
        </w:rPr>
      </w:pPr>
      <w:r>
        <w:rPr>
          <w:rFonts w:hint="eastAsia" w:ascii="仿宋" w:hAnsi="仿宋" w:eastAsia="仿宋" w:cs="仿宋"/>
          <w:kern w:val="0"/>
          <w:sz w:val="24"/>
          <w:szCs w:val="24"/>
          <w:highlight w:val="none"/>
        </w:rPr>
        <w:t>……</w:t>
      </w:r>
    </w:p>
    <w:p w14:paraId="6B21E73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二、分包工作履行期限、地点、方式</w:t>
      </w:r>
    </w:p>
    <w:p w14:paraId="3EC9627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0E7FCD84">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三、质量</w:t>
      </w:r>
    </w:p>
    <w:p w14:paraId="475A1DE1">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278D7C55">
      <w:pPr>
        <w:pageBreakBefore w:val="0"/>
        <w:widowControl w:val="0"/>
        <w:numPr>
          <w:ilvl w:val="0"/>
          <w:numId w:val="10"/>
        </w:numPr>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价款或者报酬</w:t>
      </w:r>
    </w:p>
    <w:p w14:paraId="5CAB67DD">
      <w:pPr>
        <w:pageBreakBefore w:val="0"/>
        <w:widowControl w:val="0"/>
        <w:numPr>
          <w:ilvl w:val="0"/>
          <w:numId w:val="0"/>
        </w:numPr>
        <w:kinsoku/>
        <w:wordWrap/>
        <w:overflowPunct/>
        <w:topLinePunct w:val="0"/>
        <w:autoSpaceDE/>
        <w:autoSpaceDN/>
        <w:bidi w:val="0"/>
        <w:snapToGrid w:val="0"/>
        <w:spacing w:line="360" w:lineRule="exact"/>
        <w:ind w:left="576" w:leftChars="0"/>
        <w:textAlignment w:val="auto"/>
        <w:rPr>
          <w:rFonts w:hint="eastAsia" w:ascii="仿宋" w:hAnsi="仿宋" w:eastAsia="仿宋" w:cs="仿宋"/>
          <w:kern w:val="0"/>
          <w:sz w:val="24"/>
          <w:highlight w:val="none"/>
          <w:lang w:val="zh-CN"/>
        </w:rPr>
      </w:pP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 xml:space="preserve">                                                                               </w:t>
      </w:r>
    </w:p>
    <w:p w14:paraId="77780CC0">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五、违约责任</w:t>
      </w:r>
    </w:p>
    <w:p w14:paraId="6ACC18EE">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16FF3D8A">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六、争议解决的办法</w:t>
      </w:r>
    </w:p>
    <w:p w14:paraId="13BD07D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304DECE3">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七、其他</w:t>
      </w:r>
    </w:p>
    <w:p w14:paraId="21C29BC0">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中小企业合同金额达到  %，小微企业合同金额达到 %  。                                           </w:t>
      </w:r>
    </w:p>
    <w:p w14:paraId="40B4C970">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textAlignment w:val="auto"/>
        <w:rPr>
          <w:rFonts w:hint="eastAsia" w:ascii="仿宋" w:hAnsi="仿宋" w:eastAsia="仿宋" w:cs="仿宋"/>
          <w:kern w:val="0"/>
          <w:sz w:val="24"/>
          <w:highlight w:val="none"/>
          <w:lang w:val="zh-CN"/>
        </w:rPr>
      </w:pPr>
    </w:p>
    <w:p w14:paraId="2A7F844B">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 xml:space="preserve">                                磋商供应商名称（电子签名）</w:t>
      </w:r>
      <w:r>
        <w:rPr>
          <w:rFonts w:hint="eastAsia" w:ascii="仿宋" w:hAnsi="仿宋" w:eastAsia="仿宋" w:cs="仿宋"/>
          <w:kern w:val="0"/>
          <w:sz w:val="24"/>
          <w:highlight w:val="none"/>
          <w:lang w:val="zh-CN"/>
        </w:rPr>
        <w:t>：</w:t>
      </w:r>
    </w:p>
    <w:p w14:paraId="1AC09BC8">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分包供应商名称：</w:t>
      </w:r>
    </w:p>
    <w:p w14:paraId="5D5EB44D">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512FD55D">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01916C94">
      <w:pPr>
        <w:widowControl/>
        <w:spacing w:line="360" w:lineRule="auto"/>
        <w:jc w:val="center"/>
        <w:rPr>
          <w:rFonts w:hint="eastAsia" w:ascii="仿宋" w:hAnsi="仿宋" w:eastAsia="仿宋" w:cs="仿宋"/>
          <w:b/>
          <w:kern w:val="0"/>
          <w:sz w:val="32"/>
          <w:szCs w:val="32"/>
          <w:highlight w:val="none"/>
          <w:lang w:val="en-US" w:eastAsia="zh-CN"/>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0051BBD3">
      <w:pPr>
        <w:widowControl/>
        <w:spacing w:line="360" w:lineRule="auto"/>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en-US" w:eastAsia="zh-CN"/>
        </w:rPr>
        <w:t>四</w:t>
      </w:r>
      <w:r>
        <w:rPr>
          <w:rFonts w:hint="eastAsia" w:ascii="仿宋" w:hAnsi="仿宋" w:eastAsia="仿宋" w:cs="仿宋"/>
          <w:b/>
          <w:kern w:val="0"/>
          <w:sz w:val="32"/>
          <w:szCs w:val="32"/>
          <w:highlight w:val="none"/>
        </w:rPr>
        <w:t>、本项目的特定资格要求</w:t>
      </w:r>
    </w:p>
    <w:p w14:paraId="7E5BD306">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14:paraId="17F3D3A6">
      <w:pPr>
        <w:spacing w:line="360" w:lineRule="auto"/>
        <w:ind w:right="420" w:firstLine="3213" w:firstLineChars="1000"/>
        <w:rPr>
          <w:rFonts w:hint="eastAsia" w:ascii="仿宋" w:hAnsi="仿宋" w:eastAsia="仿宋" w:cs="仿宋"/>
          <w:b/>
          <w:kern w:val="0"/>
          <w:sz w:val="32"/>
          <w:szCs w:val="32"/>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51A20430">
      <w:pPr>
        <w:spacing w:line="360" w:lineRule="auto"/>
        <w:ind w:right="420" w:firstLine="3213" w:firstLineChars="10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商务技术文件部分</w:t>
      </w:r>
    </w:p>
    <w:p w14:paraId="165814DA">
      <w:pPr>
        <w:spacing w:line="360" w:lineRule="auto"/>
        <w:jc w:val="center"/>
        <w:outlineLvl w:val="0"/>
        <w:rPr>
          <w:rFonts w:hint="eastAsia" w:ascii="仿宋" w:hAnsi="仿宋" w:eastAsia="仿宋" w:cs="仿宋"/>
          <w:b/>
          <w:kern w:val="0"/>
          <w:sz w:val="24"/>
          <w:highlight w:val="none"/>
        </w:rPr>
      </w:pPr>
    </w:p>
    <w:p w14:paraId="18A6EDC5">
      <w:pPr>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目录</w:t>
      </w:r>
    </w:p>
    <w:p w14:paraId="6659E41D">
      <w:pPr>
        <w:numPr>
          <w:ilvl w:val="0"/>
          <w:numId w:val="0"/>
        </w:numPr>
        <w:snapToGrid w:val="0"/>
        <w:spacing w:line="360" w:lineRule="auto"/>
        <w:rPr>
          <w:rFonts w:hint="eastAsia" w:ascii="仿宋" w:hAnsi="仿宋" w:eastAsia="仿宋" w:cs="仿宋"/>
          <w:highlight w:val="none"/>
        </w:rPr>
      </w:pPr>
      <w:r>
        <w:rPr>
          <w:rFonts w:hint="eastAsia" w:ascii="仿宋" w:hAnsi="仿宋" w:eastAsia="仿宋" w:cs="仿宋"/>
          <w:sz w:val="24"/>
          <w:highlight w:val="none"/>
          <w:lang w:val="en-US" w:eastAsia="zh-CN"/>
        </w:rPr>
        <w:t>（1）投</w:t>
      </w:r>
      <w:r>
        <w:rPr>
          <w:rFonts w:hint="eastAsia" w:ascii="仿宋" w:hAnsi="仿宋" w:eastAsia="仿宋" w:cs="仿宋"/>
          <w:sz w:val="24"/>
          <w:highlight w:val="none"/>
        </w:rPr>
        <w:t>标函</w:t>
      </w:r>
      <w:r>
        <w:rPr>
          <w:rFonts w:hint="eastAsia" w:ascii="仿宋" w:hAnsi="仿宋" w:eastAsia="仿宋" w:cs="仿宋"/>
          <w:highlight w:val="none"/>
        </w:rPr>
        <w:t>………………………………………………………………………………（页码）</w:t>
      </w:r>
    </w:p>
    <w:p w14:paraId="50437B4D">
      <w:pPr>
        <w:numPr>
          <w:ilvl w:val="0"/>
          <w:numId w:val="0"/>
        </w:numPr>
        <w:snapToGrid w:val="0"/>
        <w:spacing w:line="360" w:lineRule="auto"/>
        <w:rPr>
          <w:rFonts w:hint="eastAsia" w:ascii="仿宋" w:hAnsi="仿宋" w:eastAsia="仿宋" w:cs="仿宋"/>
          <w:highlight w:val="none"/>
        </w:rPr>
      </w:pPr>
      <w:r>
        <w:rPr>
          <w:rFonts w:hint="eastAsia" w:ascii="仿宋" w:hAnsi="仿宋" w:eastAsia="仿宋" w:cs="仿宋"/>
          <w:sz w:val="24"/>
          <w:highlight w:val="none"/>
        </w:rPr>
        <w:t>（2）授权委托书或法定代表人（单位负责人、自然人本人）身份证明</w:t>
      </w:r>
      <w:r>
        <w:rPr>
          <w:rFonts w:hint="eastAsia" w:ascii="仿宋" w:hAnsi="仿宋" w:eastAsia="仿宋" w:cs="仿宋"/>
          <w:highlight w:val="none"/>
        </w:rPr>
        <w:t>……（页码）</w:t>
      </w:r>
    </w:p>
    <w:p w14:paraId="5AF67526">
      <w:pPr>
        <w:snapToGrid w:val="0"/>
        <w:spacing w:line="360" w:lineRule="auto"/>
        <w:rPr>
          <w:rFonts w:hint="eastAsia" w:ascii="仿宋" w:hAnsi="仿宋" w:eastAsia="仿宋" w:cs="仿宋"/>
          <w:highlight w:val="none"/>
        </w:rPr>
      </w:pPr>
      <w:r>
        <w:rPr>
          <w:rFonts w:hint="eastAsia" w:ascii="仿宋" w:hAnsi="仿宋" w:eastAsia="仿宋" w:cs="仿宋"/>
          <w:sz w:val="24"/>
          <w:highlight w:val="none"/>
        </w:rPr>
        <w:t>（3）联合协议（如需）</w:t>
      </w:r>
      <w:r>
        <w:rPr>
          <w:rFonts w:hint="eastAsia" w:ascii="仿宋" w:hAnsi="仿宋" w:eastAsia="仿宋" w:cs="仿宋"/>
          <w:highlight w:val="none"/>
        </w:rPr>
        <w:t>…………………………………………………………………（页码）</w:t>
      </w:r>
    </w:p>
    <w:p w14:paraId="25F9760B">
      <w:pPr>
        <w:snapToGrid w:val="0"/>
        <w:spacing w:line="360" w:lineRule="auto"/>
        <w:rPr>
          <w:rFonts w:hint="eastAsia" w:ascii="仿宋" w:hAnsi="仿宋" w:eastAsia="仿宋" w:cs="仿宋"/>
          <w:highlight w:val="none"/>
        </w:rPr>
      </w:pPr>
      <w:r>
        <w:rPr>
          <w:rFonts w:hint="eastAsia" w:ascii="仿宋" w:hAnsi="仿宋" w:eastAsia="仿宋" w:cs="仿宋"/>
          <w:sz w:val="24"/>
          <w:highlight w:val="none"/>
        </w:rPr>
        <w:t>（4）分包意向协议（如需）</w:t>
      </w:r>
      <w:r>
        <w:rPr>
          <w:rFonts w:hint="eastAsia" w:ascii="仿宋" w:hAnsi="仿宋" w:eastAsia="仿宋" w:cs="仿宋"/>
          <w:highlight w:val="none"/>
        </w:rPr>
        <w:t>…………………………………………………………（页码）</w:t>
      </w:r>
    </w:p>
    <w:p w14:paraId="42E5295B">
      <w:pPr>
        <w:snapToGrid w:val="0"/>
        <w:spacing w:line="360" w:lineRule="auto"/>
        <w:rPr>
          <w:rFonts w:hint="eastAsia" w:ascii="仿宋" w:hAnsi="仿宋" w:eastAsia="仿宋" w:cs="仿宋"/>
          <w:highlight w:val="none"/>
        </w:rPr>
      </w:pPr>
      <w:r>
        <w:rPr>
          <w:rFonts w:hint="eastAsia" w:ascii="仿宋" w:hAnsi="仿宋" w:eastAsia="仿宋" w:cs="仿宋"/>
          <w:sz w:val="24"/>
          <w:highlight w:val="none"/>
        </w:rPr>
        <w:t>（5）符合性审查资料</w:t>
      </w:r>
      <w:r>
        <w:rPr>
          <w:rFonts w:hint="eastAsia" w:ascii="仿宋" w:hAnsi="仿宋" w:eastAsia="仿宋" w:cs="仿宋"/>
          <w:highlight w:val="none"/>
        </w:rPr>
        <w:t>……………………………………………………………………（页码）</w:t>
      </w:r>
    </w:p>
    <w:p w14:paraId="4C3F423B">
      <w:pPr>
        <w:snapToGrid w:val="0"/>
        <w:spacing w:line="360" w:lineRule="auto"/>
        <w:ind w:left="0" w:leftChars="0" w:firstLine="0" w:firstLineChars="0"/>
        <w:rPr>
          <w:rFonts w:hint="eastAsia" w:ascii="仿宋" w:hAnsi="仿宋" w:eastAsia="仿宋" w:cs="仿宋"/>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评标标准相应的商务技术资料（如需）</w:t>
      </w:r>
      <w:r>
        <w:rPr>
          <w:rFonts w:hint="eastAsia" w:ascii="仿宋" w:hAnsi="仿宋" w:eastAsia="仿宋" w:cs="仿宋"/>
          <w:highlight w:val="none"/>
        </w:rPr>
        <w:t>……………………………………（页码）</w:t>
      </w:r>
    </w:p>
    <w:p w14:paraId="0F622E3D">
      <w:pPr>
        <w:snapToGrid w:val="0"/>
        <w:spacing w:line="360" w:lineRule="auto"/>
        <w:rPr>
          <w:rFonts w:hint="eastAsia" w:ascii="仿宋" w:hAnsi="仿宋" w:eastAsia="仿宋" w:cs="仿宋"/>
          <w:highlight w:val="none"/>
        </w:rPr>
      </w:pPr>
      <w:r>
        <w:rPr>
          <w:rFonts w:hint="eastAsia" w:ascii="仿宋" w:hAnsi="仿宋" w:eastAsia="仿宋" w:cs="仿宋"/>
          <w:sz w:val="24"/>
          <w:highlight w:val="none"/>
        </w:rPr>
        <w:t>（7）商务技术偏离表</w:t>
      </w:r>
      <w:r>
        <w:rPr>
          <w:rFonts w:hint="eastAsia" w:ascii="仿宋" w:hAnsi="仿宋" w:eastAsia="仿宋" w:cs="仿宋"/>
          <w:highlight w:val="none"/>
        </w:rPr>
        <w:t>……………………………………………………………………（页码）</w:t>
      </w:r>
    </w:p>
    <w:p w14:paraId="54D6968C">
      <w:pPr>
        <w:snapToGrid w:val="0"/>
        <w:spacing w:line="360" w:lineRule="auto"/>
        <w:rPr>
          <w:rFonts w:hint="eastAsia" w:ascii="仿宋" w:hAnsi="仿宋" w:eastAsia="仿宋" w:cs="仿宋"/>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r>
        <w:rPr>
          <w:rFonts w:hint="eastAsia" w:ascii="仿宋" w:hAnsi="仿宋" w:eastAsia="仿宋" w:cs="仿宋"/>
          <w:highlight w:val="none"/>
        </w:rPr>
        <w:t>………………………………………………（页码）</w:t>
      </w:r>
    </w:p>
    <w:p w14:paraId="16B2A085">
      <w:pPr>
        <w:snapToGrid w:val="0"/>
        <w:spacing w:line="360" w:lineRule="auto"/>
        <w:jc w:val="center"/>
        <w:outlineLvl w:val="0"/>
        <w:rPr>
          <w:rFonts w:hint="eastAsia" w:ascii="仿宋" w:hAnsi="仿宋" w:eastAsia="仿宋" w:cs="仿宋"/>
          <w:b/>
          <w:kern w:val="0"/>
          <w:sz w:val="32"/>
          <w:szCs w:val="32"/>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10908556">
      <w:pPr>
        <w:snapToGrid w:val="0"/>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p>
    <w:p w14:paraId="0B7F387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仿宋" w:hAnsi="仿宋" w:eastAsia="仿宋" w:cs="仿宋"/>
          <w:sz w:val="24"/>
          <w:highlight w:val="none"/>
        </w:rPr>
      </w:pPr>
      <w:r>
        <w:rPr>
          <w:rFonts w:hint="eastAsia" w:ascii="仿宋" w:hAnsi="仿宋" w:eastAsia="仿宋" w:cs="仿宋"/>
          <w:sz w:val="24"/>
          <w:highlight w:val="none"/>
        </w:rPr>
        <w:t>（采购人）、（采购代理机构）：</w:t>
      </w:r>
    </w:p>
    <w:p w14:paraId="3024D789">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我方参加你方组织的（项目名称）【招标编号：（采购编号）】招标的有关活动，并对此项目进行投标。为此：</w:t>
      </w:r>
    </w:p>
    <w:p w14:paraId="07757406">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1、我方承诺投标有效期从提交投标文件的截止之日起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本投标文件在投标有效期满之前均具有约束力。</w:t>
      </w:r>
    </w:p>
    <w:p w14:paraId="1D38F08F">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2、我方的投标文件包括以下内容：</w:t>
      </w:r>
    </w:p>
    <w:p w14:paraId="70B87A6C">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2.1资格文件：</w:t>
      </w:r>
    </w:p>
    <w:p w14:paraId="5D358030">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2.1.1</w:t>
      </w:r>
      <w:r>
        <w:rPr>
          <w:rFonts w:hint="eastAsia" w:ascii="仿宋" w:hAnsi="仿宋" w:eastAsia="仿宋" w:cs="仿宋"/>
          <w:sz w:val="24"/>
          <w:highlight w:val="none"/>
          <w:lang w:val="en-US" w:eastAsia="zh-CN"/>
        </w:rPr>
        <w:t>营业执照（或事业法人证书）</w:t>
      </w:r>
    </w:p>
    <w:p w14:paraId="2AC210E5">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2.1.2承诺函；</w:t>
      </w:r>
    </w:p>
    <w:p w14:paraId="7E9C8E80">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落实政府采购政策需满足的资格要求（如果有）；</w:t>
      </w:r>
    </w:p>
    <w:p w14:paraId="00B91FF3">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2.1.</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本项目的特定资格要求（如果有）。</w:t>
      </w:r>
    </w:p>
    <w:p w14:paraId="4E6C1C0F">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商务技术</w:t>
      </w:r>
      <w:r>
        <w:rPr>
          <w:rFonts w:hint="eastAsia" w:ascii="仿宋" w:hAnsi="仿宋" w:eastAsia="仿宋" w:cs="仿宋"/>
          <w:sz w:val="24"/>
          <w:highlight w:val="none"/>
          <w:lang w:val="zh-CN"/>
        </w:rPr>
        <w:t>文件：</w:t>
      </w:r>
    </w:p>
    <w:p w14:paraId="548CBEE7">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2.2.1投标函；</w:t>
      </w:r>
      <w:r>
        <w:rPr>
          <w:rFonts w:hint="eastAsia" w:ascii="仿宋" w:hAnsi="仿宋" w:eastAsia="仿宋" w:cs="仿宋"/>
          <w:sz w:val="24"/>
          <w:highlight w:val="none"/>
          <w:lang w:val="zh-CN"/>
        </w:rPr>
        <w:t xml:space="preserve"> </w:t>
      </w:r>
    </w:p>
    <w:p w14:paraId="51FAAB20">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2.2.2授权委托书或法定代表人（单位负责人）身份证明；</w:t>
      </w:r>
    </w:p>
    <w:p w14:paraId="11A3E0DD">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2.2.3联合协议（如果有）；</w:t>
      </w:r>
    </w:p>
    <w:p w14:paraId="0E91F8E5">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2.2.4分包意向协议（如果有）；</w:t>
      </w:r>
    </w:p>
    <w:p w14:paraId="7A4D7451">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2.2.5符合性审查资料；</w:t>
      </w:r>
    </w:p>
    <w:p w14:paraId="3A14E728">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2.2.6评标标准相应的商务技术资料；</w:t>
      </w:r>
    </w:p>
    <w:p w14:paraId="210953CD">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2.2.7商务技术偏离表；</w:t>
      </w:r>
    </w:p>
    <w:p w14:paraId="02FF7840">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lang w:val="zh-CN"/>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p>
    <w:p w14:paraId="3C3EC6B6">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val="zh-CN"/>
        </w:rPr>
        <w:t>.</w:t>
      </w:r>
      <w:r>
        <w:rPr>
          <w:rFonts w:hint="eastAsia" w:ascii="仿宋" w:hAnsi="仿宋" w:eastAsia="仿宋" w:cs="仿宋"/>
          <w:sz w:val="24"/>
          <w:highlight w:val="none"/>
        </w:rPr>
        <w:t>3报价文件</w:t>
      </w:r>
    </w:p>
    <w:p w14:paraId="461A2211">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2.3.1开标一览表（报价表）；</w:t>
      </w:r>
    </w:p>
    <w:p w14:paraId="591AD410">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2.3.2中小企业声明函（如果有）。</w:t>
      </w:r>
    </w:p>
    <w:p w14:paraId="1E680CB8">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3、我方承诺除商务技术偏离表列出的偏离外，我方响应招标文件的全部要求。</w:t>
      </w:r>
    </w:p>
    <w:p w14:paraId="6C6608FA">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4、如我方中标，我方承诺：</w:t>
      </w:r>
    </w:p>
    <w:p w14:paraId="5F5F405A">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4.1在收到中标通知书后，在中标通知书规定的期限内与你方签订合同； </w:t>
      </w:r>
    </w:p>
    <w:p w14:paraId="1C65ECA3">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4.2在签订合同时不向你方提出附加条件；</w:t>
      </w:r>
    </w:p>
    <w:p w14:paraId="06E16918">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4.3按照招标文件要求提交履约保证金；</w:t>
      </w:r>
    </w:p>
    <w:p w14:paraId="26472760">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4.4在合同约定的期限内完成合同规定的全部义务。</w:t>
      </w:r>
    </w:p>
    <w:p w14:paraId="7B04CD99">
      <w:pPr>
        <w:keepNext w:val="0"/>
        <w:keepLines w:val="0"/>
        <w:pageBreakBefore w:val="0"/>
        <w:widowControl w:val="0"/>
        <w:kinsoku/>
        <w:wordWrap/>
        <w:overflowPunct/>
        <w:topLinePunct w:val="0"/>
        <w:autoSpaceDE/>
        <w:autoSpaceDN/>
        <w:bidi w:val="0"/>
        <w:adjustRightInd w:val="0"/>
        <w:snapToGrid w:val="0"/>
        <w:spacing w:line="288" w:lineRule="auto"/>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5、其他补充说明: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2540403">
      <w:pPr>
        <w:keepNext w:val="0"/>
        <w:keepLines w:val="0"/>
        <w:pageBreakBefore w:val="0"/>
        <w:widowControl w:val="0"/>
        <w:kinsoku/>
        <w:wordWrap/>
        <w:overflowPunct/>
        <w:topLinePunct w:val="0"/>
        <w:autoSpaceDE/>
        <w:autoSpaceDN/>
        <w:bidi w:val="0"/>
        <w:adjustRightInd w:val="0"/>
        <w:spacing w:line="288" w:lineRule="auto"/>
        <w:ind w:firstLine="3600" w:firstLineChars="1500"/>
        <w:jc w:val="center"/>
        <w:textAlignment w:val="auto"/>
        <w:rPr>
          <w:rFonts w:hint="eastAsia" w:ascii="仿宋" w:hAnsi="仿宋" w:eastAsia="仿宋" w:cs="仿宋"/>
          <w:sz w:val="24"/>
          <w:highlight w:val="none"/>
        </w:rPr>
      </w:pPr>
    </w:p>
    <w:p w14:paraId="7DC67CD1">
      <w:pPr>
        <w:keepNext w:val="0"/>
        <w:keepLines w:val="0"/>
        <w:pageBreakBefore w:val="0"/>
        <w:widowControl w:val="0"/>
        <w:kinsoku/>
        <w:wordWrap/>
        <w:overflowPunct/>
        <w:topLinePunct w:val="0"/>
        <w:autoSpaceDE/>
        <w:autoSpaceDN/>
        <w:bidi w:val="0"/>
        <w:adjustRightInd w:val="0"/>
        <w:spacing w:line="288" w:lineRule="auto"/>
        <w:ind w:firstLine="3600" w:firstLineChars="1500"/>
        <w:jc w:val="center"/>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磋商供应商名称（电子签名）：</w:t>
      </w:r>
    </w:p>
    <w:p w14:paraId="092FBA67">
      <w:pPr>
        <w:keepNext w:val="0"/>
        <w:keepLines w:val="0"/>
        <w:pageBreakBefore w:val="0"/>
        <w:widowControl w:val="0"/>
        <w:kinsoku/>
        <w:wordWrap/>
        <w:overflowPunct/>
        <w:topLinePunct w:val="0"/>
        <w:autoSpaceDE/>
        <w:autoSpaceDN/>
        <w:bidi w:val="0"/>
        <w:adjustRightInd w:val="0"/>
        <w:spacing w:line="288"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日期：  年   月   日</w:t>
      </w:r>
    </w:p>
    <w:p w14:paraId="01D23EA0">
      <w:pP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0765DFD9">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14:paraId="3F46734F">
      <w:pPr>
        <w:snapToGrid w:val="0"/>
        <w:spacing w:line="360" w:lineRule="auto"/>
        <w:jc w:val="center"/>
        <w:rPr>
          <w:rFonts w:hint="eastAsia" w:ascii="仿宋" w:hAnsi="仿宋" w:eastAsia="仿宋" w:cs="仿宋"/>
          <w:sz w:val="32"/>
          <w:szCs w:val="32"/>
          <w:highlight w:val="none"/>
        </w:rPr>
      </w:pPr>
      <w:r>
        <w:rPr>
          <w:rFonts w:hint="eastAsia" w:ascii="仿宋" w:hAnsi="仿宋" w:eastAsia="仿宋" w:cs="仿宋"/>
          <w:b/>
          <w:kern w:val="0"/>
          <w:sz w:val="32"/>
          <w:szCs w:val="32"/>
          <w:highlight w:val="none"/>
          <w:lang w:val="zh-CN"/>
        </w:rPr>
        <w:t>授权委托书（适用于非联合体投标）</w:t>
      </w:r>
    </w:p>
    <w:p w14:paraId="002D052C">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sz w:val="24"/>
          <w:szCs w:val="24"/>
          <w:highlight w:val="none"/>
          <w:lang w:val="zh-CN"/>
        </w:rPr>
        <w:t>：</w:t>
      </w:r>
    </w:p>
    <w:p w14:paraId="10061956">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2E0D793E">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0F5F0617">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8E8F8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highlight w:val="none"/>
          <w:lang w:val="zh-CN"/>
        </w:rPr>
      </w:pPr>
    </w:p>
    <w:p w14:paraId="33C8DE25">
      <w:pPr>
        <w:pStyle w:val="85"/>
        <w:ind w:left="0" w:leftChars="0" w:firstLine="0" w:firstLineChars="0"/>
        <w:rPr>
          <w:rFonts w:hint="eastAsia" w:ascii="仿宋" w:hAnsi="仿宋" w:eastAsia="仿宋" w:cs="仿宋"/>
          <w:kern w:val="0"/>
          <w:sz w:val="24"/>
          <w:highlight w:val="none"/>
          <w:lang w:val="zh-CN"/>
        </w:rPr>
      </w:pPr>
    </w:p>
    <w:p w14:paraId="1F8768C9">
      <w:pPr>
        <w:pStyle w:val="25"/>
        <w:rPr>
          <w:rFonts w:hint="eastAsia" w:ascii="仿宋" w:hAnsi="仿宋" w:eastAsia="仿宋" w:cs="仿宋"/>
          <w:kern w:val="0"/>
          <w:sz w:val="24"/>
          <w:highlight w:val="none"/>
          <w:lang w:val="zh-CN"/>
        </w:rPr>
      </w:pPr>
    </w:p>
    <w:p w14:paraId="3CF0C640">
      <w:pPr>
        <w:rPr>
          <w:rFonts w:hint="eastAsia" w:ascii="仿宋" w:hAnsi="仿宋" w:eastAsia="仿宋" w:cs="仿宋"/>
          <w:highlight w:val="none"/>
          <w:lang w:val="zh-CN"/>
        </w:rPr>
      </w:pPr>
    </w:p>
    <w:p w14:paraId="3669280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磋商供应商名称（电子签名）：</w:t>
      </w:r>
    </w:p>
    <w:p w14:paraId="081B613B">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06B197C9">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highlight w:val="none"/>
          <w:u w:val="single"/>
          <w:lang w:val="en-US" w:eastAsia="zh-CN"/>
        </w:rPr>
      </w:pPr>
    </w:p>
    <w:p w14:paraId="3C9C51E1">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highlight w:val="none"/>
          <w:lang w:val="en-US" w:eastAsia="zh-CN"/>
        </w:rPr>
      </w:pPr>
    </w:p>
    <w:p w14:paraId="16E92F73">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highlight w:val="none"/>
          <w:u w:val="single"/>
          <w:lang w:val="en-US" w:eastAsia="zh-CN"/>
        </w:rPr>
      </w:pPr>
    </w:p>
    <w:p w14:paraId="61ADFEAB">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highlight w:val="none"/>
          <w:u w:val="single"/>
          <w:lang w:val="en-US" w:eastAsia="zh-CN"/>
        </w:rPr>
      </w:pPr>
      <w:r>
        <w:rPr>
          <w:rFonts w:hint="eastAsia" w:ascii="仿宋" w:hAnsi="仿宋" w:eastAsia="仿宋" w:cs="仿宋"/>
          <w:b/>
          <w:bCs/>
          <w:i/>
          <w:iCs/>
          <w:color w:val="auto"/>
          <w:spacing w:val="-6"/>
          <w:sz w:val="24"/>
          <w:szCs w:val="24"/>
          <w:highlight w:val="none"/>
          <w:u w:val="single"/>
          <w:lang w:val="en-US" w:eastAsia="zh-CN"/>
        </w:rPr>
        <w:t>说明：</w:t>
      </w:r>
    </w:p>
    <w:p w14:paraId="55D13638">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highlight w:val="none"/>
          <w:u w:val="single"/>
        </w:rPr>
      </w:pPr>
      <w:r>
        <w:rPr>
          <w:rFonts w:hint="eastAsia" w:ascii="仿宋" w:hAnsi="仿宋" w:eastAsia="仿宋" w:cs="仿宋"/>
          <w:b/>
          <w:i/>
          <w:iCs/>
          <w:color w:val="auto"/>
          <w:sz w:val="24"/>
          <w:szCs w:val="24"/>
          <w:highlight w:val="none"/>
          <w:u w:val="single"/>
        </w:rPr>
        <w:t>1、法定代表人、单位负责人或自然人本人代表投标人参加投标的，提供法定代表人（单位负责人、自然人本人）身份证件复印件。</w:t>
      </w:r>
    </w:p>
    <w:p w14:paraId="6113BFE4">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highlight w:val="none"/>
          <w:u w:val="singl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i/>
          <w:iCs/>
          <w:color w:val="auto"/>
          <w:sz w:val="24"/>
          <w:szCs w:val="24"/>
          <w:highlight w:val="none"/>
          <w:u w:val="single"/>
        </w:rPr>
        <w:t>2、法定代表人（单位负责人、自然人本人）以外的其他人员代表投标人参加投标时，应当按本格式要求编制、提交《授权委托书》。</w:t>
      </w:r>
    </w:p>
    <w:p w14:paraId="370620C1">
      <w:pPr>
        <w:snapToGrid w:val="0"/>
        <w:spacing w:line="360" w:lineRule="auto"/>
        <w:jc w:val="center"/>
        <w:rPr>
          <w:rFonts w:hint="eastAsia" w:ascii="仿宋" w:hAnsi="仿宋" w:eastAsia="仿宋" w:cs="仿宋"/>
          <w:sz w:val="32"/>
          <w:szCs w:val="32"/>
          <w:highlight w:val="none"/>
        </w:rPr>
      </w:pPr>
      <w:r>
        <w:rPr>
          <w:rFonts w:hint="eastAsia" w:ascii="仿宋" w:hAnsi="仿宋" w:eastAsia="仿宋" w:cs="仿宋"/>
          <w:b/>
          <w:kern w:val="0"/>
          <w:sz w:val="32"/>
          <w:szCs w:val="32"/>
          <w:highlight w:val="none"/>
          <w:lang w:val="zh-CN"/>
        </w:rPr>
        <w:t>授权委托书（适用于联合体投标）</w:t>
      </w:r>
    </w:p>
    <w:p w14:paraId="498A68F9">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sz w:val="24"/>
          <w:szCs w:val="24"/>
          <w:highlight w:val="none"/>
          <w:lang w:val="zh-CN"/>
        </w:rPr>
        <w:t>：</w:t>
      </w:r>
    </w:p>
    <w:p w14:paraId="5B0C23DF">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9AE76C2">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1E7A778A">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91D6F30">
      <w:pPr>
        <w:snapToGrid w:val="0"/>
        <w:spacing w:line="360" w:lineRule="auto"/>
        <w:rPr>
          <w:rFonts w:hint="eastAsia" w:ascii="仿宋" w:hAnsi="仿宋" w:eastAsia="仿宋" w:cs="仿宋"/>
          <w:kern w:val="0"/>
          <w:sz w:val="24"/>
          <w:highlight w:val="none"/>
          <w:lang w:val="zh-CN"/>
        </w:rPr>
      </w:pPr>
    </w:p>
    <w:p w14:paraId="5F8DAD22">
      <w:pPr>
        <w:snapToGrid w:val="0"/>
        <w:spacing w:line="360" w:lineRule="auto"/>
        <w:rPr>
          <w:rFonts w:hint="eastAsia" w:ascii="仿宋" w:hAnsi="仿宋" w:eastAsia="仿宋" w:cs="仿宋"/>
          <w:kern w:val="0"/>
          <w:sz w:val="24"/>
          <w:highlight w:val="none"/>
          <w:lang w:val="zh-CN"/>
        </w:rPr>
      </w:pPr>
    </w:p>
    <w:p w14:paraId="5C295CA6">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联合体成员名称(电子签名/公章)：</w:t>
      </w:r>
    </w:p>
    <w:p w14:paraId="638F2DC2">
      <w:pPr>
        <w:snapToGrid w:val="0"/>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联合体成员名称(电子签名/公章)：</w:t>
      </w:r>
    </w:p>
    <w:p w14:paraId="759F4B2D">
      <w:pPr>
        <w:snapToGrid w:val="0"/>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w:t>
      </w:r>
    </w:p>
    <w:p w14:paraId="081B2185">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5958524A">
      <w:pPr>
        <w:snapToGrid w:val="0"/>
        <w:spacing w:line="360" w:lineRule="auto"/>
        <w:jc w:val="right"/>
        <w:rPr>
          <w:rFonts w:hint="eastAsia" w:ascii="仿宋" w:hAnsi="仿宋" w:eastAsia="仿宋" w:cs="仿宋"/>
          <w:kern w:val="0"/>
          <w:sz w:val="24"/>
          <w:highlight w:val="none"/>
          <w:lang w:val="zh-CN"/>
        </w:rPr>
      </w:pPr>
    </w:p>
    <w:p w14:paraId="3C2A0DA4">
      <w:pPr>
        <w:snapToGrid w:val="0"/>
        <w:spacing w:line="360" w:lineRule="auto"/>
        <w:rPr>
          <w:rFonts w:hint="eastAsia" w:ascii="仿宋" w:hAnsi="仿宋" w:eastAsia="仿宋" w:cs="仿宋"/>
          <w:sz w:val="24"/>
          <w:highlight w:val="none"/>
        </w:rPr>
      </w:pPr>
    </w:p>
    <w:p w14:paraId="21EE1E17">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highlight w:val="none"/>
          <w:u w:val="single"/>
          <w:lang w:val="en-US" w:eastAsia="zh-CN"/>
        </w:rPr>
      </w:pPr>
      <w:r>
        <w:rPr>
          <w:rFonts w:hint="eastAsia" w:ascii="仿宋" w:hAnsi="仿宋" w:eastAsia="仿宋" w:cs="仿宋"/>
          <w:b/>
          <w:bCs/>
          <w:i/>
          <w:iCs/>
          <w:color w:val="auto"/>
          <w:spacing w:val="-6"/>
          <w:sz w:val="24"/>
          <w:szCs w:val="24"/>
          <w:highlight w:val="none"/>
          <w:u w:val="single"/>
          <w:lang w:val="en-US" w:eastAsia="zh-CN"/>
        </w:rPr>
        <w:t>说明：</w:t>
      </w:r>
    </w:p>
    <w:p w14:paraId="34343B71">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highlight w:val="none"/>
          <w:u w:val="single"/>
        </w:rPr>
      </w:pPr>
      <w:r>
        <w:rPr>
          <w:rFonts w:hint="eastAsia" w:ascii="仿宋" w:hAnsi="仿宋" w:eastAsia="仿宋" w:cs="仿宋"/>
          <w:b/>
          <w:i/>
          <w:iCs/>
          <w:color w:val="auto"/>
          <w:sz w:val="24"/>
          <w:szCs w:val="24"/>
          <w:highlight w:val="none"/>
          <w:u w:val="single"/>
        </w:rPr>
        <w:t>1、法定代表人、单位负责人或自然人本人代表投标人参加投标的，提供法定代表人（单位负责人、自然人本人）身份证件复印件。</w:t>
      </w:r>
    </w:p>
    <w:p w14:paraId="3E67212D">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highlight w:val="none"/>
          <w:u w:val="singl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仿宋" w:hAnsi="仿宋" w:eastAsia="仿宋" w:cs="仿宋"/>
          <w:b/>
          <w:i/>
          <w:iCs/>
          <w:color w:val="auto"/>
          <w:sz w:val="24"/>
          <w:szCs w:val="24"/>
          <w:highlight w:val="none"/>
          <w:u w:val="single"/>
        </w:rPr>
        <w:t>2、法定代表人（单位负责人、自然人本人）以外的其他人员代表投标人参加投标时，应当按本格式要求编制、提交《授权委托书》。</w:t>
      </w:r>
    </w:p>
    <w:p w14:paraId="5EC7DA2C">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14:paraId="7696CE01">
      <w:pPr>
        <w:pStyle w:val="181"/>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6"/>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3"/>
      </w:tblGrid>
      <w:tr w14:paraId="718F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8343" w:type="dxa"/>
          </w:tcPr>
          <w:p w14:paraId="549B7F2E">
            <w:pPr>
              <w:pStyle w:val="181"/>
              <w:adjustRightInd w:val="0"/>
              <w:spacing w:line="360" w:lineRule="auto"/>
              <w:rPr>
                <w:rFonts w:hint="eastAsia" w:ascii="仿宋" w:hAnsi="仿宋" w:eastAsia="仿宋" w:cs="仿宋"/>
                <w:bCs/>
                <w:sz w:val="24"/>
                <w:szCs w:val="21"/>
                <w:highlight w:val="none"/>
              </w:rPr>
            </w:pPr>
            <w:r>
              <w:rPr>
                <w:rFonts w:hint="eastAsia" w:ascii="仿宋" w:hAnsi="仿宋" w:eastAsia="仿宋" w:cs="仿宋"/>
                <w:bCs/>
                <w:sz w:val="24"/>
                <w:szCs w:val="21"/>
                <w:highlight w:val="none"/>
              </w:rPr>
              <w:t>正面：                                 反面：</w:t>
            </w:r>
          </w:p>
          <w:p w14:paraId="25CEC67B">
            <w:pPr>
              <w:pStyle w:val="181"/>
              <w:adjustRightInd w:val="0"/>
              <w:spacing w:line="360" w:lineRule="auto"/>
              <w:rPr>
                <w:rFonts w:hint="eastAsia" w:ascii="仿宋" w:hAnsi="仿宋" w:eastAsia="仿宋" w:cs="仿宋"/>
                <w:bCs/>
                <w:sz w:val="24"/>
                <w:szCs w:val="21"/>
                <w:highlight w:val="none"/>
              </w:rPr>
            </w:pPr>
          </w:p>
        </w:tc>
      </w:tr>
    </w:tbl>
    <w:p w14:paraId="6CC15961">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28096028">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5C02AAE7">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lang w:val="zh-CN"/>
        </w:rPr>
        <w:t>磋商供应商名称（电子签名）：</w:t>
      </w:r>
    </w:p>
    <w:p w14:paraId="42B6E9A4">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3FEC8410">
      <w:pPr>
        <w:jc w:val="center"/>
        <w:rPr>
          <w:rFonts w:hint="eastAsia" w:ascii="仿宋" w:hAnsi="仿宋" w:eastAsia="仿宋" w:cs="仿宋"/>
          <w:b/>
          <w:kern w:val="0"/>
          <w:sz w:val="32"/>
          <w:szCs w:val="32"/>
          <w:highlight w:val="none"/>
        </w:rPr>
        <w:sectPr>
          <w:headerReference r:id="rId17" w:type="first"/>
          <w:footerReference r:id="rId19" w:type="first"/>
          <w:headerReference r:id="rId16" w:type="default"/>
          <w:footerReference r:id="rId18" w:type="default"/>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301C15C6">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rPr>
        <w:t>三、</w:t>
      </w:r>
      <w:r>
        <w:rPr>
          <w:rFonts w:hint="eastAsia" w:ascii="仿宋" w:hAnsi="仿宋" w:eastAsia="仿宋" w:cs="仿宋"/>
          <w:b/>
          <w:kern w:val="0"/>
          <w:sz w:val="32"/>
          <w:szCs w:val="32"/>
          <w:highlight w:val="none"/>
          <w:lang w:val="zh-CN"/>
        </w:rPr>
        <w:t>联合协议</w:t>
      </w:r>
    </w:p>
    <w:p w14:paraId="1D8654ED">
      <w:pPr>
        <w:keepNext w:val="0"/>
        <w:keepLines w:val="0"/>
        <w:pageBreakBefore w:val="0"/>
        <w:widowControl/>
        <w:kinsoku/>
        <w:wordWrap/>
        <w:overflowPunct/>
        <w:topLinePunct w:val="0"/>
        <w:autoSpaceDE/>
        <w:autoSpaceDN/>
        <w:bidi w:val="0"/>
        <w:adjustRightInd w:val="0"/>
        <w:spacing w:line="420" w:lineRule="exact"/>
        <w:ind w:firstLine="482" w:firstLineChars="20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（以联合体形式投标的，提供联合协议；本项目不接受联合体投标或者投标人不以联合体形式投标的，则不需要提供）</w:t>
      </w:r>
    </w:p>
    <w:p w14:paraId="02714541">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 xml:space="preserve">投标。 </w:t>
      </w:r>
    </w:p>
    <w:p w14:paraId="7C556D32">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14:paraId="006EC03B">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授权代表根据招标文件规定及投标内容而对采购人、采购代理机构所作的任何合法承诺，包括书面澄清及相应等均对联合投标各方产生约束力。</w:t>
      </w:r>
    </w:p>
    <w:p w14:paraId="4EA946FA">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5AF8F0E3">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四、</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rPr>
        <w:t>提供的全部货物由小微企业制造，其合同份额占到合同总金额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未预留份额专门面向中小企业采购的采购项目，以及预留份额中的非预留部分采购包，接受联合体投标的，联合体其中一方提供的货物全部由小微企业制造，且其合同份额占到合同总金额30%以上，对联合体报价给予</w:t>
      </w:r>
      <w:r>
        <w:rPr>
          <w:rFonts w:hint="eastAsia" w:ascii="仿宋" w:hAnsi="仿宋" w:eastAsia="仿宋" w:cs="仿宋"/>
          <w:b/>
          <w:kern w:val="0"/>
          <w:sz w:val="24"/>
          <w:highlight w:val="none"/>
          <w:lang w:val="en-US" w:eastAsia="zh-CN"/>
        </w:rPr>
        <w:t>6</w:t>
      </w:r>
      <w:r>
        <w:rPr>
          <w:rFonts w:hint="eastAsia" w:ascii="仿宋" w:hAnsi="仿宋" w:eastAsia="仿宋" w:cs="仿宋"/>
          <w:b/>
          <w:kern w:val="0"/>
          <w:sz w:val="24"/>
          <w:highlight w:val="none"/>
          <w:lang w:val="zh-CN"/>
        </w:rPr>
        <w:t>%的扣除）</w:t>
      </w:r>
    </w:p>
    <w:p w14:paraId="018FA625">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14:paraId="17CEA1B4">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14:paraId="6EFD0258">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14:paraId="0265B094">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0308C023">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14:paraId="140180BD">
      <w:pPr>
        <w:snapToGrid w:val="0"/>
        <w:spacing w:line="360" w:lineRule="auto"/>
        <w:ind w:firstLine="4560" w:firstLineChars="19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6012810B">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2D88064C">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1A8F860E">
      <w:pPr>
        <w:snapToGrid w:val="0"/>
        <w:spacing w:line="360" w:lineRule="auto"/>
        <w:ind w:right="480"/>
        <w:rPr>
          <w:rFonts w:hint="eastAsia" w:ascii="仿宋" w:hAnsi="仿宋" w:eastAsia="仿宋" w:cs="仿宋"/>
          <w:b/>
          <w:kern w:val="0"/>
          <w:sz w:val="32"/>
          <w:szCs w:val="32"/>
          <w:highlight w:val="none"/>
          <w:lang w:val="zh-CN"/>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0C43AF85">
      <w:pPr>
        <w:snapToGrid w:val="0"/>
        <w:spacing w:line="360" w:lineRule="auto"/>
        <w:ind w:firstLine="3534" w:firstLineChars="11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四、分包意向协议</w:t>
      </w:r>
    </w:p>
    <w:p w14:paraId="07E94D7D">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14:paraId="173441D5">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37F8A254">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3B8BE60B">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682D00A4">
      <w:pPr>
        <w:pStyle w:val="5"/>
        <w:ind w:left="664" w:leftChars="316" w:firstLine="229" w:firstLineChars="95"/>
        <w:rPr>
          <w:rFonts w:hint="eastAsia" w:ascii="仿宋" w:hAnsi="仿宋" w:eastAsia="仿宋" w:cs="仿宋"/>
          <w:highlight w:val="none"/>
        </w:rPr>
      </w:pPr>
      <w:r>
        <w:rPr>
          <w:rFonts w:hint="eastAsia" w:ascii="仿宋" w:hAnsi="仿宋" w:eastAsia="仿宋" w:cs="仿宋"/>
          <w:kern w:val="0"/>
          <w:sz w:val="24"/>
          <w:szCs w:val="24"/>
          <w:highlight w:val="none"/>
        </w:rPr>
        <w:t>……</w:t>
      </w:r>
    </w:p>
    <w:p w14:paraId="67AE8D17">
      <w:pPr>
        <w:snapToGrid w:val="0"/>
        <w:spacing w:line="24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二、分包工作履行期限、地点、方式</w:t>
      </w:r>
    </w:p>
    <w:p w14:paraId="5D74DCEC">
      <w:pPr>
        <w:snapToGrid w:val="0"/>
        <w:spacing w:line="24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5D622799">
      <w:pPr>
        <w:snapToGrid w:val="0"/>
        <w:spacing w:line="24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三、质量</w:t>
      </w:r>
    </w:p>
    <w:p w14:paraId="7BA2CFB6">
      <w:pPr>
        <w:snapToGrid w:val="0"/>
        <w:spacing w:line="24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2EF2E4C7">
      <w:pPr>
        <w:snapToGrid w:val="0"/>
        <w:spacing w:line="24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四、价款或者报酬</w:t>
      </w:r>
    </w:p>
    <w:p w14:paraId="3598890C">
      <w:pPr>
        <w:snapToGrid w:val="0"/>
        <w:spacing w:line="24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1A5F8B23">
      <w:pPr>
        <w:snapToGrid w:val="0"/>
        <w:spacing w:line="24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五、违约责任</w:t>
      </w:r>
    </w:p>
    <w:p w14:paraId="5A1A5AEE">
      <w:pPr>
        <w:snapToGrid w:val="0"/>
        <w:spacing w:line="24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481C1222">
      <w:pPr>
        <w:snapToGrid w:val="0"/>
        <w:spacing w:line="24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六、争议解决的办法</w:t>
      </w:r>
    </w:p>
    <w:p w14:paraId="625786F6">
      <w:pPr>
        <w:snapToGrid w:val="0"/>
        <w:spacing w:line="24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7D861623">
      <w:pPr>
        <w:snapToGrid w:val="0"/>
        <w:spacing w:line="24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七、其他</w:t>
      </w:r>
    </w:p>
    <w:p w14:paraId="622F5900">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highlight w:val="none"/>
          <w:lang w:val="zh-CN"/>
        </w:rPr>
      </w:pPr>
      <w:r>
        <w:rPr>
          <w:rFonts w:hint="eastAsia" w:ascii="仿宋" w:hAnsi="仿宋" w:eastAsia="仿宋" w:cs="仿宋"/>
          <w:kern w:val="0"/>
          <w:sz w:val="24"/>
          <w:highlight w:val="none"/>
          <w:u w:val="single"/>
        </w:rPr>
        <w:t>（分包供应商名称）提供的货物全部由小微企业制造，</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highlight w:val="none"/>
          <w:lang w:val="zh-CN"/>
        </w:rPr>
        <w:t>金额30%以上的，对大中型企业的报价给予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14:paraId="18786BA5">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color w:val="FF0000"/>
          <w:kern w:val="0"/>
          <w:sz w:val="24"/>
          <w:highlight w:val="none"/>
          <w:lang w:val="zh-CN"/>
        </w:rPr>
        <w:t xml:space="preserve">                  </w:t>
      </w:r>
      <w:r>
        <w:rPr>
          <w:rFonts w:hint="eastAsia" w:ascii="仿宋" w:hAnsi="仿宋" w:eastAsia="仿宋" w:cs="仿宋"/>
          <w:kern w:val="0"/>
          <w:sz w:val="24"/>
          <w:highlight w:val="none"/>
          <w:lang w:val="zh-CN"/>
        </w:rPr>
        <w:t xml:space="preserve">                       磋商供应商名称（电子签名）：</w:t>
      </w:r>
    </w:p>
    <w:p w14:paraId="514D3220">
      <w:pPr>
        <w:snapToGrid w:val="0"/>
        <w:spacing w:line="360" w:lineRule="auto"/>
        <w:ind w:left="0" w:leftChars="0" w:firstLine="4920" w:firstLineChars="205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w:t>
      </w:r>
    </w:p>
    <w:p w14:paraId="66DFBC1D">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75880D01">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54EE12C2">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3AAD94E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五、符合性审查资料</w:t>
      </w:r>
    </w:p>
    <w:p w14:paraId="006C4DE0">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b/>
          <w:kern w:val="0"/>
          <w:sz w:val="32"/>
          <w:szCs w:val="32"/>
          <w:highlight w:val="none"/>
        </w:rPr>
      </w:pPr>
    </w:p>
    <w:tbl>
      <w:tblPr>
        <w:tblStyle w:val="6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5EF7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784B86A">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991" w:type="dxa"/>
            <w:vAlign w:val="center"/>
          </w:tcPr>
          <w:p w14:paraId="098C06F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3714" w:type="dxa"/>
            <w:vAlign w:val="center"/>
          </w:tcPr>
          <w:p w14:paraId="74517B8F">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r>
      <w:tr w14:paraId="5D0C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0200E3A">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1</w:t>
            </w:r>
          </w:p>
        </w:tc>
        <w:tc>
          <w:tcPr>
            <w:tcW w:w="4991" w:type="dxa"/>
            <w:vAlign w:val="center"/>
          </w:tcPr>
          <w:p w14:paraId="776BC2D4">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投标文件按照招标文件要求签署、盖章。</w:t>
            </w:r>
          </w:p>
        </w:tc>
        <w:tc>
          <w:tcPr>
            <w:tcW w:w="3714" w:type="dxa"/>
            <w:vAlign w:val="center"/>
          </w:tcPr>
          <w:p w14:paraId="57AF9440">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需要使用电子签名或者签字盖章的投标文件的组成部分</w:t>
            </w:r>
          </w:p>
        </w:tc>
      </w:tr>
      <w:tr w14:paraId="412B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3D14C69">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2</w:t>
            </w:r>
          </w:p>
        </w:tc>
        <w:tc>
          <w:tcPr>
            <w:tcW w:w="4991" w:type="dxa"/>
            <w:vAlign w:val="center"/>
          </w:tcPr>
          <w:p w14:paraId="2A8075AE">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0B526D1A">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节能产品认证证书（本项目拟采购的产品不属于政府强制采购的节能产品品目清单范围的，无需提供）</w:t>
            </w:r>
          </w:p>
        </w:tc>
      </w:tr>
      <w:tr w14:paraId="5633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46" w:type="dxa"/>
            <w:vAlign w:val="center"/>
          </w:tcPr>
          <w:p w14:paraId="7288BCDA">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3</w:t>
            </w:r>
          </w:p>
        </w:tc>
        <w:tc>
          <w:tcPr>
            <w:tcW w:w="4991" w:type="dxa"/>
            <w:vAlign w:val="center"/>
          </w:tcPr>
          <w:p w14:paraId="6B8DFE9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投标文件中承诺的投标有效期不少于招标文件中载明的投标有效期。</w:t>
            </w:r>
          </w:p>
        </w:tc>
        <w:tc>
          <w:tcPr>
            <w:tcW w:w="3714" w:type="dxa"/>
            <w:vAlign w:val="center"/>
          </w:tcPr>
          <w:p w14:paraId="2E9CB46A">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投标函</w:t>
            </w:r>
          </w:p>
        </w:tc>
      </w:tr>
      <w:tr w14:paraId="3A8D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B05787E">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4</w:t>
            </w:r>
          </w:p>
        </w:tc>
        <w:tc>
          <w:tcPr>
            <w:tcW w:w="4991" w:type="dxa"/>
            <w:vAlign w:val="center"/>
          </w:tcPr>
          <w:p w14:paraId="04DDFBDE">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投标文件满足招标文件的其它实质性要求。</w:t>
            </w:r>
          </w:p>
        </w:tc>
        <w:tc>
          <w:tcPr>
            <w:tcW w:w="3714" w:type="dxa"/>
            <w:vAlign w:val="center"/>
          </w:tcPr>
          <w:p w14:paraId="30BA270D">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招标文件其它实质性要求相应的材料（“★” 系指实质性要求条款，招标文件无其它实质性要求的，无需提供）</w:t>
            </w:r>
          </w:p>
        </w:tc>
      </w:tr>
    </w:tbl>
    <w:p w14:paraId="5BB334E7">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highlight w:val="none"/>
        </w:rPr>
        <w:sectPr>
          <w:headerReference r:id="rId21" w:type="first"/>
          <w:footerReference r:id="rId23" w:type="first"/>
          <w:headerReference r:id="rId20" w:type="default"/>
          <w:footerReference r:id="rId22" w:type="default"/>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7D79BAD0">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highlight w:val="none"/>
        </w:rPr>
      </w:pPr>
      <w:r>
        <w:rPr>
          <w:rFonts w:hint="eastAsia" w:ascii="仿宋" w:hAnsi="仿宋" w:eastAsia="仿宋" w:cs="仿宋"/>
          <w:b/>
          <w:kern w:val="0"/>
          <w:sz w:val="32"/>
          <w:szCs w:val="32"/>
          <w:highlight w:val="none"/>
        </w:rPr>
        <w:t>六、评标标准相应的商务技术资料</w:t>
      </w:r>
    </w:p>
    <w:p w14:paraId="46686F7F">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p w14:paraId="5470560E">
      <w:pPr>
        <w:jc w:val="center"/>
        <w:rPr>
          <w:rFonts w:hint="eastAsia" w:ascii="仿宋" w:hAnsi="仿宋" w:eastAsia="仿宋" w:cs="仿宋"/>
          <w:b/>
          <w:kern w:val="0"/>
          <w:sz w:val="32"/>
          <w:szCs w:val="32"/>
          <w:highlight w:val="none"/>
        </w:rPr>
      </w:pPr>
    </w:p>
    <w:p w14:paraId="22328C57">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5F0A3BAD">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七、商务技术偏离表</w:t>
      </w:r>
    </w:p>
    <w:tbl>
      <w:tblPr>
        <w:tblStyle w:val="6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880"/>
        <w:gridCol w:w="3720"/>
        <w:gridCol w:w="1260"/>
      </w:tblGrid>
      <w:tr w14:paraId="459E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3C6A9A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2880" w:type="dxa"/>
          </w:tcPr>
          <w:p w14:paraId="0F5992D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720" w:type="dxa"/>
          </w:tcPr>
          <w:p w14:paraId="3FD4826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投标文件章节（页码）及具体内容</w:t>
            </w:r>
          </w:p>
        </w:tc>
        <w:tc>
          <w:tcPr>
            <w:tcW w:w="1260" w:type="dxa"/>
          </w:tcPr>
          <w:p w14:paraId="034E5F3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37B6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0AEC55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2880" w:type="dxa"/>
          </w:tcPr>
          <w:p w14:paraId="69FEBEB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c>
          <w:tcPr>
            <w:tcW w:w="3720" w:type="dxa"/>
          </w:tcPr>
          <w:p w14:paraId="4D3A262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c>
          <w:tcPr>
            <w:tcW w:w="1260" w:type="dxa"/>
          </w:tcPr>
          <w:p w14:paraId="74E947F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r>
      <w:tr w14:paraId="5A49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EFE3E3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2880" w:type="dxa"/>
          </w:tcPr>
          <w:p w14:paraId="796F0ED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c>
          <w:tcPr>
            <w:tcW w:w="3720" w:type="dxa"/>
          </w:tcPr>
          <w:p w14:paraId="0B74536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c>
          <w:tcPr>
            <w:tcW w:w="1260" w:type="dxa"/>
          </w:tcPr>
          <w:p w14:paraId="561E83D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r>
      <w:tr w14:paraId="10A5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D657401">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2880" w:type="dxa"/>
          </w:tcPr>
          <w:p w14:paraId="1A85212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c>
          <w:tcPr>
            <w:tcW w:w="3720" w:type="dxa"/>
          </w:tcPr>
          <w:p w14:paraId="4364BF3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c>
          <w:tcPr>
            <w:tcW w:w="1260" w:type="dxa"/>
          </w:tcPr>
          <w:p w14:paraId="3078DE8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highlight w:val="none"/>
              </w:rPr>
            </w:pPr>
          </w:p>
        </w:tc>
      </w:tr>
    </w:tbl>
    <w:p w14:paraId="566682D4">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注：</w:t>
      </w:r>
    </w:p>
    <w:p w14:paraId="66016AE4">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73D77091">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2、投标人递交的技术规格书中必须真实逐条列明，否则由投标人自行承担相关风险。</w:t>
      </w:r>
    </w:p>
    <w:p w14:paraId="3F30705B">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3、此表在不改变格式的情况下可自行制作。</w:t>
      </w:r>
    </w:p>
    <w:p w14:paraId="0E14B8E3">
      <w:pPr>
        <w:pStyle w:val="35"/>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4、此表置于商务技术文件中。</w:t>
      </w:r>
    </w:p>
    <w:p w14:paraId="4591704F">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highlight w:val="none"/>
        </w:rPr>
      </w:pPr>
      <w:r>
        <w:rPr>
          <w:rFonts w:hint="eastAsia" w:ascii="仿宋" w:hAnsi="仿宋" w:eastAsia="仿宋" w:cs="仿宋"/>
          <w:b/>
          <w:kern w:val="0"/>
          <w:sz w:val="24"/>
          <w:highlight w:val="none"/>
        </w:rPr>
        <w:t>投标人保证：除商务技术偏离表列出的偏离外，投标人响应招标文件的全部要求。</w:t>
      </w:r>
    </w:p>
    <w:p w14:paraId="5B9A6893">
      <w:pPr>
        <w:ind w:firstLine="1911" w:firstLineChars="595"/>
        <w:rPr>
          <w:rFonts w:hint="eastAsia" w:ascii="仿宋" w:hAnsi="仿宋" w:eastAsia="仿宋" w:cs="仿宋"/>
          <w:b/>
          <w:kern w:val="0"/>
          <w:sz w:val="32"/>
          <w:szCs w:val="32"/>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2FDC9EFE">
      <w:pPr>
        <w:ind w:firstLine="1911" w:firstLineChars="595"/>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八、</w:t>
      </w:r>
      <w:r>
        <w:rPr>
          <w:rFonts w:hint="eastAsia" w:ascii="仿宋" w:hAnsi="仿宋" w:eastAsia="仿宋" w:cs="仿宋"/>
          <w:b/>
          <w:kern w:val="0"/>
          <w:sz w:val="32"/>
          <w:szCs w:val="32"/>
          <w:highlight w:val="none"/>
          <w:lang w:val="zh-CN"/>
        </w:rPr>
        <w:t>政府采购供应商廉洁自律承诺书</w:t>
      </w:r>
    </w:p>
    <w:p w14:paraId="5939EDC7">
      <w:pPr>
        <w:snapToGrid w:val="0"/>
        <w:spacing w:line="360" w:lineRule="auto"/>
        <w:rPr>
          <w:rFonts w:hint="eastAsia" w:ascii="仿宋" w:hAnsi="仿宋" w:eastAsia="仿宋" w:cs="仿宋"/>
          <w:sz w:val="24"/>
          <w:highlight w:val="none"/>
        </w:rPr>
      </w:pPr>
    </w:p>
    <w:p w14:paraId="3E2889FD">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（采购人）、（采购代理机构）：</w:t>
      </w:r>
    </w:p>
    <w:p w14:paraId="5BACFC22">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14:paraId="18411351">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一、不向项目有关人员及部门赠送礼金礼物、有价证券、回扣以及中介费、介绍费、咨询费等好处费；</w:t>
      </w:r>
    </w:p>
    <w:p w14:paraId="3D2F2BFA">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28FB0134">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78EDC695">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0289FE8C">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五、不为项目有关人员个人装修住房、婚丧嫁娶、配偶子女工作安排等提供好处；</w:t>
      </w:r>
    </w:p>
    <w:p w14:paraId="5B14A53F">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14:paraId="73301DC3">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055E7B9E">
      <w:pPr>
        <w:autoSpaceDE w:val="0"/>
        <w:autoSpaceDN w:val="0"/>
        <w:spacing w:line="360" w:lineRule="auto"/>
        <w:ind w:left="2"/>
        <w:jc w:val="left"/>
        <w:rPr>
          <w:rFonts w:hint="eastAsia" w:ascii="仿宋" w:hAnsi="仿宋" w:eastAsia="仿宋" w:cs="仿宋"/>
          <w:kern w:val="0"/>
          <w:sz w:val="24"/>
          <w:highlight w:val="none"/>
          <w:lang w:val="zh-CN"/>
        </w:rPr>
      </w:pPr>
    </w:p>
    <w:p w14:paraId="50F3BE4A">
      <w:pPr>
        <w:autoSpaceDE w:val="0"/>
        <w:autoSpaceDN w:val="0"/>
        <w:spacing w:line="360" w:lineRule="auto"/>
        <w:ind w:left="2"/>
        <w:jc w:val="left"/>
        <w:rPr>
          <w:rFonts w:hint="eastAsia" w:ascii="仿宋" w:hAnsi="仿宋" w:eastAsia="仿宋" w:cs="仿宋"/>
          <w:kern w:val="0"/>
          <w:sz w:val="24"/>
          <w:highlight w:val="none"/>
          <w:lang w:val="zh-CN"/>
        </w:rPr>
      </w:pPr>
    </w:p>
    <w:p w14:paraId="3A8FD5A7">
      <w:pPr>
        <w:autoSpaceDE w:val="0"/>
        <w:autoSpaceDN w:val="0"/>
        <w:spacing w:line="360" w:lineRule="auto"/>
        <w:ind w:right="1120" w:firstLine="4080" w:firstLineChars="17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磋商供应商名称（电子签名）：</w:t>
      </w:r>
    </w:p>
    <w:p w14:paraId="16A1A435">
      <w:pPr>
        <w:spacing w:line="360" w:lineRule="auto"/>
        <w:ind w:firstLine="4080" w:firstLineChars="17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53DBB8A4">
      <w:pPr>
        <w:spacing w:line="360" w:lineRule="auto"/>
        <w:jc w:val="center"/>
        <w:rPr>
          <w:rFonts w:hint="eastAsia" w:ascii="仿宋" w:hAnsi="仿宋" w:eastAsia="仿宋" w:cs="仿宋"/>
          <w:b/>
          <w:bCs/>
          <w:sz w:val="24"/>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4542271B">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14:paraId="0266FC94">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目录</w:t>
      </w:r>
    </w:p>
    <w:p w14:paraId="39A1CBFE">
      <w:pPr>
        <w:tabs>
          <w:tab w:val="left" w:pos="7647"/>
        </w:tabs>
        <w:spacing w:line="360" w:lineRule="auto"/>
        <w:jc w:val="left"/>
        <w:outlineLvl w:val="0"/>
        <w:rPr>
          <w:rFonts w:hint="eastAsia" w:ascii="仿宋" w:hAnsi="仿宋" w:eastAsia="仿宋" w:cs="仿宋"/>
          <w:b/>
          <w:kern w:val="0"/>
          <w:sz w:val="36"/>
          <w:szCs w:val="36"/>
          <w:highlight w:val="none"/>
          <w:lang w:eastAsia="zh-CN"/>
        </w:rPr>
      </w:pPr>
      <w:r>
        <w:rPr>
          <w:rFonts w:hint="eastAsia" w:ascii="仿宋" w:hAnsi="仿宋" w:eastAsia="仿宋" w:cs="仿宋"/>
          <w:b/>
          <w:kern w:val="0"/>
          <w:sz w:val="36"/>
          <w:szCs w:val="36"/>
          <w:highlight w:val="none"/>
          <w:lang w:eastAsia="zh-CN"/>
        </w:rPr>
        <w:tab/>
      </w:r>
    </w:p>
    <w:p w14:paraId="1AF76FB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（1）开标一览表</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报价表</w:t>
      </w:r>
      <w:r>
        <w:rPr>
          <w:rFonts w:hint="eastAsia" w:ascii="仿宋" w:hAnsi="仿宋" w:eastAsia="仿宋" w:cs="仿宋"/>
          <w:sz w:val="24"/>
          <w:highlight w:val="none"/>
          <w:lang w:eastAsia="zh-CN"/>
        </w:rPr>
        <w:t>）</w:t>
      </w:r>
      <w:r>
        <w:rPr>
          <w:rFonts w:hint="eastAsia" w:ascii="仿宋" w:hAnsi="仿宋" w:eastAsia="仿宋" w:cs="仿宋"/>
          <w:sz w:val="24"/>
          <w:highlight w:val="none"/>
        </w:rPr>
        <w:t>…………………………………………………（页码）</w:t>
      </w:r>
    </w:p>
    <w:p w14:paraId="1D5EC7F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（2）中小企业声明函（如需）………………………………………………（页码）</w:t>
      </w:r>
    </w:p>
    <w:p w14:paraId="3A022D5C">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highlight w:val="none"/>
          <w:lang w:val="en-US" w:eastAsia="zh-CN"/>
        </w:rPr>
      </w:pPr>
    </w:p>
    <w:p w14:paraId="391EBD1A">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highlight w:val="none"/>
          <w:lang w:val="en-US" w:eastAsia="zh-CN"/>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22FF11B7">
      <w:pPr>
        <w:pStyle w:val="701"/>
        <w:keepNext w:val="0"/>
        <w:pageBreakBefore w:val="0"/>
        <w:numPr>
          <w:ilvl w:val="0"/>
          <w:numId w:val="11"/>
        </w:numPr>
        <w:tabs>
          <w:tab w:val="clear" w:pos="720"/>
        </w:tabs>
        <w:snapToGrid w:val="0"/>
        <w:spacing w:before="120" w:after="120"/>
        <w:ind w:firstLine="643"/>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开标一览表（标项1）</w:t>
      </w:r>
    </w:p>
    <w:p w14:paraId="1FDF452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rPr>
        <w:t>项目名称：</w:t>
      </w:r>
      <w:r>
        <w:rPr>
          <w:rFonts w:hint="eastAsia" w:ascii="仿宋" w:hAnsi="仿宋" w:eastAsia="仿宋" w:cs="仿宋"/>
          <w:b/>
          <w:bCs w:val="0"/>
          <w:sz w:val="28"/>
          <w:szCs w:val="28"/>
          <w:highlight w:val="none"/>
          <w:lang w:val="en-US" w:eastAsia="zh-CN"/>
        </w:rPr>
        <w:t>诸暨市东和乡2025年度水利设计服务采购项目</w:t>
      </w:r>
    </w:p>
    <w:p w14:paraId="0E83FE2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rPr>
        <w:t>项目编号：</w:t>
      </w:r>
      <w:r>
        <w:rPr>
          <w:rFonts w:hint="eastAsia" w:ascii="仿宋" w:hAnsi="仿宋" w:eastAsia="仿宋" w:cs="仿宋"/>
          <w:b/>
          <w:bCs w:val="0"/>
          <w:sz w:val="28"/>
          <w:szCs w:val="28"/>
          <w:highlight w:val="none"/>
          <w:lang w:val="en-US" w:eastAsia="zh-CN"/>
        </w:rPr>
        <w:t>绍兴盈伽2025-02-10</w:t>
      </w:r>
    </w:p>
    <w:tbl>
      <w:tblPr>
        <w:tblStyle w:val="66"/>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225"/>
        <w:gridCol w:w="1427"/>
        <w:gridCol w:w="1907"/>
        <w:gridCol w:w="2661"/>
      </w:tblGrid>
      <w:tr w14:paraId="3998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58" w:type="dxa"/>
            <w:vMerge w:val="restart"/>
            <w:noWrap w:val="0"/>
            <w:vAlign w:val="center"/>
          </w:tcPr>
          <w:p w14:paraId="242AF8BA">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标项</w:t>
            </w:r>
          </w:p>
        </w:tc>
        <w:tc>
          <w:tcPr>
            <w:tcW w:w="2225" w:type="dxa"/>
            <w:vMerge w:val="restart"/>
            <w:noWrap w:val="0"/>
            <w:vAlign w:val="center"/>
          </w:tcPr>
          <w:p w14:paraId="4F09420B">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标项内容</w:t>
            </w:r>
          </w:p>
        </w:tc>
        <w:tc>
          <w:tcPr>
            <w:tcW w:w="1427" w:type="dxa"/>
            <w:vMerge w:val="restart"/>
            <w:noWrap w:val="0"/>
            <w:vAlign w:val="center"/>
          </w:tcPr>
          <w:p w14:paraId="6CB629D5">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最高限价（%）</w:t>
            </w:r>
          </w:p>
        </w:tc>
        <w:tc>
          <w:tcPr>
            <w:tcW w:w="4568" w:type="dxa"/>
            <w:gridSpan w:val="2"/>
            <w:noWrap w:val="0"/>
            <w:vAlign w:val="center"/>
          </w:tcPr>
          <w:p w14:paraId="66D5C36B">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投标</w:t>
            </w:r>
            <w:r>
              <w:rPr>
                <w:rFonts w:hint="eastAsia" w:ascii="仿宋" w:hAnsi="仿宋" w:eastAsia="仿宋" w:cs="仿宋"/>
                <w:b/>
                <w:color w:val="auto"/>
                <w:sz w:val="28"/>
                <w:szCs w:val="28"/>
                <w:highlight w:val="none"/>
                <w:lang w:val="en-US" w:eastAsia="zh-CN"/>
              </w:rPr>
              <w:t>报价（折扣%）</w:t>
            </w:r>
          </w:p>
        </w:tc>
      </w:tr>
      <w:tr w14:paraId="45A9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58" w:type="dxa"/>
            <w:vMerge w:val="continue"/>
            <w:noWrap w:val="0"/>
            <w:vAlign w:val="center"/>
          </w:tcPr>
          <w:p w14:paraId="3B10E706">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p>
        </w:tc>
        <w:tc>
          <w:tcPr>
            <w:tcW w:w="2225" w:type="dxa"/>
            <w:vMerge w:val="continue"/>
            <w:noWrap w:val="0"/>
            <w:vAlign w:val="center"/>
          </w:tcPr>
          <w:p w14:paraId="61CC41C3">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p>
        </w:tc>
        <w:tc>
          <w:tcPr>
            <w:tcW w:w="1427" w:type="dxa"/>
            <w:vMerge w:val="continue"/>
            <w:noWrap w:val="0"/>
            <w:vAlign w:val="center"/>
          </w:tcPr>
          <w:p w14:paraId="58B5BECA">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p>
        </w:tc>
        <w:tc>
          <w:tcPr>
            <w:tcW w:w="1907" w:type="dxa"/>
            <w:noWrap w:val="0"/>
            <w:vAlign w:val="center"/>
          </w:tcPr>
          <w:p w14:paraId="6C1D8C5A">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小写</w:t>
            </w:r>
          </w:p>
        </w:tc>
        <w:tc>
          <w:tcPr>
            <w:tcW w:w="2661" w:type="dxa"/>
            <w:noWrap w:val="0"/>
            <w:vAlign w:val="center"/>
          </w:tcPr>
          <w:p w14:paraId="5BE68E71">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大写</w:t>
            </w:r>
          </w:p>
        </w:tc>
      </w:tr>
      <w:tr w14:paraId="79A69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1058" w:type="dxa"/>
            <w:noWrap w:val="0"/>
            <w:vAlign w:val="center"/>
          </w:tcPr>
          <w:p w14:paraId="350BDADE">
            <w:pPr>
              <w:kinsoku/>
              <w:wordWrap/>
              <w:overflowPunct/>
              <w:topLinePunct w:val="0"/>
              <w:bidi w:val="0"/>
              <w:spacing w:line="400" w:lineRule="exact"/>
              <w:jc w:val="center"/>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标项1</w:t>
            </w:r>
          </w:p>
        </w:tc>
        <w:tc>
          <w:tcPr>
            <w:tcW w:w="2225" w:type="dxa"/>
            <w:noWrap w:val="0"/>
            <w:vAlign w:val="center"/>
          </w:tcPr>
          <w:p w14:paraId="0A6A1C9A">
            <w:pPr>
              <w:kinsoku/>
              <w:wordWrap/>
              <w:overflowPunct/>
              <w:topLinePunct w:val="0"/>
              <w:bidi w:val="0"/>
              <w:spacing w:line="400" w:lineRule="exact"/>
              <w:jc w:val="center"/>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实施区域1</w:t>
            </w:r>
          </w:p>
        </w:tc>
        <w:tc>
          <w:tcPr>
            <w:tcW w:w="1427" w:type="dxa"/>
            <w:noWrap w:val="0"/>
            <w:vAlign w:val="center"/>
          </w:tcPr>
          <w:p w14:paraId="687BEC65">
            <w:pPr>
              <w:kinsoku/>
              <w:wordWrap/>
              <w:overflowPunct/>
              <w:topLinePunct w:val="0"/>
              <w:bidi w:val="0"/>
              <w:spacing w:line="400" w:lineRule="exact"/>
              <w:jc w:val="center"/>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65.00%</w:t>
            </w:r>
          </w:p>
        </w:tc>
        <w:tc>
          <w:tcPr>
            <w:tcW w:w="1907" w:type="dxa"/>
            <w:noWrap w:val="0"/>
            <w:vAlign w:val="center"/>
          </w:tcPr>
          <w:p w14:paraId="6506F99D">
            <w:pPr>
              <w:kinsoku/>
              <w:wordWrap/>
              <w:overflowPunct/>
              <w:topLinePunct w:val="0"/>
              <w:bidi w:val="0"/>
              <w:spacing w:line="400" w:lineRule="exact"/>
              <w:jc w:val="center"/>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w:t>
            </w:r>
          </w:p>
        </w:tc>
        <w:tc>
          <w:tcPr>
            <w:tcW w:w="2661" w:type="dxa"/>
            <w:noWrap w:val="0"/>
            <w:vAlign w:val="center"/>
          </w:tcPr>
          <w:p w14:paraId="736CCCDF">
            <w:pPr>
              <w:kinsoku/>
              <w:wordWrap/>
              <w:overflowPunct/>
              <w:topLinePunct w:val="0"/>
              <w:bidi w:val="0"/>
              <w:spacing w:line="40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百分之**点**</w:t>
            </w:r>
          </w:p>
        </w:tc>
      </w:tr>
    </w:tbl>
    <w:p w14:paraId="3AC31593">
      <w:pPr>
        <w:keepNext w:val="0"/>
        <w:keepLines w:val="0"/>
        <w:pageBreakBefore w:val="0"/>
        <w:widowControl w:val="0"/>
        <w:kinsoku/>
        <w:wordWrap/>
        <w:overflowPunct/>
        <w:topLinePunct w:val="0"/>
        <w:bidi w:val="0"/>
        <w:adjustRightInd w:val="0"/>
        <w:snapToGrid w:val="0"/>
        <w:spacing w:line="420" w:lineRule="atLeast"/>
        <w:jc w:val="right"/>
        <w:textAlignment w:val="auto"/>
        <w:rPr>
          <w:rFonts w:hint="eastAsia" w:ascii="仿宋" w:hAnsi="仿宋" w:eastAsia="仿宋" w:cs="仿宋"/>
          <w:bCs/>
          <w:color w:val="auto"/>
          <w:kern w:val="0"/>
          <w:sz w:val="24"/>
          <w:highlight w:val="none"/>
          <w:lang w:val="en-US" w:eastAsia="zh-CN"/>
        </w:rPr>
      </w:pPr>
    </w:p>
    <w:p w14:paraId="7FA853F9">
      <w:pPr>
        <w:keepNext w:val="0"/>
        <w:keepLines w:val="0"/>
        <w:pageBreakBefore w:val="0"/>
        <w:widowControl w:val="0"/>
        <w:kinsoku/>
        <w:wordWrap/>
        <w:overflowPunct/>
        <w:topLinePunct w:val="0"/>
        <w:bidi w:val="0"/>
        <w:adjustRightInd w:val="0"/>
        <w:snapToGrid w:val="0"/>
        <w:spacing w:line="420" w:lineRule="atLeast"/>
        <w:jc w:val="right"/>
        <w:textAlignment w:val="auto"/>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磋商供应商名称（电子签名）：</w:t>
      </w:r>
    </w:p>
    <w:p w14:paraId="78FDB4D5">
      <w:pPr>
        <w:keepNext w:val="0"/>
        <w:keepLines w:val="0"/>
        <w:pageBreakBefore w:val="0"/>
        <w:widowControl w:val="0"/>
        <w:kinsoku/>
        <w:wordWrap/>
        <w:overflowPunct/>
        <w:topLinePunct w:val="0"/>
        <w:bidi w:val="0"/>
        <w:adjustRightInd w:val="0"/>
        <w:snapToGrid w:val="0"/>
        <w:spacing w:line="420" w:lineRule="atLeast"/>
        <w:jc w:val="center"/>
        <w:textAlignment w:val="auto"/>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en-US" w:eastAsia="zh-CN"/>
        </w:rPr>
        <w:t xml:space="preserve">                     </w:t>
      </w:r>
      <w:r>
        <w:rPr>
          <w:rFonts w:hint="eastAsia" w:ascii="仿宋" w:hAnsi="仿宋" w:eastAsia="仿宋" w:cs="仿宋"/>
          <w:bCs/>
          <w:color w:val="auto"/>
          <w:kern w:val="0"/>
          <w:sz w:val="24"/>
          <w:highlight w:val="none"/>
          <w:lang w:val="zh-CN"/>
        </w:rPr>
        <w:t>日  期：</w:t>
      </w:r>
    </w:p>
    <w:p w14:paraId="08B81E08">
      <w:pPr>
        <w:pStyle w:val="25"/>
        <w:spacing w:line="420" w:lineRule="exact"/>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说明：</w:t>
      </w:r>
    </w:p>
    <w:p w14:paraId="37361786">
      <w:pPr>
        <w:pStyle w:val="25"/>
        <w:spacing w:line="420" w:lineRule="exact"/>
        <w:ind w:firstLine="480" w:firstLineChars="200"/>
        <w:rPr>
          <w:rFonts w:hint="eastAsia" w:ascii="仿宋" w:hAnsi="仿宋" w:eastAsia="仿宋" w:cs="仿宋"/>
          <w:bCs/>
          <w:color w:val="auto"/>
          <w:kern w:val="0"/>
          <w:highlight w:val="none"/>
          <w:lang w:val="zh-CN"/>
        </w:rPr>
      </w:pPr>
      <w:r>
        <w:rPr>
          <w:rFonts w:hint="eastAsia" w:ascii="仿宋" w:hAnsi="仿宋" w:eastAsia="仿宋" w:cs="仿宋"/>
          <w:bCs/>
          <w:color w:val="auto"/>
          <w:kern w:val="0"/>
          <w:highlight w:val="none"/>
          <w:lang w:val="zh-CN"/>
        </w:rPr>
        <w:t>1、投标人需按本表格式填写，单位统一均为人民币元。</w:t>
      </w:r>
    </w:p>
    <w:p w14:paraId="68ED4BB0">
      <w:pPr>
        <w:pStyle w:val="25"/>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color w:val="auto"/>
          <w:kern w:val="0"/>
          <w:highlight w:val="none"/>
          <w:lang w:val="zh-CN"/>
        </w:rPr>
        <w:t>2、有关本项目实施所涉及的一切费用均计入报价。采购人将以合同形式有偿取得</w:t>
      </w:r>
      <w:r>
        <w:rPr>
          <w:rFonts w:hint="eastAsia" w:ascii="仿宋" w:hAnsi="仿宋" w:eastAsia="仿宋" w:cs="仿宋"/>
          <w:bCs/>
          <w:kern w:val="0"/>
          <w:highlight w:val="none"/>
          <w:lang w:val="zh-CN"/>
        </w:rPr>
        <w:t>货物或服务，不接受投标人给予的赠品、回扣或者与采购无关的其他商品、服务，不得出现“0元”“</w:t>
      </w:r>
      <w:r>
        <w:rPr>
          <w:rFonts w:hint="eastAsia" w:ascii="仿宋" w:hAnsi="仿宋" w:eastAsia="仿宋" w:cs="仿宋"/>
          <w:bCs/>
          <w:kern w:val="0"/>
          <w:highlight w:val="none"/>
          <w:lang w:val="zh-CN" w:eastAsia="zh-CN"/>
        </w:rPr>
        <w:t>0.00%</w:t>
      </w:r>
      <w:r>
        <w:rPr>
          <w:rFonts w:hint="eastAsia" w:ascii="仿宋" w:hAnsi="仿宋" w:eastAsia="仿宋" w:cs="仿宋"/>
          <w:bCs/>
          <w:kern w:val="0"/>
          <w:highlight w:val="none"/>
          <w:lang w:val="zh-CN"/>
        </w:rPr>
        <w:t>”“免费赠送”等形式的无偿报价，否则视为投标文件含有采购人不能接受的附加条件的，投标无效。</w:t>
      </w:r>
    </w:p>
    <w:p w14:paraId="4E1BA630">
      <w:pPr>
        <w:pStyle w:val="25"/>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t>3、以上表格要求细分项目及报价，在“规格型号（或具体服务）”一栏中，货物类项目填写规格型号，服务类项目填写具体服务。</w:t>
      </w:r>
    </w:p>
    <w:p w14:paraId="76FD2A0B">
      <w:pPr>
        <w:pStyle w:val="25"/>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t>4、特别提示：采购代理机构将对项目名称和项目编号，中标供应商名称、地址和中标金额，主要中标标的名称、规格型号、数量、单价、服务要求等予以公示。</w:t>
      </w:r>
    </w:p>
    <w:p w14:paraId="4DD1F9A0">
      <w:pPr>
        <w:pStyle w:val="25"/>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12E7636">
      <w:pPr>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br w:type="page"/>
      </w:r>
    </w:p>
    <w:p w14:paraId="1482D153">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highlight w:val="none"/>
          <w:lang w:eastAsia="zh-CN"/>
        </w:rPr>
      </w:pPr>
      <w:r>
        <w:rPr>
          <w:rFonts w:hint="eastAsia" w:ascii="仿宋" w:hAnsi="仿宋" w:eastAsia="仿宋" w:cs="仿宋"/>
          <w:b/>
          <w:bCs w:val="0"/>
          <w:color w:val="auto"/>
          <w:kern w:val="2"/>
          <w:sz w:val="32"/>
          <w:szCs w:val="32"/>
          <w:highlight w:val="none"/>
        </w:rPr>
        <w:t>开标一览表</w:t>
      </w:r>
      <w:r>
        <w:rPr>
          <w:rFonts w:hint="eastAsia" w:ascii="仿宋" w:hAnsi="仿宋" w:eastAsia="仿宋" w:cs="仿宋"/>
          <w:b/>
          <w:bCs w:val="0"/>
          <w:color w:val="auto"/>
          <w:kern w:val="2"/>
          <w:sz w:val="32"/>
          <w:szCs w:val="32"/>
          <w:highlight w:val="none"/>
          <w:lang w:eastAsia="zh-CN"/>
        </w:rPr>
        <w:t>（</w:t>
      </w:r>
      <w:r>
        <w:rPr>
          <w:rFonts w:hint="eastAsia" w:ascii="仿宋" w:hAnsi="仿宋" w:eastAsia="仿宋" w:cs="仿宋"/>
          <w:b/>
          <w:bCs w:val="0"/>
          <w:color w:val="auto"/>
          <w:kern w:val="2"/>
          <w:sz w:val="32"/>
          <w:szCs w:val="32"/>
          <w:highlight w:val="none"/>
          <w:lang w:val="en-US" w:eastAsia="zh-CN"/>
        </w:rPr>
        <w:t>标项2</w:t>
      </w:r>
      <w:r>
        <w:rPr>
          <w:rFonts w:hint="eastAsia" w:ascii="仿宋" w:hAnsi="仿宋" w:eastAsia="仿宋" w:cs="仿宋"/>
          <w:b/>
          <w:bCs w:val="0"/>
          <w:color w:val="auto"/>
          <w:kern w:val="2"/>
          <w:sz w:val="32"/>
          <w:szCs w:val="32"/>
          <w:highlight w:val="none"/>
          <w:lang w:eastAsia="zh-CN"/>
        </w:rPr>
        <w:t>）</w:t>
      </w:r>
    </w:p>
    <w:p w14:paraId="5EC2FE1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rPr>
        <w:t>项目名称：</w:t>
      </w:r>
      <w:r>
        <w:rPr>
          <w:rFonts w:hint="eastAsia" w:ascii="仿宋" w:hAnsi="仿宋" w:eastAsia="仿宋" w:cs="仿宋"/>
          <w:b/>
          <w:bCs w:val="0"/>
          <w:sz w:val="28"/>
          <w:szCs w:val="28"/>
          <w:highlight w:val="none"/>
          <w:lang w:val="en-US" w:eastAsia="zh-CN"/>
        </w:rPr>
        <w:t>诸暨市东和乡2025年度水利设计服务采购项目</w:t>
      </w:r>
    </w:p>
    <w:p w14:paraId="0873AE9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rPr>
        <w:t>项目编号：</w:t>
      </w:r>
      <w:r>
        <w:rPr>
          <w:rFonts w:hint="eastAsia" w:ascii="仿宋" w:hAnsi="仿宋" w:eastAsia="仿宋" w:cs="仿宋"/>
          <w:b/>
          <w:bCs w:val="0"/>
          <w:sz w:val="28"/>
          <w:szCs w:val="28"/>
          <w:highlight w:val="none"/>
          <w:lang w:val="en-US" w:eastAsia="zh-CN"/>
        </w:rPr>
        <w:t>绍兴盈伽2025-02-10</w:t>
      </w:r>
    </w:p>
    <w:tbl>
      <w:tblPr>
        <w:tblStyle w:val="66"/>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485"/>
        <w:gridCol w:w="1398"/>
        <w:gridCol w:w="1676"/>
        <w:gridCol w:w="2661"/>
      </w:tblGrid>
      <w:tr w14:paraId="2995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58" w:type="dxa"/>
            <w:vMerge w:val="restart"/>
            <w:noWrap w:val="0"/>
            <w:vAlign w:val="center"/>
          </w:tcPr>
          <w:p w14:paraId="6607A791">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标项</w:t>
            </w:r>
          </w:p>
        </w:tc>
        <w:tc>
          <w:tcPr>
            <w:tcW w:w="2485" w:type="dxa"/>
            <w:vMerge w:val="restart"/>
            <w:noWrap w:val="0"/>
            <w:vAlign w:val="center"/>
          </w:tcPr>
          <w:p w14:paraId="690EB2F9">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标项内容</w:t>
            </w:r>
          </w:p>
        </w:tc>
        <w:tc>
          <w:tcPr>
            <w:tcW w:w="1398" w:type="dxa"/>
            <w:vMerge w:val="restart"/>
            <w:noWrap w:val="0"/>
            <w:vAlign w:val="center"/>
          </w:tcPr>
          <w:p w14:paraId="09B410E6">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最高限价（%）</w:t>
            </w:r>
          </w:p>
        </w:tc>
        <w:tc>
          <w:tcPr>
            <w:tcW w:w="4337" w:type="dxa"/>
            <w:gridSpan w:val="2"/>
            <w:noWrap w:val="0"/>
            <w:vAlign w:val="center"/>
          </w:tcPr>
          <w:p w14:paraId="7C052FC9">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投标</w:t>
            </w:r>
            <w:r>
              <w:rPr>
                <w:rFonts w:hint="eastAsia" w:ascii="仿宋" w:hAnsi="仿宋" w:eastAsia="仿宋" w:cs="仿宋"/>
                <w:b/>
                <w:color w:val="auto"/>
                <w:sz w:val="28"/>
                <w:szCs w:val="28"/>
                <w:highlight w:val="none"/>
                <w:lang w:val="en-US" w:eastAsia="zh-CN"/>
              </w:rPr>
              <w:t>报价（折扣%）</w:t>
            </w:r>
          </w:p>
        </w:tc>
      </w:tr>
      <w:tr w14:paraId="2116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058" w:type="dxa"/>
            <w:vMerge w:val="continue"/>
            <w:noWrap w:val="0"/>
            <w:vAlign w:val="center"/>
          </w:tcPr>
          <w:p w14:paraId="4A98EDF9">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p>
        </w:tc>
        <w:tc>
          <w:tcPr>
            <w:tcW w:w="2485" w:type="dxa"/>
            <w:vMerge w:val="continue"/>
            <w:noWrap w:val="0"/>
            <w:vAlign w:val="center"/>
          </w:tcPr>
          <w:p w14:paraId="2D803E4C">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p>
        </w:tc>
        <w:tc>
          <w:tcPr>
            <w:tcW w:w="1398" w:type="dxa"/>
            <w:vMerge w:val="continue"/>
            <w:noWrap w:val="0"/>
            <w:vAlign w:val="center"/>
          </w:tcPr>
          <w:p w14:paraId="55662BA0">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p>
        </w:tc>
        <w:tc>
          <w:tcPr>
            <w:tcW w:w="1676" w:type="dxa"/>
            <w:noWrap w:val="0"/>
            <w:vAlign w:val="center"/>
          </w:tcPr>
          <w:p w14:paraId="5A4B5892">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小写</w:t>
            </w:r>
          </w:p>
        </w:tc>
        <w:tc>
          <w:tcPr>
            <w:tcW w:w="2661" w:type="dxa"/>
            <w:noWrap w:val="0"/>
            <w:vAlign w:val="center"/>
          </w:tcPr>
          <w:p w14:paraId="6B8E0C09">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大写</w:t>
            </w:r>
          </w:p>
        </w:tc>
      </w:tr>
      <w:tr w14:paraId="18C3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1058" w:type="dxa"/>
            <w:noWrap w:val="0"/>
            <w:vAlign w:val="center"/>
          </w:tcPr>
          <w:p w14:paraId="1859CC0C">
            <w:pPr>
              <w:kinsoku/>
              <w:wordWrap/>
              <w:overflowPunct/>
              <w:topLinePunct w:val="0"/>
              <w:bidi w:val="0"/>
              <w:spacing w:line="400" w:lineRule="exact"/>
              <w:jc w:val="center"/>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标项2</w:t>
            </w:r>
          </w:p>
        </w:tc>
        <w:tc>
          <w:tcPr>
            <w:tcW w:w="2485" w:type="dxa"/>
            <w:noWrap w:val="0"/>
            <w:vAlign w:val="center"/>
          </w:tcPr>
          <w:p w14:paraId="3C9E8D8A">
            <w:pPr>
              <w:kinsoku/>
              <w:wordWrap/>
              <w:overflowPunct/>
              <w:topLinePunct w:val="0"/>
              <w:bidi w:val="0"/>
              <w:spacing w:line="400" w:lineRule="exact"/>
              <w:jc w:val="center"/>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实施区域2</w:t>
            </w:r>
          </w:p>
        </w:tc>
        <w:tc>
          <w:tcPr>
            <w:tcW w:w="1398" w:type="dxa"/>
            <w:noWrap w:val="0"/>
            <w:vAlign w:val="center"/>
          </w:tcPr>
          <w:p w14:paraId="42DB189E">
            <w:pPr>
              <w:kinsoku/>
              <w:wordWrap/>
              <w:overflowPunct/>
              <w:topLinePunct w:val="0"/>
              <w:bidi w:val="0"/>
              <w:spacing w:line="400" w:lineRule="exact"/>
              <w:jc w:val="center"/>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65.00%</w:t>
            </w:r>
          </w:p>
        </w:tc>
        <w:tc>
          <w:tcPr>
            <w:tcW w:w="1676" w:type="dxa"/>
            <w:noWrap w:val="0"/>
            <w:vAlign w:val="center"/>
          </w:tcPr>
          <w:p w14:paraId="771A152F">
            <w:pPr>
              <w:kinsoku/>
              <w:wordWrap/>
              <w:overflowPunct/>
              <w:topLinePunct w:val="0"/>
              <w:bidi w:val="0"/>
              <w:spacing w:line="400" w:lineRule="exact"/>
              <w:jc w:val="center"/>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w:t>
            </w:r>
          </w:p>
        </w:tc>
        <w:tc>
          <w:tcPr>
            <w:tcW w:w="2661" w:type="dxa"/>
            <w:noWrap w:val="0"/>
            <w:vAlign w:val="center"/>
          </w:tcPr>
          <w:p w14:paraId="25B2A157">
            <w:pPr>
              <w:kinsoku/>
              <w:wordWrap/>
              <w:overflowPunct/>
              <w:topLinePunct w:val="0"/>
              <w:bidi w:val="0"/>
              <w:spacing w:line="40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百分之**点**</w:t>
            </w:r>
          </w:p>
        </w:tc>
      </w:tr>
    </w:tbl>
    <w:p w14:paraId="3266FDCE">
      <w:pPr>
        <w:snapToGrid w:val="0"/>
        <w:spacing w:line="360" w:lineRule="auto"/>
        <w:ind w:firstLine="1920" w:firstLineChars="800"/>
        <w:rPr>
          <w:rFonts w:hint="eastAsia" w:ascii="仿宋" w:hAnsi="仿宋" w:eastAsia="仿宋" w:cs="仿宋"/>
          <w:b w:val="0"/>
          <w:bCs/>
          <w:color w:val="auto"/>
          <w:kern w:val="0"/>
          <w:sz w:val="24"/>
          <w:highlight w:val="none"/>
          <w:lang w:val="en-US" w:eastAsia="zh-CN"/>
        </w:rPr>
      </w:pPr>
    </w:p>
    <w:p w14:paraId="1E493C15">
      <w:pPr>
        <w:snapToGrid w:val="0"/>
        <w:spacing w:line="360" w:lineRule="auto"/>
        <w:ind w:left="5027" w:leftChars="2394" w:firstLine="0" w:firstLineChars="0"/>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en-US" w:eastAsia="zh-CN"/>
        </w:rPr>
        <w:t>磋商供应商名称（电子签名）</w:t>
      </w:r>
      <w:r>
        <w:rPr>
          <w:rFonts w:hint="eastAsia" w:ascii="仿宋" w:hAnsi="仿宋" w:eastAsia="仿宋" w:cs="仿宋"/>
          <w:b w:val="0"/>
          <w:bCs/>
          <w:color w:val="auto"/>
          <w:kern w:val="0"/>
          <w:sz w:val="24"/>
          <w:highlight w:val="none"/>
          <w:lang w:val="zh-CN"/>
        </w:rPr>
        <w:t>：日  期：</w:t>
      </w:r>
    </w:p>
    <w:p w14:paraId="23FF8C12">
      <w:pPr>
        <w:pStyle w:val="25"/>
        <w:spacing w:line="420" w:lineRule="exact"/>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说明：</w:t>
      </w:r>
    </w:p>
    <w:p w14:paraId="7C9E2E65">
      <w:pPr>
        <w:pStyle w:val="25"/>
        <w:spacing w:line="420" w:lineRule="exact"/>
        <w:ind w:firstLine="480" w:firstLineChars="200"/>
        <w:rPr>
          <w:rFonts w:hint="eastAsia" w:ascii="仿宋" w:hAnsi="仿宋" w:eastAsia="仿宋" w:cs="仿宋"/>
          <w:bCs/>
          <w:color w:val="auto"/>
          <w:kern w:val="0"/>
          <w:highlight w:val="none"/>
          <w:lang w:val="zh-CN"/>
        </w:rPr>
      </w:pPr>
      <w:r>
        <w:rPr>
          <w:rFonts w:hint="eastAsia" w:ascii="仿宋" w:hAnsi="仿宋" w:eastAsia="仿宋" w:cs="仿宋"/>
          <w:bCs/>
          <w:color w:val="auto"/>
          <w:kern w:val="0"/>
          <w:highlight w:val="none"/>
          <w:lang w:val="zh-CN"/>
        </w:rPr>
        <w:t>1、投标人需按本表格式填写，单位统一均为人民币元。</w:t>
      </w:r>
    </w:p>
    <w:p w14:paraId="4FE16E8E">
      <w:pPr>
        <w:pStyle w:val="25"/>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color w:val="auto"/>
          <w:kern w:val="0"/>
          <w:highlight w:val="none"/>
          <w:lang w:val="zh-CN"/>
        </w:rPr>
        <w:t>2、有关本项目实施所涉及的一切费用均计入报价。采购人将以合同形式有偿取得</w:t>
      </w:r>
      <w:r>
        <w:rPr>
          <w:rFonts w:hint="eastAsia" w:ascii="仿宋" w:hAnsi="仿宋" w:eastAsia="仿宋" w:cs="仿宋"/>
          <w:bCs/>
          <w:kern w:val="0"/>
          <w:highlight w:val="none"/>
          <w:lang w:val="zh-CN"/>
        </w:rPr>
        <w:t>货物或服务，不接受投标人给予的赠品、回扣或者与采购无关的其他商品、服务，不得出现“0元”“</w:t>
      </w:r>
      <w:r>
        <w:rPr>
          <w:rFonts w:hint="eastAsia" w:ascii="仿宋" w:hAnsi="仿宋" w:eastAsia="仿宋" w:cs="仿宋"/>
          <w:bCs/>
          <w:kern w:val="0"/>
          <w:highlight w:val="none"/>
          <w:lang w:val="zh-CN" w:eastAsia="zh-CN"/>
        </w:rPr>
        <w:t>0.00%</w:t>
      </w:r>
      <w:r>
        <w:rPr>
          <w:rFonts w:hint="eastAsia" w:ascii="仿宋" w:hAnsi="仿宋" w:eastAsia="仿宋" w:cs="仿宋"/>
          <w:bCs/>
          <w:kern w:val="0"/>
          <w:highlight w:val="none"/>
          <w:lang w:val="zh-CN"/>
        </w:rPr>
        <w:t>”“免费赠送”等形式的无偿报价，否则视为投标文件含有采购人不能接受的附加条件的，投标无效。</w:t>
      </w:r>
    </w:p>
    <w:p w14:paraId="7304A2D1">
      <w:pPr>
        <w:pStyle w:val="25"/>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t>3、以上表格要求细分项目及报价，在“规格型号（或具体服务）”一栏中，货物类项目填写规格型号，服务类项目填写具体服务。</w:t>
      </w:r>
    </w:p>
    <w:p w14:paraId="620525F7">
      <w:pPr>
        <w:pStyle w:val="25"/>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t>4、特别提示：采购代理机构将对项目名称和项目编号，中标供应商名称、地址和中标金额，主要中标标的名称、规格型号、数量、单价、服务要求等予以公示。</w:t>
      </w:r>
    </w:p>
    <w:p w14:paraId="09816C87">
      <w:pPr>
        <w:pStyle w:val="25"/>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C24CA0F">
      <w:pPr>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br w:type="page"/>
      </w:r>
    </w:p>
    <w:p w14:paraId="7DF47B5F">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lang w:val="en-US" w:eastAsia="zh-CN"/>
        </w:rPr>
        <w:t>二轮报价表</w:t>
      </w:r>
      <w:r>
        <w:rPr>
          <w:rFonts w:hint="eastAsia" w:ascii="仿宋" w:hAnsi="仿宋" w:eastAsia="仿宋" w:cs="仿宋"/>
          <w:kern w:val="2"/>
          <w:sz w:val="32"/>
          <w:szCs w:val="32"/>
          <w:highlight w:val="none"/>
        </w:rPr>
        <w:t>（标项1）</w:t>
      </w:r>
    </w:p>
    <w:p w14:paraId="35E1B6B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rPr>
        <w:t>项目名称：</w:t>
      </w:r>
      <w:r>
        <w:rPr>
          <w:rFonts w:hint="eastAsia" w:ascii="仿宋" w:hAnsi="仿宋" w:eastAsia="仿宋" w:cs="仿宋"/>
          <w:b/>
          <w:bCs w:val="0"/>
          <w:sz w:val="28"/>
          <w:szCs w:val="28"/>
          <w:highlight w:val="none"/>
          <w:lang w:val="en-US" w:eastAsia="zh-CN"/>
        </w:rPr>
        <w:t>诸暨市东和乡2025年度水利设计服务采购项目</w:t>
      </w:r>
    </w:p>
    <w:p w14:paraId="2A31894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rPr>
        <w:t>项目编号：</w:t>
      </w:r>
      <w:r>
        <w:rPr>
          <w:rFonts w:hint="eastAsia" w:ascii="仿宋" w:hAnsi="仿宋" w:eastAsia="仿宋" w:cs="仿宋"/>
          <w:b/>
          <w:bCs w:val="0"/>
          <w:sz w:val="28"/>
          <w:szCs w:val="28"/>
          <w:highlight w:val="none"/>
          <w:lang w:val="en-US" w:eastAsia="zh-CN"/>
        </w:rPr>
        <w:t>绍兴盈伽2025-02-10</w:t>
      </w:r>
    </w:p>
    <w:tbl>
      <w:tblPr>
        <w:tblStyle w:val="66"/>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225"/>
        <w:gridCol w:w="1427"/>
        <w:gridCol w:w="1907"/>
        <w:gridCol w:w="2661"/>
      </w:tblGrid>
      <w:tr w14:paraId="5B45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58" w:type="dxa"/>
            <w:vMerge w:val="restart"/>
            <w:noWrap w:val="0"/>
            <w:vAlign w:val="center"/>
          </w:tcPr>
          <w:p w14:paraId="1FB62DA9">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标项</w:t>
            </w:r>
          </w:p>
        </w:tc>
        <w:tc>
          <w:tcPr>
            <w:tcW w:w="2225" w:type="dxa"/>
            <w:vMerge w:val="restart"/>
            <w:noWrap w:val="0"/>
            <w:vAlign w:val="center"/>
          </w:tcPr>
          <w:p w14:paraId="24E7A3F3">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标项内容</w:t>
            </w:r>
          </w:p>
        </w:tc>
        <w:tc>
          <w:tcPr>
            <w:tcW w:w="1427" w:type="dxa"/>
            <w:vMerge w:val="restart"/>
            <w:noWrap w:val="0"/>
            <w:vAlign w:val="center"/>
          </w:tcPr>
          <w:p w14:paraId="38989679">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最高限价（%）</w:t>
            </w:r>
          </w:p>
        </w:tc>
        <w:tc>
          <w:tcPr>
            <w:tcW w:w="4568" w:type="dxa"/>
            <w:gridSpan w:val="2"/>
            <w:noWrap w:val="0"/>
            <w:vAlign w:val="center"/>
          </w:tcPr>
          <w:p w14:paraId="17220AC3">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投标</w:t>
            </w:r>
            <w:r>
              <w:rPr>
                <w:rFonts w:hint="eastAsia" w:ascii="仿宋" w:hAnsi="仿宋" w:eastAsia="仿宋" w:cs="仿宋"/>
                <w:b/>
                <w:color w:val="auto"/>
                <w:sz w:val="28"/>
                <w:szCs w:val="28"/>
                <w:highlight w:val="none"/>
                <w:lang w:val="en-US" w:eastAsia="zh-CN"/>
              </w:rPr>
              <w:t>报价（折扣%）</w:t>
            </w:r>
          </w:p>
        </w:tc>
      </w:tr>
      <w:tr w14:paraId="4676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058" w:type="dxa"/>
            <w:vMerge w:val="continue"/>
            <w:noWrap w:val="0"/>
            <w:vAlign w:val="center"/>
          </w:tcPr>
          <w:p w14:paraId="501E4D16">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p>
        </w:tc>
        <w:tc>
          <w:tcPr>
            <w:tcW w:w="2225" w:type="dxa"/>
            <w:vMerge w:val="continue"/>
            <w:noWrap w:val="0"/>
            <w:vAlign w:val="center"/>
          </w:tcPr>
          <w:p w14:paraId="5C623878">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p>
        </w:tc>
        <w:tc>
          <w:tcPr>
            <w:tcW w:w="1427" w:type="dxa"/>
            <w:vMerge w:val="continue"/>
            <w:noWrap w:val="0"/>
            <w:vAlign w:val="center"/>
          </w:tcPr>
          <w:p w14:paraId="54B61693">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p>
        </w:tc>
        <w:tc>
          <w:tcPr>
            <w:tcW w:w="1907" w:type="dxa"/>
            <w:noWrap w:val="0"/>
            <w:vAlign w:val="center"/>
          </w:tcPr>
          <w:p w14:paraId="4A499246">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小写</w:t>
            </w:r>
          </w:p>
        </w:tc>
        <w:tc>
          <w:tcPr>
            <w:tcW w:w="2661" w:type="dxa"/>
            <w:noWrap w:val="0"/>
            <w:vAlign w:val="center"/>
          </w:tcPr>
          <w:p w14:paraId="3386CD8C">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大写</w:t>
            </w:r>
          </w:p>
        </w:tc>
      </w:tr>
      <w:tr w14:paraId="3420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1058" w:type="dxa"/>
            <w:noWrap w:val="0"/>
            <w:vAlign w:val="center"/>
          </w:tcPr>
          <w:p w14:paraId="65F68F7A">
            <w:pPr>
              <w:kinsoku/>
              <w:wordWrap/>
              <w:overflowPunct/>
              <w:topLinePunct w:val="0"/>
              <w:bidi w:val="0"/>
              <w:spacing w:line="400" w:lineRule="exact"/>
              <w:jc w:val="center"/>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标项1</w:t>
            </w:r>
          </w:p>
        </w:tc>
        <w:tc>
          <w:tcPr>
            <w:tcW w:w="2225" w:type="dxa"/>
            <w:noWrap w:val="0"/>
            <w:vAlign w:val="center"/>
          </w:tcPr>
          <w:p w14:paraId="6B1F0AE5">
            <w:pPr>
              <w:kinsoku/>
              <w:wordWrap/>
              <w:overflowPunct/>
              <w:topLinePunct w:val="0"/>
              <w:bidi w:val="0"/>
              <w:spacing w:line="400" w:lineRule="exact"/>
              <w:jc w:val="center"/>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实施区域1</w:t>
            </w:r>
          </w:p>
        </w:tc>
        <w:tc>
          <w:tcPr>
            <w:tcW w:w="1427" w:type="dxa"/>
            <w:noWrap w:val="0"/>
            <w:vAlign w:val="center"/>
          </w:tcPr>
          <w:p w14:paraId="2312222F">
            <w:pPr>
              <w:kinsoku/>
              <w:wordWrap/>
              <w:overflowPunct/>
              <w:topLinePunct w:val="0"/>
              <w:bidi w:val="0"/>
              <w:spacing w:line="400" w:lineRule="exact"/>
              <w:jc w:val="center"/>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不得超过第一次报价</w:t>
            </w:r>
          </w:p>
        </w:tc>
        <w:tc>
          <w:tcPr>
            <w:tcW w:w="1907" w:type="dxa"/>
            <w:noWrap w:val="0"/>
            <w:vAlign w:val="center"/>
          </w:tcPr>
          <w:p w14:paraId="78EFC784">
            <w:pPr>
              <w:kinsoku/>
              <w:wordWrap/>
              <w:overflowPunct/>
              <w:topLinePunct w:val="0"/>
              <w:bidi w:val="0"/>
              <w:spacing w:line="400" w:lineRule="exact"/>
              <w:jc w:val="center"/>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w:t>
            </w:r>
          </w:p>
        </w:tc>
        <w:tc>
          <w:tcPr>
            <w:tcW w:w="2661" w:type="dxa"/>
            <w:noWrap w:val="0"/>
            <w:vAlign w:val="center"/>
          </w:tcPr>
          <w:p w14:paraId="1AEDDD3C">
            <w:pPr>
              <w:kinsoku/>
              <w:wordWrap/>
              <w:overflowPunct/>
              <w:topLinePunct w:val="0"/>
              <w:bidi w:val="0"/>
              <w:spacing w:line="40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百分之**点**</w:t>
            </w:r>
          </w:p>
        </w:tc>
      </w:tr>
    </w:tbl>
    <w:p w14:paraId="3FAAB88C">
      <w:pPr>
        <w:keepNext w:val="0"/>
        <w:keepLines w:val="0"/>
        <w:pageBreakBefore w:val="0"/>
        <w:widowControl w:val="0"/>
        <w:kinsoku/>
        <w:wordWrap/>
        <w:overflowPunct/>
        <w:topLinePunct w:val="0"/>
        <w:bidi w:val="0"/>
        <w:adjustRightInd w:val="0"/>
        <w:snapToGrid w:val="0"/>
        <w:spacing w:line="420" w:lineRule="atLeast"/>
        <w:jc w:val="right"/>
        <w:textAlignment w:val="auto"/>
        <w:rPr>
          <w:rFonts w:hint="eastAsia" w:ascii="仿宋" w:hAnsi="仿宋" w:eastAsia="仿宋" w:cs="仿宋"/>
          <w:bCs/>
          <w:color w:val="auto"/>
          <w:kern w:val="0"/>
          <w:sz w:val="24"/>
          <w:highlight w:val="none"/>
          <w:lang w:val="en-US" w:eastAsia="zh-CN"/>
        </w:rPr>
      </w:pPr>
    </w:p>
    <w:p w14:paraId="4BF64606">
      <w:pPr>
        <w:keepNext w:val="0"/>
        <w:keepLines w:val="0"/>
        <w:pageBreakBefore w:val="0"/>
        <w:widowControl w:val="0"/>
        <w:kinsoku/>
        <w:wordWrap/>
        <w:overflowPunct/>
        <w:topLinePunct w:val="0"/>
        <w:bidi w:val="0"/>
        <w:adjustRightInd w:val="0"/>
        <w:snapToGrid w:val="0"/>
        <w:spacing w:line="420" w:lineRule="atLeast"/>
        <w:jc w:val="center"/>
        <w:textAlignment w:val="auto"/>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en-US" w:eastAsia="zh-CN"/>
        </w:rPr>
        <w:t xml:space="preserve">                                </w:t>
      </w:r>
      <w:r>
        <w:rPr>
          <w:rFonts w:hint="eastAsia" w:ascii="仿宋" w:hAnsi="仿宋" w:eastAsia="仿宋" w:cs="仿宋"/>
          <w:bCs/>
          <w:color w:val="auto"/>
          <w:kern w:val="0"/>
          <w:sz w:val="24"/>
          <w:highlight w:val="none"/>
          <w:lang w:val="zh-CN"/>
        </w:rPr>
        <w:t>磋商供应商名称（电子签名）：</w:t>
      </w:r>
    </w:p>
    <w:p w14:paraId="288A26B1">
      <w:pPr>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 xml:space="preserve">                                    </w:t>
      </w:r>
    </w:p>
    <w:p w14:paraId="2B0A4DE1">
      <w:pPr>
        <w:ind w:firstLine="4320" w:firstLineChars="1800"/>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日  期：</w:t>
      </w:r>
    </w:p>
    <w:p w14:paraId="628E6378">
      <w:pPr>
        <w:pStyle w:val="25"/>
        <w:spacing w:line="420" w:lineRule="exact"/>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说明：</w:t>
      </w:r>
    </w:p>
    <w:p w14:paraId="5071137D">
      <w:pPr>
        <w:pStyle w:val="25"/>
        <w:spacing w:line="420" w:lineRule="exact"/>
        <w:ind w:firstLine="480" w:firstLineChars="200"/>
        <w:rPr>
          <w:rFonts w:hint="eastAsia" w:ascii="仿宋" w:hAnsi="仿宋" w:eastAsia="仿宋" w:cs="仿宋"/>
          <w:bCs/>
          <w:color w:val="auto"/>
          <w:kern w:val="0"/>
          <w:highlight w:val="none"/>
          <w:lang w:val="zh-CN"/>
        </w:rPr>
      </w:pPr>
      <w:r>
        <w:rPr>
          <w:rFonts w:hint="eastAsia" w:ascii="仿宋" w:hAnsi="仿宋" w:eastAsia="仿宋" w:cs="仿宋"/>
          <w:bCs/>
          <w:color w:val="auto"/>
          <w:kern w:val="0"/>
          <w:highlight w:val="none"/>
          <w:lang w:val="zh-CN"/>
        </w:rPr>
        <w:t>1、投标人需按本表格式填写，单位统一均为人民币元。</w:t>
      </w:r>
    </w:p>
    <w:p w14:paraId="5EB554DC">
      <w:pPr>
        <w:pStyle w:val="25"/>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color w:val="auto"/>
          <w:kern w:val="0"/>
          <w:highlight w:val="none"/>
          <w:lang w:val="zh-CN"/>
        </w:rPr>
        <w:t>2、有关本项目实施所涉及的一切费用均计入报价。采购人将以合同形式有偿取得</w:t>
      </w:r>
      <w:r>
        <w:rPr>
          <w:rFonts w:hint="eastAsia" w:ascii="仿宋" w:hAnsi="仿宋" w:eastAsia="仿宋" w:cs="仿宋"/>
          <w:bCs/>
          <w:kern w:val="0"/>
          <w:highlight w:val="none"/>
          <w:lang w:val="zh-CN"/>
        </w:rPr>
        <w:t>货物或服务，不接受投标人给予的赠品、回扣或者与采购无关的其他商品、服务，不得出现“0元”“</w:t>
      </w:r>
      <w:r>
        <w:rPr>
          <w:rFonts w:hint="eastAsia" w:ascii="仿宋" w:hAnsi="仿宋" w:eastAsia="仿宋" w:cs="仿宋"/>
          <w:bCs/>
          <w:kern w:val="0"/>
          <w:highlight w:val="none"/>
          <w:lang w:val="zh-CN" w:eastAsia="zh-CN"/>
        </w:rPr>
        <w:t>0.00%</w:t>
      </w:r>
      <w:r>
        <w:rPr>
          <w:rFonts w:hint="eastAsia" w:ascii="仿宋" w:hAnsi="仿宋" w:eastAsia="仿宋" w:cs="仿宋"/>
          <w:bCs/>
          <w:kern w:val="0"/>
          <w:highlight w:val="none"/>
          <w:lang w:val="zh-CN"/>
        </w:rPr>
        <w:t>”“免费赠送”等形式的无偿报价，否则视为投标文件含有采购人不能接受的附加条件的，投标无效。</w:t>
      </w:r>
    </w:p>
    <w:p w14:paraId="77BA1F9B">
      <w:pPr>
        <w:pStyle w:val="25"/>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t>3、以上表格要求细分项目及报价，在“规格型号（或具体服务）”一栏中，货物类项目填写规格型号，服务类项目填写具体服务。</w:t>
      </w:r>
    </w:p>
    <w:p w14:paraId="575683F2">
      <w:pPr>
        <w:pStyle w:val="25"/>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t>4、特别提示：采购代理机构将对项目名称和项目编号，中标供应商名称、地址和中标金额，主要中标标的名称、规格型号、数量、单价、服务要求等予以公示。</w:t>
      </w:r>
    </w:p>
    <w:p w14:paraId="278E3805">
      <w:pPr>
        <w:pStyle w:val="25"/>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2F40CB0">
      <w:pPr>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br w:type="page"/>
      </w:r>
    </w:p>
    <w:p w14:paraId="022CB579">
      <w:pPr>
        <w:pStyle w:val="26"/>
        <w:rPr>
          <w:rFonts w:hint="eastAsia"/>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7C43FDC1">
      <w:pPr>
        <w:pStyle w:val="701"/>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highlight w:val="none"/>
          <w:lang w:eastAsia="zh-CN"/>
        </w:rPr>
      </w:pPr>
      <w:r>
        <w:rPr>
          <w:rFonts w:hint="eastAsia" w:ascii="仿宋" w:hAnsi="仿宋" w:eastAsia="仿宋" w:cs="仿宋"/>
          <w:b/>
          <w:bCs w:val="0"/>
          <w:color w:val="auto"/>
          <w:kern w:val="2"/>
          <w:sz w:val="32"/>
          <w:szCs w:val="32"/>
          <w:highlight w:val="none"/>
          <w:lang w:val="en-US" w:eastAsia="zh-CN"/>
        </w:rPr>
        <w:t>二轮报价表</w:t>
      </w:r>
      <w:r>
        <w:rPr>
          <w:rFonts w:hint="eastAsia" w:ascii="仿宋" w:hAnsi="仿宋" w:eastAsia="仿宋" w:cs="仿宋"/>
          <w:b/>
          <w:bCs w:val="0"/>
          <w:color w:val="auto"/>
          <w:kern w:val="2"/>
          <w:sz w:val="32"/>
          <w:szCs w:val="32"/>
          <w:highlight w:val="none"/>
          <w:lang w:eastAsia="zh-CN"/>
        </w:rPr>
        <w:t>（</w:t>
      </w:r>
      <w:r>
        <w:rPr>
          <w:rFonts w:hint="eastAsia" w:ascii="仿宋" w:hAnsi="仿宋" w:eastAsia="仿宋" w:cs="仿宋"/>
          <w:b/>
          <w:bCs w:val="0"/>
          <w:color w:val="auto"/>
          <w:kern w:val="2"/>
          <w:sz w:val="32"/>
          <w:szCs w:val="32"/>
          <w:highlight w:val="none"/>
          <w:lang w:val="en-US" w:eastAsia="zh-CN"/>
        </w:rPr>
        <w:t>标项2</w:t>
      </w:r>
      <w:r>
        <w:rPr>
          <w:rFonts w:hint="eastAsia" w:ascii="仿宋" w:hAnsi="仿宋" w:eastAsia="仿宋" w:cs="仿宋"/>
          <w:b/>
          <w:bCs w:val="0"/>
          <w:color w:val="auto"/>
          <w:kern w:val="2"/>
          <w:sz w:val="32"/>
          <w:szCs w:val="32"/>
          <w:highlight w:val="none"/>
          <w:lang w:eastAsia="zh-CN"/>
        </w:rPr>
        <w:t>）</w:t>
      </w:r>
    </w:p>
    <w:p w14:paraId="609C001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rPr>
        <w:t>项目名称：</w:t>
      </w:r>
      <w:r>
        <w:rPr>
          <w:rFonts w:hint="eastAsia" w:ascii="仿宋" w:hAnsi="仿宋" w:eastAsia="仿宋" w:cs="仿宋"/>
          <w:b/>
          <w:bCs w:val="0"/>
          <w:sz w:val="28"/>
          <w:szCs w:val="28"/>
          <w:highlight w:val="none"/>
          <w:lang w:val="en-US" w:eastAsia="zh-CN"/>
        </w:rPr>
        <w:t>诸暨市东和乡2025年度水利设计服务采购项目</w:t>
      </w:r>
    </w:p>
    <w:p w14:paraId="61C6593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rPr>
        <w:t>项目编号：</w:t>
      </w:r>
      <w:r>
        <w:rPr>
          <w:rFonts w:hint="eastAsia" w:ascii="仿宋" w:hAnsi="仿宋" w:eastAsia="仿宋" w:cs="仿宋"/>
          <w:b/>
          <w:bCs w:val="0"/>
          <w:sz w:val="28"/>
          <w:szCs w:val="28"/>
          <w:highlight w:val="none"/>
          <w:lang w:val="en-US" w:eastAsia="zh-CN"/>
        </w:rPr>
        <w:t>绍兴盈伽2025-02-10</w:t>
      </w:r>
    </w:p>
    <w:tbl>
      <w:tblPr>
        <w:tblStyle w:val="66"/>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485"/>
        <w:gridCol w:w="1398"/>
        <w:gridCol w:w="1676"/>
        <w:gridCol w:w="2661"/>
      </w:tblGrid>
      <w:tr w14:paraId="4D63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058" w:type="dxa"/>
            <w:vMerge w:val="restart"/>
            <w:noWrap w:val="0"/>
            <w:vAlign w:val="center"/>
          </w:tcPr>
          <w:p w14:paraId="6B042FC5">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标项</w:t>
            </w:r>
          </w:p>
        </w:tc>
        <w:tc>
          <w:tcPr>
            <w:tcW w:w="2485" w:type="dxa"/>
            <w:vMerge w:val="restart"/>
            <w:noWrap w:val="0"/>
            <w:vAlign w:val="center"/>
          </w:tcPr>
          <w:p w14:paraId="76B0B7B0">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标项内容</w:t>
            </w:r>
          </w:p>
        </w:tc>
        <w:tc>
          <w:tcPr>
            <w:tcW w:w="1398" w:type="dxa"/>
            <w:vMerge w:val="restart"/>
            <w:noWrap w:val="0"/>
            <w:vAlign w:val="center"/>
          </w:tcPr>
          <w:p w14:paraId="076703FB">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最高限价（%）</w:t>
            </w:r>
          </w:p>
        </w:tc>
        <w:tc>
          <w:tcPr>
            <w:tcW w:w="4337" w:type="dxa"/>
            <w:gridSpan w:val="2"/>
            <w:noWrap w:val="0"/>
            <w:vAlign w:val="center"/>
          </w:tcPr>
          <w:p w14:paraId="05A48B96">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投标</w:t>
            </w:r>
            <w:r>
              <w:rPr>
                <w:rFonts w:hint="eastAsia" w:ascii="仿宋" w:hAnsi="仿宋" w:eastAsia="仿宋" w:cs="仿宋"/>
                <w:b/>
                <w:color w:val="auto"/>
                <w:sz w:val="28"/>
                <w:szCs w:val="28"/>
                <w:highlight w:val="none"/>
                <w:lang w:val="en-US" w:eastAsia="zh-CN"/>
              </w:rPr>
              <w:t>报价（折扣%）</w:t>
            </w:r>
          </w:p>
        </w:tc>
      </w:tr>
      <w:tr w14:paraId="0942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058" w:type="dxa"/>
            <w:vMerge w:val="continue"/>
            <w:noWrap w:val="0"/>
            <w:vAlign w:val="center"/>
          </w:tcPr>
          <w:p w14:paraId="3B3AFC0B">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p>
        </w:tc>
        <w:tc>
          <w:tcPr>
            <w:tcW w:w="2485" w:type="dxa"/>
            <w:vMerge w:val="continue"/>
            <w:noWrap w:val="0"/>
            <w:vAlign w:val="center"/>
          </w:tcPr>
          <w:p w14:paraId="142004A1">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p>
        </w:tc>
        <w:tc>
          <w:tcPr>
            <w:tcW w:w="1398" w:type="dxa"/>
            <w:vMerge w:val="continue"/>
            <w:noWrap w:val="0"/>
            <w:vAlign w:val="center"/>
          </w:tcPr>
          <w:p w14:paraId="2180A1AC">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p>
        </w:tc>
        <w:tc>
          <w:tcPr>
            <w:tcW w:w="1676" w:type="dxa"/>
            <w:noWrap w:val="0"/>
            <w:vAlign w:val="center"/>
          </w:tcPr>
          <w:p w14:paraId="46C86B21">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小写</w:t>
            </w:r>
          </w:p>
        </w:tc>
        <w:tc>
          <w:tcPr>
            <w:tcW w:w="2661" w:type="dxa"/>
            <w:noWrap w:val="0"/>
            <w:vAlign w:val="center"/>
          </w:tcPr>
          <w:p w14:paraId="3C400B9C">
            <w:pPr>
              <w:kinsoku/>
              <w:wordWrap/>
              <w:overflowPunct/>
              <w:topLinePunct w:val="0"/>
              <w:bidi w:val="0"/>
              <w:spacing w:line="4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大写</w:t>
            </w:r>
          </w:p>
        </w:tc>
      </w:tr>
      <w:tr w14:paraId="4897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1058" w:type="dxa"/>
            <w:noWrap w:val="0"/>
            <w:vAlign w:val="center"/>
          </w:tcPr>
          <w:p w14:paraId="67434399">
            <w:pPr>
              <w:kinsoku/>
              <w:wordWrap/>
              <w:overflowPunct/>
              <w:topLinePunct w:val="0"/>
              <w:bidi w:val="0"/>
              <w:spacing w:line="400" w:lineRule="exact"/>
              <w:jc w:val="center"/>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标项2</w:t>
            </w:r>
          </w:p>
        </w:tc>
        <w:tc>
          <w:tcPr>
            <w:tcW w:w="2485" w:type="dxa"/>
            <w:noWrap w:val="0"/>
            <w:vAlign w:val="center"/>
          </w:tcPr>
          <w:p w14:paraId="53A9D1D0">
            <w:pPr>
              <w:kinsoku/>
              <w:wordWrap/>
              <w:overflowPunct/>
              <w:topLinePunct w:val="0"/>
              <w:bidi w:val="0"/>
              <w:spacing w:line="400" w:lineRule="exact"/>
              <w:jc w:val="center"/>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实施区域2</w:t>
            </w:r>
          </w:p>
        </w:tc>
        <w:tc>
          <w:tcPr>
            <w:tcW w:w="1398" w:type="dxa"/>
            <w:noWrap w:val="0"/>
            <w:vAlign w:val="center"/>
          </w:tcPr>
          <w:p w14:paraId="2CB89938">
            <w:pPr>
              <w:kinsoku/>
              <w:wordWrap/>
              <w:overflowPunct/>
              <w:topLinePunct w:val="0"/>
              <w:bidi w:val="0"/>
              <w:spacing w:line="400" w:lineRule="exact"/>
              <w:jc w:val="center"/>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不得超过第一次报价</w:t>
            </w:r>
          </w:p>
        </w:tc>
        <w:tc>
          <w:tcPr>
            <w:tcW w:w="1676" w:type="dxa"/>
            <w:noWrap w:val="0"/>
            <w:vAlign w:val="center"/>
          </w:tcPr>
          <w:p w14:paraId="5C945251">
            <w:pPr>
              <w:kinsoku/>
              <w:wordWrap/>
              <w:overflowPunct/>
              <w:topLinePunct w:val="0"/>
              <w:bidi w:val="0"/>
              <w:spacing w:line="400" w:lineRule="exact"/>
              <w:jc w:val="center"/>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w:t>
            </w:r>
          </w:p>
        </w:tc>
        <w:tc>
          <w:tcPr>
            <w:tcW w:w="2661" w:type="dxa"/>
            <w:noWrap w:val="0"/>
            <w:vAlign w:val="center"/>
          </w:tcPr>
          <w:p w14:paraId="23CCA182">
            <w:pPr>
              <w:kinsoku/>
              <w:wordWrap/>
              <w:overflowPunct/>
              <w:topLinePunct w:val="0"/>
              <w:bidi w:val="0"/>
              <w:spacing w:line="40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百分之**点**</w:t>
            </w:r>
          </w:p>
        </w:tc>
      </w:tr>
    </w:tbl>
    <w:p w14:paraId="27762645">
      <w:pPr>
        <w:snapToGrid w:val="0"/>
        <w:spacing w:line="360" w:lineRule="auto"/>
        <w:ind w:firstLine="1920" w:firstLineChars="800"/>
        <w:rPr>
          <w:rFonts w:hint="eastAsia" w:ascii="仿宋" w:hAnsi="仿宋" w:eastAsia="仿宋" w:cs="仿宋"/>
          <w:b w:val="0"/>
          <w:bCs/>
          <w:color w:val="auto"/>
          <w:kern w:val="0"/>
          <w:sz w:val="24"/>
          <w:highlight w:val="none"/>
          <w:lang w:val="en-US" w:eastAsia="zh-CN"/>
        </w:rPr>
      </w:pPr>
    </w:p>
    <w:p w14:paraId="05367655">
      <w:pPr>
        <w:snapToGrid w:val="0"/>
        <w:spacing w:line="360" w:lineRule="auto"/>
        <w:ind w:left="5027" w:leftChars="2394" w:firstLine="0" w:firstLineChars="0"/>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en-US" w:eastAsia="zh-CN"/>
        </w:rPr>
        <w:t>磋商供应商名称（电子签名）</w:t>
      </w:r>
      <w:r>
        <w:rPr>
          <w:rFonts w:hint="eastAsia" w:ascii="仿宋" w:hAnsi="仿宋" w:eastAsia="仿宋" w:cs="仿宋"/>
          <w:b w:val="0"/>
          <w:bCs/>
          <w:color w:val="auto"/>
          <w:kern w:val="0"/>
          <w:sz w:val="24"/>
          <w:highlight w:val="none"/>
          <w:lang w:val="zh-CN"/>
        </w:rPr>
        <w:t>：日  期：</w:t>
      </w:r>
    </w:p>
    <w:p w14:paraId="600AA1B7">
      <w:pPr>
        <w:pStyle w:val="25"/>
        <w:spacing w:line="420" w:lineRule="exact"/>
        <w:rPr>
          <w:rFonts w:hint="eastAsia" w:ascii="仿宋" w:hAnsi="仿宋" w:eastAsia="仿宋" w:cs="仿宋"/>
          <w:bCs/>
          <w:color w:val="auto"/>
          <w:kern w:val="0"/>
          <w:highlight w:val="none"/>
        </w:rPr>
      </w:pPr>
      <w:r>
        <w:rPr>
          <w:rFonts w:hint="eastAsia" w:ascii="仿宋" w:hAnsi="仿宋" w:eastAsia="仿宋" w:cs="仿宋"/>
          <w:bCs/>
          <w:color w:val="auto"/>
          <w:kern w:val="0"/>
          <w:highlight w:val="none"/>
        </w:rPr>
        <w:t>说明：</w:t>
      </w:r>
    </w:p>
    <w:p w14:paraId="03BF43A6">
      <w:pPr>
        <w:pStyle w:val="25"/>
        <w:spacing w:line="420" w:lineRule="exact"/>
        <w:ind w:firstLine="480" w:firstLineChars="200"/>
        <w:rPr>
          <w:rFonts w:hint="eastAsia" w:ascii="仿宋" w:hAnsi="仿宋" w:eastAsia="仿宋" w:cs="仿宋"/>
          <w:bCs/>
          <w:color w:val="auto"/>
          <w:kern w:val="0"/>
          <w:highlight w:val="none"/>
          <w:lang w:val="zh-CN"/>
        </w:rPr>
      </w:pPr>
      <w:r>
        <w:rPr>
          <w:rFonts w:hint="eastAsia" w:ascii="仿宋" w:hAnsi="仿宋" w:eastAsia="仿宋" w:cs="仿宋"/>
          <w:bCs/>
          <w:color w:val="auto"/>
          <w:kern w:val="0"/>
          <w:highlight w:val="none"/>
          <w:lang w:val="zh-CN"/>
        </w:rPr>
        <w:t>1、投标人需按本表格式填写，单位统一均为人民币元。</w:t>
      </w:r>
    </w:p>
    <w:p w14:paraId="6062AF80">
      <w:pPr>
        <w:pStyle w:val="25"/>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color w:val="auto"/>
          <w:kern w:val="0"/>
          <w:highlight w:val="none"/>
          <w:lang w:val="zh-CN"/>
        </w:rPr>
        <w:t>2、有关本项目实施所涉及的一切费用均计入报价。采购人将以合同形式有偿取得</w:t>
      </w:r>
      <w:r>
        <w:rPr>
          <w:rFonts w:hint="eastAsia" w:ascii="仿宋" w:hAnsi="仿宋" w:eastAsia="仿宋" w:cs="仿宋"/>
          <w:bCs/>
          <w:kern w:val="0"/>
          <w:highlight w:val="none"/>
          <w:lang w:val="zh-CN"/>
        </w:rPr>
        <w:t>货物或服务，不接受投标人给予的赠品、回扣或者与采购无关的其他商品、服务，不得出现“0元”“</w:t>
      </w:r>
      <w:r>
        <w:rPr>
          <w:rFonts w:hint="eastAsia" w:ascii="仿宋" w:hAnsi="仿宋" w:eastAsia="仿宋" w:cs="仿宋"/>
          <w:bCs/>
          <w:kern w:val="0"/>
          <w:highlight w:val="none"/>
          <w:lang w:val="zh-CN" w:eastAsia="zh-CN"/>
        </w:rPr>
        <w:t>0.00%</w:t>
      </w:r>
      <w:r>
        <w:rPr>
          <w:rFonts w:hint="eastAsia" w:ascii="仿宋" w:hAnsi="仿宋" w:eastAsia="仿宋" w:cs="仿宋"/>
          <w:bCs/>
          <w:kern w:val="0"/>
          <w:highlight w:val="none"/>
          <w:lang w:val="zh-CN"/>
        </w:rPr>
        <w:t>”“免费赠送”等形式的无偿报价，否则视为投标文件含有采购人不能接受的附加条件的，投标无效。</w:t>
      </w:r>
    </w:p>
    <w:p w14:paraId="2058DDC9">
      <w:pPr>
        <w:pStyle w:val="25"/>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t>3、以上表格要求细分项目及报价，在“规格型号（或具体服务）”一栏中，货物类项目填写规格型号，服务类项目填写具体服务。</w:t>
      </w:r>
    </w:p>
    <w:p w14:paraId="67DDA448">
      <w:pPr>
        <w:pStyle w:val="25"/>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t>4、特别提示：采购代理机构将对项目名称和项目编号，中标供应商名称、地址和中标金额，主要中标标的名称、规格型号、数量、单价、服务要求等予以公示。</w:t>
      </w:r>
    </w:p>
    <w:p w14:paraId="16BAB2D7">
      <w:pPr>
        <w:pStyle w:val="25"/>
        <w:spacing w:line="420" w:lineRule="exact"/>
        <w:ind w:firstLine="480" w:firstLineChars="200"/>
        <w:rPr>
          <w:rFonts w:hint="eastAsia" w:ascii="仿宋" w:hAnsi="仿宋" w:eastAsia="仿宋" w:cs="仿宋"/>
          <w:bCs/>
          <w:kern w:val="0"/>
          <w:highlight w:val="none"/>
          <w:lang w:val="zh-CN"/>
        </w:rPr>
      </w:pPr>
      <w:r>
        <w:rPr>
          <w:rFonts w:hint="eastAsia" w:ascii="仿宋" w:hAnsi="仿宋" w:eastAsia="仿宋" w:cs="仿宋"/>
          <w:bCs/>
          <w:kern w:val="0"/>
          <w:highlight w:val="none"/>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D0AFE38">
      <w:pPr>
        <w:rPr>
          <w:rFonts w:hint="eastAsia" w:ascii="仿宋" w:hAnsi="仿宋" w:eastAsia="仿宋" w:cs="仿宋"/>
          <w:kern w:val="2"/>
          <w:sz w:val="32"/>
          <w:szCs w:val="32"/>
          <w:highlight w:val="none"/>
          <w:lang w:val="en-US" w:eastAsia="zh-CN"/>
        </w:rPr>
      </w:pPr>
      <w:r>
        <w:rPr>
          <w:rFonts w:hint="eastAsia" w:ascii="仿宋" w:hAnsi="仿宋" w:eastAsia="仿宋" w:cs="仿宋"/>
          <w:kern w:val="2"/>
          <w:sz w:val="32"/>
          <w:szCs w:val="32"/>
          <w:highlight w:val="none"/>
          <w:lang w:val="en-US" w:eastAsia="zh-CN"/>
        </w:rPr>
        <w:br w:type="page"/>
      </w:r>
    </w:p>
    <w:p w14:paraId="51013651">
      <w:pPr>
        <w:pStyle w:val="701"/>
        <w:keepNext w:val="0"/>
        <w:pageBreakBefore w:val="0"/>
        <w:tabs>
          <w:tab w:val="clear" w:pos="720"/>
        </w:tabs>
        <w:snapToGrid w:val="0"/>
        <w:spacing w:before="120" w:after="120"/>
        <w:jc w:val="center"/>
        <w:outlineLvl w:val="9"/>
        <w:rPr>
          <w:rFonts w:hint="eastAsia" w:ascii="仿宋" w:hAnsi="仿宋" w:eastAsia="仿宋" w:cs="仿宋"/>
          <w:sz w:val="32"/>
          <w:szCs w:val="32"/>
          <w:highlight w:val="none"/>
        </w:rPr>
      </w:pPr>
      <w:r>
        <w:rPr>
          <w:rFonts w:hint="eastAsia" w:ascii="仿宋" w:hAnsi="仿宋" w:eastAsia="仿宋" w:cs="仿宋"/>
          <w:kern w:val="2"/>
          <w:sz w:val="32"/>
          <w:szCs w:val="32"/>
          <w:highlight w:val="none"/>
          <w:lang w:val="en-US" w:eastAsia="zh-CN"/>
        </w:rPr>
        <w:t>二</w:t>
      </w:r>
      <w:r>
        <w:rPr>
          <w:rFonts w:hint="eastAsia" w:ascii="仿宋" w:hAnsi="仿宋" w:eastAsia="仿宋" w:cs="仿宋"/>
          <w:kern w:val="2"/>
          <w:sz w:val="32"/>
          <w:szCs w:val="32"/>
          <w:highlight w:val="none"/>
        </w:rPr>
        <w:t>、</w:t>
      </w:r>
      <w:r>
        <w:rPr>
          <w:rFonts w:hint="eastAsia" w:ascii="仿宋" w:hAnsi="仿宋" w:eastAsia="仿宋" w:cs="仿宋"/>
          <w:sz w:val="32"/>
          <w:szCs w:val="32"/>
          <w:highlight w:val="none"/>
        </w:rPr>
        <w:t>中小企业声明函</w:t>
      </w:r>
    </w:p>
    <w:p w14:paraId="42A4D62E">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highlight w:val="none"/>
        </w:rPr>
      </w:pPr>
      <w:r>
        <w:rPr>
          <w:rFonts w:hint="eastAsia" w:ascii="仿宋" w:hAnsi="仿宋" w:eastAsia="仿宋" w:cs="仿宋"/>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2E4A2FA1">
      <w:pPr>
        <w:tabs>
          <w:tab w:val="left" w:pos="8085"/>
        </w:tabs>
        <w:spacing w:line="360" w:lineRule="auto"/>
        <w:ind w:firstLine="1285" w:firstLineChars="400"/>
        <w:jc w:val="left"/>
        <w:rPr>
          <w:rFonts w:hint="eastAsia" w:ascii="仿宋" w:hAnsi="仿宋" w:eastAsia="仿宋" w:cs="仿宋"/>
          <w:b/>
          <w:sz w:val="32"/>
          <w:szCs w:val="32"/>
          <w:highlight w:val="none"/>
        </w:rPr>
        <w:sectPr>
          <w:headerReference r:id="rId24" w:type="default"/>
          <w:footerReference r:id="rId25" w:type="default"/>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69CA5A7F">
      <w:pPr>
        <w:tabs>
          <w:tab w:val="left" w:pos="8085"/>
        </w:tabs>
        <w:spacing w:line="360" w:lineRule="auto"/>
        <w:ind w:firstLine="1285" w:firstLineChars="400"/>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rPr>
        <w:t>政府采购支持中小企业信用融资相关事项通知</w:t>
      </w:r>
    </w:p>
    <w:p w14:paraId="771E7E6C">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napToGrid w:val="0"/>
          <w:kern w:val="28"/>
          <w:sz w:val="24"/>
          <w:highlight w:val="none"/>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61A55862">
      <w:pPr>
        <w:pStyle w:val="4"/>
        <w:jc w:val="center"/>
        <w:rPr>
          <w:rFonts w:hint="eastAsia" w:ascii="仿宋" w:hAnsi="仿宋" w:eastAsia="仿宋" w:cs="仿宋"/>
          <w:b/>
          <w:spacing w:val="6"/>
          <w:sz w:val="44"/>
          <w:szCs w:val="44"/>
          <w:highlight w:val="none"/>
          <w:lang w:val="en-US" w:eastAsia="zh-CN"/>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187307D3">
      <w:pPr>
        <w:pStyle w:val="4"/>
        <w:jc w:val="center"/>
        <w:rPr>
          <w:rFonts w:hint="eastAsia" w:ascii="仿宋" w:hAnsi="仿宋" w:eastAsia="仿宋" w:cs="仿宋"/>
          <w:sz w:val="44"/>
          <w:szCs w:val="44"/>
          <w:highlight w:val="none"/>
          <w:lang w:val="en-US" w:eastAsia="zh-CN"/>
        </w:rPr>
      </w:pPr>
      <w:r>
        <w:rPr>
          <w:rFonts w:hint="eastAsia" w:ascii="仿宋" w:hAnsi="仿宋" w:eastAsia="仿宋" w:cs="仿宋"/>
          <w:b/>
          <w:spacing w:val="6"/>
          <w:sz w:val="44"/>
          <w:szCs w:val="44"/>
          <w:highlight w:val="none"/>
          <w:lang w:val="en-US" w:eastAsia="zh-CN"/>
        </w:rPr>
        <w:t>附件</w:t>
      </w:r>
    </w:p>
    <w:p w14:paraId="52C17FF8">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14:paraId="408C5580">
      <w:pPr>
        <w:spacing w:line="360" w:lineRule="auto"/>
        <w:jc w:val="center"/>
        <w:rPr>
          <w:rFonts w:hint="eastAsia" w:ascii="仿宋" w:hAnsi="仿宋" w:eastAsia="仿宋" w:cs="仿宋"/>
          <w:b/>
          <w:spacing w:val="6"/>
          <w:sz w:val="32"/>
          <w:szCs w:val="32"/>
          <w:highlight w:val="none"/>
        </w:rPr>
      </w:pPr>
      <w:bookmarkStart w:id="503" w:name="OLE_LINK14"/>
      <w:bookmarkStart w:id="504" w:name="OLE_LINK13"/>
      <w:r>
        <w:rPr>
          <w:rFonts w:hint="eastAsia" w:ascii="仿宋" w:hAnsi="仿宋" w:eastAsia="仿宋" w:cs="仿宋"/>
          <w:b/>
          <w:spacing w:val="6"/>
          <w:sz w:val="32"/>
          <w:szCs w:val="32"/>
          <w:highlight w:val="none"/>
        </w:rPr>
        <w:t>残疾人福利性单位声明函</w:t>
      </w:r>
    </w:p>
    <w:bookmarkEnd w:id="503"/>
    <w:bookmarkEnd w:id="504"/>
    <w:p w14:paraId="4BB7A3CD">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highlight w:val="none"/>
        </w:rPr>
      </w:pPr>
    </w:p>
    <w:p w14:paraId="40562CDA">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02DA36">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4162F9FF">
      <w:pPr>
        <w:spacing w:line="360" w:lineRule="auto"/>
        <w:ind w:firstLine="480" w:firstLineChars="200"/>
        <w:rPr>
          <w:rFonts w:hint="eastAsia" w:ascii="仿宋" w:hAnsi="仿宋" w:eastAsia="仿宋" w:cs="仿宋"/>
          <w:sz w:val="24"/>
          <w:highlight w:val="none"/>
        </w:rPr>
      </w:pPr>
    </w:p>
    <w:p w14:paraId="1CC12D99">
      <w:pPr>
        <w:spacing w:line="360" w:lineRule="auto"/>
        <w:ind w:firstLine="480" w:firstLineChars="200"/>
        <w:rPr>
          <w:rFonts w:hint="eastAsia" w:ascii="仿宋" w:hAnsi="仿宋" w:eastAsia="仿宋" w:cs="仿宋"/>
          <w:sz w:val="24"/>
          <w:highlight w:val="none"/>
        </w:rPr>
      </w:pPr>
    </w:p>
    <w:p w14:paraId="6896C75B">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14:paraId="0BB77770">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37549FA5">
      <w:pPr>
        <w:tabs>
          <w:tab w:val="left" w:pos="1559"/>
          <w:tab w:val="center" w:pos="4212"/>
        </w:tabs>
        <w:spacing w:line="360" w:lineRule="auto"/>
        <w:jc w:val="center"/>
        <w:rPr>
          <w:rFonts w:hint="eastAsia" w:ascii="仿宋" w:hAnsi="仿宋" w:eastAsia="仿宋" w:cs="仿宋"/>
          <w:b/>
          <w:spacing w:val="6"/>
          <w:sz w:val="32"/>
          <w:szCs w:val="32"/>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2694C004">
      <w:pPr>
        <w:tabs>
          <w:tab w:val="left" w:pos="1559"/>
          <w:tab w:val="center" w:pos="4212"/>
        </w:tabs>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附件2：质疑函范本及制作说明</w:t>
      </w:r>
    </w:p>
    <w:p w14:paraId="3563E56D">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52B9E9D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3DC21D5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1C10523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6D6AE7F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50A96F6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58B6187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45A42BE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2A620F7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39B533D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472FB02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0C5A8AA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30BC3CB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3760388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3AAF977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3E7BCBF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04F45A3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56D5077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79D1E67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0506C13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w:t>
      </w:r>
    </w:p>
    <w:p w14:paraId="0DEA951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669C86C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41334B62">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728594F7">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1FA7F308">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highlight w:val="none"/>
        </w:rPr>
      </w:pPr>
    </w:p>
    <w:p w14:paraId="0720BD73">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1C4D5197">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746643FC">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1509F1A1">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2AB40F73">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06654BE0">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1B4E3294">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21A940E6">
      <w:pPr>
        <w:spacing w:line="360" w:lineRule="auto"/>
        <w:jc w:val="center"/>
        <w:rPr>
          <w:rFonts w:hint="eastAsia" w:ascii="仿宋" w:hAnsi="仿宋" w:eastAsia="仿宋" w:cs="仿宋"/>
          <w:b/>
          <w:spacing w:val="6"/>
          <w:sz w:val="32"/>
          <w:szCs w:val="32"/>
          <w:highlight w:val="none"/>
        </w:rPr>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14:paraId="0FB3DCCB">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附件3：投诉书范本及制作说明</w:t>
      </w:r>
    </w:p>
    <w:p w14:paraId="0653C19D">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7EFA370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5ECB5DF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5B4D920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18AF6383">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0004171A">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71DA4E7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406F8D0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7D25ABC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p>
    <w:p w14:paraId="54C9747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5D565D6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748A0AE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被投诉人2</w:t>
      </w:r>
    </w:p>
    <w:p w14:paraId="35843A5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014AC6E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p>
    <w:p w14:paraId="687CBEC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41DE7C9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5CE24BA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508958F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50A857F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38CB023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67D2513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1C26619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21A4B0E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4F83FE7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0E7CBB79">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p>
    <w:p w14:paraId="2ED30F5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27FE04C6">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3211CD7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6618F41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44C9FA2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56B08FE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34F5654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407BA24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76262FC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投诉事项2</w:t>
      </w:r>
    </w:p>
    <w:p w14:paraId="5B2AE12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1F749BB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1168B9F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7E4950F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p>
    <w:p w14:paraId="07E5EAC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59F569D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5F7F5AD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highlight w:val="none"/>
        </w:rPr>
      </w:pPr>
    </w:p>
    <w:p w14:paraId="7CAA201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highlight w:val="none"/>
        </w:rPr>
      </w:pPr>
    </w:p>
    <w:p w14:paraId="15A81B3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6005E1F8">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712B6B72">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16A48E7F">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615EAE29">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05282B13">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384939BF">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65C7B83D">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16ACB9CD">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19B506FD">
      <w:pPr>
        <w:autoSpaceDE w:val="0"/>
        <w:autoSpaceDN w:val="0"/>
        <w:jc w:val="center"/>
        <w:rPr>
          <w:rFonts w:hint="eastAsia" w:ascii="仿宋" w:hAnsi="仿宋" w:eastAsia="仿宋" w:cs="仿宋"/>
          <w:b/>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sz w:val="32"/>
          <w:szCs w:val="32"/>
          <w:highlight w:val="none"/>
        </w:rPr>
        <w:t>中小企业声明函</w:t>
      </w:r>
    </w:p>
    <w:p w14:paraId="0EEF0315">
      <w:pPr>
        <w:adjustRightInd/>
        <w:spacing w:line="336" w:lineRule="auto"/>
        <w:jc w:val="center"/>
        <w:outlineLvl w:val="0"/>
        <w:rPr>
          <w:rFonts w:ascii="仿宋" w:hAnsi="仿宋" w:eastAsia="仿宋" w:cs="仿宋"/>
          <w:b/>
          <w:sz w:val="32"/>
          <w:szCs w:val="32"/>
          <w:highlight w:val="none"/>
        </w:rPr>
      </w:pPr>
      <w:r>
        <w:rPr>
          <w:rFonts w:hint="eastAsia" w:ascii="仿宋" w:hAnsi="仿宋" w:eastAsia="仿宋" w:cs="仿宋"/>
          <w:b/>
          <w:sz w:val="32"/>
          <w:szCs w:val="32"/>
          <w:highlight w:val="none"/>
          <w:lang w:val="en-US" w:eastAsia="zh-CN"/>
        </w:rPr>
        <w:t>中小企业声明函</w:t>
      </w:r>
      <w:r>
        <w:rPr>
          <w:rFonts w:hint="eastAsia" w:ascii="仿宋" w:hAnsi="仿宋" w:eastAsia="仿宋" w:cs="仿宋"/>
          <w:b/>
          <w:sz w:val="32"/>
          <w:szCs w:val="32"/>
          <w:highlight w:val="none"/>
        </w:rPr>
        <w:t>（服务）</w:t>
      </w:r>
    </w:p>
    <w:p w14:paraId="0FBFFDE5">
      <w:pPr>
        <w:spacing w:line="336" w:lineRule="auto"/>
        <w:ind w:firstLine="360" w:firstLineChars="150"/>
        <w:jc w:val="left"/>
        <w:rPr>
          <w:rFonts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本公司（联合体）郑重声明，根据《政府采购促进中小企业发展管理办法》（财库﹝2020﹞46号）的规定，本公司（联合体）参加 </w:t>
      </w:r>
      <w:r>
        <w:rPr>
          <w:rFonts w:hint="eastAsia" w:ascii="仿宋" w:hAnsi="仿宋" w:eastAsia="仿宋" w:cs="仿宋"/>
          <w:sz w:val="24"/>
          <w:highlight w:val="none"/>
          <w:u w:val="single"/>
        </w:rPr>
        <w:t xml:space="preserve">（采购人） </w:t>
      </w:r>
      <w:r>
        <w:rPr>
          <w:rFonts w:hint="eastAsia" w:ascii="仿宋" w:hAnsi="仿宋" w:eastAsia="仿宋" w:cs="仿宋"/>
          <w:sz w:val="24"/>
          <w:highlight w:val="none"/>
        </w:rPr>
        <w:t>的</w:t>
      </w: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采购活动，服务全部由符合政策要求的中小企业承接。相关企业（含联合体中的中小企业、签订分包意向协议的中小企业）的具体情况如下：</w:t>
      </w:r>
    </w:p>
    <w:p w14:paraId="32E16E0A">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14:paraId="3B1E5879">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14:paraId="0F4BF5D6">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w:t>
      </w:r>
    </w:p>
    <w:p w14:paraId="1CF9C392">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33364278">
      <w:pPr>
        <w:spacing w:line="336"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6186703E">
      <w:pPr>
        <w:spacing w:line="336" w:lineRule="auto"/>
        <w:jc w:val="right"/>
        <w:rPr>
          <w:rFonts w:ascii="仿宋" w:hAnsi="仿宋" w:eastAsia="仿宋" w:cs="仿宋"/>
          <w:sz w:val="24"/>
          <w:highlight w:val="none"/>
        </w:rPr>
      </w:pPr>
      <w:r>
        <w:rPr>
          <w:rFonts w:hint="eastAsia" w:ascii="仿宋" w:hAnsi="仿宋" w:eastAsia="仿宋" w:cs="仿宋"/>
          <w:sz w:val="24"/>
          <w:highlight w:val="none"/>
        </w:rPr>
        <w:t>供应商名称（电子签名）：</w:t>
      </w:r>
    </w:p>
    <w:p w14:paraId="156A5C8A">
      <w:pPr>
        <w:spacing w:line="336" w:lineRule="auto"/>
        <w:ind w:firstLine="6600" w:firstLineChars="2750"/>
        <w:rPr>
          <w:rFonts w:ascii="仿宋" w:hAnsi="仿宋" w:eastAsia="仿宋" w:cs="仿宋"/>
          <w:sz w:val="24"/>
          <w:highlight w:val="none"/>
        </w:rPr>
      </w:pPr>
      <w:r>
        <w:rPr>
          <w:rFonts w:hint="eastAsia" w:ascii="仿宋" w:hAnsi="仿宋" w:eastAsia="仿宋" w:cs="仿宋"/>
          <w:sz w:val="24"/>
          <w:highlight w:val="none"/>
        </w:rPr>
        <w:t>日 期：</w:t>
      </w:r>
    </w:p>
    <w:p w14:paraId="5039A240">
      <w:pPr>
        <w:spacing w:line="336" w:lineRule="auto"/>
        <w:ind w:firstLine="310" w:firstLineChars="147"/>
        <w:jc w:val="left"/>
        <w:rPr>
          <w:rFonts w:ascii="仿宋" w:hAnsi="仿宋" w:eastAsia="仿宋" w:cs="仿宋"/>
          <w:b/>
          <w:szCs w:val="21"/>
          <w:highlight w:val="none"/>
        </w:rPr>
      </w:pPr>
      <w:r>
        <w:rPr>
          <w:rFonts w:hint="eastAsia" w:ascii="仿宋" w:hAnsi="仿宋" w:eastAsia="仿宋" w:cs="仿宋"/>
          <w:b/>
          <w:szCs w:val="21"/>
          <w:highlight w:val="none"/>
        </w:rPr>
        <w:t>从业人员、营业收入、资产总额填报上一年度数据，无上一年度数据的新成立企业可不填报。</w:t>
      </w:r>
    </w:p>
    <w:p w14:paraId="55BF947C">
      <w:pPr>
        <w:spacing w:line="336" w:lineRule="auto"/>
        <w:rPr>
          <w:rFonts w:ascii="仿宋" w:hAnsi="仿宋" w:eastAsia="仿宋" w:cs="仿宋"/>
          <w:sz w:val="24"/>
          <w:highlight w:val="none"/>
        </w:rPr>
      </w:pPr>
      <w:r>
        <w:rPr>
          <w:rFonts w:hint="eastAsia" w:ascii="仿宋" w:hAnsi="仿宋" w:eastAsia="仿宋" w:cs="仿宋"/>
          <w:sz w:val="24"/>
          <w:highlight w:val="none"/>
        </w:rPr>
        <w:t xml:space="preserve">   注：</w:t>
      </w:r>
    </w:p>
    <w:p w14:paraId="3AA6E5E1">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w:t>
      </w:r>
      <w:r>
        <w:rPr>
          <w:rFonts w:hint="eastAsia" w:ascii="仿宋" w:hAnsi="仿宋" w:eastAsia="仿宋" w:cs="仿宋"/>
          <w:sz w:val="24"/>
          <w:highlight w:val="none"/>
          <w:lang w:val="zh-CN"/>
        </w:rPr>
        <w:t>中小企业声明函</w:t>
      </w:r>
      <w:r>
        <w:rPr>
          <w:rFonts w:hint="eastAsia" w:ascii="仿宋" w:hAnsi="仿宋" w:eastAsia="仿宋" w:cs="仿宋"/>
          <w:sz w:val="24"/>
          <w:highlight w:val="none"/>
        </w:rPr>
        <w:t>》与实际情况不符的或者未按以上要求填写的，</w:t>
      </w:r>
      <w:r>
        <w:rPr>
          <w:rFonts w:hint="eastAsia" w:ascii="仿宋" w:hAnsi="仿宋" w:eastAsia="仿宋" w:cs="仿宋"/>
          <w:sz w:val="24"/>
          <w:highlight w:val="none"/>
          <w:lang w:val="zh-CN"/>
        </w:rPr>
        <w:t>中小企业声明函</w:t>
      </w:r>
      <w:r>
        <w:rPr>
          <w:rFonts w:hint="eastAsia" w:ascii="仿宋" w:hAnsi="仿宋" w:eastAsia="仿宋" w:cs="仿宋"/>
          <w:sz w:val="24"/>
          <w:highlight w:val="none"/>
        </w:rPr>
        <w:t>无效，不享受中小企业扶持政策。声明内容不实的，属于提供虚假材料谋取中标、成交的，依法承担法律责任。</w:t>
      </w:r>
    </w:p>
    <w:p w14:paraId="1ABFF90A">
      <w:pPr>
        <w:keepNext w:val="0"/>
        <w:keepLines w:val="0"/>
        <w:pageBreakBefore w:val="0"/>
        <w:widowControl w:val="0"/>
        <w:kinsoku/>
        <w:wordWrap/>
        <w:overflowPunct/>
        <w:topLinePunct w:val="0"/>
        <w:autoSpaceDE/>
        <w:autoSpaceDN/>
        <w:bidi w:val="0"/>
        <w:adjustRightInd w:val="0"/>
        <w:snapToGrid/>
        <w:spacing w:line="360" w:lineRule="exact"/>
        <w:ind w:firstLine="720" w:firstLineChars="300"/>
        <w:textAlignment w:val="auto"/>
        <w:rPr>
          <w:rFonts w:ascii="仿宋" w:hAnsi="仿宋" w:eastAsia="仿宋" w:cs="仿宋"/>
          <w:sz w:val="24"/>
          <w:highlight w:val="none"/>
        </w:rPr>
      </w:pPr>
      <w:r>
        <w:rPr>
          <w:rFonts w:hint="eastAsia" w:ascii="仿宋" w:hAnsi="仿宋" w:eastAsia="仿宋" w:cs="仿宋"/>
          <w:sz w:val="24"/>
          <w:highlight w:val="none"/>
        </w:rPr>
        <w:t>2、符合《关于促进残疾人就业政府采购政策的通知》（财库〔2017〕141号）规定的条件并提供《残疾人福利性单位声明函》（附件6）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770226F">
      <w:pPr>
        <w:spacing w:line="336" w:lineRule="auto"/>
        <w:rPr>
          <w:rFonts w:ascii="仿宋" w:hAnsi="仿宋" w:eastAsia="仿宋" w:cs="仿宋"/>
          <w:b/>
          <w:sz w:val="24"/>
          <w:highlight w:val="none"/>
        </w:rPr>
      </w:pPr>
    </w:p>
    <w:p w14:paraId="4E7D95F6">
      <w:pPr>
        <w:pageBreakBefore/>
        <w:shd w:val="clear" w:color="auto" w:fill="FFFFFF"/>
        <w:spacing w:line="336" w:lineRule="auto"/>
        <w:jc w:val="center"/>
        <w:textAlignment w:val="baseline"/>
        <w:rPr>
          <w:rFonts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国家统计局关于印发《统计上大中小微型企业划分办法（2017）》的通知</w:t>
      </w:r>
    </w:p>
    <w:p w14:paraId="2318CD5A">
      <w:pPr>
        <w:widowControl/>
        <w:shd w:val="clear" w:color="auto" w:fill="FFFFFF"/>
        <w:spacing w:line="336" w:lineRule="auto"/>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各省、自治区、直辖市统计局，新疆生产建设兵团统计局，国务院各有关部门，国家统计局各调查总队：</w:t>
      </w:r>
    </w:p>
    <w:p w14:paraId="3F5269D4">
      <w:pPr>
        <w:widowControl/>
        <w:shd w:val="clear" w:color="auto" w:fill="FFFFFF"/>
        <w:spacing w:line="336" w:lineRule="auto"/>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5A5B7CA7">
      <w:pPr>
        <w:widowControl/>
        <w:spacing w:line="336" w:lineRule="auto"/>
        <w:jc w:val="left"/>
        <w:rPr>
          <w:rFonts w:ascii="仿宋" w:hAnsi="仿宋" w:eastAsia="仿宋" w:cs="仿宋"/>
          <w:kern w:val="0"/>
          <w:szCs w:val="21"/>
          <w:highlight w:val="none"/>
        </w:rPr>
      </w:pPr>
      <w:r>
        <w:rPr>
          <w:rFonts w:hint="eastAsia" w:ascii="仿宋" w:hAnsi="仿宋" w:eastAsia="仿宋" w:cs="仿宋"/>
          <w:kern w:val="0"/>
          <w:szCs w:val="21"/>
          <w:highlight w:val="none"/>
        </w:rPr>
        <w:t>附件：《统计上大中小微型企业划分办法（2017）》修订说明</w:t>
      </w:r>
    </w:p>
    <w:p w14:paraId="4822CF93">
      <w:pPr>
        <w:widowControl/>
        <w:shd w:val="clear" w:color="auto" w:fill="FFFFFF"/>
        <w:spacing w:line="336" w:lineRule="auto"/>
        <w:jc w:val="righ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国家统计局  </w:t>
      </w:r>
    </w:p>
    <w:p w14:paraId="76904A9B">
      <w:pPr>
        <w:widowControl/>
        <w:shd w:val="clear" w:color="auto" w:fill="FFFFFF"/>
        <w:spacing w:line="336" w:lineRule="auto"/>
        <w:jc w:val="righ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2017年12月28日</w:t>
      </w:r>
    </w:p>
    <w:p w14:paraId="22CBCECF">
      <w:pPr>
        <w:pStyle w:val="25"/>
        <w:spacing w:line="336" w:lineRule="auto"/>
        <w:rPr>
          <w:rFonts w:ascii="仿宋" w:hAnsi="仿宋" w:eastAsia="仿宋" w:cs="仿宋"/>
          <w:highlight w:val="none"/>
          <w:lang w:val="en-US"/>
        </w:rPr>
      </w:pPr>
    </w:p>
    <w:p w14:paraId="72CA0DA1">
      <w:pPr>
        <w:widowControl/>
        <w:shd w:val="clear" w:color="auto" w:fill="FFFFFF"/>
        <w:spacing w:line="336" w:lineRule="auto"/>
        <w:jc w:val="center"/>
        <w:textAlignment w:val="baseline"/>
        <w:rPr>
          <w:rFonts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统计上大中小微型企业划分办法（2017）</w:t>
      </w:r>
    </w:p>
    <w:p w14:paraId="09B4DC0D">
      <w:pPr>
        <w:widowControl/>
        <w:shd w:val="clear" w:color="auto" w:fill="FFFFFF"/>
        <w:spacing w:line="336" w:lineRule="auto"/>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0A83C613">
      <w:pPr>
        <w:widowControl/>
        <w:shd w:val="clear" w:color="auto" w:fill="FFFFFF"/>
        <w:spacing w:line="336" w:lineRule="auto"/>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二、本办法适用对象为在中华人民共和国境内依法设立的各种组织形式的法人企业或单位。个体工商户参照本办法进行划分。</w:t>
      </w:r>
    </w:p>
    <w:p w14:paraId="55C3BE53">
      <w:pPr>
        <w:widowControl/>
        <w:shd w:val="clear" w:color="auto" w:fill="FFFFFF"/>
        <w:spacing w:line="336" w:lineRule="auto"/>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B2009BA">
      <w:pPr>
        <w:widowControl/>
        <w:shd w:val="clear" w:color="auto" w:fill="FFFFFF"/>
        <w:spacing w:line="336" w:lineRule="auto"/>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14:paraId="1307AA46">
      <w:pPr>
        <w:widowControl/>
        <w:shd w:val="clear" w:color="auto" w:fill="FFFFFF"/>
        <w:spacing w:line="336" w:lineRule="auto"/>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五、企业划分由政府综合统计部门根据统计年报每年确定一次，定报统计原则上不进行调整。</w:t>
      </w:r>
    </w:p>
    <w:p w14:paraId="6873A9AF">
      <w:pPr>
        <w:widowControl/>
        <w:shd w:val="clear" w:color="auto" w:fill="FFFFFF"/>
        <w:spacing w:line="336" w:lineRule="auto"/>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六、本办法自印发之日起执行，国家统计局2011年印发的《统计上大中小微型企业划分办法》（国统字〔2011〕75号）同时废止。</w:t>
      </w:r>
    </w:p>
    <w:p w14:paraId="6B111F76">
      <w:pPr>
        <w:widowControl/>
        <w:shd w:val="clear" w:color="auto" w:fill="FFFFFF"/>
        <w:spacing w:line="336" w:lineRule="auto"/>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附表：统计上大中小微型企业划分标准</w:t>
      </w:r>
    </w:p>
    <w:p w14:paraId="3C05A832">
      <w:pPr>
        <w:widowControl/>
        <w:shd w:val="clear" w:color="auto" w:fill="FFFFFF"/>
        <w:spacing w:line="336" w:lineRule="auto"/>
        <w:jc w:val="center"/>
        <w:textAlignment w:val="baseline"/>
        <w:rPr>
          <w:rFonts w:hint="eastAsia" w:ascii="仿宋" w:hAnsi="仿宋" w:eastAsia="仿宋" w:cs="仿宋"/>
          <w:b/>
          <w:bCs/>
          <w:kern w:val="0"/>
          <w:sz w:val="32"/>
          <w:szCs w:val="32"/>
          <w:highlight w:val="none"/>
        </w:rPr>
      </w:pPr>
    </w:p>
    <w:p w14:paraId="2DA43935">
      <w:pPr>
        <w:widowControl/>
        <w:shd w:val="clear" w:color="auto" w:fill="FFFFFF"/>
        <w:spacing w:line="336" w:lineRule="auto"/>
        <w:jc w:val="center"/>
        <w:textAlignment w:val="baseline"/>
        <w:rPr>
          <w:rFonts w:hint="eastAsia" w:ascii="仿宋" w:hAnsi="仿宋" w:eastAsia="仿宋" w:cs="仿宋"/>
          <w:b/>
          <w:bCs/>
          <w:kern w:val="0"/>
          <w:sz w:val="32"/>
          <w:szCs w:val="32"/>
          <w:highlight w:val="none"/>
        </w:rPr>
      </w:pPr>
    </w:p>
    <w:p w14:paraId="65F0C9C5">
      <w:pPr>
        <w:widowControl/>
        <w:shd w:val="clear" w:color="auto" w:fill="FFFFFF"/>
        <w:spacing w:line="336" w:lineRule="auto"/>
        <w:jc w:val="center"/>
        <w:textAlignment w:val="baseline"/>
        <w:rPr>
          <w:rFonts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统计上大中小微型企业划分标准</w:t>
      </w:r>
    </w:p>
    <w:tbl>
      <w:tblPr>
        <w:tblStyle w:val="66"/>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59265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center"/>
          </w:tcPr>
          <w:p w14:paraId="5496C470">
            <w:pPr>
              <w:widowControl/>
              <w:spacing w:line="336" w:lineRule="auto"/>
              <w:jc w:val="center"/>
              <w:rPr>
                <w:rFonts w:ascii="仿宋" w:hAnsi="仿宋" w:eastAsia="仿宋" w:cstheme="minorBidi"/>
                <w:b/>
                <w:bCs/>
                <w:color w:val="auto"/>
                <w:kern w:val="2"/>
                <w:sz w:val="22"/>
                <w:szCs w:val="22"/>
                <w:highlight w:val="none"/>
                <w:lang w:val="zh-CN" w:eastAsia="zh-CN" w:bidi="ar-SA"/>
              </w:rPr>
            </w:pPr>
            <w:r>
              <w:rPr>
                <w:rFonts w:hint="eastAsia" w:ascii="仿宋" w:hAnsi="仿宋" w:eastAsia="仿宋" w:cstheme="minorBidi"/>
                <w:b/>
                <w:bCs/>
                <w:color w:val="auto"/>
                <w:kern w:val="2"/>
                <w:sz w:val="22"/>
                <w:szCs w:val="22"/>
                <w:highlight w:val="none"/>
                <w:lang w:val="zh-CN" w:eastAsia="zh-CN" w:bidi="ar-SA"/>
              </w:rPr>
              <w:t>行业名称</w:t>
            </w:r>
          </w:p>
        </w:tc>
        <w:tc>
          <w:tcPr>
            <w:tcW w:w="1560" w:type="dxa"/>
            <w:tcMar>
              <w:top w:w="75" w:type="dxa"/>
              <w:left w:w="75" w:type="dxa"/>
              <w:bottom w:w="75" w:type="dxa"/>
              <w:right w:w="75" w:type="dxa"/>
            </w:tcMar>
            <w:vAlign w:val="center"/>
          </w:tcPr>
          <w:p w14:paraId="5767D8C8">
            <w:pPr>
              <w:widowControl/>
              <w:spacing w:line="336" w:lineRule="auto"/>
              <w:jc w:val="center"/>
              <w:rPr>
                <w:rFonts w:ascii="仿宋" w:hAnsi="仿宋" w:eastAsia="仿宋" w:cstheme="minorBidi"/>
                <w:b/>
                <w:bCs/>
                <w:color w:val="auto"/>
                <w:kern w:val="2"/>
                <w:sz w:val="22"/>
                <w:szCs w:val="22"/>
                <w:highlight w:val="none"/>
                <w:lang w:val="zh-CN" w:eastAsia="zh-CN" w:bidi="ar-SA"/>
              </w:rPr>
            </w:pPr>
            <w:r>
              <w:rPr>
                <w:rFonts w:hint="eastAsia" w:ascii="仿宋" w:hAnsi="仿宋" w:eastAsia="仿宋" w:cstheme="minorBidi"/>
                <w:b/>
                <w:bCs/>
                <w:color w:val="auto"/>
                <w:kern w:val="2"/>
                <w:sz w:val="22"/>
                <w:szCs w:val="22"/>
                <w:highlight w:val="none"/>
                <w:lang w:val="zh-CN" w:eastAsia="zh-CN" w:bidi="ar-SA"/>
              </w:rPr>
              <w:t>指标名称</w:t>
            </w:r>
          </w:p>
        </w:tc>
        <w:tc>
          <w:tcPr>
            <w:tcW w:w="671" w:type="dxa"/>
            <w:tcMar>
              <w:top w:w="75" w:type="dxa"/>
              <w:left w:w="75" w:type="dxa"/>
              <w:bottom w:w="75" w:type="dxa"/>
              <w:right w:w="75" w:type="dxa"/>
            </w:tcMar>
            <w:vAlign w:val="center"/>
          </w:tcPr>
          <w:p w14:paraId="2BEEABB0">
            <w:pPr>
              <w:widowControl/>
              <w:spacing w:line="336" w:lineRule="auto"/>
              <w:jc w:val="center"/>
              <w:rPr>
                <w:rFonts w:ascii="仿宋" w:hAnsi="仿宋" w:eastAsia="仿宋" w:cstheme="minorBidi"/>
                <w:b/>
                <w:bCs/>
                <w:color w:val="auto"/>
                <w:kern w:val="2"/>
                <w:sz w:val="22"/>
                <w:szCs w:val="22"/>
                <w:highlight w:val="none"/>
                <w:lang w:val="zh-CN" w:eastAsia="zh-CN" w:bidi="ar-SA"/>
              </w:rPr>
            </w:pPr>
            <w:r>
              <w:rPr>
                <w:rFonts w:hint="eastAsia" w:ascii="仿宋" w:hAnsi="仿宋" w:eastAsia="仿宋" w:cstheme="minorBidi"/>
                <w:b/>
                <w:bCs/>
                <w:color w:val="auto"/>
                <w:kern w:val="2"/>
                <w:sz w:val="22"/>
                <w:szCs w:val="22"/>
                <w:highlight w:val="none"/>
                <w:lang w:val="zh-CN" w:eastAsia="zh-CN" w:bidi="ar-SA"/>
              </w:rPr>
              <w:t>计量单位</w:t>
            </w:r>
          </w:p>
        </w:tc>
        <w:tc>
          <w:tcPr>
            <w:tcW w:w="1231" w:type="dxa"/>
            <w:tcMar>
              <w:top w:w="75" w:type="dxa"/>
              <w:left w:w="75" w:type="dxa"/>
              <w:bottom w:w="75" w:type="dxa"/>
              <w:right w:w="75" w:type="dxa"/>
            </w:tcMar>
            <w:vAlign w:val="center"/>
          </w:tcPr>
          <w:p w14:paraId="581FAB3F">
            <w:pPr>
              <w:widowControl/>
              <w:spacing w:line="336" w:lineRule="auto"/>
              <w:jc w:val="center"/>
              <w:rPr>
                <w:rFonts w:ascii="仿宋" w:hAnsi="仿宋" w:eastAsia="仿宋" w:cstheme="minorBidi"/>
                <w:b/>
                <w:bCs/>
                <w:color w:val="auto"/>
                <w:kern w:val="2"/>
                <w:sz w:val="22"/>
                <w:szCs w:val="22"/>
                <w:highlight w:val="none"/>
                <w:lang w:val="zh-CN" w:eastAsia="zh-CN" w:bidi="ar-SA"/>
              </w:rPr>
            </w:pPr>
            <w:r>
              <w:rPr>
                <w:rFonts w:hint="eastAsia" w:ascii="仿宋" w:hAnsi="仿宋" w:eastAsia="仿宋" w:cstheme="minorBidi"/>
                <w:b/>
                <w:bCs/>
                <w:color w:val="auto"/>
                <w:kern w:val="2"/>
                <w:sz w:val="22"/>
                <w:szCs w:val="22"/>
                <w:highlight w:val="none"/>
                <w:lang w:val="zh-CN" w:eastAsia="zh-CN" w:bidi="ar-SA"/>
              </w:rPr>
              <w:t>大型</w:t>
            </w:r>
          </w:p>
        </w:tc>
        <w:tc>
          <w:tcPr>
            <w:tcW w:w="1891" w:type="dxa"/>
            <w:tcMar>
              <w:top w:w="75" w:type="dxa"/>
              <w:left w:w="75" w:type="dxa"/>
              <w:bottom w:w="75" w:type="dxa"/>
              <w:right w:w="75" w:type="dxa"/>
            </w:tcMar>
            <w:vAlign w:val="center"/>
          </w:tcPr>
          <w:p w14:paraId="77CA123F">
            <w:pPr>
              <w:widowControl/>
              <w:spacing w:line="336" w:lineRule="auto"/>
              <w:jc w:val="center"/>
              <w:rPr>
                <w:rFonts w:ascii="仿宋" w:hAnsi="仿宋" w:eastAsia="仿宋" w:cstheme="minorBidi"/>
                <w:b/>
                <w:bCs/>
                <w:color w:val="auto"/>
                <w:kern w:val="2"/>
                <w:sz w:val="22"/>
                <w:szCs w:val="22"/>
                <w:highlight w:val="none"/>
                <w:lang w:val="zh-CN" w:eastAsia="zh-CN" w:bidi="ar-SA"/>
              </w:rPr>
            </w:pPr>
            <w:r>
              <w:rPr>
                <w:rFonts w:hint="eastAsia" w:ascii="仿宋" w:hAnsi="仿宋" w:eastAsia="仿宋" w:cstheme="minorBidi"/>
                <w:b/>
                <w:bCs/>
                <w:color w:val="auto"/>
                <w:kern w:val="2"/>
                <w:sz w:val="22"/>
                <w:szCs w:val="22"/>
                <w:highlight w:val="none"/>
                <w:lang w:val="zh-CN" w:eastAsia="zh-CN" w:bidi="ar-SA"/>
              </w:rPr>
              <w:t>中型</w:t>
            </w:r>
          </w:p>
        </w:tc>
        <w:tc>
          <w:tcPr>
            <w:tcW w:w="1730" w:type="dxa"/>
            <w:tcMar>
              <w:top w:w="75" w:type="dxa"/>
              <w:left w:w="75" w:type="dxa"/>
              <w:bottom w:w="75" w:type="dxa"/>
              <w:right w:w="75" w:type="dxa"/>
            </w:tcMar>
            <w:vAlign w:val="center"/>
          </w:tcPr>
          <w:p w14:paraId="34ECD9E7">
            <w:pPr>
              <w:widowControl/>
              <w:spacing w:line="336" w:lineRule="auto"/>
              <w:jc w:val="center"/>
              <w:rPr>
                <w:rFonts w:ascii="仿宋" w:hAnsi="仿宋" w:eastAsia="仿宋" w:cstheme="minorBidi"/>
                <w:b/>
                <w:bCs/>
                <w:color w:val="auto"/>
                <w:kern w:val="2"/>
                <w:sz w:val="22"/>
                <w:szCs w:val="22"/>
                <w:highlight w:val="none"/>
                <w:lang w:val="zh-CN" w:eastAsia="zh-CN" w:bidi="ar-SA"/>
              </w:rPr>
            </w:pPr>
            <w:r>
              <w:rPr>
                <w:rFonts w:hint="eastAsia" w:ascii="仿宋" w:hAnsi="仿宋" w:eastAsia="仿宋" w:cstheme="minorBidi"/>
                <w:b/>
                <w:bCs/>
                <w:color w:val="auto"/>
                <w:kern w:val="2"/>
                <w:sz w:val="22"/>
                <w:szCs w:val="22"/>
                <w:highlight w:val="none"/>
                <w:lang w:val="zh-CN" w:eastAsia="zh-CN" w:bidi="ar-SA"/>
              </w:rPr>
              <w:t>小型</w:t>
            </w:r>
          </w:p>
        </w:tc>
        <w:tc>
          <w:tcPr>
            <w:tcW w:w="1203" w:type="dxa"/>
            <w:tcMar>
              <w:top w:w="75" w:type="dxa"/>
              <w:left w:w="75" w:type="dxa"/>
              <w:bottom w:w="75" w:type="dxa"/>
              <w:right w:w="75" w:type="dxa"/>
            </w:tcMar>
            <w:vAlign w:val="center"/>
          </w:tcPr>
          <w:p w14:paraId="02BF6276">
            <w:pPr>
              <w:widowControl/>
              <w:spacing w:line="336" w:lineRule="auto"/>
              <w:jc w:val="center"/>
              <w:rPr>
                <w:rFonts w:ascii="仿宋" w:hAnsi="仿宋" w:eastAsia="仿宋" w:cstheme="minorBidi"/>
                <w:b/>
                <w:bCs/>
                <w:color w:val="auto"/>
                <w:kern w:val="2"/>
                <w:sz w:val="22"/>
                <w:szCs w:val="22"/>
                <w:highlight w:val="none"/>
                <w:lang w:val="zh-CN" w:eastAsia="zh-CN" w:bidi="ar-SA"/>
              </w:rPr>
            </w:pPr>
            <w:r>
              <w:rPr>
                <w:rFonts w:hint="eastAsia" w:ascii="仿宋" w:hAnsi="仿宋" w:eastAsia="仿宋" w:cstheme="minorBidi"/>
                <w:b/>
                <w:bCs/>
                <w:color w:val="auto"/>
                <w:kern w:val="2"/>
                <w:sz w:val="22"/>
                <w:szCs w:val="22"/>
                <w:highlight w:val="none"/>
                <w:lang w:val="zh-CN" w:eastAsia="zh-CN" w:bidi="ar-SA"/>
              </w:rPr>
              <w:t>微型</w:t>
            </w:r>
          </w:p>
        </w:tc>
      </w:tr>
      <w:tr w14:paraId="4F5A7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1DE3F64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农、林、牧、渔业</w:t>
            </w:r>
          </w:p>
        </w:tc>
        <w:tc>
          <w:tcPr>
            <w:tcW w:w="1560" w:type="dxa"/>
            <w:vAlign w:val="center"/>
          </w:tcPr>
          <w:p w14:paraId="74C09AD7">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营业收入(Y)</w:t>
            </w:r>
          </w:p>
        </w:tc>
        <w:tc>
          <w:tcPr>
            <w:tcW w:w="671" w:type="dxa"/>
            <w:vAlign w:val="center"/>
          </w:tcPr>
          <w:p w14:paraId="5C4C9E55">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7AA1EE3E">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Y≥20000</w:t>
            </w:r>
          </w:p>
        </w:tc>
        <w:tc>
          <w:tcPr>
            <w:tcW w:w="1891" w:type="dxa"/>
            <w:vAlign w:val="center"/>
          </w:tcPr>
          <w:p w14:paraId="0359A6C8">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500≤Y＜20000</w:t>
            </w:r>
          </w:p>
        </w:tc>
        <w:tc>
          <w:tcPr>
            <w:tcW w:w="1730" w:type="dxa"/>
            <w:vAlign w:val="center"/>
          </w:tcPr>
          <w:p w14:paraId="1731E56B">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50≤Y＜500</w:t>
            </w:r>
          </w:p>
        </w:tc>
        <w:tc>
          <w:tcPr>
            <w:tcW w:w="1203" w:type="dxa"/>
            <w:vAlign w:val="center"/>
          </w:tcPr>
          <w:p w14:paraId="42393457">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Y＜50</w:t>
            </w:r>
          </w:p>
        </w:tc>
      </w:tr>
      <w:tr w14:paraId="7999A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19E94E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工业 *</w:t>
            </w:r>
          </w:p>
        </w:tc>
        <w:tc>
          <w:tcPr>
            <w:tcW w:w="1560" w:type="dxa"/>
            <w:vAlign w:val="center"/>
          </w:tcPr>
          <w:p w14:paraId="1F648D73">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从业人员(X)</w:t>
            </w:r>
          </w:p>
        </w:tc>
        <w:tc>
          <w:tcPr>
            <w:tcW w:w="671" w:type="dxa"/>
            <w:vAlign w:val="center"/>
          </w:tcPr>
          <w:p w14:paraId="0BDEF0BD">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人</w:t>
            </w:r>
          </w:p>
        </w:tc>
        <w:tc>
          <w:tcPr>
            <w:tcW w:w="1231" w:type="dxa"/>
            <w:vAlign w:val="center"/>
          </w:tcPr>
          <w:p w14:paraId="595D1A6A">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X≥1000</w:t>
            </w:r>
          </w:p>
        </w:tc>
        <w:tc>
          <w:tcPr>
            <w:tcW w:w="1891" w:type="dxa"/>
            <w:vAlign w:val="center"/>
          </w:tcPr>
          <w:p w14:paraId="0342426C">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300≤X＜1000</w:t>
            </w:r>
          </w:p>
        </w:tc>
        <w:tc>
          <w:tcPr>
            <w:tcW w:w="1730" w:type="dxa"/>
            <w:vAlign w:val="center"/>
          </w:tcPr>
          <w:p w14:paraId="0EB46176">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20≤X＜300</w:t>
            </w:r>
          </w:p>
        </w:tc>
        <w:tc>
          <w:tcPr>
            <w:tcW w:w="1203" w:type="dxa"/>
            <w:vAlign w:val="center"/>
          </w:tcPr>
          <w:p w14:paraId="025F9884">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X＜20</w:t>
            </w:r>
          </w:p>
        </w:tc>
      </w:tr>
      <w:tr w14:paraId="507C0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1DB179D">
            <w:pPr>
              <w:widowControl/>
              <w:spacing w:line="336" w:lineRule="auto"/>
              <w:jc w:val="center"/>
              <w:rPr>
                <w:rFonts w:ascii="仿宋" w:hAnsi="仿宋" w:eastAsia="仿宋" w:cstheme="minorBidi"/>
                <w:color w:val="auto"/>
                <w:kern w:val="2"/>
                <w:sz w:val="22"/>
                <w:szCs w:val="22"/>
                <w:highlight w:val="none"/>
                <w:lang w:val="zh-CN" w:eastAsia="zh-CN" w:bidi="ar-SA"/>
              </w:rPr>
            </w:pPr>
          </w:p>
        </w:tc>
        <w:tc>
          <w:tcPr>
            <w:tcW w:w="1560" w:type="dxa"/>
            <w:vAlign w:val="center"/>
          </w:tcPr>
          <w:p w14:paraId="2F92ADF9">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营业收入(Y)</w:t>
            </w:r>
          </w:p>
        </w:tc>
        <w:tc>
          <w:tcPr>
            <w:tcW w:w="671" w:type="dxa"/>
            <w:vAlign w:val="center"/>
          </w:tcPr>
          <w:p w14:paraId="34FEF536">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4F857255">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Y≥40000</w:t>
            </w:r>
          </w:p>
        </w:tc>
        <w:tc>
          <w:tcPr>
            <w:tcW w:w="1891" w:type="dxa"/>
            <w:vAlign w:val="center"/>
          </w:tcPr>
          <w:p w14:paraId="5E3402D3">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2000≤Y＜40000</w:t>
            </w:r>
          </w:p>
        </w:tc>
        <w:tc>
          <w:tcPr>
            <w:tcW w:w="1730" w:type="dxa"/>
            <w:vAlign w:val="center"/>
          </w:tcPr>
          <w:p w14:paraId="2D77C549">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300≤Y＜2000</w:t>
            </w:r>
          </w:p>
        </w:tc>
        <w:tc>
          <w:tcPr>
            <w:tcW w:w="1203" w:type="dxa"/>
            <w:vAlign w:val="center"/>
          </w:tcPr>
          <w:p w14:paraId="6300FF34">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Y＜300</w:t>
            </w:r>
          </w:p>
        </w:tc>
      </w:tr>
      <w:tr w14:paraId="5A499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52356CF">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建筑业</w:t>
            </w:r>
          </w:p>
        </w:tc>
        <w:tc>
          <w:tcPr>
            <w:tcW w:w="1560" w:type="dxa"/>
            <w:vAlign w:val="center"/>
          </w:tcPr>
          <w:p w14:paraId="74CAC214">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营业收入(Y)</w:t>
            </w:r>
          </w:p>
        </w:tc>
        <w:tc>
          <w:tcPr>
            <w:tcW w:w="671" w:type="dxa"/>
            <w:vAlign w:val="center"/>
          </w:tcPr>
          <w:p w14:paraId="224735A6">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67F7E21C">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Y≥80000</w:t>
            </w:r>
          </w:p>
        </w:tc>
        <w:tc>
          <w:tcPr>
            <w:tcW w:w="1891" w:type="dxa"/>
            <w:vAlign w:val="center"/>
          </w:tcPr>
          <w:p w14:paraId="79BDB904">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6000≤Y＜80000</w:t>
            </w:r>
          </w:p>
        </w:tc>
        <w:tc>
          <w:tcPr>
            <w:tcW w:w="1730" w:type="dxa"/>
            <w:vAlign w:val="center"/>
          </w:tcPr>
          <w:p w14:paraId="5AEDF2C9">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300≤Y＜6000</w:t>
            </w:r>
          </w:p>
        </w:tc>
        <w:tc>
          <w:tcPr>
            <w:tcW w:w="1203" w:type="dxa"/>
            <w:vAlign w:val="center"/>
          </w:tcPr>
          <w:p w14:paraId="753988CB">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Y＜300</w:t>
            </w:r>
          </w:p>
        </w:tc>
      </w:tr>
      <w:tr w14:paraId="5CF1E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534BA44">
            <w:pPr>
              <w:widowControl/>
              <w:spacing w:line="336" w:lineRule="auto"/>
              <w:jc w:val="center"/>
              <w:rPr>
                <w:rFonts w:ascii="仿宋" w:hAnsi="仿宋" w:eastAsia="仿宋" w:cstheme="minorBidi"/>
                <w:color w:val="auto"/>
                <w:kern w:val="2"/>
                <w:sz w:val="22"/>
                <w:szCs w:val="22"/>
                <w:highlight w:val="none"/>
                <w:lang w:val="zh-CN" w:eastAsia="zh-CN" w:bidi="ar-SA"/>
              </w:rPr>
            </w:pPr>
          </w:p>
        </w:tc>
        <w:tc>
          <w:tcPr>
            <w:tcW w:w="1560" w:type="dxa"/>
            <w:vAlign w:val="center"/>
          </w:tcPr>
          <w:p w14:paraId="04A7F5A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资产总额(Z)</w:t>
            </w:r>
          </w:p>
        </w:tc>
        <w:tc>
          <w:tcPr>
            <w:tcW w:w="671" w:type="dxa"/>
            <w:vAlign w:val="center"/>
          </w:tcPr>
          <w:p w14:paraId="1224CD8E">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343771B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Z≥80000</w:t>
            </w:r>
          </w:p>
        </w:tc>
        <w:tc>
          <w:tcPr>
            <w:tcW w:w="1891" w:type="dxa"/>
            <w:vAlign w:val="center"/>
          </w:tcPr>
          <w:p w14:paraId="1E8ED6E7">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5000≤Z＜80000</w:t>
            </w:r>
          </w:p>
        </w:tc>
        <w:tc>
          <w:tcPr>
            <w:tcW w:w="1730" w:type="dxa"/>
            <w:vAlign w:val="center"/>
          </w:tcPr>
          <w:p w14:paraId="0D20B114">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300≤Z＜5000</w:t>
            </w:r>
          </w:p>
        </w:tc>
        <w:tc>
          <w:tcPr>
            <w:tcW w:w="1203" w:type="dxa"/>
            <w:vAlign w:val="center"/>
          </w:tcPr>
          <w:p w14:paraId="5D7CFA28">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Z＜300</w:t>
            </w:r>
          </w:p>
        </w:tc>
      </w:tr>
      <w:tr w14:paraId="11DA7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487FA4E">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批发业</w:t>
            </w:r>
          </w:p>
        </w:tc>
        <w:tc>
          <w:tcPr>
            <w:tcW w:w="1560" w:type="dxa"/>
            <w:vAlign w:val="center"/>
          </w:tcPr>
          <w:p w14:paraId="5EBD44DE">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从业人员(X)</w:t>
            </w:r>
          </w:p>
        </w:tc>
        <w:tc>
          <w:tcPr>
            <w:tcW w:w="671" w:type="dxa"/>
            <w:vAlign w:val="center"/>
          </w:tcPr>
          <w:p w14:paraId="3BEABF7F">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人</w:t>
            </w:r>
          </w:p>
        </w:tc>
        <w:tc>
          <w:tcPr>
            <w:tcW w:w="1231" w:type="dxa"/>
            <w:vAlign w:val="center"/>
          </w:tcPr>
          <w:p w14:paraId="6A6F387A">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X≥200</w:t>
            </w:r>
          </w:p>
        </w:tc>
        <w:tc>
          <w:tcPr>
            <w:tcW w:w="1891" w:type="dxa"/>
            <w:vAlign w:val="center"/>
          </w:tcPr>
          <w:p w14:paraId="706395DB">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20≤X＜200</w:t>
            </w:r>
          </w:p>
        </w:tc>
        <w:tc>
          <w:tcPr>
            <w:tcW w:w="1730" w:type="dxa"/>
            <w:vAlign w:val="center"/>
          </w:tcPr>
          <w:p w14:paraId="16921C91">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5≤X＜20</w:t>
            </w:r>
          </w:p>
        </w:tc>
        <w:tc>
          <w:tcPr>
            <w:tcW w:w="1203" w:type="dxa"/>
            <w:vAlign w:val="center"/>
          </w:tcPr>
          <w:p w14:paraId="043B4008">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X＜5</w:t>
            </w:r>
          </w:p>
        </w:tc>
      </w:tr>
      <w:tr w14:paraId="1C814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9B14DA8">
            <w:pPr>
              <w:widowControl/>
              <w:spacing w:line="336" w:lineRule="auto"/>
              <w:jc w:val="center"/>
              <w:rPr>
                <w:rFonts w:ascii="仿宋" w:hAnsi="仿宋" w:eastAsia="仿宋" w:cstheme="minorBidi"/>
                <w:color w:val="auto"/>
                <w:kern w:val="2"/>
                <w:sz w:val="22"/>
                <w:szCs w:val="22"/>
                <w:highlight w:val="none"/>
                <w:lang w:val="zh-CN" w:eastAsia="zh-CN" w:bidi="ar-SA"/>
              </w:rPr>
            </w:pPr>
          </w:p>
        </w:tc>
        <w:tc>
          <w:tcPr>
            <w:tcW w:w="1560" w:type="dxa"/>
            <w:vAlign w:val="center"/>
          </w:tcPr>
          <w:p w14:paraId="4C1371D5">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营业收入(Y)</w:t>
            </w:r>
          </w:p>
        </w:tc>
        <w:tc>
          <w:tcPr>
            <w:tcW w:w="671" w:type="dxa"/>
            <w:vAlign w:val="center"/>
          </w:tcPr>
          <w:p w14:paraId="2BE757F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3D8931BB">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Y≥40000</w:t>
            </w:r>
          </w:p>
        </w:tc>
        <w:tc>
          <w:tcPr>
            <w:tcW w:w="1891" w:type="dxa"/>
            <w:vAlign w:val="center"/>
          </w:tcPr>
          <w:p w14:paraId="36C8FFD8">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5000≤Y＜40000</w:t>
            </w:r>
          </w:p>
        </w:tc>
        <w:tc>
          <w:tcPr>
            <w:tcW w:w="1730" w:type="dxa"/>
            <w:vAlign w:val="center"/>
          </w:tcPr>
          <w:p w14:paraId="6D617785">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1000≤Y＜5000</w:t>
            </w:r>
          </w:p>
        </w:tc>
        <w:tc>
          <w:tcPr>
            <w:tcW w:w="1203" w:type="dxa"/>
            <w:vAlign w:val="center"/>
          </w:tcPr>
          <w:p w14:paraId="56BAE00C">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Y＜1000</w:t>
            </w:r>
          </w:p>
        </w:tc>
      </w:tr>
      <w:tr w14:paraId="4309D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F6AC4F8">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零售业</w:t>
            </w:r>
          </w:p>
        </w:tc>
        <w:tc>
          <w:tcPr>
            <w:tcW w:w="1560" w:type="dxa"/>
            <w:vAlign w:val="center"/>
          </w:tcPr>
          <w:p w14:paraId="1D44500A">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从业人员(X)</w:t>
            </w:r>
          </w:p>
        </w:tc>
        <w:tc>
          <w:tcPr>
            <w:tcW w:w="671" w:type="dxa"/>
            <w:vAlign w:val="center"/>
          </w:tcPr>
          <w:p w14:paraId="7E1F4377">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人</w:t>
            </w:r>
          </w:p>
        </w:tc>
        <w:tc>
          <w:tcPr>
            <w:tcW w:w="1231" w:type="dxa"/>
            <w:vAlign w:val="center"/>
          </w:tcPr>
          <w:p w14:paraId="0B7879AA">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X≥300</w:t>
            </w:r>
          </w:p>
        </w:tc>
        <w:tc>
          <w:tcPr>
            <w:tcW w:w="1891" w:type="dxa"/>
            <w:vAlign w:val="center"/>
          </w:tcPr>
          <w:p w14:paraId="107399CC">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50≤X＜300</w:t>
            </w:r>
          </w:p>
        </w:tc>
        <w:tc>
          <w:tcPr>
            <w:tcW w:w="1730" w:type="dxa"/>
            <w:vAlign w:val="center"/>
          </w:tcPr>
          <w:p w14:paraId="3C46C0F6">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10≤X＜50</w:t>
            </w:r>
          </w:p>
        </w:tc>
        <w:tc>
          <w:tcPr>
            <w:tcW w:w="1203" w:type="dxa"/>
            <w:vAlign w:val="center"/>
          </w:tcPr>
          <w:p w14:paraId="3FF7F88B">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X＜10</w:t>
            </w:r>
          </w:p>
        </w:tc>
      </w:tr>
      <w:tr w14:paraId="207F4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E265D6F">
            <w:pPr>
              <w:widowControl/>
              <w:spacing w:line="336" w:lineRule="auto"/>
              <w:jc w:val="center"/>
              <w:rPr>
                <w:rFonts w:ascii="仿宋" w:hAnsi="仿宋" w:eastAsia="仿宋" w:cstheme="minorBidi"/>
                <w:color w:val="auto"/>
                <w:kern w:val="2"/>
                <w:sz w:val="22"/>
                <w:szCs w:val="22"/>
                <w:highlight w:val="none"/>
                <w:lang w:val="zh-CN" w:eastAsia="zh-CN" w:bidi="ar-SA"/>
              </w:rPr>
            </w:pPr>
          </w:p>
        </w:tc>
        <w:tc>
          <w:tcPr>
            <w:tcW w:w="1560" w:type="dxa"/>
            <w:vAlign w:val="center"/>
          </w:tcPr>
          <w:p w14:paraId="3B5AEC8D">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营业收入(Y)</w:t>
            </w:r>
          </w:p>
        </w:tc>
        <w:tc>
          <w:tcPr>
            <w:tcW w:w="671" w:type="dxa"/>
            <w:vAlign w:val="center"/>
          </w:tcPr>
          <w:p w14:paraId="72BD2212">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5AE1612E">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Y≥20000</w:t>
            </w:r>
          </w:p>
        </w:tc>
        <w:tc>
          <w:tcPr>
            <w:tcW w:w="1891" w:type="dxa"/>
            <w:vAlign w:val="center"/>
          </w:tcPr>
          <w:p w14:paraId="72A3DE43">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500≤Y＜20000</w:t>
            </w:r>
          </w:p>
        </w:tc>
        <w:tc>
          <w:tcPr>
            <w:tcW w:w="1730" w:type="dxa"/>
            <w:vAlign w:val="center"/>
          </w:tcPr>
          <w:p w14:paraId="6291CFBD">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100≤Y＜500</w:t>
            </w:r>
          </w:p>
        </w:tc>
        <w:tc>
          <w:tcPr>
            <w:tcW w:w="1203" w:type="dxa"/>
            <w:vAlign w:val="center"/>
          </w:tcPr>
          <w:p w14:paraId="0D2FC4F5">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Y＜100</w:t>
            </w:r>
          </w:p>
        </w:tc>
      </w:tr>
      <w:tr w14:paraId="33B9E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53BEDA2">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交通运输业 *</w:t>
            </w:r>
          </w:p>
        </w:tc>
        <w:tc>
          <w:tcPr>
            <w:tcW w:w="1560" w:type="dxa"/>
            <w:vAlign w:val="center"/>
          </w:tcPr>
          <w:p w14:paraId="24C63023">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从业人员(X)</w:t>
            </w:r>
          </w:p>
        </w:tc>
        <w:tc>
          <w:tcPr>
            <w:tcW w:w="671" w:type="dxa"/>
            <w:vAlign w:val="center"/>
          </w:tcPr>
          <w:p w14:paraId="5A11BE3C">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人</w:t>
            </w:r>
          </w:p>
        </w:tc>
        <w:tc>
          <w:tcPr>
            <w:tcW w:w="1231" w:type="dxa"/>
            <w:vAlign w:val="center"/>
          </w:tcPr>
          <w:p w14:paraId="212C5F7C">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X≥1000</w:t>
            </w:r>
          </w:p>
        </w:tc>
        <w:tc>
          <w:tcPr>
            <w:tcW w:w="1891" w:type="dxa"/>
            <w:vAlign w:val="center"/>
          </w:tcPr>
          <w:p w14:paraId="17EF8AE6">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300≤X＜1000</w:t>
            </w:r>
          </w:p>
        </w:tc>
        <w:tc>
          <w:tcPr>
            <w:tcW w:w="1730" w:type="dxa"/>
            <w:vAlign w:val="center"/>
          </w:tcPr>
          <w:p w14:paraId="3641EA19">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20≤X＜300</w:t>
            </w:r>
          </w:p>
        </w:tc>
        <w:tc>
          <w:tcPr>
            <w:tcW w:w="1203" w:type="dxa"/>
            <w:vAlign w:val="center"/>
          </w:tcPr>
          <w:p w14:paraId="422ECEC8">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X＜20</w:t>
            </w:r>
          </w:p>
        </w:tc>
      </w:tr>
      <w:tr w14:paraId="35D13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1E34008">
            <w:pPr>
              <w:widowControl/>
              <w:spacing w:line="336" w:lineRule="auto"/>
              <w:jc w:val="center"/>
              <w:rPr>
                <w:rFonts w:ascii="仿宋" w:hAnsi="仿宋" w:eastAsia="仿宋" w:cstheme="minorBidi"/>
                <w:color w:val="auto"/>
                <w:kern w:val="2"/>
                <w:sz w:val="22"/>
                <w:szCs w:val="22"/>
                <w:highlight w:val="none"/>
                <w:lang w:val="zh-CN" w:eastAsia="zh-CN" w:bidi="ar-SA"/>
              </w:rPr>
            </w:pPr>
          </w:p>
        </w:tc>
        <w:tc>
          <w:tcPr>
            <w:tcW w:w="1560" w:type="dxa"/>
            <w:vAlign w:val="center"/>
          </w:tcPr>
          <w:p w14:paraId="3ACA3C08">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营业收入(Y)</w:t>
            </w:r>
          </w:p>
        </w:tc>
        <w:tc>
          <w:tcPr>
            <w:tcW w:w="671" w:type="dxa"/>
            <w:vAlign w:val="center"/>
          </w:tcPr>
          <w:p w14:paraId="40928D0C">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5FBBEED8">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Y≥30000</w:t>
            </w:r>
          </w:p>
        </w:tc>
        <w:tc>
          <w:tcPr>
            <w:tcW w:w="1891" w:type="dxa"/>
            <w:vAlign w:val="center"/>
          </w:tcPr>
          <w:p w14:paraId="2A8109E2">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3000≤Y＜30000</w:t>
            </w:r>
          </w:p>
        </w:tc>
        <w:tc>
          <w:tcPr>
            <w:tcW w:w="1730" w:type="dxa"/>
            <w:vAlign w:val="center"/>
          </w:tcPr>
          <w:p w14:paraId="1B5B9AC7">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200≤Y＜3000</w:t>
            </w:r>
          </w:p>
        </w:tc>
        <w:tc>
          <w:tcPr>
            <w:tcW w:w="1203" w:type="dxa"/>
            <w:vAlign w:val="center"/>
          </w:tcPr>
          <w:p w14:paraId="422DDD7D">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Y＜200</w:t>
            </w:r>
          </w:p>
        </w:tc>
      </w:tr>
      <w:tr w14:paraId="63316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229ABEC">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仓储业*</w:t>
            </w:r>
          </w:p>
        </w:tc>
        <w:tc>
          <w:tcPr>
            <w:tcW w:w="1560" w:type="dxa"/>
            <w:vAlign w:val="center"/>
          </w:tcPr>
          <w:p w14:paraId="17FDEBCF">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从业人员(X)</w:t>
            </w:r>
          </w:p>
        </w:tc>
        <w:tc>
          <w:tcPr>
            <w:tcW w:w="671" w:type="dxa"/>
            <w:vAlign w:val="center"/>
          </w:tcPr>
          <w:p w14:paraId="2A0BDF78">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人</w:t>
            </w:r>
          </w:p>
        </w:tc>
        <w:tc>
          <w:tcPr>
            <w:tcW w:w="1231" w:type="dxa"/>
            <w:vAlign w:val="center"/>
          </w:tcPr>
          <w:p w14:paraId="7F76075B">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X≥200</w:t>
            </w:r>
          </w:p>
        </w:tc>
        <w:tc>
          <w:tcPr>
            <w:tcW w:w="1891" w:type="dxa"/>
            <w:vAlign w:val="center"/>
          </w:tcPr>
          <w:p w14:paraId="42DAECE6">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100≤X＜200</w:t>
            </w:r>
          </w:p>
        </w:tc>
        <w:tc>
          <w:tcPr>
            <w:tcW w:w="1730" w:type="dxa"/>
            <w:vAlign w:val="center"/>
          </w:tcPr>
          <w:p w14:paraId="74DC6F9C">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20≤X＜100</w:t>
            </w:r>
          </w:p>
        </w:tc>
        <w:tc>
          <w:tcPr>
            <w:tcW w:w="1203" w:type="dxa"/>
            <w:vAlign w:val="center"/>
          </w:tcPr>
          <w:p w14:paraId="704B6E0E">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X＜20</w:t>
            </w:r>
          </w:p>
        </w:tc>
      </w:tr>
      <w:tr w14:paraId="2F067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BD17912">
            <w:pPr>
              <w:widowControl/>
              <w:spacing w:line="336" w:lineRule="auto"/>
              <w:jc w:val="center"/>
              <w:rPr>
                <w:rFonts w:ascii="仿宋" w:hAnsi="仿宋" w:eastAsia="仿宋" w:cstheme="minorBidi"/>
                <w:color w:val="auto"/>
                <w:kern w:val="2"/>
                <w:sz w:val="22"/>
                <w:szCs w:val="22"/>
                <w:highlight w:val="none"/>
                <w:lang w:val="zh-CN" w:eastAsia="zh-CN" w:bidi="ar-SA"/>
              </w:rPr>
            </w:pPr>
          </w:p>
        </w:tc>
        <w:tc>
          <w:tcPr>
            <w:tcW w:w="1560" w:type="dxa"/>
            <w:vAlign w:val="center"/>
          </w:tcPr>
          <w:p w14:paraId="3895B9E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营业收入(Y)</w:t>
            </w:r>
          </w:p>
        </w:tc>
        <w:tc>
          <w:tcPr>
            <w:tcW w:w="671" w:type="dxa"/>
            <w:vAlign w:val="center"/>
          </w:tcPr>
          <w:p w14:paraId="3D3EF3E2">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34C4DCF6">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Y≥30000</w:t>
            </w:r>
          </w:p>
        </w:tc>
        <w:tc>
          <w:tcPr>
            <w:tcW w:w="1891" w:type="dxa"/>
            <w:vAlign w:val="center"/>
          </w:tcPr>
          <w:p w14:paraId="42F2A86D">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1000≤Y＜30000</w:t>
            </w:r>
          </w:p>
        </w:tc>
        <w:tc>
          <w:tcPr>
            <w:tcW w:w="1730" w:type="dxa"/>
            <w:vAlign w:val="center"/>
          </w:tcPr>
          <w:p w14:paraId="621A67EE">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100≤Y＜1000</w:t>
            </w:r>
          </w:p>
        </w:tc>
        <w:tc>
          <w:tcPr>
            <w:tcW w:w="1203" w:type="dxa"/>
            <w:vAlign w:val="center"/>
          </w:tcPr>
          <w:p w14:paraId="7B70B521">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Y＜100</w:t>
            </w:r>
          </w:p>
        </w:tc>
      </w:tr>
      <w:tr w14:paraId="2FB5F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9D95BA3">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邮政业</w:t>
            </w:r>
          </w:p>
        </w:tc>
        <w:tc>
          <w:tcPr>
            <w:tcW w:w="1560" w:type="dxa"/>
            <w:vAlign w:val="center"/>
          </w:tcPr>
          <w:p w14:paraId="63FAD11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从业人员(X)</w:t>
            </w:r>
          </w:p>
        </w:tc>
        <w:tc>
          <w:tcPr>
            <w:tcW w:w="671" w:type="dxa"/>
            <w:vAlign w:val="center"/>
          </w:tcPr>
          <w:p w14:paraId="2493AA07">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人</w:t>
            </w:r>
          </w:p>
        </w:tc>
        <w:tc>
          <w:tcPr>
            <w:tcW w:w="1231" w:type="dxa"/>
            <w:vAlign w:val="center"/>
          </w:tcPr>
          <w:p w14:paraId="207DF1C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X≥1000</w:t>
            </w:r>
          </w:p>
        </w:tc>
        <w:tc>
          <w:tcPr>
            <w:tcW w:w="1891" w:type="dxa"/>
            <w:vAlign w:val="center"/>
          </w:tcPr>
          <w:p w14:paraId="3D1003A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300≤X＜1000</w:t>
            </w:r>
          </w:p>
        </w:tc>
        <w:tc>
          <w:tcPr>
            <w:tcW w:w="1730" w:type="dxa"/>
            <w:vAlign w:val="center"/>
          </w:tcPr>
          <w:p w14:paraId="7B7F6EC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20≤X＜300</w:t>
            </w:r>
          </w:p>
        </w:tc>
        <w:tc>
          <w:tcPr>
            <w:tcW w:w="1203" w:type="dxa"/>
            <w:vAlign w:val="center"/>
          </w:tcPr>
          <w:p w14:paraId="77760A96">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X＜20</w:t>
            </w:r>
          </w:p>
        </w:tc>
      </w:tr>
      <w:tr w14:paraId="473DD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5490A07">
            <w:pPr>
              <w:widowControl/>
              <w:spacing w:line="336" w:lineRule="auto"/>
              <w:jc w:val="center"/>
              <w:rPr>
                <w:rFonts w:ascii="仿宋" w:hAnsi="仿宋" w:eastAsia="仿宋" w:cstheme="minorBidi"/>
                <w:color w:val="auto"/>
                <w:kern w:val="2"/>
                <w:sz w:val="22"/>
                <w:szCs w:val="22"/>
                <w:highlight w:val="none"/>
                <w:lang w:val="zh-CN" w:eastAsia="zh-CN" w:bidi="ar-SA"/>
              </w:rPr>
            </w:pPr>
          </w:p>
        </w:tc>
        <w:tc>
          <w:tcPr>
            <w:tcW w:w="1560" w:type="dxa"/>
            <w:vAlign w:val="center"/>
          </w:tcPr>
          <w:p w14:paraId="546C7EF9">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营业收入(Y)</w:t>
            </w:r>
          </w:p>
        </w:tc>
        <w:tc>
          <w:tcPr>
            <w:tcW w:w="671" w:type="dxa"/>
            <w:vAlign w:val="center"/>
          </w:tcPr>
          <w:p w14:paraId="607C91CB">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434B90CB">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Y≥30000</w:t>
            </w:r>
          </w:p>
        </w:tc>
        <w:tc>
          <w:tcPr>
            <w:tcW w:w="1891" w:type="dxa"/>
            <w:vAlign w:val="center"/>
          </w:tcPr>
          <w:p w14:paraId="4D4709F3">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2000≤Y＜30000</w:t>
            </w:r>
          </w:p>
        </w:tc>
        <w:tc>
          <w:tcPr>
            <w:tcW w:w="1730" w:type="dxa"/>
            <w:vAlign w:val="center"/>
          </w:tcPr>
          <w:p w14:paraId="45BCE43D">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100≤Y＜2000</w:t>
            </w:r>
          </w:p>
        </w:tc>
        <w:tc>
          <w:tcPr>
            <w:tcW w:w="1203" w:type="dxa"/>
            <w:vAlign w:val="center"/>
          </w:tcPr>
          <w:p w14:paraId="2E4EFADF">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Y＜100</w:t>
            </w:r>
          </w:p>
        </w:tc>
      </w:tr>
      <w:tr w14:paraId="303C6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F11B7DB">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住宿业</w:t>
            </w:r>
          </w:p>
        </w:tc>
        <w:tc>
          <w:tcPr>
            <w:tcW w:w="1560" w:type="dxa"/>
            <w:vAlign w:val="center"/>
          </w:tcPr>
          <w:p w14:paraId="133631AB">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从业人员(X)</w:t>
            </w:r>
          </w:p>
        </w:tc>
        <w:tc>
          <w:tcPr>
            <w:tcW w:w="671" w:type="dxa"/>
            <w:vAlign w:val="center"/>
          </w:tcPr>
          <w:p w14:paraId="35A4E29A">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人</w:t>
            </w:r>
          </w:p>
        </w:tc>
        <w:tc>
          <w:tcPr>
            <w:tcW w:w="1231" w:type="dxa"/>
            <w:vAlign w:val="center"/>
          </w:tcPr>
          <w:p w14:paraId="7716F53C">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X≥300</w:t>
            </w:r>
          </w:p>
        </w:tc>
        <w:tc>
          <w:tcPr>
            <w:tcW w:w="1891" w:type="dxa"/>
            <w:vAlign w:val="center"/>
          </w:tcPr>
          <w:p w14:paraId="255AA9F9">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100≤X＜300</w:t>
            </w:r>
          </w:p>
        </w:tc>
        <w:tc>
          <w:tcPr>
            <w:tcW w:w="1730" w:type="dxa"/>
            <w:vAlign w:val="center"/>
          </w:tcPr>
          <w:p w14:paraId="30258CCE">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10≤X＜100</w:t>
            </w:r>
          </w:p>
        </w:tc>
        <w:tc>
          <w:tcPr>
            <w:tcW w:w="1203" w:type="dxa"/>
            <w:vAlign w:val="center"/>
          </w:tcPr>
          <w:p w14:paraId="2B54596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X＜10</w:t>
            </w:r>
          </w:p>
        </w:tc>
      </w:tr>
      <w:tr w14:paraId="285BF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2A2FF4">
            <w:pPr>
              <w:widowControl/>
              <w:spacing w:line="336" w:lineRule="auto"/>
              <w:jc w:val="center"/>
              <w:rPr>
                <w:rFonts w:ascii="仿宋" w:hAnsi="仿宋" w:eastAsia="仿宋" w:cstheme="minorBidi"/>
                <w:color w:val="auto"/>
                <w:kern w:val="2"/>
                <w:sz w:val="22"/>
                <w:szCs w:val="22"/>
                <w:highlight w:val="none"/>
                <w:lang w:val="zh-CN" w:eastAsia="zh-CN" w:bidi="ar-SA"/>
              </w:rPr>
            </w:pPr>
          </w:p>
        </w:tc>
        <w:tc>
          <w:tcPr>
            <w:tcW w:w="1560" w:type="dxa"/>
            <w:vAlign w:val="center"/>
          </w:tcPr>
          <w:p w14:paraId="6678F85F">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营业收入(Y)</w:t>
            </w:r>
          </w:p>
        </w:tc>
        <w:tc>
          <w:tcPr>
            <w:tcW w:w="671" w:type="dxa"/>
            <w:vAlign w:val="center"/>
          </w:tcPr>
          <w:p w14:paraId="6F271292">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6E042EE6">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Y≥10000</w:t>
            </w:r>
          </w:p>
        </w:tc>
        <w:tc>
          <w:tcPr>
            <w:tcW w:w="1891" w:type="dxa"/>
            <w:vAlign w:val="center"/>
          </w:tcPr>
          <w:p w14:paraId="4C7263FE">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2000≤Y＜10000</w:t>
            </w:r>
          </w:p>
        </w:tc>
        <w:tc>
          <w:tcPr>
            <w:tcW w:w="1730" w:type="dxa"/>
            <w:vAlign w:val="center"/>
          </w:tcPr>
          <w:p w14:paraId="2111E601">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100≤Y＜2000</w:t>
            </w:r>
          </w:p>
        </w:tc>
        <w:tc>
          <w:tcPr>
            <w:tcW w:w="1203" w:type="dxa"/>
            <w:vAlign w:val="center"/>
          </w:tcPr>
          <w:p w14:paraId="0CF465FD">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Y＜100</w:t>
            </w:r>
          </w:p>
        </w:tc>
      </w:tr>
      <w:tr w14:paraId="6B950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ADE0477">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餐饮业</w:t>
            </w:r>
          </w:p>
        </w:tc>
        <w:tc>
          <w:tcPr>
            <w:tcW w:w="1560" w:type="dxa"/>
            <w:vAlign w:val="center"/>
          </w:tcPr>
          <w:p w14:paraId="3AD9CE99">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从业人员(X)</w:t>
            </w:r>
          </w:p>
        </w:tc>
        <w:tc>
          <w:tcPr>
            <w:tcW w:w="671" w:type="dxa"/>
            <w:vAlign w:val="center"/>
          </w:tcPr>
          <w:p w14:paraId="03523155">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人</w:t>
            </w:r>
          </w:p>
        </w:tc>
        <w:tc>
          <w:tcPr>
            <w:tcW w:w="1231" w:type="dxa"/>
            <w:vAlign w:val="center"/>
          </w:tcPr>
          <w:p w14:paraId="7F84C2FD">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X≥300</w:t>
            </w:r>
          </w:p>
        </w:tc>
        <w:tc>
          <w:tcPr>
            <w:tcW w:w="1891" w:type="dxa"/>
            <w:vAlign w:val="center"/>
          </w:tcPr>
          <w:p w14:paraId="4617248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100≤X＜300</w:t>
            </w:r>
          </w:p>
        </w:tc>
        <w:tc>
          <w:tcPr>
            <w:tcW w:w="1730" w:type="dxa"/>
            <w:vAlign w:val="center"/>
          </w:tcPr>
          <w:p w14:paraId="30F13261">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10≤X＜100</w:t>
            </w:r>
          </w:p>
        </w:tc>
        <w:tc>
          <w:tcPr>
            <w:tcW w:w="1203" w:type="dxa"/>
            <w:vAlign w:val="center"/>
          </w:tcPr>
          <w:p w14:paraId="41C9A675">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X＜10</w:t>
            </w:r>
          </w:p>
        </w:tc>
      </w:tr>
      <w:tr w14:paraId="419C0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EAEA49E">
            <w:pPr>
              <w:widowControl/>
              <w:spacing w:line="336" w:lineRule="auto"/>
              <w:jc w:val="center"/>
              <w:rPr>
                <w:rFonts w:ascii="仿宋" w:hAnsi="仿宋" w:eastAsia="仿宋" w:cstheme="minorBidi"/>
                <w:color w:val="auto"/>
                <w:kern w:val="2"/>
                <w:sz w:val="22"/>
                <w:szCs w:val="22"/>
                <w:highlight w:val="none"/>
                <w:lang w:val="zh-CN" w:eastAsia="zh-CN" w:bidi="ar-SA"/>
              </w:rPr>
            </w:pPr>
          </w:p>
        </w:tc>
        <w:tc>
          <w:tcPr>
            <w:tcW w:w="1560" w:type="dxa"/>
            <w:vAlign w:val="center"/>
          </w:tcPr>
          <w:p w14:paraId="5568727D">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营业收入(Y)</w:t>
            </w:r>
          </w:p>
        </w:tc>
        <w:tc>
          <w:tcPr>
            <w:tcW w:w="671" w:type="dxa"/>
            <w:vAlign w:val="center"/>
          </w:tcPr>
          <w:p w14:paraId="685279CB">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480BC32E">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Y≥10000</w:t>
            </w:r>
          </w:p>
        </w:tc>
        <w:tc>
          <w:tcPr>
            <w:tcW w:w="1891" w:type="dxa"/>
            <w:vAlign w:val="center"/>
          </w:tcPr>
          <w:p w14:paraId="4F6C5D5C">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2000≤Y＜10000</w:t>
            </w:r>
          </w:p>
        </w:tc>
        <w:tc>
          <w:tcPr>
            <w:tcW w:w="1730" w:type="dxa"/>
            <w:vAlign w:val="center"/>
          </w:tcPr>
          <w:p w14:paraId="3D5C5553">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100≤Y＜2000</w:t>
            </w:r>
          </w:p>
        </w:tc>
        <w:tc>
          <w:tcPr>
            <w:tcW w:w="1203" w:type="dxa"/>
            <w:vAlign w:val="center"/>
          </w:tcPr>
          <w:p w14:paraId="042AA6AC">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Y＜100</w:t>
            </w:r>
          </w:p>
        </w:tc>
      </w:tr>
      <w:tr w14:paraId="7654A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227BC89">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信息传输业 *</w:t>
            </w:r>
          </w:p>
        </w:tc>
        <w:tc>
          <w:tcPr>
            <w:tcW w:w="1560" w:type="dxa"/>
            <w:vAlign w:val="center"/>
          </w:tcPr>
          <w:p w14:paraId="0336EFD7">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从业人员(X)</w:t>
            </w:r>
          </w:p>
        </w:tc>
        <w:tc>
          <w:tcPr>
            <w:tcW w:w="671" w:type="dxa"/>
            <w:vAlign w:val="center"/>
          </w:tcPr>
          <w:p w14:paraId="2F73E05E">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人</w:t>
            </w:r>
          </w:p>
        </w:tc>
        <w:tc>
          <w:tcPr>
            <w:tcW w:w="1231" w:type="dxa"/>
            <w:vAlign w:val="center"/>
          </w:tcPr>
          <w:p w14:paraId="6A10C1A5">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X≥2000</w:t>
            </w:r>
          </w:p>
        </w:tc>
        <w:tc>
          <w:tcPr>
            <w:tcW w:w="1891" w:type="dxa"/>
            <w:vAlign w:val="center"/>
          </w:tcPr>
          <w:p w14:paraId="41C8D942">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100≤X＜2000</w:t>
            </w:r>
          </w:p>
        </w:tc>
        <w:tc>
          <w:tcPr>
            <w:tcW w:w="1730" w:type="dxa"/>
            <w:vAlign w:val="center"/>
          </w:tcPr>
          <w:p w14:paraId="4A02C7F3">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10≤X＜100</w:t>
            </w:r>
          </w:p>
        </w:tc>
        <w:tc>
          <w:tcPr>
            <w:tcW w:w="1203" w:type="dxa"/>
            <w:vAlign w:val="center"/>
          </w:tcPr>
          <w:p w14:paraId="19386545">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X＜10</w:t>
            </w:r>
          </w:p>
        </w:tc>
      </w:tr>
      <w:tr w14:paraId="6119E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03BC153">
            <w:pPr>
              <w:widowControl/>
              <w:spacing w:line="336" w:lineRule="auto"/>
              <w:jc w:val="center"/>
              <w:rPr>
                <w:rFonts w:ascii="仿宋" w:hAnsi="仿宋" w:eastAsia="仿宋" w:cstheme="minorBidi"/>
                <w:color w:val="auto"/>
                <w:kern w:val="2"/>
                <w:sz w:val="22"/>
                <w:szCs w:val="22"/>
                <w:highlight w:val="none"/>
                <w:lang w:val="zh-CN" w:eastAsia="zh-CN" w:bidi="ar-SA"/>
              </w:rPr>
            </w:pPr>
          </w:p>
        </w:tc>
        <w:tc>
          <w:tcPr>
            <w:tcW w:w="1560" w:type="dxa"/>
            <w:vAlign w:val="center"/>
          </w:tcPr>
          <w:p w14:paraId="2E044F3D">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营业收入(Y)</w:t>
            </w:r>
          </w:p>
        </w:tc>
        <w:tc>
          <w:tcPr>
            <w:tcW w:w="671" w:type="dxa"/>
            <w:vAlign w:val="center"/>
          </w:tcPr>
          <w:p w14:paraId="5E17D866">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1B80DF9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Y≥100000</w:t>
            </w:r>
          </w:p>
        </w:tc>
        <w:tc>
          <w:tcPr>
            <w:tcW w:w="1891" w:type="dxa"/>
            <w:vAlign w:val="center"/>
          </w:tcPr>
          <w:p w14:paraId="476F3E8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1000≤Y＜100000</w:t>
            </w:r>
          </w:p>
        </w:tc>
        <w:tc>
          <w:tcPr>
            <w:tcW w:w="1730" w:type="dxa"/>
            <w:vAlign w:val="center"/>
          </w:tcPr>
          <w:p w14:paraId="793D1224">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100≤Y＜1000</w:t>
            </w:r>
          </w:p>
        </w:tc>
        <w:tc>
          <w:tcPr>
            <w:tcW w:w="1203" w:type="dxa"/>
            <w:vAlign w:val="center"/>
          </w:tcPr>
          <w:p w14:paraId="57520F75">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Y＜100</w:t>
            </w:r>
          </w:p>
        </w:tc>
      </w:tr>
      <w:tr w14:paraId="14946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6415ED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软件和信息技术服务业</w:t>
            </w:r>
          </w:p>
        </w:tc>
        <w:tc>
          <w:tcPr>
            <w:tcW w:w="1560" w:type="dxa"/>
            <w:vAlign w:val="center"/>
          </w:tcPr>
          <w:p w14:paraId="61189636">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从业人员(X)</w:t>
            </w:r>
          </w:p>
        </w:tc>
        <w:tc>
          <w:tcPr>
            <w:tcW w:w="671" w:type="dxa"/>
            <w:vAlign w:val="center"/>
          </w:tcPr>
          <w:p w14:paraId="11F14734">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人</w:t>
            </w:r>
          </w:p>
        </w:tc>
        <w:tc>
          <w:tcPr>
            <w:tcW w:w="1231" w:type="dxa"/>
            <w:vAlign w:val="center"/>
          </w:tcPr>
          <w:p w14:paraId="0BEE028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X≥300</w:t>
            </w:r>
          </w:p>
        </w:tc>
        <w:tc>
          <w:tcPr>
            <w:tcW w:w="1891" w:type="dxa"/>
            <w:vAlign w:val="center"/>
          </w:tcPr>
          <w:p w14:paraId="19A286F9">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100≤X＜300</w:t>
            </w:r>
          </w:p>
        </w:tc>
        <w:tc>
          <w:tcPr>
            <w:tcW w:w="1730" w:type="dxa"/>
            <w:vAlign w:val="center"/>
          </w:tcPr>
          <w:p w14:paraId="296661A2">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10≤X＜100</w:t>
            </w:r>
          </w:p>
        </w:tc>
        <w:tc>
          <w:tcPr>
            <w:tcW w:w="1203" w:type="dxa"/>
            <w:vAlign w:val="center"/>
          </w:tcPr>
          <w:p w14:paraId="0C1B2193">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X＜10</w:t>
            </w:r>
          </w:p>
        </w:tc>
      </w:tr>
      <w:tr w14:paraId="22C14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EE7552C">
            <w:pPr>
              <w:widowControl/>
              <w:spacing w:line="336" w:lineRule="auto"/>
              <w:jc w:val="center"/>
              <w:rPr>
                <w:rFonts w:ascii="仿宋" w:hAnsi="仿宋" w:eastAsia="仿宋" w:cstheme="minorBidi"/>
                <w:color w:val="auto"/>
                <w:kern w:val="2"/>
                <w:sz w:val="22"/>
                <w:szCs w:val="22"/>
                <w:highlight w:val="none"/>
                <w:lang w:val="zh-CN" w:eastAsia="zh-CN" w:bidi="ar-SA"/>
              </w:rPr>
            </w:pPr>
          </w:p>
        </w:tc>
        <w:tc>
          <w:tcPr>
            <w:tcW w:w="1560" w:type="dxa"/>
            <w:vAlign w:val="center"/>
          </w:tcPr>
          <w:p w14:paraId="5DBB1F3E">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营业收入(Y)</w:t>
            </w:r>
          </w:p>
        </w:tc>
        <w:tc>
          <w:tcPr>
            <w:tcW w:w="671" w:type="dxa"/>
            <w:vAlign w:val="center"/>
          </w:tcPr>
          <w:p w14:paraId="6199568D">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018FAEA1">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Y≥10000</w:t>
            </w:r>
          </w:p>
        </w:tc>
        <w:tc>
          <w:tcPr>
            <w:tcW w:w="1891" w:type="dxa"/>
            <w:vAlign w:val="center"/>
          </w:tcPr>
          <w:p w14:paraId="4AF259D1">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1000≤Y＜10000</w:t>
            </w:r>
          </w:p>
        </w:tc>
        <w:tc>
          <w:tcPr>
            <w:tcW w:w="1730" w:type="dxa"/>
            <w:vAlign w:val="center"/>
          </w:tcPr>
          <w:p w14:paraId="69669390">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50≤Y＜1000</w:t>
            </w:r>
          </w:p>
        </w:tc>
        <w:tc>
          <w:tcPr>
            <w:tcW w:w="1203" w:type="dxa"/>
            <w:vAlign w:val="center"/>
          </w:tcPr>
          <w:p w14:paraId="69CEA5E2">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Y＜50</w:t>
            </w:r>
          </w:p>
        </w:tc>
      </w:tr>
      <w:tr w14:paraId="0405E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1170D8E">
            <w:pPr>
              <w:widowControl/>
              <w:spacing w:line="336" w:lineRule="auto"/>
              <w:jc w:val="center"/>
              <w:rPr>
                <w:rFonts w:hint="eastAsia"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房地产开发</w:t>
            </w:r>
          </w:p>
          <w:p w14:paraId="409D3439">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经营</w:t>
            </w:r>
          </w:p>
        </w:tc>
        <w:tc>
          <w:tcPr>
            <w:tcW w:w="1560" w:type="dxa"/>
            <w:vAlign w:val="center"/>
          </w:tcPr>
          <w:p w14:paraId="79151287">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营业收入(Y)</w:t>
            </w:r>
          </w:p>
        </w:tc>
        <w:tc>
          <w:tcPr>
            <w:tcW w:w="671" w:type="dxa"/>
            <w:vAlign w:val="center"/>
          </w:tcPr>
          <w:p w14:paraId="0C12ACCC">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68248403">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Y≥200000</w:t>
            </w:r>
          </w:p>
        </w:tc>
        <w:tc>
          <w:tcPr>
            <w:tcW w:w="1891" w:type="dxa"/>
            <w:vAlign w:val="center"/>
          </w:tcPr>
          <w:p w14:paraId="10F508A2">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1000≤Y＜200000</w:t>
            </w:r>
          </w:p>
        </w:tc>
        <w:tc>
          <w:tcPr>
            <w:tcW w:w="1730" w:type="dxa"/>
            <w:vAlign w:val="center"/>
          </w:tcPr>
          <w:p w14:paraId="35D6002A">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100≤Y＜1000</w:t>
            </w:r>
          </w:p>
        </w:tc>
        <w:tc>
          <w:tcPr>
            <w:tcW w:w="1203" w:type="dxa"/>
            <w:vAlign w:val="center"/>
          </w:tcPr>
          <w:p w14:paraId="383DFDB6">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Y＜100</w:t>
            </w:r>
          </w:p>
        </w:tc>
      </w:tr>
      <w:tr w14:paraId="316A6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CD4EA8F">
            <w:pPr>
              <w:widowControl/>
              <w:spacing w:line="336" w:lineRule="auto"/>
              <w:jc w:val="center"/>
              <w:rPr>
                <w:rFonts w:ascii="仿宋" w:hAnsi="仿宋" w:eastAsia="仿宋" w:cstheme="minorBidi"/>
                <w:color w:val="auto"/>
                <w:kern w:val="2"/>
                <w:sz w:val="22"/>
                <w:szCs w:val="22"/>
                <w:highlight w:val="none"/>
                <w:lang w:val="zh-CN" w:eastAsia="zh-CN" w:bidi="ar-SA"/>
              </w:rPr>
            </w:pPr>
          </w:p>
        </w:tc>
        <w:tc>
          <w:tcPr>
            <w:tcW w:w="1560" w:type="dxa"/>
            <w:vAlign w:val="center"/>
          </w:tcPr>
          <w:p w14:paraId="4C9CB44A">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资产总额(Z)</w:t>
            </w:r>
          </w:p>
        </w:tc>
        <w:tc>
          <w:tcPr>
            <w:tcW w:w="671" w:type="dxa"/>
            <w:vAlign w:val="center"/>
          </w:tcPr>
          <w:p w14:paraId="72CAC97C">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452B73FD">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Z≥10000</w:t>
            </w:r>
          </w:p>
        </w:tc>
        <w:tc>
          <w:tcPr>
            <w:tcW w:w="1891" w:type="dxa"/>
            <w:vAlign w:val="center"/>
          </w:tcPr>
          <w:p w14:paraId="25A0935F">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5000≤Z＜10000</w:t>
            </w:r>
          </w:p>
        </w:tc>
        <w:tc>
          <w:tcPr>
            <w:tcW w:w="1730" w:type="dxa"/>
            <w:vAlign w:val="center"/>
          </w:tcPr>
          <w:p w14:paraId="428AF877">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2000≤Z＜5000</w:t>
            </w:r>
          </w:p>
        </w:tc>
        <w:tc>
          <w:tcPr>
            <w:tcW w:w="1203" w:type="dxa"/>
            <w:vAlign w:val="center"/>
          </w:tcPr>
          <w:p w14:paraId="34B38A3E">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Z＜2000</w:t>
            </w:r>
          </w:p>
        </w:tc>
      </w:tr>
      <w:tr w14:paraId="4A58F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FAD5FAD">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物业管理</w:t>
            </w:r>
          </w:p>
        </w:tc>
        <w:tc>
          <w:tcPr>
            <w:tcW w:w="1560" w:type="dxa"/>
            <w:vAlign w:val="center"/>
          </w:tcPr>
          <w:p w14:paraId="5A512D96">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从业人员(X)</w:t>
            </w:r>
          </w:p>
        </w:tc>
        <w:tc>
          <w:tcPr>
            <w:tcW w:w="671" w:type="dxa"/>
            <w:vAlign w:val="center"/>
          </w:tcPr>
          <w:p w14:paraId="41A4ED37">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人</w:t>
            </w:r>
          </w:p>
        </w:tc>
        <w:tc>
          <w:tcPr>
            <w:tcW w:w="1231" w:type="dxa"/>
            <w:vAlign w:val="center"/>
          </w:tcPr>
          <w:p w14:paraId="02F3BDF7">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X≥1000</w:t>
            </w:r>
          </w:p>
        </w:tc>
        <w:tc>
          <w:tcPr>
            <w:tcW w:w="1891" w:type="dxa"/>
            <w:vAlign w:val="center"/>
          </w:tcPr>
          <w:p w14:paraId="61850731">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300≤X＜1000</w:t>
            </w:r>
          </w:p>
        </w:tc>
        <w:tc>
          <w:tcPr>
            <w:tcW w:w="1730" w:type="dxa"/>
            <w:vAlign w:val="center"/>
          </w:tcPr>
          <w:p w14:paraId="55732BD3">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100≤X＜300</w:t>
            </w:r>
          </w:p>
        </w:tc>
        <w:tc>
          <w:tcPr>
            <w:tcW w:w="1203" w:type="dxa"/>
            <w:vAlign w:val="center"/>
          </w:tcPr>
          <w:p w14:paraId="38405AA1">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X＜100</w:t>
            </w:r>
          </w:p>
        </w:tc>
      </w:tr>
      <w:tr w14:paraId="0835D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5926AAF">
            <w:pPr>
              <w:widowControl/>
              <w:spacing w:line="336" w:lineRule="auto"/>
              <w:jc w:val="center"/>
              <w:rPr>
                <w:rFonts w:ascii="仿宋" w:hAnsi="仿宋" w:eastAsia="仿宋" w:cstheme="minorBidi"/>
                <w:color w:val="auto"/>
                <w:kern w:val="2"/>
                <w:sz w:val="22"/>
                <w:szCs w:val="22"/>
                <w:highlight w:val="none"/>
                <w:lang w:val="zh-CN" w:eastAsia="zh-CN" w:bidi="ar-SA"/>
              </w:rPr>
            </w:pPr>
          </w:p>
        </w:tc>
        <w:tc>
          <w:tcPr>
            <w:tcW w:w="1560" w:type="dxa"/>
            <w:vAlign w:val="center"/>
          </w:tcPr>
          <w:p w14:paraId="2339B31B">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营业收入(Y)</w:t>
            </w:r>
          </w:p>
        </w:tc>
        <w:tc>
          <w:tcPr>
            <w:tcW w:w="671" w:type="dxa"/>
            <w:vAlign w:val="center"/>
          </w:tcPr>
          <w:p w14:paraId="1476C2C9">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793601B9">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Y≥5000</w:t>
            </w:r>
          </w:p>
        </w:tc>
        <w:tc>
          <w:tcPr>
            <w:tcW w:w="1891" w:type="dxa"/>
            <w:vAlign w:val="center"/>
          </w:tcPr>
          <w:p w14:paraId="0BB37E71">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1000≤Y＜5000</w:t>
            </w:r>
          </w:p>
        </w:tc>
        <w:tc>
          <w:tcPr>
            <w:tcW w:w="1730" w:type="dxa"/>
            <w:vAlign w:val="center"/>
          </w:tcPr>
          <w:p w14:paraId="440257F9">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500≤Y＜1000</w:t>
            </w:r>
          </w:p>
        </w:tc>
        <w:tc>
          <w:tcPr>
            <w:tcW w:w="1203" w:type="dxa"/>
            <w:vAlign w:val="center"/>
          </w:tcPr>
          <w:p w14:paraId="715F96EB">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Y＜500</w:t>
            </w:r>
          </w:p>
        </w:tc>
      </w:tr>
      <w:tr w14:paraId="03940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979B37A">
            <w:pPr>
              <w:widowControl/>
              <w:spacing w:line="336" w:lineRule="auto"/>
              <w:jc w:val="center"/>
              <w:rPr>
                <w:rFonts w:hint="eastAsia"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租赁和商务</w:t>
            </w:r>
          </w:p>
          <w:p w14:paraId="0F4E68C2">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服务业</w:t>
            </w:r>
          </w:p>
        </w:tc>
        <w:tc>
          <w:tcPr>
            <w:tcW w:w="1560" w:type="dxa"/>
            <w:vAlign w:val="center"/>
          </w:tcPr>
          <w:p w14:paraId="6B7BC84E">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从业人员(X)</w:t>
            </w:r>
          </w:p>
        </w:tc>
        <w:tc>
          <w:tcPr>
            <w:tcW w:w="671" w:type="dxa"/>
            <w:vAlign w:val="center"/>
          </w:tcPr>
          <w:p w14:paraId="1189055B">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人</w:t>
            </w:r>
          </w:p>
        </w:tc>
        <w:tc>
          <w:tcPr>
            <w:tcW w:w="1231" w:type="dxa"/>
            <w:vAlign w:val="center"/>
          </w:tcPr>
          <w:p w14:paraId="63748C88">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X≥300</w:t>
            </w:r>
          </w:p>
        </w:tc>
        <w:tc>
          <w:tcPr>
            <w:tcW w:w="1891" w:type="dxa"/>
            <w:vAlign w:val="center"/>
          </w:tcPr>
          <w:p w14:paraId="270B23ED">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100≤X＜300</w:t>
            </w:r>
          </w:p>
        </w:tc>
        <w:tc>
          <w:tcPr>
            <w:tcW w:w="1730" w:type="dxa"/>
            <w:vAlign w:val="center"/>
          </w:tcPr>
          <w:p w14:paraId="57560579">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10≤X＜100</w:t>
            </w:r>
          </w:p>
        </w:tc>
        <w:tc>
          <w:tcPr>
            <w:tcW w:w="1203" w:type="dxa"/>
            <w:vAlign w:val="center"/>
          </w:tcPr>
          <w:p w14:paraId="543C0CFC">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X＜10</w:t>
            </w:r>
          </w:p>
        </w:tc>
      </w:tr>
      <w:tr w14:paraId="3B50E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E86EE6D">
            <w:pPr>
              <w:widowControl/>
              <w:spacing w:line="336" w:lineRule="auto"/>
              <w:jc w:val="center"/>
              <w:rPr>
                <w:rFonts w:ascii="仿宋" w:hAnsi="仿宋" w:eastAsia="仿宋" w:cstheme="minorBidi"/>
                <w:color w:val="auto"/>
                <w:kern w:val="2"/>
                <w:sz w:val="22"/>
                <w:szCs w:val="22"/>
                <w:highlight w:val="none"/>
                <w:lang w:val="zh-CN" w:eastAsia="zh-CN" w:bidi="ar-SA"/>
              </w:rPr>
            </w:pPr>
          </w:p>
        </w:tc>
        <w:tc>
          <w:tcPr>
            <w:tcW w:w="1560" w:type="dxa"/>
            <w:vAlign w:val="center"/>
          </w:tcPr>
          <w:p w14:paraId="4C2AC9BE">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资产总额(Z)</w:t>
            </w:r>
          </w:p>
        </w:tc>
        <w:tc>
          <w:tcPr>
            <w:tcW w:w="671" w:type="dxa"/>
            <w:vAlign w:val="center"/>
          </w:tcPr>
          <w:p w14:paraId="71C608EB">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万元</w:t>
            </w:r>
          </w:p>
        </w:tc>
        <w:tc>
          <w:tcPr>
            <w:tcW w:w="1231" w:type="dxa"/>
            <w:vAlign w:val="center"/>
          </w:tcPr>
          <w:p w14:paraId="4D93675F">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Z≥120000</w:t>
            </w:r>
          </w:p>
        </w:tc>
        <w:tc>
          <w:tcPr>
            <w:tcW w:w="1891" w:type="dxa"/>
            <w:vAlign w:val="center"/>
          </w:tcPr>
          <w:p w14:paraId="5A0C4D16">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8000≤Z＜120000</w:t>
            </w:r>
          </w:p>
        </w:tc>
        <w:tc>
          <w:tcPr>
            <w:tcW w:w="1730" w:type="dxa"/>
            <w:vAlign w:val="center"/>
          </w:tcPr>
          <w:p w14:paraId="54408783">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100≤Z＜8000</w:t>
            </w:r>
          </w:p>
        </w:tc>
        <w:tc>
          <w:tcPr>
            <w:tcW w:w="1203" w:type="dxa"/>
            <w:vAlign w:val="center"/>
          </w:tcPr>
          <w:p w14:paraId="73E0FC89">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Z＜100</w:t>
            </w:r>
          </w:p>
        </w:tc>
      </w:tr>
      <w:tr w14:paraId="55231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114D7618">
            <w:pPr>
              <w:widowControl/>
              <w:spacing w:line="336" w:lineRule="auto"/>
              <w:jc w:val="center"/>
              <w:rPr>
                <w:rFonts w:hint="eastAsia"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其他未列明</w:t>
            </w:r>
          </w:p>
          <w:p w14:paraId="531754E9">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行业 *</w:t>
            </w:r>
          </w:p>
        </w:tc>
        <w:tc>
          <w:tcPr>
            <w:tcW w:w="1560" w:type="dxa"/>
            <w:vAlign w:val="center"/>
          </w:tcPr>
          <w:p w14:paraId="432A9763">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从业人员(X)</w:t>
            </w:r>
          </w:p>
        </w:tc>
        <w:tc>
          <w:tcPr>
            <w:tcW w:w="671" w:type="dxa"/>
            <w:vAlign w:val="center"/>
          </w:tcPr>
          <w:p w14:paraId="3D600A07">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人</w:t>
            </w:r>
          </w:p>
        </w:tc>
        <w:tc>
          <w:tcPr>
            <w:tcW w:w="1231" w:type="dxa"/>
            <w:vAlign w:val="center"/>
          </w:tcPr>
          <w:p w14:paraId="1BBC1C82">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X≥300</w:t>
            </w:r>
          </w:p>
        </w:tc>
        <w:tc>
          <w:tcPr>
            <w:tcW w:w="1891" w:type="dxa"/>
            <w:vAlign w:val="center"/>
          </w:tcPr>
          <w:p w14:paraId="213EF82D">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100≤X＜300</w:t>
            </w:r>
          </w:p>
        </w:tc>
        <w:tc>
          <w:tcPr>
            <w:tcW w:w="1730" w:type="dxa"/>
            <w:vAlign w:val="center"/>
          </w:tcPr>
          <w:p w14:paraId="05247F9F">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10≤X＜100</w:t>
            </w:r>
          </w:p>
        </w:tc>
        <w:tc>
          <w:tcPr>
            <w:tcW w:w="1203" w:type="dxa"/>
            <w:vAlign w:val="center"/>
          </w:tcPr>
          <w:p w14:paraId="7F4F90A4">
            <w:pPr>
              <w:widowControl/>
              <w:spacing w:line="336" w:lineRule="auto"/>
              <w:jc w:val="center"/>
              <w:rPr>
                <w:rFonts w:ascii="仿宋" w:hAnsi="仿宋" w:eastAsia="仿宋" w:cstheme="minorBidi"/>
                <w:color w:val="auto"/>
                <w:kern w:val="2"/>
                <w:sz w:val="22"/>
                <w:szCs w:val="22"/>
                <w:highlight w:val="none"/>
                <w:lang w:val="zh-CN" w:eastAsia="zh-CN" w:bidi="ar-SA"/>
              </w:rPr>
            </w:pPr>
            <w:r>
              <w:rPr>
                <w:rFonts w:hint="eastAsia" w:ascii="仿宋" w:hAnsi="仿宋" w:eastAsia="仿宋" w:cstheme="minorBidi"/>
                <w:color w:val="auto"/>
                <w:kern w:val="2"/>
                <w:sz w:val="22"/>
                <w:szCs w:val="22"/>
                <w:highlight w:val="none"/>
                <w:lang w:val="zh-CN" w:eastAsia="zh-CN" w:bidi="ar-SA"/>
              </w:rPr>
              <w:t>X＜10</w:t>
            </w:r>
          </w:p>
        </w:tc>
      </w:tr>
    </w:tbl>
    <w:p w14:paraId="0AA5A370">
      <w:pPr>
        <w:widowControl/>
        <w:shd w:val="clear" w:color="auto" w:fill="FFFFFF"/>
        <w:spacing w:line="336" w:lineRule="auto"/>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说明： 　　</w:t>
      </w:r>
    </w:p>
    <w:p w14:paraId="12AA0DC4">
      <w:pPr>
        <w:widowControl/>
        <w:shd w:val="clear" w:color="auto" w:fill="FFFFFF"/>
        <w:spacing w:line="336" w:lineRule="auto"/>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1.大型、中型和小型企业须同时满足所列指标的下限，否则下划一档；微型企业只须满足所列指标中的一项即可。 　　</w:t>
      </w:r>
    </w:p>
    <w:p w14:paraId="56A89DBC">
      <w:pPr>
        <w:widowControl/>
        <w:shd w:val="clear" w:color="auto" w:fill="FFFFFF"/>
        <w:spacing w:line="336" w:lineRule="auto"/>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337FC7FE">
      <w:pPr>
        <w:widowControl/>
        <w:shd w:val="clear" w:color="auto" w:fill="FFFFFF"/>
        <w:spacing w:line="336" w:lineRule="auto"/>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3.企业划分指标以现行统计制度为准。</w:t>
      </w:r>
    </w:p>
    <w:p w14:paraId="096E277E">
      <w:pPr>
        <w:widowControl/>
        <w:shd w:val="clear" w:color="auto" w:fill="FFFFFF"/>
        <w:spacing w:line="336" w:lineRule="auto"/>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（1）从业人员，是指期末从业人员数，没有期末从业人员数的，采用全年平均人员数代替。</w:t>
      </w:r>
    </w:p>
    <w:p w14:paraId="01E6100A">
      <w:pPr>
        <w:widowControl/>
        <w:shd w:val="clear" w:color="auto" w:fill="FFFFFF"/>
        <w:spacing w:line="336" w:lineRule="auto"/>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73A5EC56">
      <w:pPr>
        <w:widowControl/>
        <w:shd w:val="clear" w:color="auto" w:fill="FFFFFF"/>
        <w:spacing w:line="336" w:lineRule="auto"/>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（3）资产总额，采用资产总计代替。</w:t>
      </w:r>
    </w:p>
    <w:p w14:paraId="3C986CD8">
      <w:pPr>
        <w:widowControl/>
        <w:spacing w:line="336" w:lineRule="auto"/>
        <w:jc w:val="left"/>
        <w:rPr>
          <w:rFonts w:ascii="仿宋" w:hAnsi="仿宋" w:eastAsia="仿宋" w:cs="仿宋"/>
          <w:kern w:val="0"/>
          <w:sz w:val="24"/>
          <w:highlight w:val="none"/>
        </w:rPr>
      </w:pPr>
    </w:p>
    <w:p w14:paraId="038C7A09">
      <w:pPr>
        <w:widowControl/>
        <w:shd w:val="clear" w:color="auto" w:fill="FFFFFF"/>
        <w:spacing w:line="336" w:lineRule="auto"/>
        <w:jc w:val="center"/>
        <w:textAlignment w:val="baseline"/>
        <w:rPr>
          <w:rFonts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《统计上大中小微型企业划分办法（2017）》修订说明</w:t>
      </w:r>
    </w:p>
    <w:p w14:paraId="6CB70C31">
      <w:pPr>
        <w:keepNext w:val="0"/>
        <w:keepLines w:val="0"/>
        <w:pageBreakBefore w:val="0"/>
        <w:widowControl/>
        <w:shd w:val="clear" w:color="auto" w:fill="FFFFFF"/>
        <w:kinsoku/>
        <w:wordWrap/>
        <w:overflowPunct/>
        <w:topLinePunct w:val="0"/>
        <w:autoSpaceDE/>
        <w:autoSpaceDN/>
        <w:bidi w:val="0"/>
        <w:adjustRightInd w:val="0"/>
        <w:snapToGrid/>
        <w:spacing w:line="420" w:lineRule="exact"/>
        <w:jc w:val="left"/>
        <w:textAlignment w:val="baseline"/>
        <w:rPr>
          <w:rFonts w:ascii="仿宋" w:hAnsi="仿宋" w:eastAsia="仿宋" w:cs="仿宋"/>
          <w:b/>
          <w:bCs/>
          <w:kern w:val="0"/>
          <w:sz w:val="27"/>
          <w:szCs w:val="27"/>
          <w:highlight w:val="none"/>
        </w:rPr>
      </w:pPr>
      <w:r>
        <w:rPr>
          <w:rFonts w:hint="eastAsia" w:ascii="仿宋" w:hAnsi="仿宋" w:eastAsia="仿宋" w:cs="仿宋"/>
          <w:b/>
          <w:bCs/>
          <w:kern w:val="0"/>
          <w:sz w:val="27"/>
          <w:szCs w:val="27"/>
          <w:highlight w:val="none"/>
        </w:rPr>
        <w:t>一、修订背景</w:t>
      </w:r>
    </w:p>
    <w:p w14:paraId="4FACAF19">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7F85F3B0">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59CF9C4">
      <w:pPr>
        <w:keepNext w:val="0"/>
        <w:keepLines w:val="0"/>
        <w:pageBreakBefore w:val="0"/>
        <w:widowControl/>
        <w:shd w:val="clear" w:color="auto" w:fill="FFFFFF"/>
        <w:kinsoku/>
        <w:wordWrap/>
        <w:overflowPunct/>
        <w:topLinePunct w:val="0"/>
        <w:autoSpaceDE/>
        <w:autoSpaceDN/>
        <w:bidi w:val="0"/>
        <w:adjustRightInd w:val="0"/>
        <w:snapToGrid/>
        <w:spacing w:line="420" w:lineRule="exact"/>
        <w:jc w:val="left"/>
        <w:textAlignment w:val="baseline"/>
        <w:rPr>
          <w:rFonts w:ascii="仿宋" w:hAnsi="仿宋" w:eastAsia="仿宋" w:cs="仿宋"/>
          <w:b/>
          <w:bCs/>
          <w:kern w:val="0"/>
          <w:sz w:val="27"/>
          <w:szCs w:val="27"/>
          <w:highlight w:val="none"/>
        </w:rPr>
      </w:pPr>
      <w:r>
        <w:rPr>
          <w:rFonts w:hint="eastAsia" w:ascii="仿宋" w:hAnsi="仿宋" w:eastAsia="仿宋" w:cs="仿宋"/>
          <w:b/>
          <w:bCs/>
          <w:kern w:val="0"/>
          <w:sz w:val="27"/>
          <w:szCs w:val="27"/>
          <w:highlight w:val="none"/>
        </w:rPr>
        <w:t>二、修订主要内容</w:t>
      </w:r>
    </w:p>
    <w:p w14:paraId="5CBB2449">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2351736B">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将交通运输业中包括的“装卸搬运和运输代理业”修改为“多式联运和运输代理业、装卸搬运”。</w:t>
      </w:r>
    </w:p>
    <w:p w14:paraId="179F63C8">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仓储业所包括的行业中类，根据《国民经济行业分类》（GB/T4754—2017）调整为“通用仓储，低温仓储，危险品仓储，谷物、棉花等农产品仓储，中药材仓储和其他仓储业”。</w:t>
      </w:r>
    </w:p>
    <w:p w14:paraId="7DAFCBF8">
      <w:pPr>
        <w:widowControl/>
        <w:spacing w:line="336" w:lineRule="auto"/>
        <w:jc w:val="left"/>
        <w:rPr>
          <w:rFonts w:ascii="仿宋" w:hAnsi="仿宋" w:eastAsia="仿宋" w:cs="仿宋"/>
          <w:kern w:val="0"/>
          <w:sz w:val="18"/>
          <w:szCs w:val="18"/>
          <w:highlight w:val="none"/>
        </w:rPr>
      </w:pPr>
    </w:p>
    <w:p w14:paraId="013899AD">
      <w:pPr>
        <w:widowControl/>
        <w:spacing w:line="336" w:lineRule="auto"/>
        <w:jc w:val="left"/>
        <w:rPr>
          <w:rFonts w:ascii="仿宋" w:hAnsi="仿宋" w:eastAsia="仿宋" w:cs="仿宋"/>
          <w:kern w:val="0"/>
          <w:sz w:val="16"/>
          <w:szCs w:val="16"/>
          <w:highlight w:val="none"/>
        </w:rPr>
      </w:pPr>
    </w:p>
    <w:p w14:paraId="1731E03A">
      <w:pPr>
        <w:keepNext w:val="0"/>
        <w:keepLines w:val="0"/>
        <w:pageBreakBefore w:val="0"/>
        <w:widowControl/>
        <w:shd w:val="clear" w:color="auto" w:fill="FFFFFF"/>
        <w:kinsoku/>
        <w:wordWrap/>
        <w:overflowPunct/>
        <w:topLinePunct w:val="0"/>
        <w:autoSpaceDE/>
        <w:autoSpaceDN/>
        <w:bidi w:val="0"/>
        <w:adjustRightInd w:val="0"/>
        <w:snapToGrid/>
        <w:spacing w:line="420" w:lineRule="exact"/>
        <w:jc w:val="center"/>
        <w:textAlignment w:val="baseline"/>
        <w:rPr>
          <w:rFonts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中国人民银行中国银行业监督管理委员会</w:t>
      </w:r>
    </w:p>
    <w:p w14:paraId="6F81E069">
      <w:pPr>
        <w:keepNext w:val="0"/>
        <w:keepLines w:val="0"/>
        <w:pageBreakBefore w:val="0"/>
        <w:widowControl/>
        <w:shd w:val="clear" w:color="auto" w:fill="FFFFFF"/>
        <w:kinsoku/>
        <w:wordWrap/>
        <w:overflowPunct/>
        <w:topLinePunct w:val="0"/>
        <w:autoSpaceDE/>
        <w:autoSpaceDN/>
        <w:bidi w:val="0"/>
        <w:adjustRightInd w:val="0"/>
        <w:snapToGrid/>
        <w:spacing w:line="420" w:lineRule="exact"/>
        <w:jc w:val="center"/>
        <w:textAlignment w:val="baseline"/>
        <w:rPr>
          <w:rFonts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中国证券监督管理委员会中国保险监督管理委员会</w:t>
      </w:r>
    </w:p>
    <w:p w14:paraId="06E85500">
      <w:pPr>
        <w:keepNext w:val="0"/>
        <w:keepLines w:val="0"/>
        <w:pageBreakBefore w:val="0"/>
        <w:widowControl/>
        <w:shd w:val="clear" w:color="auto" w:fill="FFFFFF"/>
        <w:kinsoku/>
        <w:wordWrap/>
        <w:overflowPunct/>
        <w:topLinePunct w:val="0"/>
        <w:autoSpaceDE/>
        <w:autoSpaceDN/>
        <w:bidi w:val="0"/>
        <w:adjustRightInd w:val="0"/>
        <w:snapToGrid/>
        <w:spacing w:line="420" w:lineRule="exact"/>
        <w:jc w:val="center"/>
        <w:textAlignment w:val="baseline"/>
        <w:rPr>
          <w:rFonts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国家统计局关于印发《金融业企业划型标准规定》的通知</w:t>
      </w:r>
    </w:p>
    <w:p w14:paraId="22BFAFC6">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41F2F8A7">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请人民银行上海总部，各分行、营业管理部、省会（首府）城市中心支行、副省级城市中心支行会同所在省（区、市）银监局、证监局、保监局、统计局将本通知联合转发至辖内相关机构。</w:t>
      </w:r>
    </w:p>
    <w:p w14:paraId="17B29B3B">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附件：金融业企业划型标准规定</w:t>
      </w:r>
    </w:p>
    <w:p w14:paraId="42F6EB35">
      <w:pPr>
        <w:widowControl/>
        <w:shd w:val="clear" w:color="auto" w:fill="FFFFFF"/>
        <w:spacing w:line="336" w:lineRule="auto"/>
        <w:jc w:val="center"/>
        <w:textAlignment w:val="baseline"/>
        <w:rPr>
          <w:rFonts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金融业企业划型标准规定</w:t>
      </w:r>
    </w:p>
    <w:p w14:paraId="0A13069B">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14:paraId="177AF930">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二、 适用范围。本规定适用于从事《国民经济行业分类》(GB/T4754-2011)中J门类（金融业）活动的企业。</w:t>
      </w:r>
    </w:p>
    <w:p w14:paraId="7FF41C4D">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251E2418">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四、划型标准指标。采用一个完整会计年度中四个季度末法人并表口径的资产总额（信托公司为信托资产）平均值作为划型指标，该指标以监管部门数据为准。</w:t>
      </w:r>
    </w:p>
    <w:p w14:paraId="6FBD0A8B">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五、指标标准值。依据指标标准值，将各类金融业企业划分为大、中、小、微四个规模类型，中型企业标准上限及以上的为大型企业。</w:t>
      </w:r>
    </w:p>
    <w:p w14:paraId="53D1DD83">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14:paraId="1080C0A0">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14:paraId="4703BD39">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14:paraId="5B4E79EE">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14:paraId="30C86728">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p>
    <w:p w14:paraId="2381E9C6">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14:paraId="2A418586">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14:paraId="6C0D32EC">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5406B7F5">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5D0A595E">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七、 标准值的评估和调整。金融业企业划型标准工作组毎五年对划型标准值受经济发展与通货膨胀等因素的响程度进行评估和调整。</w:t>
      </w:r>
    </w:p>
    <w:p w14:paraId="1483505D">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八、 本规定的中型金融业企业标准上限即为大型金融业企业下限。国务院有关部门据此进行相关数据的统计分析，不得制定与本规定不一致的金融业企业划型标准。</w:t>
      </w:r>
    </w:p>
    <w:p w14:paraId="16B5317C">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九、 融资担保公司参照本规定中“除贷款公司、小额贷款公司、典当行以外的其他金融机构”标准划型。</w:t>
      </w:r>
    </w:p>
    <w:p w14:paraId="4BD7A468">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十、本规定由人民银行会同银监会，证监会、保监会和统计局负责解释。</w:t>
      </w:r>
    </w:p>
    <w:p w14:paraId="21D7CDDB">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    十一、本规定自发布之日起实施。</w:t>
      </w:r>
    </w:p>
    <w:p w14:paraId="38130895">
      <w:pPr>
        <w:keepNext w:val="0"/>
        <w:keepLines w:val="0"/>
        <w:pageBreakBefore w:val="0"/>
        <w:widowControl/>
        <w:shd w:val="clear" w:color="auto" w:fill="FFFFFF"/>
        <w:kinsoku/>
        <w:wordWrap/>
        <w:overflowPunct/>
        <w:topLinePunct w:val="0"/>
        <w:autoSpaceDE/>
        <w:autoSpaceDN/>
        <w:bidi w:val="0"/>
        <w:adjustRightInd w:val="0"/>
        <w:snapToGrid/>
        <w:spacing w:line="420" w:lineRule="exact"/>
        <w:ind w:firstLine="420" w:firstLineChars="200"/>
        <w:jc w:val="left"/>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附：金融业企业划型标准</w:t>
      </w:r>
    </w:p>
    <w:p w14:paraId="58B71957">
      <w:pPr>
        <w:widowControl/>
        <w:shd w:val="clear" w:color="auto" w:fill="FFFFFF"/>
        <w:spacing w:line="336" w:lineRule="auto"/>
        <w:jc w:val="center"/>
        <w:textAlignment w:val="baseline"/>
        <w:rPr>
          <w:rFonts w:hint="eastAsia" w:ascii="仿宋" w:hAnsi="仿宋" w:eastAsia="仿宋" w:cs="仿宋"/>
          <w:b/>
          <w:bCs/>
          <w:kern w:val="0"/>
          <w:sz w:val="32"/>
          <w:szCs w:val="32"/>
          <w:highlight w:val="none"/>
        </w:rPr>
      </w:pPr>
    </w:p>
    <w:p w14:paraId="06AC7C5E">
      <w:pPr>
        <w:widowControl/>
        <w:shd w:val="clear" w:color="auto" w:fill="FFFFFF"/>
        <w:spacing w:line="336" w:lineRule="auto"/>
        <w:jc w:val="center"/>
        <w:textAlignment w:val="baseline"/>
        <w:rPr>
          <w:rFonts w:ascii="仿宋" w:hAnsi="仿宋" w:eastAsia="仿宋" w:cs="仿宋"/>
          <w:b/>
          <w:bCs/>
          <w:kern w:val="0"/>
          <w:sz w:val="36"/>
          <w:szCs w:val="36"/>
          <w:highlight w:val="none"/>
        </w:rPr>
      </w:pPr>
      <w:r>
        <w:rPr>
          <w:rFonts w:hint="eastAsia" w:ascii="仿宋" w:hAnsi="仿宋" w:eastAsia="仿宋" w:cs="仿宋"/>
          <w:b/>
          <w:bCs/>
          <w:kern w:val="0"/>
          <w:sz w:val="32"/>
          <w:szCs w:val="32"/>
          <w:highlight w:val="none"/>
        </w:rPr>
        <w:t>金融业企业划型标准</w:t>
      </w:r>
    </w:p>
    <w:tbl>
      <w:tblPr>
        <w:tblStyle w:val="66"/>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6640F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26A57BF0">
            <w:pPr>
              <w:widowControl/>
              <w:spacing w:line="336" w:lineRule="auto"/>
              <w:jc w:val="center"/>
              <w:rPr>
                <w:rFonts w:ascii="仿宋" w:hAnsi="仿宋" w:eastAsia="仿宋" w:cs="仿宋"/>
                <w:b/>
                <w:bCs/>
                <w:kern w:val="0"/>
                <w:szCs w:val="21"/>
                <w:highlight w:val="none"/>
              </w:rPr>
            </w:pPr>
            <w:r>
              <w:rPr>
                <w:rFonts w:hint="eastAsia" w:ascii="仿宋" w:hAnsi="仿宋" w:eastAsia="仿宋" w:cs="仿宋"/>
                <w:b/>
                <w:bCs/>
                <w:kern w:val="0"/>
                <w:szCs w:val="21"/>
                <w:highlight w:val="none"/>
              </w:rPr>
              <w:t>行业</w:t>
            </w:r>
          </w:p>
        </w:tc>
        <w:tc>
          <w:tcPr>
            <w:tcW w:w="2836" w:type="dxa"/>
            <w:tcMar>
              <w:top w:w="75" w:type="dxa"/>
              <w:left w:w="75" w:type="dxa"/>
              <w:bottom w:w="75" w:type="dxa"/>
              <w:right w:w="75" w:type="dxa"/>
            </w:tcMar>
            <w:vAlign w:val="bottom"/>
          </w:tcPr>
          <w:p w14:paraId="490CA851">
            <w:pPr>
              <w:widowControl/>
              <w:spacing w:line="336" w:lineRule="auto"/>
              <w:jc w:val="center"/>
              <w:rPr>
                <w:rFonts w:ascii="仿宋" w:hAnsi="仿宋" w:eastAsia="仿宋" w:cs="仿宋"/>
                <w:b/>
                <w:bCs/>
                <w:kern w:val="0"/>
                <w:szCs w:val="21"/>
                <w:highlight w:val="none"/>
              </w:rPr>
            </w:pPr>
            <w:r>
              <w:rPr>
                <w:rFonts w:hint="eastAsia" w:ascii="仿宋" w:hAnsi="仿宋" w:eastAsia="仿宋" w:cs="仿宋"/>
                <w:b/>
                <w:bCs/>
                <w:kern w:val="0"/>
                <w:szCs w:val="21"/>
                <w:highlight w:val="none"/>
              </w:rPr>
              <w:t>类别</w:t>
            </w:r>
          </w:p>
        </w:tc>
        <w:tc>
          <w:tcPr>
            <w:tcW w:w="606" w:type="dxa"/>
            <w:tcMar>
              <w:top w:w="75" w:type="dxa"/>
              <w:left w:w="75" w:type="dxa"/>
              <w:bottom w:w="75" w:type="dxa"/>
              <w:right w:w="75" w:type="dxa"/>
            </w:tcMar>
            <w:vAlign w:val="bottom"/>
          </w:tcPr>
          <w:p w14:paraId="5A1B9063">
            <w:pPr>
              <w:widowControl/>
              <w:spacing w:line="336" w:lineRule="auto"/>
              <w:jc w:val="center"/>
              <w:rPr>
                <w:rFonts w:ascii="仿宋" w:hAnsi="仿宋" w:eastAsia="仿宋" w:cs="仿宋"/>
                <w:b/>
                <w:bCs/>
                <w:kern w:val="0"/>
                <w:szCs w:val="21"/>
                <w:highlight w:val="none"/>
              </w:rPr>
            </w:pPr>
            <w:r>
              <w:rPr>
                <w:rFonts w:hint="eastAsia" w:ascii="仿宋" w:hAnsi="仿宋" w:eastAsia="仿宋" w:cs="仿宋"/>
                <w:b/>
                <w:bCs/>
                <w:kern w:val="0"/>
                <w:szCs w:val="21"/>
                <w:highlight w:val="none"/>
              </w:rPr>
              <w:t>类型</w:t>
            </w:r>
          </w:p>
        </w:tc>
        <w:tc>
          <w:tcPr>
            <w:tcW w:w="3326" w:type="dxa"/>
            <w:tcMar>
              <w:top w:w="75" w:type="dxa"/>
              <w:left w:w="75" w:type="dxa"/>
              <w:bottom w:w="75" w:type="dxa"/>
              <w:right w:w="75" w:type="dxa"/>
            </w:tcMar>
            <w:vAlign w:val="bottom"/>
          </w:tcPr>
          <w:p w14:paraId="5EC14118">
            <w:pPr>
              <w:widowControl/>
              <w:spacing w:line="336" w:lineRule="auto"/>
              <w:jc w:val="center"/>
              <w:rPr>
                <w:rFonts w:ascii="仿宋" w:hAnsi="仿宋" w:eastAsia="仿宋" w:cs="仿宋"/>
                <w:b/>
                <w:bCs/>
                <w:kern w:val="0"/>
                <w:szCs w:val="21"/>
                <w:highlight w:val="none"/>
              </w:rPr>
            </w:pPr>
            <w:r>
              <w:rPr>
                <w:rFonts w:hint="eastAsia" w:ascii="仿宋" w:hAnsi="仿宋" w:eastAsia="仿宋" w:cs="仿宋"/>
                <w:b/>
                <w:bCs/>
                <w:kern w:val="0"/>
                <w:szCs w:val="21"/>
                <w:highlight w:val="none"/>
              </w:rPr>
              <w:t>资产总额</w:t>
            </w:r>
          </w:p>
        </w:tc>
      </w:tr>
      <w:tr w14:paraId="1B309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6F19D009">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货币金融服务</w:t>
            </w:r>
          </w:p>
        </w:tc>
        <w:tc>
          <w:tcPr>
            <w:tcW w:w="1025" w:type="dxa"/>
            <w:vMerge w:val="restart"/>
            <w:vAlign w:val="center"/>
          </w:tcPr>
          <w:p w14:paraId="6DDE5FFB">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货币银行服务</w:t>
            </w:r>
          </w:p>
        </w:tc>
        <w:tc>
          <w:tcPr>
            <w:tcW w:w="2836" w:type="dxa"/>
            <w:vMerge w:val="restart"/>
            <w:vAlign w:val="center"/>
          </w:tcPr>
          <w:p w14:paraId="1B13C2E0">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银行业存款类金融机构</w:t>
            </w:r>
          </w:p>
        </w:tc>
        <w:tc>
          <w:tcPr>
            <w:tcW w:w="606" w:type="dxa"/>
            <w:vAlign w:val="center"/>
          </w:tcPr>
          <w:p w14:paraId="33131F36">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中型</w:t>
            </w:r>
          </w:p>
        </w:tc>
        <w:tc>
          <w:tcPr>
            <w:tcW w:w="3326" w:type="dxa"/>
            <w:vAlign w:val="center"/>
          </w:tcPr>
          <w:p w14:paraId="6E14DC6E">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5000亿元（含）至40000亿元</w:t>
            </w:r>
          </w:p>
        </w:tc>
      </w:tr>
      <w:tr w14:paraId="0EC8D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B2096B6">
            <w:pPr>
              <w:widowControl/>
              <w:spacing w:line="336" w:lineRule="auto"/>
              <w:jc w:val="left"/>
              <w:rPr>
                <w:rFonts w:ascii="仿宋" w:hAnsi="仿宋" w:eastAsia="仿宋" w:cs="仿宋"/>
                <w:kern w:val="0"/>
                <w:sz w:val="24"/>
                <w:highlight w:val="none"/>
              </w:rPr>
            </w:pPr>
          </w:p>
        </w:tc>
        <w:tc>
          <w:tcPr>
            <w:tcW w:w="1025" w:type="dxa"/>
            <w:vMerge w:val="continue"/>
            <w:vAlign w:val="center"/>
          </w:tcPr>
          <w:p w14:paraId="1768BB06">
            <w:pPr>
              <w:widowControl/>
              <w:spacing w:line="336" w:lineRule="auto"/>
              <w:jc w:val="left"/>
              <w:rPr>
                <w:rFonts w:ascii="仿宋" w:hAnsi="仿宋" w:eastAsia="仿宋" w:cs="仿宋"/>
                <w:kern w:val="0"/>
                <w:sz w:val="24"/>
                <w:highlight w:val="none"/>
              </w:rPr>
            </w:pPr>
          </w:p>
        </w:tc>
        <w:tc>
          <w:tcPr>
            <w:tcW w:w="2836" w:type="dxa"/>
            <w:vMerge w:val="continue"/>
            <w:vAlign w:val="center"/>
          </w:tcPr>
          <w:p w14:paraId="6EA8836A">
            <w:pPr>
              <w:widowControl/>
              <w:spacing w:line="336" w:lineRule="auto"/>
              <w:jc w:val="left"/>
              <w:rPr>
                <w:rFonts w:ascii="仿宋" w:hAnsi="仿宋" w:eastAsia="仿宋" w:cs="仿宋"/>
                <w:kern w:val="0"/>
                <w:sz w:val="24"/>
                <w:highlight w:val="none"/>
              </w:rPr>
            </w:pPr>
          </w:p>
        </w:tc>
        <w:tc>
          <w:tcPr>
            <w:tcW w:w="606" w:type="dxa"/>
            <w:vAlign w:val="center"/>
          </w:tcPr>
          <w:p w14:paraId="2E747303">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小型</w:t>
            </w:r>
          </w:p>
        </w:tc>
        <w:tc>
          <w:tcPr>
            <w:tcW w:w="3326" w:type="dxa"/>
            <w:vAlign w:val="center"/>
          </w:tcPr>
          <w:p w14:paraId="4DAD271A">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50亿元（含）至5000亿元</w:t>
            </w:r>
          </w:p>
        </w:tc>
      </w:tr>
      <w:tr w14:paraId="0C196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9C897FD">
            <w:pPr>
              <w:widowControl/>
              <w:spacing w:line="336" w:lineRule="auto"/>
              <w:jc w:val="left"/>
              <w:rPr>
                <w:rFonts w:ascii="仿宋" w:hAnsi="仿宋" w:eastAsia="仿宋" w:cs="仿宋"/>
                <w:kern w:val="0"/>
                <w:sz w:val="24"/>
                <w:highlight w:val="none"/>
              </w:rPr>
            </w:pPr>
          </w:p>
        </w:tc>
        <w:tc>
          <w:tcPr>
            <w:tcW w:w="1025" w:type="dxa"/>
            <w:vMerge w:val="continue"/>
            <w:vAlign w:val="center"/>
          </w:tcPr>
          <w:p w14:paraId="4B23858B">
            <w:pPr>
              <w:widowControl/>
              <w:spacing w:line="336" w:lineRule="auto"/>
              <w:jc w:val="left"/>
              <w:rPr>
                <w:rFonts w:ascii="仿宋" w:hAnsi="仿宋" w:eastAsia="仿宋" w:cs="仿宋"/>
                <w:kern w:val="0"/>
                <w:sz w:val="24"/>
                <w:highlight w:val="none"/>
              </w:rPr>
            </w:pPr>
          </w:p>
        </w:tc>
        <w:tc>
          <w:tcPr>
            <w:tcW w:w="2836" w:type="dxa"/>
            <w:vMerge w:val="continue"/>
            <w:vAlign w:val="center"/>
          </w:tcPr>
          <w:p w14:paraId="370EB5F2">
            <w:pPr>
              <w:widowControl/>
              <w:spacing w:line="336" w:lineRule="auto"/>
              <w:jc w:val="left"/>
              <w:rPr>
                <w:rFonts w:ascii="仿宋" w:hAnsi="仿宋" w:eastAsia="仿宋" w:cs="仿宋"/>
                <w:kern w:val="0"/>
                <w:sz w:val="24"/>
                <w:highlight w:val="none"/>
              </w:rPr>
            </w:pPr>
          </w:p>
        </w:tc>
        <w:tc>
          <w:tcPr>
            <w:tcW w:w="606" w:type="dxa"/>
            <w:vAlign w:val="center"/>
          </w:tcPr>
          <w:p w14:paraId="516BF14A">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微型</w:t>
            </w:r>
          </w:p>
        </w:tc>
        <w:tc>
          <w:tcPr>
            <w:tcW w:w="3326" w:type="dxa"/>
            <w:vAlign w:val="center"/>
          </w:tcPr>
          <w:p w14:paraId="4F292551">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50亿元以下</w:t>
            </w:r>
          </w:p>
        </w:tc>
      </w:tr>
      <w:tr w14:paraId="62382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5DC5330">
            <w:pPr>
              <w:widowControl/>
              <w:spacing w:line="336" w:lineRule="auto"/>
              <w:jc w:val="left"/>
              <w:rPr>
                <w:rFonts w:ascii="仿宋" w:hAnsi="仿宋" w:eastAsia="仿宋" w:cs="仿宋"/>
                <w:kern w:val="0"/>
                <w:sz w:val="24"/>
                <w:highlight w:val="none"/>
              </w:rPr>
            </w:pPr>
          </w:p>
        </w:tc>
        <w:tc>
          <w:tcPr>
            <w:tcW w:w="1025" w:type="dxa"/>
            <w:vMerge w:val="restart"/>
            <w:vAlign w:val="center"/>
          </w:tcPr>
          <w:p w14:paraId="233A66A4">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非货币银行服务</w:t>
            </w:r>
          </w:p>
        </w:tc>
        <w:tc>
          <w:tcPr>
            <w:tcW w:w="2836" w:type="dxa"/>
            <w:vMerge w:val="restart"/>
            <w:vAlign w:val="center"/>
          </w:tcPr>
          <w:p w14:paraId="0050F114">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银行业非存款类金融机构</w:t>
            </w:r>
          </w:p>
        </w:tc>
        <w:tc>
          <w:tcPr>
            <w:tcW w:w="606" w:type="dxa"/>
            <w:vAlign w:val="center"/>
          </w:tcPr>
          <w:p w14:paraId="574BC3DE">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中型</w:t>
            </w:r>
          </w:p>
        </w:tc>
        <w:tc>
          <w:tcPr>
            <w:tcW w:w="3326" w:type="dxa"/>
            <w:vAlign w:val="center"/>
          </w:tcPr>
          <w:p w14:paraId="7748E8BC">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200亿元（含）至1000亿元</w:t>
            </w:r>
          </w:p>
        </w:tc>
      </w:tr>
      <w:tr w14:paraId="1DED4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CDEC2D9">
            <w:pPr>
              <w:widowControl/>
              <w:spacing w:line="336" w:lineRule="auto"/>
              <w:jc w:val="left"/>
              <w:rPr>
                <w:rFonts w:ascii="仿宋" w:hAnsi="仿宋" w:eastAsia="仿宋" w:cs="仿宋"/>
                <w:kern w:val="0"/>
                <w:sz w:val="24"/>
                <w:highlight w:val="none"/>
              </w:rPr>
            </w:pPr>
          </w:p>
        </w:tc>
        <w:tc>
          <w:tcPr>
            <w:tcW w:w="1025" w:type="dxa"/>
            <w:vMerge w:val="continue"/>
            <w:vAlign w:val="center"/>
          </w:tcPr>
          <w:p w14:paraId="4B09CB50">
            <w:pPr>
              <w:widowControl/>
              <w:spacing w:line="336" w:lineRule="auto"/>
              <w:jc w:val="center"/>
              <w:rPr>
                <w:rFonts w:ascii="仿宋" w:hAnsi="仿宋" w:eastAsia="仿宋" w:cs="仿宋"/>
                <w:kern w:val="0"/>
                <w:sz w:val="24"/>
                <w:highlight w:val="none"/>
              </w:rPr>
            </w:pPr>
          </w:p>
        </w:tc>
        <w:tc>
          <w:tcPr>
            <w:tcW w:w="2836" w:type="dxa"/>
            <w:vMerge w:val="continue"/>
            <w:vAlign w:val="center"/>
          </w:tcPr>
          <w:p w14:paraId="719E6102">
            <w:pPr>
              <w:widowControl/>
              <w:spacing w:line="336" w:lineRule="auto"/>
              <w:jc w:val="center"/>
              <w:rPr>
                <w:rFonts w:ascii="仿宋" w:hAnsi="仿宋" w:eastAsia="仿宋" w:cs="仿宋"/>
                <w:kern w:val="0"/>
                <w:sz w:val="24"/>
                <w:highlight w:val="none"/>
              </w:rPr>
            </w:pPr>
          </w:p>
        </w:tc>
        <w:tc>
          <w:tcPr>
            <w:tcW w:w="606" w:type="dxa"/>
            <w:vAlign w:val="center"/>
          </w:tcPr>
          <w:p w14:paraId="4CF990A9">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小型</w:t>
            </w:r>
          </w:p>
        </w:tc>
        <w:tc>
          <w:tcPr>
            <w:tcW w:w="3326" w:type="dxa"/>
            <w:vAlign w:val="center"/>
          </w:tcPr>
          <w:p w14:paraId="65EB0EE3">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50亿元（含）至200亿元</w:t>
            </w:r>
          </w:p>
        </w:tc>
      </w:tr>
      <w:tr w14:paraId="3E96A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A765C17">
            <w:pPr>
              <w:widowControl/>
              <w:spacing w:line="336" w:lineRule="auto"/>
              <w:jc w:val="left"/>
              <w:rPr>
                <w:rFonts w:ascii="仿宋" w:hAnsi="仿宋" w:eastAsia="仿宋" w:cs="仿宋"/>
                <w:kern w:val="0"/>
                <w:sz w:val="24"/>
                <w:highlight w:val="none"/>
              </w:rPr>
            </w:pPr>
          </w:p>
        </w:tc>
        <w:tc>
          <w:tcPr>
            <w:tcW w:w="1025" w:type="dxa"/>
            <w:vMerge w:val="continue"/>
            <w:vAlign w:val="center"/>
          </w:tcPr>
          <w:p w14:paraId="083FD23B">
            <w:pPr>
              <w:widowControl/>
              <w:spacing w:line="336" w:lineRule="auto"/>
              <w:jc w:val="center"/>
              <w:rPr>
                <w:rFonts w:ascii="仿宋" w:hAnsi="仿宋" w:eastAsia="仿宋" w:cs="仿宋"/>
                <w:kern w:val="0"/>
                <w:sz w:val="24"/>
                <w:highlight w:val="none"/>
              </w:rPr>
            </w:pPr>
          </w:p>
        </w:tc>
        <w:tc>
          <w:tcPr>
            <w:tcW w:w="2836" w:type="dxa"/>
            <w:vMerge w:val="continue"/>
            <w:vAlign w:val="center"/>
          </w:tcPr>
          <w:p w14:paraId="054736A4">
            <w:pPr>
              <w:widowControl/>
              <w:spacing w:line="336" w:lineRule="auto"/>
              <w:jc w:val="center"/>
              <w:rPr>
                <w:rFonts w:ascii="仿宋" w:hAnsi="仿宋" w:eastAsia="仿宋" w:cs="仿宋"/>
                <w:kern w:val="0"/>
                <w:sz w:val="24"/>
                <w:highlight w:val="none"/>
              </w:rPr>
            </w:pPr>
          </w:p>
        </w:tc>
        <w:tc>
          <w:tcPr>
            <w:tcW w:w="606" w:type="dxa"/>
            <w:vAlign w:val="center"/>
          </w:tcPr>
          <w:p w14:paraId="01DB4982">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微型</w:t>
            </w:r>
          </w:p>
        </w:tc>
        <w:tc>
          <w:tcPr>
            <w:tcW w:w="3326" w:type="dxa"/>
            <w:vAlign w:val="center"/>
          </w:tcPr>
          <w:p w14:paraId="66CE36FE">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50亿元以下</w:t>
            </w:r>
          </w:p>
        </w:tc>
      </w:tr>
      <w:tr w14:paraId="248B4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21A835C">
            <w:pPr>
              <w:widowControl/>
              <w:spacing w:line="336" w:lineRule="auto"/>
              <w:jc w:val="left"/>
              <w:rPr>
                <w:rFonts w:ascii="仿宋" w:hAnsi="仿宋" w:eastAsia="仿宋" w:cs="仿宋"/>
                <w:kern w:val="0"/>
                <w:sz w:val="24"/>
                <w:highlight w:val="none"/>
              </w:rPr>
            </w:pPr>
          </w:p>
        </w:tc>
        <w:tc>
          <w:tcPr>
            <w:tcW w:w="1025" w:type="dxa"/>
            <w:vMerge w:val="continue"/>
            <w:vAlign w:val="center"/>
          </w:tcPr>
          <w:p w14:paraId="249F90A8">
            <w:pPr>
              <w:widowControl/>
              <w:spacing w:line="336" w:lineRule="auto"/>
              <w:jc w:val="center"/>
              <w:rPr>
                <w:rFonts w:ascii="仿宋" w:hAnsi="仿宋" w:eastAsia="仿宋" w:cs="仿宋"/>
                <w:kern w:val="0"/>
                <w:sz w:val="24"/>
                <w:highlight w:val="none"/>
              </w:rPr>
            </w:pPr>
          </w:p>
        </w:tc>
        <w:tc>
          <w:tcPr>
            <w:tcW w:w="2836" w:type="dxa"/>
            <w:vMerge w:val="restart"/>
            <w:vAlign w:val="center"/>
          </w:tcPr>
          <w:p w14:paraId="38184B4F">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贷款公司、小额贷款公司及典当行</w:t>
            </w:r>
          </w:p>
        </w:tc>
        <w:tc>
          <w:tcPr>
            <w:tcW w:w="606" w:type="dxa"/>
            <w:vAlign w:val="center"/>
          </w:tcPr>
          <w:p w14:paraId="443620EC">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中型</w:t>
            </w:r>
          </w:p>
        </w:tc>
        <w:tc>
          <w:tcPr>
            <w:tcW w:w="3326" w:type="dxa"/>
            <w:vAlign w:val="center"/>
          </w:tcPr>
          <w:p w14:paraId="20FFBA65">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200亿元（含）至1000亿元</w:t>
            </w:r>
          </w:p>
        </w:tc>
      </w:tr>
      <w:tr w14:paraId="10AA1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22FD51E">
            <w:pPr>
              <w:widowControl/>
              <w:spacing w:line="336" w:lineRule="auto"/>
              <w:jc w:val="left"/>
              <w:rPr>
                <w:rFonts w:ascii="仿宋" w:hAnsi="仿宋" w:eastAsia="仿宋" w:cs="仿宋"/>
                <w:kern w:val="0"/>
                <w:sz w:val="24"/>
                <w:highlight w:val="none"/>
              </w:rPr>
            </w:pPr>
          </w:p>
        </w:tc>
        <w:tc>
          <w:tcPr>
            <w:tcW w:w="1025" w:type="dxa"/>
            <w:vMerge w:val="continue"/>
            <w:vAlign w:val="center"/>
          </w:tcPr>
          <w:p w14:paraId="4E916355">
            <w:pPr>
              <w:widowControl/>
              <w:spacing w:line="336" w:lineRule="auto"/>
              <w:jc w:val="left"/>
              <w:rPr>
                <w:rFonts w:ascii="仿宋" w:hAnsi="仿宋" w:eastAsia="仿宋" w:cs="仿宋"/>
                <w:kern w:val="0"/>
                <w:sz w:val="24"/>
                <w:highlight w:val="none"/>
              </w:rPr>
            </w:pPr>
          </w:p>
        </w:tc>
        <w:tc>
          <w:tcPr>
            <w:tcW w:w="2836" w:type="dxa"/>
            <w:vMerge w:val="continue"/>
            <w:vAlign w:val="center"/>
          </w:tcPr>
          <w:p w14:paraId="5B0F43A3">
            <w:pPr>
              <w:widowControl/>
              <w:spacing w:line="336" w:lineRule="auto"/>
              <w:jc w:val="left"/>
              <w:rPr>
                <w:rFonts w:ascii="仿宋" w:hAnsi="仿宋" w:eastAsia="仿宋" w:cs="仿宋"/>
                <w:kern w:val="0"/>
                <w:sz w:val="24"/>
                <w:highlight w:val="none"/>
              </w:rPr>
            </w:pPr>
          </w:p>
        </w:tc>
        <w:tc>
          <w:tcPr>
            <w:tcW w:w="606" w:type="dxa"/>
            <w:vAlign w:val="center"/>
          </w:tcPr>
          <w:p w14:paraId="32FEE46F">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小型</w:t>
            </w:r>
          </w:p>
        </w:tc>
        <w:tc>
          <w:tcPr>
            <w:tcW w:w="3326" w:type="dxa"/>
            <w:vAlign w:val="center"/>
          </w:tcPr>
          <w:p w14:paraId="76148CD6">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50亿元（含）至200亿元</w:t>
            </w:r>
          </w:p>
        </w:tc>
      </w:tr>
      <w:tr w14:paraId="527F1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05226B2">
            <w:pPr>
              <w:widowControl/>
              <w:spacing w:line="336" w:lineRule="auto"/>
              <w:jc w:val="left"/>
              <w:rPr>
                <w:rFonts w:ascii="仿宋" w:hAnsi="仿宋" w:eastAsia="仿宋" w:cs="仿宋"/>
                <w:kern w:val="0"/>
                <w:sz w:val="24"/>
                <w:highlight w:val="none"/>
              </w:rPr>
            </w:pPr>
          </w:p>
        </w:tc>
        <w:tc>
          <w:tcPr>
            <w:tcW w:w="1025" w:type="dxa"/>
            <w:vMerge w:val="continue"/>
            <w:vAlign w:val="center"/>
          </w:tcPr>
          <w:p w14:paraId="6E9A42D4">
            <w:pPr>
              <w:widowControl/>
              <w:spacing w:line="336" w:lineRule="auto"/>
              <w:jc w:val="left"/>
              <w:rPr>
                <w:rFonts w:ascii="仿宋" w:hAnsi="仿宋" w:eastAsia="仿宋" w:cs="仿宋"/>
                <w:kern w:val="0"/>
                <w:sz w:val="24"/>
                <w:highlight w:val="none"/>
              </w:rPr>
            </w:pPr>
          </w:p>
        </w:tc>
        <w:tc>
          <w:tcPr>
            <w:tcW w:w="2836" w:type="dxa"/>
            <w:vMerge w:val="continue"/>
            <w:vAlign w:val="center"/>
          </w:tcPr>
          <w:p w14:paraId="44D44244">
            <w:pPr>
              <w:widowControl/>
              <w:spacing w:line="336" w:lineRule="auto"/>
              <w:jc w:val="left"/>
              <w:rPr>
                <w:rFonts w:ascii="仿宋" w:hAnsi="仿宋" w:eastAsia="仿宋" w:cs="仿宋"/>
                <w:kern w:val="0"/>
                <w:sz w:val="24"/>
                <w:highlight w:val="none"/>
              </w:rPr>
            </w:pPr>
          </w:p>
        </w:tc>
        <w:tc>
          <w:tcPr>
            <w:tcW w:w="606" w:type="dxa"/>
            <w:vAlign w:val="center"/>
          </w:tcPr>
          <w:p w14:paraId="679EEDE2">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微型</w:t>
            </w:r>
          </w:p>
        </w:tc>
        <w:tc>
          <w:tcPr>
            <w:tcW w:w="3326" w:type="dxa"/>
            <w:vAlign w:val="center"/>
          </w:tcPr>
          <w:p w14:paraId="17FFC6BC">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50亿元以下</w:t>
            </w:r>
          </w:p>
        </w:tc>
      </w:tr>
      <w:tr w14:paraId="4B877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38693123">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资本市场服务</w:t>
            </w:r>
          </w:p>
        </w:tc>
        <w:tc>
          <w:tcPr>
            <w:tcW w:w="2836" w:type="dxa"/>
            <w:vMerge w:val="restart"/>
            <w:vAlign w:val="center"/>
          </w:tcPr>
          <w:p w14:paraId="7DFF699D">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证券业金融机构</w:t>
            </w:r>
          </w:p>
        </w:tc>
        <w:tc>
          <w:tcPr>
            <w:tcW w:w="606" w:type="dxa"/>
            <w:vAlign w:val="center"/>
          </w:tcPr>
          <w:p w14:paraId="7048DC25">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中型</w:t>
            </w:r>
          </w:p>
        </w:tc>
        <w:tc>
          <w:tcPr>
            <w:tcW w:w="3326" w:type="dxa"/>
            <w:vAlign w:val="center"/>
          </w:tcPr>
          <w:p w14:paraId="23C3F2B5">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100亿元（含）至1000亿元</w:t>
            </w:r>
          </w:p>
        </w:tc>
      </w:tr>
      <w:tr w14:paraId="2DDCE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597B06C">
            <w:pPr>
              <w:widowControl/>
              <w:spacing w:line="336" w:lineRule="auto"/>
              <w:jc w:val="center"/>
              <w:rPr>
                <w:rFonts w:ascii="仿宋" w:hAnsi="仿宋" w:eastAsia="仿宋" w:cs="仿宋"/>
                <w:kern w:val="0"/>
                <w:sz w:val="24"/>
                <w:highlight w:val="none"/>
              </w:rPr>
            </w:pPr>
          </w:p>
        </w:tc>
        <w:tc>
          <w:tcPr>
            <w:tcW w:w="2836" w:type="dxa"/>
            <w:vMerge w:val="continue"/>
            <w:vAlign w:val="center"/>
          </w:tcPr>
          <w:p w14:paraId="7393DEC2">
            <w:pPr>
              <w:widowControl/>
              <w:spacing w:line="336" w:lineRule="auto"/>
              <w:jc w:val="center"/>
              <w:rPr>
                <w:rFonts w:ascii="仿宋" w:hAnsi="仿宋" w:eastAsia="仿宋" w:cs="仿宋"/>
                <w:kern w:val="0"/>
                <w:sz w:val="24"/>
                <w:highlight w:val="none"/>
              </w:rPr>
            </w:pPr>
          </w:p>
        </w:tc>
        <w:tc>
          <w:tcPr>
            <w:tcW w:w="606" w:type="dxa"/>
            <w:vAlign w:val="center"/>
          </w:tcPr>
          <w:p w14:paraId="3C6791B9">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小型</w:t>
            </w:r>
          </w:p>
        </w:tc>
        <w:tc>
          <w:tcPr>
            <w:tcW w:w="3326" w:type="dxa"/>
            <w:vAlign w:val="center"/>
          </w:tcPr>
          <w:p w14:paraId="4C81EC13">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10亿元（含）至100亿元</w:t>
            </w:r>
          </w:p>
        </w:tc>
      </w:tr>
      <w:tr w14:paraId="5E540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30B9072">
            <w:pPr>
              <w:widowControl/>
              <w:spacing w:line="336" w:lineRule="auto"/>
              <w:jc w:val="center"/>
              <w:rPr>
                <w:rFonts w:ascii="仿宋" w:hAnsi="仿宋" w:eastAsia="仿宋" w:cs="仿宋"/>
                <w:kern w:val="0"/>
                <w:sz w:val="24"/>
                <w:highlight w:val="none"/>
              </w:rPr>
            </w:pPr>
          </w:p>
        </w:tc>
        <w:tc>
          <w:tcPr>
            <w:tcW w:w="2836" w:type="dxa"/>
            <w:vMerge w:val="continue"/>
            <w:vAlign w:val="center"/>
          </w:tcPr>
          <w:p w14:paraId="11D904CE">
            <w:pPr>
              <w:widowControl/>
              <w:spacing w:line="336" w:lineRule="auto"/>
              <w:jc w:val="center"/>
              <w:rPr>
                <w:rFonts w:ascii="仿宋" w:hAnsi="仿宋" w:eastAsia="仿宋" w:cs="仿宋"/>
                <w:kern w:val="0"/>
                <w:sz w:val="24"/>
                <w:highlight w:val="none"/>
              </w:rPr>
            </w:pPr>
          </w:p>
        </w:tc>
        <w:tc>
          <w:tcPr>
            <w:tcW w:w="606" w:type="dxa"/>
            <w:vAlign w:val="center"/>
          </w:tcPr>
          <w:p w14:paraId="255A6305">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微型</w:t>
            </w:r>
          </w:p>
        </w:tc>
        <w:tc>
          <w:tcPr>
            <w:tcW w:w="3326" w:type="dxa"/>
            <w:vAlign w:val="center"/>
          </w:tcPr>
          <w:p w14:paraId="5D33709D">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10亿元以下</w:t>
            </w:r>
          </w:p>
        </w:tc>
      </w:tr>
      <w:tr w14:paraId="58C96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6D0F8A8C">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保险业</w:t>
            </w:r>
          </w:p>
        </w:tc>
        <w:tc>
          <w:tcPr>
            <w:tcW w:w="2836" w:type="dxa"/>
            <w:vMerge w:val="restart"/>
            <w:vAlign w:val="center"/>
          </w:tcPr>
          <w:p w14:paraId="2EE6BB64">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保险业金融机构</w:t>
            </w:r>
          </w:p>
        </w:tc>
        <w:tc>
          <w:tcPr>
            <w:tcW w:w="606" w:type="dxa"/>
            <w:vAlign w:val="center"/>
          </w:tcPr>
          <w:p w14:paraId="4699453A">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中型</w:t>
            </w:r>
          </w:p>
        </w:tc>
        <w:tc>
          <w:tcPr>
            <w:tcW w:w="3326" w:type="dxa"/>
            <w:vAlign w:val="center"/>
          </w:tcPr>
          <w:p w14:paraId="0033DFBF">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400亿元（含）至5000亿元</w:t>
            </w:r>
          </w:p>
        </w:tc>
      </w:tr>
      <w:tr w14:paraId="10649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D7AE3C7">
            <w:pPr>
              <w:widowControl/>
              <w:spacing w:line="336" w:lineRule="auto"/>
              <w:jc w:val="left"/>
              <w:rPr>
                <w:rFonts w:ascii="仿宋" w:hAnsi="仿宋" w:eastAsia="仿宋" w:cs="仿宋"/>
                <w:kern w:val="0"/>
                <w:sz w:val="24"/>
                <w:highlight w:val="none"/>
              </w:rPr>
            </w:pPr>
          </w:p>
        </w:tc>
        <w:tc>
          <w:tcPr>
            <w:tcW w:w="2836" w:type="dxa"/>
            <w:vMerge w:val="continue"/>
            <w:vAlign w:val="center"/>
          </w:tcPr>
          <w:p w14:paraId="3DC7BC2C">
            <w:pPr>
              <w:widowControl/>
              <w:spacing w:line="336" w:lineRule="auto"/>
              <w:jc w:val="left"/>
              <w:rPr>
                <w:rFonts w:ascii="仿宋" w:hAnsi="仿宋" w:eastAsia="仿宋" w:cs="仿宋"/>
                <w:kern w:val="0"/>
                <w:sz w:val="24"/>
                <w:highlight w:val="none"/>
              </w:rPr>
            </w:pPr>
          </w:p>
        </w:tc>
        <w:tc>
          <w:tcPr>
            <w:tcW w:w="606" w:type="dxa"/>
            <w:vAlign w:val="center"/>
          </w:tcPr>
          <w:p w14:paraId="2BB8398D">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小型</w:t>
            </w:r>
          </w:p>
        </w:tc>
        <w:tc>
          <w:tcPr>
            <w:tcW w:w="3326" w:type="dxa"/>
            <w:vAlign w:val="center"/>
          </w:tcPr>
          <w:p w14:paraId="373E136D">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20亿元（含）至400亿元</w:t>
            </w:r>
          </w:p>
        </w:tc>
      </w:tr>
      <w:tr w14:paraId="182B2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498CC3C8">
            <w:pPr>
              <w:widowControl/>
              <w:spacing w:line="336" w:lineRule="auto"/>
              <w:jc w:val="left"/>
              <w:rPr>
                <w:rFonts w:ascii="仿宋" w:hAnsi="仿宋" w:eastAsia="仿宋" w:cs="仿宋"/>
                <w:kern w:val="0"/>
                <w:sz w:val="24"/>
                <w:highlight w:val="none"/>
              </w:rPr>
            </w:pPr>
          </w:p>
        </w:tc>
        <w:tc>
          <w:tcPr>
            <w:tcW w:w="2836" w:type="dxa"/>
            <w:vMerge w:val="continue"/>
            <w:vAlign w:val="center"/>
          </w:tcPr>
          <w:p w14:paraId="6C9099FA">
            <w:pPr>
              <w:widowControl/>
              <w:spacing w:line="336" w:lineRule="auto"/>
              <w:jc w:val="left"/>
              <w:rPr>
                <w:rFonts w:ascii="仿宋" w:hAnsi="仿宋" w:eastAsia="仿宋" w:cs="仿宋"/>
                <w:kern w:val="0"/>
                <w:sz w:val="24"/>
                <w:highlight w:val="none"/>
              </w:rPr>
            </w:pPr>
          </w:p>
        </w:tc>
        <w:tc>
          <w:tcPr>
            <w:tcW w:w="606" w:type="dxa"/>
            <w:vAlign w:val="center"/>
          </w:tcPr>
          <w:p w14:paraId="705CDE5D">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微型</w:t>
            </w:r>
          </w:p>
        </w:tc>
        <w:tc>
          <w:tcPr>
            <w:tcW w:w="3326" w:type="dxa"/>
            <w:vAlign w:val="center"/>
          </w:tcPr>
          <w:p w14:paraId="3DDBC684">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20亿元以下</w:t>
            </w:r>
          </w:p>
        </w:tc>
      </w:tr>
      <w:tr w14:paraId="6A706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4E206E0A">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其他金融业</w:t>
            </w:r>
          </w:p>
        </w:tc>
        <w:tc>
          <w:tcPr>
            <w:tcW w:w="1025" w:type="dxa"/>
            <w:vMerge w:val="restart"/>
            <w:vAlign w:val="center"/>
          </w:tcPr>
          <w:p w14:paraId="6EA074E4">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金融信托与管理服务</w:t>
            </w:r>
          </w:p>
        </w:tc>
        <w:tc>
          <w:tcPr>
            <w:tcW w:w="2836" w:type="dxa"/>
            <w:vMerge w:val="restart"/>
            <w:vAlign w:val="center"/>
          </w:tcPr>
          <w:p w14:paraId="6A1DA0B4">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信托公司</w:t>
            </w:r>
          </w:p>
        </w:tc>
        <w:tc>
          <w:tcPr>
            <w:tcW w:w="606" w:type="dxa"/>
            <w:vAlign w:val="center"/>
          </w:tcPr>
          <w:p w14:paraId="085AE807">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中型</w:t>
            </w:r>
          </w:p>
        </w:tc>
        <w:tc>
          <w:tcPr>
            <w:tcW w:w="3326" w:type="dxa"/>
            <w:vAlign w:val="center"/>
          </w:tcPr>
          <w:p w14:paraId="5D416A3E">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400亿元（含）至1000亿元</w:t>
            </w:r>
          </w:p>
        </w:tc>
      </w:tr>
      <w:tr w14:paraId="347CF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B055F64">
            <w:pPr>
              <w:widowControl/>
              <w:spacing w:line="336" w:lineRule="auto"/>
              <w:jc w:val="center"/>
              <w:rPr>
                <w:rFonts w:ascii="仿宋" w:hAnsi="仿宋" w:eastAsia="仿宋" w:cs="仿宋"/>
                <w:kern w:val="0"/>
                <w:sz w:val="24"/>
                <w:highlight w:val="none"/>
              </w:rPr>
            </w:pPr>
          </w:p>
        </w:tc>
        <w:tc>
          <w:tcPr>
            <w:tcW w:w="1025" w:type="dxa"/>
            <w:vMerge w:val="continue"/>
            <w:vAlign w:val="center"/>
          </w:tcPr>
          <w:p w14:paraId="14FDD7E7">
            <w:pPr>
              <w:widowControl/>
              <w:spacing w:line="336" w:lineRule="auto"/>
              <w:jc w:val="center"/>
              <w:rPr>
                <w:rFonts w:ascii="仿宋" w:hAnsi="仿宋" w:eastAsia="仿宋" w:cs="仿宋"/>
                <w:kern w:val="0"/>
                <w:sz w:val="24"/>
                <w:highlight w:val="none"/>
              </w:rPr>
            </w:pPr>
          </w:p>
        </w:tc>
        <w:tc>
          <w:tcPr>
            <w:tcW w:w="2836" w:type="dxa"/>
            <w:vMerge w:val="continue"/>
            <w:vAlign w:val="center"/>
          </w:tcPr>
          <w:p w14:paraId="33ACB53C">
            <w:pPr>
              <w:widowControl/>
              <w:spacing w:line="336" w:lineRule="auto"/>
              <w:jc w:val="center"/>
              <w:rPr>
                <w:rFonts w:ascii="仿宋" w:hAnsi="仿宋" w:eastAsia="仿宋" w:cs="仿宋"/>
                <w:kern w:val="0"/>
                <w:sz w:val="24"/>
                <w:highlight w:val="none"/>
              </w:rPr>
            </w:pPr>
          </w:p>
        </w:tc>
        <w:tc>
          <w:tcPr>
            <w:tcW w:w="606" w:type="dxa"/>
            <w:vAlign w:val="center"/>
          </w:tcPr>
          <w:p w14:paraId="5A689BD1">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小型</w:t>
            </w:r>
          </w:p>
        </w:tc>
        <w:tc>
          <w:tcPr>
            <w:tcW w:w="3326" w:type="dxa"/>
            <w:vAlign w:val="center"/>
          </w:tcPr>
          <w:p w14:paraId="220D0BCA">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20亿元（含）至400亿元</w:t>
            </w:r>
          </w:p>
        </w:tc>
      </w:tr>
      <w:tr w14:paraId="2CF35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57CCBA5">
            <w:pPr>
              <w:widowControl/>
              <w:spacing w:line="336" w:lineRule="auto"/>
              <w:jc w:val="center"/>
              <w:rPr>
                <w:rFonts w:ascii="仿宋" w:hAnsi="仿宋" w:eastAsia="仿宋" w:cs="仿宋"/>
                <w:kern w:val="0"/>
                <w:sz w:val="24"/>
                <w:highlight w:val="none"/>
              </w:rPr>
            </w:pPr>
          </w:p>
        </w:tc>
        <w:tc>
          <w:tcPr>
            <w:tcW w:w="1025" w:type="dxa"/>
            <w:vMerge w:val="continue"/>
            <w:vAlign w:val="center"/>
          </w:tcPr>
          <w:p w14:paraId="06AC55F6">
            <w:pPr>
              <w:widowControl/>
              <w:spacing w:line="336" w:lineRule="auto"/>
              <w:jc w:val="center"/>
              <w:rPr>
                <w:rFonts w:ascii="仿宋" w:hAnsi="仿宋" w:eastAsia="仿宋" w:cs="仿宋"/>
                <w:kern w:val="0"/>
                <w:sz w:val="24"/>
                <w:highlight w:val="none"/>
              </w:rPr>
            </w:pPr>
          </w:p>
        </w:tc>
        <w:tc>
          <w:tcPr>
            <w:tcW w:w="2836" w:type="dxa"/>
            <w:vMerge w:val="continue"/>
            <w:vAlign w:val="center"/>
          </w:tcPr>
          <w:p w14:paraId="04BC0D36">
            <w:pPr>
              <w:widowControl/>
              <w:spacing w:line="336" w:lineRule="auto"/>
              <w:jc w:val="center"/>
              <w:rPr>
                <w:rFonts w:ascii="仿宋" w:hAnsi="仿宋" w:eastAsia="仿宋" w:cs="仿宋"/>
                <w:kern w:val="0"/>
                <w:sz w:val="24"/>
                <w:highlight w:val="none"/>
              </w:rPr>
            </w:pPr>
          </w:p>
        </w:tc>
        <w:tc>
          <w:tcPr>
            <w:tcW w:w="606" w:type="dxa"/>
            <w:vAlign w:val="center"/>
          </w:tcPr>
          <w:p w14:paraId="4F79A808">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微型</w:t>
            </w:r>
          </w:p>
        </w:tc>
        <w:tc>
          <w:tcPr>
            <w:tcW w:w="3326" w:type="dxa"/>
            <w:vAlign w:val="center"/>
          </w:tcPr>
          <w:p w14:paraId="268BABCD">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20亿元以下</w:t>
            </w:r>
          </w:p>
        </w:tc>
      </w:tr>
      <w:tr w14:paraId="12EB0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D0C4DBB">
            <w:pPr>
              <w:widowControl/>
              <w:spacing w:line="336" w:lineRule="auto"/>
              <w:jc w:val="center"/>
              <w:rPr>
                <w:rFonts w:ascii="仿宋" w:hAnsi="仿宋" w:eastAsia="仿宋" w:cs="仿宋"/>
                <w:kern w:val="0"/>
                <w:sz w:val="24"/>
                <w:highlight w:val="none"/>
              </w:rPr>
            </w:pPr>
          </w:p>
        </w:tc>
        <w:tc>
          <w:tcPr>
            <w:tcW w:w="1025" w:type="dxa"/>
            <w:vMerge w:val="restart"/>
            <w:vAlign w:val="center"/>
          </w:tcPr>
          <w:p w14:paraId="0EB12AF1">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控股公司服务</w:t>
            </w:r>
          </w:p>
        </w:tc>
        <w:tc>
          <w:tcPr>
            <w:tcW w:w="2836" w:type="dxa"/>
            <w:vMerge w:val="restart"/>
            <w:vAlign w:val="center"/>
          </w:tcPr>
          <w:p w14:paraId="5631DF04">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金融控股公司</w:t>
            </w:r>
          </w:p>
        </w:tc>
        <w:tc>
          <w:tcPr>
            <w:tcW w:w="606" w:type="dxa"/>
            <w:vAlign w:val="center"/>
          </w:tcPr>
          <w:p w14:paraId="0911C6BC">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中型</w:t>
            </w:r>
          </w:p>
        </w:tc>
        <w:tc>
          <w:tcPr>
            <w:tcW w:w="3326" w:type="dxa"/>
            <w:vAlign w:val="center"/>
          </w:tcPr>
          <w:p w14:paraId="7A365380">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5000亿元（含）至40000亿元</w:t>
            </w:r>
          </w:p>
        </w:tc>
      </w:tr>
      <w:tr w14:paraId="2BE7F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AE0F61F">
            <w:pPr>
              <w:widowControl/>
              <w:spacing w:line="336" w:lineRule="auto"/>
              <w:jc w:val="center"/>
              <w:rPr>
                <w:rFonts w:ascii="仿宋" w:hAnsi="仿宋" w:eastAsia="仿宋" w:cs="仿宋"/>
                <w:kern w:val="0"/>
                <w:sz w:val="24"/>
                <w:highlight w:val="none"/>
              </w:rPr>
            </w:pPr>
          </w:p>
        </w:tc>
        <w:tc>
          <w:tcPr>
            <w:tcW w:w="1025" w:type="dxa"/>
            <w:vMerge w:val="continue"/>
            <w:vAlign w:val="center"/>
          </w:tcPr>
          <w:p w14:paraId="7D556F1F">
            <w:pPr>
              <w:widowControl/>
              <w:spacing w:line="336" w:lineRule="auto"/>
              <w:jc w:val="center"/>
              <w:rPr>
                <w:rFonts w:ascii="仿宋" w:hAnsi="仿宋" w:eastAsia="仿宋" w:cs="仿宋"/>
                <w:kern w:val="0"/>
                <w:sz w:val="24"/>
                <w:highlight w:val="none"/>
              </w:rPr>
            </w:pPr>
          </w:p>
        </w:tc>
        <w:tc>
          <w:tcPr>
            <w:tcW w:w="2836" w:type="dxa"/>
            <w:vMerge w:val="continue"/>
            <w:vAlign w:val="center"/>
          </w:tcPr>
          <w:p w14:paraId="205AD4D5">
            <w:pPr>
              <w:widowControl/>
              <w:spacing w:line="336" w:lineRule="auto"/>
              <w:jc w:val="center"/>
              <w:rPr>
                <w:rFonts w:ascii="仿宋" w:hAnsi="仿宋" w:eastAsia="仿宋" w:cs="仿宋"/>
                <w:kern w:val="0"/>
                <w:sz w:val="24"/>
                <w:highlight w:val="none"/>
              </w:rPr>
            </w:pPr>
          </w:p>
        </w:tc>
        <w:tc>
          <w:tcPr>
            <w:tcW w:w="606" w:type="dxa"/>
            <w:vAlign w:val="center"/>
          </w:tcPr>
          <w:p w14:paraId="378F609C">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小型</w:t>
            </w:r>
          </w:p>
        </w:tc>
        <w:tc>
          <w:tcPr>
            <w:tcW w:w="3326" w:type="dxa"/>
            <w:vAlign w:val="center"/>
          </w:tcPr>
          <w:p w14:paraId="7C63DC40">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50亿元（含）至5000亿元</w:t>
            </w:r>
          </w:p>
        </w:tc>
      </w:tr>
      <w:tr w14:paraId="42FB5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5CEC221">
            <w:pPr>
              <w:widowControl/>
              <w:spacing w:line="336" w:lineRule="auto"/>
              <w:jc w:val="center"/>
              <w:rPr>
                <w:rFonts w:ascii="仿宋" w:hAnsi="仿宋" w:eastAsia="仿宋" w:cs="仿宋"/>
                <w:kern w:val="0"/>
                <w:sz w:val="24"/>
                <w:highlight w:val="none"/>
              </w:rPr>
            </w:pPr>
          </w:p>
        </w:tc>
        <w:tc>
          <w:tcPr>
            <w:tcW w:w="1025" w:type="dxa"/>
            <w:vMerge w:val="continue"/>
            <w:vAlign w:val="center"/>
          </w:tcPr>
          <w:p w14:paraId="1AF2E196">
            <w:pPr>
              <w:widowControl/>
              <w:spacing w:line="336" w:lineRule="auto"/>
              <w:jc w:val="center"/>
              <w:rPr>
                <w:rFonts w:ascii="仿宋" w:hAnsi="仿宋" w:eastAsia="仿宋" w:cs="仿宋"/>
                <w:kern w:val="0"/>
                <w:sz w:val="24"/>
                <w:highlight w:val="none"/>
              </w:rPr>
            </w:pPr>
          </w:p>
        </w:tc>
        <w:tc>
          <w:tcPr>
            <w:tcW w:w="2836" w:type="dxa"/>
            <w:vMerge w:val="continue"/>
            <w:vAlign w:val="center"/>
          </w:tcPr>
          <w:p w14:paraId="13EAECD2">
            <w:pPr>
              <w:widowControl/>
              <w:spacing w:line="336" w:lineRule="auto"/>
              <w:jc w:val="center"/>
              <w:rPr>
                <w:rFonts w:ascii="仿宋" w:hAnsi="仿宋" w:eastAsia="仿宋" w:cs="仿宋"/>
                <w:kern w:val="0"/>
                <w:sz w:val="24"/>
                <w:highlight w:val="none"/>
              </w:rPr>
            </w:pPr>
          </w:p>
        </w:tc>
        <w:tc>
          <w:tcPr>
            <w:tcW w:w="606" w:type="dxa"/>
            <w:vAlign w:val="center"/>
          </w:tcPr>
          <w:p w14:paraId="3EA656DF">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微型</w:t>
            </w:r>
          </w:p>
        </w:tc>
        <w:tc>
          <w:tcPr>
            <w:tcW w:w="3326" w:type="dxa"/>
            <w:vAlign w:val="center"/>
          </w:tcPr>
          <w:p w14:paraId="79F93DE8">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50亿元以下</w:t>
            </w:r>
          </w:p>
        </w:tc>
      </w:tr>
      <w:tr w14:paraId="3FDA5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73ADED0">
            <w:pPr>
              <w:widowControl/>
              <w:spacing w:line="336" w:lineRule="auto"/>
              <w:jc w:val="center"/>
              <w:rPr>
                <w:rFonts w:ascii="仿宋" w:hAnsi="仿宋" w:eastAsia="仿宋" w:cs="仿宋"/>
                <w:kern w:val="0"/>
                <w:sz w:val="24"/>
                <w:highlight w:val="none"/>
              </w:rPr>
            </w:pPr>
          </w:p>
        </w:tc>
        <w:tc>
          <w:tcPr>
            <w:tcW w:w="1025" w:type="dxa"/>
            <w:vMerge w:val="restart"/>
            <w:vAlign w:val="center"/>
          </w:tcPr>
          <w:p w14:paraId="1D54D14F">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其他未包括的金融业</w:t>
            </w:r>
          </w:p>
        </w:tc>
        <w:tc>
          <w:tcPr>
            <w:tcW w:w="2836" w:type="dxa"/>
            <w:vMerge w:val="restart"/>
            <w:vAlign w:val="center"/>
          </w:tcPr>
          <w:p w14:paraId="688AD361">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除贷款公司、小额贷款公司及典当行以外的其他金融机构</w:t>
            </w:r>
          </w:p>
        </w:tc>
        <w:tc>
          <w:tcPr>
            <w:tcW w:w="606" w:type="dxa"/>
            <w:vAlign w:val="center"/>
          </w:tcPr>
          <w:p w14:paraId="43943BB6">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中型</w:t>
            </w:r>
          </w:p>
        </w:tc>
        <w:tc>
          <w:tcPr>
            <w:tcW w:w="3326" w:type="dxa"/>
            <w:vAlign w:val="center"/>
          </w:tcPr>
          <w:p w14:paraId="3EFB4DC7">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200亿元（含）至1000亿元</w:t>
            </w:r>
          </w:p>
        </w:tc>
      </w:tr>
      <w:tr w14:paraId="57EFC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3A7FE61">
            <w:pPr>
              <w:widowControl/>
              <w:spacing w:line="336" w:lineRule="auto"/>
              <w:jc w:val="left"/>
              <w:rPr>
                <w:rFonts w:ascii="仿宋" w:hAnsi="仿宋" w:eastAsia="仿宋" w:cs="仿宋"/>
                <w:kern w:val="0"/>
                <w:sz w:val="24"/>
                <w:highlight w:val="none"/>
              </w:rPr>
            </w:pPr>
          </w:p>
        </w:tc>
        <w:tc>
          <w:tcPr>
            <w:tcW w:w="1025" w:type="dxa"/>
            <w:vMerge w:val="continue"/>
            <w:vAlign w:val="center"/>
          </w:tcPr>
          <w:p w14:paraId="40F227F9">
            <w:pPr>
              <w:widowControl/>
              <w:spacing w:line="336" w:lineRule="auto"/>
              <w:jc w:val="left"/>
              <w:rPr>
                <w:rFonts w:ascii="仿宋" w:hAnsi="仿宋" w:eastAsia="仿宋" w:cs="仿宋"/>
                <w:kern w:val="0"/>
                <w:sz w:val="24"/>
                <w:highlight w:val="none"/>
              </w:rPr>
            </w:pPr>
          </w:p>
        </w:tc>
        <w:tc>
          <w:tcPr>
            <w:tcW w:w="2836" w:type="dxa"/>
            <w:vMerge w:val="continue"/>
            <w:vAlign w:val="center"/>
          </w:tcPr>
          <w:p w14:paraId="1D72B6E5">
            <w:pPr>
              <w:widowControl/>
              <w:spacing w:line="336" w:lineRule="auto"/>
              <w:jc w:val="left"/>
              <w:rPr>
                <w:rFonts w:ascii="仿宋" w:hAnsi="仿宋" w:eastAsia="仿宋" w:cs="仿宋"/>
                <w:kern w:val="0"/>
                <w:sz w:val="24"/>
                <w:highlight w:val="none"/>
              </w:rPr>
            </w:pPr>
          </w:p>
        </w:tc>
        <w:tc>
          <w:tcPr>
            <w:tcW w:w="606" w:type="dxa"/>
            <w:vAlign w:val="center"/>
          </w:tcPr>
          <w:p w14:paraId="5CA030E5">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小型</w:t>
            </w:r>
          </w:p>
        </w:tc>
        <w:tc>
          <w:tcPr>
            <w:tcW w:w="3326" w:type="dxa"/>
            <w:vAlign w:val="center"/>
          </w:tcPr>
          <w:p w14:paraId="236CA864">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50亿元（含）至200亿元</w:t>
            </w:r>
          </w:p>
        </w:tc>
      </w:tr>
      <w:tr w14:paraId="67CB1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B2E4C08">
            <w:pPr>
              <w:widowControl/>
              <w:spacing w:line="336" w:lineRule="auto"/>
              <w:jc w:val="left"/>
              <w:rPr>
                <w:rFonts w:ascii="仿宋" w:hAnsi="仿宋" w:eastAsia="仿宋" w:cs="仿宋"/>
                <w:kern w:val="0"/>
                <w:sz w:val="24"/>
                <w:highlight w:val="none"/>
              </w:rPr>
            </w:pPr>
          </w:p>
        </w:tc>
        <w:tc>
          <w:tcPr>
            <w:tcW w:w="1025" w:type="dxa"/>
            <w:vMerge w:val="continue"/>
            <w:vAlign w:val="center"/>
          </w:tcPr>
          <w:p w14:paraId="76A1B651">
            <w:pPr>
              <w:widowControl/>
              <w:spacing w:line="336" w:lineRule="auto"/>
              <w:jc w:val="left"/>
              <w:rPr>
                <w:rFonts w:ascii="仿宋" w:hAnsi="仿宋" w:eastAsia="仿宋" w:cs="仿宋"/>
                <w:kern w:val="0"/>
                <w:sz w:val="24"/>
                <w:highlight w:val="none"/>
              </w:rPr>
            </w:pPr>
          </w:p>
        </w:tc>
        <w:tc>
          <w:tcPr>
            <w:tcW w:w="2836" w:type="dxa"/>
            <w:vMerge w:val="continue"/>
            <w:vAlign w:val="center"/>
          </w:tcPr>
          <w:p w14:paraId="06DBAD0D">
            <w:pPr>
              <w:widowControl/>
              <w:spacing w:line="336" w:lineRule="auto"/>
              <w:jc w:val="left"/>
              <w:rPr>
                <w:rFonts w:ascii="仿宋" w:hAnsi="仿宋" w:eastAsia="仿宋" w:cs="仿宋"/>
                <w:kern w:val="0"/>
                <w:sz w:val="24"/>
                <w:highlight w:val="none"/>
              </w:rPr>
            </w:pPr>
          </w:p>
        </w:tc>
        <w:tc>
          <w:tcPr>
            <w:tcW w:w="606" w:type="dxa"/>
            <w:vAlign w:val="center"/>
          </w:tcPr>
          <w:p w14:paraId="57A12F42">
            <w:pPr>
              <w:widowControl/>
              <w:spacing w:line="336"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微型</w:t>
            </w:r>
          </w:p>
        </w:tc>
        <w:tc>
          <w:tcPr>
            <w:tcW w:w="3326" w:type="dxa"/>
            <w:vAlign w:val="center"/>
          </w:tcPr>
          <w:p w14:paraId="17040021">
            <w:pPr>
              <w:widowControl/>
              <w:spacing w:line="336" w:lineRule="auto"/>
              <w:jc w:val="left"/>
              <w:rPr>
                <w:rFonts w:ascii="仿宋" w:hAnsi="仿宋" w:eastAsia="仿宋" w:cs="仿宋"/>
                <w:kern w:val="0"/>
                <w:sz w:val="24"/>
                <w:highlight w:val="none"/>
              </w:rPr>
            </w:pPr>
            <w:r>
              <w:rPr>
                <w:rFonts w:hint="eastAsia" w:ascii="仿宋" w:hAnsi="仿宋" w:eastAsia="仿宋" w:cs="仿宋"/>
                <w:kern w:val="0"/>
                <w:sz w:val="24"/>
                <w:highlight w:val="none"/>
              </w:rPr>
              <w:t>50亿元以下</w:t>
            </w:r>
          </w:p>
        </w:tc>
      </w:tr>
    </w:tbl>
    <w:p w14:paraId="0A4B796C">
      <w:pPr>
        <w:keepNext w:val="0"/>
        <w:keepLines w:val="0"/>
        <w:pageBreakBefore w:val="0"/>
        <w:widowControl w:val="0"/>
        <w:kinsoku/>
        <w:wordWrap/>
        <w:overflowPunct/>
        <w:topLinePunct w:val="0"/>
        <w:autoSpaceDE/>
        <w:autoSpaceDN/>
        <w:bidi w:val="0"/>
        <w:adjustRightInd w:val="0"/>
        <w:snapToGrid/>
        <w:spacing w:line="360" w:lineRule="exact"/>
        <w:ind w:left="0" w:right="0"/>
        <w:textAlignment w:val="auto"/>
        <w:rPr>
          <w:rFonts w:hint="eastAsia" w:ascii="仿宋" w:hAnsi="仿宋" w:eastAsia="仿宋" w:cs="仿宋"/>
          <w:bCs/>
          <w:sz w:val="24"/>
          <w:highlight w:val="none"/>
        </w:rPr>
      </w:pPr>
    </w:p>
    <w:p w14:paraId="2EA73FE9">
      <w:pPr>
        <w:keepNext w:val="0"/>
        <w:keepLines w:val="0"/>
        <w:pageBreakBefore w:val="0"/>
        <w:widowControl w:val="0"/>
        <w:kinsoku/>
        <w:wordWrap/>
        <w:overflowPunct/>
        <w:topLinePunct w:val="0"/>
        <w:autoSpaceDE/>
        <w:autoSpaceDN/>
        <w:bidi w:val="0"/>
        <w:adjustRightInd w:val="0"/>
        <w:snapToGrid/>
        <w:spacing w:line="360" w:lineRule="exact"/>
        <w:ind w:left="0" w:right="0" w:firstLine="480" w:firstLineChars="200"/>
        <w:textAlignment w:val="auto"/>
        <w:rPr>
          <w:rFonts w:hint="eastAsia" w:ascii="仿宋" w:hAnsi="仿宋" w:eastAsia="仿宋" w:cs="仿宋"/>
          <w:bCs/>
          <w:sz w:val="24"/>
          <w:highlight w:val="none"/>
        </w:rPr>
      </w:pPr>
    </w:p>
    <w:sectPr>
      <w:pgSz w:w="11906" w:h="16838"/>
      <w:pgMar w:top="1247" w:right="1803" w:bottom="1247" w:left="1803" w:header="907"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Helvetica">
    <w:altName w:val="Arial"/>
    <w:panose1 w:val="00000000000000000000"/>
    <w:charset w:val="00"/>
    <w:family w:val="swiss"/>
    <w:pitch w:val="default"/>
    <w:sig w:usb0="00000000" w:usb1="00000000" w:usb2="00000000" w:usb3="00000000" w:csb0="2000019F" w:csb1="4F010000"/>
  </w:font>
  <w:font w:name="Futura Bk">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Cumberland">
    <w:altName w:val="Segoe Print"/>
    <w:panose1 w:val="00000000000000000000"/>
    <w:charset w:val="00"/>
    <w:family w:val="moder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2020503050405090304"/>
    <w:charset w:val="86"/>
    <w:family w:val="modern"/>
    <w:pitch w:val="default"/>
    <w:sig w:usb0="00000000" w:usb1="00000000" w:usb2="00000001" w:usb3="00000000" w:csb0="400001BF" w:csb1="DFF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98EEC">
    <w:pPr>
      <w:pStyle w:val="43"/>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A2A20">
    <w:pPr>
      <w:pStyle w:val="43"/>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88D90C">
                          <w:pPr>
                            <w:pStyle w:val="4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888D90C">
                    <w:pPr>
                      <w:pStyle w:val="43"/>
                    </w:pPr>
                    <w:r>
                      <w:fldChar w:fldCharType="begin"/>
                    </w:r>
                    <w:r>
                      <w:instrText xml:space="preserve"> PAGE  \* MERGEFORMAT </w:instrText>
                    </w:r>
                    <w:r>
                      <w:fldChar w:fldCharType="separate"/>
                    </w:r>
                    <w:r>
                      <w:t>50</w:t>
                    </w:r>
                    <w:r>
                      <w:fldChar w:fldCharType="end"/>
                    </w:r>
                  </w:p>
                </w:txbxContent>
              </v:textbox>
            </v:shape>
          </w:pict>
        </mc:Fallback>
      </mc:AlternateContent>
    </w:r>
  </w:p>
  <w:p w14:paraId="1369A814">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D9454">
    <w:pPr>
      <w:pStyle w:val="43"/>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49432">
                          <w:pPr>
                            <w:pStyle w:val="4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3A49432">
                    <w:pPr>
                      <w:pStyle w:val="43"/>
                    </w:pPr>
                    <w:r>
                      <w:fldChar w:fldCharType="begin"/>
                    </w:r>
                    <w:r>
                      <w:instrText xml:space="preserve"> PAGE  \* MERGEFORMAT </w:instrText>
                    </w:r>
                    <w:r>
                      <w:fldChar w:fldCharType="separate"/>
                    </w:r>
                    <w:r>
                      <w:t>49</w:t>
                    </w:r>
                    <w:r>
                      <w:fldChar w:fldCharType="end"/>
                    </w:r>
                  </w:p>
                </w:txbxContent>
              </v:textbox>
            </v:shape>
          </w:pict>
        </mc:Fallback>
      </mc:AlternateContent>
    </w:r>
  </w:p>
  <w:p w14:paraId="6B40AAFE">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B35D8">
    <w:pPr>
      <w:pStyle w:val="43"/>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88CB98">
                          <w:pPr>
                            <w:pStyle w:val="4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688CB98">
                    <w:pPr>
                      <w:pStyle w:val="4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A691D">
    <w:pPr>
      <w:pStyle w:val="43"/>
      <w:tabs>
        <w:tab w:val="clear" w:pos="4153"/>
      </w:tabs>
      <w:jc w:val="center"/>
    </w:pPr>
    <w:r>
      <w:ptab w:relativeTo="margin" w:alignment="center"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42162">
    <w:pPr>
      <w:pStyle w:val="43"/>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DF4E1">
                          <w:pPr>
                            <w:pStyle w:val="4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BDF4E1">
                    <w:pPr>
                      <w:pStyle w:val="4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81B6E">
    <w:pPr>
      <w:pStyle w:val="43"/>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5A00CC">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85A00CC">
                    <w:pPr>
                      <w:pStyle w:val="43"/>
                    </w:pPr>
                    <w:r>
                      <w:fldChar w:fldCharType="begin"/>
                    </w:r>
                    <w:r>
                      <w:instrText xml:space="preserve"> PAGE  \* MERGEFORMAT </w:instrText>
                    </w:r>
                    <w:r>
                      <w:fldChar w:fldCharType="separate"/>
                    </w:r>
                    <w:r>
                      <w:t>1</w:t>
                    </w:r>
                    <w:r>
                      <w:fldChar w:fldCharType="end"/>
                    </w:r>
                  </w:p>
                </w:txbxContent>
              </v:textbox>
            </v:shape>
          </w:pict>
        </mc:Fallback>
      </mc:AlternateContent>
    </w:r>
    <w:r>
      <w:ptab w:relativeTo="margin" w:alignment="center" w:leader="none"/>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1AE09">
    <w:pPr>
      <w:pStyle w:val="4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57AD58">
                          <w:pPr>
                            <w:pStyle w:val="43"/>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4557AD58">
                    <w:pPr>
                      <w:pStyle w:val="4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DA240">
    <w:pPr>
      <w:pStyle w:val="43"/>
      <w:ind w:right="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9362C">
                          <w:pPr>
                            <w:pStyle w:val="4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E79362C">
                    <w:pPr>
                      <w:pStyle w:val="4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B810C">
    <w:pPr>
      <w:pStyle w:val="43"/>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8AB26">
                          <w:pPr>
                            <w:pStyle w:val="4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948AB26">
                    <w:pPr>
                      <w:pStyle w:val="4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AD917">
    <w:pPr>
      <w:pStyle w:val="43"/>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1FB640">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C1FB640">
                    <w:pPr>
                      <w:pStyle w:val="43"/>
                    </w:pPr>
                    <w:r>
                      <w:fldChar w:fldCharType="begin"/>
                    </w:r>
                    <w:r>
                      <w:instrText xml:space="preserve"> PAGE  \* MERGEFORMAT </w:instrText>
                    </w:r>
                    <w:r>
                      <w:fldChar w:fldCharType="separate"/>
                    </w:r>
                    <w:r>
                      <w:t>1</w:t>
                    </w:r>
                    <w:r>
                      <w:fldChar w:fldCharType="end"/>
                    </w:r>
                  </w:p>
                </w:txbxContent>
              </v:textbox>
            </v:shape>
          </w:pict>
        </mc:Fallback>
      </mc:AlternateContent>
    </w:r>
  </w:p>
  <w:p w14:paraId="3A30B2F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02BF8">
    <w:pPr>
      <w:pStyle w:val="43"/>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CB49E5">
                          <w:pPr>
                            <w:pStyle w:val="4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7CB49E5">
                    <w:pPr>
                      <w:pStyle w:val="43"/>
                    </w:pPr>
                    <w:r>
                      <w:fldChar w:fldCharType="begin"/>
                    </w:r>
                    <w:r>
                      <w:instrText xml:space="preserve"> PAGE  \* MERGEFORMAT </w:instrText>
                    </w:r>
                    <w:r>
                      <w:fldChar w:fldCharType="separate"/>
                    </w:r>
                    <w:r>
                      <w:t>47</w:t>
                    </w:r>
                    <w:r>
                      <w:fldChar w:fldCharType="end"/>
                    </w:r>
                  </w:p>
                </w:txbxContent>
              </v:textbox>
            </v:shape>
          </w:pict>
        </mc:Fallback>
      </mc:AlternateContent>
    </w:r>
  </w:p>
  <w:p w14:paraId="70C6338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63A13">
    <w:pPr>
      <w:pStyle w:val="45"/>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04785776">
    <w:pPr>
      <w:pStyle w:val="45"/>
      <w:pBdr>
        <w:bottom w:val="none" w:color="auto" w:sz="0" w:space="0"/>
      </w:pBdr>
      <w:tabs>
        <w:tab w:val="center" w:pos="4535"/>
        <w:tab w:val="right" w:pos="9070"/>
        <w:tab w:val="clear" w:pos="4153"/>
        <w:tab w:val="clear" w:pos="8306"/>
      </w:tabs>
      <w:jc w:val="both"/>
      <w:rPr>
        <w:lang w:val="zh-CN"/>
      </w:rPr>
    </w:pPr>
    <w:r>
      <w:rPr>
        <w:lang w:val="zh-CN"/>
      </w:rPr>
      <w:t></w:t>
    </w:r>
  </w:p>
  <w:p w14:paraId="41DDFCF1">
    <w:pPr>
      <w:pStyle w:val="45"/>
      <w:pBdr>
        <w:bottom w:val="none" w:color="auto" w:sz="0" w:space="0"/>
      </w:pBdr>
      <w:tabs>
        <w:tab w:val="center" w:pos="4535"/>
        <w:tab w:val="right" w:pos="9070"/>
        <w:tab w:val="clear" w:pos="4153"/>
        <w:tab w:val="clear" w:pos="8306"/>
      </w:tabs>
      <w:jc w:val="both"/>
      <w:rPr>
        <w:rFonts w:hint="default"/>
        <w:lang w:val="en-US"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C8CAB">
    <w:pPr>
      <w:pStyle w:val="45"/>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1C1297BD">
    <w:pPr>
      <w:pStyle w:val="45"/>
      <w:pBdr>
        <w:bottom w:val="none" w:color="auto" w:sz="0" w:space="0"/>
      </w:pBdr>
      <w:tabs>
        <w:tab w:val="center" w:pos="4535"/>
        <w:tab w:val="right" w:pos="9070"/>
        <w:tab w:val="clear" w:pos="4153"/>
        <w:tab w:val="clear" w:pos="8306"/>
      </w:tabs>
      <w:jc w:val="both"/>
      <w:rPr>
        <w:rFonts w:hint="eastAsia" w:ascii="宋体" w:hAnsi="宋体" w:eastAsia="宋体" w:cs="宋体"/>
      </w:rPr>
    </w:pPr>
    <w:r>
      <w:rPr>
        <w:lang w:val="zh-CN"/>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C9C1B">
    <w:pPr>
      <w:pStyle w:val="45"/>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5E26895B">
    <w:pPr>
      <w:pStyle w:val="45"/>
      <w:pBdr>
        <w:bottom w:val="none" w:color="auto" w:sz="0" w:space="0"/>
      </w:pBdr>
      <w:tabs>
        <w:tab w:val="center" w:pos="4535"/>
        <w:tab w:val="right" w:pos="9070"/>
        <w:tab w:val="clear" w:pos="4153"/>
        <w:tab w:val="clear" w:pos="8306"/>
      </w:tabs>
      <w:jc w:val="both"/>
      <w:rPr>
        <w:rFonts w:hint="eastAsia" w:ascii="宋体" w:hAnsi="宋体" w:eastAsia="宋体" w:cs="宋体"/>
        <w:b/>
        <w:i/>
        <w:iCs/>
        <w:sz w:val="21"/>
        <w:szCs w:val="21"/>
        <w:u w:val="single"/>
      </w:rPr>
    </w:pPr>
    <w:r>
      <w:rPr>
        <w:lang w:val="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12F54">
    <w:pPr>
      <w:pStyle w:val="45"/>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3A4CE24D">
    <w:pPr>
      <w:pStyle w:val="45"/>
      <w:pBdr>
        <w:bottom w:val="none" w:color="auto" w:sz="0" w:space="0"/>
      </w:pBdr>
      <w:tabs>
        <w:tab w:val="center" w:pos="4535"/>
        <w:tab w:val="right" w:pos="9070"/>
        <w:tab w:val="clear" w:pos="4153"/>
        <w:tab w:val="clear" w:pos="8306"/>
      </w:tabs>
      <w:jc w:val="both"/>
    </w:pPr>
    <w:r>
      <w:rPr>
        <w:lang w:val="zh-CN"/>
      </w:rPr>
      <w:t></w:t>
    </w:r>
  </w:p>
  <w:p w14:paraId="04941767">
    <w:pPr>
      <w:pStyle w:val="45"/>
      <w:pBdr>
        <w:bottom w:val="none" w:color="auto" w:sz="0" w:space="1"/>
      </w:pBdr>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99322">
    <w:pPr>
      <w:pStyle w:val="45"/>
      <w:pBdr>
        <w:bottom w:val="thickThinSmallGap" w:color="auto" w:sz="12" w:space="1"/>
      </w:pBdr>
      <w:ind w:left="6000" w:hanging="6000" w:hangingChars="3000"/>
      <w:jc w:val="left"/>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32E5446A">
    <w:pPr>
      <w:pStyle w:val="45"/>
      <w:pBdr>
        <w:bottom w:val="none" w:color="auto" w:sz="0" w:space="1"/>
      </w:pBdr>
      <w:jc w:val="both"/>
      <w:rPr>
        <w:rFonts w:hint="default"/>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0C4F3">
    <w:pPr>
      <w:pStyle w:val="45"/>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06B392C0">
    <w:pPr>
      <w:pStyle w:val="45"/>
      <w:pBdr>
        <w:bottom w:val="none" w:color="auto" w:sz="0" w:space="0"/>
      </w:pBdr>
      <w:tabs>
        <w:tab w:val="center" w:pos="4535"/>
        <w:tab w:val="right" w:pos="9070"/>
        <w:tab w:val="clear" w:pos="4153"/>
        <w:tab w:val="clear" w:pos="8306"/>
      </w:tabs>
      <w:jc w:val="both"/>
    </w:pPr>
    <w:r>
      <w:rPr>
        <w:lang w:val="zh-CN"/>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38193">
    <w:pPr>
      <w:pStyle w:val="45"/>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1124C5C6">
    <w:pPr>
      <w:pStyle w:val="45"/>
      <w:pBdr>
        <w:bottom w:val="none" w:color="auto" w:sz="0" w:space="0"/>
      </w:pBdr>
      <w:tabs>
        <w:tab w:val="center" w:pos="4535"/>
        <w:tab w:val="right" w:pos="9070"/>
        <w:tab w:val="clear" w:pos="4153"/>
        <w:tab w:val="clear" w:pos="8306"/>
      </w:tabs>
      <w:jc w:val="both"/>
      <w:rPr>
        <w:rFonts w:hint="default"/>
        <w:lang w:val="en-US" w:eastAsia="zh-CN"/>
      </w:rPr>
    </w:pPr>
    <w:r>
      <w:rPr>
        <w:lang w:val="zh-CN"/>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42BD9">
    <w:pPr>
      <w:pStyle w:val="45"/>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6BC3C14C">
    <w:pPr>
      <w:pStyle w:val="45"/>
      <w:pBdr>
        <w:bottom w:val="none" w:color="auto" w:sz="0" w:space="0"/>
      </w:pBdr>
      <w:tabs>
        <w:tab w:val="center" w:pos="4535"/>
        <w:tab w:val="right" w:pos="9070"/>
        <w:tab w:val="clear" w:pos="4153"/>
        <w:tab w:val="clear" w:pos="8306"/>
      </w:tabs>
      <w:jc w:val="both"/>
      <w:rPr>
        <w:rFonts w:hint="default"/>
        <w:lang w:val="en-US" w:eastAsia="zh-CN"/>
      </w:rPr>
    </w:pPr>
    <w:r>
      <w:rPr>
        <w:lang w:val="zh-CN"/>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B74BB">
    <w:pPr>
      <w:pStyle w:val="45"/>
      <w:pBdr>
        <w:bottom w:val="single" w:color="auto" w:sz="6" w:space="0"/>
      </w:pBdr>
      <w:tabs>
        <w:tab w:val="center" w:pos="4535"/>
        <w:tab w:val="right" w:pos="9070"/>
        <w:tab w:val="clear" w:pos="4153"/>
        <w:tab w:val="clear" w:pos="8306"/>
      </w:tabs>
      <w:jc w:val="center"/>
      <w:rPr>
        <w:rFonts w:hint="eastAsia" w:ascii="仿宋" w:hAnsi="仿宋" w:eastAsia="仿宋" w:cs="仿宋"/>
        <w:sz w:val="21"/>
        <w:szCs w:val="22"/>
      </w:rPr>
    </w:pPr>
    <w:r>
      <w:t></w:t>
    </w:r>
    <w:r>
      <w:rPr>
        <w:sz w:val="21"/>
        <w:szCs w:val="22"/>
      </w:rPr>
      <w:t></w:t>
    </w:r>
    <w:r>
      <w:rPr>
        <w:rFonts w:hint="eastAsia" w:ascii="宋体" w:hAnsi="宋体" w:cs="宋体"/>
        <w:sz w:val="21"/>
        <w:szCs w:val="22"/>
        <w:lang w:val="en-US" w:eastAsia="zh-CN"/>
      </w:rPr>
      <w:t>绍兴盈伽工程咨询有限公司招标文件</w:t>
    </w:r>
  </w:p>
  <w:p w14:paraId="350A664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E7FC3">
    <w:pPr>
      <w:pStyle w:val="45"/>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1B3D93DD">
    <w:pPr>
      <w:pStyle w:val="45"/>
      <w:pBdr>
        <w:bottom w:val="none" w:color="auto" w:sz="0" w:space="0"/>
      </w:pBdr>
      <w:tabs>
        <w:tab w:val="center" w:pos="4535"/>
        <w:tab w:val="right" w:pos="9070"/>
        <w:tab w:val="clear" w:pos="4153"/>
        <w:tab w:val="clear" w:pos="8306"/>
      </w:tabs>
      <w:jc w:val="both"/>
      <w:rPr>
        <w:rFonts w:hint="default"/>
        <w:sz w:val="21"/>
        <w:szCs w:val="22"/>
        <w:lang w:val="en-US"/>
      </w:rPr>
    </w:pPr>
    <w:r>
      <w:rPr>
        <w:lang w:val="zh-CN"/>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4EA4D">
    <w:pPr>
      <w:pStyle w:val="45"/>
      <w:pBdr>
        <w:bottom w:val="thickThinSmallGap" w:color="auto" w:sz="12" w:space="1"/>
      </w:pBdr>
      <w:ind w:left="6000" w:hanging="6000" w:hangingChars="3000"/>
      <w:jc w:val="left"/>
      <w:rPr>
        <w:lang w:val="en-US"/>
      </w:rPr>
    </w:pPr>
    <w:r>
      <w:rPr>
        <w:rFonts w:hint="eastAsia" w:ascii="仿宋" w:hAnsi="仿宋" w:eastAsia="仿宋" w:cs="仿宋"/>
        <w:color w:val="auto"/>
        <w:sz w:val="20"/>
        <w:szCs w:val="21"/>
        <w:highlight w:val="none"/>
      </w:rPr>
      <w:t>绍兴盈伽工程咨询有限公司</w:t>
    </w:r>
    <w:r>
      <w:rPr>
        <w:rFonts w:hint="eastAsia" w:ascii="仿宋" w:hAnsi="仿宋" w:eastAsia="仿宋" w:cs="仿宋"/>
        <w:color w:val="auto"/>
        <w:sz w:val="20"/>
        <w:szCs w:val="21"/>
        <w:highlight w:val="none"/>
        <w:lang w:val="en-US" w:eastAsia="zh-CN"/>
      </w:rPr>
      <w:t xml:space="preserve">                                                  招标文件</w:t>
    </w:r>
  </w:p>
  <w:p w14:paraId="125F95AB">
    <w:pPr>
      <w:pStyle w:val="45"/>
      <w:pBdr>
        <w:bottom w:val="none" w:color="auto" w:sz="0" w:space="0"/>
      </w:pBdr>
      <w:tabs>
        <w:tab w:val="center" w:pos="4535"/>
        <w:tab w:val="right" w:pos="9070"/>
        <w:tab w:val="clear" w:pos="4153"/>
        <w:tab w:val="clear" w:pos="8306"/>
      </w:tabs>
      <w:jc w:val="both"/>
      <w:rPr>
        <w:rFonts w:hint="eastAsia" w:ascii="宋体" w:hAnsi="宋体" w:eastAsia="宋体" w:cs="宋体"/>
        <w:b/>
        <w:i/>
        <w:sz w:val="21"/>
        <w:szCs w:val="21"/>
        <w:u w:val="single"/>
      </w:rPr>
    </w:pPr>
    <w:r>
      <w:rPr>
        <w:lang w:val="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419362"/>
    <w:multiLevelType w:val="singleLevel"/>
    <w:tmpl w:val="86419362"/>
    <w:lvl w:ilvl="0" w:tentative="0">
      <w:start w:val="3"/>
      <w:numFmt w:val="decimal"/>
      <w:lvlText w:val="%1."/>
      <w:lvlJc w:val="left"/>
      <w:pPr>
        <w:tabs>
          <w:tab w:val="left" w:pos="312"/>
        </w:tabs>
      </w:pPr>
    </w:lvl>
  </w:abstractNum>
  <w:abstractNum w:abstractNumId="1">
    <w:nsid w:val="BF00600E"/>
    <w:multiLevelType w:val="singleLevel"/>
    <w:tmpl w:val="BF00600E"/>
    <w:lvl w:ilvl="0" w:tentative="0">
      <w:start w:val="1"/>
      <w:numFmt w:val="upperLetter"/>
      <w:lvlText w:val="%1."/>
      <w:lvlJc w:val="left"/>
      <w:pPr>
        <w:tabs>
          <w:tab w:val="left" w:pos="312"/>
        </w:tabs>
      </w:pPr>
    </w:lvl>
  </w:abstractNum>
  <w:abstractNum w:abstractNumId="2">
    <w:nsid w:val="F7DFC3B7"/>
    <w:multiLevelType w:val="singleLevel"/>
    <w:tmpl w:val="F7DFC3B7"/>
    <w:lvl w:ilvl="0" w:tentative="0">
      <w:start w:val="4"/>
      <w:numFmt w:val="decimal"/>
      <w:lvlText w:val="%1."/>
      <w:lvlJc w:val="left"/>
      <w:pPr>
        <w:tabs>
          <w:tab w:val="left" w:pos="312"/>
        </w:tabs>
      </w:pPr>
    </w:lvl>
  </w:abstractNum>
  <w:abstractNum w:abstractNumId="3">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4803F2B"/>
    <w:multiLevelType w:val="singleLevel"/>
    <w:tmpl w:val="14803F2B"/>
    <w:lvl w:ilvl="0" w:tentative="0">
      <w:start w:val="1"/>
      <w:numFmt w:val="decimal"/>
      <w:suff w:val="nothing"/>
      <w:lvlText w:val="%1、"/>
      <w:lvlJc w:val="left"/>
      <w:pPr>
        <w:ind w:left="425" w:leftChars="0" w:hanging="425" w:firstLineChars="0"/>
      </w:pPr>
      <w:rPr>
        <w:rFonts w:hint="default"/>
      </w:rPr>
    </w:lvl>
  </w:abstractNum>
  <w:abstractNum w:abstractNumId="5">
    <w:nsid w:val="188CB19B"/>
    <w:multiLevelType w:val="singleLevel"/>
    <w:tmpl w:val="188CB19B"/>
    <w:lvl w:ilvl="0" w:tentative="0">
      <w:start w:val="4"/>
      <w:numFmt w:val="chineseCounting"/>
      <w:suff w:val="nothing"/>
      <w:lvlText w:val="%1、"/>
      <w:lvlJc w:val="left"/>
      <w:rPr>
        <w:rFonts w:hint="eastAsia"/>
      </w:rPr>
    </w:lvl>
  </w:abstractNum>
  <w:abstractNum w:abstractNumId="6">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8">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9">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60A27B7D"/>
    <w:multiLevelType w:val="singleLevel"/>
    <w:tmpl w:val="60A27B7D"/>
    <w:lvl w:ilvl="0" w:tentative="0">
      <w:start w:val="1"/>
      <w:numFmt w:val="decimal"/>
      <w:lvlText w:val="%1."/>
      <w:lvlJc w:val="left"/>
      <w:pPr>
        <w:tabs>
          <w:tab w:val="left" w:pos="312"/>
        </w:tabs>
      </w:pPr>
    </w:lvl>
  </w:abstractNum>
  <w:num w:numId="1">
    <w:abstractNumId w:val="2"/>
  </w:num>
  <w:num w:numId="2">
    <w:abstractNumId w:val="3"/>
  </w:num>
  <w:num w:numId="3">
    <w:abstractNumId w:val="8"/>
  </w:num>
  <w:num w:numId="4">
    <w:abstractNumId w:val="9"/>
  </w:num>
  <w:num w:numId="5">
    <w:abstractNumId w:val="6"/>
  </w:num>
  <w:num w:numId="6">
    <w:abstractNumId w:val="4"/>
  </w:num>
  <w:num w:numId="7">
    <w:abstractNumId w:val="0"/>
  </w:num>
  <w:num w:numId="8">
    <w:abstractNumId w:val="10"/>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Mzk5YWUxNWJiNTQ4Mzc1MzYxYzQ1MzlmNmM5NTM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1F01"/>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9A"/>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0C68F9"/>
    <w:rsid w:val="011F6449"/>
    <w:rsid w:val="01236AFB"/>
    <w:rsid w:val="012D6E26"/>
    <w:rsid w:val="019F7441"/>
    <w:rsid w:val="01B37585"/>
    <w:rsid w:val="01C40D93"/>
    <w:rsid w:val="01D55165"/>
    <w:rsid w:val="01DF6BF8"/>
    <w:rsid w:val="01E64C5E"/>
    <w:rsid w:val="01EC2C57"/>
    <w:rsid w:val="026B2E25"/>
    <w:rsid w:val="02824D4D"/>
    <w:rsid w:val="02DC4B10"/>
    <w:rsid w:val="02DD76CE"/>
    <w:rsid w:val="02E8410E"/>
    <w:rsid w:val="02F05CCB"/>
    <w:rsid w:val="02F36323"/>
    <w:rsid w:val="02F5619C"/>
    <w:rsid w:val="030E17F0"/>
    <w:rsid w:val="0326446A"/>
    <w:rsid w:val="032D5555"/>
    <w:rsid w:val="036634D2"/>
    <w:rsid w:val="03771BF4"/>
    <w:rsid w:val="037B1947"/>
    <w:rsid w:val="03996F0F"/>
    <w:rsid w:val="03DD35E4"/>
    <w:rsid w:val="04076900"/>
    <w:rsid w:val="041A5A3B"/>
    <w:rsid w:val="041B6B58"/>
    <w:rsid w:val="042311BA"/>
    <w:rsid w:val="042B157A"/>
    <w:rsid w:val="045243E9"/>
    <w:rsid w:val="048F763B"/>
    <w:rsid w:val="049F330E"/>
    <w:rsid w:val="04AA775C"/>
    <w:rsid w:val="04AF1889"/>
    <w:rsid w:val="04E62470"/>
    <w:rsid w:val="04F66F48"/>
    <w:rsid w:val="051346B1"/>
    <w:rsid w:val="05251E14"/>
    <w:rsid w:val="055661F0"/>
    <w:rsid w:val="05663030"/>
    <w:rsid w:val="05A16594"/>
    <w:rsid w:val="05A7762D"/>
    <w:rsid w:val="05D00EC1"/>
    <w:rsid w:val="060E5941"/>
    <w:rsid w:val="06110FAF"/>
    <w:rsid w:val="063F4ED6"/>
    <w:rsid w:val="06462DE7"/>
    <w:rsid w:val="06493CA7"/>
    <w:rsid w:val="0651544E"/>
    <w:rsid w:val="065A6178"/>
    <w:rsid w:val="066218CC"/>
    <w:rsid w:val="066C6438"/>
    <w:rsid w:val="066F1CF3"/>
    <w:rsid w:val="0678654A"/>
    <w:rsid w:val="06930BB8"/>
    <w:rsid w:val="0693169A"/>
    <w:rsid w:val="06B92EA7"/>
    <w:rsid w:val="06E845C5"/>
    <w:rsid w:val="06F15586"/>
    <w:rsid w:val="07245D42"/>
    <w:rsid w:val="07264C62"/>
    <w:rsid w:val="07387188"/>
    <w:rsid w:val="0779354C"/>
    <w:rsid w:val="07A7715B"/>
    <w:rsid w:val="08061376"/>
    <w:rsid w:val="08163A15"/>
    <w:rsid w:val="08452D77"/>
    <w:rsid w:val="086401F8"/>
    <w:rsid w:val="08751CAA"/>
    <w:rsid w:val="087E4C40"/>
    <w:rsid w:val="088A58D8"/>
    <w:rsid w:val="08D66AD6"/>
    <w:rsid w:val="08DA33A3"/>
    <w:rsid w:val="08E80F13"/>
    <w:rsid w:val="09134AB2"/>
    <w:rsid w:val="09335624"/>
    <w:rsid w:val="0944690F"/>
    <w:rsid w:val="09535675"/>
    <w:rsid w:val="095F057D"/>
    <w:rsid w:val="09642282"/>
    <w:rsid w:val="09733572"/>
    <w:rsid w:val="09772C16"/>
    <w:rsid w:val="098353B5"/>
    <w:rsid w:val="09A92330"/>
    <w:rsid w:val="09B06B87"/>
    <w:rsid w:val="09BE6544"/>
    <w:rsid w:val="09C13146"/>
    <w:rsid w:val="09E04166"/>
    <w:rsid w:val="0A1C0718"/>
    <w:rsid w:val="0A3E7710"/>
    <w:rsid w:val="0A4E07C6"/>
    <w:rsid w:val="0A5B7E63"/>
    <w:rsid w:val="0A790B64"/>
    <w:rsid w:val="0AA374A5"/>
    <w:rsid w:val="0AAB7649"/>
    <w:rsid w:val="0ABC5606"/>
    <w:rsid w:val="0B0125E2"/>
    <w:rsid w:val="0B30404E"/>
    <w:rsid w:val="0B347B82"/>
    <w:rsid w:val="0B36793D"/>
    <w:rsid w:val="0B4C6C14"/>
    <w:rsid w:val="0B4F72C7"/>
    <w:rsid w:val="0B631A88"/>
    <w:rsid w:val="0B683D45"/>
    <w:rsid w:val="0B7F3F11"/>
    <w:rsid w:val="0B884417"/>
    <w:rsid w:val="0B9223F8"/>
    <w:rsid w:val="0BC31A7A"/>
    <w:rsid w:val="0BF6188C"/>
    <w:rsid w:val="0BF73C91"/>
    <w:rsid w:val="0C170175"/>
    <w:rsid w:val="0C571A41"/>
    <w:rsid w:val="0C5C1171"/>
    <w:rsid w:val="0C5E1CBC"/>
    <w:rsid w:val="0C615B50"/>
    <w:rsid w:val="0C7C3F0B"/>
    <w:rsid w:val="0C8445DA"/>
    <w:rsid w:val="0C87121B"/>
    <w:rsid w:val="0CC007F7"/>
    <w:rsid w:val="0CC27B72"/>
    <w:rsid w:val="0CFE707A"/>
    <w:rsid w:val="0D002EE5"/>
    <w:rsid w:val="0D063BDA"/>
    <w:rsid w:val="0D08375F"/>
    <w:rsid w:val="0D184CFB"/>
    <w:rsid w:val="0D2606C0"/>
    <w:rsid w:val="0D33083B"/>
    <w:rsid w:val="0D420365"/>
    <w:rsid w:val="0D4A7419"/>
    <w:rsid w:val="0D4E1EA3"/>
    <w:rsid w:val="0D827401"/>
    <w:rsid w:val="0D84094E"/>
    <w:rsid w:val="0D8A00E9"/>
    <w:rsid w:val="0D8D589E"/>
    <w:rsid w:val="0DA01C73"/>
    <w:rsid w:val="0DD63300"/>
    <w:rsid w:val="0DE432B3"/>
    <w:rsid w:val="0DF50604"/>
    <w:rsid w:val="0DF702FE"/>
    <w:rsid w:val="0E060E51"/>
    <w:rsid w:val="0E5604B2"/>
    <w:rsid w:val="0E6D5D79"/>
    <w:rsid w:val="0E7F503E"/>
    <w:rsid w:val="0E9D0089"/>
    <w:rsid w:val="0EAD0A9E"/>
    <w:rsid w:val="0EB803EE"/>
    <w:rsid w:val="0EF94D4B"/>
    <w:rsid w:val="0F1C3261"/>
    <w:rsid w:val="0F4958DC"/>
    <w:rsid w:val="0F4D633E"/>
    <w:rsid w:val="0F515DF7"/>
    <w:rsid w:val="0F596BA8"/>
    <w:rsid w:val="0F6248D2"/>
    <w:rsid w:val="0F693536"/>
    <w:rsid w:val="0F7B0511"/>
    <w:rsid w:val="0F7B76D9"/>
    <w:rsid w:val="0F816ACD"/>
    <w:rsid w:val="0F9832DB"/>
    <w:rsid w:val="0FBF3FD2"/>
    <w:rsid w:val="0FBF7FF3"/>
    <w:rsid w:val="0FD7617F"/>
    <w:rsid w:val="0FEC165C"/>
    <w:rsid w:val="0FF94348"/>
    <w:rsid w:val="100B37F0"/>
    <w:rsid w:val="10646583"/>
    <w:rsid w:val="107D4B15"/>
    <w:rsid w:val="10895484"/>
    <w:rsid w:val="108A3C80"/>
    <w:rsid w:val="10C26171"/>
    <w:rsid w:val="10F33360"/>
    <w:rsid w:val="10FC16EA"/>
    <w:rsid w:val="110F1D40"/>
    <w:rsid w:val="11266F33"/>
    <w:rsid w:val="114E57CE"/>
    <w:rsid w:val="118963A1"/>
    <w:rsid w:val="11C6522A"/>
    <w:rsid w:val="11E104CC"/>
    <w:rsid w:val="11E20309"/>
    <w:rsid w:val="12255233"/>
    <w:rsid w:val="12385FA8"/>
    <w:rsid w:val="12474790"/>
    <w:rsid w:val="12530213"/>
    <w:rsid w:val="12565D9E"/>
    <w:rsid w:val="127723A9"/>
    <w:rsid w:val="12862074"/>
    <w:rsid w:val="12883966"/>
    <w:rsid w:val="129E45B4"/>
    <w:rsid w:val="12A0243C"/>
    <w:rsid w:val="12D81596"/>
    <w:rsid w:val="12FB4B4E"/>
    <w:rsid w:val="13072A44"/>
    <w:rsid w:val="135F4BE2"/>
    <w:rsid w:val="13637D2A"/>
    <w:rsid w:val="13953C4B"/>
    <w:rsid w:val="139B1A0A"/>
    <w:rsid w:val="139D25C7"/>
    <w:rsid w:val="13BF3CE4"/>
    <w:rsid w:val="13E744B7"/>
    <w:rsid w:val="141008D8"/>
    <w:rsid w:val="14125FE6"/>
    <w:rsid w:val="142E2D78"/>
    <w:rsid w:val="144162BD"/>
    <w:rsid w:val="14436B47"/>
    <w:rsid w:val="145A6363"/>
    <w:rsid w:val="146D271E"/>
    <w:rsid w:val="14982588"/>
    <w:rsid w:val="149A5AD9"/>
    <w:rsid w:val="14A524FA"/>
    <w:rsid w:val="14A7619D"/>
    <w:rsid w:val="14AD2260"/>
    <w:rsid w:val="150536C3"/>
    <w:rsid w:val="150C1963"/>
    <w:rsid w:val="151447A0"/>
    <w:rsid w:val="151C578F"/>
    <w:rsid w:val="154A6454"/>
    <w:rsid w:val="15762120"/>
    <w:rsid w:val="15FE1A14"/>
    <w:rsid w:val="16014137"/>
    <w:rsid w:val="166F1D9B"/>
    <w:rsid w:val="16A8729C"/>
    <w:rsid w:val="16B33777"/>
    <w:rsid w:val="16BC70A7"/>
    <w:rsid w:val="16C6339E"/>
    <w:rsid w:val="16D43419"/>
    <w:rsid w:val="172F2D79"/>
    <w:rsid w:val="17557BEF"/>
    <w:rsid w:val="178B779F"/>
    <w:rsid w:val="17D349C1"/>
    <w:rsid w:val="1830729E"/>
    <w:rsid w:val="183659F3"/>
    <w:rsid w:val="1870062C"/>
    <w:rsid w:val="18817102"/>
    <w:rsid w:val="18830A15"/>
    <w:rsid w:val="18852B28"/>
    <w:rsid w:val="188B5321"/>
    <w:rsid w:val="18B65FBE"/>
    <w:rsid w:val="18F96EFA"/>
    <w:rsid w:val="19826FE8"/>
    <w:rsid w:val="19932372"/>
    <w:rsid w:val="19A20DD5"/>
    <w:rsid w:val="19AE03F1"/>
    <w:rsid w:val="19BE2C88"/>
    <w:rsid w:val="19CA11F8"/>
    <w:rsid w:val="1A071A03"/>
    <w:rsid w:val="1A1F16AE"/>
    <w:rsid w:val="1A3B5C77"/>
    <w:rsid w:val="1A513151"/>
    <w:rsid w:val="1A984BAD"/>
    <w:rsid w:val="1AB8220E"/>
    <w:rsid w:val="1AE4166C"/>
    <w:rsid w:val="1AE82B34"/>
    <w:rsid w:val="1AF06CFB"/>
    <w:rsid w:val="1AF11B8D"/>
    <w:rsid w:val="1B0E7A21"/>
    <w:rsid w:val="1B11359C"/>
    <w:rsid w:val="1B2A271F"/>
    <w:rsid w:val="1B530544"/>
    <w:rsid w:val="1B713184"/>
    <w:rsid w:val="1B945CBD"/>
    <w:rsid w:val="1BA209CF"/>
    <w:rsid w:val="1BB4777D"/>
    <w:rsid w:val="1BBC6277"/>
    <w:rsid w:val="1BD75AB8"/>
    <w:rsid w:val="1C0459C2"/>
    <w:rsid w:val="1C1B3B4A"/>
    <w:rsid w:val="1C1C3DE9"/>
    <w:rsid w:val="1C24149D"/>
    <w:rsid w:val="1C88086E"/>
    <w:rsid w:val="1CB55D60"/>
    <w:rsid w:val="1CDB6935"/>
    <w:rsid w:val="1D1F2D6F"/>
    <w:rsid w:val="1D266CE1"/>
    <w:rsid w:val="1D3963AF"/>
    <w:rsid w:val="1D432AC3"/>
    <w:rsid w:val="1D5E74C5"/>
    <w:rsid w:val="1D6A673C"/>
    <w:rsid w:val="1D7274E7"/>
    <w:rsid w:val="1D9247AE"/>
    <w:rsid w:val="1DB567EC"/>
    <w:rsid w:val="1DD81FE2"/>
    <w:rsid w:val="1DF51A98"/>
    <w:rsid w:val="1E3D060F"/>
    <w:rsid w:val="1E3F7D2E"/>
    <w:rsid w:val="1E4134E4"/>
    <w:rsid w:val="1E4340D6"/>
    <w:rsid w:val="1E5062B3"/>
    <w:rsid w:val="1E523514"/>
    <w:rsid w:val="1E714A66"/>
    <w:rsid w:val="1E802593"/>
    <w:rsid w:val="1EA703CC"/>
    <w:rsid w:val="1EAA273C"/>
    <w:rsid w:val="1EB7330C"/>
    <w:rsid w:val="1F0A0FF3"/>
    <w:rsid w:val="1F0B4696"/>
    <w:rsid w:val="1F5771FF"/>
    <w:rsid w:val="1F642E60"/>
    <w:rsid w:val="1F752FFC"/>
    <w:rsid w:val="1FBB7ACC"/>
    <w:rsid w:val="1FDE092F"/>
    <w:rsid w:val="1FE868A9"/>
    <w:rsid w:val="20034907"/>
    <w:rsid w:val="201723F5"/>
    <w:rsid w:val="20173E4B"/>
    <w:rsid w:val="204B414A"/>
    <w:rsid w:val="204E48BC"/>
    <w:rsid w:val="205173F8"/>
    <w:rsid w:val="206C7450"/>
    <w:rsid w:val="208921B3"/>
    <w:rsid w:val="20973DEB"/>
    <w:rsid w:val="20A23587"/>
    <w:rsid w:val="20B26522"/>
    <w:rsid w:val="20B44310"/>
    <w:rsid w:val="20CF69FF"/>
    <w:rsid w:val="211116EB"/>
    <w:rsid w:val="214915E5"/>
    <w:rsid w:val="216133FC"/>
    <w:rsid w:val="21721428"/>
    <w:rsid w:val="21D56769"/>
    <w:rsid w:val="21E52EF3"/>
    <w:rsid w:val="21EA5DF7"/>
    <w:rsid w:val="21FB5D7B"/>
    <w:rsid w:val="220B1C3D"/>
    <w:rsid w:val="221D1D20"/>
    <w:rsid w:val="22334A87"/>
    <w:rsid w:val="224B0F21"/>
    <w:rsid w:val="22631AF5"/>
    <w:rsid w:val="22BE6801"/>
    <w:rsid w:val="22D56B19"/>
    <w:rsid w:val="22F57858"/>
    <w:rsid w:val="22FD253B"/>
    <w:rsid w:val="233500BF"/>
    <w:rsid w:val="23377FF7"/>
    <w:rsid w:val="236B425F"/>
    <w:rsid w:val="23836192"/>
    <w:rsid w:val="238807D1"/>
    <w:rsid w:val="23901F29"/>
    <w:rsid w:val="239C0061"/>
    <w:rsid w:val="23B908A4"/>
    <w:rsid w:val="23CF23CE"/>
    <w:rsid w:val="23E95BEF"/>
    <w:rsid w:val="23FD0064"/>
    <w:rsid w:val="2415448F"/>
    <w:rsid w:val="245375B0"/>
    <w:rsid w:val="24642C0A"/>
    <w:rsid w:val="24A06A19"/>
    <w:rsid w:val="24B22173"/>
    <w:rsid w:val="24B95AD9"/>
    <w:rsid w:val="24BC2BC6"/>
    <w:rsid w:val="24BE24DA"/>
    <w:rsid w:val="24CF5825"/>
    <w:rsid w:val="24D45032"/>
    <w:rsid w:val="24D663E6"/>
    <w:rsid w:val="24D77F2B"/>
    <w:rsid w:val="253120B6"/>
    <w:rsid w:val="258B00E2"/>
    <w:rsid w:val="25A917A6"/>
    <w:rsid w:val="25B616AA"/>
    <w:rsid w:val="25B85E7F"/>
    <w:rsid w:val="25BE27CC"/>
    <w:rsid w:val="25CD79B1"/>
    <w:rsid w:val="25F56F08"/>
    <w:rsid w:val="25F74A5C"/>
    <w:rsid w:val="2628662C"/>
    <w:rsid w:val="262D45DE"/>
    <w:rsid w:val="265E2CFF"/>
    <w:rsid w:val="26697A1A"/>
    <w:rsid w:val="26895F9F"/>
    <w:rsid w:val="26907DFD"/>
    <w:rsid w:val="26A53EF9"/>
    <w:rsid w:val="26A94201"/>
    <w:rsid w:val="26AC274F"/>
    <w:rsid w:val="26B507EF"/>
    <w:rsid w:val="26C4369F"/>
    <w:rsid w:val="26C62652"/>
    <w:rsid w:val="27044A29"/>
    <w:rsid w:val="271D34C8"/>
    <w:rsid w:val="276142BF"/>
    <w:rsid w:val="27783712"/>
    <w:rsid w:val="27895C89"/>
    <w:rsid w:val="27907362"/>
    <w:rsid w:val="27B52300"/>
    <w:rsid w:val="28333E1D"/>
    <w:rsid w:val="28454BD6"/>
    <w:rsid w:val="28455253"/>
    <w:rsid w:val="284A6B6A"/>
    <w:rsid w:val="28551971"/>
    <w:rsid w:val="285B1C53"/>
    <w:rsid w:val="285F6DE4"/>
    <w:rsid w:val="28855745"/>
    <w:rsid w:val="289F7086"/>
    <w:rsid w:val="28A04D7F"/>
    <w:rsid w:val="28B47E46"/>
    <w:rsid w:val="28C32028"/>
    <w:rsid w:val="28CC490F"/>
    <w:rsid w:val="28DE40AA"/>
    <w:rsid w:val="29005CCD"/>
    <w:rsid w:val="29345E77"/>
    <w:rsid w:val="29377BB5"/>
    <w:rsid w:val="294C65AD"/>
    <w:rsid w:val="29515D72"/>
    <w:rsid w:val="2955005F"/>
    <w:rsid w:val="297D31C2"/>
    <w:rsid w:val="29806583"/>
    <w:rsid w:val="298B3C4C"/>
    <w:rsid w:val="29F26D24"/>
    <w:rsid w:val="2A15033F"/>
    <w:rsid w:val="2A1662C1"/>
    <w:rsid w:val="2A1C7367"/>
    <w:rsid w:val="2A2815FA"/>
    <w:rsid w:val="2A4D7A5B"/>
    <w:rsid w:val="2A4F1B5B"/>
    <w:rsid w:val="2A665851"/>
    <w:rsid w:val="2A6D6092"/>
    <w:rsid w:val="2A731E31"/>
    <w:rsid w:val="2A7D76B4"/>
    <w:rsid w:val="2A9A0D1B"/>
    <w:rsid w:val="2AA21BBD"/>
    <w:rsid w:val="2B230E8E"/>
    <w:rsid w:val="2B3E2076"/>
    <w:rsid w:val="2B437463"/>
    <w:rsid w:val="2B451BC7"/>
    <w:rsid w:val="2B573B3D"/>
    <w:rsid w:val="2B720E9D"/>
    <w:rsid w:val="2B7807EE"/>
    <w:rsid w:val="2BB2215A"/>
    <w:rsid w:val="2BBF00EC"/>
    <w:rsid w:val="2BC37CFD"/>
    <w:rsid w:val="2BD5237F"/>
    <w:rsid w:val="2BDE6499"/>
    <w:rsid w:val="2BE536CE"/>
    <w:rsid w:val="2BE758D9"/>
    <w:rsid w:val="2C09049E"/>
    <w:rsid w:val="2C0A653C"/>
    <w:rsid w:val="2C191F85"/>
    <w:rsid w:val="2C9B2ACC"/>
    <w:rsid w:val="2CE82D6F"/>
    <w:rsid w:val="2D1A5C3D"/>
    <w:rsid w:val="2D343236"/>
    <w:rsid w:val="2D7668CC"/>
    <w:rsid w:val="2D866ECD"/>
    <w:rsid w:val="2DAA05D8"/>
    <w:rsid w:val="2DB74641"/>
    <w:rsid w:val="2DC56990"/>
    <w:rsid w:val="2DD15014"/>
    <w:rsid w:val="2DF72DE4"/>
    <w:rsid w:val="2E0220AF"/>
    <w:rsid w:val="2E4B082A"/>
    <w:rsid w:val="2E5D4E86"/>
    <w:rsid w:val="2E5D790B"/>
    <w:rsid w:val="2E5F2B4E"/>
    <w:rsid w:val="2E7A4626"/>
    <w:rsid w:val="2E7C7096"/>
    <w:rsid w:val="2E7F2E89"/>
    <w:rsid w:val="2E94189D"/>
    <w:rsid w:val="2E9A3C18"/>
    <w:rsid w:val="2E9A471C"/>
    <w:rsid w:val="2EBB0FEE"/>
    <w:rsid w:val="2EC63002"/>
    <w:rsid w:val="2F0A6B38"/>
    <w:rsid w:val="2F7C0857"/>
    <w:rsid w:val="2F946CCB"/>
    <w:rsid w:val="2FA17659"/>
    <w:rsid w:val="2FD25781"/>
    <w:rsid w:val="2FD6465C"/>
    <w:rsid w:val="2FDB70F1"/>
    <w:rsid w:val="2FE80348"/>
    <w:rsid w:val="2FFD7934"/>
    <w:rsid w:val="3024558B"/>
    <w:rsid w:val="30733ACD"/>
    <w:rsid w:val="308610F1"/>
    <w:rsid w:val="308C3862"/>
    <w:rsid w:val="309379D8"/>
    <w:rsid w:val="30A1091B"/>
    <w:rsid w:val="30A270F7"/>
    <w:rsid w:val="30BB21D9"/>
    <w:rsid w:val="30DF1478"/>
    <w:rsid w:val="30EA2B2E"/>
    <w:rsid w:val="30EC586F"/>
    <w:rsid w:val="315E2FBA"/>
    <w:rsid w:val="318341D7"/>
    <w:rsid w:val="319C6071"/>
    <w:rsid w:val="31A00DEF"/>
    <w:rsid w:val="31AC537E"/>
    <w:rsid w:val="31C54A47"/>
    <w:rsid w:val="31E3679B"/>
    <w:rsid w:val="31E732FD"/>
    <w:rsid w:val="324E2D81"/>
    <w:rsid w:val="32517576"/>
    <w:rsid w:val="327D6706"/>
    <w:rsid w:val="32BE5C2C"/>
    <w:rsid w:val="32D31B31"/>
    <w:rsid w:val="32FB6478"/>
    <w:rsid w:val="33263B3F"/>
    <w:rsid w:val="33403BE0"/>
    <w:rsid w:val="336963EB"/>
    <w:rsid w:val="33816EEB"/>
    <w:rsid w:val="33837901"/>
    <w:rsid w:val="33EB55CD"/>
    <w:rsid w:val="33EC4C02"/>
    <w:rsid w:val="340D2360"/>
    <w:rsid w:val="3410665D"/>
    <w:rsid w:val="34211214"/>
    <w:rsid w:val="342E63AB"/>
    <w:rsid w:val="342F3B76"/>
    <w:rsid w:val="344E171B"/>
    <w:rsid w:val="34626D28"/>
    <w:rsid w:val="346C7513"/>
    <w:rsid w:val="34950E68"/>
    <w:rsid w:val="34986E94"/>
    <w:rsid w:val="34AF62C9"/>
    <w:rsid w:val="34CB4388"/>
    <w:rsid w:val="34FA6E12"/>
    <w:rsid w:val="35040F15"/>
    <w:rsid w:val="357156FD"/>
    <w:rsid w:val="357D40D8"/>
    <w:rsid w:val="358D5588"/>
    <w:rsid w:val="36142918"/>
    <w:rsid w:val="363A3B40"/>
    <w:rsid w:val="365302AE"/>
    <w:rsid w:val="36607A0A"/>
    <w:rsid w:val="366E227C"/>
    <w:rsid w:val="366F2E0D"/>
    <w:rsid w:val="367B6A5C"/>
    <w:rsid w:val="36A74ADA"/>
    <w:rsid w:val="36AD60D5"/>
    <w:rsid w:val="36B224F9"/>
    <w:rsid w:val="36D41080"/>
    <w:rsid w:val="36EC0CC9"/>
    <w:rsid w:val="36FA437E"/>
    <w:rsid w:val="373F410B"/>
    <w:rsid w:val="37427AD3"/>
    <w:rsid w:val="3795353A"/>
    <w:rsid w:val="37A82C68"/>
    <w:rsid w:val="37EE7094"/>
    <w:rsid w:val="38296C89"/>
    <w:rsid w:val="383002EB"/>
    <w:rsid w:val="38586797"/>
    <w:rsid w:val="38BC0149"/>
    <w:rsid w:val="38D87D1C"/>
    <w:rsid w:val="38E05542"/>
    <w:rsid w:val="391E324A"/>
    <w:rsid w:val="3930052B"/>
    <w:rsid w:val="3938375D"/>
    <w:rsid w:val="393F4973"/>
    <w:rsid w:val="395307B3"/>
    <w:rsid w:val="39580388"/>
    <w:rsid w:val="39636459"/>
    <w:rsid w:val="396B7F6C"/>
    <w:rsid w:val="39B417A9"/>
    <w:rsid w:val="39CF6899"/>
    <w:rsid w:val="39FC5695"/>
    <w:rsid w:val="3A006D8E"/>
    <w:rsid w:val="3A1514CF"/>
    <w:rsid w:val="3A1C3C84"/>
    <w:rsid w:val="3A3651E5"/>
    <w:rsid w:val="3A4236C0"/>
    <w:rsid w:val="3A44738B"/>
    <w:rsid w:val="3A744481"/>
    <w:rsid w:val="3A7B279E"/>
    <w:rsid w:val="3A8A09B4"/>
    <w:rsid w:val="3A8C7BEF"/>
    <w:rsid w:val="3A906246"/>
    <w:rsid w:val="3ADB79F5"/>
    <w:rsid w:val="3AE93C90"/>
    <w:rsid w:val="3AF60DDF"/>
    <w:rsid w:val="3B2349B7"/>
    <w:rsid w:val="3B616CFF"/>
    <w:rsid w:val="3B6259F6"/>
    <w:rsid w:val="3B976654"/>
    <w:rsid w:val="3BC01EFC"/>
    <w:rsid w:val="3BCA786A"/>
    <w:rsid w:val="3BD31E2F"/>
    <w:rsid w:val="3BF15831"/>
    <w:rsid w:val="3C097F9F"/>
    <w:rsid w:val="3C105946"/>
    <w:rsid w:val="3C471448"/>
    <w:rsid w:val="3C5F759A"/>
    <w:rsid w:val="3C6C525A"/>
    <w:rsid w:val="3CCE23CB"/>
    <w:rsid w:val="3CD17D17"/>
    <w:rsid w:val="3D3C7F39"/>
    <w:rsid w:val="3D440F09"/>
    <w:rsid w:val="3D4504A0"/>
    <w:rsid w:val="3D7E3E5D"/>
    <w:rsid w:val="3D8734BB"/>
    <w:rsid w:val="3D9A11D4"/>
    <w:rsid w:val="3DA16D89"/>
    <w:rsid w:val="3DA364BE"/>
    <w:rsid w:val="3DAC116D"/>
    <w:rsid w:val="3DBC3C0B"/>
    <w:rsid w:val="3DE041CB"/>
    <w:rsid w:val="3E0D48F6"/>
    <w:rsid w:val="3E1868B4"/>
    <w:rsid w:val="3E377251"/>
    <w:rsid w:val="3E3D2DA2"/>
    <w:rsid w:val="3E42664B"/>
    <w:rsid w:val="3E5A7334"/>
    <w:rsid w:val="3E5E239F"/>
    <w:rsid w:val="3E6A79D4"/>
    <w:rsid w:val="3E7B5D6B"/>
    <w:rsid w:val="3E843E66"/>
    <w:rsid w:val="3E8F51FE"/>
    <w:rsid w:val="3E926F87"/>
    <w:rsid w:val="3E9A59DE"/>
    <w:rsid w:val="3E9F22D5"/>
    <w:rsid w:val="3EA641A9"/>
    <w:rsid w:val="3EAF4836"/>
    <w:rsid w:val="3EC33DFA"/>
    <w:rsid w:val="3EC8606A"/>
    <w:rsid w:val="3EE82E22"/>
    <w:rsid w:val="3F060E16"/>
    <w:rsid w:val="3F1D1096"/>
    <w:rsid w:val="3F2F0234"/>
    <w:rsid w:val="3F604DC5"/>
    <w:rsid w:val="3F6363FE"/>
    <w:rsid w:val="3F756B8F"/>
    <w:rsid w:val="3F8A2017"/>
    <w:rsid w:val="3F95482B"/>
    <w:rsid w:val="3FF9543C"/>
    <w:rsid w:val="400175E0"/>
    <w:rsid w:val="4019356B"/>
    <w:rsid w:val="40592157"/>
    <w:rsid w:val="406E1CAE"/>
    <w:rsid w:val="40792BC6"/>
    <w:rsid w:val="40A0133A"/>
    <w:rsid w:val="40A8320B"/>
    <w:rsid w:val="40A95E4A"/>
    <w:rsid w:val="40AD4B4F"/>
    <w:rsid w:val="40B66024"/>
    <w:rsid w:val="40C31A53"/>
    <w:rsid w:val="40C61775"/>
    <w:rsid w:val="40FB058A"/>
    <w:rsid w:val="40FF545D"/>
    <w:rsid w:val="410067C8"/>
    <w:rsid w:val="41102922"/>
    <w:rsid w:val="412D2FF7"/>
    <w:rsid w:val="414B2E3A"/>
    <w:rsid w:val="41650B31"/>
    <w:rsid w:val="41792343"/>
    <w:rsid w:val="418F0D2A"/>
    <w:rsid w:val="41D01505"/>
    <w:rsid w:val="41F76925"/>
    <w:rsid w:val="42401D71"/>
    <w:rsid w:val="42474939"/>
    <w:rsid w:val="424C3C57"/>
    <w:rsid w:val="42613FF3"/>
    <w:rsid w:val="42660D96"/>
    <w:rsid w:val="428667D2"/>
    <w:rsid w:val="42B708D2"/>
    <w:rsid w:val="42C47EAE"/>
    <w:rsid w:val="42CD1CE0"/>
    <w:rsid w:val="42E1381E"/>
    <w:rsid w:val="42ED6459"/>
    <w:rsid w:val="42FE58DD"/>
    <w:rsid w:val="43174B3D"/>
    <w:rsid w:val="434B790E"/>
    <w:rsid w:val="43516469"/>
    <w:rsid w:val="4360274F"/>
    <w:rsid w:val="437B7E38"/>
    <w:rsid w:val="43820630"/>
    <w:rsid w:val="4383734A"/>
    <w:rsid w:val="43977AB6"/>
    <w:rsid w:val="43A3342B"/>
    <w:rsid w:val="43BA2B9E"/>
    <w:rsid w:val="43C77C27"/>
    <w:rsid w:val="43DE09EE"/>
    <w:rsid w:val="44002FAD"/>
    <w:rsid w:val="449101DD"/>
    <w:rsid w:val="44A63584"/>
    <w:rsid w:val="44DE1391"/>
    <w:rsid w:val="451B225C"/>
    <w:rsid w:val="452410C9"/>
    <w:rsid w:val="45317DFB"/>
    <w:rsid w:val="45613CC5"/>
    <w:rsid w:val="456D3CE4"/>
    <w:rsid w:val="45701158"/>
    <w:rsid w:val="4579042C"/>
    <w:rsid w:val="457F0571"/>
    <w:rsid w:val="45851176"/>
    <w:rsid w:val="458D0AB3"/>
    <w:rsid w:val="45C63B94"/>
    <w:rsid w:val="460217CB"/>
    <w:rsid w:val="460E7DA5"/>
    <w:rsid w:val="46422483"/>
    <w:rsid w:val="4659254A"/>
    <w:rsid w:val="465B0637"/>
    <w:rsid w:val="465E3F0D"/>
    <w:rsid w:val="466A16E6"/>
    <w:rsid w:val="46893F2B"/>
    <w:rsid w:val="469D3090"/>
    <w:rsid w:val="46C4686E"/>
    <w:rsid w:val="46C832BD"/>
    <w:rsid w:val="46CA1CB5"/>
    <w:rsid w:val="471B77B2"/>
    <w:rsid w:val="472B7749"/>
    <w:rsid w:val="476D6BB3"/>
    <w:rsid w:val="477A771E"/>
    <w:rsid w:val="477B778F"/>
    <w:rsid w:val="478203EC"/>
    <w:rsid w:val="47B025FA"/>
    <w:rsid w:val="47CA1EC8"/>
    <w:rsid w:val="4809698F"/>
    <w:rsid w:val="4811697D"/>
    <w:rsid w:val="48763A80"/>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D03350"/>
    <w:rsid w:val="49E41FCC"/>
    <w:rsid w:val="49E56CB7"/>
    <w:rsid w:val="49F6167F"/>
    <w:rsid w:val="4A064FA0"/>
    <w:rsid w:val="4A16615C"/>
    <w:rsid w:val="4A174DEF"/>
    <w:rsid w:val="4A3859E2"/>
    <w:rsid w:val="4A4424D7"/>
    <w:rsid w:val="4A5F19A9"/>
    <w:rsid w:val="4A9578C3"/>
    <w:rsid w:val="4AA15419"/>
    <w:rsid w:val="4AA46948"/>
    <w:rsid w:val="4AB82D0F"/>
    <w:rsid w:val="4AEB7664"/>
    <w:rsid w:val="4AFD7C19"/>
    <w:rsid w:val="4B0567D1"/>
    <w:rsid w:val="4B236AAE"/>
    <w:rsid w:val="4B5E0F27"/>
    <w:rsid w:val="4B6B1EF9"/>
    <w:rsid w:val="4B707271"/>
    <w:rsid w:val="4B9739F7"/>
    <w:rsid w:val="4BEE2503"/>
    <w:rsid w:val="4C245A30"/>
    <w:rsid w:val="4C8543E0"/>
    <w:rsid w:val="4CAF732D"/>
    <w:rsid w:val="4CB6685F"/>
    <w:rsid w:val="4CC367FE"/>
    <w:rsid w:val="4CC57C44"/>
    <w:rsid w:val="4CEE6EA6"/>
    <w:rsid w:val="4D077F3C"/>
    <w:rsid w:val="4D123355"/>
    <w:rsid w:val="4D1926F0"/>
    <w:rsid w:val="4D2A3B31"/>
    <w:rsid w:val="4D312C52"/>
    <w:rsid w:val="4D355572"/>
    <w:rsid w:val="4D905305"/>
    <w:rsid w:val="4D964A72"/>
    <w:rsid w:val="4D9C1254"/>
    <w:rsid w:val="4DD40BFF"/>
    <w:rsid w:val="4DEB281B"/>
    <w:rsid w:val="4DFF0631"/>
    <w:rsid w:val="4DFF0D96"/>
    <w:rsid w:val="4E512E8A"/>
    <w:rsid w:val="4E793892"/>
    <w:rsid w:val="4E800872"/>
    <w:rsid w:val="4EC569ED"/>
    <w:rsid w:val="4ED50EA1"/>
    <w:rsid w:val="4EDC4104"/>
    <w:rsid w:val="4EDF1ABC"/>
    <w:rsid w:val="4EDF237F"/>
    <w:rsid w:val="4EEC050C"/>
    <w:rsid w:val="4F0911AA"/>
    <w:rsid w:val="4F0E4A13"/>
    <w:rsid w:val="4F104EC3"/>
    <w:rsid w:val="4F47354A"/>
    <w:rsid w:val="4F911C54"/>
    <w:rsid w:val="4FE625E0"/>
    <w:rsid w:val="4FE958A7"/>
    <w:rsid w:val="4FEA5B24"/>
    <w:rsid w:val="4FF95729"/>
    <w:rsid w:val="5021480F"/>
    <w:rsid w:val="506623A7"/>
    <w:rsid w:val="507632DA"/>
    <w:rsid w:val="50770C26"/>
    <w:rsid w:val="50962ECB"/>
    <w:rsid w:val="50A42E38"/>
    <w:rsid w:val="50A4577F"/>
    <w:rsid w:val="50B73D1F"/>
    <w:rsid w:val="50BD5BC9"/>
    <w:rsid w:val="50C11EEE"/>
    <w:rsid w:val="50CD3058"/>
    <w:rsid w:val="50E97CFC"/>
    <w:rsid w:val="50FA4028"/>
    <w:rsid w:val="510A0DDE"/>
    <w:rsid w:val="510D65B7"/>
    <w:rsid w:val="511157AB"/>
    <w:rsid w:val="5142540C"/>
    <w:rsid w:val="517F7502"/>
    <w:rsid w:val="518832C8"/>
    <w:rsid w:val="51A0432A"/>
    <w:rsid w:val="51A74E09"/>
    <w:rsid w:val="51A75F8F"/>
    <w:rsid w:val="51A81AC5"/>
    <w:rsid w:val="51A86090"/>
    <w:rsid w:val="51B7396D"/>
    <w:rsid w:val="51D550BB"/>
    <w:rsid w:val="520C504C"/>
    <w:rsid w:val="522E4CC3"/>
    <w:rsid w:val="52302996"/>
    <w:rsid w:val="5244713B"/>
    <w:rsid w:val="525B6B2A"/>
    <w:rsid w:val="52615633"/>
    <w:rsid w:val="527808EC"/>
    <w:rsid w:val="52977FD4"/>
    <w:rsid w:val="52A25790"/>
    <w:rsid w:val="52A96B6F"/>
    <w:rsid w:val="52B45975"/>
    <w:rsid w:val="52D94AA4"/>
    <w:rsid w:val="52EA3A62"/>
    <w:rsid w:val="52F50BB8"/>
    <w:rsid w:val="52FF2882"/>
    <w:rsid w:val="5302183A"/>
    <w:rsid w:val="53097272"/>
    <w:rsid w:val="53232E56"/>
    <w:rsid w:val="53544462"/>
    <w:rsid w:val="5397158E"/>
    <w:rsid w:val="53B71DC0"/>
    <w:rsid w:val="53BD2C37"/>
    <w:rsid w:val="53CA0D92"/>
    <w:rsid w:val="54013861"/>
    <w:rsid w:val="542D15CF"/>
    <w:rsid w:val="54487265"/>
    <w:rsid w:val="54491F75"/>
    <w:rsid w:val="544D6070"/>
    <w:rsid w:val="54605E1E"/>
    <w:rsid w:val="54835931"/>
    <w:rsid w:val="548A3BD6"/>
    <w:rsid w:val="549459EB"/>
    <w:rsid w:val="54A15EF3"/>
    <w:rsid w:val="54B3506A"/>
    <w:rsid w:val="54CA0D16"/>
    <w:rsid w:val="54DD4057"/>
    <w:rsid w:val="54E7490F"/>
    <w:rsid w:val="550764A4"/>
    <w:rsid w:val="550B2BF6"/>
    <w:rsid w:val="551B318C"/>
    <w:rsid w:val="55214EB5"/>
    <w:rsid w:val="55225E43"/>
    <w:rsid w:val="55364EFD"/>
    <w:rsid w:val="555D4828"/>
    <w:rsid w:val="55691A46"/>
    <w:rsid w:val="557A4C8B"/>
    <w:rsid w:val="558931E1"/>
    <w:rsid w:val="55923347"/>
    <w:rsid w:val="55925180"/>
    <w:rsid w:val="55983B1B"/>
    <w:rsid w:val="559F6FA1"/>
    <w:rsid w:val="55A8376B"/>
    <w:rsid w:val="55A86101"/>
    <w:rsid w:val="55B93746"/>
    <w:rsid w:val="55D04B4D"/>
    <w:rsid w:val="55DC29B6"/>
    <w:rsid w:val="55DD4241"/>
    <w:rsid w:val="562023F9"/>
    <w:rsid w:val="566B6D1E"/>
    <w:rsid w:val="569EA23F"/>
    <w:rsid w:val="56B16294"/>
    <w:rsid w:val="56B9225B"/>
    <w:rsid w:val="57032A2C"/>
    <w:rsid w:val="570453D1"/>
    <w:rsid w:val="570F5219"/>
    <w:rsid w:val="574B0C90"/>
    <w:rsid w:val="575D12B5"/>
    <w:rsid w:val="57610A87"/>
    <w:rsid w:val="577B1140"/>
    <w:rsid w:val="577B7F21"/>
    <w:rsid w:val="577F181B"/>
    <w:rsid w:val="57921984"/>
    <w:rsid w:val="57947A4C"/>
    <w:rsid w:val="579737F0"/>
    <w:rsid w:val="579E4B36"/>
    <w:rsid w:val="57AB7B30"/>
    <w:rsid w:val="57AF5251"/>
    <w:rsid w:val="57B26373"/>
    <w:rsid w:val="57B63F04"/>
    <w:rsid w:val="57CD20C2"/>
    <w:rsid w:val="57CD248A"/>
    <w:rsid w:val="57D675AB"/>
    <w:rsid w:val="57D95FDD"/>
    <w:rsid w:val="583A2674"/>
    <w:rsid w:val="58917D2F"/>
    <w:rsid w:val="5894085C"/>
    <w:rsid w:val="58AE4F0C"/>
    <w:rsid w:val="58B85899"/>
    <w:rsid w:val="58BD6D69"/>
    <w:rsid w:val="58D86C9F"/>
    <w:rsid w:val="58E363A9"/>
    <w:rsid w:val="595E1678"/>
    <w:rsid w:val="596D5BD4"/>
    <w:rsid w:val="597E3DD8"/>
    <w:rsid w:val="59D75337"/>
    <w:rsid w:val="59F80043"/>
    <w:rsid w:val="59FD7B5D"/>
    <w:rsid w:val="5A09252F"/>
    <w:rsid w:val="5A0B2778"/>
    <w:rsid w:val="5A117165"/>
    <w:rsid w:val="5A2A7C7B"/>
    <w:rsid w:val="5A3E2560"/>
    <w:rsid w:val="5A461504"/>
    <w:rsid w:val="5A5D3B6E"/>
    <w:rsid w:val="5A637A76"/>
    <w:rsid w:val="5A6D33BA"/>
    <w:rsid w:val="5A792B1F"/>
    <w:rsid w:val="5A874767"/>
    <w:rsid w:val="5AAD6F28"/>
    <w:rsid w:val="5ABB1358"/>
    <w:rsid w:val="5AD63A24"/>
    <w:rsid w:val="5AF52A20"/>
    <w:rsid w:val="5B080DF0"/>
    <w:rsid w:val="5B2E1A1D"/>
    <w:rsid w:val="5B843A1C"/>
    <w:rsid w:val="5B873E3F"/>
    <w:rsid w:val="5BB0495F"/>
    <w:rsid w:val="5BD33D61"/>
    <w:rsid w:val="5BD36C81"/>
    <w:rsid w:val="5C02690E"/>
    <w:rsid w:val="5C182265"/>
    <w:rsid w:val="5C196DA7"/>
    <w:rsid w:val="5C1F4650"/>
    <w:rsid w:val="5C2A048C"/>
    <w:rsid w:val="5C80234E"/>
    <w:rsid w:val="5C8A680C"/>
    <w:rsid w:val="5C91128F"/>
    <w:rsid w:val="5CC556D5"/>
    <w:rsid w:val="5CCD4019"/>
    <w:rsid w:val="5D0C4701"/>
    <w:rsid w:val="5D0F0395"/>
    <w:rsid w:val="5D221076"/>
    <w:rsid w:val="5D2D0F82"/>
    <w:rsid w:val="5D397964"/>
    <w:rsid w:val="5D4D2245"/>
    <w:rsid w:val="5D5A391C"/>
    <w:rsid w:val="5D5E6285"/>
    <w:rsid w:val="5D5F10C0"/>
    <w:rsid w:val="5D8503D2"/>
    <w:rsid w:val="5D891B7B"/>
    <w:rsid w:val="5DAD38EE"/>
    <w:rsid w:val="5DF41B62"/>
    <w:rsid w:val="5E006862"/>
    <w:rsid w:val="5E0207B9"/>
    <w:rsid w:val="5E1834A1"/>
    <w:rsid w:val="5E261785"/>
    <w:rsid w:val="5E3060A5"/>
    <w:rsid w:val="5E4A7017"/>
    <w:rsid w:val="5E552BBA"/>
    <w:rsid w:val="5E611C10"/>
    <w:rsid w:val="5EAE4B05"/>
    <w:rsid w:val="5EFC7377"/>
    <w:rsid w:val="5F06174D"/>
    <w:rsid w:val="5F261904"/>
    <w:rsid w:val="5F370C6B"/>
    <w:rsid w:val="5F3A3602"/>
    <w:rsid w:val="5F6277C6"/>
    <w:rsid w:val="5F6D0B1D"/>
    <w:rsid w:val="5F8D0B82"/>
    <w:rsid w:val="5FCC5339"/>
    <w:rsid w:val="5FE34A5B"/>
    <w:rsid w:val="5FFE1E36"/>
    <w:rsid w:val="60232584"/>
    <w:rsid w:val="606F1958"/>
    <w:rsid w:val="607330CE"/>
    <w:rsid w:val="60825176"/>
    <w:rsid w:val="609F2AC4"/>
    <w:rsid w:val="60C3313F"/>
    <w:rsid w:val="60E5329F"/>
    <w:rsid w:val="60F72BCB"/>
    <w:rsid w:val="60FA2EE8"/>
    <w:rsid w:val="61054A27"/>
    <w:rsid w:val="610A52BC"/>
    <w:rsid w:val="61130795"/>
    <w:rsid w:val="611D2366"/>
    <w:rsid w:val="61421856"/>
    <w:rsid w:val="615227C4"/>
    <w:rsid w:val="61654E3F"/>
    <w:rsid w:val="6182292A"/>
    <w:rsid w:val="619F7F92"/>
    <w:rsid w:val="61F94C26"/>
    <w:rsid w:val="62000E56"/>
    <w:rsid w:val="624F3E49"/>
    <w:rsid w:val="62576091"/>
    <w:rsid w:val="62632286"/>
    <w:rsid w:val="62885958"/>
    <w:rsid w:val="628C6355"/>
    <w:rsid w:val="62B107F3"/>
    <w:rsid w:val="62F40B65"/>
    <w:rsid w:val="62FC2CFE"/>
    <w:rsid w:val="63024505"/>
    <w:rsid w:val="635B1DB5"/>
    <w:rsid w:val="63711FED"/>
    <w:rsid w:val="637136BF"/>
    <w:rsid w:val="63880DDC"/>
    <w:rsid w:val="638D750D"/>
    <w:rsid w:val="63AC6CC0"/>
    <w:rsid w:val="64055776"/>
    <w:rsid w:val="64240056"/>
    <w:rsid w:val="643E143A"/>
    <w:rsid w:val="647C6435"/>
    <w:rsid w:val="64854F7B"/>
    <w:rsid w:val="648B6EEF"/>
    <w:rsid w:val="64B43C8F"/>
    <w:rsid w:val="64C158BF"/>
    <w:rsid w:val="64CE2EAA"/>
    <w:rsid w:val="653C3090"/>
    <w:rsid w:val="65854376"/>
    <w:rsid w:val="658767BE"/>
    <w:rsid w:val="65892531"/>
    <w:rsid w:val="65AF0A99"/>
    <w:rsid w:val="65AF149E"/>
    <w:rsid w:val="66006714"/>
    <w:rsid w:val="66195831"/>
    <w:rsid w:val="662E75B1"/>
    <w:rsid w:val="662F6ADA"/>
    <w:rsid w:val="66342C2E"/>
    <w:rsid w:val="663C7C5F"/>
    <w:rsid w:val="663E784C"/>
    <w:rsid w:val="666E1009"/>
    <w:rsid w:val="668B6A45"/>
    <w:rsid w:val="66D26BA9"/>
    <w:rsid w:val="66E6653E"/>
    <w:rsid w:val="671A21CC"/>
    <w:rsid w:val="672D5FC6"/>
    <w:rsid w:val="672F3F24"/>
    <w:rsid w:val="673E055F"/>
    <w:rsid w:val="67551CE3"/>
    <w:rsid w:val="67A22552"/>
    <w:rsid w:val="67B22DCC"/>
    <w:rsid w:val="67B94ACA"/>
    <w:rsid w:val="67BE71AA"/>
    <w:rsid w:val="67D90273"/>
    <w:rsid w:val="67DE5875"/>
    <w:rsid w:val="67E22987"/>
    <w:rsid w:val="67E55852"/>
    <w:rsid w:val="67EB1AB4"/>
    <w:rsid w:val="67FA1285"/>
    <w:rsid w:val="680058F8"/>
    <w:rsid w:val="683A03D6"/>
    <w:rsid w:val="68475733"/>
    <w:rsid w:val="6851558A"/>
    <w:rsid w:val="68551F4F"/>
    <w:rsid w:val="687C10C9"/>
    <w:rsid w:val="68840C16"/>
    <w:rsid w:val="68876EFB"/>
    <w:rsid w:val="68884654"/>
    <w:rsid w:val="689F444F"/>
    <w:rsid w:val="68B96DBB"/>
    <w:rsid w:val="68CA2805"/>
    <w:rsid w:val="68E1540B"/>
    <w:rsid w:val="68E937A3"/>
    <w:rsid w:val="69106252"/>
    <w:rsid w:val="692B7DF1"/>
    <w:rsid w:val="693E15D3"/>
    <w:rsid w:val="69627681"/>
    <w:rsid w:val="6977531D"/>
    <w:rsid w:val="69833A63"/>
    <w:rsid w:val="699E5035"/>
    <w:rsid w:val="69C76B2A"/>
    <w:rsid w:val="69CC2BFF"/>
    <w:rsid w:val="69FD55B8"/>
    <w:rsid w:val="6A0B1C62"/>
    <w:rsid w:val="6A2406C8"/>
    <w:rsid w:val="6AA705B2"/>
    <w:rsid w:val="6ACA7D02"/>
    <w:rsid w:val="6ADE0BD1"/>
    <w:rsid w:val="6AE96859"/>
    <w:rsid w:val="6AEB533A"/>
    <w:rsid w:val="6B147746"/>
    <w:rsid w:val="6B24787C"/>
    <w:rsid w:val="6B573233"/>
    <w:rsid w:val="6B5B6274"/>
    <w:rsid w:val="6B612554"/>
    <w:rsid w:val="6B641196"/>
    <w:rsid w:val="6B784689"/>
    <w:rsid w:val="6B817F14"/>
    <w:rsid w:val="6B935D53"/>
    <w:rsid w:val="6BB32772"/>
    <w:rsid w:val="6C196F71"/>
    <w:rsid w:val="6C226FCB"/>
    <w:rsid w:val="6C2918DA"/>
    <w:rsid w:val="6C31226F"/>
    <w:rsid w:val="6C552F0B"/>
    <w:rsid w:val="6C5D26DE"/>
    <w:rsid w:val="6C84482D"/>
    <w:rsid w:val="6C8C67B7"/>
    <w:rsid w:val="6C987AD5"/>
    <w:rsid w:val="6C9D744C"/>
    <w:rsid w:val="6CD83A31"/>
    <w:rsid w:val="6D167928"/>
    <w:rsid w:val="6D26299B"/>
    <w:rsid w:val="6D2C5DC1"/>
    <w:rsid w:val="6D4772EC"/>
    <w:rsid w:val="6D9078AF"/>
    <w:rsid w:val="6D9F3659"/>
    <w:rsid w:val="6DAA3FEF"/>
    <w:rsid w:val="6DC0172B"/>
    <w:rsid w:val="6DCB690C"/>
    <w:rsid w:val="6DD41A5B"/>
    <w:rsid w:val="6DE3508D"/>
    <w:rsid w:val="6DF43C2E"/>
    <w:rsid w:val="6DF51CA3"/>
    <w:rsid w:val="6E8335BD"/>
    <w:rsid w:val="6E8E12EF"/>
    <w:rsid w:val="6E967FF1"/>
    <w:rsid w:val="6E972936"/>
    <w:rsid w:val="6ECC1868"/>
    <w:rsid w:val="6ED446C5"/>
    <w:rsid w:val="6ED958C8"/>
    <w:rsid w:val="6EDC4754"/>
    <w:rsid w:val="6F2A7D94"/>
    <w:rsid w:val="6F310678"/>
    <w:rsid w:val="6F4217D2"/>
    <w:rsid w:val="6F8331F1"/>
    <w:rsid w:val="6FAE1A09"/>
    <w:rsid w:val="6FD75BF8"/>
    <w:rsid w:val="705D67F9"/>
    <w:rsid w:val="707723D0"/>
    <w:rsid w:val="70F5661B"/>
    <w:rsid w:val="70FF1FB5"/>
    <w:rsid w:val="710C353F"/>
    <w:rsid w:val="71360107"/>
    <w:rsid w:val="713B688E"/>
    <w:rsid w:val="714858B4"/>
    <w:rsid w:val="714A4137"/>
    <w:rsid w:val="71D43752"/>
    <w:rsid w:val="71F1796A"/>
    <w:rsid w:val="71FA6D52"/>
    <w:rsid w:val="72154626"/>
    <w:rsid w:val="721C77D7"/>
    <w:rsid w:val="72262B5D"/>
    <w:rsid w:val="72283FF7"/>
    <w:rsid w:val="722E7212"/>
    <w:rsid w:val="723A0474"/>
    <w:rsid w:val="725923E4"/>
    <w:rsid w:val="72864BF7"/>
    <w:rsid w:val="729023FC"/>
    <w:rsid w:val="72CE1D92"/>
    <w:rsid w:val="72E2290F"/>
    <w:rsid w:val="72E820EE"/>
    <w:rsid w:val="73012015"/>
    <w:rsid w:val="734B00E0"/>
    <w:rsid w:val="73683F81"/>
    <w:rsid w:val="739D493C"/>
    <w:rsid w:val="73C0646E"/>
    <w:rsid w:val="73D72C34"/>
    <w:rsid w:val="7414117C"/>
    <w:rsid w:val="741A1211"/>
    <w:rsid w:val="742222F5"/>
    <w:rsid w:val="743B713A"/>
    <w:rsid w:val="74476126"/>
    <w:rsid w:val="744E76B7"/>
    <w:rsid w:val="74706664"/>
    <w:rsid w:val="747F3682"/>
    <w:rsid w:val="749C4185"/>
    <w:rsid w:val="749D7C99"/>
    <w:rsid w:val="74E249F9"/>
    <w:rsid w:val="7500081F"/>
    <w:rsid w:val="75067759"/>
    <w:rsid w:val="752E6DCD"/>
    <w:rsid w:val="753A41D8"/>
    <w:rsid w:val="7551380D"/>
    <w:rsid w:val="75600BE5"/>
    <w:rsid w:val="7564475C"/>
    <w:rsid w:val="7583797F"/>
    <w:rsid w:val="75C35DE6"/>
    <w:rsid w:val="75D20F1D"/>
    <w:rsid w:val="75DA2C18"/>
    <w:rsid w:val="75F54412"/>
    <w:rsid w:val="761D08E0"/>
    <w:rsid w:val="761D0EC0"/>
    <w:rsid w:val="765D347C"/>
    <w:rsid w:val="765E3FEF"/>
    <w:rsid w:val="76732FEE"/>
    <w:rsid w:val="76826699"/>
    <w:rsid w:val="76C87133"/>
    <w:rsid w:val="76CD08D5"/>
    <w:rsid w:val="76DB4B92"/>
    <w:rsid w:val="76EC75C5"/>
    <w:rsid w:val="76F41491"/>
    <w:rsid w:val="76FD32A9"/>
    <w:rsid w:val="77052AA4"/>
    <w:rsid w:val="77136511"/>
    <w:rsid w:val="77340A39"/>
    <w:rsid w:val="77351FD0"/>
    <w:rsid w:val="77472422"/>
    <w:rsid w:val="7762504C"/>
    <w:rsid w:val="77707B0E"/>
    <w:rsid w:val="777F31F2"/>
    <w:rsid w:val="77855D4D"/>
    <w:rsid w:val="77AB3185"/>
    <w:rsid w:val="77BA276B"/>
    <w:rsid w:val="77BD0700"/>
    <w:rsid w:val="77D1700D"/>
    <w:rsid w:val="77EC04CC"/>
    <w:rsid w:val="77F35B7E"/>
    <w:rsid w:val="7838116A"/>
    <w:rsid w:val="78775729"/>
    <w:rsid w:val="78A42DB0"/>
    <w:rsid w:val="78A656AB"/>
    <w:rsid w:val="78AA4AF0"/>
    <w:rsid w:val="78B2245C"/>
    <w:rsid w:val="78C83EF9"/>
    <w:rsid w:val="78E172CC"/>
    <w:rsid w:val="78EA1D1F"/>
    <w:rsid w:val="7904172F"/>
    <w:rsid w:val="79074C3A"/>
    <w:rsid w:val="790F7E27"/>
    <w:rsid w:val="792A231A"/>
    <w:rsid w:val="79316829"/>
    <w:rsid w:val="797E66A9"/>
    <w:rsid w:val="79A97383"/>
    <w:rsid w:val="79E212A7"/>
    <w:rsid w:val="79E27E8B"/>
    <w:rsid w:val="79F850CE"/>
    <w:rsid w:val="79FD443C"/>
    <w:rsid w:val="7A1D1975"/>
    <w:rsid w:val="7A3E5150"/>
    <w:rsid w:val="7A4670D6"/>
    <w:rsid w:val="7A5258BB"/>
    <w:rsid w:val="7A534B63"/>
    <w:rsid w:val="7A615382"/>
    <w:rsid w:val="7A67303B"/>
    <w:rsid w:val="7AAB1D04"/>
    <w:rsid w:val="7AB3644D"/>
    <w:rsid w:val="7ABA4368"/>
    <w:rsid w:val="7ACB59A3"/>
    <w:rsid w:val="7AD05746"/>
    <w:rsid w:val="7AF21BC8"/>
    <w:rsid w:val="7B257FFD"/>
    <w:rsid w:val="7B343476"/>
    <w:rsid w:val="7B3E2E2F"/>
    <w:rsid w:val="7B5A2978"/>
    <w:rsid w:val="7B5A7E4C"/>
    <w:rsid w:val="7B667AF9"/>
    <w:rsid w:val="7B7468F8"/>
    <w:rsid w:val="7BA81073"/>
    <w:rsid w:val="7BEE0103"/>
    <w:rsid w:val="7C0A0FE4"/>
    <w:rsid w:val="7C2001FE"/>
    <w:rsid w:val="7C254906"/>
    <w:rsid w:val="7C421432"/>
    <w:rsid w:val="7C590818"/>
    <w:rsid w:val="7C7C10F6"/>
    <w:rsid w:val="7C853BEA"/>
    <w:rsid w:val="7C881368"/>
    <w:rsid w:val="7C9E6B26"/>
    <w:rsid w:val="7CE27788"/>
    <w:rsid w:val="7D0C32F1"/>
    <w:rsid w:val="7D0F408D"/>
    <w:rsid w:val="7D491C6C"/>
    <w:rsid w:val="7D5429C0"/>
    <w:rsid w:val="7D6E6D43"/>
    <w:rsid w:val="7D7F469A"/>
    <w:rsid w:val="7D935010"/>
    <w:rsid w:val="7DB57A34"/>
    <w:rsid w:val="7DE60973"/>
    <w:rsid w:val="7DEF0916"/>
    <w:rsid w:val="7E0B4A1D"/>
    <w:rsid w:val="7E0D5685"/>
    <w:rsid w:val="7E1E5218"/>
    <w:rsid w:val="7E9A4E1F"/>
    <w:rsid w:val="7EA7723A"/>
    <w:rsid w:val="7EC42148"/>
    <w:rsid w:val="7EF56FBB"/>
    <w:rsid w:val="7F0768EB"/>
    <w:rsid w:val="7F143BEC"/>
    <w:rsid w:val="7F1C260B"/>
    <w:rsid w:val="7F1C7115"/>
    <w:rsid w:val="7F410946"/>
    <w:rsid w:val="7F6531DB"/>
    <w:rsid w:val="7F715AF2"/>
    <w:rsid w:val="7F886E69"/>
    <w:rsid w:val="BB7FA927"/>
    <w:rsid w:val="F3D96E50"/>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7"/>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5">
    <w:name w:val="heading 2"/>
    <w:basedOn w:val="1"/>
    <w:next w:val="1"/>
    <w:link w:val="90"/>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91"/>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92"/>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93"/>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94"/>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26"/>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11">
    <w:name w:val="heading 8"/>
    <w:basedOn w:val="1"/>
    <w:next w:val="1"/>
    <w:link w:val="96"/>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7"/>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autoRedefine/>
    <w:semiHidden/>
    <w:qFormat/>
    <w:uiPriority w:val="99"/>
  </w:style>
  <w:style w:type="table" w:default="1" w:styleId="66">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3">
    <w:name w:val="Body Text Indent1"/>
    <w:basedOn w:val="1"/>
    <w:next w:val="1"/>
    <w:autoRedefine/>
    <w:qFormat/>
    <w:uiPriority w:val="0"/>
    <w:pPr>
      <w:ind w:left="420" w:leftChars="200"/>
    </w:pPr>
  </w:style>
  <w:style w:type="paragraph" w:styleId="13">
    <w:name w:val="toc 7"/>
    <w:basedOn w:val="1"/>
    <w:next w:val="1"/>
    <w:autoRedefine/>
    <w:qFormat/>
    <w:uiPriority w:val="99"/>
    <w:pPr>
      <w:ind w:left="2520" w:leftChars="1200"/>
    </w:pPr>
  </w:style>
  <w:style w:type="paragraph" w:styleId="14">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5">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221"/>
    <w:autoRedefine/>
    <w:qFormat/>
    <w:uiPriority w:val="99"/>
    <w:pPr>
      <w:widowControl/>
      <w:snapToGrid w:val="0"/>
      <w:spacing w:line="480" w:lineRule="exact"/>
      <w:ind w:firstLine="567"/>
    </w:pPr>
    <w:rPr>
      <w:rFonts w:ascii="宋体"/>
      <w:color w:val="000000"/>
      <w:kern w:val="28"/>
      <w:sz w:val="28"/>
      <w:szCs w:val="20"/>
    </w:rPr>
  </w:style>
  <w:style w:type="paragraph" w:styleId="18">
    <w:name w:val="caption"/>
    <w:basedOn w:val="1"/>
    <w:next w:val="1"/>
    <w:link w:val="255"/>
    <w:autoRedefine/>
    <w:qFormat/>
    <w:uiPriority w:val="99"/>
    <w:rPr>
      <w:b/>
      <w:sz w:val="28"/>
      <w:szCs w:val="20"/>
    </w:rPr>
  </w:style>
  <w:style w:type="paragraph" w:styleId="19">
    <w:name w:val="index 5"/>
    <w:basedOn w:val="1"/>
    <w:next w:val="1"/>
    <w:autoRedefine/>
    <w:qFormat/>
    <w:uiPriority w:val="99"/>
    <w:pPr>
      <w:adjustRightInd/>
      <w:ind w:left="800" w:leftChars="800" w:firstLine="200" w:firstLineChars="200"/>
    </w:pPr>
  </w:style>
  <w:style w:type="paragraph" w:styleId="20">
    <w:name w:val="Document Map"/>
    <w:basedOn w:val="1"/>
    <w:link w:val="230"/>
    <w:autoRedefine/>
    <w:qFormat/>
    <w:uiPriority w:val="99"/>
    <w:pPr>
      <w:shd w:val="clear" w:color="auto" w:fill="000080"/>
    </w:pPr>
    <w:rPr>
      <w:sz w:val="24"/>
      <w:szCs w:val="20"/>
    </w:rPr>
  </w:style>
  <w:style w:type="paragraph" w:styleId="21">
    <w:name w:val="annotation text"/>
    <w:basedOn w:val="1"/>
    <w:link w:val="358"/>
    <w:autoRedefine/>
    <w:qFormat/>
    <w:uiPriority w:val="99"/>
    <w:pPr>
      <w:jc w:val="left"/>
    </w:pPr>
    <w:rPr>
      <w:sz w:val="24"/>
      <w:szCs w:val="20"/>
    </w:rPr>
  </w:style>
  <w:style w:type="paragraph" w:styleId="22">
    <w:name w:val="Salutation"/>
    <w:basedOn w:val="1"/>
    <w:next w:val="1"/>
    <w:link w:val="102"/>
    <w:autoRedefine/>
    <w:qFormat/>
    <w:uiPriority w:val="99"/>
    <w:rPr>
      <w:rFonts w:ascii="仿宋_GB2312" w:eastAsia="仿宋_GB2312"/>
      <w:sz w:val="28"/>
      <w:szCs w:val="20"/>
    </w:rPr>
  </w:style>
  <w:style w:type="paragraph" w:styleId="23">
    <w:name w:val="Body Text 3"/>
    <w:basedOn w:val="1"/>
    <w:autoRedefine/>
    <w:unhideWhenUsed/>
    <w:qFormat/>
    <w:uiPriority w:val="99"/>
    <w:pPr>
      <w:spacing w:after="120"/>
    </w:pPr>
    <w:rPr>
      <w:sz w:val="16"/>
      <w:szCs w:val="16"/>
    </w:rPr>
  </w:style>
  <w:style w:type="paragraph" w:styleId="24">
    <w:name w:val="List Bullet 3"/>
    <w:basedOn w:val="1"/>
    <w:autoRedefine/>
    <w:qFormat/>
    <w:uiPriority w:val="99"/>
    <w:pPr>
      <w:snapToGrid w:val="0"/>
      <w:spacing w:line="360" w:lineRule="auto"/>
      <w:ind w:left="360" w:right="238" w:hanging="360"/>
      <w:contextualSpacing/>
    </w:pPr>
    <w:rPr>
      <w:sz w:val="24"/>
    </w:rPr>
  </w:style>
  <w:style w:type="paragraph" w:styleId="25">
    <w:name w:val="Body Text"/>
    <w:basedOn w:val="1"/>
    <w:next w:val="26"/>
    <w:link w:val="98"/>
    <w:autoRedefine/>
    <w:qFormat/>
    <w:uiPriority w:val="99"/>
    <w:pPr>
      <w:autoSpaceDE w:val="0"/>
      <w:autoSpaceDN w:val="0"/>
      <w:spacing w:line="360" w:lineRule="auto"/>
    </w:pPr>
    <w:rPr>
      <w:rFonts w:ascii="宋体" w:hAnsi="Arial" w:cs="Arial"/>
      <w:sz w:val="24"/>
      <w:szCs w:val="21"/>
      <w:lang w:val="zh-CN"/>
    </w:rPr>
  </w:style>
  <w:style w:type="paragraph" w:styleId="26">
    <w:name w:val="Body Text First Indent"/>
    <w:basedOn w:val="25"/>
    <w:next w:val="1"/>
    <w:link w:val="99"/>
    <w:autoRedefine/>
    <w:qFormat/>
    <w:uiPriority w:val="99"/>
    <w:pPr>
      <w:ind w:firstLine="420"/>
    </w:pPr>
    <w:rPr>
      <w:rFonts w:hAnsi="Times New Roman" w:cs="Times New Roman"/>
      <w:szCs w:val="20"/>
    </w:rPr>
  </w:style>
  <w:style w:type="paragraph" w:styleId="27">
    <w:name w:val="Body Text Indent"/>
    <w:basedOn w:val="1"/>
    <w:next w:val="1"/>
    <w:link w:val="104"/>
    <w:autoRedefine/>
    <w:qFormat/>
    <w:uiPriority w:val="99"/>
    <w:pPr>
      <w:spacing w:line="480" w:lineRule="exact"/>
      <w:ind w:firstLine="480" w:firstLineChars="200"/>
    </w:pPr>
    <w:rPr>
      <w:rFonts w:ascii="宋体" w:hAnsi="宋体"/>
      <w:sz w:val="24"/>
    </w:rPr>
  </w:style>
  <w:style w:type="paragraph" w:styleId="28">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99"/>
    <w:pPr>
      <w:adjustRightInd/>
      <w:spacing w:line="360" w:lineRule="auto"/>
      <w:ind w:left="100" w:leftChars="200" w:hanging="200" w:hangingChars="200"/>
    </w:pPr>
    <w:rPr>
      <w:rFonts w:eastAsia="微软雅黑"/>
    </w:rPr>
  </w:style>
  <w:style w:type="paragraph" w:styleId="30">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32">
    <w:name w:val="HTML Address"/>
    <w:basedOn w:val="1"/>
    <w:link w:val="105"/>
    <w:autoRedefine/>
    <w:qFormat/>
    <w:uiPriority w:val="99"/>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99"/>
    <w:pPr>
      <w:ind w:left="1680" w:leftChars="800"/>
    </w:pPr>
  </w:style>
  <w:style w:type="paragraph" w:styleId="34">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5">
    <w:name w:val="Plain Text"/>
    <w:basedOn w:val="1"/>
    <w:next w:val="36"/>
    <w:link w:val="106"/>
    <w:autoRedefine/>
    <w:qFormat/>
    <w:uiPriority w:val="99"/>
    <w:rPr>
      <w:rFonts w:ascii="宋体" w:hAnsi="Courier New" w:cs="Arial"/>
      <w:szCs w:val="21"/>
    </w:rPr>
  </w:style>
  <w:style w:type="paragraph" w:styleId="36">
    <w:name w:val="index 7"/>
    <w:basedOn w:val="1"/>
    <w:next w:val="1"/>
    <w:autoRedefine/>
    <w:semiHidden/>
    <w:qFormat/>
    <w:locked/>
    <w:uiPriority w:val="0"/>
    <w:pPr>
      <w:ind w:left="1200" w:leftChars="1200"/>
    </w:pPr>
  </w:style>
  <w:style w:type="paragraph" w:styleId="37">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99"/>
    <w:pPr>
      <w:ind w:left="2940" w:leftChars="1400"/>
    </w:pPr>
  </w:style>
  <w:style w:type="paragraph" w:styleId="39">
    <w:name w:val="Date"/>
    <w:basedOn w:val="1"/>
    <w:next w:val="1"/>
    <w:link w:val="107"/>
    <w:autoRedefine/>
    <w:qFormat/>
    <w:uiPriority w:val="99"/>
    <w:pPr>
      <w:ind w:left="100" w:leftChars="2500"/>
    </w:pPr>
    <w:rPr>
      <w:rFonts w:ascii="宋体"/>
      <w:sz w:val="24"/>
      <w:szCs w:val="21"/>
      <w:lang w:val="zh-CN"/>
    </w:rPr>
  </w:style>
  <w:style w:type="paragraph" w:styleId="40">
    <w:name w:val="Body Text Indent 2"/>
    <w:basedOn w:val="1"/>
    <w:link w:val="108"/>
    <w:autoRedefine/>
    <w:qFormat/>
    <w:uiPriority w:val="99"/>
    <w:pPr>
      <w:spacing w:line="360" w:lineRule="auto"/>
      <w:ind w:firstLine="601"/>
      <w:textAlignment w:val="baseline"/>
    </w:pPr>
    <w:rPr>
      <w:rFonts w:ascii="宋体"/>
      <w:kern w:val="0"/>
      <w:sz w:val="28"/>
      <w:szCs w:val="20"/>
    </w:rPr>
  </w:style>
  <w:style w:type="paragraph" w:styleId="41">
    <w:name w:val="endnote text"/>
    <w:basedOn w:val="1"/>
    <w:link w:val="109"/>
    <w:autoRedefine/>
    <w:qFormat/>
    <w:uiPriority w:val="99"/>
    <w:rPr>
      <w:lang w:val="zh-CN"/>
    </w:rPr>
  </w:style>
  <w:style w:type="paragraph" w:styleId="42">
    <w:name w:val="Balloon Text"/>
    <w:basedOn w:val="1"/>
    <w:link w:val="216"/>
    <w:autoRedefine/>
    <w:qFormat/>
    <w:uiPriority w:val="99"/>
    <w:rPr>
      <w:sz w:val="18"/>
      <w:szCs w:val="20"/>
    </w:rPr>
  </w:style>
  <w:style w:type="paragraph" w:styleId="43">
    <w:name w:val="footer"/>
    <w:basedOn w:val="1"/>
    <w:link w:val="394"/>
    <w:autoRedefine/>
    <w:qFormat/>
    <w:uiPriority w:val="99"/>
    <w:pPr>
      <w:tabs>
        <w:tab w:val="center" w:pos="4153"/>
        <w:tab w:val="right" w:pos="8306"/>
      </w:tabs>
      <w:snapToGrid w:val="0"/>
      <w:jc w:val="left"/>
    </w:pPr>
    <w:rPr>
      <w:sz w:val="18"/>
      <w:szCs w:val="20"/>
    </w:rPr>
  </w:style>
  <w:style w:type="paragraph" w:styleId="44">
    <w:name w:val="envelope return"/>
    <w:basedOn w:val="1"/>
    <w:autoRedefine/>
    <w:qFormat/>
    <w:locked/>
    <w:uiPriority w:val="0"/>
    <w:pPr>
      <w:snapToGrid w:val="0"/>
    </w:pPr>
    <w:rPr>
      <w:rFonts w:ascii="Arial" w:hAnsi="Arial"/>
    </w:rPr>
  </w:style>
  <w:style w:type="paragraph" w:styleId="45">
    <w:name w:val="header"/>
    <w:basedOn w:val="1"/>
    <w:link w:val="403"/>
    <w:autoRedefine/>
    <w:qFormat/>
    <w:uiPriority w:val="99"/>
    <w:pPr>
      <w:pBdr>
        <w:bottom w:val="single" w:color="auto" w:sz="6" w:space="1"/>
      </w:pBdr>
      <w:tabs>
        <w:tab w:val="center" w:pos="4153"/>
        <w:tab w:val="right" w:pos="8306"/>
      </w:tabs>
      <w:snapToGrid w:val="0"/>
      <w:jc w:val="center"/>
    </w:pPr>
    <w:rPr>
      <w:sz w:val="18"/>
      <w:szCs w:val="20"/>
    </w:rPr>
  </w:style>
  <w:style w:type="paragraph" w:styleId="46">
    <w:name w:val="Signature"/>
    <w:basedOn w:val="1"/>
    <w:link w:val="113"/>
    <w:autoRedefine/>
    <w:qFormat/>
    <w:uiPriority w:val="99"/>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99"/>
  </w:style>
  <w:style w:type="paragraph" w:styleId="48">
    <w:name w:val="toc 4"/>
    <w:basedOn w:val="1"/>
    <w:next w:val="1"/>
    <w:autoRedefine/>
    <w:qFormat/>
    <w:uiPriority w:val="99"/>
    <w:pPr>
      <w:ind w:left="1260" w:leftChars="600"/>
    </w:pPr>
  </w:style>
  <w:style w:type="paragraph" w:styleId="49">
    <w:name w:val="index heading"/>
    <w:basedOn w:val="1"/>
    <w:next w:val="50"/>
    <w:autoRedefine/>
    <w:qFormat/>
    <w:uiPriority w:val="99"/>
    <w:pPr>
      <w:adjustRightInd/>
      <w:ind w:firstLine="200" w:firstLineChars="200"/>
    </w:pPr>
  </w:style>
  <w:style w:type="paragraph" w:styleId="50">
    <w:name w:val="index 1"/>
    <w:basedOn w:val="1"/>
    <w:next w:val="1"/>
    <w:autoRedefine/>
    <w:qFormat/>
    <w:uiPriority w:val="99"/>
    <w:pPr>
      <w:adjustRightInd/>
      <w:spacing w:line="360" w:lineRule="auto"/>
      <w:ind w:firstLine="200" w:firstLineChars="200"/>
      <w:jc w:val="center"/>
    </w:pPr>
    <w:rPr>
      <w:sz w:val="24"/>
      <w:szCs w:val="20"/>
    </w:rPr>
  </w:style>
  <w:style w:type="paragraph" w:styleId="51">
    <w:name w:val="Subtitle"/>
    <w:basedOn w:val="1"/>
    <w:link w:val="114"/>
    <w:autoRedefine/>
    <w:qFormat/>
    <w:uiPriority w:val="99"/>
    <w:pPr>
      <w:widowControl/>
      <w:snapToGrid w:val="0"/>
      <w:spacing w:before="240" w:after="480"/>
      <w:jc w:val="center"/>
    </w:pPr>
    <w:rPr>
      <w:rFonts w:ascii="Arial" w:hAnsi="Arial" w:eastAsia="隶书"/>
      <w:b/>
      <w:bCs/>
      <w:kern w:val="28"/>
      <w:sz w:val="44"/>
      <w:szCs w:val="32"/>
    </w:rPr>
  </w:style>
  <w:style w:type="paragraph" w:styleId="52">
    <w:name w:val="List Number 5"/>
    <w:basedOn w:val="1"/>
    <w:autoRedefine/>
    <w:qFormat/>
    <w:uiPriority w:val="99"/>
    <w:pPr>
      <w:tabs>
        <w:tab w:val="left" w:pos="902"/>
      </w:tabs>
      <w:adjustRightInd/>
      <w:spacing w:line="400" w:lineRule="exact"/>
      <w:ind w:left="902" w:hanging="420"/>
    </w:pPr>
    <w:rPr>
      <w:sz w:val="24"/>
      <w:szCs w:val="20"/>
    </w:rPr>
  </w:style>
  <w:style w:type="paragraph" w:styleId="53">
    <w:name w:val="List"/>
    <w:basedOn w:val="1"/>
    <w:autoRedefine/>
    <w:qFormat/>
    <w:uiPriority w:val="99"/>
    <w:pPr>
      <w:ind w:left="200" w:hanging="200" w:hangingChars="200"/>
    </w:pPr>
  </w:style>
  <w:style w:type="paragraph" w:styleId="54">
    <w:name w:val="footnote text"/>
    <w:basedOn w:val="17"/>
    <w:link w:val="115"/>
    <w:autoRedefine/>
    <w:qFormat/>
    <w:uiPriority w:val="99"/>
    <w:pPr>
      <w:adjustRightInd/>
      <w:snapToGrid/>
      <w:spacing w:before="60" w:after="60" w:line="300" w:lineRule="exact"/>
      <w:ind w:firstLine="0"/>
    </w:pPr>
    <w:rPr>
      <w:rFonts w:ascii="Times New Roman"/>
      <w:color w:val="0000FF"/>
      <w:kern w:val="0"/>
      <w:sz w:val="21"/>
    </w:rPr>
  </w:style>
  <w:style w:type="paragraph" w:styleId="55">
    <w:name w:val="toc 6"/>
    <w:basedOn w:val="1"/>
    <w:next w:val="1"/>
    <w:autoRedefine/>
    <w:qFormat/>
    <w:uiPriority w:val="99"/>
    <w:pPr>
      <w:ind w:left="2100" w:leftChars="1000"/>
    </w:pPr>
  </w:style>
  <w:style w:type="paragraph" w:styleId="56">
    <w:name w:val="List 5"/>
    <w:basedOn w:val="1"/>
    <w:autoRedefine/>
    <w:qFormat/>
    <w:uiPriority w:val="99"/>
    <w:pPr>
      <w:adjustRightInd/>
      <w:ind w:left="100" w:leftChars="800" w:hanging="200" w:hangingChars="200"/>
    </w:pPr>
  </w:style>
  <w:style w:type="paragraph" w:styleId="57">
    <w:name w:val="Body Text Indent 3"/>
    <w:basedOn w:val="1"/>
    <w:link w:val="116"/>
    <w:autoRedefine/>
    <w:qFormat/>
    <w:uiPriority w:val="99"/>
    <w:pPr>
      <w:spacing w:line="360" w:lineRule="auto"/>
      <w:ind w:firstLine="420"/>
    </w:pPr>
    <w:rPr>
      <w:sz w:val="24"/>
      <w:szCs w:val="20"/>
    </w:rPr>
  </w:style>
  <w:style w:type="paragraph" w:styleId="58">
    <w:name w:val="toc 2"/>
    <w:basedOn w:val="1"/>
    <w:next w:val="1"/>
    <w:autoRedefine/>
    <w:qFormat/>
    <w:uiPriority w:val="99"/>
    <w:pPr>
      <w:ind w:left="420" w:leftChars="200"/>
    </w:pPr>
  </w:style>
  <w:style w:type="paragraph" w:styleId="59">
    <w:name w:val="toc 9"/>
    <w:basedOn w:val="1"/>
    <w:next w:val="1"/>
    <w:autoRedefine/>
    <w:qFormat/>
    <w:uiPriority w:val="99"/>
    <w:pPr>
      <w:ind w:left="3360" w:leftChars="1600"/>
    </w:pPr>
  </w:style>
  <w:style w:type="paragraph" w:styleId="60">
    <w:name w:val="Body Text 2"/>
    <w:basedOn w:val="1"/>
    <w:next w:val="1"/>
    <w:link w:val="117"/>
    <w:autoRedefine/>
    <w:qFormat/>
    <w:uiPriority w:val="99"/>
    <w:pPr>
      <w:spacing w:after="120" w:line="480" w:lineRule="auto"/>
    </w:pPr>
  </w:style>
  <w:style w:type="paragraph" w:styleId="61">
    <w:name w:val="HTML Preformatted"/>
    <w:basedOn w:val="1"/>
    <w:link w:val="11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119"/>
    <w:autoRedefine/>
    <w:qFormat/>
    <w:uiPriority w:val="99"/>
    <w:pPr>
      <w:widowControl/>
      <w:overflowPunct w:val="0"/>
      <w:autoSpaceDE w:val="0"/>
      <w:autoSpaceDN w:val="0"/>
      <w:jc w:val="center"/>
      <w:textAlignment w:val="baseline"/>
    </w:pPr>
    <w:rPr>
      <w:b/>
      <w:kern w:val="0"/>
      <w:sz w:val="24"/>
      <w:szCs w:val="20"/>
      <w:lang w:val="en-GB"/>
    </w:rPr>
  </w:style>
  <w:style w:type="paragraph" w:styleId="64">
    <w:name w:val="annotation subject"/>
    <w:basedOn w:val="21"/>
    <w:next w:val="21"/>
    <w:link w:val="120"/>
    <w:autoRedefine/>
    <w:qFormat/>
    <w:uiPriority w:val="99"/>
    <w:rPr>
      <w:b/>
      <w:bCs/>
    </w:rPr>
  </w:style>
  <w:style w:type="paragraph" w:styleId="65">
    <w:name w:val="Body Text First Indent 2"/>
    <w:basedOn w:val="27"/>
    <w:link w:val="121"/>
    <w:autoRedefine/>
    <w:qFormat/>
    <w:uiPriority w:val="99"/>
    <w:pPr>
      <w:adjustRightInd/>
      <w:spacing w:after="120" w:line="240" w:lineRule="auto"/>
      <w:ind w:left="420" w:leftChars="200" w:firstLine="210"/>
    </w:pPr>
    <w:rPr>
      <w:sz w:val="21"/>
    </w:rPr>
  </w:style>
  <w:style w:type="table" w:styleId="67">
    <w:name w:val="Table Grid"/>
    <w:basedOn w:val="66"/>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basedOn w:val="73"/>
    <w:autoRedefine/>
    <w:qFormat/>
    <w:uiPriority w:val="99"/>
    <w:rPr>
      <w:rFonts w:cs="Times New Roman"/>
      <w:b/>
    </w:rPr>
  </w:style>
  <w:style w:type="character" w:styleId="75">
    <w:name w:val="endnote reference"/>
    <w:basedOn w:val="73"/>
    <w:autoRedefine/>
    <w:qFormat/>
    <w:uiPriority w:val="99"/>
    <w:rPr>
      <w:rFonts w:cs="Times New Roman"/>
      <w:vertAlign w:val="superscript"/>
    </w:rPr>
  </w:style>
  <w:style w:type="character" w:styleId="76">
    <w:name w:val="page number"/>
    <w:basedOn w:val="73"/>
    <w:autoRedefine/>
    <w:qFormat/>
    <w:uiPriority w:val="99"/>
    <w:rPr>
      <w:rFonts w:ascii="Arial" w:hAnsi="Arial" w:eastAsia="黑体" w:cs="Arial"/>
      <w:snapToGrid w:val="0"/>
      <w:kern w:val="0"/>
      <w:sz w:val="21"/>
      <w:szCs w:val="21"/>
    </w:rPr>
  </w:style>
  <w:style w:type="character" w:styleId="77">
    <w:name w:val="FollowedHyperlink"/>
    <w:basedOn w:val="73"/>
    <w:autoRedefine/>
    <w:qFormat/>
    <w:uiPriority w:val="99"/>
    <w:rPr>
      <w:rFonts w:ascii="Arial" w:hAnsi="Arial" w:eastAsia="黑体" w:cs="Times New Roman"/>
      <w:snapToGrid w:val="0"/>
      <w:color w:val="000000"/>
      <w:kern w:val="0"/>
      <w:sz w:val="18"/>
      <w:u w:val="none"/>
    </w:rPr>
  </w:style>
  <w:style w:type="character" w:styleId="78">
    <w:name w:val="Emphasis"/>
    <w:basedOn w:val="73"/>
    <w:autoRedefine/>
    <w:qFormat/>
    <w:uiPriority w:val="99"/>
    <w:rPr>
      <w:rFonts w:cs="Times New Roman"/>
      <w:color w:val="CC0033"/>
    </w:rPr>
  </w:style>
  <w:style w:type="character" w:styleId="79">
    <w:name w:val="line number"/>
    <w:basedOn w:val="73"/>
    <w:autoRedefine/>
    <w:qFormat/>
    <w:uiPriority w:val="99"/>
    <w:rPr>
      <w:rFonts w:ascii="Arial" w:hAnsi="Arial" w:eastAsia="黑体" w:cs="Arial"/>
      <w:snapToGrid w:val="0"/>
      <w:kern w:val="0"/>
      <w:sz w:val="21"/>
      <w:szCs w:val="21"/>
    </w:rPr>
  </w:style>
  <w:style w:type="character" w:styleId="80">
    <w:name w:val="Hyperlink"/>
    <w:basedOn w:val="73"/>
    <w:autoRedefine/>
    <w:qFormat/>
    <w:uiPriority w:val="99"/>
    <w:rPr>
      <w:rFonts w:ascii="Arial" w:hAnsi="Arial" w:eastAsia="黑体" w:cs="Times New Roman"/>
      <w:snapToGrid w:val="0"/>
      <w:color w:val="000000"/>
      <w:kern w:val="0"/>
      <w:sz w:val="18"/>
      <w:u w:val="none"/>
    </w:rPr>
  </w:style>
  <w:style w:type="character" w:styleId="81">
    <w:name w:val="HTML Code"/>
    <w:basedOn w:val="73"/>
    <w:autoRedefine/>
    <w:qFormat/>
    <w:uiPriority w:val="99"/>
    <w:rPr>
      <w:rFonts w:ascii="黑体" w:hAnsi="Courier New" w:eastAsia="黑体" w:cs="Times New Roman"/>
      <w:sz w:val="20"/>
    </w:rPr>
  </w:style>
  <w:style w:type="character" w:styleId="82">
    <w:name w:val="annotation reference"/>
    <w:basedOn w:val="73"/>
    <w:autoRedefine/>
    <w:qFormat/>
    <w:uiPriority w:val="99"/>
    <w:rPr>
      <w:rFonts w:cs="Times New Roman"/>
      <w:sz w:val="21"/>
    </w:rPr>
  </w:style>
  <w:style w:type="character" w:styleId="83">
    <w:name w:val="HTML Sample"/>
    <w:basedOn w:val="73"/>
    <w:autoRedefine/>
    <w:semiHidden/>
    <w:unhideWhenUsed/>
    <w:qFormat/>
    <w:locked/>
    <w:uiPriority w:val="99"/>
    <w:rPr>
      <w:rFonts w:ascii="Courier New" w:hAnsi="Courier New"/>
    </w:rPr>
  </w:style>
  <w:style w:type="paragraph" w:customStyle="1" w:styleId="84">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85">
    <w:name w:val="表格文字"/>
    <w:basedOn w:val="86"/>
    <w:next w:val="25"/>
    <w:autoRedefine/>
    <w:qFormat/>
    <w:uiPriority w:val="99"/>
    <w:pPr>
      <w:adjustRightInd/>
      <w:ind w:firstLine="200" w:firstLineChars="200"/>
    </w:pPr>
    <w:rPr>
      <w:rFonts w:ascii="Arial" w:hAnsi="Arial"/>
      <w:spacing w:val="-5"/>
      <w:kern w:val="0"/>
      <w:sz w:val="24"/>
      <w:szCs w:val="20"/>
    </w:rPr>
  </w:style>
  <w:style w:type="paragraph" w:customStyle="1" w:styleId="86">
    <w:name w:val="表格文字（两侧对齐）"/>
    <w:basedOn w:val="1"/>
    <w:autoRedefine/>
    <w:qFormat/>
    <w:uiPriority w:val="0"/>
    <w:pPr>
      <w:snapToGrid w:val="0"/>
    </w:pPr>
    <w:rPr>
      <w:sz w:val="20"/>
      <w:szCs w:val="24"/>
    </w:rPr>
  </w:style>
  <w:style w:type="paragraph" w:customStyle="1" w:styleId="87">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8">
    <w:name w:val="Body Text 31"/>
    <w:basedOn w:val="1"/>
    <w:autoRedefine/>
    <w:qFormat/>
    <w:uiPriority w:val="0"/>
    <w:pPr>
      <w:spacing w:after="120" w:afterLines="0"/>
    </w:pPr>
    <w:rPr>
      <w:sz w:val="16"/>
      <w:szCs w:val="16"/>
    </w:rPr>
  </w:style>
  <w:style w:type="character" w:customStyle="1" w:styleId="89">
    <w:name w:val="Heading 1 Char"/>
    <w:basedOn w:val="73"/>
    <w:link w:val="4"/>
    <w:autoRedefine/>
    <w:qFormat/>
    <w:locked/>
    <w:uiPriority w:val="99"/>
    <w:rPr>
      <w:rFonts w:ascii="Times New Roman" w:hAnsi="Times New Roman" w:eastAsia="黑体" w:cs="Times New Roman"/>
      <w:b/>
      <w:kern w:val="0"/>
      <w:sz w:val="24"/>
    </w:rPr>
  </w:style>
  <w:style w:type="character" w:customStyle="1" w:styleId="90">
    <w:name w:val="Heading 2 Char"/>
    <w:basedOn w:val="73"/>
    <w:link w:val="5"/>
    <w:autoRedefine/>
    <w:semiHidden/>
    <w:qFormat/>
    <w:locked/>
    <w:uiPriority w:val="99"/>
    <w:rPr>
      <w:rFonts w:ascii="Cambria" w:hAnsi="Cambria" w:eastAsia="宋体" w:cs="Times New Roman"/>
      <w:b/>
      <w:bCs/>
      <w:sz w:val="32"/>
      <w:szCs w:val="32"/>
    </w:rPr>
  </w:style>
  <w:style w:type="character" w:customStyle="1" w:styleId="91">
    <w:name w:val="Heading 3 Char"/>
    <w:basedOn w:val="73"/>
    <w:link w:val="6"/>
    <w:autoRedefine/>
    <w:semiHidden/>
    <w:qFormat/>
    <w:locked/>
    <w:uiPriority w:val="99"/>
    <w:rPr>
      <w:rFonts w:cs="Times New Roman"/>
      <w:b/>
      <w:bCs/>
      <w:sz w:val="32"/>
      <w:szCs w:val="32"/>
    </w:rPr>
  </w:style>
  <w:style w:type="character" w:customStyle="1" w:styleId="92">
    <w:name w:val="Heading 4 Char"/>
    <w:basedOn w:val="73"/>
    <w:link w:val="7"/>
    <w:autoRedefine/>
    <w:qFormat/>
    <w:locked/>
    <w:uiPriority w:val="99"/>
    <w:rPr>
      <w:rFonts w:ascii="Arial" w:hAnsi="Arial" w:eastAsia="黑体" w:cs="Times New Roman"/>
      <w:b/>
      <w:kern w:val="2"/>
      <w:sz w:val="28"/>
      <w:lang w:val="zh-CN"/>
    </w:rPr>
  </w:style>
  <w:style w:type="character" w:customStyle="1" w:styleId="93">
    <w:name w:val="Heading 5 Char"/>
    <w:basedOn w:val="73"/>
    <w:link w:val="8"/>
    <w:autoRedefine/>
    <w:qFormat/>
    <w:locked/>
    <w:uiPriority w:val="99"/>
    <w:rPr>
      <w:rFonts w:cs="Times New Roman"/>
      <w:b/>
      <w:kern w:val="2"/>
      <w:sz w:val="28"/>
    </w:rPr>
  </w:style>
  <w:style w:type="character" w:customStyle="1" w:styleId="94">
    <w:name w:val="Heading 6 Char"/>
    <w:basedOn w:val="73"/>
    <w:link w:val="9"/>
    <w:autoRedefine/>
    <w:qFormat/>
    <w:locked/>
    <w:uiPriority w:val="99"/>
    <w:rPr>
      <w:rFonts w:ascii="Arial" w:hAnsi="Arial" w:eastAsia="黑体" w:cs="Times New Roman"/>
      <w:b/>
      <w:kern w:val="2"/>
      <w:sz w:val="24"/>
    </w:rPr>
  </w:style>
  <w:style w:type="character" w:customStyle="1" w:styleId="95">
    <w:name w:val="Heading 7 Char"/>
    <w:basedOn w:val="73"/>
    <w:link w:val="10"/>
    <w:autoRedefine/>
    <w:qFormat/>
    <w:locked/>
    <w:uiPriority w:val="99"/>
    <w:rPr>
      <w:rFonts w:ascii="宋体" w:hAnsi="宋体" w:eastAsia="宋体" w:cs="Times New Roman"/>
      <w:b/>
      <w:kern w:val="2"/>
      <w:sz w:val="24"/>
      <w:lang w:val="en-US" w:eastAsia="zh-CN"/>
    </w:rPr>
  </w:style>
  <w:style w:type="character" w:customStyle="1" w:styleId="96">
    <w:name w:val="Heading 8 Char"/>
    <w:basedOn w:val="73"/>
    <w:link w:val="11"/>
    <w:autoRedefine/>
    <w:qFormat/>
    <w:locked/>
    <w:uiPriority w:val="99"/>
    <w:rPr>
      <w:rFonts w:ascii="Arial" w:hAnsi="Arial" w:eastAsia="黑体" w:cs="Times New Roman"/>
      <w:kern w:val="2"/>
      <w:sz w:val="24"/>
    </w:rPr>
  </w:style>
  <w:style w:type="character" w:customStyle="1" w:styleId="97">
    <w:name w:val="Heading 9 Char"/>
    <w:basedOn w:val="73"/>
    <w:link w:val="12"/>
    <w:autoRedefine/>
    <w:qFormat/>
    <w:locked/>
    <w:uiPriority w:val="99"/>
    <w:rPr>
      <w:rFonts w:ascii="Arial" w:hAnsi="Arial" w:eastAsia="黑体" w:cs="Times New Roman"/>
      <w:kern w:val="2"/>
      <w:sz w:val="21"/>
    </w:rPr>
  </w:style>
  <w:style w:type="character" w:customStyle="1" w:styleId="98">
    <w:name w:val="Body Text Char"/>
    <w:basedOn w:val="73"/>
    <w:link w:val="25"/>
    <w:autoRedefine/>
    <w:qFormat/>
    <w:locked/>
    <w:uiPriority w:val="99"/>
    <w:rPr>
      <w:rFonts w:ascii="宋体" w:hAnsi="Arial" w:eastAsia="宋体" w:cs="Times New Roman"/>
      <w:snapToGrid w:val="0"/>
      <w:kern w:val="2"/>
      <w:sz w:val="21"/>
      <w:lang w:val="zh-CN" w:eastAsia="zh-CN"/>
    </w:rPr>
  </w:style>
  <w:style w:type="character" w:customStyle="1" w:styleId="99">
    <w:name w:val="Body Text First Indent Char"/>
    <w:basedOn w:val="98"/>
    <w:link w:val="26"/>
    <w:autoRedefine/>
    <w:qFormat/>
    <w:locked/>
    <w:uiPriority w:val="99"/>
    <w:rPr>
      <w:sz w:val="24"/>
    </w:rPr>
  </w:style>
  <w:style w:type="character" w:customStyle="1" w:styleId="100">
    <w:name w:val="Document Map Char"/>
    <w:basedOn w:val="73"/>
    <w:link w:val="20"/>
    <w:autoRedefine/>
    <w:qFormat/>
    <w:locked/>
    <w:uiPriority w:val="99"/>
    <w:rPr>
      <w:rFonts w:eastAsia="宋体" w:cs="Times New Roman"/>
      <w:kern w:val="2"/>
      <w:sz w:val="24"/>
      <w:lang w:val="en-US" w:eastAsia="zh-CN"/>
    </w:rPr>
  </w:style>
  <w:style w:type="character" w:customStyle="1" w:styleId="101">
    <w:name w:val="Comment Text Char"/>
    <w:basedOn w:val="73"/>
    <w:link w:val="21"/>
    <w:autoRedefine/>
    <w:qFormat/>
    <w:locked/>
    <w:uiPriority w:val="99"/>
    <w:rPr>
      <w:rFonts w:ascii="宋体" w:hAnsi="宋体" w:eastAsia="宋体" w:cs="Times New Roman"/>
      <w:kern w:val="2"/>
      <w:sz w:val="24"/>
      <w:lang w:val="en-US" w:eastAsia="zh-CN"/>
    </w:rPr>
  </w:style>
  <w:style w:type="character" w:customStyle="1" w:styleId="102">
    <w:name w:val="Salutation Char"/>
    <w:basedOn w:val="73"/>
    <w:link w:val="22"/>
    <w:autoRedefine/>
    <w:qFormat/>
    <w:locked/>
    <w:uiPriority w:val="99"/>
    <w:rPr>
      <w:rFonts w:ascii="仿宋_GB2312" w:eastAsia="仿宋_GB2312" w:cs="Times New Roman"/>
      <w:kern w:val="2"/>
      <w:sz w:val="28"/>
    </w:rPr>
  </w:style>
  <w:style w:type="character" w:customStyle="1" w:styleId="103">
    <w:name w:val="Body Text 3 Char"/>
    <w:basedOn w:val="73"/>
    <w:autoRedefine/>
    <w:qFormat/>
    <w:locked/>
    <w:uiPriority w:val="99"/>
    <w:rPr>
      <w:rFonts w:cs="Times New Roman"/>
      <w:kern w:val="2"/>
      <w:sz w:val="21"/>
    </w:rPr>
  </w:style>
  <w:style w:type="character" w:customStyle="1" w:styleId="104">
    <w:name w:val="Body Text Indent Char"/>
    <w:basedOn w:val="73"/>
    <w:link w:val="27"/>
    <w:autoRedefine/>
    <w:qFormat/>
    <w:locked/>
    <w:uiPriority w:val="99"/>
    <w:rPr>
      <w:rFonts w:ascii="宋体" w:eastAsia="宋体" w:cs="Times New Roman"/>
      <w:kern w:val="2"/>
      <w:sz w:val="24"/>
    </w:rPr>
  </w:style>
  <w:style w:type="character" w:customStyle="1" w:styleId="105">
    <w:name w:val="HTML Address Char"/>
    <w:basedOn w:val="73"/>
    <w:link w:val="32"/>
    <w:autoRedefine/>
    <w:qFormat/>
    <w:locked/>
    <w:uiPriority w:val="99"/>
    <w:rPr>
      <w:rFonts w:ascii="宋体" w:eastAsia="宋体" w:cs="Times New Roman"/>
      <w:i/>
      <w:sz w:val="24"/>
    </w:rPr>
  </w:style>
  <w:style w:type="character" w:customStyle="1" w:styleId="106">
    <w:name w:val="Plain Text Char"/>
    <w:basedOn w:val="73"/>
    <w:link w:val="35"/>
    <w:autoRedefine/>
    <w:qFormat/>
    <w:locked/>
    <w:uiPriority w:val="99"/>
    <w:rPr>
      <w:rFonts w:ascii="宋体" w:hAnsi="Courier New" w:eastAsia="宋体" w:cs="Times New Roman"/>
      <w:snapToGrid w:val="0"/>
      <w:kern w:val="2"/>
      <w:sz w:val="21"/>
      <w:lang w:val="en-US" w:eastAsia="zh-CN"/>
    </w:rPr>
  </w:style>
  <w:style w:type="character" w:customStyle="1" w:styleId="107">
    <w:name w:val="Date Char"/>
    <w:basedOn w:val="73"/>
    <w:link w:val="39"/>
    <w:autoRedefine/>
    <w:qFormat/>
    <w:locked/>
    <w:uiPriority w:val="99"/>
    <w:rPr>
      <w:rFonts w:ascii="宋体" w:cs="Times New Roman"/>
      <w:kern w:val="2"/>
      <w:sz w:val="21"/>
      <w:lang w:val="zh-CN"/>
    </w:rPr>
  </w:style>
  <w:style w:type="character" w:customStyle="1" w:styleId="108">
    <w:name w:val="Body Text Indent 2 Char"/>
    <w:basedOn w:val="73"/>
    <w:link w:val="40"/>
    <w:autoRedefine/>
    <w:qFormat/>
    <w:locked/>
    <w:uiPriority w:val="99"/>
    <w:rPr>
      <w:rFonts w:ascii="宋体" w:cs="Times New Roman"/>
      <w:sz w:val="28"/>
    </w:rPr>
  </w:style>
  <w:style w:type="character" w:customStyle="1" w:styleId="109">
    <w:name w:val="Endnote Text Char"/>
    <w:basedOn w:val="73"/>
    <w:link w:val="41"/>
    <w:autoRedefine/>
    <w:qFormat/>
    <w:locked/>
    <w:uiPriority w:val="99"/>
    <w:rPr>
      <w:rFonts w:cs="Times New Roman"/>
      <w:kern w:val="2"/>
      <w:sz w:val="24"/>
      <w:lang w:val="zh-CN"/>
    </w:rPr>
  </w:style>
  <w:style w:type="character" w:customStyle="1" w:styleId="110">
    <w:name w:val="Balloon Text Char"/>
    <w:basedOn w:val="73"/>
    <w:link w:val="42"/>
    <w:autoRedefine/>
    <w:qFormat/>
    <w:locked/>
    <w:uiPriority w:val="99"/>
    <w:rPr>
      <w:rFonts w:eastAsia="宋体" w:cs="Times New Roman"/>
      <w:kern w:val="2"/>
      <w:sz w:val="18"/>
      <w:lang w:val="en-US" w:eastAsia="zh-CN"/>
    </w:rPr>
  </w:style>
  <w:style w:type="character" w:customStyle="1" w:styleId="111">
    <w:name w:val="Footer Char"/>
    <w:basedOn w:val="73"/>
    <w:link w:val="43"/>
    <w:autoRedefine/>
    <w:qFormat/>
    <w:locked/>
    <w:uiPriority w:val="99"/>
    <w:rPr>
      <w:rFonts w:eastAsia="宋体" w:cs="Times New Roman"/>
      <w:kern w:val="2"/>
      <w:sz w:val="18"/>
      <w:lang w:val="en-US" w:eastAsia="zh-CN"/>
    </w:rPr>
  </w:style>
  <w:style w:type="character" w:customStyle="1" w:styleId="112">
    <w:name w:val="Header Char"/>
    <w:basedOn w:val="73"/>
    <w:link w:val="45"/>
    <w:autoRedefine/>
    <w:qFormat/>
    <w:locked/>
    <w:uiPriority w:val="99"/>
    <w:rPr>
      <w:rFonts w:eastAsia="宋体" w:cs="Times New Roman"/>
      <w:kern w:val="2"/>
      <w:sz w:val="18"/>
      <w:lang w:val="en-US" w:eastAsia="zh-CN"/>
    </w:rPr>
  </w:style>
  <w:style w:type="character" w:customStyle="1" w:styleId="113">
    <w:name w:val="Signature Char"/>
    <w:basedOn w:val="73"/>
    <w:link w:val="46"/>
    <w:autoRedefine/>
    <w:qFormat/>
    <w:locked/>
    <w:uiPriority w:val="99"/>
    <w:rPr>
      <w:rFonts w:eastAsia="仿宋_GB2312" w:cs="Times New Roman"/>
      <w:sz w:val="24"/>
    </w:rPr>
  </w:style>
  <w:style w:type="character" w:customStyle="1" w:styleId="114">
    <w:name w:val="Subtitle Char"/>
    <w:basedOn w:val="73"/>
    <w:link w:val="51"/>
    <w:autoRedefine/>
    <w:qFormat/>
    <w:locked/>
    <w:uiPriority w:val="99"/>
    <w:rPr>
      <w:rFonts w:ascii="Arial" w:hAnsi="Arial" w:eastAsia="隶书" w:cs="Times New Roman"/>
      <w:b/>
      <w:kern w:val="28"/>
      <w:sz w:val="32"/>
      <w:lang w:val="en-US" w:eastAsia="zh-CN"/>
    </w:rPr>
  </w:style>
  <w:style w:type="character" w:customStyle="1" w:styleId="115">
    <w:name w:val="Footnote Text Char"/>
    <w:basedOn w:val="73"/>
    <w:link w:val="54"/>
    <w:autoRedefine/>
    <w:qFormat/>
    <w:locked/>
    <w:uiPriority w:val="99"/>
    <w:rPr>
      <w:rFonts w:cs="Times New Roman"/>
      <w:color w:val="0000FF"/>
      <w:sz w:val="21"/>
    </w:rPr>
  </w:style>
  <w:style w:type="character" w:customStyle="1" w:styleId="116">
    <w:name w:val="Body Text Indent 3 Char"/>
    <w:basedOn w:val="73"/>
    <w:link w:val="57"/>
    <w:autoRedefine/>
    <w:qFormat/>
    <w:locked/>
    <w:uiPriority w:val="99"/>
    <w:rPr>
      <w:rFonts w:cs="Times New Roman"/>
      <w:kern w:val="2"/>
      <w:sz w:val="24"/>
    </w:rPr>
  </w:style>
  <w:style w:type="character" w:customStyle="1" w:styleId="117">
    <w:name w:val="Body Text 2 Char"/>
    <w:basedOn w:val="73"/>
    <w:link w:val="60"/>
    <w:autoRedefine/>
    <w:qFormat/>
    <w:locked/>
    <w:uiPriority w:val="99"/>
    <w:rPr>
      <w:rFonts w:cs="Times New Roman"/>
      <w:kern w:val="2"/>
      <w:sz w:val="24"/>
    </w:rPr>
  </w:style>
  <w:style w:type="character" w:customStyle="1" w:styleId="118">
    <w:name w:val="HTML Preformatted Char"/>
    <w:basedOn w:val="73"/>
    <w:link w:val="61"/>
    <w:autoRedefine/>
    <w:qFormat/>
    <w:locked/>
    <w:uiPriority w:val="99"/>
    <w:rPr>
      <w:rFonts w:ascii="黑体" w:hAnsi="Courier New" w:eastAsia="黑体" w:cs="Times New Roman"/>
    </w:rPr>
  </w:style>
  <w:style w:type="character" w:customStyle="1" w:styleId="119">
    <w:name w:val="Title Char"/>
    <w:basedOn w:val="73"/>
    <w:link w:val="63"/>
    <w:autoRedefine/>
    <w:qFormat/>
    <w:locked/>
    <w:uiPriority w:val="99"/>
    <w:rPr>
      <w:rFonts w:cs="Times New Roman"/>
      <w:b/>
      <w:sz w:val="24"/>
      <w:lang w:val="en-GB"/>
    </w:rPr>
  </w:style>
  <w:style w:type="character" w:customStyle="1" w:styleId="120">
    <w:name w:val="Comment Subject Char"/>
    <w:basedOn w:val="101"/>
    <w:link w:val="64"/>
    <w:autoRedefine/>
    <w:qFormat/>
    <w:locked/>
    <w:uiPriority w:val="99"/>
    <w:rPr>
      <w:b/>
    </w:rPr>
  </w:style>
  <w:style w:type="character" w:customStyle="1" w:styleId="121">
    <w:name w:val="Body Text First Indent 2 Char"/>
    <w:basedOn w:val="104"/>
    <w:link w:val="65"/>
    <w:autoRedefine/>
    <w:qFormat/>
    <w:locked/>
    <w:uiPriority w:val="99"/>
  </w:style>
  <w:style w:type="character" w:customStyle="1" w:styleId="122">
    <w:name w:val="表格非标题文字 Char"/>
    <w:link w:val="123"/>
    <w:autoRedefine/>
    <w:qFormat/>
    <w:locked/>
    <w:uiPriority w:val="99"/>
    <w:rPr>
      <w:rFonts w:ascii="Futura Bk" w:hAnsi="Futura Bk"/>
      <w:kern w:val="2"/>
      <w:sz w:val="21"/>
      <w:lang w:val="en-US" w:eastAsia="zh-CN"/>
    </w:rPr>
  </w:style>
  <w:style w:type="paragraph" w:customStyle="1" w:styleId="123">
    <w:name w:val="表格非标题文字"/>
    <w:link w:val="122"/>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4">
    <w:name w:val="*正文 Char"/>
    <w:link w:val="125"/>
    <w:autoRedefine/>
    <w:qFormat/>
    <w:locked/>
    <w:uiPriority w:val="99"/>
    <w:rPr>
      <w:rFonts w:ascii="宋体" w:eastAsia="宋体"/>
      <w:sz w:val="24"/>
    </w:rPr>
  </w:style>
  <w:style w:type="paragraph" w:customStyle="1" w:styleId="125">
    <w:name w:val="*正文"/>
    <w:basedOn w:val="1"/>
    <w:link w:val="124"/>
    <w:autoRedefine/>
    <w:qFormat/>
    <w:uiPriority w:val="99"/>
    <w:pPr>
      <w:snapToGrid w:val="0"/>
      <w:spacing w:line="360" w:lineRule="auto"/>
      <w:ind w:firstLine="482"/>
      <w:jc w:val="left"/>
    </w:pPr>
    <w:rPr>
      <w:rFonts w:ascii="宋体"/>
      <w:kern w:val="0"/>
      <w:sz w:val="24"/>
      <w:szCs w:val="20"/>
    </w:rPr>
  </w:style>
  <w:style w:type="character" w:customStyle="1" w:styleId="126">
    <w:name w:val="Char Char71"/>
    <w:autoRedefine/>
    <w:semiHidden/>
    <w:qFormat/>
    <w:uiPriority w:val="99"/>
    <w:rPr>
      <w:rFonts w:eastAsia="宋体"/>
      <w:kern w:val="2"/>
      <w:sz w:val="24"/>
      <w:lang w:val="en-US" w:eastAsia="zh-CN"/>
    </w:rPr>
  </w:style>
  <w:style w:type="character" w:customStyle="1" w:styleId="127">
    <w:name w:val="Char Char6"/>
    <w:autoRedefine/>
    <w:qFormat/>
    <w:uiPriority w:val="99"/>
    <w:rPr>
      <w:rFonts w:eastAsia="宋体"/>
      <w:kern w:val="2"/>
      <w:sz w:val="24"/>
      <w:lang w:val="en-US" w:eastAsia="zh-CN"/>
    </w:rPr>
  </w:style>
  <w:style w:type="character" w:customStyle="1" w:styleId="128">
    <w:name w:val="正文缩进 Char"/>
    <w:autoRedefine/>
    <w:qFormat/>
    <w:uiPriority w:val="99"/>
    <w:rPr>
      <w:rFonts w:eastAsia="宋体"/>
      <w:kern w:val="2"/>
      <w:sz w:val="21"/>
      <w:lang w:val="en-US" w:eastAsia="zh-CN"/>
    </w:rPr>
  </w:style>
  <w:style w:type="character" w:customStyle="1" w:styleId="129">
    <w:name w:val="正文首行缩进 Char1"/>
    <w:autoRedefine/>
    <w:qFormat/>
    <w:uiPriority w:val="99"/>
    <w:rPr>
      <w:rFonts w:ascii="宋体" w:hAnsi="Times New Roman" w:eastAsia="宋体"/>
      <w:snapToGrid w:val="0"/>
      <w:kern w:val="2"/>
      <w:sz w:val="21"/>
      <w:lang w:val="zh-CN"/>
    </w:rPr>
  </w:style>
  <w:style w:type="character" w:customStyle="1" w:styleId="130">
    <w:name w:val="Char Char28"/>
    <w:autoRedefine/>
    <w:qFormat/>
    <w:uiPriority w:val="99"/>
    <w:rPr>
      <w:rFonts w:ascii="仿宋_GB2312" w:hAnsi="仿宋_GB2312" w:eastAsia="仿宋_GB2312"/>
      <w:kern w:val="1"/>
      <w:sz w:val="28"/>
    </w:rPr>
  </w:style>
  <w:style w:type="character" w:customStyle="1" w:styleId="131">
    <w:name w:val="标题 3 Char1"/>
    <w:autoRedefine/>
    <w:qFormat/>
    <w:uiPriority w:val="99"/>
    <w:rPr>
      <w:rFonts w:ascii="华文中宋" w:hAnsi="华文中宋" w:eastAsia="华文中宋"/>
      <w:b/>
      <w:kern w:val="2"/>
      <w:sz w:val="32"/>
      <w:lang w:val="en-US" w:eastAsia="zh-CN"/>
    </w:rPr>
  </w:style>
  <w:style w:type="character" w:customStyle="1" w:styleId="132">
    <w:name w:val="U_正文 Char"/>
    <w:link w:val="133"/>
    <w:autoRedefine/>
    <w:qFormat/>
    <w:locked/>
    <w:uiPriority w:val="99"/>
    <w:rPr>
      <w:sz w:val="24"/>
    </w:rPr>
  </w:style>
  <w:style w:type="paragraph" w:customStyle="1" w:styleId="133">
    <w:name w:val="U_正文"/>
    <w:basedOn w:val="1"/>
    <w:link w:val="132"/>
    <w:autoRedefine/>
    <w:qFormat/>
    <w:uiPriority w:val="99"/>
    <w:pPr>
      <w:adjustRightInd/>
      <w:spacing w:beforeLines="20" w:afterLines="20" w:line="300" w:lineRule="auto"/>
      <w:ind w:firstLine="200" w:firstLineChars="200"/>
    </w:pPr>
    <w:rPr>
      <w:kern w:val="0"/>
      <w:sz w:val="24"/>
      <w:szCs w:val="20"/>
    </w:rPr>
  </w:style>
  <w:style w:type="character" w:customStyle="1" w:styleId="134">
    <w:name w:val="HTML 地址 Char1"/>
    <w:autoRedefine/>
    <w:qFormat/>
    <w:uiPriority w:val="99"/>
    <w:rPr>
      <w:rFonts w:ascii="Times New Roman" w:hAnsi="Times New Roman" w:eastAsia="宋体"/>
      <w:i/>
      <w:sz w:val="24"/>
    </w:rPr>
  </w:style>
  <w:style w:type="character" w:customStyle="1" w:styleId="135">
    <w:name w:val="Char Char51"/>
    <w:autoRedefine/>
    <w:qFormat/>
    <w:uiPriority w:val="99"/>
    <w:rPr>
      <w:rFonts w:ascii="宋体" w:hAnsi="Courier New" w:eastAsia="宋体"/>
      <w:kern w:val="2"/>
      <w:sz w:val="21"/>
      <w:lang w:val="en-US" w:eastAsia="zh-CN"/>
    </w:rPr>
  </w:style>
  <w:style w:type="character" w:customStyle="1" w:styleId="136">
    <w:name w:val="表正文 Char"/>
    <w:autoRedefine/>
    <w:qFormat/>
    <w:uiPriority w:val="99"/>
    <w:rPr>
      <w:rFonts w:ascii="宋体" w:eastAsia="宋体"/>
      <w:snapToGrid w:val="0"/>
      <w:color w:val="000000"/>
      <w:kern w:val="28"/>
      <w:sz w:val="28"/>
      <w:lang w:val="en-US" w:eastAsia="zh-CN"/>
    </w:rPr>
  </w:style>
  <w:style w:type="character" w:customStyle="1" w:styleId="137">
    <w:name w:val="Char Char34"/>
    <w:autoRedefine/>
    <w:qFormat/>
    <w:uiPriority w:val="99"/>
    <w:rPr>
      <w:b/>
      <w:kern w:val="1"/>
      <w:sz w:val="28"/>
    </w:rPr>
  </w:style>
  <w:style w:type="character" w:customStyle="1" w:styleId="138">
    <w:name w:val="Normal Indent Char"/>
    <w:autoRedefine/>
    <w:qFormat/>
    <w:locked/>
    <w:uiPriority w:val="99"/>
    <w:rPr>
      <w:rFonts w:ascii="Calibri" w:hAnsi="Calibri" w:eastAsia="宋体"/>
      <w:snapToGrid w:val="0"/>
      <w:kern w:val="2"/>
      <w:sz w:val="22"/>
      <w:lang w:val="en-US" w:eastAsia="zh-CN"/>
    </w:rPr>
  </w:style>
  <w:style w:type="character" w:customStyle="1" w:styleId="139">
    <w:name w:val="哈哈正文 Char"/>
    <w:link w:val="140"/>
    <w:autoRedefine/>
    <w:qFormat/>
    <w:locked/>
    <w:uiPriority w:val="99"/>
    <w:rPr>
      <w:rFonts w:ascii="宋体" w:hAnsi="宋体" w:eastAsia="宋体"/>
      <w:kern w:val="2"/>
      <w:sz w:val="24"/>
    </w:rPr>
  </w:style>
  <w:style w:type="paragraph" w:customStyle="1" w:styleId="140">
    <w:name w:val="哈哈正文"/>
    <w:basedOn w:val="1"/>
    <w:link w:val="139"/>
    <w:autoRedefine/>
    <w:qFormat/>
    <w:uiPriority w:val="99"/>
    <w:pPr>
      <w:adjustRightInd/>
      <w:spacing w:line="360" w:lineRule="auto"/>
      <w:ind w:firstLine="200" w:firstLineChars="200"/>
    </w:pPr>
    <w:rPr>
      <w:rFonts w:ascii="宋体" w:hAnsi="宋体"/>
      <w:sz w:val="24"/>
      <w:szCs w:val="20"/>
    </w:rPr>
  </w:style>
  <w:style w:type="character" w:customStyle="1" w:styleId="141">
    <w:name w:val="未处理的提及1"/>
    <w:autoRedefine/>
    <w:qFormat/>
    <w:uiPriority w:val="99"/>
    <w:rPr>
      <w:color w:val="808080"/>
      <w:shd w:val="clear" w:color="auto" w:fill="E6E6E6"/>
    </w:rPr>
  </w:style>
  <w:style w:type="character" w:customStyle="1" w:styleId="142">
    <w:name w:val="txt"/>
    <w:autoRedefine/>
    <w:qFormat/>
    <w:uiPriority w:val="99"/>
    <w:rPr>
      <w:rFonts w:ascii="仿宋_GB2312" w:eastAsia="微软雅黑"/>
      <w:b/>
      <w:kern w:val="2"/>
      <w:sz w:val="32"/>
      <w:lang w:val="en-US" w:eastAsia="zh-CN"/>
    </w:rPr>
  </w:style>
  <w:style w:type="character" w:customStyle="1" w:styleId="143">
    <w:name w:val="二级标题 Char Char"/>
    <w:autoRedefine/>
    <w:qFormat/>
    <w:uiPriority w:val="99"/>
    <w:rPr>
      <w:rFonts w:ascii="宋体" w:hAnsi="宋体" w:eastAsia="宋体"/>
      <w:b/>
      <w:snapToGrid w:val="0"/>
      <w:kern w:val="2"/>
      <w:sz w:val="24"/>
      <w:lang w:val="en-US" w:eastAsia="zh-CN"/>
    </w:rPr>
  </w:style>
  <w:style w:type="character" w:customStyle="1" w:styleId="144">
    <w:name w:val="Char Char32"/>
    <w:autoRedefine/>
    <w:qFormat/>
    <w:uiPriority w:val="99"/>
    <w:rPr>
      <w:b/>
      <w:kern w:val="1"/>
      <w:sz w:val="24"/>
    </w:rPr>
  </w:style>
  <w:style w:type="character" w:customStyle="1" w:styleId="145">
    <w:name w:val="PI Char1"/>
    <w:autoRedefine/>
    <w:qFormat/>
    <w:uiPriority w:val="99"/>
    <w:rPr>
      <w:rFonts w:ascii="宋体" w:eastAsia="宋体"/>
      <w:kern w:val="2"/>
      <w:sz w:val="24"/>
    </w:rPr>
  </w:style>
  <w:style w:type="character" w:customStyle="1" w:styleId="146">
    <w:name w:val="tw4winTerm"/>
    <w:autoRedefine/>
    <w:qFormat/>
    <w:uiPriority w:val="99"/>
    <w:rPr>
      <w:color w:val="0000FF"/>
    </w:rPr>
  </w:style>
  <w:style w:type="character" w:customStyle="1" w:styleId="147">
    <w:name w:val="普通文字 Char Char1"/>
    <w:autoRedefine/>
    <w:qFormat/>
    <w:uiPriority w:val="99"/>
    <w:rPr>
      <w:rFonts w:ascii="宋体" w:hAnsi="Courier New"/>
      <w:kern w:val="2"/>
      <w:sz w:val="21"/>
    </w:rPr>
  </w:style>
  <w:style w:type="character" w:customStyle="1" w:styleId="148">
    <w:name w:val="Char Char101"/>
    <w:autoRedefine/>
    <w:qFormat/>
    <w:uiPriority w:val="99"/>
    <w:rPr>
      <w:rFonts w:ascii="宋体" w:eastAsia="宋体"/>
      <w:kern w:val="2"/>
      <w:sz w:val="24"/>
      <w:lang w:val="en-US" w:eastAsia="zh-CN"/>
    </w:rPr>
  </w:style>
  <w:style w:type="character" w:customStyle="1" w:styleId="149">
    <w:name w:val="标题 4 Char"/>
    <w:autoRedefine/>
    <w:qFormat/>
    <w:uiPriority w:val="99"/>
    <w:rPr>
      <w:rFonts w:ascii="Arial" w:hAnsi="Arial" w:eastAsia="黑体"/>
      <w:b/>
      <w:kern w:val="2"/>
      <w:sz w:val="28"/>
    </w:rPr>
  </w:style>
  <w:style w:type="character" w:customStyle="1" w:styleId="150">
    <w:name w:val="链接"/>
    <w:autoRedefine/>
    <w:qFormat/>
    <w:uiPriority w:val="99"/>
    <w:rPr>
      <w:color w:val="0000FF"/>
      <w:sz w:val="21"/>
      <w:u w:val="single"/>
    </w:rPr>
  </w:style>
  <w:style w:type="character" w:customStyle="1" w:styleId="151">
    <w:name w:val="h4 Char"/>
    <w:autoRedefine/>
    <w:qFormat/>
    <w:uiPriority w:val="99"/>
    <w:rPr>
      <w:rFonts w:ascii="Arial" w:hAnsi="Arial" w:eastAsia="黑体"/>
      <w:b/>
      <w:kern w:val="2"/>
      <w:sz w:val="28"/>
      <w:lang w:val="zh-CN" w:eastAsia="zh-CN"/>
    </w:rPr>
  </w:style>
  <w:style w:type="character" w:customStyle="1" w:styleId="152">
    <w:name w:val="5正文 Char"/>
    <w:link w:val="153"/>
    <w:autoRedefine/>
    <w:qFormat/>
    <w:locked/>
    <w:uiPriority w:val="99"/>
    <w:rPr>
      <w:rFonts w:ascii="仿宋_GB2312" w:hAnsi="微软雅黑" w:eastAsia="仿宋_GB2312"/>
      <w:sz w:val="21"/>
    </w:rPr>
  </w:style>
  <w:style w:type="paragraph" w:customStyle="1" w:styleId="153">
    <w:name w:val="5正文"/>
    <w:basedOn w:val="1"/>
    <w:link w:val="152"/>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4">
    <w:name w:val="标题 3 字符"/>
    <w:autoRedefine/>
    <w:qFormat/>
    <w:uiPriority w:val="99"/>
    <w:rPr>
      <w:b/>
      <w:kern w:val="2"/>
      <w:sz w:val="32"/>
    </w:rPr>
  </w:style>
  <w:style w:type="character" w:customStyle="1" w:styleId="155">
    <w:name w:val="样式6 Char"/>
    <w:autoRedefine/>
    <w:qFormat/>
    <w:uiPriority w:val="99"/>
    <w:rPr>
      <w:rFonts w:ascii="仿宋_GB2312" w:hAnsi="宋体" w:eastAsia="仿宋_GB2312"/>
      <w:b/>
      <w:kern w:val="2"/>
      <w:sz w:val="24"/>
      <w:lang w:val="en-US" w:eastAsia="zh-CN"/>
    </w:rPr>
  </w:style>
  <w:style w:type="character" w:customStyle="1" w:styleId="156">
    <w:name w:val="Char Char14"/>
    <w:autoRedefine/>
    <w:qFormat/>
    <w:uiPriority w:val="99"/>
    <w:rPr>
      <w:rFonts w:ascii="黑体" w:hAnsi="黑体" w:eastAsia="黑体"/>
    </w:rPr>
  </w:style>
  <w:style w:type="character" w:customStyle="1" w:styleId="157">
    <w:name w:val="Heading 2 Hidden Char"/>
    <w:autoRedefine/>
    <w:qFormat/>
    <w:uiPriority w:val="99"/>
    <w:rPr>
      <w:rFonts w:ascii="仿宋_GB2312" w:eastAsia="仿宋_GB2312"/>
      <w:b/>
      <w:kern w:val="2"/>
      <w:sz w:val="24"/>
      <w:lang w:val="zh-CN" w:eastAsia="zh-CN"/>
    </w:rPr>
  </w:style>
  <w:style w:type="character" w:customStyle="1" w:styleId="158">
    <w:name w:val="font11"/>
    <w:autoRedefine/>
    <w:qFormat/>
    <w:uiPriority w:val="99"/>
    <w:rPr>
      <w:rFonts w:ascii="Times New Roman" w:hAnsi="Times New Roman"/>
      <w:color w:val="000000"/>
      <w:sz w:val="22"/>
      <w:u w:val="none"/>
    </w:rPr>
  </w:style>
  <w:style w:type="character" w:customStyle="1" w:styleId="159">
    <w:name w:val="表正文 Char1"/>
    <w:autoRedefine/>
    <w:qFormat/>
    <w:uiPriority w:val="99"/>
    <w:rPr>
      <w:rFonts w:ascii="宋体" w:eastAsia="宋体"/>
      <w:snapToGrid w:val="0"/>
      <w:color w:val="000000"/>
      <w:kern w:val="28"/>
      <w:sz w:val="28"/>
    </w:rPr>
  </w:style>
  <w:style w:type="character" w:customStyle="1" w:styleId="160">
    <w:name w:val="blue1"/>
    <w:basedOn w:val="73"/>
    <w:autoRedefine/>
    <w:qFormat/>
    <w:uiPriority w:val="99"/>
    <w:rPr>
      <w:rFonts w:ascii="Arial" w:hAnsi="Arial" w:eastAsia="黑体" w:cs="Arial"/>
      <w:snapToGrid w:val="0"/>
      <w:kern w:val="0"/>
      <w:sz w:val="21"/>
      <w:szCs w:val="21"/>
    </w:rPr>
  </w:style>
  <w:style w:type="character" w:customStyle="1" w:styleId="161">
    <w:name w:val="标书1 Char"/>
    <w:autoRedefine/>
    <w:qFormat/>
    <w:uiPriority w:val="99"/>
    <w:rPr>
      <w:rFonts w:eastAsia="宋体"/>
      <w:b/>
      <w:kern w:val="44"/>
      <w:sz w:val="44"/>
      <w:lang w:val="en-US" w:eastAsia="zh-CN"/>
    </w:rPr>
  </w:style>
  <w:style w:type="character" w:customStyle="1" w:styleId="162">
    <w:name w:val="样式5 Char"/>
    <w:autoRedefine/>
    <w:qFormat/>
    <w:uiPriority w:val="99"/>
    <w:rPr>
      <w:rFonts w:ascii="仿宋_GB2312" w:hAnsi="仿宋" w:eastAsia="仿宋_GB2312"/>
      <w:kern w:val="2"/>
      <w:sz w:val="24"/>
    </w:rPr>
  </w:style>
  <w:style w:type="character" w:customStyle="1" w:styleId="163">
    <w:name w:val="样式4 Char"/>
    <w:autoRedefine/>
    <w:qFormat/>
    <w:uiPriority w:val="99"/>
    <w:rPr>
      <w:rFonts w:ascii="仿宋_GB2312" w:hAnsi="仿宋" w:eastAsia="仿宋_GB2312"/>
      <w:b/>
      <w:kern w:val="2"/>
      <w:sz w:val="32"/>
    </w:rPr>
  </w:style>
  <w:style w:type="character" w:customStyle="1" w:styleId="164">
    <w:name w:val="插图说明 Char"/>
    <w:autoRedefine/>
    <w:qFormat/>
    <w:uiPriority w:val="99"/>
    <w:rPr>
      <w:rFonts w:eastAsia="黑体"/>
      <w:sz w:val="24"/>
      <w:lang w:val="en-US" w:eastAsia="zh-CN"/>
    </w:rPr>
  </w:style>
  <w:style w:type="character" w:customStyle="1" w:styleId="165">
    <w:name w:val="正文2 Char Char"/>
    <w:link w:val="166"/>
    <w:autoRedefine/>
    <w:qFormat/>
    <w:locked/>
    <w:uiPriority w:val="99"/>
    <w:rPr>
      <w:rFonts w:eastAsia="宋体"/>
      <w:kern w:val="2"/>
      <w:sz w:val="24"/>
      <w:lang w:val="en-US" w:eastAsia="zh-CN"/>
    </w:rPr>
  </w:style>
  <w:style w:type="paragraph" w:customStyle="1" w:styleId="166">
    <w:name w:val="正文2"/>
    <w:basedOn w:val="1"/>
    <w:link w:val="165"/>
    <w:autoRedefine/>
    <w:qFormat/>
    <w:uiPriority w:val="99"/>
    <w:pPr>
      <w:spacing w:before="156" w:line="360" w:lineRule="auto"/>
      <w:ind w:firstLine="510" w:firstLineChars="200"/>
    </w:pPr>
    <w:rPr>
      <w:sz w:val="24"/>
      <w:szCs w:val="20"/>
    </w:rPr>
  </w:style>
  <w:style w:type="character" w:customStyle="1" w:styleId="167">
    <w:name w:val="Char Char24"/>
    <w:autoRedefine/>
    <w:qFormat/>
    <w:uiPriority w:val="99"/>
    <w:rPr>
      <w:kern w:val="1"/>
      <w:sz w:val="21"/>
    </w:rPr>
  </w:style>
  <w:style w:type="character" w:customStyle="1" w:styleId="168">
    <w:name w:val="普通文字 Char1 Char"/>
    <w:autoRedefine/>
    <w:qFormat/>
    <w:uiPriority w:val="99"/>
    <w:rPr>
      <w:rFonts w:ascii="宋体" w:hAnsi="Courier New" w:eastAsia="宋体"/>
      <w:kern w:val="2"/>
      <w:sz w:val="24"/>
      <w:lang w:val="en-US" w:eastAsia="zh-CN"/>
    </w:rPr>
  </w:style>
  <w:style w:type="character" w:customStyle="1" w:styleId="169">
    <w:name w:val="h3 Char1"/>
    <w:autoRedefine/>
    <w:qFormat/>
    <w:uiPriority w:val="99"/>
    <w:rPr>
      <w:rFonts w:eastAsia="宋体"/>
      <w:b/>
      <w:kern w:val="2"/>
      <w:sz w:val="32"/>
    </w:rPr>
  </w:style>
  <w:style w:type="character" w:customStyle="1" w:styleId="170">
    <w:name w:val="标题 Char1"/>
    <w:autoRedefine/>
    <w:qFormat/>
    <w:uiPriority w:val="99"/>
    <w:rPr>
      <w:rFonts w:ascii="Cambria" w:hAnsi="Cambria" w:eastAsia="宋体"/>
      <w:b/>
      <w:sz w:val="32"/>
    </w:rPr>
  </w:style>
  <w:style w:type="character" w:customStyle="1" w:styleId="171">
    <w:name w:val="gf正文1 Char"/>
    <w:autoRedefine/>
    <w:qFormat/>
    <w:uiPriority w:val="99"/>
    <w:rPr>
      <w:rFonts w:ascii="宋体" w:hAnsi="宋体" w:eastAsia="宋体"/>
      <w:kern w:val="2"/>
      <w:sz w:val="24"/>
      <w:lang w:val="en-US" w:eastAsia="zh-CN"/>
    </w:rPr>
  </w:style>
  <w:style w:type="character" w:customStyle="1" w:styleId="172">
    <w:name w:val="正文文本缩进 Char1"/>
    <w:autoRedefine/>
    <w:qFormat/>
    <w:uiPriority w:val="99"/>
    <w:rPr>
      <w:rFonts w:ascii="Calibri" w:hAnsi="Calibri"/>
      <w:sz w:val="28"/>
    </w:rPr>
  </w:style>
  <w:style w:type="character" w:customStyle="1" w:styleId="173">
    <w:name w:val="No Spacing Char"/>
    <w:link w:val="174"/>
    <w:autoRedefine/>
    <w:qFormat/>
    <w:locked/>
    <w:uiPriority w:val="99"/>
    <w:rPr>
      <w:sz w:val="22"/>
      <w:lang w:val="en-US" w:eastAsia="zh-CN"/>
    </w:rPr>
  </w:style>
  <w:style w:type="paragraph" w:customStyle="1" w:styleId="174">
    <w:name w:val="无间隔1"/>
    <w:link w:val="173"/>
    <w:autoRedefine/>
    <w:qFormat/>
    <w:uiPriority w:val="99"/>
    <w:rPr>
      <w:rFonts w:ascii="Times New Roman" w:hAnsi="Times New Roman" w:eastAsia="宋体" w:cs="Times New Roman"/>
      <w:kern w:val="0"/>
      <w:sz w:val="22"/>
      <w:szCs w:val="22"/>
      <w:lang w:val="en-US" w:eastAsia="zh-CN" w:bidi="ar-SA"/>
    </w:rPr>
  </w:style>
  <w:style w:type="character" w:customStyle="1" w:styleId="175">
    <w:name w:val="样式7 Char"/>
    <w:autoRedefine/>
    <w:qFormat/>
    <w:uiPriority w:val="99"/>
    <w:rPr>
      <w:rFonts w:ascii="仿宋_GB2312" w:hAnsi="仿宋" w:eastAsia="仿宋_GB2312"/>
      <w:b/>
      <w:kern w:val="2"/>
      <w:sz w:val="24"/>
    </w:rPr>
  </w:style>
  <w:style w:type="character" w:customStyle="1" w:styleId="176">
    <w:name w:val="font12gray1"/>
    <w:autoRedefine/>
    <w:qFormat/>
    <w:uiPriority w:val="99"/>
    <w:rPr>
      <w:rFonts w:ascii="仿宋_GB2312" w:eastAsia="微软雅黑"/>
      <w:b/>
      <w:spacing w:val="300"/>
      <w:kern w:val="2"/>
      <w:sz w:val="18"/>
      <w:lang w:val="en-US" w:eastAsia="zh-CN"/>
    </w:rPr>
  </w:style>
  <w:style w:type="character" w:customStyle="1" w:styleId="177">
    <w:name w:val="Char Char7"/>
    <w:autoRedefine/>
    <w:semiHidden/>
    <w:qFormat/>
    <w:uiPriority w:val="99"/>
    <w:rPr>
      <w:rFonts w:eastAsia="宋体"/>
      <w:kern w:val="2"/>
      <w:sz w:val="24"/>
      <w:lang w:val="en-US" w:eastAsia="zh-CN"/>
    </w:rPr>
  </w:style>
  <w:style w:type="character" w:customStyle="1" w:styleId="178">
    <w:name w:val="表名 Char"/>
    <w:autoRedefine/>
    <w:qFormat/>
    <w:uiPriority w:val="99"/>
    <w:rPr>
      <w:rFonts w:eastAsia="宋体"/>
      <w:b/>
      <w:kern w:val="2"/>
      <w:sz w:val="24"/>
      <w:lang w:val="en-US" w:eastAsia="zh-CN"/>
    </w:rPr>
  </w:style>
  <w:style w:type="character" w:customStyle="1" w:styleId="179">
    <w:name w:val="font41"/>
    <w:autoRedefine/>
    <w:qFormat/>
    <w:uiPriority w:val="99"/>
    <w:rPr>
      <w:rFonts w:ascii="仿宋_GB2312" w:eastAsia="仿宋_GB2312"/>
      <w:color w:val="000000"/>
      <w:sz w:val="22"/>
      <w:u w:val="none"/>
    </w:rPr>
  </w:style>
  <w:style w:type="character" w:customStyle="1" w:styleId="180">
    <w:name w:val="纯文本 Char_0"/>
    <w:link w:val="181"/>
    <w:autoRedefine/>
    <w:qFormat/>
    <w:locked/>
    <w:uiPriority w:val="99"/>
    <w:rPr>
      <w:rFonts w:ascii="宋体" w:hAnsi="Courier New"/>
      <w:kern w:val="2"/>
      <w:sz w:val="21"/>
      <w:lang w:val="en-US" w:eastAsia="zh-CN"/>
    </w:rPr>
  </w:style>
  <w:style w:type="paragraph" w:customStyle="1" w:styleId="181">
    <w:name w:val="纯文本_0_0"/>
    <w:basedOn w:val="182"/>
    <w:link w:val="180"/>
    <w:autoRedefine/>
    <w:qFormat/>
    <w:uiPriority w:val="99"/>
    <w:rPr>
      <w:rFonts w:ascii="宋体" w:hAnsi="Courier New"/>
      <w:szCs w:val="20"/>
    </w:rPr>
  </w:style>
  <w:style w:type="paragraph" w:customStyle="1" w:styleId="182">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正文 项目2 Char"/>
    <w:basedOn w:val="184"/>
    <w:autoRedefine/>
    <w:qFormat/>
    <w:uiPriority w:val="99"/>
    <w:rPr>
      <w:rFonts w:cs="Times New Roman"/>
      <w:lang w:bidi="ar-SA"/>
    </w:rPr>
  </w:style>
  <w:style w:type="character" w:customStyle="1" w:styleId="184">
    <w:name w:val="正文 项目 Char"/>
    <w:autoRedefine/>
    <w:qFormat/>
    <w:uiPriority w:val="99"/>
    <w:rPr>
      <w:rFonts w:ascii="仿宋_GB2312" w:hAnsi="仿宋_GB2312" w:eastAsia="仿宋_GB2312"/>
      <w:kern w:val="2"/>
      <w:sz w:val="24"/>
    </w:rPr>
  </w:style>
  <w:style w:type="character" w:customStyle="1" w:styleId="185">
    <w:name w:val="h Char Char1"/>
    <w:autoRedefine/>
    <w:qFormat/>
    <w:uiPriority w:val="99"/>
    <w:rPr>
      <w:rFonts w:eastAsia="宋体"/>
      <w:kern w:val="2"/>
      <w:sz w:val="18"/>
      <w:lang w:val="en-US" w:eastAsia="zh-CN"/>
    </w:rPr>
  </w:style>
  <w:style w:type="character" w:customStyle="1" w:styleId="186">
    <w:name w:val="Char Char27"/>
    <w:autoRedefine/>
    <w:qFormat/>
    <w:uiPriority w:val="99"/>
    <w:rPr>
      <w:rFonts w:ascii="宋体" w:hAnsi="宋体" w:eastAsia="宋体"/>
      <w:color w:val="000000"/>
      <w:kern w:val="1"/>
      <w:sz w:val="28"/>
      <w:lang w:val="en-US" w:eastAsia="zh-CN"/>
    </w:rPr>
  </w:style>
  <w:style w:type="character" w:customStyle="1" w:styleId="187">
    <w:name w:val="px14"/>
    <w:autoRedefine/>
    <w:qFormat/>
    <w:uiPriority w:val="99"/>
    <w:rPr>
      <w:rFonts w:ascii="仿宋_GB2312" w:eastAsia="微软雅黑"/>
      <w:b/>
      <w:kern w:val="2"/>
      <w:sz w:val="32"/>
      <w:lang w:val="en-US" w:eastAsia="zh-CN"/>
    </w:rPr>
  </w:style>
  <w:style w:type="character" w:customStyle="1" w:styleId="188">
    <w:name w:val="HTML 预设格式 Char1"/>
    <w:autoRedefine/>
    <w:qFormat/>
    <w:uiPriority w:val="99"/>
    <w:rPr>
      <w:rFonts w:ascii="Courier New" w:hAnsi="Courier New" w:eastAsia="宋体"/>
      <w:sz w:val="20"/>
    </w:rPr>
  </w:style>
  <w:style w:type="character" w:customStyle="1" w:styleId="189">
    <w:name w:val="普通文字 Char1"/>
    <w:autoRedefine/>
    <w:qFormat/>
    <w:uiPriority w:val="99"/>
    <w:rPr>
      <w:rFonts w:ascii="宋体" w:hAnsi="Courier New" w:eastAsia="宋体"/>
      <w:kern w:val="2"/>
      <w:sz w:val="21"/>
      <w:lang w:val="en-US" w:eastAsia="zh-CN"/>
    </w:rPr>
  </w:style>
  <w:style w:type="character" w:customStyle="1" w:styleId="190">
    <w:name w:val="hei16b1"/>
    <w:autoRedefine/>
    <w:qFormat/>
    <w:uiPriority w:val="99"/>
    <w:rPr>
      <w:rFonts w:ascii="Arial" w:hAnsi="Arial"/>
      <w:b/>
      <w:color w:val="000000"/>
      <w:sz w:val="24"/>
    </w:rPr>
  </w:style>
  <w:style w:type="character" w:customStyle="1" w:styleId="191">
    <w:name w:val="正文（绿盟科技） Char"/>
    <w:link w:val="192"/>
    <w:autoRedefine/>
    <w:qFormat/>
    <w:locked/>
    <w:uiPriority w:val="99"/>
    <w:rPr>
      <w:rFonts w:ascii="Arial" w:hAnsi="Arial"/>
      <w:sz w:val="21"/>
      <w:lang w:val="en-US" w:eastAsia="zh-CN"/>
    </w:rPr>
  </w:style>
  <w:style w:type="paragraph" w:customStyle="1" w:styleId="192">
    <w:name w:val="正文（绿盟科技）"/>
    <w:link w:val="191"/>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3">
    <w:name w:val="Char Char19"/>
    <w:autoRedefine/>
    <w:qFormat/>
    <w:uiPriority w:val="99"/>
    <w:rPr>
      <w:rFonts w:ascii="宋体" w:eastAsia="宋体"/>
      <w:i/>
      <w:sz w:val="24"/>
    </w:rPr>
  </w:style>
  <w:style w:type="character" w:customStyle="1" w:styleId="194">
    <w:name w:val="页脚 Char"/>
    <w:autoRedefine/>
    <w:qFormat/>
    <w:uiPriority w:val="99"/>
    <w:rPr>
      <w:rFonts w:eastAsia="仿宋_GB2312"/>
      <w:kern w:val="2"/>
      <w:sz w:val="18"/>
      <w:lang w:val="en-US" w:eastAsia="zh-CN"/>
    </w:rPr>
  </w:style>
  <w:style w:type="character" w:customStyle="1" w:styleId="195">
    <w:name w:val="批注主题 Char"/>
    <w:autoRedefine/>
    <w:qFormat/>
    <w:uiPriority w:val="99"/>
    <w:rPr>
      <w:rFonts w:eastAsia="宋体"/>
      <w:b/>
      <w:kern w:val="2"/>
      <w:sz w:val="24"/>
      <w:lang w:val="en-US" w:eastAsia="zh-CN"/>
    </w:rPr>
  </w:style>
  <w:style w:type="character" w:customStyle="1" w:styleId="196">
    <w:name w:val="标题 2 字符"/>
    <w:autoRedefine/>
    <w:qFormat/>
    <w:uiPriority w:val="99"/>
    <w:rPr>
      <w:rFonts w:ascii="仿宋_GB2312" w:hAnsi="Times New Roman" w:eastAsia="仿宋_GB2312"/>
      <w:b/>
      <w:kern w:val="2"/>
      <w:sz w:val="24"/>
      <w:lang w:val="zh-CN"/>
    </w:rPr>
  </w:style>
  <w:style w:type="character" w:customStyle="1" w:styleId="197">
    <w:name w:val="Char Char72"/>
    <w:autoRedefine/>
    <w:qFormat/>
    <w:uiPriority w:val="99"/>
    <w:rPr>
      <w:rFonts w:eastAsia="宋体"/>
      <w:kern w:val="2"/>
      <w:sz w:val="24"/>
      <w:lang w:val="en-US" w:eastAsia="zh-CN"/>
    </w:rPr>
  </w:style>
  <w:style w:type="character" w:customStyle="1" w:styleId="198">
    <w:name w:val="正文文本缩进 Char2"/>
    <w:autoRedefine/>
    <w:qFormat/>
    <w:uiPriority w:val="99"/>
    <w:rPr>
      <w:rFonts w:ascii="Times New Roman" w:hAnsi="Times New Roman" w:eastAsia="宋体"/>
      <w:snapToGrid w:val="0"/>
      <w:kern w:val="0"/>
      <w:sz w:val="24"/>
    </w:rPr>
  </w:style>
  <w:style w:type="character" w:customStyle="1" w:styleId="199">
    <w:name w:val="样式2 Char"/>
    <w:autoRedefine/>
    <w:qFormat/>
    <w:uiPriority w:val="99"/>
    <w:rPr>
      <w:rFonts w:ascii="仿宋_GB2312" w:hAnsi="仿宋" w:eastAsia="仿宋_GB2312"/>
      <w:b/>
      <w:sz w:val="30"/>
      <w:lang w:val="zh-CN"/>
    </w:rPr>
  </w:style>
  <w:style w:type="character" w:customStyle="1" w:styleId="200">
    <w:name w:val="表格名称[858D7CFB-ED40-4347-BF05-701D383B685F]"/>
    <w:link w:val="201"/>
    <w:autoRedefine/>
    <w:qFormat/>
    <w:locked/>
    <w:uiPriority w:val="99"/>
    <w:rPr>
      <w:sz w:val="32"/>
    </w:rPr>
  </w:style>
  <w:style w:type="paragraph" w:customStyle="1" w:styleId="201">
    <w:name w:val="表格名称"/>
    <w:basedOn w:val="5"/>
    <w:link w:val="200"/>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2">
    <w:name w:val="Char Char4"/>
    <w:autoRedefine/>
    <w:qFormat/>
    <w:uiPriority w:val="99"/>
    <w:rPr>
      <w:rFonts w:eastAsia="宋体"/>
      <w:b/>
      <w:sz w:val="24"/>
      <w:lang w:val="en-GB" w:eastAsia="zh-CN"/>
    </w:rPr>
  </w:style>
  <w:style w:type="character" w:customStyle="1" w:styleId="203">
    <w:name w:val="c7 style3"/>
    <w:autoRedefine/>
    <w:qFormat/>
    <w:uiPriority w:val="99"/>
  </w:style>
  <w:style w:type="character" w:customStyle="1" w:styleId="204">
    <w:name w:val="正文文本 3 Char1"/>
    <w:autoRedefine/>
    <w:semiHidden/>
    <w:qFormat/>
    <w:uiPriority w:val="99"/>
    <w:rPr>
      <w:rFonts w:ascii="Times New Roman" w:hAnsi="Times New Roman" w:eastAsia="宋体"/>
      <w:sz w:val="16"/>
    </w:rPr>
  </w:style>
  <w:style w:type="character" w:customStyle="1" w:styleId="205">
    <w:name w:val="tw4winInternal"/>
    <w:autoRedefine/>
    <w:qFormat/>
    <w:uiPriority w:val="99"/>
    <w:rPr>
      <w:rFonts w:ascii="Courier New" w:hAnsi="Courier New"/>
      <w:color w:val="FF0000"/>
      <w:lang w:val="en-US" w:eastAsia="zh-CN"/>
    </w:rPr>
  </w:style>
  <w:style w:type="character" w:customStyle="1" w:styleId="206">
    <w:name w:val="Char Char10"/>
    <w:autoRedefine/>
    <w:semiHidden/>
    <w:qFormat/>
    <w:uiPriority w:val="99"/>
    <w:rPr>
      <w:rFonts w:ascii="宋体" w:eastAsia="宋体"/>
      <w:kern w:val="2"/>
      <w:sz w:val="24"/>
      <w:lang w:val="en-US" w:eastAsia="zh-CN"/>
    </w:rPr>
  </w:style>
  <w:style w:type="character" w:customStyle="1" w:styleId="207">
    <w:name w:val="shadow11"/>
    <w:autoRedefine/>
    <w:qFormat/>
    <w:uiPriority w:val="99"/>
    <w:rPr>
      <w:color w:val="000000"/>
      <w:sz w:val="21"/>
    </w:rPr>
  </w:style>
  <w:style w:type="character" w:customStyle="1" w:styleId="208">
    <w:name w:val="正文非缩进 Char3"/>
    <w:autoRedefine/>
    <w:qFormat/>
    <w:uiPriority w:val="99"/>
    <w:rPr>
      <w:rFonts w:ascii="宋体" w:eastAsia="宋体"/>
      <w:snapToGrid w:val="0"/>
      <w:color w:val="000000"/>
      <w:kern w:val="28"/>
      <w:sz w:val="28"/>
      <w:lang w:val="en-US" w:eastAsia="zh-CN"/>
    </w:rPr>
  </w:style>
  <w:style w:type="character" w:customStyle="1" w:styleId="209">
    <w:name w:val="Char Char"/>
    <w:autoRedefine/>
    <w:qFormat/>
    <w:uiPriority w:val="99"/>
    <w:rPr>
      <w:rFonts w:ascii="宋体" w:hAnsi="Courier New" w:eastAsia="宋体"/>
      <w:kern w:val="2"/>
      <w:sz w:val="21"/>
      <w:lang w:val="en-US" w:eastAsia="zh-CN"/>
    </w:rPr>
  </w:style>
  <w:style w:type="character" w:customStyle="1" w:styleId="210">
    <w:name w:val="签名 Char1"/>
    <w:autoRedefine/>
    <w:qFormat/>
    <w:uiPriority w:val="99"/>
    <w:rPr>
      <w:rFonts w:ascii="Times New Roman" w:hAnsi="Times New Roman" w:eastAsia="宋体"/>
      <w:sz w:val="24"/>
    </w:rPr>
  </w:style>
  <w:style w:type="character" w:customStyle="1" w:styleId="211">
    <w:name w:val="Char Char18"/>
    <w:autoRedefine/>
    <w:qFormat/>
    <w:uiPriority w:val="99"/>
    <w:rPr>
      <w:rFonts w:ascii="宋体" w:eastAsia="宋体"/>
      <w:sz w:val="28"/>
    </w:rPr>
  </w:style>
  <w:style w:type="character" w:customStyle="1" w:styleId="212">
    <w:name w:val="批注文字 Char"/>
    <w:autoRedefine/>
    <w:qFormat/>
    <w:uiPriority w:val="99"/>
    <w:rPr>
      <w:kern w:val="2"/>
      <w:sz w:val="24"/>
    </w:rPr>
  </w:style>
  <w:style w:type="character" w:customStyle="1" w:styleId="213">
    <w:name w:val="Char Char22"/>
    <w:autoRedefine/>
    <w:qFormat/>
    <w:uiPriority w:val="99"/>
    <w:rPr>
      <w:rFonts w:ascii="宋体" w:eastAsia="宋体"/>
      <w:kern w:val="1"/>
      <w:sz w:val="24"/>
    </w:rPr>
  </w:style>
  <w:style w:type="character" w:customStyle="1" w:styleId="214">
    <w:name w:val="pt141"/>
    <w:autoRedefine/>
    <w:qFormat/>
    <w:uiPriority w:val="99"/>
    <w:rPr>
      <w:color w:val="330066"/>
      <w:sz w:val="22"/>
    </w:rPr>
  </w:style>
  <w:style w:type="character" w:customStyle="1" w:styleId="215">
    <w:name w:val="正文文本缩进 2 Char1"/>
    <w:autoRedefine/>
    <w:semiHidden/>
    <w:qFormat/>
    <w:uiPriority w:val="99"/>
    <w:rPr>
      <w:rFonts w:ascii="Times New Roman" w:hAnsi="Times New Roman" w:eastAsia="宋体"/>
      <w:sz w:val="24"/>
    </w:rPr>
  </w:style>
  <w:style w:type="character" w:customStyle="1" w:styleId="216">
    <w:name w:val="Balloon Text Char1"/>
    <w:link w:val="42"/>
    <w:autoRedefine/>
    <w:qFormat/>
    <w:locked/>
    <w:uiPriority w:val="99"/>
    <w:rPr>
      <w:kern w:val="2"/>
      <w:sz w:val="18"/>
    </w:rPr>
  </w:style>
  <w:style w:type="character" w:customStyle="1" w:styleId="217">
    <w:name w:val="Char Char611"/>
    <w:autoRedefine/>
    <w:qFormat/>
    <w:uiPriority w:val="99"/>
    <w:rPr>
      <w:rFonts w:eastAsia="宋体"/>
      <w:kern w:val="2"/>
      <w:sz w:val="24"/>
      <w:lang w:val="en-US" w:eastAsia="zh-CN"/>
    </w:rPr>
  </w:style>
  <w:style w:type="character" w:customStyle="1" w:styleId="218">
    <w:name w:val="highlight1"/>
    <w:autoRedefine/>
    <w:qFormat/>
    <w:uiPriority w:val="99"/>
    <w:rPr>
      <w:rFonts w:ascii="仿宋_GB2312" w:eastAsia="微软雅黑"/>
      <w:b/>
      <w:kern w:val="2"/>
      <w:sz w:val="23"/>
      <w:lang w:val="en-US" w:eastAsia="zh-CN"/>
    </w:rPr>
  </w:style>
  <w:style w:type="character" w:customStyle="1" w:styleId="219">
    <w:name w:val="my正文 Char"/>
    <w:link w:val="220"/>
    <w:autoRedefine/>
    <w:qFormat/>
    <w:locked/>
    <w:uiPriority w:val="99"/>
    <w:rPr>
      <w:rFonts w:ascii="Tahoma" w:hAnsi="Tahoma"/>
      <w:sz w:val="24"/>
    </w:rPr>
  </w:style>
  <w:style w:type="paragraph" w:customStyle="1" w:styleId="220">
    <w:name w:val="my正文"/>
    <w:basedOn w:val="1"/>
    <w:link w:val="219"/>
    <w:autoRedefine/>
    <w:qFormat/>
    <w:uiPriority w:val="99"/>
    <w:pPr>
      <w:adjustRightInd/>
      <w:spacing w:line="360" w:lineRule="auto"/>
      <w:ind w:firstLine="480" w:firstLineChars="200"/>
    </w:pPr>
    <w:rPr>
      <w:rFonts w:ascii="Tahoma" w:hAnsi="Tahoma"/>
      <w:kern w:val="0"/>
      <w:sz w:val="24"/>
      <w:szCs w:val="20"/>
    </w:rPr>
  </w:style>
  <w:style w:type="character" w:customStyle="1" w:styleId="221">
    <w:name w:val="Normal Indent Char1"/>
    <w:link w:val="17"/>
    <w:autoRedefine/>
    <w:qFormat/>
    <w:locked/>
    <w:uiPriority w:val="99"/>
    <w:rPr>
      <w:rFonts w:ascii="宋体" w:eastAsia="宋体"/>
      <w:snapToGrid w:val="0"/>
      <w:color w:val="000000"/>
      <w:kern w:val="28"/>
      <w:sz w:val="28"/>
      <w:lang w:val="en-US" w:eastAsia="zh-CN"/>
    </w:rPr>
  </w:style>
  <w:style w:type="character" w:customStyle="1" w:styleId="222">
    <w:name w:val="Used by Word for text of Help footnotes Char Char1"/>
    <w:autoRedefine/>
    <w:qFormat/>
    <w:uiPriority w:val="99"/>
    <w:rPr>
      <w:color w:val="0000FF"/>
      <w:sz w:val="21"/>
    </w:rPr>
  </w:style>
  <w:style w:type="character" w:customStyle="1" w:styleId="223">
    <w:name w:val="页眉 Char"/>
    <w:autoRedefine/>
    <w:qFormat/>
    <w:uiPriority w:val="99"/>
    <w:rPr>
      <w:rFonts w:eastAsia="仿宋_GB2312"/>
      <w:kern w:val="2"/>
      <w:sz w:val="18"/>
      <w:lang w:val="en-US" w:eastAsia="zh-CN"/>
    </w:rPr>
  </w:style>
  <w:style w:type="character" w:customStyle="1" w:styleId="224">
    <w:name w:val="FA正文 Char Char"/>
    <w:autoRedefine/>
    <w:qFormat/>
    <w:uiPriority w:val="99"/>
    <w:rPr>
      <w:rFonts w:hAnsi="宋体"/>
      <w:kern w:val="2"/>
      <w:sz w:val="24"/>
    </w:rPr>
  </w:style>
  <w:style w:type="character" w:customStyle="1" w:styleId="225">
    <w:name w:val="纯文本 字符"/>
    <w:autoRedefine/>
    <w:qFormat/>
    <w:uiPriority w:val="99"/>
    <w:rPr>
      <w:rFonts w:ascii="宋体" w:hAnsi="Courier New" w:eastAsia="宋体"/>
      <w:snapToGrid w:val="0"/>
      <w:kern w:val="2"/>
      <w:sz w:val="21"/>
      <w:lang w:val="en-US" w:eastAsia="zh-CN"/>
    </w:rPr>
  </w:style>
  <w:style w:type="character" w:customStyle="1" w:styleId="226">
    <w:name w:val="3级 Char"/>
    <w:link w:val="227"/>
    <w:autoRedefine/>
    <w:qFormat/>
    <w:locked/>
    <w:uiPriority w:val="99"/>
    <w:rPr>
      <w:rFonts w:ascii="宋体" w:eastAsia="宋体"/>
      <w:b/>
      <w:sz w:val="28"/>
    </w:rPr>
  </w:style>
  <w:style w:type="paragraph" w:customStyle="1" w:styleId="227">
    <w:name w:val="3级"/>
    <w:basedOn w:val="228"/>
    <w:link w:val="226"/>
    <w:autoRedefine/>
    <w:qFormat/>
    <w:uiPriority w:val="99"/>
    <w:pPr>
      <w:ind w:left="0" w:right="466" w:firstLine="288"/>
    </w:pPr>
    <w:rPr>
      <w:rFonts w:hAnsi="Times New Roman"/>
      <w:bCs w:val="0"/>
    </w:rPr>
  </w:style>
  <w:style w:type="paragraph" w:customStyle="1" w:styleId="228">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9">
    <w:name w:val="myp11"/>
    <w:autoRedefine/>
    <w:qFormat/>
    <w:uiPriority w:val="99"/>
    <w:rPr>
      <w:rFonts w:ascii="仿宋_GB2312" w:eastAsia="微软雅黑"/>
      <w:b/>
      <w:kern w:val="2"/>
      <w:sz w:val="32"/>
      <w:lang w:val="en-US" w:eastAsia="zh-CN"/>
    </w:rPr>
  </w:style>
  <w:style w:type="character" w:customStyle="1" w:styleId="230">
    <w:name w:val="Document Map Char1"/>
    <w:link w:val="20"/>
    <w:autoRedefine/>
    <w:qFormat/>
    <w:locked/>
    <w:uiPriority w:val="99"/>
    <w:rPr>
      <w:kern w:val="2"/>
      <w:sz w:val="24"/>
      <w:shd w:val="clear" w:color="auto" w:fill="000080"/>
    </w:rPr>
  </w:style>
  <w:style w:type="character" w:customStyle="1" w:styleId="231">
    <w:name w:val="H6 Char"/>
    <w:autoRedefine/>
    <w:qFormat/>
    <w:uiPriority w:val="99"/>
    <w:rPr>
      <w:rFonts w:ascii="Arial" w:hAnsi="Arial" w:eastAsia="黑体"/>
      <w:b/>
      <w:kern w:val="2"/>
      <w:sz w:val="24"/>
    </w:rPr>
  </w:style>
  <w:style w:type="character" w:customStyle="1" w:styleId="232">
    <w:name w:val="Char Char91"/>
    <w:autoRedefine/>
    <w:qFormat/>
    <w:uiPriority w:val="99"/>
    <w:rPr>
      <w:rFonts w:eastAsia="宋体"/>
      <w:kern w:val="2"/>
      <w:sz w:val="18"/>
      <w:lang w:val="en-US" w:eastAsia="zh-CN"/>
    </w:rPr>
  </w:style>
  <w:style w:type="character" w:customStyle="1" w:styleId="233">
    <w:name w:val="副标题 Char1"/>
    <w:autoRedefine/>
    <w:qFormat/>
    <w:uiPriority w:val="99"/>
    <w:rPr>
      <w:rFonts w:ascii="Cambria" w:hAnsi="Cambria" w:eastAsia="宋体"/>
      <w:b/>
      <w:snapToGrid w:val="0"/>
      <w:kern w:val="28"/>
      <w:sz w:val="32"/>
    </w:rPr>
  </w:style>
  <w:style w:type="character" w:customStyle="1" w:styleId="234">
    <w:name w:val="font61"/>
    <w:autoRedefine/>
    <w:qFormat/>
    <w:uiPriority w:val="99"/>
    <w:rPr>
      <w:rFonts w:ascii="仿宋" w:hAnsi="仿宋" w:eastAsia="仿宋"/>
      <w:color w:val="000000"/>
      <w:sz w:val="20"/>
      <w:u w:val="none"/>
    </w:rPr>
  </w:style>
  <w:style w:type="character" w:customStyle="1" w:styleId="235">
    <w:name w:val="bod1"/>
    <w:autoRedefine/>
    <w:qFormat/>
    <w:uiPriority w:val="99"/>
    <w:rPr>
      <w:rFonts w:ascii="MS Sans Serif" w:hAnsi="MS Sans Serif" w:eastAsia="微软雅黑"/>
      <w:b/>
      <w:color w:val="000000"/>
      <w:kern w:val="2"/>
      <w:sz w:val="20"/>
      <w:lang w:val="en-US" w:eastAsia="zh-CN"/>
    </w:rPr>
  </w:style>
  <w:style w:type="character" w:customStyle="1" w:styleId="236">
    <w:name w:val="Char Char211"/>
    <w:autoRedefine/>
    <w:qFormat/>
    <w:uiPriority w:val="99"/>
    <w:rPr>
      <w:rFonts w:eastAsia="宋体"/>
      <w:b/>
      <w:kern w:val="2"/>
      <w:sz w:val="24"/>
      <w:lang w:val="en-US" w:eastAsia="zh-CN"/>
    </w:rPr>
  </w:style>
  <w:style w:type="character" w:customStyle="1" w:styleId="237">
    <w:name w:val="标题 2 Char"/>
    <w:autoRedefine/>
    <w:qFormat/>
    <w:uiPriority w:val="99"/>
    <w:rPr>
      <w:rFonts w:ascii="Arial" w:hAnsi="Arial" w:eastAsia="黑体"/>
      <w:b/>
      <w:kern w:val="2"/>
      <w:sz w:val="32"/>
      <w:lang w:val="en-US" w:eastAsia="zh-CN"/>
    </w:rPr>
  </w:style>
  <w:style w:type="character" w:customStyle="1" w:styleId="238">
    <w:name w:val="maywed421"/>
    <w:autoRedefine/>
    <w:qFormat/>
    <w:uiPriority w:val="99"/>
    <w:rPr>
      <w:color w:val="366FB6"/>
      <w:u w:val="none"/>
    </w:rPr>
  </w:style>
  <w:style w:type="character" w:customStyle="1" w:styleId="239">
    <w:name w:val="正文文本缩进 Char"/>
    <w:autoRedefine/>
    <w:qFormat/>
    <w:uiPriority w:val="99"/>
    <w:rPr>
      <w:rFonts w:ascii="宋体" w:eastAsia="宋体"/>
      <w:kern w:val="2"/>
      <w:sz w:val="24"/>
    </w:rPr>
  </w:style>
  <w:style w:type="character" w:customStyle="1" w:styleId="240">
    <w:name w:val="Char Char102"/>
    <w:autoRedefine/>
    <w:semiHidden/>
    <w:qFormat/>
    <w:uiPriority w:val="99"/>
    <w:rPr>
      <w:rFonts w:ascii="宋体" w:eastAsia="宋体"/>
      <w:kern w:val="2"/>
      <w:sz w:val="24"/>
      <w:lang w:val="en-US" w:eastAsia="zh-CN"/>
    </w:rPr>
  </w:style>
  <w:style w:type="character" w:customStyle="1" w:styleId="241">
    <w:name w:val="页眉 Char1"/>
    <w:autoRedefine/>
    <w:qFormat/>
    <w:uiPriority w:val="99"/>
    <w:rPr>
      <w:rFonts w:eastAsia="宋体"/>
      <w:kern w:val="2"/>
      <w:sz w:val="18"/>
      <w:lang w:val="en-US" w:eastAsia="zh-CN"/>
    </w:rPr>
  </w:style>
  <w:style w:type="character" w:customStyle="1" w:styleId="242">
    <w:name w:val="md"/>
    <w:basedOn w:val="73"/>
    <w:autoRedefine/>
    <w:qFormat/>
    <w:uiPriority w:val="99"/>
    <w:rPr>
      <w:rFonts w:ascii="Arial" w:hAnsi="Arial" w:eastAsia="黑体" w:cs="Arial"/>
      <w:snapToGrid w:val="0"/>
      <w:kern w:val="0"/>
      <w:sz w:val="21"/>
      <w:szCs w:val="21"/>
    </w:rPr>
  </w:style>
  <w:style w:type="character" w:customStyle="1" w:styleId="243">
    <w:name w:val="big1"/>
    <w:autoRedefine/>
    <w:qFormat/>
    <w:uiPriority w:val="99"/>
    <w:rPr>
      <w:rFonts w:ascii="宋体" w:hAnsi="宋体" w:eastAsia="宋体"/>
      <w:color w:val="333333"/>
      <w:sz w:val="22"/>
    </w:rPr>
  </w:style>
  <w:style w:type="character" w:customStyle="1" w:styleId="244">
    <w:name w:val="Char Char311"/>
    <w:autoRedefine/>
    <w:qFormat/>
    <w:uiPriority w:val="99"/>
    <w:rPr>
      <w:rFonts w:eastAsia="宋体"/>
      <w:kern w:val="2"/>
      <w:sz w:val="24"/>
      <w:lang w:val="en-US" w:eastAsia="zh-CN"/>
    </w:rPr>
  </w:style>
  <w:style w:type="character" w:customStyle="1" w:styleId="245">
    <w:name w:val="Char Char81"/>
    <w:autoRedefine/>
    <w:qFormat/>
    <w:uiPriority w:val="99"/>
    <w:rPr>
      <w:rFonts w:eastAsia="宋体"/>
      <w:b/>
      <w:sz w:val="24"/>
      <w:lang w:val="en-GB" w:eastAsia="zh-CN"/>
    </w:rPr>
  </w:style>
  <w:style w:type="character" w:customStyle="1" w:styleId="246">
    <w:name w:val="样式3 Char"/>
    <w:basedOn w:val="199"/>
    <w:autoRedefine/>
    <w:qFormat/>
    <w:uiPriority w:val="99"/>
    <w:rPr>
      <w:rFonts w:cs="仿宋_GB2312"/>
      <w:bCs/>
      <w:szCs w:val="30"/>
    </w:rPr>
  </w:style>
  <w:style w:type="character" w:customStyle="1" w:styleId="247">
    <w:name w:val="正文首行缩进 2 Char1"/>
    <w:autoRedefine/>
    <w:qFormat/>
    <w:uiPriority w:val="99"/>
    <w:rPr>
      <w:rFonts w:ascii="Times New Roman" w:hAnsi="Times New Roman" w:eastAsia="宋体"/>
      <w:kern w:val="2"/>
      <w:sz w:val="24"/>
    </w:rPr>
  </w:style>
  <w:style w:type="character" w:customStyle="1" w:styleId="248">
    <w:name w:val="副标题 Char2"/>
    <w:autoRedefine/>
    <w:qFormat/>
    <w:uiPriority w:val="99"/>
    <w:rPr>
      <w:rFonts w:ascii="Cambria" w:hAnsi="Cambria" w:eastAsia="宋体"/>
      <w:b/>
      <w:snapToGrid w:val="0"/>
      <w:kern w:val="28"/>
      <w:sz w:val="32"/>
    </w:rPr>
  </w:style>
  <w:style w:type="character" w:customStyle="1" w:styleId="249">
    <w:name w:val="标题4-dyf Char"/>
    <w:link w:val="250"/>
    <w:autoRedefine/>
    <w:qFormat/>
    <w:locked/>
    <w:uiPriority w:val="99"/>
    <w:rPr>
      <w:rFonts w:ascii="Cambria" w:hAnsi="Cambria"/>
      <w:b/>
      <w:color w:val="000000"/>
      <w:kern w:val="2"/>
      <w:sz w:val="21"/>
    </w:rPr>
  </w:style>
  <w:style w:type="paragraph" w:customStyle="1" w:styleId="250">
    <w:name w:val="标题4-dyf"/>
    <w:basedOn w:val="7"/>
    <w:link w:val="249"/>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1">
    <w:name w:val="dectext1"/>
    <w:autoRedefine/>
    <w:qFormat/>
    <w:uiPriority w:val="99"/>
    <w:rPr>
      <w:rFonts w:ascii="宋体" w:hAnsi="宋体" w:eastAsia="宋体"/>
      <w:color w:val="333333"/>
      <w:sz w:val="21"/>
      <w:u w:val="none"/>
    </w:rPr>
  </w:style>
  <w:style w:type="character" w:customStyle="1" w:styleId="252">
    <w:name w:val="冯 Char"/>
    <w:link w:val="253"/>
    <w:autoRedefine/>
    <w:qFormat/>
    <w:locked/>
    <w:uiPriority w:val="99"/>
    <w:rPr>
      <w:rFonts w:ascii="宋体" w:eastAsia="宋体"/>
      <w:color w:val="000000"/>
      <w:sz w:val="24"/>
    </w:rPr>
  </w:style>
  <w:style w:type="paragraph" w:customStyle="1" w:styleId="253">
    <w:name w:val="冯"/>
    <w:basedOn w:val="1"/>
    <w:link w:val="252"/>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4">
    <w:name w:val="Char Char12"/>
    <w:autoRedefine/>
    <w:qFormat/>
    <w:uiPriority w:val="99"/>
    <w:rPr>
      <w:rFonts w:ascii="仿宋_GB2312" w:eastAsia="仿宋_GB2312"/>
      <w:b/>
      <w:kern w:val="2"/>
      <w:sz w:val="24"/>
      <w:lang w:val="zh-CN" w:eastAsia="zh-CN"/>
    </w:rPr>
  </w:style>
  <w:style w:type="character" w:customStyle="1" w:styleId="255">
    <w:name w:val="Caption Char"/>
    <w:link w:val="18"/>
    <w:autoRedefine/>
    <w:qFormat/>
    <w:locked/>
    <w:uiPriority w:val="99"/>
    <w:rPr>
      <w:b/>
      <w:kern w:val="2"/>
      <w:sz w:val="28"/>
    </w:rPr>
  </w:style>
  <w:style w:type="character" w:customStyle="1" w:styleId="256">
    <w:name w:val="普通文字 Char3"/>
    <w:autoRedefine/>
    <w:qFormat/>
    <w:uiPriority w:val="99"/>
    <w:rPr>
      <w:rFonts w:ascii="宋体" w:hAnsi="Courier New" w:eastAsia="宋体"/>
      <w:kern w:val="2"/>
      <w:sz w:val="21"/>
      <w:lang w:val="en-US" w:eastAsia="zh-CN"/>
    </w:rPr>
  </w:style>
  <w:style w:type="character" w:customStyle="1" w:styleId="257">
    <w:name w:val="公文正文 Char"/>
    <w:autoRedefine/>
    <w:qFormat/>
    <w:uiPriority w:val="99"/>
    <w:rPr>
      <w:rFonts w:ascii="仿宋_GB2312" w:eastAsia="仿宋_GB2312"/>
      <w:kern w:val="2"/>
      <w:sz w:val="24"/>
      <w:lang w:val="en-US" w:eastAsia="zh-CN"/>
    </w:rPr>
  </w:style>
  <w:style w:type="character" w:customStyle="1" w:styleId="258">
    <w:name w:val="正文首行缩进 Char Char Char Char Char"/>
    <w:autoRedefine/>
    <w:qFormat/>
    <w:uiPriority w:val="99"/>
    <w:rPr>
      <w:rFonts w:ascii="宋体"/>
      <w:kern w:val="2"/>
      <w:sz w:val="24"/>
      <w:lang w:val="zh-CN"/>
    </w:rPr>
  </w:style>
  <w:style w:type="character" w:customStyle="1" w:styleId="259">
    <w:name w:val="PI Char"/>
    <w:autoRedefine/>
    <w:qFormat/>
    <w:uiPriority w:val="99"/>
    <w:rPr>
      <w:rFonts w:ascii="宋体" w:hAnsi="宋体" w:eastAsia="宋体"/>
      <w:kern w:val="2"/>
      <w:sz w:val="24"/>
      <w:lang w:val="en-US" w:eastAsia="zh-CN"/>
    </w:rPr>
  </w:style>
  <w:style w:type="character" w:customStyle="1" w:styleId="260">
    <w:name w:val="Default Char"/>
    <w:link w:val="261"/>
    <w:autoRedefine/>
    <w:qFormat/>
    <w:locked/>
    <w:uiPriority w:val="99"/>
    <w:rPr>
      <w:rFonts w:ascii="仿宋_GB2312" w:eastAsia="仿宋_GB2312"/>
      <w:color w:val="000000"/>
      <w:sz w:val="24"/>
      <w:lang w:val="en-US" w:eastAsia="zh-CN"/>
    </w:rPr>
  </w:style>
  <w:style w:type="paragraph" w:customStyle="1" w:styleId="261">
    <w:name w:val="Default"/>
    <w:link w:val="260"/>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2">
    <w:name w:val="style91"/>
    <w:autoRedefine/>
    <w:qFormat/>
    <w:uiPriority w:val="99"/>
    <w:rPr>
      <w:color w:val="333333"/>
    </w:rPr>
  </w:style>
  <w:style w:type="character" w:customStyle="1" w:styleId="263">
    <w:name w:val="列出段落 Char2"/>
    <w:autoRedefine/>
    <w:qFormat/>
    <w:uiPriority w:val="99"/>
    <w:rPr>
      <w:rFonts w:ascii="Calibri" w:hAnsi="Calibri"/>
      <w:kern w:val="2"/>
      <w:sz w:val="28"/>
    </w:rPr>
  </w:style>
  <w:style w:type="character" w:customStyle="1" w:styleId="264">
    <w:name w:val="mdeck"/>
    <w:autoRedefine/>
    <w:qFormat/>
    <w:uiPriority w:val="99"/>
    <w:rPr>
      <w:rFonts w:ascii="仿宋_GB2312" w:eastAsia="微软雅黑"/>
      <w:b/>
      <w:kern w:val="2"/>
      <w:sz w:val="32"/>
      <w:lang w:val="en-US" w:eastAsia="zh-CN"/>
    </w:rPr>
  </w:style>
  <w:style w:type="character" w:customStyle="1" w:styleId="265">
    <w:name w:val="unnamed11"/>
    <w:autoRedefine/>
    <w:qFormat/>
    <w:uiPriority w:val="99"/>
    <w:rPr>
      <w:sz w:val="20"/>
    </w:rPr>
  </w:style>
  <w:style w:type="character" w:customStyle="1" w:styleId="266">
    <w:name w:val="正文文本 Char2"/>
    <w:autoRedefine/>
    <w:semiHidden/>
    <w:qFormat/>
    <w:uiPriority w:val="99"/>
    <w:rPr>
      <w:rFonts w:ascii="Times New Roman" w:hAnsi="Times New Roman" w:eastAsia="宋体"/>
      <w:snapToGrid w:val="0"/>
      <w:kern w:val="0"/>
      <w:sz w:val="24"/>
    </w:rPr>
  </w:style>
  <w:style w:type="character" w:customStyle="1" w:styleId="267">
    <w:name w:val="标书正文格式 Char"/>
    <w:autoRedefine/>
    <w:qFormat/>
    <w:uiPriority w:val="99"/>
    <w:rPr>
      <w:rFonts w:eastAsia="楷体_GB2312"/>
      <w:kern w:val="2"/>
      <w:sz w:val="24"/>
    </w:rPr>
  </w:style>
  <w:style w:type="character" w:customStyle="1" w:styleId="268">
    <w:name w:val="Char Char11"/>
    <w:autoRedefine/>
    <w:qFormat/>
    <w:locked/>
    <w:uiPriority w:val="99"/>
    <w:rPr>
      <w:rFonts w:ascii="宋体" w:hAnsi="宋体" w:eastAsia="宋体"/>
      <w:b/>
      <w:kern w:val="2"/>
      <w:sz w:val="24"/>
      <w:lang w:val="en-US" w:eastAsia="zh-CN"/>
    </w:rPr>
  </w:style>
  <w:style w:type="character" w:customStyle="1" w:styleId="269">
    <w:name w:val="ca-131"/>
    <w:autoRedefine/>
    <w:qFormat/>
    <w:uiPriority w:val="99"/>
    <w:rPr>
      <w:rFonts w:ascii="仿宋_GB2312" w:eastAsia="仿宋_GB2312"/>
      <w:b/>
      <w:color w:val="000000"/>
      <w:spacing w:val="-20"/>
      <w:sz w:val="24"/>
    </w:rPr>
  </w:style>
  <w:style w:type="character" w:customStyle="1" w:styleId="270">
    <w:name w:val="tw4winMark"/>
    <w:autoRedefine/>
    <w:qFormat/>
    <w:uiPriority w:val="99"/>
    <w:rPr>
      <w:rFonts w:ascii="Courier New" w:hAnsi="Courier New"/>
      <w:vanish/>
      <w:color w:val="800080"/>
      <w:sz w:val="24"/>
      <w:vertAlign w:val="subscript"/>
    </w:rPr>
  </w:style>
  <w:style w:type="character" w:customStyle="1" w:styleId="271">
    <w:name w:val="正文样式 Char"/>
    <w:link w:val="272"/>
    <w:autoRedefine/>
    <w:qFormat/>
    <w:locked/>
    <w:uiPriority w:val="99"/>
    <w:rPr>
      <w:rFonts w:ascii="Calibri" w:hAnsi="Calibri"/>
      <w:sz w:val="24"/>
    </w:rPr>
  </w:style>
  <w:style w:type="paragraph" w:customStyle="1" w:styleId="272">
    <w:name w:val="正文样式"/>
    <w:basedOn w:val="1"/>
    <w:link w:val="271"/>
    <w:autoRedefine/>
    <w:qFormat/>
    <w:uiPriority w:val="99"/>
    <w:pPr>
      <w:adjustRightInd/>
      <w:spacing w:line="360" w:lineRule="auto"/>
      <w:ind w:firstLine="480" w:firstLineChars="200"/>
    </w:pPr>
    <w:rPr>
      <w:rFonts w:ascii="Calibri" w:hAnsi="Calibri"/>
      <w:kern w:val="0"/>
      <w:sz w:val="24"/>
      <w:szCs w:val="20"/>
    </w:rPr>
  </w:style>
  <w:style w:type="character" w:customStyle="1" w:styleId="273">
    <w:name w:val="表正文 Char3"/>
    <w:autoRedefine/>
    <w:qFormat/>
    <w:uiPriority w:val="99"/>
    <w:rPr>
      <w:rFonts w:eastAsia="宋体"/>
    </w:rPr>
  </w:style>
  <w:style w:type="character" w:customStyle="1" w:styleId="274">
    <w:name w:val="H5 Char"/>
    <w:autoRedefine/>
    <w:qFormat/>
    <w:uiPriority w:val="99"/>
    <w:rPr>
      <w:b/>
      <w:kern w:val="2"/>
      <w:sz w:val="28"/>
    </w:rPr>
  </w:style>
  <w:style w:type="character" w:customStyle="1" w:styleId="275">
    <w:name w:val="Char Char3"/>
    <w:autoRedefine/>
    <w:qFormat/>
    <w:uiPriority w:val="99"/>
    <w:rPr>
      <w:rFonts w:eastAsia="宋体"/>
      <w:kern w:val="2"/>
      <w:sz w:val="24"/>
      <w:lang w:val="en-US" w:eastAsia="zh-CN"/>
    </w:rPr>
  </w:style>
  <w:style w:type="character" w:customStyle="1" w:styleId="276">
    <w:name w:val="正文 编号 Char"/>
    <w:autoRedefine/>
    <w:qFormat/>
    <w:uiPriority w:val="99"/>
    <w:rPr>
      <w:rFonts w:ascii="仿宋_GB2312" w:hAnsi="仿宋_GB2312" w:eastAsia="仿宋_GB2312"/>
      <w:kern w:val="2"/>
      <w:sz w:val="24"/>
    </w:rPr>
  </w:style>
  <w:style w:type="character" w:customStyle="1" w:styleId="277">
    <w:name w:val="question-title2"/>
    <w:autoRedefine/>
    <w:qFormat/>
    <w:uiPriority w:val="99"/>
    <w:rPr>
      <w:rFonts w:ascii="Arial" w:hAnsi="Arial" w:eastAsia="黑体"/>
      <w:snapToGrid w:val="0"/>
      <w:kern w:val="0"/>
      <w:sz w:val="21"/>
    </w:rPr>
  </w:style>
  <w:style w:type="character" w:customStyle="1" w:styleId="278">
    <w:name w:val="gf正文1 Char Char"/>
    <w:link w:val="279"/>
    <w:autoRedefine/>
    <w:qFormat/>
    <w:locked/>
    <w:uiPriority w:val="99"/>
    <w:rPr>
      <w:rFonts w:ascii="宋体" w:eastAsia="宋体"/>
      <w:kern w:val="2"/>
      <w:sz w:val="24"/>
    </w:rPr>
  </w:style>
  <w:style w:type="paragraph" w:customStyle="1" w:styleId="279">
    <w:name w:val="gf正文1"/>
    <w:basedOn w:val="1"/>
    <w:link w:val="278"/>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0">
    <w:name w:val="Char Char15"/>
    <w:autoRedefine/>
    <w:qFormat/>
    <w:uiPriority w:val="99"/>
    <w:rPr>
      <w:rFonts w:ascii="宋体" w:eastAsia="宋体"/>
      <w:kern w:val="1"/>
      <w:sz w:val="21"/>
    </w:rPr>
  </w:style>
  <w:style w:type="character" w:customStyle="1" w:styleId="281">
    <w:name w:val="正文缩进 Char3"/>
    <w:autoRedefine/>
    <w:qFormat/>
    <w:uiPriority w:val="99"/>
    <w:rPr>
      <w:rFonts w:ascii="宋体" w:eastAsia="宋体"/>
      <w:snapToGrid w:val="0"/>
      <w:color w:val="000000"/>
      <w:kern w:val="28"/>
      <w:sz w:val="28"/>
      <w:lang w:val="en-US" w:eastAsia="zh-CN"/>
    </w:rPr>
  </w:style>
  <w:style w:type="character" w:customStyle="1" w:styleId="282">
    <w:name w:val="列出段落 Char1"/>
    <w:link w:val="283"/>
    <w:autoRedefine/>
    <w:qFormat/>
    <w:locked/>
    <w:uiPriority w:val="99"/>
    <w:rPr>
      <w:rFonts w:ascii="Calibri" w:hAnsi="Calibri"/>
      <w:sz w:val="24"/>
      <w:lang w:eastAsia="en-US"/>
    </w:rPr>
  </w:style>
  <w:style w:type="paragraph" w:customStyle="1" w:styleId="283">
    <w:name w:val="列表1"/>
    <w:basedOn w:val="1"/>
    <w:next w:val="284"/>
    <w:link w:val="282"/>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4">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5">
    <w:name w:val="Char Char8"/>
    <w:autoRedefine/>
    <w:qFormat/>
    <w:uiPriority w:val="99"/>
    <w:rPr>
      <w:rFonts w:eastAsia="宋体"/>
      <w:b/>
      <w:sz w:val="24"/>
      <w:lang w:val="en-GB" w:eastAsia="zh-CN"/>
    </w:rPr>
  </w:style>
  <w:style w:type="character" w:customStyle="1" w:styleId="286">
    <w:name w:val="Normal Indent Char Char"/>
    <w:autoRedefine/>
    <w:qFormat/>
    <w:uiPriority w:val="99"/>
    <w:rPr>
      <w:rFonts w:eastAsia="宋体"/>
      <w:kern w:val="2"/>
      <w:sz w:val="21"/>
      <w:lang w:val="en-US" w:eastAsia="zh-CN"/>
    </w:rPr>
  </w:style>
  <w:style w:type="character" w:customStyle="1" w:styleId="287">
    <w:name w:val="列表段落 字符"/>
    <w:autoRedefine/>
    <w:qFormat/>
    <w:uiPriority w:val="99"/>
  </w:style>
  <w:style w:type="character" w:customStyle="1" w:styleId="288">
    <w:name w:val="Ò³Ã¼ Char Char1"/>
    <w:autoRedefine/>
    <w:qFormat/>
    <w:uiPriority w:val="99"/>
    <w:rPr>
      <w:rFonts w:eastAsia="宋体"/>
      <w:kern w:val="2"/>
      <w:sz w:val="18"/>
      <w:lang w:val="en-US" w:eastAsia="zh-CN"/>
    </w:rPr>
  </w:style>
  <w:style w:type="character" w:customStyle="1" w:styleId="289">
    <w:name w:val="方案正文 Char"/>
    <w:autoRedefine/>
    <w:qFormat/>
    <w:uiPriority w:val="99"/>
    <w:rPr>
      <w:rFonts w:ascii="仿宋_GB2312" w:eastAsia="仿宋_GB2312"/>
      <w:b/>
      <w:color w:val="000000"/>
      <w:kern w:val="2"/>
      <w:sz w:val="24"/>
      <w:lang w:val="en-US" w:eastAsia="zh-CN"/>
    </w:rPr>
  </w:style>
  <w:style w:type="character" w:customStyle="1" w:styleId="290">
    <w:name w:val="Char Char30"/>
    <w:autoRedefine/>
    <w:qFormat/>
    <w:uiPriority w:val="99"/>
    <w:rPr>
      <w:rFonts w:ascii="Arial" w:hAnsi="Arial" w:eastAsia="黑体"/>
      <w:kern w:val="1"/>
      <w:sz w:val="21"/>
    </w:rPr>
  </w:style>
  <w:style w:type="character" w:customStyle="1" w:styleId="291">
    <w:name w:val="font01"/>
    <w:basedOn w:val="73"/>
    <w:autoRedefine/>
    <w:qFormat/>
    <w:uiPriority w:val="99"/>
    <w:rPr>
      <w:rFonts w:ascii="微软雅黑" w:hAnsi="微软雅黑" w:eastAsia="微软雅黑"/>
      <w:color w:val="000000"/>
      <w:sz w:val="20"/>
      <w:u w:val="none"/>
    </w:rPr>
  </w:style>
  <w:style w:type="character" w:customStyle="1" w:styleId="292">
    <w:name w:val="Char Char20"/>
    <w:autoRedefine/>
    <w:qFormat/>
    <w:uiPriority w:val="99"/>
    <w:rPr>
      <w:kern w:val="1"/>
      <w:sz w:val="24"/>
    </w:rPr>
  </w:style>
  <w:style w:type="character" w:customStyle="1" w:styleId="293">
    <w:name w:val="tw4winExternal"/>
    <w:autoRedefine/>
    <w:qFormat/>
    <w:uiPriority w:val="99"/>
    <w:rPr>
      <w:rFonts w:ascii="Courier New" w:hAnsi="Courier New"/>
      <w:color w:val="808080"/>
      <w:lang w:val="en-US" w:eastAsia="zh-CN"/>
    </w:rPr>
  </w:style>
  <w:style w:type="character" w:customStyle="1" w:styleId="294">
    <w:name w:val="标题 4 Char1"/>
    <w:autoRedefine/>
    <w:qFormat/>
    <w:uiPriority w:val="99"/>
    <w:rPr>
      <w:rFonts w:ascii="Cambria" w:hAnsi="Cambria" w:eastAsia="宋体"/>
      <w:b/>
      <w:kern w:val="2"/>
      <w:sz w:val="28"/>
    </w:rPr>
  </w:style>
  <w:style w:type="character" w:customStyle="1" w:styleId="295">
    <w:name w:val="批注文字 Char2"/>
    <w:autoRedefine/>
    <w:qFormat/>
    <w:uiPriority w:val="99"/>
    <w:rPr>
      <w:rFonts w:ascii="Times New Roman" w:hAnsi="Times New Roman" w:eastAsia="宋体"/>
      <w:snapToGrid w:val="0"/>
      <w:kern w:val="0"/>
      <w:sz w:val="24"/>
    </w:rPr>
  </w:style>
  <w:style w:type="character" w:customStyle="1" w:styleId="296">
    <w:name w:val="正文文本 2 Char"/>
    <w:autoRedefine/>
    <w:qFormat/>
    <w:uiPriority w:val="99"/>
    <w:rPr>
      <w:rFonts w:eastAsia="宋体"/>
      <w:kern w:val="2"/>
      <w:sz w:val="24"/>
      <w:lang w:val="en-US" w:eastAsia="zh-CN"/>
    </w:rPr>
  </w:style>
  <w:style w:type="character" w:customStyle="1" w:styleId="297">
    <w:name w:val="Ò³Ã¼ Char Char"/>
    <w:autoRedefine/>
    <w:qFormat/>
    <w:uiPriority w:val="99"/>
    <w:rPr>
      <w:rFonts w:eastAsia="宋体"/>
      <w:kern w:val="2"/>
      <w:sz w:val="18"/>
      <w:lang w:val="en-US" w:eastAsia="zh-CN"/>
    </w:rPr>
  </w:style>
  <w:style w:type="character" w:customStyle="1" w:styleId="298">
    <w:name w:val="message1"/>
    <w:autoRedefine/>
    <w:qFormat/>
    <w:uiPriority w:val="99"/>
    <w:rPr>
      <w:rFonts w:ascii="Tahoma" w:hAnsi="Tahoma"/>
      <w:sz w:val="18"/>
    </w:rPr>
  </w:style>
  <w:style w:type="character" w:customStyle="1" w:styleId="299">
    <w:name w:val="Char Char23"/>
    <w:autoRedefine/>
    <w:qFormat/>
    <w:uiPriority w:val="99"/>
    <w:rPr>
      <w:color w:val="0000FF"/>
      <w:sz w:val="21"/>
    </w:rPr>
  </w:style>
  <w:style w:type="character" w:customStyle="1" w:styleId="300">
    <w:name w:val="批注框文本 字符"/>
    <w:autoRedefine/>
    <w:qFormat/>
    <w:uiPriority w:val="99"/>
    <w:rPr>
      <w:rFonts w:ascii="Arial" w:hAnsi="Arial" w:eastAsia="黑体"/>
      <w:snapToGrid w:val="0"/>
      <w:kern w:val="0"/>
      <w:sz w:val="18"/>
    </w:rPr>
  </w:style>
  <w:style w:type="character" w:customStyle="1" w:styleId="301">
    <w:name w:val="纯文本 Char2"/>
    <w:autoRedefine/>
    <w:semiHidden/>
    <w:qFormat/>
    <w:uiPriority w:val="99"/>
    <w:rPr>
      <w:rFonts w:ascii="宋体" w:hAnsi="Courier New" w:eastAsia="宋体"/>
    </w:rPr>
  </w:style>
  <w:style w:type="character" w:customStyle="1" w:styleId="302">
    <w:name w:val="Char Char25"/>
    <w:autoRedefine/>
    <w:qFormat/>
    <w:uiPriority w:val="99"/>
    <w:rPr>
      <w:rFonts w:ascii="宋体" w:eastAsia="宋体"/>
      <w:kern w:val="1"/>
      <w:sz w:val="24"/>
      <w:lang w:val="zh-CN"/>
    </w:rPr>
  </w:style>
  <w:style w:type="character" w:customStyle="1" w:styleId="303">
    <w:name w:val="Char Char411"/>
    <w:autoRedefine/>
    <w:qFormat/>
    <w:uiPriority w:val="99"/>
    <w:rPr>
      <w:rFonts w:eastAsia="宋体"/>
      <w:b/>
      <w:sz w:val="24"/>
      <w:lang w:val="en-GB" w:eastAsia="zh-CN"/>
    </w:rPr>
  </w:style>
  <w:style w:type="character" w:customStyle="1" w:styleId="304">
    <w:name w:val="此正文 Char"/>
    <w:link w:val="305"/>
    <w:autoRedefine/>
    <w:qFormat/>
    <w:locked/>
    <w:uiPriority w:val="99"/>
    <w:rPr>
      <w:kern w:val="2"/>
      <w:sz w:val="24"/>
    </w:rPr>
  </w:style>
  <w:style w:type="paragraph" w:customStyle="1" w:styleId="305">
    <w:name w:val="此正文"/>
    <w:basedOn w:val="1"/>
    <w:link w:val="304"/>
    <w:autoRedefine/>
    <w:qFormat/>
    <w:uiPriority w:val="99"/>
    <w:pPr>
      <w:adjustRightInd/>
      <w:spacing w:line="360" w:lineRule="auto"/>
      <w:ind w:firstLine="200" w:firstLineChars="200"/>
    </w:pPr>
    <w:rPr>
      <w:sz w:val="24"/>
      <w:szCs w:val="20"/>
    </w:rPr>
  </w:style>
  <w:style w:type="character" w:customStyle="1" w:styleId="306">
    <w:name w:val="Char Char2"/>
    <w:autoRedefine/>
    <w:qFormat/>
    <w:uiPriority w:val="99"/>
    <w:rPr>
      <w:rFonts w:eastAsia="宋体"/>
      <w:b/>
      <w:kern w:val="2"/>
      <w:sz w:val="24"/>
      <w:lang w:val="en-US" w:eastAsia="zh-CN"/>
    </w:rPr>
  </w:style>
  <w:style w:type="character" w:customStyle="1" w:styleId="307">
    <w:name w:val="Heading 1 Char1"/>
    <w:link w:val="4"/>
    <w:autoRedefine/>
    <w:qFormat/>
    <w:locked/>
    <w:uiPriority w:val="99"/>
    <w:rPr>
      <w:b/>
      <w:kern w:val="44"/>
      <w:sz w:val="44"/>
    </w:rPr>
  </w:style>
  <w:style w:type="character" w:customStyle="1" w:styleId="308">
    <w:name w:val="Footer-Even Char1"/>
    <w:autoRedefine/>
    <w:qFormat/>
    <w:uiPriority w:val="99"/>
    <w:rPr>
      <w:rFonts w:eastAsia="宋体"/>
      <w:kern w:val="2"/>
      <w:sz w:val="18"/>
      <w:lang w:val="en-US" w:eastAsia="zh-CN"/>
    </w:rPr>
  </w:style>
  <w:style w:type="character" w:customStyle="1" w:styleId="309">
    <w:name w:val="Char Char29"/>
    <w:autoRedefine/>
    <w:qFormat/>
    <w:uiPriority w:val="99"/>
    <w:rPr>
      <w:rFonts w:ascii="Arial" w:hAnsi="Arial" w:eastAsia="微软雅黑"/>
      <w:b/>
      <w:kern w:val="1"/>
      <w:sz w:val="32"/>
      <w:lang w:val="en-US" w:eastAsia="zh-CN"/>
    </w:rPr>
  </w:style>
  <w:style w:type="character" w:customStyle="1" w:styleId="310">
    <w:name w:val="font81"/>
    <w:autoRedefine/>
    <w:qFormat/>
    <w:uiPriority w:val="99"/>
    <w:rPr>
      <w:rFonts w:ascii="微软雅黑" w:hAnsi="微软雅黑" w:eastAsia="微软雅黑"/>
      <w:color w:val="000000"/>
      <w:sz w:val="20"/>
      <w:u w:val="none"/>
    </w:rPr>
  </w:style>
  <w:style w:type="character" w:customStyle="1" w:styleId="311">
    <w:name w:val="Char Char312"/>
    <w:autoRedefine/>
    <w:qFormat/>
    <w:uiPriority w:val="99"/>
    <w:rPr>
      <w:rFonts w:ascii="Times New Roman" w:hAnsi="Times New Roman" w:eastAsia="宋体"/>
      <w:b/>
      <w:kern w:val="2"/>
      <w:sz w:val="24"/>
      <w:lang w:val="en-US" w:eastAsia="zh-CN"/>
    </w:rPr>
  </w:style>
  <w:style w:type="character" w:customStyle="1" w:styleId="312">
    <w:name w:val="t21"/>
    <w:autoRedefine/>
    <w:qFormat/>
    <w:uiPriority w:val="99"/>
    <w:rPr>
      <w:rFonts w:ascii="仿宋_GB2312" w:eastAsia="微软雅黑"/>
      <w:b/>
      <w:kern w:val="2"/>
      <w:sz w:val="23"/>
      <w:lang w:val="en-US" w:eastAsia="zh-CN"/>
    </w:rPr>
  </w:style>
  <w:style w:type="character" w:customStyle="1" w:styleId="313">
    <w:name w:val="样式8 Char"/>
    <w:autoRedefine/>
    <w:qFormat/>
    <w:uiPriority w:val="99"/>
    <w:rPr>
      <w:rFonts w:ascii="仿宋_GB2312" w:hAnsi="宋体" w:eastAsia="仿宋_GB2312"/>
      <w:b/>
      <w:kern w:val="2"/>
      <w:sz w:val="24"/>
    </w:rPr>
  </w:style>
  <w:style w:type="character" w:customStyle="1" w:styleId="314">
    <w:name w:val="表格 Char Char"/>
    <w:autoRedefine/>
    <w:qFormat/>
    <w:uiPriority w:val="99"/>
    <w:rPr>
      <w:rFonts w:ascii="宋体" w:hAnsi="宋体" w:eastAsia="宋体"/>
    </w:rPr>
  </w:style>
  <w:style w:type="character" w:customStyle="1" w:styleId="315">
    <w:name w:val="正文文本 字符1"/>
    <w:autoRedefine/>
    <w:qFormat/>
    <w:uiPriority w:val="99"/>
    <w:rPr>
      <w:rFonts w:ascii="Calibri" w:hAnsi="Calibri" w:eastAsia="黑体"/>
      <w:snapToGrid w:val="0"/>
      <w:kern w:val="2"/>
      <w:sz w:val="21"/>
    </w:rPr>
  </w:style>
  <w:style w:type="character" w:customStyle="1" w:styleId="316">
    <w:name w:val="标题 6 Char1"/>
    <w:autoRedefine/>
    <w:qFormat/>
    <w:uiPriority w:val="99"/>
    <w:rPr>
      <w:rFonts w:ascii="Arial" w:hAnsi="Arial" w:eastAsia="黑体"/>
      <w:b/>
      <w:sz w:val="20"/>
    </w:rPr>
  </w:style>
  <w:style w:type="character" w:customStyle="1" w:styleId="317">
    <w:name w:val="带编号样式 Char"/>
    <w:autoRedefine/>
    <w:qFormat/>
    <w:uiPriority w:val="99"/>
    <w:rPr>
      <w:rFonts w:ascii="仿宋_GB2312" w:eastAsia="仿宋_GB2312"/>
      <w:color w:val="000000"/>
      <w:sz w:val="24"/>
    </w:rPr>
  </w:style>
  <w:style w:type="character" w:customStyle="1" w:styleId="318">
    <w:name w:val="unnamed31"/>
    <w:autoRedefine/>
    <w:qFormat/>
    <w:uiPriority w:val="99"/>
    <w:rPr>
      <w:rFonts w:ascii="Tahoma" w:hAnsi="Tahoma" w:eastAsia="宋体"/>
      <w:b/>
      <w:kern w:val="2"/>
      <w:sz w:val="32"/>
      <w:u w:val="none"/>
      <w:lang w:val="en-US" w:eastAsia="zh-CN"/>
    </w:rPr>
  </w:style>
  <w:style w:type="character" w:customStyle="1" w:styleId="319">
    <w:name w:val="正文首行缩进 Char Char Char Char Char Char1"/>
    <w:autoRedefine/>
    <w:qFormat/>
    <w:uiPriority w:val="99"/>
    <w:rPr>
      <w:rFonts w:ascii="宋体" w:eastAsia="宋体"/>
      <w:kern w:val="2"/>
      <w:sz w:val="24"/>
      <w:lang w:val="zh-CN"/>
    </w:rPr>
  </w:style>
  <w:style w:type="character" w:customStyle="1" w:styleId="320">
    <w:name w:val="文本正文 Char Char"/>
    <w:autoRedefine/>
    <w:qFormat/>
    <w:locked/>
    <w:uiPriority w:val="99"/>
    <w:rPr>
      <w:sz w:val="24"/>
    </w:rPr>
  </w:style>
  <w:style w:type="character" w:customStyle="1" w:styleId="321">
    <w:name w:val="正文缩进 字符"/>
    <w:autoRedefine/>
    <w:qFormat/>
    <w:uiPriority w:val="99"/>
    <w:rPr>
      <w:rFonts w:ascii="宋体" w:eastAsia="宋体"/>
      <w:snapToGrid w:val="0"/>
      <w:color w:val="000000"/>
      <w:kern w:val="28"/>
      <w:sz w:val="28"/>
      <w:lang w:val="en-US" w:eastAsia="zh-CN"/>
    </w:rPr>
  </w:style>
  <w:style w:type="character" w:customStyle="1" w:styleId="322">
    <w:name w:val="样式 样式 标题 4h4H4Fab-4T5Ref Heading 1rh1Heading sqlsect 1.2.3.... +... Char"/>
    <w:link w:val="323"/>
    <w:autoRedefine/>
    <w:qFormat/>
    <w:locked/>
    <w:uiPriority w:val="99"/>
    <w:rPr>
      <w:rFonts w:ascii="微软雅黑" w:hAnsi="微软雅黑" w:eastAsia="微软雅黑"/>
      <w:b/>
      <w:kern w:val="2"/>
      <w:sz w:val="28"/>
    </w:rPr>
  </w:style>
  <w:style w:type="paragraph" w:customStyle="1" w:styleId="323">
    <w:name w:val="样式 样式 标题 4h4H4Fab-4T5Ref Heading 1rh1Heading sqlsect 1.2.3.... +..."/>
    <w:basedOn w:val="324"/>
    <w:link w:val="322"/>
    <w:autoRedefine/>
    <w:qFormat/>
    <w:uiPriority w:val="99"/>
    <w:pPr>
      <w:tabs>
        <w:tab w:val="left" w:pos="2356"/>
      </w:tabs>
    </w:pPr>
  </w:style>
  <w:style w:type="paragraph" w:customStyle="1" w:styleId="324">
    <w:name w:val="样式 标题 4h4H4Fab-4T5Ref Heading 1rh1Heading sqlsect 1.2.3...."/>
    <w:basedOn w:val="7"/>
    <w:link w:val="424"/>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5">
    <w:name w:val="正文非缩进 Char"/>
    <w:autoRedefine/>
    <w:qFormat/>
    <w:uiPriority w:val="99"/>
    <w:rPr>
      <w:rFonts w:ascii="宋体" w:eastAsia="宋体"/>
      <w:snapToGrid w:val="0"/>
      <w:color w:val="000000"/>
      <w:kern w:val="28"/>
      <w:sz w:val="28"/>
      <w:lang w:val="en-US" w:eastAsia="zh-CN"/>
    </w:rPr>
  </w:style>
  <w:style w:type="character" w:customStyle="1" w:styleId="326">
    <w:name w:val="Heading 7 Char1"/>
    <w:link w:val="10"/>
    <w:autoRedefine/>
    <w:qFormat/>
    <w:locked/>
    <w:uiPriority w:val="99"/>
    <w:rPr>
      <w:b/>
      <w:kern w:val="2"/>
      <w:sz w:val="24"/>
    </w:rPr>
  </w:style>
  <w:style w:type="character" w:customStyle="1" w:styleId="327">
    <w:name w:val="Char Char5"/>
    <w:autoRedefine/>
    <w:qFormat/>
    <w:uiPriority w:val="99"/>
    <w:rPr>
      <w:rFonts w:ascii="宋体" w:hAnsi="Courier New" w:eastAsia="宋体"/>
      <w:kern w:val="2"/>
      <w:sz w:val="21"/>
      <w:lang w:val="en-US" w:eastAsia="zh-CN"/>
    </w:rPr>
  </w:style>
  <w:style w:type="character" w:customStyle="1" w:styleId="328">
    <w:name w:val="称呼 Char1"/>
    <w:autoRedefine/>
    <w:qFormat/>
    <w:uiPriority w:val="99"/>
    <w:rPr>
      <w:rFonts w:ascii="Times New Roman" w:hAnsi="Times New Roman" w:eastAsia="宋体"/>
      <w:sz w:val="24"/>
    </w:rPr>
  </w:style>
  <w:style w:type="character" w:customStyle="1" w:styleId="329">
    <w:name w:val="正文1 Char"/>
    <w:autoRedefine/>
    <w:qFormat/>
    <w:uiPriority w:val="99"/>
    <w:rPr>
      <w:rFonts w:ascii="宋体" w:eastAsia="宋体"/>
      <w:snapToGrid w:val="0"/>
      <w:color w:val="000000"/>
      <w:kern w:val="28"/>
      <w:sz w:val="28"/>
      <w:lang w:val="en-US" w:eastAsia="zh-CN"/>
    </w:rPr>
  </w:style>
  <w:style w:type="character" w:customStyle="1" w:styleId="330">
    <w:name w:val="正文缩进 Char1"/>
    <w:autoRedefine/>
    <w:qFormat/>
    <w:uiPriority w:val="99"/>
    <w:rPr>
      <w:rFonts w:ascii="宋体" w:eastAsia="宋体"/>
      <w:snapToGrid w:val="0"/>
      <w:color w:val="000000"/>
      <w:kern w:val="28"/>
      <w:sz w:val="28"/>
      <w:lang w:val="en-US" w:eastAsia="zh-CN"/>
    </w:rPr>
  </w:style>
  <w:style w:type="character" w:customStyle="1" w:styleId="331">
    <w:name w:val="font21"/>
    <w:basedOn w:val="73"/>
    <w:autoRedefine/>
    <w:qFormat/>
    <w:uiPriority w:val="99"/>
    <w:rPr>
      <w:rFonts w:ascii="宋体" w:hAnsi="宋体" w:eastAsia="宋体"/>
      <w:kern w:val="2"/>
      <w:sz w:val="28"/>
      <w:lang w:val="en-US" w:eastAsia="zh-CN"/>
    </w:rPr>
  </w:style>
  <w:style w:type="character" w:customStyle="1" w:styleId="332">
    <w:name w:val="Char Char26"/>
    <w:autoRedefine/>
    <w:qFormat/>
    <w:uiPriority w:val="99"/>
    <w:rPr>
      <w:kern w:val="1"/>
      <w:sz w:val="24"/>
    </w:rPr>
  </w:style>
  <w:style w:type="character" w:customStyle="1" w:styleId="333">
    <w:name w:val="Item List Char"/>
    <w:link w:val="334"/>
    <w:autoRedefine/>
    <w:qFormat/>
    <w:locked/>
    <w:uiPriority w:val="99"/>
    <w:rPr>
      <w:rFonts w:ascii="Arial"/>
      <w:sz w:val="21"/>
      <w:lang w:val="en-US" w:eastAsia="zh-CN"/>
    </w:rPr>
  </w:style>
  <w:style w:type="paragraph" w:customStyle="1" w:styleId="334">
    <w:name w:val="Item List"/>
    <w:link w:val="333"/>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5">
    <w:name w:val="批注框文本 Char1"/>
    <w:autoRedefine/>
    <w:qFormat/>
    <w:uiPriority w:val="99"/>
    <w:rPr>
      <w:rFonts w:ascii="Times New Roman" w:hAnsi="Times New Roman" w:eastAsia="宋体"/>
      <w:sz w:val="18"/>
    </w:rPr>
  </w:style>
  <w:style w:type="character" w:customStyle="1" w:styleId="336">
    <w:name w:val="纯文本 Char1"/>
    <w:link w:val="337"/>
    <w:autoRedefine/>
    <w:qFormat/>
    <w:locked/>
    <w:uiPriority w:val="99"/>
    <w:rPr>
      <w:rFonts w:ascii="宋体" w:hAnsi="Courier New"/>
    </w:rPr>
  </w:style>
  <w:style w:type="paragraph" w:customStyle="1" w:styleId="337">
    <w:name w:val="纯文本1"/>
    <w:basedOn w:val="1"/>
    <w:link w:val="336"/>
    <w:autoRedefine/>
    <w:qFormat/>
    <w:uiPriority w:val="99"/>
    <w:pPr>
      <w:adjustRightInd/>
    </w:pPr>
    <w:rPr>
      <w:rFonts w:ascii="宋体" w:hAnsi="Courier New"/>
      <w:kern w:val="0"/>
      <w:sz w:val="20"/>
      <w:szCs w:val="20"/>
    </w:rPr>
  </w:style>
  <w:style w:type="character" w:customStyle="1" w:styleId="338">
    <w:name w:val="h3 Char"/>
    <w:autoRedefine/>
    <w:qFormat/>
    <w:uiPriority w:val="99"/>
    <w:rPr>
      <w:rFonts w:eastAsia="宋体"/>
      <w:b/>
      <w:kern w:val="2"/>
      <w:sz w:val="32"/>
      <w:lang w:val="en-US" w:eastAsia="zh-CN"/>
    </w:rPr>
  </w:style>
  <w:style w:type="character" w:customStyle="1" w:styleId="339">
    <w:name w:val="dandyren_title1"/>
    <w:autoRedefine/>
    <w:qFormat/>
    <w:uiPriority w:val="99"/>
    <w:rPr>
      <w:b/>
      <w:color w:val="FF6633"/>
      <w:sz w:val="18"/>
    </w:rPr>
  </w:style>
  <w:style w:type="character" w:customStyle="1" w:styleId="340">
    <w:name w:val="Char Char31"/>
    <w:autoRedefine/>
    <w:qFormat/>
    <w:uiPriority w:val="99"/>
    <w:rPr>
      <w:rFonts w:ascii="Arial" w:hAnsi="Arial" w:eastAsia="黑体"/>
      <w:kern w:val="1"/>
      <w:sz w:val="24"/>
    </w:rPr>
  </w:style>
  <w:style w:type="character" w:customStyle="1" w:styleId="341">
    <w:name w:val="h Char1"/>
    <w:autoRedefine/>
    <w:qFormat/>
    <w:uiPriority w:val="99"/>
    <w:rPr>
      <w:sz w:val="18"/>
    </w:rPr>
  </w:style>
  <w:style w:type="character" w:customStyle="1" w:styleId="342">
    <w:name w:val="solutionfonts"/>
    <w:autoRedefine/>
    <w:qFormat/>
    <w:uiPriority w:val="99"/>
  </w:style>
  <w:style w:type="character" w:customStyle="1" w:styleId="343">
    <w:name w:val="首行缩进 Char"/>
    <w:autoRedefine/>
    <w:qFormat/>
    <w:uiPriority w:val="99"/>
    <w:rPr>
      <w:rFonts w:ascii="宋体" w:eastAsia="宋体"/>
      <w:kern w:val="2"/>
      <w:sz w:val="24"/>
      <w:lang w:val="en-US" w:eastAsia="zh-CN"/>
    </w:rPr>
  </w:style>
  <w:style w:type="character" w:customStyle="1" w:styleId="344">
    <w:name w:val="Char Char52"/>
    <w:autoRedefine/>
    <w:qFormat/>
    <w:uiPriority w:val="99"/>
    <w:rPr>
      <w:rFonts w:ascii="宋体" w:hAnsi="Courier New" w:eastAsia="宋体"/>
      <w:kern w:val="2"/>
      <w:sz w:val="21"/>
      <w:lang w:val="en-US" w:eastAsia="zh-CN"/>
    </w:rPr>
  </w:style>
  <w:style w:type="character" w:customStyle="1" w:styleId="345">
    <w:name w:val="font31"/>
    <w:basedOn w:val="73"/>
    <w:autoRedefine/>
    <w:qFormat/>
    <w:uiPriority w:val="99"/>
    <w:rPr>
      <w:rFonts w:ascii="仿宋" w:hAnsi="仿宋" w:eastAsia="仿宋"/>
      <w:color w:val="000000"/>
      <w:sz w:val="20"/>
      <w:u w:val="none"/>
    </w:rPr>
  </w:style>
  <w:style w:type="character" w:customStyle="1" w:styleId="346">
    <w:name w:val="正文说明 Char"/>
    <w:link w:val="347"/>
    <w:autoRedefine/>
    <w:qFormat/>
    <w:locked/>
    <w:uiPriority w:val="99"/>
    <w:rPr>
      <w:sz w:val="24"/>
    </w:rPr>
  </w:style>
  <w:style w:type="paragraph" w:customStyle="1" w:styleId="347">
    <w:name w:val="正文说明"/>
    <w:basedOn w:val="1"/>
    <w:link w:val="346"/>
    <w:autoRedefine/>
    <w:qFormat/>
    <w:uiPriority w:val="99"/>
    <w:pPr>
      <w:adjustRightInd/>
      <w:spacing w:line="360" w:lineRule="auto"/>
    </w:pPr>
    <w:rPr>
      <w:kern w:val="0"/>
      <w:sz w:val="24"/>
      <w:szCs w:val="20"/>
    </w:rPr>
  </w:style>
  <w:style w:type="character" w:customStyle="1" w:styleId="348">
    <w:name w:val="脚注文本 Char1"/>
    <w:autoRedefine/>
    <w:qFormat/>
    <w:uiPriority w:val="99"/>
    <w:rPr>
      <w:rFonts w:ascii="Times New Roman" w:hAnsi="Times New Roman" w:eastAsia="宋体"/>
      <w:sz w:val="18"/>
    </w:rPr>
  </w:style>
  <w:style w:type="character" w:customStyle="1" w:styleId="349">
    <w:name w:val="Char Char1211"/>
    <w:autoRedefine/>
    <w:qFormat/>
    <w:uiPriority w:val="99"/>
    <w:rPr>
      <w:rFonts w:ascii="仿宋_GB2312" w:eastAsia="仿宋_GB2312"/>
      <w:b/>
      <w:kern w:val="2"/>
      <w:sz w:val="24"/>
      <w:lang w:val="zh-CN" w:eastAsia="zh-CN"/>
    </w:rPr>
  </w:style>
  <w:style w:type="character" w:customStyle="1" w:styleId="350">
    <w:name w:val="标题 Char"/>
    <w:autoRedefine/>
    <w:qFormat/>
    <w:uiPriority w:val="99"/>
    <w:rPr>
      <w:rFonts w:eastAsia="宋体"/>
      <w:b/>
      <w:sz w:val="24"/>
      <w:lang w:val="en-GB" w:eastAsia="zh-CN"/>
    </w:rPr>
  </w:style>
  <w:style w:type="character" w:customStyle="1" w:styleId="351">
    <w:name w:val="Char Char35"/>
    <w:autoRedefine/>
    <w:qFormat/>
    <w:uiPriority w:val="99"/>
    <w:rPr>
      <w:rFonts w:ascii="Arial" w:hAnsi="Arial" w:eastAsia="黑体"/>
      <w:b/>
      <w:kern w:val="1"/>
      <w:sz w:val="28"/>
      <w:lang w:val="zh-CN"/>
    </w:rPr>
  </w:style>
  <w:style w:type="character" w:customStyle="1" w:styleId="352">
    <w:name w:val="纯文本 Char Char Char"/>
    <w:autoRedefine/>
    <w:qFormat/>
    <w:uiPriority w:val="99"/>
    <w:rPr>
      <w:rFonts w:ascii="宋体" w:hAnsi="Courier New" w:eastAsia="宋体"/>
      <w:kern w:val="2"/>
      <w:sz w:val="21"/>
      <w:lang w:val="en-US" w:eastAsia="zh-CN"/>
    </w:rPr>
  </w:style>
  <w:style w:type="character" w:customStyle="1" w:styleId="353">
    <w:name w:val="Table Text Char"/>
    <w:link w:val="354"/>
    <w:autoRedefine/>
    <w:qFormat/>
    <w:locked/>
    <w:uiPriority w:val="99"/>
    <w:rPr>
      <w:sz w:val="24"/>
    </w:rPr>
  </w:style>
  <w:style w:type="paragraph" w:customStyle="1" w:styleId="354">
    <w:name w:val="Table Text"/>
    <w:basedOn w:val="1"/>
    <w:link w:val="353"/>
    <w:autoRedefine/>
    <w:qFormat/>
    <w:uiPriority w:val="99"/>
    <w:pPr>
      <w:widowControl/>
      <w:spacing w:before="60" w:after="60"/>
      <w:jc w:val="left"/>
    </w:pPr>
    <w:rPr>
      <w:kern w:val="0"/>
      <w:sz w:val="24"/>
      <w:szCs w:val="20"/>
    </w:rPr>
  </w:style>
  <w:style w:type="character" w:customStyle="1" w:styleId="355">
    <w:name w:val="正文1 Char1"/>
    <w:autoRedefine/>
    <w:qFormat/>
    <w:uiPriority w:val="99"/>
    <w:rPr>
      <w:rFonts w:ascii="仿宋_GB2312" w:hAnsi="Courier New" w:eastAsia="仿宋_GB2312"/>
      <w:kern w:val="28"/>
      <w:sz w:val="24"/>
      <w:lang w:val="en-US" w:eastAsia="zh-CN"/>
    </w:rPr>
  </w:style>
  <w:style w:type="character" w:customStyle="1" w:styleId="356">
    <w:name w:val="页脚 Char1"/>
    <w:autoRedefine/>
    <w:qFormat/>
    <w:uiPriority w:val="99"/>
    <w:rPr>
      <w:rFonts w:eastAsia="宋体"/>
      <w:kern w:val="2"/>
      <w:sz w:val="18"/>
      <w:lang w:val="en-US" w:eastAsia="zh-CN"/>
    </w:rPr>
  </w:style>
  <w:style w:type="character" w:customStyle="1" w:styleId="357">
    <w:name w:val="Bold"/>
    <w:autoRedefine/>
    <w:qFormat/>
    <w:uiPriority w:val="99"/>
    <w:rPr>
      <w:rFonts w:ascii="Arial" w:hAnsi="Arial" w:eastAsia="黑体"/>
      <w:b/>
      <w:kern w:val="2"/>
      <w:sz w:val="32"/>
      <w:lang w:val="en-US" w:eastAsia="zh-CN"/>
    </w:rPr>
  </w:style>
  <w:style w:type="character" w:customStyle="1" w:styleId="358">
    <w:name w:val="Comment Text Char1"/>
    <w:link w:val="21"/>
    <w:autoRedefine/>
    <w:qFormat/>
    <w:locked/>
    <w:uiPriority w:val="99"/>
    <w:rPr>
      <w:kern w:val="2"/>
      <w:sz w:val="24"/>
    </w:rPr>
  </w:style>
  <w:style w:type="character" w:customStyle="1" w:styleId="359">
    <w:name w:val="hui3"/>
    <w:autoRedefine/>
    <w:qFormat/>
    <w:uiPriority w:val="99"/>
    <w:rPr>
      <w:color w:val="333333"/>
    </w:rPr>
  </w:style>
  <w:style w:type="character" w:customStyle="1" w:styleId="360">
    <w:name w:val="Char Char17"/>
    <w:autoRedefine/>
    <w:qFormat/>
    <w:uiPriority w:val="99"/>
    <w:rPr>
      <w:rFonts w:eastAsia="仿宋_GB2312"/>
      <w:sz w:val="24"/>
    </w:rPr>
  </w:style>
  <w:style w:type="character" w:customStyle="1" w:styleId="361">
    <w:name w:val="标题 4 字符"/>
    <w:autoRedefine/>
    <w:qFormat/>
    <w:uiPriority w:val="99"/>
    <w:rPr>
      <w:rFonts w:ascii="等线 Light" w:hAnsi="等线 Light" w:eastAsia="等线 Light"/>
      <w:b/>
      <w:snapToGrid w:val="0"/>
      <w:kern w:val="0"/>
      <w:sz w:val="28"/>
    </w:rPr>
  </w:style>
  <w:style w:type="character" w:customStyle="1" w:styleId="362">
    <w:name w:val="Char Char37"/>
    <w:autoRedefine/>
    <w:qFormat/>
    <w:uiPriority w:val="99"/>
    <w:rPr>
      <w:b/>
      <w:kern w:val="1"/>
      <w:sz w:val="44"/>
    </w:rPr>
  </w:style>
  <w:style w:type="character" w:customStyle="1" w:styleId="363">
    <w:name w:val="列出段落 Char"/>
    <w:autoRedefine/>
    <w:qFormat/>
    <w:uiPriority w:val="99"/>
    <w:rPr>
      <w:rFonts w:eastAsia="楷体_GB2312"/>
      <w:kern w:val="2"/>
      <w:sz w:val="24"/>
      <w:lang w:val="en-US" w:eastAsia="zh-CN"/>
    </w:rPr>
  </w:style>
  <w:style w:type="character" w:customStyle="1" w:styleId="364">
    <w:name w:val="正文文本缩进 3 Char1"/>
    <w:autoRedefine/>
    <w:semiHidden/>
    <w:qFormat/>
    <w:uiPriority w:val="99"/>
    <w:rPr>
      <w:rFonts w:ascii="Times New Roman" w:hAnsi="Times New Roman" w:eastAsia="宋体"/>
      <w:sz w:val="16"/>
    </w:rPr>
  </w:style>
  <w:style w:type="character" w:customStyle="1" w:styleId="365">
    <w:name w:val="公文正文 Char Char"/>
    <w:link w:val="366"/>
    <w:autoRedefine/>
    <w:qFormat/>
    <w:locked/>
    <w:uiPriority w:val="99"/>
    <w:rPr>
      <w:rFonts w:ascii="仿宋_GB2312" w:eastAsia="仿宋_GB2312"/>
      <w:kern w:val="2"/>
      <w:sz w:val="24"/>
    </w:rPr>
  </w:style>
  <w:style w:type="paragraph" w:customStyle="1" w:styleId="366">
    <w:name w:val="公文正文"/>
    <w:basedOn w:val="1"/>
    <w:link w:val="365"/>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7">
    <w:name w:val="Table Text Char1"/>
    <w:autoRedefine/>
    <w:qFormat/>
    <w:uiPriority w:val="99"/>
    <w:rPr>
      <w:rFonts w:eastAsia="宋体"/>
      <w:sz w:val="24"/>
      <w:lang w:val="en-US" w:eastAsia="zh-CN"/>
    </w:rPr>
  </w:style>
  <w:style w:type="character" w:customStyle="1" w:styleId="368">
    <w:name w:val="标题 1 Char Char"/>
    <w:autoRedefine/>
    <w:qFormat/>
    <w:uiPriority w:val="99"/>
    <w:rPr>
      <w:rFonts w:ascii="宋体" w:hAnsi="宋体" w:eastAsia="宋体"/>
      <w:b/>
      <w:spacing w:val="-2"/>
      <w:sz w:val="24"/>
      <w:lang w:val="en-US" w:eastAsia="zh-CN"/>
    </w:rPr>
  </w:style>
  <w:style w:type="character" w:customStyle="1" w:styleId="369">
    <w:name w:val="正文（缩进2汉字） Char"/>
    <w:link w:val="370"/>
    <w:autoRedefine/>
    <w:qFormat/>
    <w:locked/>
    <w:uiPriority w:val="99"/>
    <w:rPr>
      <w:rFonts w:ascii="宋体"/>
    </w:rPr>
  </w:style>
  <w:style w:type="paragraph" w:customStyle="1" w:styleId="370">
    <w:name w:val="正文（缩进2汉字）"/>
    <w:basedOn w:val="1"/>
    <w:link w:val="369"/>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1">
    <w:name w:val="标书表格字体格式 Char"/>
    <w:autoRedefine/>
    <w:qFormat/>
    <w:uiPriority w:val="99"/>
    <w:rPr>
      <w:kern w:val="2"/>
      <w:sz w:val="24"/>
    </w:rPr>
  </w:style>
  <w:style w:type="character" w:customStyle="1" w:styleId="372">
    <w:name w:val="tw4winError"/>
    <w:autoRedefine/>
    <w:qFormat/>
    <w:uiPriority w:val="99"/>
    <w:rPr>
      <w:rFonts w:ascii="Courier New" w:hAnsi="Courier New"/>
      <w:color w:val="00FF00"/>
      <w:sz w:val="40"/>
    </w:rPr>
  </w:style>
  <w:style w:type="character" w:customStyle="1" w:styleId="373">
    <w:name w:val="Body Text(ch) Char Char"/>
    <w:autoRedefine/>
    <w:qFormat/>
    <w:uiPriority w:val="99"/>
    <w:rPr>
      <w:rFonts w:ascii="宋体"/>
      <w:kern w:val="2"/>
      <w:sz w:val="21"/>
      <w:lang w:val="zh-CN"/>
    </w:rPr>
  </w:style>
  <w:style w:type="character" w:customStyle="1" w:styleId="374">
    <w:name w:val="正文首行缩进两字 Char"/>
    <w:autoRedefine/>
    <w:qFormat/>
    <w:uiPriority w:val="99"/>
    <w:rPr>
      <w:sz w:val="24"/>
      <w:lang w:val="en-US" w:eastAsia="zh-CN"/>
    </w:rPr>
  </w:style>
  <w:style w:type="character" w:customStyle="1" w:styleId="375">
    <w:name w:val="正文文本 Char"/>
    <w:autoRedefine/>
    <w:qFormat/>
    <w:uiPriority w:val="99"/>
    <w:rPr>
      <w:rFonts w:eastAsia="宋体"/>
      <w:kern w:val="2"/>
      <w:sz w:val="24"/>
      <w:lang w:val="en-US" w:eastAsia="zh-CN"/>
    </w:rPr>
  </w:style>
  <w:style w:type="character" w:customStyle="1" w:styleId="376">
    <w:name w:val="文档结构图 字符1"/>
    <w:autoRedefine/>
    <w:qFormat/>
    <w:uiPriority w:val="99"/>
    <w:rPr>
      <w:rFonts w:ascii="宋体" w:hAnsi="Calibri" w:eastAsia="黑体"/>
      <w:snapToGrid w:val="0"/>
      <w:kern w:val="2"/>
      <w:sz w:val="18"/>
    </w:rPr>
  </w:style>
  <w:style w:type="character" w:customStyle="1" w:styleId="377">
    <w:name w:val="content"/>
    <w:autoRedefine/>
    <w:qFormat/>
    <w:uiPriority w:val="99"/>
  </w:style>
  <w:style w:type="character" w:customStyle="1" w:styleId="378">
    <w:name w:val="tw4winPopup"/>
    <w:autoRedefine/>
    <w:qFormat/>
    <w:uiPriority w:val="99"/>
    <w:rPr>
      <w:rFonts w:ascii="Courier New" w:hAnsi="Courier New"/>
      <w:color w:val="008000"/>
      <w:lang w:val="en-US" w:eastAsia="zh-CN"/>
    </w:rPr>
  </w:style>
  <w:style w:type="character" w:customStyle="1" w:styleId="379">
    <w:name w:val="param-name"/>
    <w:autoRedefine/>
    <w:qFormat/>
    <w:uiPriority w:val="99"/>
    <w:rPr>
      <w:rFonts w:ascii="Arial" w:hAnsi="Arial" w:eastAsia="黑体"/>
      <w:snapToGrid w:val="0"/>
      <w:kern w:val="0"/>
      <w:sz w:val="21"/>
    </w:rPr>
  </w:style>
  <w:style w:type="character" w:customStyle="1" w:styleId="380">
    <w:name w:val="标准正文格式 Char"/>
    <w:autoRedefine/>
    <w:qFormat/>
    <w:uiPriority w:val="99"/>
    <w:rPr>
      <w:rFonts w:ascii="宋体" w:eastAsia="仿宋_GB2312"/>
      <w:color w:val="000000"/>
      <w:sz w:val="24"/>
      <w:lang w:val="en-US" w:eastAsia="zh-CN"/>
    </w:rPr>
  </w:style>
  <w:style w:type="character" w:customStyle="1" w:styleId="381">
    <w:name w:val="Char Char212"/>
    <w:autoRedefine/>
    <w:qFormat/>
    <w:uiPriority w:val="99"/>
    <w:rPr>
      <w:rFonts w:eastAsia="宋体"/>
      <w:b/>
      <w:kern w:val="2"/>
      <w:sz w:val="24"/>
      <w:lang w:val="en-US" w:eastAsia="zh-CN"/>
    </w:rPr>
  </w:style>
  <w:style w:type="character" w:customStyle="1" w:styleId="382">
    <w:name w:val="文档结构图 Char"/>
    <w:autoRedefine/>
    <w:qFormat/>
    <w:uiPriority w:val="99"/>
    <w:rPr>
      <w:rFonts w:eastAsia="宋体"/>
      <w:kern w:val="2"/>
      <w:sz w:val="24"/>
      <w:lang w:val="en-US" w:eastAsia="zh-CN"/>
    </w:rPr>
  </w:style>
  <w:style w:type="character" w:customStyle="1" w:styleId="383">
    <w:name w:val="zbggmain style9"/>
    <w:autoRedefine/>
    <w:qFormat/>
    <w:uiPriority w:val="99"/>
  </w:style>
  <w:style w:type="character" w:customStyle="1" w:styleId="384">
    <w:name w:val="Char Char16"/>
    <w:autoRedefine/>
    <w:qFormat/>
    <w:uiPriority w:val="99"/>
    <w:rPr>
      <w:kern w:val="1"/>
      <w:sz w:val="18"/>
    </w:rPr>
  </w:style>
  <w:style w:type="character" w:customStyle="1" w:styleId="385">
    <w:name w:val="font51"/>
    <w:autoRedefine/>
    <w:qFormat/>
    <w:uiPriority w:val="99"/>
    <w:rPr>
      <w:rFonts w:ascii="仿宋" w:hAnsi="仿宋" w:eastAsia="仿宋"/>
      <w:color w:val="000000"/>
      <w:sz w:val="20"/>
      <w:u w:val="none"/>
    </w:rPr>
  </w:style>
  <w:style w:type="character" w:customStyle="1" w:styleId="386">
    <w:name w:val="Char Char82"/>
    <w:autoRedefine/>
    <w:qFormat/>
    <w:uiPriority w:val="99"/>
    <w:rPr>
      <w:rFonts w:eastAsia="宋体"/>
      <w:b/>
      <w:sz w:val="24"/>
      <w:lang w:val="en-GB" w:eastAsia="zh-CN"/>
    </w:rPr>
  </w:style>
  <w:style w:type="character" w:customStyle="1" w:styleId="387">
    <w:name w:val="日期 Char1"/>
    <w:autoRedefine/>
    <w:semiHidden/>
    <w:qFormat/>
    <w:uiPriority w:val="99"/>
    <w:rPr>
      <w:rFonts w:ascii="Times New Roman" w:hAnsi="Times New Roman" w:eastAsia="宋体"/>
      <w:sz w:val="24"/>
    </w:rPr>
  </w:style>
  <w:style w:type="character" w:customStyle="1" w:styleId="388">
    <w:name w:val="页眉 字符"/>
    <w:autoRedefine/>
    <w:qFormat/>
    <w:uiPriority w:val="99"/>
    <w:rPr>
      <w:kern w:val="2"/>
      <w:sz w:val="18"/>
    </w:rPr>
  </w:style>
  <w:style w:type="character" w:customStyle="1" w:styleId="389">
    <w:name w:val="Char Char33"/>
    <w:autoRedefine/>
    <w:qFormat/>
    <w:uiPriority w:val="99"/>
    <w:rPr>
      <w:rFonts w:ascii="Arial" w:hAnsi="Arial" w:eastAsia="黑体"/>
      <w:b/>
      <w:kern w:val="1"/>
      <w:sz w:val="24"/>
    </w:rPr>
  </w:style>
  <w:style w:type="character" w:customStyle="1" w:styleId="390">
    <w:name w:val="b11_01b Char"/>
    <w:link w:val="391"/>
    <w:autoRedefine/>
    <w:qFormat/>
    <w:locked/>
    <w:uiPriority w:val="99"/>
    <w:rPr>
      <w:rFonts w:ascii="Verdana" w:hAnsi="Verdana"/>
      <w:b/>
      <w:color w:val="4A82CA"/>
      <w:sz w:val="17"/>
    </w:rPr>
  </w:style>
  <w:style w:type="paragraph" w:customStyle="1" w:styleId="391">
    <w:name w:val="b11_01b"/>
    <w:basedOn w:val="1"/>
    <w:next w:val="1"/>
    <w:link w:val="390"/>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2">
    <w:name w:val="Char Char121"/>
    <w:autoRedefine/>
    <w:qFormat/>
    <w:uiPriority w:val="99"/>
    <w:rPr>
      <w:rFonts w:ascii="仿宋_GB2312" w:eastAsia="仿宋_GB2312"/>
      <w:b/>
      <w:kern w:val="2"/>
      <w:sz w:val="24"/>
      <w:lang w:val="zh-CN" w:eastAsia="zh-CN"/>
    </w:rPr>
  </w:style>
  <w:style w:type="character" w:customStyle="1" w:styleId="393">
    <w:name w:val="Footer-Even Char"/>
    <w:autoRedefine/>
    <w:qFormat/>
    <w:uiPriority w:val="99"/>
    <w:rPr>
      <w:rFonts w:eastAsia="宋体"/>
      <w:kern w:val="2"/>
      <w:sz w:val="18"/>
      <w:lang w:val="en-US" w:eastAsia="zh-CN"/>
    </w:rPr>
  </w:style>
  <w:style w:type="character" w:customStyle="1" w:styleId="394">
    <w:name w:val="Footer Char1"/>
    <w:link w:val="43"/>
    <w:autoRedefine/>
    <w:qFormat/>
    <w:locked/>
    <w:uiPriority w:val="99"/>
    <w:rPr>
      <w:kern w:val="2"/>
      <w:sz w:val="18"/>
    </w:rPr>
  </w:style>
  <w:style w:type="character" w:customStyle="1" w:styleId="395">
    <w:name w:val="Char Char36"/>
    <w:autoRedefine/>
    <w:qFormat/>
    <w:uiPriority w:val="99"/>
    <w:rPr>
      <w:rFonts w:ascii="仿宋_GB2312" w:hAnsi="仿宋_GB2312" w:eastAsia="仿宋_GB2312"/>
      <w:b/>
      <w:kern w:val="1"/>
      <w:sz w:val="32"/>
      <w:lang w:val="zh-CN" w:eastAsia="zh-CN"/>
    </w:rPr>
  </w:style>
  <w:style w:type="character" w:customStyle="1" w:styleId="396">
    <w:name w:val="Char Char61"/>
    <w:autoRedefine/>
    <w:qFormat/>
    <w:uiPriority w:val="99"/>
    <w:rPr>
      <w:rFonts w:eastAsia="宋体"/>
      <w:kern w:val="2"/>
      <w:sz w:val="24"/>
      <w:lang w:val="en-US" w:eastAsia="zh-CN"/>
    </w:rPr>
  </w:style>
  <w:style w:type="character" w:customStyle="1" w:styleId="397">
    <w:name w:val="正文文字缩进 2 Char Char"/>
    <w:autoRedefine/>
    <w:qFormat/>
    <w:uiPriority w:val="99"/>
    <w:rPr>
      <w:rFonts w:ascii="宋体"/>
      <w:sz w:val="28"/>
    </w:rPr>
  </w:style>
  <w:style w:type="character" w:customStyle="1" w:styleId="398">
    <w:name w:val="f141"/>
    <w:autoRedefine/>
    <w:qFormat/>
    <w:uiPriority w:val="99"/>
    <w:rPr>
      <w:rFonts w:ascii="Tahoma" w:hAnsi="Tahoma" w:eastAsia="宋体"/>
      <w:b/>
      <w:kern w:val="2"/>
      <w:sz w:val="21"/>
      <w:lang w:val="en-US" w:eastAsia="zh-CN"/>
    </w:rPr>
  </w:style>
  <w:style w:type="character" w:customStyle="1" w:styleId="399">
    <w:name w:val="段落 Char Char"/>
    <w:link w:val="400"/>
    <w:autoRedefine/>
    <w:qFormat/>
    <w:locked/>
    <w:uiPriority w:val="99"/>
    <w:rPr>
      <w:rFonts w:ascii="宋体" w:eastAsia="宋体"/>
      <w:sz w:val="24"/>
    </w:rPr>
  </w:style>
  <w:style w:type="paragraph" w:customStyle="1" w:styleId="400">
    <w:name w:val="段落"/>
    <w:basedOn w:val="1"/>
    <w:link w:val="399"/>
    <w:autoRedefine/>
    <w:qFormat/>
    <w:uiPriority w:val="99"/>
    <w:pPr>
      <w:adjustRightInd/>
      <w:spacing w:line="360" w:lineRule="auto"/>
      <w:ind w:firstLine="480" w:firstLineChars="200"/>
    </w:pPr>
    <w:rPr>
      <w:rFonts w:ascii="宋体"/>
      <w:kern w:val="0"/>
      <w:sz w:val="24"/>
      <w:szCs w:val="20"/>
    </w:rPr>
  </w:style>
  <w:style w:type="character" w:customStyle="1" w:styleId="401">
    <w:name w:val="标题 3 Char2"/>
    <w:autoRedefine/>
    <w:qFormat/>
    <w:uiPriority w:val="99"/>
    <w:rPr>
      <w:rFonts w:eastAsia="宋体"/>
      <w:b/>
      <w:kern w:val="2"/>
      <w:sz w:val="32"/>
      <w:lang w:val="en-US" w:eastAsia="zh-CN"/>
    </w:rPr>
  </w:style>
  <w:style w:type="character" w:customStyle="1" w:styleId="402">
    <w:name w:val="apple-converted-space"/>
    <w:autoRedefine/>
    <w:qFormat/>
    <w:uiPriority w:val="99"/>
  </w:style>
  <w:style w:type="character" w:customStyle="1" w:styleId="403">
    <w:name w:val="Header Char1"/>
    <w:link w:val="45"/>
    <w:autoRedefine/>
    <w:qFormat/>
    <w:locked/>
    <w:uiPriority w:val="99"/>
    <w:rPr>
      <w:kern w:val="2"/>
      <w:sz w:val="18"/>
    </w:rPr>
  </w:style>
  <w:style w:type="character" w:customStyle="1" w:styleId="404">
    <w:name w:val="Char Char9"/>
    <w:autoRedefine/>
    <w:qFormat/>
    <w:uiPriority w:val="99"/>
    <w:rPr>
      <w:rFonts w:eastAsia="宋体"/>
      <w:kern w:val="2"/>
      <w:sz w:val="18"/>
      <w:lang w:val="en-US" w:eastAsia="zh-CN"/>
    </w:rPr>
  </w:style>
  <w:style w:type="character" w:customStyle="1" w:styleId="405">
    <w:name w:val="Char Char41"/>
    <w:autoRedefine/>
    <w:qFormat/>
    <w:uiPriority w:val="99"/>
    <w:rPr>
      <w:rFonts w:eastAsia="宋体"/>
      <w:b/>
      <w:sz w:val="24"/>
      <w:lang w:val="en-GB" w:eastAsia="zh-CN"/>
    </w:rPr>
  </w:style>
  <w:style w:type="character" w:customStyle="1" w:styleId="406">
    <w:name w:val="large1"/>
    <w:autoRedefine/>
    <w:qFormat/>
    <w:uiPriority w:val="99"/>
    <w:rPr>
      <w:rFonts w:ascii="宋体" w:hAnsi="宋体" w:eastAsia="宋体"/>
      <w:sz w:val="21"/>
    </w:rPr>
  </w:style>
  <w:style w:type="character" w:customStyle="1" w:styleId="407">
    <w:name w:val="正文段 Char"/>
    <w:link w:val="408"/>
    <w:autoRedefine/>
    <w:qFormat/>
    <w:locked/>
    <w:uiPriority w:val="99"/>
    <w:rPr>
      <w:sz w:val="24"/>
    </w:rPr>
  </w:style>
  <w:style w:type="paragraph" w:customStyle="1" w:styleId="408">
    <w:name w:val="正文段"/>
    <w:basedOn w:val="1"/>
    <w:next w:val="19"/>
    <w:link w:val="407"/>
    <w:autoRedefine/>
    <w:qFormat/>
    <w:uiPriority w:val="99"/>
    <w:pPr>
      <w:widowControl/>
      <w:snapToGrid w:val="0"/>
      <w:spacing w:afterLines="50"/>
      <w:ind w:firstLine="200" w:firstLineChars="200"/>
    </w:pPr>
    <w:rPr>
      <w:kern w:val="0"/>
      <w:sz w:val="24"/>
      <w:szCs w:val="20"/>
    </w:rPr>
  </w:style>
  <w:style w:type="character" w:customStyle="1" w:styleId="409">
    <w:name w:val="Char Char13"/>
    <w:autoRedefine/>
    <w:qFormat/>
    <w:uiPriority w:val="99"/>
    <w:rPr>
      <w:rFonts w:ascii="宋体" w:eastAsia="宋体"/>
      <w:kern w:val="1"/>
      <w:sz w:val="24"/>
    </w:rPr>
  </w:style>
  <w:style w:type="character" w:customStyle="1" w:styleId="410">
    <w:name w:val="Char Char92"/>
    <w:autoRedefine/>
    <w:qFormat/>
    <w:uiPriority w:val="99"/>
    <w:rPr>
      <w:rFonts w:ascii="Times New Roman" w:hAnsi="Times New Roman" w:eastAsia="宋体"/>
      <w:b/>
      <w:kern w:val="2"/>
      <w:sz w:val="32"/>
      <w:lang w:val="en-US" w:eastAsia="zh-CN"/>
    </w:rPr>
  </w:style>
  <w:style w:type="character" w:customStyle="1" w:styleId="411">
    <w:name w:val="冯广丽 Char"/>
    <w:link w:val="412"/>
    <w:autoRedefine/>
    <w:qFormat/>
    <w:locked/>
    <w:uiPriority w:val="99"/>
    <w:rPr>
      <w:rFonts w:ascii="宋体" w:eastAsia="宋体"/>
      <w:kern w:val="2"/>
      <w:sz w:val="22"/>
    </w:rPr>
  </w:style>
  <w:style w:type="paragraph" w:customStyle="1" w:styleId="412">
    <w:name w:val="冯广丽"/>
    <w:basedOn w:val="1"/>
    <w:link w:val="411"/>
    <w:autoRedefine/>
    <w:qFormat/>
    <w:uiPriority w:val="99"/>
    <w:pPr>
      <w:adjustRightInd/>
      <w:spacing w:line="360" w:lineRule="auto"/>
      <w:ind w:firstLine="480" w:firstLineChars="200"/>
    </w:pPr>
    <w:rPr>
      <w:rFonts w:ascii="宋体"/>
      <w:sz w:val="22"/>
      <w:szCs w:val="20"/>
    </w:rPr>
  </w:style>
  <w:style w:type="character" w:customStyle="1" w:styleId="413">
    <w:name w:val="批注文字 字符"/>
    <w:autoRedefine/>
    <w:qFormat/>
    <w:uiPriority w:val="99"/>
    <w:rPr>
      <w:rFonts w:ascii="Arial" w:hAnsi="Arial" w:eastAsia="黑体"/>
      <w:snapToGrid w:val="0"/>
      <w:kern w:val="0"/>
      <w:sz w:val="21"/>
    </w:rPr>
  </w:style>
  <w:style w:type="character" w:customStyle="1" w:styleId="414">
    <w:name w:val="Char Char161"/>
    <w:autoRedefine/>
    <w:qFormat/>
    <w:uiPriority w:val="99"/>
    <w:rPr>
      <w:rFonts w:eastAsia="宋体"/>
      <w:b/>
      <w:kern w:val="2"/>
      <w:sz w:val="32"/>
      <w:lang w:val="en-US" w:eastAsia="zh-CN"/>
    </w:rPr>
  </w:style>
  <w:style w:type="character" w:customStyle="1" w:styleId="415">
    <w:name w:val="javascript"/>
    <w:autoRedefine/>
    <w:qFormat/>
    <w:uiPriority w:val="99"/>
  </w:style>
  <w:style w:type="character" w:customStyle="1" w:styleId="416">
    <w:name w:val="图名 Char"/>
    <w:autoRedefine/>
    <w:qFormat/>
    <w:uiPriority w:val="99"/>
    <w:rPr>
      <w:rFonts w:ascii="Arial" w:hAnsi="Arial" w:eastAsia="黑体"/>
      <w:kern w:val="2"/>
      <w:sz w:val="24"/>
      <w:lang w:val="en-US" w:eastAsia="zh-CN"/>
    </w:rPr>
  </w:style>
  <w:style w:type="character" w:customStyle="1" w:styleId="417">
    <w:name w:val="Used by Word for text of Help footnotes Char Char"/>
    <w:autoRedefine/>
    <w:qFormat/>
    <w:uiPriority w:val="99"/>
    <w:rPr>
      <w:rFonts w:ascii="Times New Roman" w:hAnsi="Times New Roman" w:eastAsia="宋体"/>
      <w:sz w:val="20"/>
    </w:rPr>
  </w:style>
  <w:style w:type="character" w:customStyle="1" w:styleId="418">
    <w:name w:val="编号，小四 Char"/>
    <w:link w:val="419"/>
    <w:autoRedefine/>
    <w:qFormat/>
    <w:locked/>
    <w:uiPriority w:val="99"/>
    <w:rPr>
      <w:rFonts w:ascii="Arial" w:hAnsi="Arial"/>
      <w:sz w:val="24"/>
    </w:rPr>
  </w:style>
  <w:style w:type="paragraph" w:customStyle="1" w:styleId="419">
    <w:name w:val="编号，小四"/>
    <w:basedOn w:val="1"/>
    <w:link w:val="418"/>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0">
    <w:name w:val="Font Style82"/>
    <w:autoRedefine/>
    <w:qFormat/>
    <w:uiPriority w:val="99"/>
    <w:rPr>
      <w:rFonts w:ascii="宋体" w:eastAsia="宋体"/>
      <w:color w:val="000000"/>
      <w:sz w:val="14"/>
    </w:rPr>
  </w:style>
  <w:style w:type="character" w:customStyle="1" w:styleId="421">
    <w:name w:val="标题 2 Char Char"/>
    <w:autoRedefine/>
    <w:qFormat/>
    <w:uiPriority w:val="99"/>
    <w:rPr>
      <w:rFonts w:ascii="楷体_GB2312" w:hAnsi="Arial" w:eastAsia="楷体_GB2312"/>
      <w:b/>
      <w:kern w:val="2"/>
      <w:sz w:val="32"/>
      <w:lang w:val="en-US" w:eastAsia="zh-CN"/>
    </w:rPr>
  </w:style>
  <w:style w:type="character" w:customStyle="1" w:styleId="422">
    <w:name w:val="未用 Char"/>
    <w:autoRedefine/>
    <w:qFormat/>
    <w:uiPriority w:val="99"/>
    <w:rPr>
      <w:rFonts w:ascii="Arial" w:hAnsi="Arial" w:eastAsia="黑体"/>
      <w:kern w:val="2"/>
      <w:sz w:val="21"/>
      <w:lang w:val="en-US" w:eastAsia="zh-CN"/>
    </w:rPr>
  </w:style>
  <w:style w:type="character" w:customStyle="1" w:styleId="423">
    <w:name w:val="myp1111"/>
    <w:autoRedefine/>
    <w:qFormat/>
    <w:uiPriority w:val="99"/>
    <w:rPr>
      <w:rFonts w:ascii="??" w:hAnsi="??"/>
      <w:color w:val="000000"/>
      <w:sz w:val="20"/>
      <w:u w:val="none"/>
    </w:rPr>
  </w:style>
  <w:style w:type="character" w:customStyle="1" w:styleId="424">
    <w:name w:val="样式 标题 4h4H4Fab-4T5Ref Heading 1rh1Heading sqlsect 1.2.3.... Char"/>
    <w:link w:val="324"/>
    <w:autoRedefine/>
    <w:qFormat/>
    <w:locked/>
    <w:uiPriority w:val="99"/>
    <w:rPr>
      <w:rFonts w:ascii="微软雅黑" w:hAnsi="微软雅黑" w:eastAsia="微软雅黑"/>
      <w:b/>
      <w:kern w:val="2"/>
      <w:sz w:val="28"/>
    </w:rPr>
  </w:style>
  <w:style w:type="character" w:customStyle="1" w:styleId="425">
    <w:name w:val="h Char Char"/>
    <w:autoRedefine/>
    <w:qFormat/>
    <w:uiPriority w:val="99"/>
    <w:rPr>
      <w:rFonts w:eastAsia="宋体"/>
      <w:kern w:val="2"/>
      <w:sz w:val="18"/>
      <w:lang w:val="en-US" w:eastAsia="zh-CN"/>
    </w:rPr>
  </w:style>
  <w:style w:type="character" w:customStyle="1" w:styleId="426">
    <w:name w:val="仿宋正文 Char"/>
    <w:link w:val="427"/>
    <w:autoRedefine/>
    <w:qFormat/>
    <w:locked/>
    <w:uiPriority w:val="99"/>
    <w:rPr>
      <w:rFonts w:ascii="仿宋_GB2312" w:eastAsia="仿宋_GB2312"/>
      <w:kern w:val="2"/>
      <w:sz w:val="24"/>
      <w:lang w:val="en-US" w:eastAsia="zh-CN"/>
    </w:rPr>
  </w:style>
  <w:style w:type="paragraph" w:customStyle="1" w:styleId="427">
    <w:name w:val="仿宋正文"/>
    <w:basedOn w:val="1"/>
    <w:link w:val="426"/>
    <w:autoRedefine/>
    <w:qFormat/>
    <w:uiPriority w:val="99"/>
    <w:pPr>
      <w:adjustRightInd/>
      <w:spacing w:line="360" w:lineRule="auto"/>
      <w:ind w:firstLine="480" w:firstLineChars="200"/>
    </w:pPr>
    <w:rPr>
      <w:rFonts w:ascii="仿宋_GB2312" w:eastAsia="仿宋_GB2312"/>
      <w:sz w:val="24"/>
      <w:szCs w:val="20"/>
    </w:rPr>
  </w:style>
  <w:style w:type="character" w:customStyle="1" w:styleId="428">
    <w:name w:val="正文首行缩进 Char Char Char Char Char Char"/>
    <w:autoRedefine/>
    <w:qFormat/>
    <w:uiPriority w:val="99"/>
    <w:rPr>
      <w:rFonts w:ascii="宋体" w:eastAsia="宋体"/>
      <w:kern w:val="2"/>
      <w:sz w:val="24"/>
      <w:lang w:val="zh-CN"/>
    </w:rPr>
  </w:style>
  <w:style w:type="character" w:customStyle="1" w:styleId="429">
    <w:name w:val="样式 宋体"/>
    <w:autoRedefine/>
    <w:qFormat/>
    <w:uiPriority w:val="99"/>
    <w:rPr>
      <w:rFonts w:ascii="宋体" w:eastAsia="宋体"/>
      <w:sz w:val="24"/>
    </w:rPr>
  </w:style>
  <w:style w:type="character" w:customStyle="1" w:styleId="430">
    <w:name w:val="tw4winJump"/>
    <w:autoRedefine/>
    <w:qFormat/>
    <w:uiPriority w:val="99"/>
    <w:rPr>
      <w:rFonts w:ascii="Courier New" w:hAnsi="Courier New"/>
      <w:color w:val="008080"/>
      <w:lang w:val="en-US" w:eastAsia="zh-CN"/>
    </w:rPr>
  </w:style>
  <w:style w:type="character" w:customStyle="1" w:styleId="431">
    <w:name w:val="标题 1 字符"/>
    <w:autoRedefine/>
    <w:qFormat/>
    <w:uiPriority w:val="99"/>
    <w:rPr>
      <w:rFonts w:ascii="Arial" w:hAnsi="Arial" w:eastAsia="黑体"/>
      <w:b/>
      <w:snapToGrid w:val="0"/>
      <w:kern w:val="44"/>
      <w:sz w:val="44"/>
    </w:rPr>
  </w:style>
  <w:style w:type="character" w:customStyle="1" w:styleId="432">
    <w:name w:val="style36"/>
    <w:basedOn w:val="73"/>
    <w:autoRedefine/>
    <w:qFormat/>
    <w:uiPriority w:val="99"/>
    <w:rPr>
      <w:rFonts w:ascii="Arial" w:hAnsi="Arial" w:eastAsia="黑体" w:cs="Arial"/>
      <w:snapToGrid w:val="0"/>
      <w:kern w:val="0"/>
      <w:sz w:val="21"/>
      <w:szCs w:val="21"/>
    </w:rPr>
  </w:style>
  <w:style w:type="character" w:customStyle="1" w:styleId="433">
    <w:name w:val="pt9"/>
    <w:autoRedefine/>
    <w:qFormat/>
    <w:uiPriority w:val="99"/>
    <w:rPr>
      <w:rFonts w:ascii="仿宋_GB2312" w:eastAsia="微软雅黑"/>
      <w:b/>
      <w:kern w:val="2"/>
      <w:sz w:val="32"/>
      <w:lang w:val="en-US" w:eastAsia="zh-CN"/>
    </w:rPr>
  </w:style>
  <w:style w:type="character" w:customStyle="1" w:styleId="434">
    <w:name w:val="DO_NOT_TRANSLATE"/>
    <w:autoRedefine/>
    <w:qFormat/>
    <w:uiPriority w:val="99"/>
    <w:rPr>
      <w:rFonts w:ascii="Courier New" w:hAnsi="Courier New"/>
      <w:color w:val="800000"/>
      <w:lang w:val="en-US" w:eastAsia="zh-CN"/>
    </w:rPr>
  </w:style>
  <w:style w:type="character" w:customStyle="1" w:styleId="435">
    <w:name w:val="标书1 Char1"/>
    <w:autoRedefine/>
    <w:qFormat/>
    <w:uiPriority w:val="99"/>
    <w:rPr>
      <w:rFonts w:eastAsia="宋体"/>
      <w:b/>
      <w:kern w:val="44"/>
      <w:sz w:val="44"/>
      <w:lang w:val="en-US" w:eastAsia="zh-CN"/>
    </w:rPr>
  </w:style>
  <w:style w:type="character" w:customStyle="1" w:styleId="436">
    <w:name w:val="页脚 字符"/>
    <w:autoRedefine/>
    <w:qFormat/>
    <w:uiPriority w:val="99"/>
    <w:rPr>
      <w:kern w:val="2"/>
      <w:sz w:val="18"/>
    </w:rPr>
  </w:style>
  <w:style w:type="character" w:customStyle="1" w:styleId="437">
    <w:name w:val="正文2 Char"/>
    <w:autoRedefine/>
    <w:qFormat/>
    <w:uiPriority w:val="99"/>
    <w:rPr>
      <w:rFonts w:eastAsia="宋体"/>
      <w:kern w:val="2"/>
      <w:sz w:val="24"/>
      <w:lang w:val="en-US" w:eastAsia="zh-CN"/>
    </w:rPr>
  </w:style>
  <w:style w:type="character" w:customStyle="1" w:styleId="438">
    <w:name w:val="Char Char21"/>
    <w:autoRedefine/>
    <w:qFormat/>
    <w:uiPriority w:val="99"/>
    <w:rPr>
      <w:rFonts w:ascii="宋体" w:eastAsia="宋体"/>
      <w:kern w:val="1"/>
      <w:sz w:val="21"/>
      <w:lang w:val="zh-CN"/>
    </w:rPr>
  </w:style>
  <w:style w:type="character" w:customStyle="1" w:styleId="439">
    <w:name w:val="样式 正文缩进 + 首行缩进:  2 字符 Char Char"/>
    <w:link w:val="440"/>
    <w:autoRedefine/>
    <w:qFormat/>
    <w:locked/>
    <w:uiPriority w:val="99"/>
    <w:rPr>
      <w:kern w:val="2"/>
      <w:sz w:val="24"/>
    </w:rPr>
  </w:style>
  <w:style w:type="paragraph" w:customStyle="1" w:styleId="440">
    <w:name w:val="样式 正文缩进 + 首行缩进:  2 字符"/>
    <w:basedOn w:val="17"/>
    <w:link w:val="439"/>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1">
    <w:name w:val="gray6"/>
    <w:basedOn w:val="73"/>
    <w:autoRedefine/>
    <w:qFormat/>
    <w:uiPriority w:val="99"/>
    <w:rPr>
      <w:rFonts w:ascii="Arial" w:hAnsi="Arial" w:eastAsia="黑体" w:cs="Arial"/>
      <w:snapToGrid w:val="0"/>
      <w:kern w:val="0"/>
      <w:sz w:val="21"/>
      <w:szCs w:val="21"/>
    </w:rPr>
  </w:style>
  <w:style w:type="character" w:customStyle="1" w:styleId="442">
    <w:name w:val="hui"/>
    <w:basedOn w:val="73"/>
    <w:autoRedefine/>
    <w:qFormat/>
    <w:uiPriority w:val="99"/>
    <w:rPr>
      <w:rFonts w:ascii="Arial" w:hAnsi="Arial" w:eastAsia="黑体" w:cs="Arial"/>
      <w:snapToGrid w:val="0"/>
      <w:kern w:val="0"/>
      <w:sz w:val="21"/>
      <w:szCs w:val="21"/>
    </w:rPr>
  </w:style>
  <w:style w:type="character" w:customStyle="1" w:styleId="443">
    <w:name w:val="哈哈正文 Char Char"/>
    <w:autoRedefine/>
    <w:qFormat/>
    <w:uiPriority w:val="99"/>
    <w:rPr>
      <w:rFonts w:ascii="宋体" w:hAnsi="宋体" w:eastAsia="宋体"/>
      <w:kern w:val="2"/>
      <w:sz w:val="24"/>
      <w:lang w:val="en-US" w:eastAsia="zh-CN"/>
    </w:rPr>
  </w:style>
  <w:style w:type="paragraph" w:customStyle="1" w:styleId="444">
    <w:name w:val="样式 正文文本缩进 + 左侧:  2 字符 首行缩进:  2 字符"/>
    <w:basedOn w:val="27"/>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5">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6">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7">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48">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9">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0">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1">
    <w:name w:val="标题4_自定义"/>
    <w:basedOn w:val="7"/>
    <w:autoRedefine/>
    <w:qFormat/>
    <w:uiPriority w:val="99"/>
    <w:pPr>
      <w:adjustRightInd/>
      <w:spacing w:before="0" w:after="0" w:line="360" w:lineRule="auto"/>
    </w:pPr>
    <w:rPr>
      <w:rFonts w:ascii="Verdana" w:eastAsia="Times New Roman"/>
      <w:sz w:val="21"/>
      <w:lang w:val="en-US"/>
    </w:rPr>
  </w:style>
  <w:style w:type="paragraph" w:customStyle="1" w:styleId="452">
    <w:name w:val="正文 内标 序号标"/>
    <w:basedOn w:val="453"/>
    <w:autoRedefine/>
    <w:qFormat/>
    <w:uiPriority w:val="99"/>
    <w:pPr>
      <w:tabs>
        <w:tab w:val="left" w:pos="0"/>
      </w:tabs>
      <w:adjustRightInd/>
      <w:spacing w:before="0"/>
      <w:ind w:firstLine="482"/>
    </w:pPr>
    <w:rPr>
      <w:rFonts w:ascii="微软雅黑" w:hAnsi="微软雅黑"/>
      <w:sz w:val="24"/>
      <w:szCs w:val="24"/>
    </w:rPr>
  </w:style>
  <w:style w:type="paragraph" w:customStyle="1" w:styleId="453">
    <w:name w:val="My正文"/>
    <w:basedOn w:val="1"/>
    <w:autoRedefine/>
    <w:qFormat/>
    <w:uiPriority w:val="99"/>
    <w:pPr>
      <w:spacing w:before="120" w:line="360" w:lineRule="auto"/>
      <w:ind w:firstLine="567"/>
    </w:pPr>
    <w:rPr>
      <w:rFonts w:ascii="Arial" w:hAnsi="Arial"/>
      <w:sz w:val="20"/>
      <w:szCs w:val="20"/>
    </w:rPr>
  </w:style>
  <w:style w:type="paragraph" w:customStyle="1" w:styleId="454">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5">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6">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7">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58">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59">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0">
    <w:name w:val="文章标题"/>
    <w:next w:val="461"/>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1">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2">
    <w:name w:val="Char1 Char Char Char5"/>
    <w:basedOn w:val="1"/>
    <w:autoRedefine/>
    <w:qFormat/>
    <w:uiPriority w:val="99"/>
    <w:pPr>
      <w:adjustRightInd/>
      <w:ind w:firstLine="200" w:firstLineChars="200"/>
    </w:pPr>
    <w:rPr>
      <w:rFonts w:ascii="Tahoma" w:hAnsi="Tahoma"/>
      <w:sz w:val="24"/>
      <w:szCs w:val="20"/>
    </w:rPr>
  </w:style>
  <w:style w:type="paragraph" w:customStyle="1" w:styleId="463">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4">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5">
    <w:name w:val="Char Char Char Char Char Char Char Char"/>
    <w:basedOn w:val="1"/>
    <w:autoRedefine/>
    <w:qFormat/>
    <w:uiPriority w:val="99"/>
    <w:pPr>
      <w:tabs>
        <w:tab w:val="left" w:pos="360"/>
      </w:tabs>
    </w:pPr>
    <w:rPr>
      <w:sz w:val="24"/>
      <w:szCs w:val="20"/>
    </w:rPr>
  </w:style>
  <w:style w:type="paragraph" w:customStyle="1" w:styleId="466">
    <w:name w:val="Char Char11 Char Char Char"/>
    <w:basedOn w:val="1"/>
    <w:autoRedefine/>
    <w:qFormat/>
    <w:uiPriority w:val="99"/>
    <w:pPr>
      <w:spacing w:line="360" w:lineRule="auto"/>
    </w:pPr>
    <w:rPr>
      <w:szCs w:val="20"/>
    </w:rPr>
  </w:style>
  <w:style w:type="paragraph" w:customStyle="1" w:styleId="467">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8">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69">
    <w:name w:val="样式3"/>
    <w:basedOn w:val="470"/>
    <w:autoRedefine/>
    <w:qFormat/>
    <w:uiPriority w:val="99"/>
    <w:pPr>
      <w:tabs>
        <w:tab w:val="left" w:pos="2790"/>
        <w:tab w:val="left" w:pos="4230"/>
      </w:tabs>
      <w:spacing w:beforeLines="100"/>
      <w:jc w:val="left"/>
    </w:pPr>
  </w:style>
  <w:style w:type="paragraph" w:customStyle="1" w:styleId="470">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1">
    <w:name w:val="Char Char1 Char Char1 Char Char1"/>
    <w:basedOn w:val="1"/>
    <w:autoRedefine/>
    <w:qFormat/>
    <w:uiPriority w:val="99"/>
    <w:pPr>
      <w:tabs>
        <w:tab w:val="left" w:pos="840"/>
      </w:tabs>
      <w:ind w:left="840" w:hanging="420"/>
    </w:pPr>
    <w:rPr>
      <w:rFonts w:ascii="Tahoma" w:hAnsi="Tahoma"/>
      <w:sz w:val="24"/>
    </w:rPr>
  </w:style>
  <w:style w:type="paragraph" w:customStyle="1" w:styleId="472">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3">
    <w:name w:val="标书标题2"/>
    <w:basedOn w:val="5"/>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4">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5">
    <w:name w:val="正文21"/>
    <w:basedOn w:val="1"/>
    <w:autoRedefine/>
    <w:qFormat/>
    <w:uiPriority w:val="99"/>
    <w:pPr>
      <w:adjustRightInd/>
      <w:spacing w:before="156" w:line="360" w:lineRule="auto"/>
      <w:ind w:firstLine="510" w:firstLineChars="200"/>
    </w:pPr>
    <w:rPr>
      <w:sz w:val="24"/>
      <w:szCs w:val="20"/>
    </w:rPr>
  </w:style>
  <w:style w:type="paragraph" w:customStyle="1" w:styleId="476">
    <w:name w:val="Test2"/>
    <w:basedOn w:val="5"/>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7">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8">
    <w:name w:val="Char1"/>
    <w:basedOn w:val="1"/>
    <w:autoRedefine/>
    <w:qFormat/>
    <w:uiPriority w:val="99"/>
    <w:rPr>
      <w:rFonts w:ascii="仿宋_GB2312" w:eastAsia="仿宋_GB2312"/>
      <w:b/>
      <w:sz w:val="32"/>
      <w:szCs w:val="32"/>
    </w:rPr>
  </w:style>
  <w:style w:type="paragraph" w:customStyle="1" w:styleId="479">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0">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1">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2">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3">
    <w:name w:val="6级标题"/>
    <w:basedOn w:val="484"/>
    <w:autoRedefine/>
    <w:qFormat/>
    <w:uiPriority w:val="99"/>
    <w:pPr>
      <w:keepNext/>
      <w:tabs>
        <w:tab w:val="left" w:pos="360"/>
      </w:tabs>
      <w:outlineLvl w:val="5"/>
    </w:pPr>
  </w:style>
  <w:style w:type="paragraph" w:customStyle="1" w:styleId="484">
    <w:name w:val="5级标题"/>
    <w:basedOn w:val="485"/>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5">
    <w:name w:val="4级标题"/>
    <w:basedOn w:val="284"/>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6">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7">
    <w:name w:val="Char2 Char Char"/>
    <w:basedOn w:val="1"/>
    <w:autoRedefine/>
    <w:qFormat/>
    <w:uiPriority w:val="99"/>
    <w:pPr>
      <w:adjustRightInd/>
    </w:pPr>
    <w:rPr>
      <w:rFonts w:ascii="Tahoma" w:hAnsi="Tahoma"/>
      <w:sz w:val="24"/>
      <w:szCs w:val="20"/>
    </w:rPr>
  </w:style>
  <w:style w:type="paragraph" w:customStyle="1" w:styleId="488">
    <w:name w:val="_Style 11"/>
    <w:basedOn w:val="1"/>
    <w:autoRedefine/>
    <w:qFormat/>
    <w:uiPriority w:val="99"/>
    <w:pPr>
      <w:adjustRightInd/>
      <w:ind w:firstLine="420" w:firstLineChars="200"/>
    </w:pPr>
    <w:rPr>
      <w:rFonts w:eastAsia="仿宋_GB2312"/>
      <w:sz w:val="28"/>
    </w:rPr>
  </w:style>
  <w:style w:type="paragraph" w:customStyle="1" w:styleId="489">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0">
    <w:name w:val="Char Char Char"/>
    <w:basedOn w:val="1"/>
    <w:autoRedefine/>
    <w:qFormat/>
    <w:uiPriority w:val="99"/>
    <w:rPr>
      <w:rFonts w:ascii="Tahoma" w:hAnsi="Tahoma"/>
      <w:sz w:val="24"/>
      <w:szCs w:val="20"/>
    </w:rPr>
  </w:style>
  <w:style w:type="paragraph" w:customStyle="1" w:styleId="491">
    <w:name w:val="数字标题6"/>
    <w:basedOn w:val="9"/>
    <w:next w:val="1"/>
    <w:autoRedefine/>
    <w:qFormat/>
    <w:uiPriority w:val="99"/>
    <w:pPr>
      <w:tabs>
        <w:tab w:val="left" w:pos="1080"/>
      </w:tabs>
      <w:ind w:left="1080" w:hanging="1080"/>
    </w:pPr>
    <w:rPr>
      <w:rFonts w:ascii="Times New Roman" w:hAnsi="Times New Roman" w:eastAsia="宋体"/>
      <w:i/>
    </w:rPr>
  </w:style>
  <w:style w:type="paragraph" w:customStyle="1" w:styleId="492">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3">
    <w:name w:val="No Spacing"/>
    <w:basedOn w:val="1"/>
    <w:link w:val="940"/>
    <w:autoRedefine/>
    <w:qFormat/>
    <w:uiPriority w:val="99"/>
    <w:rPr>
      <w:sz w:val="22"/>
      <w:szCs w:val="20"/>
    </w:rPr>
  </w:style>
  <w:style w:type="paragraph" w:customStyle="1" w:styleId="494">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5">
    <w:name w:val="Char Char Char Char Char Char Char Char Char Char Char Char1 Char1"/>
    <w:basedOn w:val="1"/>
    <w:autoRedefine/>
    <w:qFormat/>
    <w:uiPriority w:val="99"/>
    <w:rPr>
      <w:rFonts w:ascii="Tahoma" w:hAnsi="Tahoma" w:cs="仿宋_GB2312"/>
      <w:sz w:val="24"/>
      <w:szCs w:val="20"/>
    </w:rPr>
  </w:style>
  <w:style w:type="paragraph" w:customStyle="1" w:styleId="496">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7">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8">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9">
    <w:name w:val="MM Topic 2"/>
    <w:basedOn w:val="5"/>
    <w:autoRedefine/>
    <w:qFormat/>
    <w:uiPriority w:val="99"/>
    <w:pPr>
      <w:tabs>
        <w:tab w:val="left" w:pos="1260"/>
      </w:tabs>
      <w:ind w:left="1260" w:hanging="420"/>
    </w:pPr>
    <w:rPr>
      <w:rFonts w:ascii="Arial" w:hAnsi="Arial" w:eastAsia="黑体"/>
      <w:lang w:val="en-US"/>
    </w:rPr>
  </w:style>
  <w:style w:type="paragraph" w:customStyle="1" w:styleId="500">
    <w:name w:val="五级无标题条"/>
    <w:basedOn w:val="1"/>
    <w:autoRedefine/>
    <w:qFormat/>
    <w:uiPriority w:val="99"/>
    <w:pPr>
      <w:adjustRightInd/>
    </w:pPr>
  </w:style>
  <w:style w:type="paragraph" w:customStyle="1" w:styleId="501">
    <w:name w:val="Char5"/>
    <w:basedOn w:val="1"/>
    <w:autoRedefine/>
    <w:qFormat/>
    <w:uiPriority w:val="99"/>
    <w:rPr>
      <w:rFonts w:ascii="仿宋_GB2312" w:eastAsia="仿宋_GB2312"/>
      <w:b/>
      <w:sz w:val="32"/>
      <w:szCs w:val="32"/>
    </w:rPr>
  </w:style>
  <w:style w:type="paragraph" w:customStyle="1" w:styleId="502">
    <w:name w:val="TOC 标题1"/>
    <w:basedOn w:val="4"/>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3">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4">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5">
    <w:name w:val="Char2"/>
    <w:basedOn w:val="1"/>
    <w:autoRedefine/>
    <w:qFormat/>
    <w:uiPriority w:val="99"/>
    <w:rPr>
      <w:rFonts w:ascii="仿宋_GB2312" w:eastAsia="仿宋_GB2312"/>
      <w:b/>
      <w:sz w:val="32"/>
      <w:szCs w:val="32"/>
    </w:rPr>
  </w:style>
  <w:style w:type="paragraph" w:customStyle="1" w:styleId="506">
    <w:name w:val="数字标题3"/>
    <w:basedOn w:val="6"/>
    <w:next w:val="1"/>
    <w:autoRedefine/>
    <w:qFormat/>
    <w:uiPriority w:val="99"/>
    <w:pPr>
      <w:spacing w:line="240" w:lineRule="auto"/>
    </w:pPr>
    <w:rPr>
      <w:sz w:val="28"/>
      <w:szCs w:val="28"/>
    </w:rPr>
  </w:style>
  <w:style w:type="paragraph" w:customStyle="1" w:styleId="507">
    <w:name w:val="FA正文"/>
    <w:basedOn w:val="1"/>
    <w:autoRedefine/>
    <w:qFormat/>
    <w:uiPriority w:val="99"/>
    <w:pPr>
      <w:spacing w:line="360" w:lineRule="auto"/>
      <w:ind w:firstLine="480" w:firstLineChars="200"/>
    </w:pPr>
    <w:rPr>
      <w:rFonts w:hAnsi="宋体"/>
      <w:sz w:val="24"/>
      <w:szCs w:val="20"/>
    </w:rPr>
  </w:style>
  <w:style w:type="paragraph" w:customStyle="1" w:styleId="508">
    <w:name w:val="MM Topic 5"/>
    <w:basedOn w:val="8"/>
    <w:autoRedefine/>
    <w:qFormat/>
    <w:uiPriority w:val="99"/>
    <w:pPr>
      <w:tabs>
        <w:tab w:val="left" w:pos="2520"/>
      </w:tabs>
      <w:adjustRightInd/>
      <w:ind w:left="2520" w:hanging="420"/>
    </w:pPr>
  </w:style>
  <w:style w:type="paragraph" w:customStyle="1" w:styleId="509">
    <w:name w:val="Char Char Char Char Char Char Char Char Char Char1"/>
    <w:basedOn w:val="1"/>
    <w:autoRedefine/>
    <w:qFormat/>
    <w:uiPriority w:val="99"/>
    <w:rPr>
      <w:rFonts w:ascii="仿宋_GB2312" w:eastAsia="仿宋_GB2312"/>
      <w:b/>
      <w:sz w:val="32"/>
      <w:szCs w:val="32"/>
    </w:rPr>
  </w:style>
  <w:style w:type="paragraph" w:customStyle="1" w:styleId="510">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1">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2">
    <w:name w:val="Char2 Char Char Char"/>
    <w:basedOn w:val="1"/>
    <w:autoRedefine/>
    <w:qFormat/>
    <w:uiPriority w:val="99"/>
    <w:rPr>
      <w:rFonts w:ascii="仿宋_GB2312" w:eastAsia="仿宋_GB2312"/>
      <w:b/>
      <w:sz w:val="32"/>
      <w:szCs w:val="32"/>
    </w:rPr>
  </w:style>
  <w:style w:type="paragraph" w:customStyle="1" w:styleId="513">
    <w:name w:val="Char2 Char Char Char1"/>
    <w:basedOn w:val="1"/>
    <w:autoRedefine/>
    <w:qFormat/>
    <w:uiPriority w:val="99"/>
    <w:rPr>
      <w:rFonts w:ascii="仿宋_GB2312" w:eastAsia="仿宋_GB2312"/>
      <w:b/>
      <w:sz w:val="32"/>
      <w:szCs w:val="32"/>
    </w:rPr>
  </w:style>
  <w:style w:type="paragraph" w:customStyle="1" w:styleId="514">
    <w:name w:val="默认段落样式"/>
    <w:basedOn w:val="166"/>
    <w:autoRedefine/>
    <w:qFormat/>
    <w:uiPriority w:val="99"/>
    <w:pPr>
      <w:spacing w:before="0"/>
      <w:ind w:firstLine="480"/>
      <w:outlineLvl w:val="2"/>
    </w:pPr>
    <w:rPr>
      <w:rFonts w:ascii="仿宋_GB2312" w:hAnsi="宋体" w:eastAsia="仿宋_GB2312"/>
      <w:color w:val="000000"/>
      <w:szCs w:val="24"/>
    </w:rPr>
  </w:style>
  <w:style w:type="paragraph" w:customStyle="1" w:styleId="515">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6">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7">
    <w:name w:val="MM Topic 3"/>
    <w:basedOn w:val="6"/>
    <w:autoRedefine/>
    <w:qFormat/>
    <w:uiPriority w:val="99"/>
    <w:pPr>
      <w:tabs>
        <w:tab w:val="left" w:pos="1680"/>
      </w:tabs>
      <w:adjustRightInd/>
      <w:ind w:left="1680" w:hanging="420"/>
    </w:pPr>
  </w:style>
  <w:style w:type="paragraph" w:customStyle="1" w:styleId="518">
    <w:name w:val="标准小四"/>
    <w:basedOn w:val="1"/>
    <w:autoRedefine/>
    <w:qFormat/>
    <w:uiPriority w:val="99"/>
    <w:pPr>
      <w:spacing w:line="360" w:lineRule="auto"/>
      <w:ind w:firstLine="480" w:firstLineChars="200"/>
    </w:pPr>
    <w:rPr>
      <w:rFonts w:ascii="Arial" w:hAnsi="Arial"/>
      <w:sz w:val="24"/>
      <w:szCs w:val="21"/>
    </w:rPr>
  </w:style>
  <w:style w:type="paragraph" w:customStyle="1" w:styleId="519">
    <w:name w:val="样式 标题 2H2h2Underrubrik1prop2l2Chapter Titlesect 1.2DO NO..."/>
    <w:basedOn w:val="5"/>
    <w:autoRedefine/>
    <w:qFormat/>
    <w:uiPriority w:val="99"/>
    <w:pPr>
      <w:spacing w:before="120" w:after="120"/>
      <w:ind w:left="425" w:hanging="425"/>
    </w:pPr>
    <w:rPr>
      <w:rFonts w:ascii="微软雅黑" w:hAnsi="微软雅黑" w:eastAsia="微软雅黑" w:cs="宋体"/>
      <w:szCs w:val="20"/>
      <w:lang w:val="en-US"/>
    </w:rPr>
  </w:style>
  <w:style w:type="paragraph" w:customStyle="1" w:styleId="520">
    <w:name w:val="表格（小）"/>
    <w:basedOn w:val="1"/>
    <w:autoRedefine/>
    <w:qFormat/>
    <w:uiPriority w:val="99"/>
    <w:pPr>
      <w:adjustRightInd/>
      <w:snapToGrid w:val="0"/>
      <w:spacing w:line="300" w:lineRule="auto"/>
    </w:pPr>
    <w:rPr>
      <w:rFonts w:eastAsia="仿宋"/>
      <w:szCs w:val="21"/>
    </w:rPr>
  </w:style>
  <w:style w:type="paragraph" w:customStyle="1" w:styleId="521">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2">
    <w:name w:val="Char2 Char Char1"/>
    <w:basedOn w:val="1"/>
    <w:autoRedefine/>
    <w:qFormat/>
    <w:uiPriority w:val="99"/>
    <w:pPr>
      <w:adjustRightInd/>
    </w:pPr>
    <w:rPr>
      <w:rFonts w:ascii="Tahoma" w:hAnsi="Tahoma"/>
      <w:sz w:val="24"/>
      <w:szCs w:val="20"/>
    </w:rPr>
  </w:style>
  <w:style w:type="paragraph" w:customStyle="1" w:styleId="523">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4">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5">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6">
    <w:name w:val="TOC 标题111"/>
    <w:basedOn w:val="4"/>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7">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8">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29">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0">
    <w:name w:val="_Style 3"/>
    <w:basedOn w:val="1"/>
    <w:autoRedefine/>
    <w:qFormat/>
    <w:uiPriority w:val="99"/>
    <w:pPr>
      <w:adjustRightInd/>
      <w:ind w:firstLine="420" w:firstLineChars="200"/>
    </w:pPr>
    <w:rPr>
      <w:rFonts w:eastAsia="仿宋_GB2312"/>
      <w:sz w:val="28"/>
    </w:rPr>
  </w:style>
  <w:style w:type="paragraph" w:customStyle="1" w:styleId="531">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2">
    <w:name w:val="Bulleting First Indent 1"/>
    <w:basedOn w:val="26"/>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3">
    <w:name w:val="左对齐表格文字"/>
    <w:basedOn w:val="1"/>
    <w:autoRedefine/>
    <w:qFormat/>
    <w:uiPriority w:val="99"/>
    <w:pPr>
      <w:adjustRightInd/>
      <w:ind w:firstLine="200" w:firstLineChars="200"/>
      <w:jc w:val="right"/>
    </w:pPr>
  </w:style>
  <w:style w:type="paragraph" w:customStyle="1" w:styleId="534">
    <w:name w:val="Char Char11 Char Char Char Char Char Char Char Char Char"/>
    <w:basedOn w:val="1"/>
    <w:autoRedefine/>
    <w:qFormat/>
    <w:uiPriority w:val="99"/>
    <w:pPr>
      <w:spacing w:line="360" w:lineRule="auto"/>
    </w:pPr>
    <w:rPr>
      <w:szCs w:val="20"/>
    </w:rPr>
  </w:style>
  <w:style w:type="paragraph" w:customStyle="1" w:styleId="535">
    <w:name w:val="正文1.25"/>
    <w:basedOn w:val="1"/>
    <w:autoRedefine/>
    <w:qFormat/>
    <w:uiPriority w:val="99"/>
    <w:pPr>
      <w:adjustRightInd/>
      <w:spacing w:line="300" w:lineRule="auto"/>
      <w:ind w:firstLine="480" w:firstLineChars="200"/>
    </w:pPr>
    <w:rPr>
      <w:sz w:val="24"/>
      <w:szCs w:val="20"/>
    </w:rPr>
  </w:style>
  <w:style w:type="paragraph" w:customStyle="1" w:styleId="536">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7">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8">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1 Char Char Char1"/>
    <w:basedOn w:val="1"/>
    <w:autoRedefine/>
    <w:qFormat/>
    <w:uiPriority w:val="99"/>
    <w:rPr>
      <w:rFonts w:ascii="仿宋_GB2312" w:eastAsia="仿宋_GB2312"/>
      <w:b/>
      <w:sz w:val="32"/>
      <w:szCs w:val="20"/>
    </w:rPr>
  </w:style>
  <w:style w:type="paragraph" w:customStyle="1" w:styleId="540">
    <w:name w:val="列出段落2"/>
    <w:basedOn w:val="1"/>
    <w:autoRedefine/>
    <w:qFormat/>
    <w:uiPriority w:val="99"/>
    <w:pPr>
      <w:adjustRightInd/>
      <w:ind w:firstLine="420" w:firstLineChars="200"/>
    </w:pPr>
    <w:rPr>
      <w:rFonts w:ascii="宋体" w:hAnsi="宋体"/>
      <w:sz w:val="24"/>
    </w:rPr>
  </w:style>
  <w:style w:type="paragraph" w:customStyle="1" w:styleId="541">
    <w:name w:val="默认段落字体 Para Char Char Char Char Char Char Char"/>
    <w:basedOn w:val="1"/>
    <w:autoRedefine/>
    <w:qFormat/>
    <w:uiPriority w:val="99"/>
    <w:rPr>
      <w:rFonts w:eastAsia="仿宋_GB2312"/>
      <w:sz w:val="28"/>
      <w:szCs w:val="20"/>
    </w:rPr>
  </w:style>
  <w:style w:type="paragraph" w:customStyle="1" w:styleId="542">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3">
    <w:name w:val="样式 标题 4PIM 4H4h4bulletblbbH41H42H43H44H45H46H47H48...1"/>
    <w:basedOn w:val="7"/>
    <w:autoRedefine/>
    <w:qFormat/>
    <w:uiPriority w:val="99"/>
    <w:pPr>
      <w:widowControl/>
      <w:jc w:val="left"/>
    </w:pPr>
    <w:rPr>
      <w:rFonts w:cs="宋体"/>
      <w:sz w:val="24"/>
      <w:szCs w:val="20"/>
    </w:rPr>
  </w:style>
  <w:style w:type="paragraph" w:customStyle="1" w:styleId="544">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5">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6">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7">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48">
    <w:name w:val="Char Char Char1 Char1"/>
    <w:basedOn w:val="1"/>
    <w:autoRedefine/>
    <w:qFormat/>
    <w:uiPriority w:val="99"/>
    <w:rPr>
      <w:szCs w:val="20"/>
    </w:rPr>
  </w:style>
  <w:style w:type="paragraph" w:customStyle="1" w:styleId="549">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0">
    <w:name w:val="样式 标题 2 + 宋体 左侧:  1.76 厘米 首行缩进:  0 厘米"/>
    <w:basedOn w:val="5"/>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1">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2">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3">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4">
    <w:name w:val="CM14"/>
    <w:basedOn w:val="261"/>
    <w:next w:val="261"/>
    <w:autoRedefine/>
    <w:qFormat/>
    <w:uiPriority w:val="99"/>
    <w:pPr>
      <w:spacing w:after="68"/>
    </w:pPr>
    <w:rPr>
      <w:rFonts w:ascii="FHLHE E+ Futura Bk" w:eastAsia="FHLHE E+ Futura Bk" w:cs="Times New Roman"/>
      <w:color w:val="auto"/>
    </w:rPr>
  </w:style>
  <w:style w:type="paragraph" w:customStyle="1" w:styleId="555">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6">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7">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58">
    <w:name w:val="正文文字 2"/>
    <w:basedOn w:val="261"/>
    <w:next w:val="261"/>
    <w:autoRedefine/>
    <w:qFormat/>
    <w:uiPriority w:val="99"/>
    <w:rPr>
      <w:rFonts w:ascii="宋体" w:eastAsia="宋体" w:cs="Times New Roman"/>
      <w:color w:val="auto"/>
    </w:rPr>
  </w:style>
  <w:style w:type="paragraph" w:customStyle="1" w:styleId="559">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0">
    <w:name w:val="Char Char1 Char"/>
    <w:basedOn w:val="1"/>
    <w:autoRedefine/>
    <w:qFormat/>
    <w:uiPriority w:val="99"/>
    <w:rPr>
      <w:rFonts w:ascii="仿宋_GB2312" w:eastAsia="仿宋_GB2312"/>
      <w:b/>
      <w:sz w:val="32"/>
      <w:szCs w:val="32"/>
    </w:rPr>
  </w:style>
  <w:style w:type="paragraph" w:customStyle="1" w:styleId="561">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3">
    <w:name w:val="Char Char111"/>
    <w:basedOn w:val="1"/>
    <w:autoRedefine/>
    <w:qFormat/>
    <w:uiPriority w:val="99"/>
    <w:pPr>
      <w:spacing w:line="360" w:lineRule="auto"/>
    </w:pPr>
    <w:rPr>
      <w:szCs w:val="20"/>
    </w:rPr>
  </w:style>
  <w:style w:type="paragraph" w:customStyle="1" w:styleId="564">
    <w:name w:val="Char"/>
    <w:basedOn w:val="1"/>
    <w:autoRedefine/>
    <w:qFormat/>
    <w:uiPriority w:val="99"/>
    <w:rPr>
      <w:rFonts w:ascii="仿宋_GB2312" w:eastAsia="仿宋_GB2312"/>
      <w:b/>
      <w:sz w:val="32"/>
      <w:szCs w:val="32"/>
    </w:rPr>
  </w:style>
  <w:style w:type="paragraph" w:customStyle="1" w:styleId="565">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6">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7">
    <w:name w:val="Char Char Char1 Char"/>
    <w:basedOn w:val="1"/>
    <w:autoRedefine/>
    <w:qFormat/>
    <w:uiPriority w:val="99"/>
    <w:rPr>
      <w:szCs w:val="20"/>
    </w:rPr>
  </w:style>
  <w:style w:type="paragraph" w:customStyle="1" w:styleId="568">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69">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0">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1">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2">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3">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4">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5">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6">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8">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0">
    <w:name w:val="标准有序列表（L1）"/>
    <w:basedOn w:val="17"/>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1">
    <w:name w:val="Char Char Char Char Char Char Char Char Char Char"/>
    <w:basedOn w:val="1"/>
    <w:autoRedefine/>
    <w:qFormat/>
    <w:uiPriority w:val="99"/>
    <w:rPr>
      <w:rFonts w:ascii="仿宋_GB2312" w:eastAsia="仿宋_GB2312"/>
      <w:b/>
      <w:sz w:val="32"/>
      <w:szCs w:val="32"/>
    </w:rPr>
  </w:style>
  <w:style w:type="paragraph" w:customStyle="1" w:styleId="582">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3">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4">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5">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6">
    <w:name w:val="正文（首行缩进）"/>
    <w:basedOn w:val="27"/>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7">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88">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9">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0">
    <w:name w:val="Char Char Char1 Char2"/>
    <w:basedOn w:val="1"/>
    <w:autoRedefine/>
    <w:qFormat/>
    <w:uiPriority w:val="99"/>
    <w:rPr>
      <w:szCs w:val="20"/>
    </w:rPr>
  </w:style>
  <w:style w:type="paragraph" w:customStyle="1" w:styleId="591">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2">
    <w:name w:val="默认段落字体 Para Char"/>
    <w:basedOn w:val="1"/>
    <w:autoRedefine/>
    <w:qFormat/>
    <w:uiPriority w:val="99"/>
    <w:rPr>
      <w:rFonts w:ascii="Tahoma" w:hAnsi="Tahoma"/>
      <w:sz w:val="24"/>
      <w:szCs w:val="20"/>
    </w:rPr>
  </w:style>
  <w:style w:type="paragraph" w:customStyle="1" w:styleId="593">
    <w:name w:val="标题五"/>
    <w:basedOn w:val="1"/>
    <w:autoRedefine/>
    <w:qFormat/>
    <w:uiPriority w:val="99"/>
    <w:pPr>
      <w:adjustRightInd/>
      <w:spacing w:beforeLines="50" w:line="360" w:lineRule="auto"/>
    </w:pPr>
    <w:rPr>
      <w:b/>
      <w:sz w:val="24"/>
    </w:rPr>
  </w:style>
  <w:style w:type="paragraph" w:customStyle="1" w:styleId="594">
    <w:name w:val="Char Char1101"/>
    <w:basedOn w:val="1"/>
    <w:autoRedefine/>
    <w:qFormat/>
    <w:uiPriority w:val="99"/>
    <w:pPr>
      <w:spacing w:line="360" w:lineRule="auto"/>
    </w:pPr>
    <w:rPr>
      <w:rFonts w:ascii="Tahoma" w:hAnsi="Tahoma"/>
      <w:sz w:val="24"/>
      <w:szCs w:val="20"/>
    </w:rPr>
  </w:style>
  <w:style w:type="paragraph" w:customStyle="1" w:styleId="595">
    <w:name w:val="Char Char Char Char Char Char Char Char1"/>
    <w:basedOn w:val="1"/>
    <w:autoRedefine/>
    <w:qFormat/>
    <w:uiPriority w:val="99"/>
    <w:pPr>
      <w:tabs>
        <w:tab w:val="left" w:pos="360"/>
      </w:tabs>
    </w:pPr>
    <w:rPr>
      <w:sz w:val="24"/>
      <w:szCs w:val="20"/>
    </w:rPr>
  </w:style>
  <w:style w:type="paragraph" w:customStyle="1" w:styleId="596">
    <w:name w:val="Char Char Char 字元 字元"/>
    <w:basedOn w:val="1"/>
    <w:autoRedefine/>
    <w:qFormat/>
    <w:uiPriority w:val="99"/>
    <w:pPr>
      <w:adjustRightInd/>
      <w:spacing w:line="360" w:lineRule="auto"/>
      <w:ind w:firstLine="200" w:firstLineChars="200"/>
    </w:pPr>
    <w:rPr>
      <w:szCs w:val="20"/>
    </w:rPr>
  </w:style>
  <w:style w:type="paragraph" w:customStyle="1" w:styleId="597">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Char Char Char Char Char Char Char"/>
    <w:basedOn w:val="1"/>
    <w:autoRedefine/>
    <w:qFormat/>
    <w:uiPriority w:val="99"/>
    <w:rPr>
      <w:rFonts w:ascii="仿宋_GB2312" w:eastAsia="仿宋_GB2312"/>
      <w:b/>
      <w:sz w:val="32"/>
      <w:szCs w:val="32"/>
    </w:rPr>
  </w:style>
  <w:style w:type="paragraph" w:customStyle="1" w:styleId="599">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0">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1">
    <w:name w:val="样式 标题 22h2L1 Heading 2H2sect 1.2H21sect 1.21H22sect 1.2..."/>
    <w:basedOn w:val="5"/>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2">
    <w:name w:val="样式6"/>
    <w:basedOn w:val="35"/>
    <w:autoRedefine/>
    <w:qFormat/>
    <w:uiPriority w:val="99"/>
    <w:pPr>
      <w:spacing w:line="460" w:lineRule="exact"/>
      <w:outlineLvl w:val="2"/>
    </w:pPr>
    <w:rPr>
      <w:rFonts w:ascii="仿宋_GB2312" w:hAnsi="宋体" w:eastAsia="仿宋_GB2312"/>
      <w:b/>
      <w:bCs/>
      <w:sz w:val="24"/>
      <w:szCs w:val="24"/>
    </w:rPr>
  </w:style>
  <w:style w:type="paragraph" w:customStyle="1" w:styleId="603">
    <w:name w:val="批注框文本 Char Char"/>
    <w:basedOn w:val="1"/>
    <w:autoRedefine/>
    <w:qFormat/>
    <w:uiPriority w:val="99"/>
    <w:pPr>
      <w:adjustRightInd/>
    </w:pPr>
    <w:rPr>
      <w:sz w:val="18"/>
      <w:szCs w:val="20"/>
    </w:rPr>
  </w:style>
  <w:style w:type="paragraph" w:customStyle="1" w:styleId="604">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5">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7">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9">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0">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1">
    <w:name w:val="正文文字缩进项目"/>
    <w:basedOn w:val="27"/>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2">
    <w:name w:val="文档正文"/>
    <w:basedOn w:val="1"/>
    <w:autoRedefine/>
    <w:qFormat/>
    <w:uiPriority w:val="99"/>
    <w:pPr>
      <w:spacing w:line="480" w:lineRule="atLeast"/>
      <w:ind w:firstLine="567"/>
      <w:textAlignment w:val="baseline"/>
    </w:pPr>
    <w:rPr>
      <w:kern w:val="0"/>
      <w:sz w:val="24"/>
      <w:szCs w:val="20"/>
    </w:rPr>
  </w:style>
  <w:style w:type="paragraph" w:customStyle="1" w:styleId="613">
    <w:name w:val="正文文字表格居中"/>
    <w:basedOn w:val="1"/>
    <w:next w:val="60"/>
    <w:autoRedefine/>
    <w:qFormat/>
    <w:uiPriority w:val="99"/>
    <w:pPr>
      <w:snapToGrid w:val="0"/>
      <w:spacing w:line="360" w:lineRule="auto"/>
    </w:pPr>
    <w:rPr>
      <w:rFonts w:ascii="宋体"/>
      <w:b/>
      <w:sz w:val="24"/>
      <w:szCs w:val="20"/>
    </w:rPr>
  </w:style>
  <w:style w:type="paragraph" w:customStyle="1" w:styleId="614">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5">
    <w:name w:val="小节"/>
    <w:basedOn w:val="6"/>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6">
    <w:name w:val="Plain Text1"/>
    <w:basedOn w:val="1"/>
    <w:autoRedefine/>
    <w:qFormat/>
    <w:uiPriority w:val="99"/>
    <w:pPr>
      <w:adjustRightInd/>
    </w:pPr>
    <w:rPr>
      <w:rFonts w:ascii="宋体" w:hAnsi="Courier New"/>
    </w:rPr>
  </w:style>
  <w:style w:type="paragraph" w:customStyle="1" w:styleId="617">
    <w:name w:val="Char3"/>
    <w:basedOn w:val="1"/>
    <w:autoRedefine/>
    <w:qFormat/>
    <w:uiPriority w:val="99"/>
    <w:pPr>
      <w:adjustRightInd/>
    </w:pPr>
    <w:rPr>
      <w:rFonts w:ascii="仿宋_GB2312" w:eastAsia="仿宋_GB2312"/>
      <w:b/>
      <w:sz w:val="32"/>
      <w:szCs w:val="32"/>
    </w:rPr>
  </w:style>
  <w:style w:type="paragraph" w:customStyle="1" w:styleId="618">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9">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20">
    <w:name w:val="标题2"/>
    <w:basedOn w:val="5"/>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1">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2">
    <w:name w:val="样式 标题 3标题 3 Char第二层条h33Bold Headbh章标题1小标题level_3PIM 3..."/>
    <w:basedOn w:val="6"/>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4">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5">
    <w:name w:val="Char3 Char Char Char"/>
    <w:basedOn w:val="1"/>
    <w:autoRedefine/>
    <w:qFormat/>
    <w:uiPriority w:val="99"/>
    <w:pPr>
      <w:widowControl/>
      <w:adjustRightInd/>
      <w:spacing w:after="160" w:line="240" w:lineRule="exact"/>
      <w:jc w:val="left"/>
    </w:pPr>
    <w:rPr>
      <w:szCs w:val="20"/>
    </w:rPr>
  </w:style>
  <w:style w:type="paragraph" w:customStyle="1" w:styleId="626">
    <w:name w:val="表格标题2"/>
    <w:basedOn w:val="627"/>
    <w:autoRedefine/>
    <w:qFormat/>
    <w:uiPriority w:val="99"/>
    <w:rPr>
      <w:b/>
    </w:rPr>
  </w:style>
  <w:style w:type="paragraph" w:customStyle="1" w:styleId="627">
    <w:name w:val="表格内文"/>
    <w:basedOn w:val="1"/>
    <w:autoRedefine/>
    <w:qFormat/>
    <w:uiPriority w:val="99"/>
    <w:pPr>
      <w:adjustRightInd/>
      <w:spacing w:line="360" w:lineRule="auto"/>
    </w:pPr>
    <w:rPr>
      <w:rFonts w:ascii="宋体" w:hAnsi="宋体" w:cs="宋体"/>
      <w:color w:val="000000"/>
      <w:szCs w:val="20"/>
    </w:rPr>
  </w:style>
  <w:style w:type="paragraph" w:customStyle="1" w:styleId="628">
    <w:name w:val="Char Char Char Char Char Char Char Char Char Char2"/>
    <w:basedOn w:val="1"/>
    <w:autoRedefine/>
    <w:qFormat/>
    <w:uiPriority w:val="99"/>
    <w:rPr>
      <w:rFonts w:ascii="仿宋_GB2312" w:eastAsia="仿宋_GB2312"/>
      <w:b/>
      <w:sz w:val="32"/>
      <w:szCs w:val="32"/>
    </w:rPr>
  </w:style>
  <w:style w:type="paragraph" w:customStyle="1" w:styleId="629">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0">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1">
    <w:name w:val="Char Char11 Char Char Char Char Char Char Char Char Char11"/>
    <w:basedOn w:val="1"/>
    <w:autoRedefine/>
    <w:qFormat/>
    <w:uiPriority w:val="99"/>
    <w:pPr>
      <w:spacing w:line="360" w:lineRule="auto"/>
    </w:pPr>
    <w:rPr>
      <w:szCs w:val="20"/>
    </w:rPr>
  </w:style>
  <w:style w:type="paragraph" w:customStyle="1" w:styleId="632">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3">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4">
    <w:name w:val="MM Topic 1"/>
    <w:basedOn w:val="4"/>
    <w:autoRedefine/>
    <w:qFormat/>
    <w:uiPriority w:val="99"/>
    <w:pPr>
      <w:tabs>
        <w:tab w:val="left" w:pos="840"/>
      </w:tabs>
      <w:adjustRightInd/>
      <w:ind w:left="840" w:hanging="420"/>
    </w:pPr>
  </w:style>
  <w:style w:type="paragraph" w:customStyle="1" w:styleId="635">
    <w:name w:val="样式 标题 2标题2H2Heading 2 HiddenHeading 2 CCBSheading 22nd lev..."/>
    <w:basedOn w:val="5"/>
    <w:autoRedefine/>
    <w:qFormat/>
    <w:uiPriority w:val="99"/>
    <w:pPr>
      <w:widowControl/>
      <w:spacing w:before="260" w:after="260" w:line="416" w:lineRule="auto"/>
      <w:ind w:left="0" w:firstLine="0"/>
    </w:pPr>
    <w:rPr>
      <w:rFonts w:ascii="Arial" w:hAnsi="Arial" w:eastAsia="黑体"/>
      <w:sz w:val="30"/>
      <w:szCs w:val="21"/>
    </w:rPr>
  </w:style>
  <w:style w:type="paragraph" w:customStyle="1" w:styleId="636">
    <w:name w:val="文本正文 Char"/>
    <w:basedOn w:val="1"/>
    <w:autoRedefine/>
    <w:qFormat/>
    <w:uiPriority w:val="99"/>
    <w:pPr>
      <w:spacing w:line="360" w:lineRule="auto"/>
      <w:ind w:firstLine="200" w:firstLineChars="200"/>
    </w:pPr>
    <w:rPr>
      <w:kern w:val="0"/>
      <w:sz w:val="24"/>
      <w:szCs w:val="20"/>
    </w:rPr>
  </w:style>
  <w:style w:type="paragraph" w:customStyle="1" w:styleId="637">
    <w:name w:val="表格"/>
    <w:basedOn w:val="1"/>
    <w:autoRedefine/>
    <w:qFormat/>
    <w:uiPriority w:val="99"/>
    <w:pPr>
      <w:snapToGrid w:val="0"/>
      <w:ind w:firstLine="42" w:firstLineChars="21"/>
    </w:pPr>
    <w:rPr>
      <w:rFonts w:ascii="宋体" w:hAnsi="宋体"/>
      <w:kern w:val="0"/>
      <w:sz w:val="20"/>
      <w:szCs w:val="20"/>
    </w:rPr>
  </w:style>
  <w:style w:type="paragraph" w:customStyle="1" w:styleId="638">
    <w:name w:val="标书标题4"/>
    <w:basedOn w:val="7"/>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9">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40">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1">
    <w:name w:val="表格项目符号 2"/>
    <w:basedOn w:val="31"/>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2">
    <w:name w:val="EB_表格"/>
    <w:basedOn w:val="1"/>
    <w:autoRedefine/>
    <w:qFormat/>
    <w:uiPriority w:val="99"/>
    <w:pPr>
      <w:adjustRightInd/>
      <w:spacing w:line="300" w:lineRule="auto"/>
      <w:jc w:val="center"/>
    </w:pPr>
  </w:style>
  <w:style w:type="paragraph" w:customStyle="1" w:styleId="643">
    <w:name w:val="_Style 6"/>
    <w:basedOn w:val="1"/>
    <w:autoRedefine/>
    <w:qFormat/>
    <w:uiPriority w:val="99"/>
    <w:pPr>
      <w:adjustRightInd/>
      <w:ind w:firstLine="420" w:firstLineChars="200"/>
    </w:pPr>
    <w:rPr>
      <w:rFonts w:eastAsia="仿宋_GB2312"/>
      <w:sz w:val="28"/>
    </w:rPr>
  </w:style>
  <w:style w:type="paragraph" w:customStyle="1" w:styleId="644">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5">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6">
    <w:name w:val="!大节"/>
    <w:basedOn w:val="5"/>
    <w:autoRedefine/>
    <w:qFormat/>
    <w:uiPriority w:val="99"/>
    <w:pPr>
      <w:spacing w:before="260" w:after="260" w:line="415" w:lineRule="auto"/>
      <w:ind w:left="420" w:hanging="420"/>
    </w:pPr>
    <w:rPr>
      <w:rFonts w:ascii="Arial" w:hAnsi="Arial" w:eastAsia="微软雅黑"/>
      <w:lang w:val="en-US"/>
    </w:rPr>
  </w:style>
  <w:style w:type="paragraph" w:customStyle="1" w:styleId="647">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8">
    <w:name w:val="正文表标题"/>
    <w:next w:val="649"/>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9">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50">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1">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2">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3">
    <w:name w:val="Char Char1 Char Char Char Char Char Char1"/>
    <w:basedOn w:val="1"/>
    <w:autoRedefine/>
    <w:qFormat/>
    <w:uiPriority w:val="99"/>
    <w:rPr>
      <w:rFonts w:ascii="仿宋_GB2312" w:eastAsia="仿宋_GB2312"/>
      <w:b/>
      <w:sz w:val="32"/>
      <w:szCs w:val="20"/>
    </w:rPr>
  </w:style>
  <w:style w:type="paragraph" w:customStyle="1" w:styleId="654">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5">
    <w:name w:val="Char1 Char Char Char1"/>
    <w:basedOn w:val="1"/>
    <w:autoRedefine/>
    <w:qFormat/>
    <w:uiPriority w:val="99"/>
    <w:pPr>
      <w:adjustRightInd/>
      <w:ind w:firstLine="200" w:firstLineChars="200"/>
    </w:pPr>
    <w:rPr>
      <w:rFonts w:ascii="Tahoma" w:hAnsi="Tahoma"/>
      <w:sz w:val="24"/>
      <w:szCs w:val="20"/>
    </w:rPr>
  </w:style>
  <w:style w:type="paragraph" w:customStyle="1" w:styleId="656">
    <w:name w:val="a1"/>
    <w:basedOn w:val="1"/>
    <w:autoRedefine/>
    <w:qFormat/>
    <w:uiPriority w:val="99"/>
    <w:pPr>
      <w:widowControl/>
      <w:spacing w:line="300" w:lineRule="atLeast"/>
      <w:jc w:val="left"/>
    </w:pPr>
    <w:rPr>
      <w:rFonts w:ascii="宋体" w:hAnsi="宋体"/>
      <w:kern w:val="0"/>
      <w:sz w:val="18"/>
      <w:szCs w:val="20"/>
    </w:rPr>
  </w:style>
  <w:style w:type="paragraph" w:customStyle="1" w:styleId="657">
    <w:name w:val="样式7"/>
    <w:basedOn w:val="658"/>
    <w:next w:val="1"/>
    <w:autoRedefine/>
    <w:qFormat/>
    <w:uiPriority w:val="99"/>
    <w:pPr>
      <w:spacing w:afterLines="50"/>
      <w:jc w:val="left"/>
      <w:outlineLvl w:val="3"/>
    </w:pPr>
    <w:rPr>
      <w:sz w:val="24"/>
      <w:szCs w:val="24"/>
    </w:rPr>
  </w:style>
  <w:style w:type="paragraph" w:customStyle="1" w:styleId="658">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59">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60">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1">
    <w:name w:val="样式 样式2 + 左侧:  1 字符 右侧:  1 字符"/>
    <w:basedOn w:val="470"/>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2">
    <w:name w:val="Char2 Char Char2"/>
    <w:basedOn w:val="1"/>
    <w:autoRedefine/>
    <w:qFormat/>
    <w:uiPriority w:val="99"/>
    <w:pPr>
      <w:adjustRightInd/>
    </w:pPr>
    <w:rPr>
      <w:rFonts w:ascii="Tahoma" w:hAnsi="Tahoma"/>
      <w:sz w:val="24"/>
      <w:szCs w:val="20"/>
    </w:rPr>
  </w:style>
  <w:style w:type="paragraph" w:customStyle="1" w:styleId="663">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4">
    <w:name w:val="三级条标题"/>
    <w:basedOn w:val="665"/>
    <w:next w:val="649"/>
    <w:autoRedefine/>
    <w:qFormat/>
    <w:uiPriority w:val="99"/>
    <w:pPr>
      <w:tabs>
        <w:tab w:val="left" w:pos="1260"/>
        <w:tab w:val="left" w:pos="1680"/>
        <w:tab w:val="left" w:pos="2100"/>
        <w:tab w:val="left" w:pos="2520"/>
      </w:tabs>
      <w:ind w:left="2520"/>
      <w:outlineLvl w:val="4"/>
    </w:pPr>
  </w:style>
  <w:style w:type="paragraph" w:customStyle="1" w:styleId="665">
    <w:name w:val="二级条标题"/>
    <w:basedOn w:val="666"/>
    <w:next w:val="649"/>
    <w:autoRedefine/>
    <w:qFormat/>
    <w:uiPriority w:val="99"/>
    <w:pPr>
      <w:tabs>
        <w:tab w:val="left" w:pos="1260"/>
        <w:tab w:val="left" w:pos="1680"/>
        <w:tab w:val="left" w:pos="2100"/>
      </w:tabs>
      <w:ind w:left="0"/>
      <w:outlineLvl w:val="3"/>
    </w:pPr>
  </w:style>
  <w:style w:type="paragraph" w:customStyle="1" w:styleId="666">
    <w:name w:val="一级条标题"/>
    <w:basedOn w:val="667"/>
    <w:next w:val="649"/>
    <w:autoRedefine/>
    <w:qFormat/>
    <w:uiPriority w:val="99"/>
    <w:pPr>
      <w:tabs>
        <w:tab w:val="left" w:pos="1260"/>
        <w:tab w:val="left" w:pos="1680"/>
      </w:tabs>
      <w:spacing w:beforeLines="0" w:afterLines="0"/>
      <w:ind w:left="1680"/>
      <w:outlineLvl w:val="2"/>
    </w:pPr>
  </w:style>
  <w:style w:type="paragraph" w:customStyle="1" w:styleId="667">
    <w:name w:val="章标题"/>
    <w:next w:val="649"/>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8">
    <w:name w:val="数字标题2"/>
    <w:basedOn w:val="5"/>
    <w:next w:val="1"/>
    <w:autoRedefine/>
    <w:qFormat/>
    <w:uiPriority w:val="99"/>
    <w:pPr>
      <w:tabs>
        <w:tab w:val="left" w:pos="480"/>
      </w:tabs>
      <w:ind w:left="480" w:hanging="480"/>
    </w:pPr>
    <w:rPr>
      <w:rFonts w:ascii="Times New Roman" w:eastAsia="宋体"/>
      <w:i/>
      <w:sz w:val="36"/>
      <w:szCs w:val="36"/>
      <w:lang w:val="en-US"/>
    </w:rPr>
  </w:style>
  <w:style w:type="paragraph" w:customStyle="1" w:styleId="669">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70">
    <w:name w:val="样式 标题 1Level 1 HeadPIM 1Section Headh1l11Heading 0Datash..."/>
    <w:basedOn w:val="4"/>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1">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2">
    <w:name w:val="样式 标题 1章节第一层h1H"/>
    <w:basedOn w:val="4"/>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3">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4">
    <w:name w:val="正文 项目2"/>
    <w:basedOn w:val="675"/>
    <w:autoRedefine/>
    <w:qFormat/>
    <w:uiPriority w:val="99"/>
    <w:pPr>
      <w:tabs>
        <w:tab w:val="left" w:pos="840"/>
      </w:tabs>
      <w:spacing w:after="0"/>
      <w:ind w:left="900"/>
    </w:pPr>
  </w:style>
  <w:style w:type="paragraph" w:customStyle="1" w:styleId="675">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6">
    <w:name w:val="Body Text 2*"/>
    <w:basedOn w:val="1"/>
    <w:autoRedefine/>
    <w:qFormat/>
    <w:uiPriority w:val="99"/>
    <w:pPr>
      <w:widowControl/>
      <w:adjustRightInd/>
      <w:ind w:left="720" w:hanging="720"/>
    </w:pPr>
    <w:rPr>
      <w:color w:val="000000"/>
      <w:kern w:val="0"/>
      <w:sz w:val="24"/>
      <w:szCs w:val="20"/>
      <w:lang w:val="en-GB"/>
    </w:rPr>
  </w:style>
  <w:style w:type="paragraph" w:customStyle="1" w:styleId="677">
    <w:name w:val="表1"/>
    <w:basedOn w:val="1"/>
    <w:autoRedefine/>
    <w:qFormat/>
    <w:uiPriority w:val="99"/>
    <w:pPr>
      <w:tabs>
        <w:tab w:val="left" w:pos="703"/>
      </w:tabs>
      <w:adjustRightInd/>
      <w:spacing w:line="360" w:lineRule="auto"/>
      <w:ind w:left="703"/>
      <w:jc w:val="center"/>
    </w:pPr>
  </w:style>
  <w:style w:type="paragraph" w:customStyle="1" w:styleId="678">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9">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80">
    <w:name w:val="2级标题"/>
    <w:basedOn w:val="681"/>
    <w:autoRedefine/>
    <w:qFormat/>
    <w:uiPriority w:val="99"/>
    <w:pPr>
      <w:jc w:val="left"/>
      <w:outlineLvl w:val="1"/>
    </w:pPr>
    <w:rPr>
      <w:rFonts w:ascii="Times New Roman" w:hAnsi="Times New Roman" w:eastAsia="仿宋"/>
      <w:sz w:val="30"/>
    </w:rPr>
  </w:style>
  <w:style w:type="paragraph" w:customStyle="1" w:styleId="681">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2">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3">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4">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5">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6">
    <w:name w:val="bullet"/>
    <w:basedOn w:val="1"/>
    <w:autoRedefine/>
    <w:qFormat/>
    <w:uiPriority w:val="99"/>
    <w:pPr>
      <w:tabs>
        <w:tab w:val="left" w:pos="840"/>
      </w:tabs>
      <w:adjustRightInd/>
      <w:ind w:left="840" w:hanging="420"/>
    </w:pPr>
  </w:style>
  <w:style w:type="paragraph" w:customStyle="1" w:styleId="687">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8">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9">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0">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1">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2">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3">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4">
    <w:name w:val="MM Topic 4"/>
    <w:basedOn w:val="7"/>
    <w:autoRedefine/>
    <w:qFormat/>
    <w:uiPriority w:val="99"/>
    <w:pPr>
      <w:tabs>
        <w:tab w:val="left" w:pos="2100"/>
      </w:tabs>
      <w:adjustRightInd/>
      <w:ind w:left="2100" w:hanging="420"/>
    </w:pPr>
    <w:rPr>
      <w:lang w:val="en-US"/>
    </w:rPr>
  </w:style>
  <w:style w:type="paragraph" w:customStyle="1" w:styleId="695">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6">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7">
    <w:name w:val="Char Char11 Char Char Char Char Char Char Char Char Char1"/>
    <w:basedOn w:val="1"/>
    <w:autoRedefine/>
    <w:qFormat/>
    <w:uiPriority w:val="99"/>
    <w:pPr>
      <w:spacing w:line="360" w:lineRule="auto"/>
    </w:pPr>
    <w:rPr>
      <w:szCs w:val="20"/>
    </w:rPr>
  </w:style>
  <w:style w:type="paragraph" w:customStyle="1" w:styleId="698">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699">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700">
    <w:name w:val="body text bold"/>
    <w:basedOn w:val="25"/>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1">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2">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3">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4">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5">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6">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7">
    <w:name w:val="单元格居中"/>
    <w:basedOn w:val="1"/>
    <w:autoRedefine/>
    <w:qFormat/>
    <w:uiPriority w:val="99"/>
    <w:pPr>
      <w:adjustRightInd/>
      <w:spacing w:line="360" w:lineRule="auto"/>
      <w:jc w:val="center"/>
    </w:pPr>
    <w:rPr>
      <w:sz w:val="24"/>
    </w:rPr>
  </w:style>
  <w:style w:type="paragraph" w:customStyle="1" w:styleId="708">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9">
    <w:name w:val="Char Char Char Char Char Char Char1"/>
    <w:basedOn w:val="1"/>
    <w:autoRedefine/>
    <w:qFormat/>
    <w:uiPriority w:val="99"/>
    <w:rPr>
      <w:rFonts w:ascii="仿宋_GB2312" w:eastAsia="仿宋_GB2312"/>
      <w:b/>
      <w:sz w:val="32"/>
      <w:szCs w:val="32"/>
    </w:rPr>
  </w:style>
  <w:style w:type="paragraph" w:customStyle="1" w:styleId="710">
    <w:name w:val="正文缩进1"/>
    <w:basedOn w:val="1"/>
    <w:next w:val="27"/>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1">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2">
    <w:name w:val="Char3 Char Char Char11"/>
    <w:basedOn w:val="1"/>
    <w:autoRedefine/>
    <w:qFormat/>
    <w:uiPriority w:val="99"/>
    <w:pPr>
      <w:widowControl/>
      <w:adjustRightInd/>
      <w:spacing w:after="160" w:line="240" w:lineRule="exact"/>
      <w:jc w:val="left"/>
    </w:pPr>
    <w:rPr>
      <w:szCs w:val="20"/>
    </w:rPr>
  </w:style>
  <w:style w:type="paragraph" w:customStyle="1" w:styleId="713">
    <w:name w:val="Char Char1121"/>
    <w:basedOn w:val="1"/>
    <w:autoRedefine/>
    <w:qFormat/>
    <w:uiPriority w:val="99"/>
    <w:pPr>
      <w:spacing w:line="360" w:lineRule="auto"/>
    </w:pPr>
    <w:rPr>
      <w:szCs w:val="20"/>
    </w:rPr>
  </w:style>
  <w:style w:type="paragraph" w:customStyle="1" w:styleId="714">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5">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6">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7">
    <w:name w:val="带编号样式"/>
    <w:basedOn w:val="636"/>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8">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9">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0">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1">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2">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3">
    <w:name w:val="默认段落字体 Para Char Char Char1 Char"/>
    <w:basedOn w:val="1"/>
    <w:autoRedefine/>
    <w:qFormat/>
    <w:uiPriority w:val="99"/>
    <w:pPr>
      <w:spacing w:line="240" w:lineRule="atLeast"/>
      <w:ind w:left="420" w:firstLine="420"/>
    </w:pPr>
    <w:rPr>
      <w:sz w:val="24"/>
    </w:rPr>
  </w:style>
  <w:style w:type="paragraph" w:customStyle="1" w:styleId="724">
    <w:name w:val="WW-正文文字缩进 2"/>
    <w:basedOn w:val="1"/>
    <w:autoRedefine/>
    <w:qFormat/>
    <w:uiPriority w:val="99"/>
    <w:pPr>
      <w:suppressAutoHyphens/>
      <w:adjustRightInd/>
      <w:ind w:firstLine="420"/>
    </w:pPr>
    <w:rPr>
      <w:kern w:val="1"/>
      <w:szCs w:val="20"/>
    </w:rPr>
  </w:style>
  <w:style w:type="paragraph" w:customStyle="1" w:styleId="725">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6">
    <w:name w:val="样式 标题 2 + 四号"/>
    <w:basedOn w:val="5"/>
    <w:autoRedefine/>
    <w:qFormat/>
    <w:uiPriority w:val="99"/>
    <w:pPr>
      <w:spacing w:before="120" w:after="120"/>
      <w:ind w:left="0" w:firstLine="0"/>
      <w:jc w:val="both"/>
    </w:pPr>
    <w:rPr>
      <w:rFonts w:ascii="宋体" w:hAnsi="Arial" w:eastAsia="宋体"/>
      <w:sz w:val="28"/>
      <w:lang w:val="en-US"/>
    </w:rPr>
  </w:style>
  <w:style w:type="paragraph" w:customStyle="1" w:styleId="727">
    <w:name w:val="有符号正文"/>
    <w:basedOn w:val="1"/>
    <w:autoRedefine/>
    <w:qFormat/>
    <w:uiPriority w:val="99"/>
    <w:pPr>
      <w:adjustRightInd/>
      <w:spacing w:line="400" w:lineRule="exact"/>
      <w:ind w:firstLine="200" w:firstLineChars="200"/>
    </w:pPr>
    <w:rPr>
      <w:rFonts w:ascii="Arial" w:hAnsi="Arial"/>
    </w:rPr>
  </w:style>
  <w:style w:type="paragraph" w:customStyle="1" w:styleId="728">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9">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30">
    <w:name w:val="4"/>
    <w:basedOn w:val="1"/>
    <w:next w:val="40"/>
    <w:autoRedefine/>
    <w:qFormat/>
    <w:uiPriority w:val="99"/>
    <w:pPr>
      <w:spacing w:after="120" w:line="480" w:lineRule="auto"/>
      <w:ind w:left="420" w:leftChars="200"/>
    </w:pPr>
    <w:rPr>
      <w:sz w:val="24"/>
      <w:szCs w:val="20"/>
    </w:rPr>
  </w:style>
  <w:style w:type="paragraph" w:customStyle="1" w:styleId="731">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2">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3">
    <w:name w:val="样式 标题 3H3 + 两端对齐"/>
    <w:basedOn w:val="6"/>
    <w:autoRedefine/>
    <w:qFormat/>
    <w:uiPriority w:val="99"/>
    <w:pPr>
      <w:keepLines w:val="0"/>
      <w:spacing w:before="0" w:after="0" w:line="240" w:lineRule="auto"/>
      <w:jc w:val="left"/>
    </w:pPr>
    <w:rPr>
      <w:rFonts w:cs="宋体"/>
      <w:sz w:val="21"/>
      <w:szCs w:val="20"/>
    </w:rPr>
  </w:style>
  <w:style w:type="paragraph" w:customStyle="1" w:styleId="734">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5">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6">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7">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8">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9">
    <w:name w:val="Char Char1 Char Char Char"/>
    <w:basedOn w:val="1"/>
    <w:autoRedefine/>
    <w:qFormat/>
    <w:uiPriority w:val="99"/>
    <w:rPr>
      <w:rFonts w:ascii="仿宋_GB2312" w:eastAsia="仿宋_GB2312"/>
      <w:b/>
      <w:sz w:val="32"/>
      <w:szCs w:val="20"/>
    </w:rPr>
  </w:style>
  <w:style w:type="paragraph" w:customStyle="1" w:styleId="740">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1">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2">
    <w:name w:val="Picture"/>
    <w:basedOn w:val="1"/>
    <w:next w:val="18"/>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3">
    <w:name w:val="Char Char1 Char Char Char2"/>
    <w:basedOn w:val="1"/>
    <w:autoRedefine/>
    <w:qFormat/>
    <w:uiPriority w:val="99"/>
    <w:rPr>
      <w:rFonts w:ascii="仿宋_GB2312" w:eastAsia="仿宋_GB2312"/>
      <w:b/>
      <w:sz w:val="32"/>
      <w:szCs w:val="32"/>
    </w:rPr>
  </w:style>
  <w:style w:type="paragraph" w:customStyle="1" w:styleId="744">
    <w:name w:val="Char3 Char Char Char1"/>
    <w:basedOn w:val="1"/>
    <w:autoRedefine/>
    <w:qFormat/>
    <w:uiPriority w:val="99"/>
    <w:pPr>
      <w:widowControl/>
      <w:adjustRightInd/>
      <w:spacing w:after="160" w:line="240" w:lineRule="exact"/>
      <w:jc w:val="left"/>
    </w:pPr>
    <w:rPr>
      <w:szCs w:val="20"/>
    </w:rPr>
  </w:style>
  <w:style w:type="paragraph" w:customStyle="1" w:styleId="745">
    <w:name w:val="Char1 Char Char Char21"/>
    <w:basedOn w:val="1"/>
    <w:autoRedefine/>
    <w:qFormat/>
    <w:uiPriority w:val="99"/>
    <w:rPr>
      <w:rFonts w:ascii="Tahoma" w:hAnsi="Tahoma"/>
      <w:sz w:val="24"/>
      <w:szCs w:val="20"/>
    </w:rPr>
  </w:style>
  <w:style w:type="paragraph" w:customStyle="1" w:styleId="746">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7">
    <w:name w:val="正文（标题三）"/>
    <w:basedOn w:val="1"/>
    <w:autoRedefine/>
    <w:qFormat/>
    <w:uiPriority w:val="99"/>
    <w:pPr>
      <w:spacing w:line="360" w:lineRule="auto"/>
      <w:ind w:firstLine="200" w:firstLineChars="200"/>
    </w:pPr>
    <w:rPr>
      <w:sz w:val="24"/>
    </w:rPr>
  </w:style>
  <w:style w:type="paragraph" w:customStyle="1" w:styleId="748">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49">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0">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1">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2">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3">
    <w:name w:val="Char1 Char Char Char4"/>
    <w:basedOn w:val="1"/>
    <w:autoRedefine/>
    <w:qFormat/>
    <w:uiPriority w:val="99"/>
    <w:pPr>
      <w:adjustRightInd/>
      <w:ind w:firstLine="200" w:firstLineChars="200"/>
    </w:pPr>
    <w:rPr>
      <w:rFonts w:ascii="Tahoma" w:hAnsi="Tahoma"/>
      <w:sz w:val="24"/>
      <w:szCs w:val="20"/>
    </w:rPr>
  </w:style>
  <w:style w:type="paragraph" w:customStyle="1" w:styleId="754">
    <w:name w:val="_标题2"/>
    <w:basedOn w:val="721"/>
    <w:next w:val="721"/>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5">
    <w:name w:val="样式1 + (中宋体"/>
    <w:basedOn w:val="732"/>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6">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7">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8">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9">
    <w:name w:val="四号　首行缩进"/>
    <w:basedOn w:val="1"/>
    <w:autoRedefine/>
    <w:qFormat/>
    <w:uiPriority w:val="99"/>
    <w:pPr>
      <w:adjustRightInd/>
      <w:spacing w:line="360" w:lineRule="auto"/>
    </w:pPr>
    <w:rPr>
      <w:rFonts w:ascii="宋体" w:hAnsi="宋体"/>
      <w:szCs w:val="20"/>
    </w:rPr>
  </w:style>
  <w:style w:type="paragraph" w:customStyle="1" w:styleId="760">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1">
    <w:name w:val="Char Char Char Char Char Char Char Char Char Char Char1 Char"/>
    <w:basedOn w:val="1"/>
    <w:autoRedefine/>
    <w:qFormat/>
    <w:uiPriority w:val="99"/>
    <w:pPr>
      <w:adjustRightInd/>
    </w:pPr>
    <w:rPr>
      <w:rFonts w:ascii="Tahoma" w:hAnsi="Tahoma"/>
      <w:sz w:val="24"/>
    </w:rPr>
  </w:style>
  <w:style w:type="paragraph" w:customStyle="1" w:styleId="762">
    <w:name w:val="Char Char Char Char11"/>
    <w:basedOn w:val="1"/>
    <w:autoRedefine/>
    <w:qFormat/>
    <w:uiPriority w:val="99"/>
    <w:rPr>
      <w:rFonts w:ascii="Tahoma" w:hAnsi="Tahoma"/>
      <w:sz w:val="24"/>
      <w:szCs w:val="20"/>
    </w:rPr>
  </w:style>
  <w:style w:type="paragraph" w:customStyle="1" w:styleId="763">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4">
    <w:name w:val="Char Char Char Char"/>
    <w:basedOn w:val="1"/>
    <w:autoRedefine/>
    <w:qFormat/>
    <w:uiPriority w:val="99"/>
    <w:rPr>
      <w:rFonts w:ascii="Tahoma" w:hAnsi="Tahoma"/>
      <w:sz w:val="24"/>
      <w:szCs w:val="20"/>
    </w:rPr>
  </w:style>
  <w:style w:type="paragraph" w:customStyle="1" w:styleId="765">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6">
    <w:name w:val="Char19"/>
    <w:basedOn w:val="1"/>
    <w:autoRedefine/>
    <w:qFormat/>
    <w:uiPriority w:val="99"/>
    <w:pPr>
      <w:adjustRightInd/>
    </w:pPr>
    <w:rPr>
      <w:szCs w:val="20"/>
    </w:rPr>
  </w:style>
  <w:style w:type="paragraph" w:customStyle="1" w:styleId="767">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8">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69">
    <w:name w:val="_Style 5"/>
    <w:basedOn w:val="1"/>
    <w:autoRedefine/>
    <w:qFormat/>
    <w:uiPriority w:val="99"/>
    <w:pPr>
      <w:adjustRightInd/>
      <w:ind w:firstLine="420" w:firstLineChars="200"/>
    </w:pPr>
    <w:rPr>
      <w:rFonts w:eastAsia="仿宋_GB2312"/>
      <w:sz w:val="28"/>
    </w:rPr>
  </w:style>
  <w:style w:type="paragraph" w:customStyle="1" w:styleId="770">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1">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2">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3">
    <w:name w:val="标书表格字体格式"/>
    <w:next w:val="767"/>
    <w:autoRedefine/>
    <w:qFormat/>
    <w:uiPriority w:val="99"/>
    <w:rPr>
      <w:rFonts w:ascii="Times New Roman" w:hAnsi="Times New Roman" w:eastAsia="宋体" w:cs="Times New Roman"/>
      <w:kern w:val="2"/>
      <w:sz w:val="21"/>
      <w:szCs w:val="24"/>
      <w:lang w:val="en-US" w:eastAsia="zh-CN" w:bidi="ar-SA"/>
    </w:rPr>
  </w:style>
  <w:style w:type="paragraph" w:customStyle="1" w:styleId="774">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5">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6">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7">
    <w:name w:val="CSS1级正文 Char"/>
    <w:basedOn w:val="25"/>
    <w:autoRedefine/>
    <w:qFormat/>
    <w:uiPriority w:val="99"/>
    <w:pPr>
      <w:autoSpaceDE/>
      <w:autoSpaceDN/>
      <w:snapToGrid w:val="0"/>
      <w:ind w:firstLine="480" w:firstLineChars="200"/>
    </w:pPr>
    <w:rPr>
      <w:rFonts w:ascii="Times New Roman"/>
      <w:szCs w:val="24"/>
      <w:lang w:val="en-US"/>
    </w:rPr>
  </w:style>
  <w:style w:type="paragraph" w:customStyle="1" w:styleId="778">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9">
    <w:name w:val="表文字"/>
    <w:autoRedefine/>
    <w:qFormat/>
    <w:uiPriority w:val="99"/>
    <w:rPr>
      <w:rFonts w:ascii="宋体" w:hAnsi="Times New Roman" w:eastAsia="宋体" w:cs="Times New Roman"/>
      <w:kern w:val="2"/>
      <w:sz w:val="20"/>
      <w:szCs w:val="20"/>
      <w:lang w:val="en-US" w:eastAsia="zh-CN" w:bidi="ar-SA"/>
    </w:rPr>
  </w:style>
  <w:style w:type="paragraph" w:customStyle="1" w:styleId="780">
    <w:name w:val="MM Title"/>
    <w:basedOn w:val="63"/>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1">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2">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3">
    <w:name w:val="Char Char Char Char Char Char Char Char2"/>
    <w:basedOn w:val="1"/>
    <w:autoRedefine/>
    <w:qFormat/>
    <w:uiPriority w:val="99"/>
    <w:pPr>
      <w:tabs>
        <w:tab w:val="left" w:pos="360"/>
      </w:tabs>
    </w:pPr>
    <w:rPr>
      <w:sz w:val="24"/>
      <w:szCs w:val="20"/>
    </w:rPr>
  </w:style>
  <w:style w:type="paragraph" w:customStyle="1" w:styleId="784">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5">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6">
    <w:name w:val="中文标题 3"/>
    <w:basedOn w:val="27"/>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7">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8">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9">
    <w:name w:val="正文－恩普"/>
    <w:basedOn w:val="17"/>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0">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1">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2">
    <w:name w:val="p0"/>
    <w:basedOn w:val="1"/>
    <w:autoRedefine/>
    <w:qFormat/>
    <w:uiPriority w:val="99"/>
    <w:pPr>
      <w:widowControl/>
      <w:adjustRightInd/>
    </w:pPr>
    <w:rPr>
      <w:kern w:val="0"/>
      <w:szCs w:val="21"/>
    </w:rPr>
  </w:style>
  <w:style w:type="paragraph" w:customStyle="1" w:styleId="793">
    <w:name w:val="Char6"/>
    <w:basedOn w:val="1"/>
    <w:autoRedefine/>
    <w:qFormat/>
    <w:uiPriority w:val="99"/>
    <w:rPr>
      <w:rFonts w:ascii="仿宋_GB2312" w:eastAsia="仿宋_GB2312"/>
      <w:b/>
      <w:sz w:val="32"/>
      <w:szCs w:val="32"/>
    </w:rPr>
  </w:style>
  <w:style w:type="paragraph" w:customStyle="1" w:styleId="794">
    <w:name w:val="Char111"/>
    <w:basedOn w:val="1"/>
    <w:autoRedefine/>
    <w:qFormat/>
    <w:uiPriority w:val="99"/>
    <w:rPr>
      <w:rFonts w:ascii="仿宋_GB2312" w:eastAsia="仿宋_GB2312"/>
      <w:b/>
      <w:sz w:val="32"/>
      <w:szCs w:val="32"/>
    </w:rPr>
  </w:style>
  <w:style w:type="paragraph" w:customStyle="1" w:styleId="795">
    <w:name w:val="标题3"/>
    <w:basedOn w:val="6"/>
    <w:next w:val="57"/>
    <w:autoRedefine/>
    <w:qFormat/>
    <w:uiPriority w:val="99"/>
    <w:pPr>
      <w:tabs>
        <w:tab w:val="clear" w:pos="900"/>
      </w:tabs>
      <w:spacing w:after="0" w:line="360" w:lineRule="auto"/>
    </w:pPr>
    <w:rPr>
      <w:rFonts w:ascii="仿宋" w:hAnsi="仿宋" w:eastAsia="仿宋" w:cs="仿宋"/>
    </w:rPr>
  </w:style>
  <w:style w:type="paragraph" w:customStyle="1" w:styleId="796">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7">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8">
    <w:name w:val="Char1 Char Char Char2"/>
    <w:basedOn w:val="1"/>
    <w:autoRedefine/>
    <w:qFormat/>
    <w:uiPriority w:val="99"/>
    <w:pPr>
      <w:adjustRightInd/>
      <w:ind w:firstLine="200" w:firstLineChars="200"/>
    </w:pPr>
    <w:rPr>
      <w:rFonts w:ascii="Tahoma" w:hAnsi="Tahoma"/>
      <w:sz w:val="24"/>
      <w:szCs w:val="20"/>
    </w:rPr>
  </w:style>
  <w:style w:type="paragraph" w:customStyle="1" w:styleId="799">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800">
    <w:name w:val="样式 标题 1 + 黑色 段前: 0.5 行 段后: 0.5 行1"/>
    <w:basedOn w:val="4"/>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1">
    <w:name w:val="Char Char Char Char Char Char Char2"/>
    <w:basedOn w:val="1"/>
    <w:autoRedefine/>
    <w:qFormat/>
    <w:uiPriority w:val="99"/>
    <w:rPr>
      <w:rFonts w:ascii="仿宋_GB2312" w:eastAsia="仿宋_GB2312"/>
      <w:b/>
      <w:sz w:val="32"/>
      <w:szCs w:val="32"/>
    </w:rPr>
  </w:style>
  <w:style w:type="paragraph" w:customStyle="1" w:styleId="802">
    <w:name w:val="五级条标题"/>
    <w:basedOn w:val="803"/>
    <w:next w:val="649"/>
    <w:autoRedefine/>
    <w:qFormat/>
    <w:uiPriority w:val="99"/>
    <w:pPr>
      <w:tabs>
        <w:tab w:val="left" w:pos="1260"/>
        <w:tab w:val="left" w:pos="1680"/>
        <w:tab w:val="left" w:pos="2100"/>
        <w:tab w:val="left" w:pos="2940"/>
        <w:tab w:val="left" w:pos="3360"/>
      </w:tabs>
      <w:ind w:left="3360"/>
      <w:outlineLvl w:val="6"/>
    </w:pPr>
  </w:style>
  <w:style w:type="paragraph" w:customStyle="1" w:styleId="803">
    <w:name w:val="四级条标题"/>
    <w:basedOn w:val="664"/>
    <w:next w:val="649"/>
    <w:autoRedefine/>
    <w:qFormat/>
    <w:uiPriority w:val="99"/>
    <w:pPr>
      <w:tabs>
        <w:tab w:val="left" w:pos="2940"/>
        <w:tab w:val="clear" w:pos="2520"/>
      </w:tabs>
      <w:ind w:left="2940"/>
      <w:outlineLvl w:val="5"/>
    </w:pPr>
  </w:style>
  <w:style w:type="paragraph" w:customStyle="1" w:styleId="804">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5">
    <w:name w:val="Char23"/>
    <w:basedOn w:val="1"/>
    <w:autoRedefine/>
    <w:qFormat/>
    <w:uiPriority w:val="99"/>
    <w:rPr>
      <w:rFonts w:ascii="仿宋_GB2312" w:eastAsia="仿宋_GB2312"/>
      <w:b/>
      <w:sz w:val="32"/>
      <w:szCs w:val="32"/>
    </w:rPr>
  </w:style>
  <w:style w:type="paragraph" w:customStyle="1" w:styleId="806">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7">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8">
    <w:name w:val="首行缩进"/>
    <w:basedOn w:val="1"/>
    <w:autoRedefine/>
    <w:qFormat/>
    <w:uiPriority w:val="99"/>
    <w:pPr>
      <w:spacing w:line="360" w:lineRule="auto"/>
      <w:ind w:firstLine="480" w:firstLineChars="200"/>
    </w:pPr>
    <w:rPr>
      <w:rFonts w:ascii="宋体"/>
      <w:sz w:val="24"/>
      <w:szCs w:val="20"/>
    </w:rPr>
  </w:style>
  <w:style w:type="paragraph" w:customStyle="1" w:styleId="809">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10">
    <w:name w:val="单元格左对齐"/>
    <w:basedOn w:val="1"/>
    <w:autoRedefine/>
    <w:qFormat/>
    <w:uiPriority w:val="99"/>
    <w:pPr>
      <w:adjustRightInd/>
      <w:spacing w:line="360" w:lineRule="auto"/>
    </w:pPr>
    <w:rPr>
      <w:sz w:val="24"/>
    </w:rPr>
  </w:style>
  <w:style w:type="paragraph" w:customStyle="1" w:styleId="811">
    <w:name w:val="正文主体"/>
    <w:basedOn w:val="633"/>
    <w:autoRedefine/>
    <w:qFormat/>
    <w:uiPriority w:val="99"/>
  </w:style>
  <w:style w:type="paragraph" w:customStyle="1" w:styleId="812">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3">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4">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5">
    <w:name w:val="正文（首行缩进2字符）"/>
    <w:basedOn w:val="1"/>
    <w:autoRedefine/>
    <w:qFormat/>
    <w:uiPriority w:val="99"/>
    <w:pPr>
      <w:adjustRightInd/>
      <w:spacing w:line="360" w:lineRule="auto"/>
      <w:ind w:firstLine="480" w:firstLineChars="200"/>
    </w:pPr>
    <w:rPr>
      <w:sz w:val="24"/>
      <w:szCs w:val="20"/>
    </w:rPr>
  </w:style>
  <w:style w:type="paragraph" w:customStyle="1" w:styleId="816">
    <w:name w:val="P1"/>
    <w:basedOn w:val="1"/>
    <w:autoRedefine/>
    <w:qFormat/>
    <w:uiPriority w:val="99"/>
    <w:pPr>
      <w:adjustRightInd/>
      <w:spacing w:line="288" w:lineRule="auto"/>
      <w:ind w:firstLine="425" w:firstLineChars="200"/>
    </w:pPr>
  </w:style>
  <w:style w:type="paragraph" w:customStyle="1" w:styleId="817">
    <w:name w:val="列表内容"/>
    <w:basedOn w:val="1"/>
    <w:next w:val="1"/>
    <w:autoRedefine/>
    <w:qFormat/>
    <w:uiPriority w:val="99"/>
    <w:pPr>
      <w:widowControl/>
      <w:tabs>
        <w:tab w:val="left" w:pos="840"/>
      </w:tabs>
      <w:ind w:left="840" w:hanging="420"/>
      <w:jc w:val="left"/>
    </w:pPr>
    <w:rPr>
      <w:kern w:val="0"/>
      <w:sz w:val="18"/>
    </w:rPr>
  </w:style>
  <w:style w:type="paragraph" w:customStyle="1" w:styleId="818">
    <w:name w:val="Char Char11 Char Char Char1"/>
    <w:basedOn w:val="1"/>
    <w:autoRedefine/>
    <w:qFormat/>
    <w:uiPriority w:val="99"/>
    <w:pPr>
      <w:spacing w:line="360" w:lineRule="auto"/>
    </w:pPr>
    <w:rPr>
      <w:szCs w:val="20"/>
    </w:rPr>
  </w:style>
  <w:style w:type="paragraph" w:customStyle="1" w:styleId="819">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20">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1">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2">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3">
    <w:name w:val="正文文字缩进2字"/>
    <w:basedOn w:val="25"/>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4">
    <w:name w:val="默认段落字体 Para Char Char Char Char"/>
    <w:basedOn w:val="1"/>
    <w:autoRedefine/>
    <w:qFormat/>
    <w:uiPriority w:val="99"/>
    <w:pPr>
      <w:spacing w:line="360" w:lineRule="auto"/>
    </w:pPr>
    <w:rPr>
      <w:szCs w:val="20"/>
    </w:rPr>
  </w:style>
  <w:style w:type="paragraph" w:customStyle="1" w:styleId="825">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6">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7">
    <w:name w:val="Char2 Char Char Char2"/>
    <w:basedOn w:val="1"/>
    <w:autoRedefine/>
    <w:qFormat/>
    <w:uiPriority w:val="99"/>
    <w:rPr>
      <w:rFonts w:ascii="仿宋_GB2312" w:eastAsia="仿宋_GB2312"/>
      <w:b/>
      <w:sz w:val="32"/>
      <w:szCs w:val="32"/>
    </w:rPr>
  </w:style>
  <w:style w:type="paragraph" w:customStyle="1" w:styleId="828">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29">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30">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1">
    <w:name w:val="Char Char4 Char Char"/>
    <w:basedOn w:val="1"/>
    <w:autoRedefine/>
    <w:qFormat/>
    <w:uiPriority w:val="99"/>
    <w:pPr>
      <w:widowControl/>
      <w:adjustRightInd/>
      <w:spacing w:after="160" w:line="240" w:lineRule="exact"/>
      <w:jc w:val="left"/>
    </w:pPr>
  </w:style>
  <w:style w:type="paragraph" w:customStyle="1" w:styleId="832">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3">
    <w:name w:val="Char Char11 Char Char Char2"/>
    <w:basedOn w:val="1"/>
    <w:autoRedefine/>
    <w:qFormat/>
    <w:uiPriority w:val="99"/>
    <w:pPr>
      <w:spacing w:line="360" w:lineRule="auto"/>
    </w:pPr>
    <w:rPr>
      <w:szCs w:val="20"/>
    </w:rPr>
  </w:style>
  <w:style w:type="paragraph" w:customStyle="1" w:styleId="834">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5">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6">
    <w:name w:val="数字标题4"/>
    <w:basedOn w:val="7"/>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7">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8">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39">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0">
    <w:name w:val="Char311"/>
    <w:basedOn w:val="1"/>
    <w:autoRedefine/>
    <w:qFormat/>
    <w:uiPriority w:val="99"/>
    <w:pPr>
      <w:adjustRightInd/>
      <w:ind w:firstLine="200" w:firstLineChars="200"/>
    </w:pPr>
    <w:rPr>
      <w:rFonts w:ascii="Tahoma" w:hAnsi="Tahoma"/>
      <w:sz w:val="24"/>
      <w:szCs w:val="20"/>
    </w:rPr>
  </w:style>
  <w:style w:type="paragraph" w:customStyle="1" w:styleId="841">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2">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3">
    <w:name w:val="正文 内标"/>
    <w:basedOn w:val="758"/>
    <w:autoRedefine/>
    <w:qFormat/>
    <w:uiPriority w:val="99"/>
    <w:pPr>
      <w:tabs>
        <w:tab w:val="left" w:pos="0"/>
      </w:tabs>
      <w:ind w:left="900" w:firstLine="0" w:firstLineChars="0"/>
    </w:pPr>
  </w:style>
  <w:style w:type="paragraph" w:customStyle="1" w:styleId="844">
    <w:name w:val="Bulleted List"/>
    <w:basedOn w:val="1"/>
    <w:autoRedefine/>
    <w:qFormat/>
    <w:uiPriority w:val="99"/>
    <w:pPr>
      <w:tabs>
        <w:tab w:val="left" w:pos="1260"/>
      </w:tabs>
      <w:adjustRightInd/>
      <w:ind w:left="1260" w:hanging="420"/>
    </w:pPr>
  </w:style>
  <w:style w:type="paragraph" w:customStyle="1" w:styleId="845">
    <w:name w:val="样式 正文文本缩进 2 + 仿宋_GB2312 黑色 行距: 1.5 倍行距"/>
    <w:basedOn w:val="40"/>
    <w:autoRedefine/>
    <w:qFormat/>
    <w:uiPriority w:val="99"/>
    <w:pPr>
      <w:adjustRightInd/>
      <w:ind w:firstLine="560" w:firstLineChars="200"/>
      <w:textAlignment w:val="auto"/>
    </w:pPr>
    <w:rPr>
      <w:rFonts w:hAnsi="宋体" w:cs="宋体"/>
      <w:color w:val="000000"/>
      <w:kern w:val="2"/>
      <w:sz w:val="24"/>
    </w:rPr>
  </w:style>
  <w:style w:type="paragraph" w:customStyle="1" w:styleId="846">
    <w:name w:val="样式 左侧:  0.85 厘米"/>
    <w:basedOn w:val="1"/>
    <w:autoRedefine/>
    <w:qFormat/>
    <w:uiPriority w:val="99"/>
    <w:pPr>
      <w:adjustRightInd/>
      <w:spacing w:line="360" w:lineRule="auto"/>
    </w:pPr>
    <w:rPr>
      <w:rFonts w:cs="宋体"/>
      <w:sz w:val="24"/>
      <w:szCs w:val="20"/>
    </w:rPr>
  </w:style>
  <w:style w:type="paragraph" w:customStyle="1" w:styleId="847">
    <w:name w:val="Char Char Char Char Char Char Char Char Char Char Char Char1 Char"/>
    <w:basedOn w:val="1"/>
    <w:autoRedefine/>
    <w:qFormat/>
    <w:uiPriority w:val="99"/>
    <w:rPr>
      <w:rFonts w:ascii="Tahoma" w:hAnsi="Tahoma" w:cs="仿宋_GB2312"/>
      <w:sz w:val="24"/>
      <w:szCs w:val="20"/>
    </w:rPr>
  </w:style>
  <w:style w:type="paragraph" w:customStyle="1" w:styleId="848">
    <w:name w:val="正文1"/>
    <w:basedOn w:val="34"/>
    <w:autoRedefine/>
    <w:qFormat/>
    <w:uiPriority w:val="99"/>
    <w:pPr>
      <w:ind w:left="0" w:leftChars="0" w:firstLine="480" w:firstLineChars="200"/>
    </w:pPr>
    <w:rPr>
      <w:rFonts w:ascii="仿宋_GB2312" w:hAnsi="Courier New" w:eastAsia="仿宋_GB2312"/>
      <w:kern w:val="28"/>
      <w:sz w:val="24"/>
    </w:rPr>
  </w:style>
  <w:style w:type="paragraph" w:customStyle="1" w:styleId="849">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50">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1">
    <w:name w:val="模板普通正文"/>
    <w:basedOn w:val="27"/>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2">
    <w:name w:val="Char Char1 Char Char Char Char Char Char"/>
    <w:basedOn w:val="1"/>
    <w:autoRedefine/>
    <w:qFormat/>
    <w:uiPriority w:val="99"/>
    <w:rPr>
      <w:rFonts w:ascii="仿宋_GB2312" w:eastAsia="仿宋_GB2312"/>
      <w:b/>
      <w:sz w:val="32"/>
      <w:szCs w:val="20"/>
    </w:rPr>
  </w:style>
  <w:style w:type="paragraph" w:customStyle="1" w:styleId="853">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4">
    <w:name w:val="Char Char1 Char Char Char Char Char Char2"/>
    <w:basedOn w:val="1"/>
    <w:autoRedefine/>
    <w:qFormat/>
    <w:uiPriority w:val="99"/>
    <w:rPr>
      <w:rFonts w:ascii="仿宋_GB2312" w:eastAsia="仿宋_GB2312"/>
      <w:b/>
      <w:sz w:val="32"/>
      <w:szCs w:val="20"/>
    </w:rPr>
  </w:style>
  <w:style w:type="paragraph" w:customStyle="1" w:styleId="855">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6">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7">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8">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9">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60">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1">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2">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3">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4">
    <w:name w:val="Char31"/>
    <w:basedOn w:val="1"/>
    <w:autoRedefine/>
    <w:qFormat/>
    <w:uiPriority w:val="99"/>
    <w:pPr>
      <w:adjustRightInd/>
    </w:pPr>
    <w:rPr>
      <w:rFonts w:ascii="仿宋_GB2312" w:eastAsia="仿宋_GB2312"/>
      <w:b/>
      <w:sz w:val="32"/>
      <w:szCs w:val="32"/>
    </w:rPr>
  </w:style>
  <w:style w:type="paragraph" w:customStyle="1" w:styleId="865">
    <w:name w:val="样式 标题 3h33rd level3Heading 3 - oldH3l3CTheading 3Headin..."/>
    <w:basedOn w:val="6"/>
    <w:autoRedefine/>
    <w:qFormat/>
    <w:uiPriority w:val="99"/>
    <w:pPr>
      <w:snapToGrid w:val="0"/>
      <w:ind w:left="0" w:firstLine="0"/>
      <w:jc w:val="left"/>
    </w:pPr>
    <w:rPr>
      <w:rFonts w:eastAsia="黑体" w:cs="宋体"/>
      <w:sz w:val="28"/>
      <w:szCs w:val="20"/>
    </w:rPr>
  </w:style>
  <w:style w:type="paragraph" w:customStyle="1" w:styleId="866">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7">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8">
    <w:name w:val="Char Char1"/>
    <w:basedOn w:val="1"/>
    <w:autoRedefine/>
    <w:qFormat/>
    <w:uiPriority w:val="99"/>
    <w:pPr>
      <w:widowControl/>
      <w:spacing w:after="160" w:line="240" w:lineRule="exact"/>
      <w:jc w:val="left"/>
    </w:pPr>
    <w:rPr>
      <w:rFonts w:eastAsia="仿宋_GB2312"/>
      <w:sz w:val="28"/>
    </w:rPr>
  </w:style>
  <w:style w:type="paragraph" w:customStyle="1" w:styleId="869">
    <w:name w:val="Char21"/>
    <w:basedOn w:val="1"/>
    <w:autoRedefine/>
    <w:qFormat/>
    <w:uiPriority w:val="99"/>
    <w:pPr>
      <w:adjustRightInd/>
      <w:ind w:firstLine="200" w:firstLineChars="200"/>
    </w:pPr>
    <w:rPr>
      <w:rFonts w:ascii="仿宋_GB2312" w:eastAsia="仿宋_GB2312"/>
      <w:b/>
      <w:sz w:val="32"/>
      <w:szCs w:val="32"/>
    </w:rPr>
  </w:style>
  <w:style w:type="paragraph" w:customStyle="1" w:styleId="870">
    <w:name w:val="列表段落1"/>
    <w:basedOn w:val="1"/>
    <w:autoRedefine/>
    <w:qFormat/>
    <w:uiPriority w:val="99"/>
    <w:pPr>
      <w:adjustRightInd/>
      <w:ind w:right="238" w:firstLine="420"/>
    </w:pPr>
    <w:rPr>
      <w:rFonts w:ascii="Calibri" w:hAnsi="Calibri"/>
      <w:sz w:val="24"/>
    </w:rPr>
  </w:style>
  <w:style w:type="paragraph" w:customStyle="1" w:styleId="871">
    <w:name w:val="Char Char110"/>
    <w:basedOn w:val="1"/>
    <w:autoRedefine/>
    <w:qFormat/>
    <w:uiPriority w:val="99"/>
    <w:pPr>
      <w:spacing w:line="360" w:lineRule="auto"/>
    </w:pPr>
    <w:rPr>
      <w:rFonts w:ascii="Tahoma" w:hAnsi="Tahoma"/>
      <w:sz w:val="24"/>
      <w:szCs w:val="20"/>
    </w:rPr>
  </w:style>
  <w:style w:type="paragraph" w:customStyle="1" w:styleId="872">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3">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4">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5">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6">
    <w:name w:val="Char Char Char Char Char Char Char Char Char Char Char Char1 Char2"/>
    <w:basedOn w:val="1"/>
    <w:autoRedefine/>
    <w:qFormat/>
    <w:uiPriority w:val="99"/>
    <w:rPr>
      <w:rFonts w:ascii="Tahoma" w:hAnsi="Tahoma" w:cs="仿宋_GB2312"/>
      <w:sz w:val="24"/>
      <w:szCs w:val="20"/>
    </w:rPr>
  </w:style>
  <w:style w:type="paragraph" w:customStyle="1" w:styleId="877">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8">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79">
    <w:name w:val="样式 列表编号 + 段后: 0.5 行"/>
    <w:basedOn w:val="16"/>
    <w:autoRedefine/>
    <w:qFormat/>
    <w:uiPriority w:val="99"/>
    <w:pPr>
      <w:tabs>
        <w:tab w:val="clear" w:pos="390"/>
        <w:tab w:val="clear" w:pos="454"/>
      </w:tabs>
      <w:ind w:left="840" w:hanging="420"/>
      <w:contextualSpacing/>
    </w:pPr>
    <w:rPr>
      <w:rFonts w:cs="宋体"/>
    </w:rPr>
  </w:style>
  <w:style w:type="paragraph" w:customStyle="1" w:styleId="880">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1">
    <w:name w:val="_Style 12"/>
    <w:basedOn w:val="20"/>
    <w:autoRedefine/>
    <w:qFormat/>
    <w:uiPriority w:val="99"/>
    <w:pPr>
      <w:snapToGrid w:val="0"/>
      <w:spacing w:line="360" w:lineRule="auto"/>
    </w:pPr>
  </w:style>
  <w:style w:type="paragraph" w:customStyle="1" w:styleId="882">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3">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4">
    <w:name w:val="_Style 94"/>
    <w:basedOn w:val="1"/>
    <w:next w:val="284"/>
    <w:autoRedefine/>
    <w:qFormat/>
    <w:uiPriority w:val="99"/>
    <w:pPr>
      <w:adjustRightInd/>
      <w:spacing w:line="360" w:lineRule="auto"/>
      <w:ind w:firstLine="200" w:firstLineChars="200"/>
    </w:pPr>
    <w:rPr>
      <w:rFonts w:ascii="Calibri" w:hAnsi="Calibri"/>
      <w:sz w:val="28"/>
      <w:szCs w:val="20"/>
    </w:rPr>
  </w:style>
  <w:style w:type="paragraph" w:customStyle="1" w:styleId="885">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6">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7">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8">
    <w:name w:val="3级标题"/>
    <w:basedOn w:val="680"/>
    <w:autoRedefine/>
    <w:qFormat/>
    <w:uiPriority w:val="99"/>
    <w:pPr>
      <w:outlineLvl w:val="2"/>
    </w:pPr>
  </w:style>
  <w:style w:type="paragraph" w:customStyle="1" w:styleId="889">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0">
    <w:name w:val="Char1 Char Char Char3"/>
    <w:basedOn w:val="1"/>
    <w:autoRedefine/>
    <w:qFormat/>
    <w:uiPriority w:val="99"/>
    <w:pPr>
      <w:adjustRightInd/>
      <w:ind w:firstLine="200" w:firstLineChars="200"/>
    </w:pPr>
    <w:rPr>
      <w:rFonts w:ascii="Tahoma" w:hAnsi="Tahoma"/>
      <w:sz w:val="24"/>
      <w:szCs w:val="20"/>
    </w:rPr>
  </w:style>
  <w:style w:type="paragraph" w:customStyle="1" w:styleId="891">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2">
    <w:name w:val="MM Empty"/>
    <w:basedOn w:val="1"/>
    <w:autoRedefine/>
    <w:qFormat/>
    <w:uiPriority w:val="99"/>
    <w:pPr>
      <w:adjustRightInd/>
    </w:pPr>
  </w:style>
  <w:style w:type="paragraph" w:customStyle="1" w:styleId="893">
    <w:name w:val="Char24"/>
    <w:basedOn w:val="1"/>
    <w:autoRedefine/>
    <w:qFormat/>
    <w:uiPriority w:val="99"/>
    <w:rPr>
      <w:rFonts w:ascii="仿宋_GB2312" w:eastAsia="仿宋_GB2312"/>
      <w:b/>
      <w:sz w:val="32"/>
      <w:szCs w:val="32"/>
    </w:rPr>
  </w:style>
  <w:style w:type="paragraph" w:customStyle="1" w:styleId="894">
    <w:name w:val="正文箭头"/>
    <w:basedOn w:val="547"/>
    <w:autoRedefine/>
    <w:qFormat/>
    <w:uiPriority w:val="99"/>
  </w:style>
  <w:style w:type="paragraph" w:customStyle="1" w:styleId="895">
    <w:name w:val="U_编号2"/>
    <w:basedOn w:val="1"/>
    <w:autoRedefine/>
    <w:qFormat/>
    <w:uiPriority w:val="99"/>
    <w:pPr>
      <w:tabs>
        <w:tab w:val="left" w:pos="785"/>
      </w:tabs>
      <w:adjustRightInd/>
      <w:spacing w:beforeLines="10" w:afterLines="10" w:line="300" w:lineRule="auto"/>
    </w:pPr>
    <w:rPr>
      <w:sz w:val="24"/>
    </w:rPr>
  </w:style>
  <w:style w:type="paragraph" w:customStyle="1" w:styleId="896">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7">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8">
    <w:name w:val="标书标题3"/>
    <w:basedOn w:val="6"/>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9">
    <w:name w:val="TOC 标题11"/>
    <w:basedOn w:val="4"/>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0">
    <w:name w:val="_Style 1"/>
    <w:basedOn w:val="1"/>
    <w:autoRedefine/>
    <w:qFormat/>
    <w:uiPriority w:val="99"/>
    <w:pPr>
      <w:adjustRightInd/>
      <w:ind w:firstLine="420" w:firstLineChars="200"/>
    </w:pPr>
    <w:rPr>
      <w:rFonts w:eastAsia="仿宋_GB2312"/>
      <w:sz w:val="28"/>
    </w:rPr>
  </w:style>
  <w:style w:type="paragraph" w:customStyle="1" w:styleId="901">
    <w:name w:val="表格 内容"/>
    <w:basedOn w:val="737"/>
    <w:autoRedefine/>
    <w:qFormat/>
    <w:uiPriority w:val="99"/>
    <w:rPr>
      <w:b w:val="0"/>
      <w:sz w:val="20"/>
    </w:rPr>
  </w:style>
  <w:style w:type="paragraph" w:customStyle="1" w:styleId="902">
    <w:name w:val="正文首行缩进1"/>
    <w:basedOn w:val="25"/>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3">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4">
    <w:name w:val="数字标题5"/>
    <w:basedOn w:val="8"/>
    <w:next w:val="1"/>
    <w:autoRedefine/>
    <w:qFormat/>
    <w:uiPriority w:val="99"/>
    <w:pPr>
      <w:tabs>
        <w:tab w:val="left" w:pos="1080"/>
      </w:tabs>
      <w:ind w:left="1080" w:hanging="1080"/>
    </w:pPr>
  </w:style>
  <w:style w:type="paragraph" w:customStyle="1" w:styleId="905">
    <w:name w:val="数字标题1"/>
    <w:basedOn w:val="4"/>
    <w:next w:val="1"/>
    <w:autoRedefine/>
    <w:qFormat/>
    <w:uiPriority w:val="99"/>
    <w:pPr>
      <w:tabs>
        <w:tab w:val="left" w:pos="480"/>
      </w:tabs>
      <w:ind w:left="480" w:hanging="480"/>
    </w:pPr>
  </w:style>
  <w:style w:type="paragraph" w:customStyle="1" w:styleId="906">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7">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8">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9">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0">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1">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2">
    <w:name w:val="0"/>
    <w:basedOn w:val="1"/>
    <w:autoRedefine/>
    <w:qFormat/>
    <w:uiPriority w:val="99"/>
    <w:pPr>
      <w:widowControl/>
    </w:pPr>
    <w:rPr>
      <w:kern w:val="0"/>
      <w:sz w:val="24"/>
      <w:szCs w:val="20"/>
    </w:rPr>
  </w:style>
  <w:style w:type="paragraph" w:customStyle="1" w:styleId="913">
    <w:name w:val="Char Char113"/>
    <w:basedOn w:val="1"/>
    <w:autoRedefine/>
    <w:qFormat/>
    <w:uiPriority w:val="99"/>
    <w:pPr>
      <w:widowControl/>
      <w:spacing w:after="160" w:line="240" w:lineRule="exact"/>
      <w:jc w:val="left"/>
    </w:pPr>
    <w:rPr>
      <w:rFonts w:eastAsia="仿宋_GB2312"/>
      <w:sz w:val="28"/>
    </w:rPr>
  </w:style>
  <w:style w:type="paragraph" w:customStyle="1" w:styleId="914">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5">
    <w:name w:val="_Style 8"/>
    <w:basedOn w:val="1"/>
    <w:autoRedefine/>
    <w:qFormat/>
    <w:uiPriority w:val="99"/>
    <w:pPr>
      <w:adjustRightInd/>
      <w:ind w:firstLine="420" w:firstLineChars="200"/>
    </w:pPr>
    <w:rPr>
      <w:rFonts w:eastAsia="仿宋_GB2312"/>
      <w:sz w:val="28"/>
    </w:rPr>
  </w:style>
  <w:style w:type="paragraph" w:customStyle="1" w:styleId="916">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8">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autoRedefine/>
    <w:qFormat/>
    <w:uiPriority w:val="99"/>
    <w:pPr>
      <w:widowControl/>
      <w:spacing w:after="160" w:line="240" w:lineRule="exact"/>
      <w:jc w:val="left"/>
    </w:pPr>
    <w:rPr>
      <w:rFonts w:eastAsia="仿宋_GB2312"/>
      <w:sz w:val="28"/>
    </w:rPr>
  </w:style>
  <w:style w:type="paragraph" w:customStyle="1" w:styleId="922">
    <w:name w:val="正文 图"/>
    <w:basedOn w:val="453"/>
    <w:autoRedefine/>
    <w:qFormat/>
    <w:uiPriority w:val="99"/>
    <w:pPr>
      <w:adjustRightInd/>
      <w:spacing w:before="0"/>
      <w:ind w:firstLine="0"/>
      <w:jc w:val="center"/>
    </w:pPr>
    <w:rPr>
      <w:rFonts w:ascii="微软雅黑" w:hAnsi="微软雅黑"/>
    </w:rPr>
  </w:style>
  <w:style w:type="paragraph" w:customStyle="1" w:styleId="923">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71"/>
    <w:autoRedefine/>
    <w:qFormat/>
    <w:uiPriority w:val="99"/>
    <w:pPr>
      <w:ind w:left="0"/>
    </w:pPr>
  </w:style>
  <w:style w:type="paragraph" w:customStyle="1" w:styleId="926">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8">
    <w:name w:val="注释"/>
    <w:basedOn w:val="1"/>
    <w:autoRedefine/>
    <w:qFormat/>
    <w:uiPriority w:val="99"/>
    <w:pPr>
      <w:adjustRightInd/>
      <w:spacing w:line="360" w:lineRule="auto"/>
      <w:ind w:firstLine="480"/>
    </w:pPr>
    <w:rPr>
      <w:sz w:val="24"/>
    </w:rPr>
  </w:style>
  <w:style w:type="table" w:customStyle="1" w:styleId="929">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5">
    <w:name w:val="列出段落111"/>
    <w:basedOn w:val="1"/>
    <w:autoRedefine/>
    <w:qFormat/>
    <w:uiPriority w:val="99"/>
    <w:pPr>
      <w:ind w:firstLine="420" w:firstLineChars="200"/>
    </w:pPr>
  </w:style>
  <w:style w:type="character" w:customStyle="1" w:styleId="936">
    <w:name w:val="交叉引用"/>
    <w:autoRedefine/>
    <w:qFormat/>
    <w:uiPriority w:val="99"/>
    <w:rPr>
      <w:rFonts w:ascii="Arial" w:hAnsi="Arial" w:eastAsia="黑体"/>
      <w:snapToGrid w:val="0"/>
      <w:color w:val="0000FF"/>
      <w:kern w:val="0"/>
      <w:sz w:val="21"/>
      <w:u w:val="single"/>
      <w:lang w:val="en-US" w:eastAsia="zh-CN"/>
    </w:rPr>
  </w:style>
  <w:style w:type="character" w:customStyle="1" w:styleId="937">
    <w:name w:val="正文缩进 字符1"/>
    <w:autoRedefine/>
    <w:qFormat/>
    <w:uiPriority w:val="99"/>
    <w:rPr>
      <w:rFonts w:ascii="宋体" w:eastAsia="宋体"/>
      <w:snapToGrid w:val="0"/>
      <w:color w:val="000000"/>
      <w:kern w:val="28"/>
      <w:sz w:val="28"/>
      <w:lang w:val="en-US" w:eastAsia="zh-CN"/>
    </w:rPr>
  </w:style>
  <w:style w:type="character" w:customStyle="1" w:styleId="938">
    <w:name w:val="页脚 字符1"/>
    <w:autoRedefine/>
    <w:qFormat/>
    <w:locked/>
    <w:uiPriority w:val="99"/>
    <w:rPr>
      <w:kern w:val="2"/>
      <w:sz w:val="18"/>
    </w:rPr>
  </w:style>
  <w:style w:type="character" w:customStyle="1" w:styleId="939">
    <w:name w:val="页眉 字符1"/>
    <w:autoRedefine/>
    <w:qFormat/>
    <w:uiPriority w:val="99"/>
    <w:rPr>
      <w:kern w:val="2"/>
      <w:sz w:val="18"/>
    </w:rPr>
  </w:style>
  <w:style w:type="character" w:customStyle="1" w:styleId="940">
    <w:name w:val="No Spacing Char1"/>
    <w:link w:val="493"/>
    <w:autoRedefine/>
    <w:qFormat/>
    <w:locked/>
    <w:uiPriority w:val="99"/>
    <w:rPr>
      <w:kern w:val="2"/>
      <w:sz w:val="22"/>
    </w:rPr>
  </w:style>
  <w:style w:type="character" w:customStyle="1" w:styleId="941">
    <w:name w:val="标准文本 Char Char"/>
    <w:link w:val="942"/>
    <w:autoRedefine/>
    <w:qFormat/>
    <w:locked/>
    <w:uiPriority w:val="99"/>
    <w:rPr>
      <w:kern w:val="2"/>
      <w:sz w:val="24"/>
    </w:rPr>
  </w:style>
  <w:style w:type="paragraph" w:customStyle="1" w:styleId="942">
    <w:name w:val="标准文本"/>
    <w:basedOn w:val="1"/>
    <w:link w:val="941"/>
    <w:autoRedefine/>
    <w:qFormat/>
    <w:uiPriority w:val="99"/>
    <w:pPr>
      <w:adjustRightInd/>
      <w:spacing w:line="360" w:lineRule="auto"/>
      <w:ind w:firstLine="480" w:firstLineChars="200"/>
    </w:pPr>
    <w:rPr>
      <w:sz w:val="24"/>
      <w:szCs w:val="20"/>
    </w:rPr>
  </w:style>
  <w:style w:type="character" w:customStyle="1" w:styleId="943">
    <w:name w:val="Char Char213"/>
    <w:autoRedefine/>
    <w:qFormat/>
    <w:uiPriority w:val="99"/>
    <w:rPr>
      <w:rFonts w:eastAsia="Times New Roman"/>
      <w:b/>
      <w:kern w:val="44"/>
      <w:sz w:val="44"/>
      <w:lang w:val="en-US" w:eastAsia="zh-CN"/>
    </w:rPr>
  </w:style>
  <w:style w:type="character" w:customStyle="1" w:styleId="944">
    <w:name w:val="apple-style-span"/>
    <w:autoRedefine/>
    <w:qFormat/>
    <w:uiPriority w:val="99"/>
    <w:rPr>
      <w:rFonts w:ascii="Arial" w:hAnsi="Arial" w:eastAsia="黑体"/>
      <w:snapToGrid w:val="0"/>
      <w:kern w:val="0"/>
      <w:sz w:val="21"/>
    </w:rPr>
  </w:style>
  <w:style w:type="character" w:customStyle="1" w:styleId="945">
    <w:name w:val="15"/>
    <w:autoRedefine/>
    <w:qFormat/>
    <w:uiPriority w:val="99"/>
    <w:rPr>
      <w:rFonts w:ascii="Calibri" w:hAnsi="Calibri"/>
      <w:color w:val="0000FF"/>
      <w:u w:val="single"/>
    </w:rPr>
  </w:style>
  <w:style w:type="character" w:customStyle="1" w:styleId="946">
    <w:name w:val="16"/>
    <w:autoRedefine/>
    <w:qFormat/>
    <w:uiPriority w:val="99"/>
    <w:rPr>
      <w:rFonts w:ascii="宋体" w:hAnsi="宋体" w:eastAsia="宋体"/>
      <w:color w:val="000000"/>
      <w:sz w:val="20"/>
    </w:rPr>
  </w:style>
  <w:style w:type="character" w:customStyle="1" w:styleId="947">
    <w:name w:val="edui-unclickable"/>
    <w:autoRedefine/>
    <w:qFormat/>
    <w:uiPriority w:val="99"/>
    <w:rPr>
      <w:color w:val="808080"/>
    </w:rPr>
  </w:style>
  <w:style w:type="character" w:customStyle="1" w:styleId="948">
    <w:name w:val="tpc_content1"/>
    <w:autoRedefine/>
    <w:qFormat/>
    <w:uiPriority w:val="99"/>
    <w:rPr>
      <w:sz w:val="20"/>
    </w:rPr>
  </w:style>
  <w:style w:type="character" w:customStyle="1" w:styleId="949">
    <w:name w:val="正文文本缩进 字符"/>
    <w:autoRedefine/>
    <w:qFormat/>
    <w:uiPriority w:val="99"/>
    <w:rPr>
      <w:rFonts w:ascii="Century Gothic" w:hAnsi="Century Gothic"/>
      <w:kern w:val="2"/>
      <w:sz w:val="24"/>
      <w:lang w:val="en-US" w:eastAsia="zh-CN"/>
    </w:rPr>
  </w:style>
  <w:style w:type="character" w:customStyle="1" w:styleId="950">
    <w:name w:val="正文文本 2 字符"/>
    <w:autoRedefine/>
    <w:qFormat/>
    <w:uiPriority w:val="99"/>
    <w:rPr>
      <w:rFonts w:ascii="Arial" w:hAnsi="Arial" w:eastAsia="宋体"/>
      <w:kern w:val="2"/>
      <w:sz w:val="24"/>
      <w:lang w:val="en-US" w:eastAsia="zh-CN"/>
    </w:rPr>
  </w:style>
  <w:style w:type="character" w:customStyle="1" w:styleId="951">
    <w:name w:val="edui-clickable2"/>
    <w:autoRedefine/>
    <w:qFormat/>
    <w:uiPriority w:val="99"/>
    <w:rPr>
      <w:color w:val="0000FF"/>
      <w:u w:val="single"/>
    </w:rPr>
  </w:style>
  <w:style w:type="character" w:customStyle="1" w:styleId="952">
    <w:name w:val="style1"/>
    <w:autoRedefine/>
    <w:qFormat/>
    <w:uiPriority w:val="99"/>
    <w:rPr>
      <w:rFonts w:ascii="Arial" w:hAnsi="Arial" w:eastAsia="黑体"/>
      <w:snapToGrid w:val="0"/>
      <w:kern w:val="0"/>
      <w:sz w:val="21"/>
    </w:rPr>
  </w:style>
  <w:style w:type="character" w:customStyle="1" w:styleId="953">
    <w:name w:val="zbggtop11 style5"/>
    <w:autoRedefine/>
    <w:qFormat/>
    <w:uiPriority w:val="99"/>
    <w:rPr>
      <w:rFonts w:ascii="Arial" w:hAnsi="Arial" w:eastAsia="黑体"/>
      <w:snapToGrid w:val="0"/>
      <w:kern w:val="0"/>
      <w:sz w:val="21"/>
    </w:rPr>
  </w:style>
  <w:style w:type="character" w:customStyle="1" w:styleId="954">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5">
    <w:name w:val="bulletintext1"/>
    <w:autoRedefine/>
    <w:qFormat/>
    <w:uiPriority w:val="99"/>
    <w:rPr>
      <w:color w:val="000000"/>
      <w:sz w:val="18"/>
    </w:rPr>
  </w:style>
  <w:style w:type="paragraph" w:customStyle="1" w:styleId="956">
    <w:name w:val="_Style 947"/>
    <w:basedOn w:val="1"/>
    <w:next w:val="284"/>
    <w:autoRedefine/>
    <w:qFormat/>
    <w:uiPriority w:val="99"/>
    <w:pPr>
      <w:adjustRightInd/>
      <w:ind w:firstLine="420" w:firstLineChars="200"/>
    </w:pPr>
  </w:style>
  <w:style w:type="paragraph" w:customStyle="1" w:styleId="957">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8">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59">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0">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1">
    <w:name w:val="节"/>
    <w:basedOn w:val="5"/>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2">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3">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4">
    <w:name w:val="Table Paragraph"/>
    <w:basedOn w:val="1"/>
    <w:autoRedefine/>
    <w:qFormat/>
    <w:uiPriority w:val="99"/>
    <w:pPr>
      <w:adjustRightInd/>
      <w:jc w:val="left"/>
    </w:pPr>
    <w:rPr>
      <w:rFonts w:ascii="Calibri" w:hAnsi="Calibri"/>
      <w:kern w:val="0"/>
      <w:sz w:val="22"/>
      <w:szCs w:val="22"/>
      <w:lang w:eastAsia="en-US"/>
    </w:rPr>
  </w:style>
  <w:style w:type="paragraph" w:customStyle="1" w:styleId="965">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6">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8">
    <w:name w:val="ksfind_class_select1"/>
    <w:basedOn w:val="73"/>
    <w:autoRedefine/>
    <w:qFormat/>
    <w:uiPriority w:val="99"/>
    <w:rPr>
      <w:rFonts w:cs="Times New Roman"/>
      <w:color w:val="000000"/>
      <w:shd w:val="clear" w:color="auto" w:fill="EFD200"/>
    </w:rPr>
  </w:style>
  <w:style w:type="character" w:customStyle="1" w:styleId="969">
    <w:name w:val="font71"/>
    <w:autoRedefine/>
    <w:qFormat/>
    <w:uiPriority w:val="99"/>
    <w:rPr>
      <w:rFonts w:ascii="宋体" w:hAnsi="宋体" w:eastAsia="宋体"/>
      <w:color w:val="000000"/>
      <w:sz w:val="22"/>
      <w:u w:val="none"/>
    </w:rPr>
  </w:style>
  <w:style w:type="character" w:customStyle="1" w:styleId="970">
    <w:name w:val="font91"/>
    <w:autoRedefine/>
    <w:qFormat/>
    <w:uiPriority w:val="99"/>
    <w:rPr>
      <w:rFonts w:ascii="仿宋" w:hAnsi="仿宋" w:eastAsia="仿宋"/>
      <w:color w:val="000000"/>
      <w:sz w:val="22"/>
      <w:u w:val="none"/>
    </w:rPr>
  </w:style>
  <w:style w:type="character" w:customStyle="1" w:styleId="971">
    <w:name w:val="Unresolved Mention"/>
    <w:basedOn w:val="73"/>
    <w:autoRedefine/>
    <w:semiHidden/>
    <w:qFormat/>
    <w:uiPriority w:val="99"/>
    <w:rPr>
      <w:rFonts w:cs="Times New Roman"/>
      <w:color w:val="605E5C"/>
      <w:shd w:val="clear" w:color="auto" w:fill="E1DFDD"/>
    </w:rPr>
  </w:style>
  <w:style w:type="character" w:customStyle="1" w:styleId="972">
    <w:name w:val="页码11"/>
    <w:basedOn w:val="973"/>
    <w:autoRedefine/>
    <w:qFormat/>
    <w:uiPriority w:val="99"/>
    <w:rPr>
      <w:rFonts w:cs="Times New Roman"/>
      <w:lang w:val="zh-TW" w:eastAsia="zh-TW"/>
    </w:rPr>
  </w:style>
  <w:style w:type="character" w:customStyle="1" w:styleId="973">
    <w:name w:val="无 A"/>
    <w:autoRedefine/>
    <w:qFormat/>
    <w:uiPriority w:val="99"/>
    <w:rPr>
      <w:lang w:val="en-US"/>
    </w:rPr>
  </w:style>
  <w:style w:type="character" w:customStyle="1" w:styleId="974">
    <w:name w:val="无"/>
    <w:autoRedefine/>
    <w:qFormat/>
    <w:uiPriority w:val="99"/>
  </w:style>
  <w:style w:type="paragraph" w:customStyle="1" w:styleId="975">
    <w:name w:val="正文首行缩进 21"/>
    <w:basedOn w:val="976"/>
    <w:autoRedefine/>
    <w:qFormat/>
    <w:uiPriority w:val="0"/>
    <w:pPr>
      <w:ind w:firstLine="420"/>
    </w:pPr>
    <w:rPr>
      <w:rFonts w:ascii="Times New Roman" w:hAnsi="Times New Roman" w:eastAsia="宋体" w:cs="宋体"/>
    </w:rPr>
  </w:style>
  <w:style w:type="paragraph" w:customStyle="1" w:styleId="976">
    <w:name w:val="正文文本缩进1"/>
    <w:basedOn w:val="1"/>
    <w:next w:val="1"/>
    <w:autoRedefine/>
    <w:qFormat/>
    <w:uiPriority w:val="0"/>
    <w:pPr>
      <w:spacing w:after="120"/>
      <w:ind w:left="420" w:leftChars="200"/>
    </w:pPr>
  </w:style>
  <w:style w:type="paragraph" w:customStyle="1" w:styleId="977">
    <w:name w:val="Body Text First Indent 2"/>
    <w:basedOn w:val="978"/>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8">
    <w:name w:val="Body Text Indent"/>
    <w:basedOn w:val="1"/>
    <w:next w:val="1"/>
    <w:autoRedefine/>
    <w:qFormat/>
    <w:uiPriority w:val="0"/>
    <w:pPr>
      <w:spacing w:after="120" w:afterLines="0"/>
      <w:ind w:left="420" w:leftChars="200"/>
    </w:pPr>
    <w:rPr>
      <w:color w:val="000000"/>
      <w:sz w:val="21"/>
      <w:szCs w:val="21"/>
    </w:rPr>
  </w:style>
  <w:style w:type="paragraph" w:customStyle="1" w:styleId="979">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0">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1">
    <w:name w:val="报告正文"/>
    <w:basedOn w:val="1"/>
    <w:autoRedefine/>
    <w:qFormat/>
    <w:uiPriority w:val="99"/>
    <w:pPr>
      <w:spacing w:line="360" w:lineRule="auto"/>
      <w:ind w:firstLine="200" w:firstLineChars="200"/>
    </w:pPr>
    <w:rPr>
      <w:spacing w:val="14"/>
      <w:kern w:val="0"/>
      <w:sz w:val="20"/>
      <w:szCs w:val="20"/>
    </w:rPr>
  </w:style>
  <w:style w:type="paragraph" w:customStyle="1" w:styleId="982">
    <w:name w:val=" Char3 Char Char Char"/>
    <w:basedOn w:val="1"/>
    <w:autoRedefine/>
    <w:qFormat/>
    <w:uiPriority w:val="0"/>
    <w:rPr>
      <w:rFonts w:ascii="Tahoma" w:hAnsi="Tahoma" w:eastAsia="宋体" w:cs="Times New Roman"/>
      <w:color w:val="auto"/>
      <w:kern w:val="2"/>
      <w:sz w:val="24"/>
      <w:szCs w:val="20"/>
    </w:rPr>
  </w:style>
  <w:style w:type="paragraph" w:customStyle="1" w:styleId="983">
    <w:name w:val="正文文本首行缩进11"/>
    <w:basedOn w:val="25"/>
    <w:autoRedefine/>
    <w:qFormat/>
    <w:uiPriority w:val="0"/>
    <w:pPr>
      <w:ind w:firstLine="420" w:firstLineChars="100"/>
    </w:pPr>
  </w:style>
  <w:style w:type="paragraph" w:customStyle="1" w:styleId="984">
    <w:name w:val="index 5"/>
    <w:basedOn w:val="1"/>
    <w:next w:val="1"/>
    <w:autoRedefine/>
    <w:qFormat/>
    <w:uiPriority w:val="0"/>
    <w:pPr>
      <w:ind w:left="800" w:leftChars="800"/>
    </w:pPr>
  </w:style>
  <w:style w:type="paragraph" w:customStyle="1" w:styleId="985">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6">
    <w:name w:val="NormalCharacter"/>
    <w:autoRedefine/>
    <w:qFormat/>
    <w:uiPriority w:val="0"/>
    <w:rPr>
      <w:rFonts w:ascii="Calibri" w:hAnsi="Calibri" w:eastAsia="宋体" w:cs="Times New Roman"/>
      <w:kern w:val="2"/>
      <w:sz w:val="21"/>
      <w:szCs w:val="22"/>
      <w:lang w:val="en-US" w:eastAsia="zh-CN" w:bidi="ar-SA"/>
    </w:rPr>
  </w:style>
  <w:style w:type="character" w:customStyle="1" w:styleId="987">
    <w:name w:val="bookmark-item"/>
    <w:basedOn w:val="73"/>
    <w:autoRedefine/>
    <w:qFormat/>
    <w:uiPriority w:val="0"/>
  </w:style>
  <w:style w:type="paragraph" w:customStyle="1" w:styleId="988">
    <w:name w:val="正文文字2"/>
    <w:basedOn w:val="25"/>
    <w:next w:val="16"/>
    <w:autoRedefine/>
    <w:qFormat/>
    <w:uiPriority w:val="0"/>
    <w:pPr>
      <w:autoSpaceDE/>
      <w:autoSpaceDN/>
      <w:spacing w:after="60" w:afterLines="0" w:line="360" w:lineRule="atLeast"/>
      <w:ind w:left="72" w:right="72"/>
      <w:jc w:val="center"/>
      <w:textAlignment w:val="baseline"/>
    </w:pPr>
    <w:rPr>
      <w:rFonts w:ascii="Arial" w:hAnsi="Times New Roman" w:eastAsia="黑体" w:cs="Times New Roman"/>
      <w:color w:val="auto"/>
      <w:szCs w:val="20"/>
    </w:rPr>
  </w:style>
  <w:style w:type="table" w:customStyle="1" w:styleId="989">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78</Pages>
  <Words>28954</Words>
  <Characters>31071</Characters>
  <Lines>0</Lines>
  <Paragraphs>0</Paragraphs>
  <TotalTime>59</TotalTime>
  <ScaleCrop>false</ScaleCrop>
  <LinksUpToDate>false</LinksUpToDate>
  <CharactersWithSpaces>33279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2022-03-12T00:42:00Z</dcterms:created>
  <dc:creator>玥</dc:creator>
  <cp:lastModifiedBy>jia.</cp:lastModifiedBy>
  <cp:lastPrinted>2022-06-07T23:09:00Z</cp:lastPrinted>
  <dcterms:modified xsi:type="dcterms:W3CDTF">2025-02-14T06:01:05Z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330E93A1686943E28056C2E2AAB37C57_13</vt:lpwstr>
  </property>
  <property fmtid="{D5CDD505-2E9C-101B-9397-08002B2CF9AE}" pid="5" name="KSOTemplateDocerSaveRecord">
    <vt:lpwstr>eyJoZGlkIjoiODliMDE1YjNkOGRjYjliMDFmZDAwZjMyYjg1NGM2ODQiLCJ1c2VySWQiOiI0MzM1Mjc4NzAifQ==</vt:lpwstr>
  </property>
</Properties>
</file>