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FB96">
      <w:pPr>
        <w:keepNext w:val="0"/>
        <w:keepLines w:val="0"/>
        <w:pageBreakBefore w:val="0"/>
        <w:widowControl w:val="0"/>
        <w:kinsoku/>
        <w:wordWrap/>
        <w:overflowPunct/>
        <w:topLinePunct w:val="0"/>
        <w:autoSpaceDE/>
        <w:autoSpaceDN/>
        <w:bidi w:val="0"/>
        <w:adjustRightInd w:val="0"/>
        <w:snapToGrid/>
        <w:ind w:left="0" w:firstLine="0" w:firstLineChars="0"/>
        <w:jc w:val="both"/>
        <w:textAlignment w:val="auto"/>
        <w:rPr>
          <w:rFonts w:hint="eastAsia" w:ascii="仿宋" w:hAnsi="仿宋" w:eastAsia="仿宋" w:cs="仿宋"/>
          <w:b/>
          <w:bCs/>
          <w:color w:val="auto"/>
          <w:sz w:val="52"/>
          <w:szCs w:val="52"/>
          <w:highlight w:val="none"/>
          <w:lang w:val="en-US" w:eastAsia="zh-CN"/>
        </w:rPr>
      </w:pPr>
    </w:p>
    <w:p w14:paraId="20A14C63">
      <w:pPr>
        <w:adjustRightInd/>
        <w:spacing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诸暨市东和乡2024-2025年度市政园林、房建设计服务采购项目</w:t>
      </w:r>
    </w:p>
    <w:p w14:paraId="3A3620DD">
      <w:pPr>
        <w:autoSpaceDE/>
        <w:autoSpaceDN/>
        <w:spacing w:afterAutospacing="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绍兴盈伽2024-11-21</w:t>
      </w:r>
      <w:r>
        <w:rPr>
          <w:rFonts w:hint="eastAsia" w:ascii="仿宋" w:hAnsi="仿宋" w:eastAsia="仿宋" w:cs="仿宋"/>
          <w:b/>
          <w:bCs/>
          <w:color w:val="auto"/>
          <w:sz w:val="30"/>
          <w:szCs w:val="30"/>
          <w:highlight w:val="none"/>
        </w:rPr>
        <w:t>）</w:t>
      </w:r>
    </w:p>
    <w:p w14:paraId="5EB15025">
      <w:pPr>
        <w:autoSpaceDE/>
        <w:autoSpaceDN/>
        <w:spacing w:afterAutospacing="0" w:line="360" w:lineRule="auto"/>
        <w:jc w:val="center"/>
        <w:rPr>
          <w:rFonts w:hint="eastAsia" w:ascii="仿宋" w:hAnsi="仿宋" w:eastAsia="仿宋" w:cs="仿宋"/>
          <w:b/>
          <w:color w:val="auto"/>
          <w:spacing w:val="36"/>
          <w:sz w:val="36"/>
          <w:highlight w:val="none"/>
        </w:rPr>
      </w:pPr>
      <w:r>
        <w:rPr>
          <w:rFonts w:hint="eastAsia" w:ascii="仿宋" w:hAnsi="仿宋" w:eastAsia="仿宋" w:cs="仿宋"/>
          <w:b/>
          <w:color w:val="auto"/>
          <w:spacing w:val="36"/>
          <w:sz w:val="36"/>
          <w:highlight w:val="none"/>
        </w:rPr>
        <w:t>（电子招投标）</w:t>
      </w:r>
    </w:p>
    <w:p w14:paraId="5FD3D3A7">
      <w:pPr>
        <w:snapToGrid w:val="0"/>
        <w:spacing w:beforeAutospacing="0" w:line="192" w:lineRule="auto"/>
        <w:jc w:val="center"/>
        <w:rPr>
          <w:rFonts w:hint="eastAsia" w:ascii="仿宋" w:hAnsi="仿宋" w:eastAsia="仿宋" w:cs="仿宋"/>
          <w:b/>
          <w:color w:val="auto"/>
          <w:spacing w:val="-6"/>
          <w:sz w:val="72"/>
          <w:szCs w:val="72"/>
          <w:highlight w:val="none"/>
        </w:rPr>
      </w:pPr>
    </w:p>
    <w:p w14:paraId="46282384">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竞</w:t>
      </w:r>
    </w:p>
    <w:p w14:paraId="1A54D125">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争</w:t>
      </w:r>
    </w:p>
    <w:p w14:paraId="645E2774">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性</w:t>
      </w:r>
    </w:p>
    <w:p w14:paraId="34682238">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磋</w:t>
      </w:r>
    </w:p>
    <w:p w14:paraId="11740BF5">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商</w:t>
      </w:r>
    </w:p>
    <w:p w14:paraId="6F08E82D">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文</w:t>
      </w:r>
    </w:p>
    <w:p w14:paraId="3EACBA6B">
      <w:pPr>
        <w:spacing w:beforeAutospacing="0" w:line="360" w:lineRule="auto"/>
        <w:jc w:val="center"/>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60"/>
          <w:szCs w:val="60"/>
          <w:highlight w:val="none"/>
        </w:rPr>
        <w:t>件</w:t>
      </w:r>
    </w:p>
    <w:p w14:paraId="3A4CE6E5">
      <w:pPr>
        <w:snapToGrid w:val="0"/>
        <w:spacing w:line="360" w:lineRule="auto"/>
        <w:jc w:val="center"/>
        <w:rPr>
          <w:rFonts w:hint="eastAsia" w:ascii="仿宋" w:hAnsi="仿宋" w:eastAsia="仿宋" w:cs="仿宋"/>
          <w:b/>
          <w:bCs/>
          <w:color w:val="auto"/>
          <w:sz w:val="32"/>
          <w:szCs w:val="32"/>
          <w:highlight w:val="none"/>
        </w:rPr>
      </w:pPr>
    </w:p>
    <w:p w14:paraId="23BECA13">
      <w:pPr>
        <w:snapToGrid w:val="0"/>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采购</w:t>
      </w:r>
      <w:r>
        <w:rPr>
          <w:rFonts w:hint="eastAsia" w:ascii="仿宋" w:hAnsi="仿宋" w:eastAsia="仿宋" w:cs="仿宋"/>
          <w:b/>
          <w:bCs/>
          <w:color w:val="auto"/>
          <w:sz w:val="32"/>
          <w:szCs w:val="32"/>
          <w:highlight w:val="none"/>
          <w:lang w:eastAsia="zh-CN"/>
        </w:rPr>
        <w:t>单位</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诸暨市东和乡人民政府</w:t>
      </w:r>
    </w:p>
    <w:p w14:paraId="6A57A0B4">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绍兴盈伽工程咨询有限公司</w:t>
      </w:r>
    </w:p>
    <w:p w14:paraId="662CF100">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二〇二</w:t>
      </w:r>
      <w:r>
        <w:rPr>
          <w:rFonts w:hint="eastAsia" w:ascii="仿宋" w:hAnsi="仿宋" w:eastAsia="仿宋" w:cs="仿宋"/>
          <w:b/>
          <w:bCs/>
          <w:color w:val="auto"/>
          <w:w w:val="95"/>
          <w:sz w:val="32"/>
          <w:szCs w:val="32"/>
          <w:highlight w:val="none"/>
          <w:lang w:val="en-US" w:eastAsia="zh-CN"/>
        </w:rPr>
        <w:t>五</w:t>
      </w:r>
      <w:r>
        <w:rPr>
          <w:rFonts w:hint="eastAsia" w:ascii="仿宋" w:hAnsi="仿宋" w:eastAsia="仿宋" w:cs="仿宋"/>
          <w:b/>
          <w:bCs/>
          <w:color w:val="auto"/>
          <w:w w:val="95"/>
          <w:sz w:val="32"/>
          <w:szCs w:val="32"/>
          <w:highlight w:val="none"/>
        </w:rPr>
        <w:t>年</w:t>
      </w:r>
      <w:r>
        <w:rPr>
          <w:rFonts w:hint="eastAsia" w:ascii="仿宋" w:hAnsi="仿宋" w:eastAsia="仿宋" w:cs="仿宋"/>
          <w:b/>
          <w:bCs/>
          <w:color w:val="auto"/>
          <w:w w:val="95"/>
          <w:sz w:val="32"/>
          <w:szCs w:val="32"/>
          <w:highlight w:val="none"/>
          <w:lang w:val="en-US" w:eastAsia="zh-CN"/>
        </w:rPr>
        <w:t>一</w:t>
      </w:r>
      <w:r>
        <w:rPr>
          <w:rFonts w:hint="eastAsia" w:ascii="仿宋" w:hAnsi="仿宋" w:eastAsia="仿宋" w:cs="仿宋"/>
          <w:b/>
          <w:bCs/>
          <w:color w:val="auto"/>
          <w:w w:val="95"/>
          <w:sz w:val="32"/>
          <w:szCs w:val="32"/>
          <w:highlight w:val="none"/>
        </w:rPr>
        <w:t>月</w:t>
      </w:r>
    </w:p>
    <w:p w14:paraId="58FB151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4BF13C0">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highlight w:val="none"/>
        </w:rPr>
      </w:pPr>
      <w:r>
        <w:rPr>
          <w:rFonts w:hint="eastAsia" w:ascii="仿宋" w:hAnsi="仿宋" w:eastAsia="仿宋" w:cs="仿宋"/>
          <w:b/>
          <w:sz w:val="44"/>
          <w:szCs w:val="44"/>
          <w:highlight w:val="none"/>
        </w:rPr>
        <w:t>目</w:t>
      </w: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rPr>
        <w:t>录</w:t>
      </w:r>
    </w:p>
    <w:p w14:paraId="29D8993E">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 xml:space="preserve">第一部分     </w:t>
      </w:r>
      <w:r>
        <w:rPr>
          <w:rFonts w:hint="eastAsia" w:ascii="仿宋" w:hAnsi="仿宋" w:eastAsia="仿宋" w:cs="仿宋"/>
          <w:b/>
          <w:bCs/>
          <w:sz w:val="36"/>
          <w:szCs w:val="36"/>
          <w:highlight w:val="none"/>
          <w:lang w:val="en-US" w:eastAsia="zh-CN"/>
        </w:rPr>
        <w:t xml:space="preserve"> 竞争性</w:t>
      </w:r>
      <w:r>
        <w:rPr>
          <w:rFonts w:hint="eastAsia" w:ascii="仿宋" w:hAnsi="仿宋" w:eastAsia="仿宋" w:cs="仿宋"/>
          <w:b/>
          <w:bCs/>
          <w:sz w:val="36"/>
          <w:szCs w:val="36"/>
          <w:highlight w:val="none"/>
        </w:rPr>
        <w:t>磋商公告</w:t>
      </w:r>
    </w:p>
    <w:p w14:paraId="617595D3">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第二部分      磋商供应商须知</w:t>
      </w:r>
    </w:p>
    <w:p w14:paraId="7918BA7D">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第三部分      采购需求</w:t>
      </w:r>
    </w:p>
    <w:p w14:paraId="783ED884">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第四部分      评标办法</w:t>
      </w:r>
    </w:p>
    <w:p w14:paraId="7429590F">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第五部分      政府采购合同参考范本（供参考）</w:t>
      </w:r>
    </w:p>
    <w:p w14:paraId="1E22BC03">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第六部分      应提交的有关格式范例</w:t>
      </w:r>
    </w:p>
    <w:p w14:paraId="01F123A6">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bookmarkEnd w:id="2"/>
    <w:p w14:paraId="7F0D8CB0">
      <w:pPr>
        <w:adjustRightInd/>
        <w:spacing w:line="360" w:lineRule="auto"/>
        <w:jc w:val="center"/>
        <w:outlineLvl w:val="0"/>
        <w:rPr>
          <w:rFonts w:hint="eastAsia" w:ascii="仿宋" w:hAnsi="仿宋" w:eastAsia="仿宋" w:cs="仿宋"/>
          <w:b/>
          <w:sz w:val="36"/>
          <w:szCs w:val="20"/>
          <w:highlight w:val="none"/>
        </w:rPr>
        <w:sectPr>
          <w:headerReference r:id="rId4" w:type="first"/>
          <w:footerReference r:id="rId6" w:type="first"/>
          <w:headerReference r:id="rId3" w:type="default"/>
          <w:footerReference r:id="rId5" w:type="default"/>
          <w:pgSz w:w="11906" w:h="16838"/>
          <w:pgMar w:top="1247" w:right="1803" w:bottom="1247" w:left="1803" w:header="907"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14:paraId="7B55097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第一部分 竞争性磋商公告</w:t>
      </w:r>
    </w:p>
    <w:p w14:paraId="3209CA7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项目概况</w:t>
      </w:r>
    </w:p>
    <w:p w14:paraId="7B6F902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诸暨市东和乡2024-2025年度市政园林、房建设计服务采购项目</w:t>
      </w:r>
      <w:r>
        <w:rPr>
          <w:rFonts w:hint="eastAsia" w:ascii="仿宋" w:hAnsi="仿宋" w:eastAsia="仿宋" w:cs="仿宋"/>
          <w:color w:val="auto"/>
          <w:sz w:val="24"/>
          <w:highlight w:val="none"/>
        </w:rPr>
        <w:t>的潜在供</w:t>
      </w:r>
      <w:r>
        <w:rPr>
          <w:rFonts w:hint="eastAsia" w:ascii="仿宋" w:hAnsi="仿宋" w:eastAsia="仿宋" w:cs="仿宋"/>
          <w:color w:val="auto"/>
          <w:sz w:val="24"/>
          <w:highlight w:val="none"/>
          <w:lang w:val="en-US" w:eastAsia="zh-CN"/>
        </w:rPr>
        <w:t>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u w:val="single"/>
        </w:rPr>
        <w:t>政府采购云平台</w:t>
      </w:r>
      <w:r>
        <w:rPr>
          <w:rStyle w:val="987"/>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987"/>
          <w:rFonts w:hint="eastAsia" w:ascii="仿宋" w:hAnsi="仿宋" w:eastAsia="仿宋" w:cs="仿宋"/>
          <w:color w:val="auto"/>
          <w:sz w:val="24"/>
          <w:szCs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16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4F80C4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349CF96">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绍兴盈伽2024-11-21</w:t>
      </w:r>
    </w:p>
    <w:p w14:paraId="60F3A12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诸暨市东和乡2024-2025年度市政园林、房建设计服务采购项目</w:t>
      </w:r>
    </w:p>
    <w:p w14:paraId="3A3D2DF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采购方式：</w:t>
      </w:r>
      <w:r>
        <w:rPr>
          <w:rFonts w:hint="eastAsia" w:ascii="仿宋" w:hAnsi="仿宋" w:eastAsia="仿宋" w:cs="仿宋"/>
          <w:b w:val="0"/>
          <w:bCs/>
          <w:color w:val="auto"/>
          <w:sz w:val="24"/>
          <w:highlight w:val="none"/>
          <w:lang w:val="en-US" w:eastAsia="zh-CN"/>
        </w:rPr>
        <w:t>竞争性磋商</w:t>
      </w:r>
    </w:p>
    <w:p w14:paraId="23B097F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600000.00</w:t>
      </w:r>
    </w:p>
    <w:p w14:paraId="4F24D8A9">
      <w:pPr>
        <w:pStyle w:val="62"/>
        <w:spacing w:beforeLines="50" w:beforeAutospacing="0" w:afterLines="50" w:afterAutospacing="0" w:line="240" w:lineRule="auto"/>
        <w:ind w:firstLine="556"/>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highlight w:val="none"/>
          <w:lang w:val="en-US" w:eastAsia="zh-CN"/>
        </w:rPr>
        <w:t>标项1：300000.00；标项2：30</w:t>
      </w:r>
      <w:r>
        <w:rPr>
          <w:rFonts w:hint="eastAsia" w:ascii="仿宋" w:hAnsi="仿宋" w:eastAsia="仿宋" w:cs="仿宋"/>
          <w:color w:val="auto"/>
          <w:sz w:val="24"/>
          <w:szCs w:val="21"/>
          <w:highlight w:val="none"/>
          <w:lang w:val="en-US" w:eastAsia="zh-CN" w:bidi="ar-SA"/>
        </w:rPr>
        <w:t>0000.00</w:t>
      </w:r>
    </w:p>
    <w:p w14:paraId="400B95D9">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诸暨市东和乡2024-2025年度市政园林、房建设计服务采购项目</w:t>
      </w:r>
      <w:r>
        <w:rPr>
          <w:rFonts w:hint="eastAsia" w:ascii="仿宋" w:hAnsi="仿宋" w:eastAsia="仿宋" w:cs="仿宋"/>
          <w:b w:val="0"/>
          <w:bCs/>
          <w:color w:val="auto"/>
          <w:sz w:val="24"/>
          <w:highlight w:val="none"/>
        </w:rPr>
        <w:t>，采购预算金额为人民币</w:t>
      </w:r>
      <w:r>
        <w:rPr>
          <w:rFonts w:hint="eastAsia" w:ascii="仿宋" w:hAnsi="仿宋" w:eastAsia="仿宋" w:cs="仿宋"/>
          <w:b w:val="0"/>
          <w:bCs/>
          <w:color w:val="auto"/>
          <w:sz w:val="24"/>
          <w:highlight w:val="none"/>
          <w:lang w:val="en-US" w:eastAsia="zh-CN"/>
        </w:rPr>
        <w:t>陆拾</w:t>
      </w:r>
      <w:r>
        <w:rPr>
          <w:rFonts w:hint="eastAsia" w:ascii="仿宋" w:hAnsi="仿宋" w:eastAsia="仿宋" w:cs="仿宋"/>
          <w:b w:val="0"/>
          <w:bCs/>
          <w:color w:val="auto"/>
          <w:sz w:val="24"/>
          <w:highlight w:val="none"/>
        </w:rPr>
        <w:t>万元整（¥</w:t>
      </w:r>
      <w:r>
        <w:rPr>
          <w:rFonts w:hint="eastAsia" w:ascii="仿宋" w:hAnsi="仿宋" w:eastAsia="仿宋" w:cs="仿宋"/>
          <w:b w:val="0"/>
          <w:bCs/>
          <w:color w:val="auto"/>
          <w:sz w:val="24"/>
          <w:highlight w:val="none"/>
          <w:lang w:val="en-US" w:eastAsia="zh-CN"/>
        </w:rPr>
        <w:t>60</w:t>
      </w:r>
      <w:r>
        <w:rPr>
          <w:rFonts w:hint="eastAsia" w:ascii="仿宋" w:hAnsi="仿宋" w:eastAsia="仿宋" w:cs="仿宋"/>
          <w:b w:val="0"/>
          <w:bCs/>
          <w:color w:val="auto"/>
          <w:sz w:val="24"/>
          <w:highlight w:val="none"/>
        </w:rPr>
        <w:t>0000.00），本项目分2个标项，每个标项内容和预算金额见下表，按折扣招标，</w:t>
      </w:r>
      <w:r>
        <w:rPr>
          <w:rFonts w:hint="eastAsia" w:ascii="仿宋" w:hAnsi="仿宋" w:eastAsia="仿宋" w:cs="仿宋"/>
          <w:b w:val="0"/>
          <w:bCs/>
          <w:color w:val="auto"/>
          <w:sz w:val="24"/>
          <w:highlight w:val="none"/>
          <w:lang w:val="en-US" w:eastAsia="zh-CN"/>
        </w:rPr>
        <w:t>工程量</w:t>
      </w:r>
      <w:r>
        <w:rPr>
          <w:rFonts w:hint="eastAsia" w:ascii="仿宋" w:hAnsi="仿宋" w:eastAsia="仿宋" w:cs="仿宋"/>
          <w:b w:val="0"/>
          <w:bCs/>
          <w:color w:val="auto"/>
          <w:sz w:val="24"/>
          <w:highlight w:val="none"/>
        </w:rPr>
        <w:t>按实结算，累计结算金额均不超过各标项采购预算金额。具体内容详见采购需求</w:t>
      </w:r>
      <w:r>
        <w:rPr>
          <w:rFonts w:hint="eastAsia" w:ascii="仿宋" w:hAnsi="仿宋" w:eastAsia="仿宋" w:cs="仿宋"/>
          <w:b w:val="0"/>
          <w:bCs/>
          <w:color w:val="auto"/>
          <w:sz w:val="24"/>
          <w:highlight w:val="none"/>
          <w:lang w:eastAsia="zh-CN"/>
        </w:rPr>
        <w:t>。</w:t>
      </w:r>
    </w:p>
    <w:tbl>
      <w:tblPr>
        <w:tblStyle w:val="66"/>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6"/>
        <w:gridCol w:w="1688"/>
      </w:tblGrid>
      <w:tr w14:paraId="2874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noWrap w:val="0"/>
            <w:vAlign w:val="center"/>
          </w:tcPr>
          <w:p w14:paraId="16548726">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4916" w:type="dxa"/>
            <w:noWrap w:val="0"/>
            <w:vAlign w:val="center"/>
          </w:tcPr>
          <w:p w14:paraId="4AB1EF45">
            <w:pPr>
              <w:snapToGrid w:val="0"/>
              <w:spacing w:line="312"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标项内容</w:t>
            </w:r>
          </w:p>
        </w:tc>
        <w:tc>
          <w:tcPr>
            <w:tcW w:w="1688" w:type="dxa"/>
            <w:noWrap w:val="0"/>
            <w:vAlign w:val="center"/>
          </w:tcPr>
          <w:p w14:paraId="2B604B04">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预算金额</w:t>
            </w:r>
          </w:p>
        </w:tc>
      </w:tr>
      <w:tr w14:paraId="491E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0F1645D2">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标项1</w:t>
            </w:r>
          </w:p>
        </w:tc>
        <w:tc>
          <w:tcPr>
            <w:tcW w:w="4916" w:type="dxa"/>
            <w:noWrap w:val="0"/>
            <w:vAlign w:val="center"/>
          </w:tcPr>
          <w:p w14:paraId="4947D289">
            <w:pPr>
              <w:snapToGrid w:val="0"/>
              <w:spacing w:line="312"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实施区域1</w:t>
            </w:r>
          </w:p>
        </w:tc>
        <w:tc>
          <w:tcPr>
            <w:tcW w:w="1688" w:type="dxa"/>
            <w:noWrap w:val="0"/>
            <w:vAlign w:val="center"/>
          </w:tcPr>
          <w:p w14:paraId="684CBD0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0万元</w:t>
            </w:r>
          </w:p>
        </w:tc>
      </w:tr>
      <w:tr w14:paraId="5C58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65EA1204">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标项2</w:t>
            </w:r>
          </w:p>
        </w:tc>
        <w:tc>
          <w:tcPr>
            <w:tcW w:w="4916" w:type="dxa"/>
            <w:noWrap w:val="0"/>
            <w:vAlign w:val="center"/>
          </w:tcPr>
          <w:p w14:paraId="3D4C1AA7">
            <w:pPr>
              <w:snapToGrid w:val="0"/>
              <w:spacing w:line="312" w:lineRule="auto"/>
              <w:jc w:val="center"/>
              <w:rPr>
                <w:rFonts w:hint="default" w:ascii="仿宋" w:hAnsi="仿宋" w:eastAsia="仿宋" w:cs="仿宋"/>
                <w:sz w:val="24"/>
                <w:highlight w:val="none"/>
                <w:lang w:val="en-US"/>
              </w:rPr>
            </w:pPr>
            <w:r>
              <w:rPr>
                <w:rFonts w:hint="eastAsia" w:ascii="仿宋" w:hAnsi="仿宋" w:eastAsia="仿宋" w:cs="仿宋"/>
                <w:sz w:val="24"/>
                <w:highlight w:val="none"/>
                <w:lang w:val="en-US" w:eastAsia="zh-CN"/>
              </w:rPr>
              <w:t>实施区域2</w:t>
            </w:r>
          </w:p>
        </w:tc>
        <w:tc>
          <w:tcPr>
            <w:tcW w:w="1688" w:type="dxa"/>
            <w:noWrap w:val="0"/>
            <w:vAlign w:val="center"/>
          </w:tcPr>
          <w:p w14:paraId="3E2F2233">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0万元</w:t>
            </w:r>
          </w:p>
        </w:tc>
      </w:tr>
      <w:tr w14:paraId="617C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05" w:type="dxa"/>
            <w:gridSpan w:val="2"/>
            <w:noWrap w:val="0"/>
            <w:vAlign w:val="center"/>
          </w:tcPr>
          <w:p w14:paraId="27F00492">
            <w:pPr>
              <w:snapToGrid w:val="0"/>
              <w:spacing w:line="312" w:lineRule="auto"/>
              <w:jc w:val="center"/>
              <w:rPr>
                <w:rFonts w:hint="eastAsia" w:ascii="仿宋" w:hAnsi="仿宋" w:eastAsia="仿宋" w:cs="仿宋"/>
                <w:sz w:val="24"/>
                <w:highlight w:val="none"/>
              </w:rPr>
            </w:pPr>
            <w:r>
              <w:rPr>
                <w:rFonts w:hint="eastAsia" w:ascii="仿宋" w:hAnsi="仿宋" w:eastAsia="仿宋" w:cs="仿宋"/>
                <w:bCs/>
                <w:sz w:val="24"/>
                <w:highlight w:val="none"/>
              </w:rPr>
              <w:t>合计</w:t>
            </w:r>
          </w:p>
        </w:tc>
        <w:tc>
          <w:tcPr>
            <w:tcW w:w="1688" w:type="dxa"/>
            <w:noWrap w:val="0"/>
            <w:vAlign w:val="center"/>
          </w:tcPr>
          <w:p w14:paraId="395FF54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0万元</w:t>
            </w:r>
          </w:p>
        </w:tc>
      </w:tr>
    </w:tbl>
    <w:p w14:paraId="751B756F">
      <w:pPr>
        <w:pStyle w:val="17"/>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Cs/>
          <w:color w:val="auto"/>
          <w:sz w:val="24"/>
          <w:szCs w:val="24"/>
          <w:highlight w:val="none"/>
          <w:u w:val="none"/>
          <w:lang w:val="en-US" w:eastAsia="zh-CN"/>
        </w:rPr>
        <w:t>按招标文件要求执行</w:t>
      </w:r>
      <w:r>
        <w:rPr>
          <w:rFonts w:hint="eastAsia" w:ascii="仿宋" w:hAnsi="仿宋" w:eastAsia="仿宋" w:cs="仿宋"/>
          <w:b w:val="0"/>
          <w:bCs/>
          <w:color w:val="auto"/>
          <w:sz w:val="24"/>
          <w:highlight w:val="none"/>
          <w:lang w:val="en-US" w:eastAsia="zh-CN"/>
        </w:rPr>
        <w:t>。</w:t>
      </w:r>
    </w:p>
    <w:p w14:paraId="0545FEE2">
      <w:pPr>
        <w:pStyle w:val="17"/>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DBEE3F0">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6ABEAA19">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rPr>
      </w:pPr>
      <w:r>
        <w:rPr>
          <w:rFonts w:hint="eastAsia" w:ascii="仿宋" w:hAnsi="仿宋" w:eastAsia="仿宋" w:cs="仿宋"/>
          <w:bCs/>
          <w:sz w:val="24"/>
          <w:highlight w:val="none"/>
        </w:rPr>
        <w:t>1.满足《中华人民共和国政府采购法》第二十二条规定；</w:t>
      </w:r>
    </w:p>
    <w:p w14:paraId="4D1FC851">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未被“信用中国”（www.creditchina.gov.cn）、中国政府采购网（www.ccgp.gov.cn）列入失信被执行人、重大税收违法案件当事人名单、政府采购严重违法失信行为记录名单；</w:t>
      </w:r>
    </w:p>
    <w:p w14:paraId="668C962D">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7A6D3D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5EBD5210">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11E4EF78">
      <w:pPr>
        <w:keepNext w:val="0"/>
        <w:keepLines w:val="0"/>
        <w:pageBreakBefore w:val="0"/>
        <w:numPr>
          <w:ilvl w:val="0"/>
          <w:numId w:val="1"/>
        </w:numPr>
        <w:kinsoku/>
        <w:wordWrap/>
        <w:overflowPunct/>
        <w:topLinePunct w:val="0"/>
        <w:autoSpaceDE w:val="0"/>
        <w:autoSpaceDN w:val="0"/>
        <w:bidi w:val="0"/>
        <w:adjustRightInd w:val="0"/>
        <w:spacing w:line="420" w:lineRule="exact"/>
        <w:ind w:left="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本项目的特定资格要求：</w:t>
      </w:r>
    </w:p>
    <w:p w14:paraId="1445DB85">
      <w:pPr>
        <w:numPr>
          <w:ilvl w:val="0"/>
          <w:numId w:val="0"/>
        </w:numPr>
        <w:autoSpaceDE w:val="0"/>
        <w:autoSpaceDN w:val="0"/>
        <w:adjustRightInd w:val="0"/>
        <w:spacing w:line="420" w:lineRule="exact"/>
        <w:ind w:firstLine="482" w:firstLineChars="200"/>
        <w:rPr>
          <w:rFonts w:hint="eastAsia" w:ascii="仿宋" w:hAnsi="仿宋" w:eastAsia="仿宋" w:cs="仿宋"/>
          <w:bCs/>
          <w:sz w:val="24"/>
          <w:highlight w:val="none"/>
          <w:lang w:eastAsia="zh-CN"/>
        </w:rPr>
      </w:pPr>
      <w:r>
        <w:rPr>
          <w:rFonts w:hint="eastAsia" w:ascii="仿宋" w:hAnsi="仿宋" w:eastAsia="仿宋" w:cs="仿宋"/>
          <w:b/>
          <w:bCs w:val="0"/>
          <w:sz w:val="24"/>
          <w:highlight w:val="none"/>
        </w:rPr>
        <w:t>标项1</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2</w:t>
      </w:r>
      <w:r>
        <w:rPr>
          <w:rFonts w:hint="eastAsia" w:ascii="仿宋" w:hAnsi="仿宋" w:eastAsia="仿宋" w:cs="仿宋"/>
          <w:b/>
          <w:bCs w:val="0"/>
          <w:sz w:val="24"/>
          <w:highlight w:val="none"/>
        </w:rPr>
        <w:t xml:space="preserve">: </w:t>
      </w:r>
      <w:r>
        <w:rPr>
          <w:rFonts w:hint="eastAsia" w:ascii="仿宋" w:hAnsi="仿宋" w:eastAsia="仿宋" w:cs="仿宋"/>
          <w:bCs/>
          <w:sz w:val="24"/>
          <w:highlight w:val="none"/>
        </w:rPr>
        <w:t>同时具有市政行业（道路工程、给水工程、桥梁工程、排水工程）专业乙级</w:t>
      </w:r>
      <w:r>
        <w:rPr>
          <w:rFonts w:hint="eastAsia" w:ascii="仿宋" w:hAnsi="仿宋" w:eastAsia="仿宋" w:cs="仿宋"/>
          <w:bCs/>
          <w:sz w:val="24"/>
          <w:highlight w:val="none"/>
          <w:lang w:val="en-US" w:eastAsia="zh-CN"/>
        </w:rPr>
        <w:t>及以上</w:t>
      </w:r>
      <w:r>
        <w:rPr>
          <w:rFonts w:hint="eastAsia" w:ascii="仿宋" w:hAnsi="仿宋" w:eastAsia="仿宋" w:cs="仿宋"/>
          <w:bCs/>
          <w:sz w:val="24"/>
          <w:highlight w:val="none"/>
        </w:rPr>
        <w:t>、风景园林工程设计专项乙级</w:t>
      </w:r>
      <w:r>
        <w:rPr>
          <w:rFonts w:hint="eastAsia" w:ascii="仿宋" w:hAnsi="仿宋" w:eastAsia="仿宋" w:cs="仿宋"/>
          <w:bCs/>
          <w:sz w:val="24"/>
          <w:highlight w:val="none"/>
          <w:lang w:val="en-US" w:eastAsia="zh-CN"/>
        </w:rPr>
        <w:t>及以上</w:t>
      </w:r>
      <w:r>
        <w:rPr>
          <w:rFonts w:hint="eastAsia" w:ascii="仿宋" w:hAnsi="仿宋" w:eastAsia="仿宋" w:cs="仿宋"/>
          <w:bCs/>
          <w:sz w:val="24"/>
          <w:highlight w:val="none"/>
        </w:rPr>
        <w:t>、建筑行业（建筑工程）乙级</w:t>
      </w:r>
      <w:r>
        <w:rPr>
          <w:rFonts w:hint="eastAsia" w:ascii="仿宋" w:hAnsi="仿宋" w:eastAsia="仿宋" w:cs="仿宋"/>
          <w:bCs/>
          <w:sz w:val="24"/>
          <w:highlight w:val="none"/>
          <w:lang w:val="en-US" w:eastAsia="zh-CN"/>
        </w:rPr>
        <w:t>及以上</w:t>
      </w:r>
      <w:r>
        <w:rPr>
          <w:rFonts w:hint="eastAsia" w:ascii="仿宋" w:hAnsi="仿宋" w:eastAsia="仿宋" w:cs="仿宋"/>
          <w:bCs/>
          <w:sz w:val="24"/>
          <w:highlight w:val="none"/>
        </w:rPr>
        <w:t>资质</w:t>
      </w:r>
      <w:r>
        <w:rPr>
          <w:rFonts w:hint="eastAsia" w:ascii="仿宋" w:hAnsi="仿宋" w:eastAsia="仿宋" w:cs="仿宋"/>
          <w:bCs/>
          <w:sz w:val="24"/>
          <w:highlight w:val="none"/>
          <w:lang w:eastAsia="zh-CN"/>
        </w:rPr>
        <w:t>。</w:t>
      </w:r>
    </w:p>
    <w:p w14:paraId="30B2C1AA">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1C2093C3">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b w:val="0"/>
          <w:bCs/>
          <w:color w:val="auto"/>
          <w:sz w:val="24"/>
          <w:highlight w:val="none"/>
          <w:u w:val="single"/>
          <w:lang w:val="en-US" w:eastAsia="zh-CN"/>
        </w:rPr>
        <w:t xml:space="preserve">月 16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7FD55BE">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60B08335">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潜在供应商登录政府采购云平台，在线申请获取招标文件。进入“项目采购”应用，在获取招标文件菜单中选择项目，申请获取招标文件。（仅需浏览招标文件的供应商可点击“游客，浏览招标文件”直接下载招标文件浏览。）。</w:t>
      </w:r>
    </w:p>
    <w:p w14:paraId="1B1A212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75CBC32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DF45E8C">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b w:val="0"/>
          <w:bCs/>
          <w:color w:val="auto"/>
          <w:sz w:val="24"/>
          <w:highlight w:val="none"/>
          <w:u w:val="single"/>
          <w:lang w:val="en-US" w:eastAsia="zh-CN"/>
        </w:rPr>
        <w:t xml:space="preserve">月 16 </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61D8C456">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51E4AE98">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 xml:space="preserve"> 1 </w:t>
      </w:r>
      <w:r>
        <w:rPr>
          <w:rFonts w:hint="eastAsia" w:ascii="仿宋" w:hAnsi="仿宋" w:eastAsia="仿宋" w:cs="仿宋"/>
          <w:b w:val="0"/>
          <w:bCs/>
          <w:color w:val="auto"/>
          <w:sz w:val="24"/>
          <w:highlight w:val="none"/>
          <w:u w:val="single"/>
          <w:lang w:val="en-US" w:eastAsia="zh-CN"/>
        </w:rPr>
        <w:t xml:space="preserve">月 16 </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8B582CC">
      <w:pPr>
        <w:pStyle w:val="62"/>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cs="仿宋"/>
          <w:highlight w:val="none"/>
        </w:rPr>
        <w:t>（https://www.zcygov.cn/）</w:t>
      </w:r>
      <w:r>
        <w:rPr>
          <w:rFonts w:hint="eastAsia" w:ascii="仿宋" w:hAnsi="仿宋" w:eastAsia="仿宋" w:cs="仿宋"/>
          <w:highlight w:val="none"/>
          <w:lang w:eastAsia="zh-CN"/>
        </w:rPr>
        <w:t>。</w:t>
      </w:r>
    </w:p>
    <w:p w14:paraId="32AF07E7">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6F5F29D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个工作日。</w:t>
      </w:r>
    </w:p>
    <w:p w14:paraId="57188E7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18CE6C8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CD0A4E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50E7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3AA94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4.其他事项：</w:t>
      </w:r>
    </w:p>
    <w:p w14:paraId="0E451BF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677026F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38713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（3）电子交易的说明：</w:t>
      </w:r>
    </w:p>
    <w:p w14:paraId="0BDDE12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①电子交易：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府采购云平台；进入“项目采购”应用，在获取采购文件菜单中选择项目，获取采购文件；④对未按上述方式获取采购文件的供应商，视为未参与该项政府采购活动，不具备对该政府采购项目提出质疑的法定权利，但因供应商资格条件或报名时间设定不符合有关法律法规规定等原因使供应商权益受损的除外；⑤响应文件的制作：在“政采云电子交易客户端”中完成“填写基本信息”、“导入响应文件”、“标书关联”、“标书检查”、“电子签名”、“生成电子标书”等操作；⑥不提供采购文件纸质版；⑦响应文件的传输递交：供应商在投标截止时间前将加密的响应文件上传至政府采购云平台，还可以在投标截止时间前递交备份响应文件1份。备份响应文件的制作、递交详见采购文件第二部分第15点—“备份响应文件”； ⑧响应文件的解密：供应商按照平台提示和采购文件的规定在30分钟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⑨具体操作指南：详见政府采购云平台“服务中心-帮助文档-项目采购-操作流程-电子招投标-政府采购项目电子交易管理操作指南-供应商”。 </w:t>
      </w:r>
    </w:p>
    <w:p w14:paraId="1483AB7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4）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10C6317A">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11D0B36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00C041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诸暨市东和乡人民政府</w:t>
      </w:r>
    </w:p>
    <w:p w14:paraId="3360200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b w:val="0"/>
          <w:bCs/>
          <w:color w:val="auto"/>
          <w:kern w:val="2"/>
          <w:sz w:val="24"/>
          <w:szCs w:val="21"/>
          <w:highlight w:val="none"/>
          <w:lang w:val="en-US" w:eastAsia="zh-CN" w:bidi="ar-SA"/>
        </w:rPr>
        <w:t>：诸暨市东和乡人民政府</w:t>
      </w:r>
    </w:p>
    <w:p w14:paraId="618990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项目联系人（询问）：刘主任        </w:t>
      </w:r>
    </w:p>
    <w:p w14:paraId="1F87DC0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项目联系方式（询问）：18657519226        </w:t>
      </w:r>
    </w:p>
    <w:p w14:paraId="38B0F97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质疑联系人：刘主任        </w:t>
      </w:r>
    </w:p>
    <w:p w14:paraId="7FD0FF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质疑联系方式：0575-87471358    </w:t>
      </w:r>
    </w:p>
    <w:p w14:paraId="36745EF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p>
    <w:p w14:paraId="765E0E6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.采购代理机构信息</w:t>
      </w:r>
    </w:p>
    <w:p w14:paraId="069877D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绍兴盈伽工程咨询有限公司</w:t>
      </w:r>
    </w:p>
    <w:p w14:paraId="79CE3B1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地    址：浙江省诸暨市陶朱街道宝利路亿泽新疆大厦A座</w:t>
      </w:r>
      <w:r>
        <w:rPr>
          <w:rFonts w:hint="eastAsia" w:ascii="仿宋" w:hAnsi="仿宋" w:eastAsia="仿宋" w:cs="仿宋"/>
          <w:sz w:val="24"/>
          <w:highlight w:val="none"/>
          <w:lang w:val="en-US" w:eastAsia="zh-CN"/>
        </w:rPr>
        <w:t>19</w:t>
      </w:r>
      <w:r>
        <w:rPr>
          <w:rFonts w:hint="eastAsia" w:ascii="仿宋" w:hAnsi="仿宋" w:eastAsia="仿宋" w:cs="仿宋"/>
          <w:sz w:val="24"/>
          <w:highlight w:val="none"/>
        </w:rPr>
        <w:t>楼</w:t>
      </w:r>
      <w:r>
        <w:rPr>
          <w:rFonts w:hint="eastAsia" w:ascii="仿宋" w:hAnsi="仿宋" w:eastAsia="仿宋" w:cs="仿宋"/>
          <w:sz w:val="24"/>
          <w:highlight w:val="none"/>
          <w:lang w:val="en-US" w:eastAsia="zh-CN"/>
        </w:rPr>
        <w:t>1906</w:t>
      </w:r>
    </w:p>
    <w:p w14:paraId="341AB86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孟工</w:t>
      </w:r>
    </w:p>
    <w:p w14:paraId="2BF9D5A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18757503766</w:t>
      </w:r>
      <w:r>
        <w:rPr>
          <w:rFonts w:hint="eastAsia" w:ascii="仿宋" w:hAnsi="仿宋" w:eastAsia="仿宋" w:cs="仿宋"/>
          <w:sz w:val="24"/>
          <w:highlight w:val="none"/>
          <w:lang w:eastAsia="zh-CN"/>
        </w:rPr>
        <w:t>（工作电话）</w:t>
      </w:r>
    </w:p>
    <w:p w14:paraId="07A2234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孟工</w:t>
      </w:r>
    </w:p>
    <w:p w14:paraId="74527D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13675724098</w:t>
      </w:r>
      <w:r>
        <w:rPr>
          <w:rFonts w:hint="eastAsia" w:ascii="仿宋" w:hAnsi="仿宋" w:eastAsia="仿宋" w:cs="仿宋"/>
          <w:sz w:val="24"/>
          <w:highlight w:val="none"/>
          <w:lang w:eastAsia="zh-CN"/>
        </w:rPr>
        <w:t>（工作电话）</w:t>
      </w:r>
    </w:p>
    <w:p w14:paraId="4B7C4FC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p>
    <w:p w14:paraId="356E10B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3.同级政府采购监督管理部门</w:t>
      </w:r>
    </w:p>
    <w:p w14:paraId="67DF47D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名    称：诸暨市财政局</w:t>
      </w:r>
    </w:p>
    <w:p w14:paraId="5D8908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地    址：诸暨市人民中路356号</w:t>
      </w:r>
    </w:p>
    <w:p w14:paraId="2A6C4CD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传    真：0575-87023633</w:t>
      </w:r>
    </w:p>
    <w:p w14:paraId="6383C20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 系 人：吕雅玲</w:t>
      </w:r>
    </w:p>
    <w:p w14:paraId="29926B7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监督投诉电话：0575-87113461</w:t>
      </w:r>
    </w:p>
    <w:p w14:paraId="5423F34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p>
    <w:p w14:paraId="433C2D2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3FA2062F">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highlight w:val="none"/>
        </w:rPr>
      </w:pPr>
      <w:r>
        <w:rPr>
          <w:rFonts w:hint="eastAsia" w:ascii="仿宋" w:hAnsi="仿宋" w:eastAsia="仿宋" w:cs="仿宋"/>
          <w:sz w:val="22"/>
          <w:szCs w:val="22"/>
          <w:highlight w:val="none"/>
          <w:lang w:val="en-US" w:eastAsia="zh-CN"/>
        </w:rPr>
        <w:br w:type="page"/>
      </w:r>
      <w:r>
        <w:rPr>
          <w:rFonts w:hint="eastAsia" w:ascii="仿宋" w:hAnsi="仿宋" w:eastAsia="仿宋" w:cs="仿宋"/>
          <w:b/>
          <w:color w:val="auto"/>
          <w:kern w:val="44"/>
          <w:sz w:val="36"/>
          <w:szCs w:val="36"/>
          <w:highlight w:val="none"/>
          <w:lang w:val="en-US" w:eastAsia="zh-CN" w:bidi="ar-SA"/>
        </w:rPr>
        <w:t>第二部分</w:t>
      </w:r>
      <w:bookmarkEnd w:id="7"/>
      <w:r>
        <w:rPr>
          <w:rFonts w:hint="eastAsia" w:ascii="仿宋" w:hAnsi="仿宋" w:eastAsia="仿宋" w:cs="仿宋"/>
          <w:b/>
          <w:color w:val="auto"/>
          <w:kern w:val="44"/>
          <w:sz w:val="36"/>
          <w:szCs w:val="36"/>
          <w:highlight w:val="none"/>
          <w:lang w:val="en-US" w:eastAsia="zh-CN" w:bidi="ar-SA"/>
        </w:rPr>
        <w:t xml:space="preserve"> 磋商供应商须知</w:t>
      </w:r>
      <w:bookmarkEnd w:id="8"/>
    </w:p>
    <w:p w14:paraId="159ECBE8">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前附表</w:t>
      </w:r>
    </w:p>
    <w:tbl>
      <w:tblPr>
        <w:tblStyle w:val="66"/>
        <w:tblW w:w="88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6573"/>
      </w:tblGrid>
      <w:tr w14:paraId="57E74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B3489D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8F324D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573" w:type="dxa"/>
            <w:tcBorders>
              <w:top w:val="single" w:color="000000" w:sz="8" w:space="0"/>
              <w:left w:val="single" w:color="000000" w:sz="2" w:space="0"/>
              <w:bottom w:val="single" w:color="000000" w:sz="8" w:space="0"/>
              <w:right w:val="single" w:color="000000" w:sz="8" w:space="0"/>
            </w:tcBorders>
            <w:vAlign w:val="center"/>
          </w:tcPr>
          <w:p w14:paraId="6B84FC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4F16A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45F5311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2C06E5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评标办法</w:t>
            </w:r>
          </w:p>
        </w:tc>
        <w:tc>
          <w:tcPr>
            <w:tcW w:w="6573" w:type="dxa"/>
            <w:tcBorders>
              <w:top w:val="single" w:color="000000" w:sz="8" w:space="0"/>
              <w:left w:val="single" w:color="000000" w:sz="2" w:space="0"/>
              <w:bottom w:val="single" w:color="000000" w:sz="8" w:space="0"/>
              <w:right w:val="single" w:color="000000" w:sz="8" w:space="0"/>
            </w:tcBorders>
            <w:vAlign w:val="center"/>
          </w:tcPr>
          <w:p w14:paraId="69BFA0AD">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本项目采用</w:t>
            </w:r>
            <w:r>
              <w:rPr>
                <w:rFonts w:hint="eastAsia" w:ascii="仿宋" w:hAnsi="仿宋" w:eastAsia="仿宋" w:cs="仿宋"/>
                <w:kern w:val="0"/>
                <w:sz w:val="24"/>
                <w:highlight w:val="none"/>
                <w:u w:val="single"/>
                <w:lang w:val="zh-CN"/>
              </w:rPr>
              <w:t>综合评分法</w:t>
            </w:r>
          </w:p>
        </w:tc>
      </w:tr>
      <w:tr w14:paraId="0FF56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1B7AD88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1317975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573" w:type="dxa"/>
            <w:tcBorders>
              <w:top w:val="single" w:color="000000" w:sz="8" w:space="0"/>
              <w:left w:val="single" w:color="000000" w:sz="2" w:space="0"/>
              <w:bottom w:val="single" w:color="000000" w:sz="8" w:space="0"/>
              <w:right w:val="single" w:color="000000" w:sz="8" w:space="0"/>
            </w:tcBorders>
            <w:vAlign w:val="center"/>
          </w:tcPr>
          <w:p w14:paraId="63A3B28E">
            <w:pPr>
              <w:keepNext w:val="0"/>
              <w:keepLines w:val="0"/>
              <w:pageBreakBefore w:val="0"/>
              <w:widowControl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p>
          <w:p w14:paraId="2AB2C5E0">
            <w:pPr>
              <w:keepNext w:val="0"/>
              <w:keepLines w:val="0"/>
              <w:pageBreakBefore w:val="0"/>
              <w:widowControl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w:t>
            </w:r>
          </w:p>
          <w:p w14:paraId="76C82773">
            <w:pPr>
              <w:keepNext w:val="0"/>
              <w:keepLines w:val="0"/>
              <w:pageBreakBefore w:val="0"/>
              <w:widowControl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招标文件未列明，而磋商供应商认为必需的费用也需列入报价。</w:t>
            </w:r>
          </w:p>
          <w:p w14:paraId="548D2CA8">
            <w:pPr>
              <w:keepNext w:val="0"/>
              <w:keepLines w:val="0"/>
              <w:pageBreakBefore w:val="0"/>
              <w:widowControl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66764AD4">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firstLineChars="0"/>
              <w:textAlignment w:val="auto"/>
              <w:rPr>
                <w:rFonts w:hint="eastAsia" w:ascii="仿宋" w:hAnsi="仿宋" w:eastAsia="仿宋" w:cs="仿宋"/>
                <w:color w:val="000000"/>
                <w:kern w:val="0"/>
                <w:sz w:val="24"/>
                <w:szCs w:val="21"/>
                <w:highlight w:val="none"/>
                <w:lang w:val="zh-CN" w:eastAsia="zh-CN" w:bidi="ar-SA"/>
              </w:rPr>
            </w:pPr>
            <w:r>
              <w:rPr>
                <w:rFonts w:hint="eastAsia" w:ascii="仿宋" w:hAnsi="仿宋" w:eastAsia="仿宋" w:cs="仿宋"/>
                <w:color w:val="000000"/>
                <w:kern w:val="0"/>
                <w:sz w:val="24"/>
                <w:szCs w:val="21"/>
                <w:highlight w:val="none"/>
                <w:lang w:val="zh-CN" w:eastAsia="zh-CN" w:bidi="ar-SA"/>
              </w:rPr>
              <w:t>①投标文件出现不是唯一的、有选择性投标报价的；</w:t>
            </w:r>
          </w:p>
          <w:p w14:paraId="3EE34485">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firstLineChars="0"/>
              <w:textAlignment w:val="auto"/>
              <w:rPr>
                <w:rFonts w:hint="eastAsia" w:ascii="仿宋" w:hAnsi="仿宋" w:eastAsia="仿宋" w:cs="仿宋"/>
                <w:color w:val="000000"/>
                <w:kern w:val="0"/>
                <w:sz w:val="24"/>
                <w:szCs w:val="21"/>
                <w:highlight w:val="none"/>
                <w:lang w:val="zh-CN" w:eastAsia="zh-CN" w:bidi="ar-SA"/>
              </w:rPr>
            </w:pPr>
            <w:r>
              <w:rPr>
                <w:rFonts w:hint="eastAsia" w:ascii="仿宋" w:hAnsi="仿宋" w:eastAsia="仿宋" w:cs="仿宋"/>
                <w:color w:val="000000"/>
                <w:kern w:val="0"/>
                <w:sz w:val="24"/>
                <w:szCs w:val="21"/>
                <w:highlight w:val="none"/>
                <w:lang w:val="zh-CN" w:eastAsia="zh-CN" w:bidi="ar-SA"/>
              </w:rPr>
              <w:t>②投标报价超过招标文件中规定的预算金额或者最高限价的;</w:t>
            </w:r>
          </w:p>
          <w:p w14:paraId="62949E84">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firstLineChars="0"/>
              <w:textAlignment w:val="auto"/>
              <w:rPr>
                <w:rFonts w:hint="eastAsia" w:ascii="仿宋" w:hAnsi="仿宋" w:eastAsia="仿宋" w:cs="仿宋"/>
                <w:color w:val="000000"/>
                <w:kern w:val="0"/>
                <w:sz w:val="24"/>
                <w:szCs w:val="21"/>
                <w:highlight w:val="none"/>
                <w:lang w:val="zh-CN" w:eastAsia="zh-CN" w:bidi="ar-SA"/>
              </w:rPr>
            </w:pPr>
            <w:r>
              <w:rPr>
                <w:rFonts w:hint="eastAsia" w:ascii="仿宋" w:hAnsi="仿宋" w:eastAsia="仿宋" w:cs="仿宋"/>
                <w:color w:val="000000"/>
                <w:kern w:val="0"/>
                <w:sz w:val="24"/>
                <w:szCs w:val="21"/>
                <w:highlight w:val="none"/>
                <w:lang w:val="zh-CN" w:eastAsia="zh-CN" w:bidi="ar-SA"/>
              </w:rPr>
              <w:t>③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2B58A75">
            <w:pPr>
              <w:pStyle w:val="284"/>
              <w:keepNext w:val="0"/>
              <w:keepLines w:val="0"/>
              <w:pageBreakBefore w:val="0"/>
              <w:widowControl w:val="0"/>
              <w:numPr>
                <w:ilvl w:val="0"/>
                <w:numId w:val="3"/>
              </w:numPr>
              <w:kinsoku/>
              <w:wordWrap/>
              <w:overflowPunct/>
              <w:topLinePunct w:val="0"/>
              <w:autoSpaceDE/>
              <w:autoSpaceDN/>
              <w:bidi w:val="0"/>
              <w:adjustRightInd w:val="0"/>
              <w:spacing w:line="288" w:lineRule="auto"/>
              <w:ind w:left="0" w:firstLineChars="0"/>
              <w:textAlignment w:val="auto"/>
              <w:rPr>
                <w:rFonts w:hint="eastAsia" w:ascii="仿宋" w:hAnsi="仿宋" w:eastAsia="仿宋" w:cs="仿宋"/>
                <w:bCs/>
                <w:kern w:val="0"/>
                <w:highlight w:val="none"/>
                <w:lang w:val="zh-CN"/>
              </w:rPr>
            </w:pPr>
            <w:r>
              <w:rPr>
                <w:rFonts w:hint="eastAsia" w:ascii="仿宋" w:hAnsi="仿宋" w:eastAsia="仿宋" w:cs="仿宋"/>
                <w:color w:val="000000"/>
                <w:kern w:val="0"/>
                <w:sz w:val="24"/>
                <w:szCs w:val="21"/>
                <w:highlight w:val="none"/>
                <w:lang w:val="en-US" w:eastAsia="zh-CN" w:bidi="ar-SA"/>
              </w:rPr>
              <w:t>④磋商供应商对根据修正原则修正后的报价不确认的</w:t>
            </w:r>
            <w:r>
              <w:rPr>
                <w:rFonts w:hint="eastAsia" w:ascii="仿宋" w:hAnsi="仿宋" w:eastAsia="仿宋" w:cs="仿宋"/>
                <w:bCs/>
                <w:highlight w:val="none"/>
              </w:rPr>
              <w:t>。</w:t>
            </w:r>
          </w:p>
        </w:tc>
      </w:tr>
      <w:tr w14:paraId="2DE6B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634DC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4FB9E9C0">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573" w:type="dxa"/>
            <w:tcBorders>
              <w:top w:val="single" w:color="000000" w:sz="8" w:space="0"/>
              <w:left w:val="single" w:color="000000" w:sz="2" w:space="0"/>
              <w:bottom w:val="single" w:color="000000" w:sz="8" w:space="0"/>
              <w:right w:val="single" w:color="000000" w:sz="8" w:space="0"/>
            </w:tcBorders>
            <w:vAlign w:val="center"/>
          </w:tcPr>
          <w:p w14:paraId="5C584D78">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t>☐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分包。</w:t>
            </w:r>
          </w:p>
          <w:p w14:paraId="4DC64739">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54218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425DD92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676" w:type="dxa"/>
            <w:tcBorders>
              <w:top w:val="single" w:color="000000" w:sz="8" w:space="0"/>
              <w:left w:val="single" w:color="auto" w:sz="4" w:space="0"/>
              <w:right w:val="single" w:color="000000" w:sz="8" w:space="0"/>
            </w:tcBorders>
            <w:vAlign w:val="center"/>
          </w:tcPr>
          <w:p w14:paraId="137C88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磋商供应商应当提供的资格文件</w:t>
            </w:r>
          </w:p>
        </w:tc>
        <w:tc>
          <w:tcPr>
            <w:tcW w:w="6573" w:type="dxa"/>
            <w:tcBorders>
              <w:top w:val="single" w:color="000000" w:sz="8" w:space="0"/>
              <w:left w:val="single" w:color="000000" w:sz="2" w:space="0"/>
              <w:right w:val="single" w:color="000000" w:sz="8" w:space="0"/>
            </w:tcBorders>
            <w:vAlign w:val="center"/>
          </w:tcPr>
          <w:p w14:paraId="50324CD9">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①营业执照或事业法人证书复印件（加盖单位公章）；</w:t>
            </w:r>
          </w:p>
          <w:p w14:paraId="4F29FFC1">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②符合参加政府采购活动应当具备的一般条件的承诺函（格式见第六章）；</w:t>
            </w:r>
          </w:p>
          <w:p w14:paraId="41BF60DD">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③落实政府采购政策需满足的资格要求：提供中小企业声明函（格式见第六章）；</w:t>
            </w:r>
          </w:p>
          <w:p w14:paraId="552913D0">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rPr>
              <w:t>④本项目的特定资格要求</w:t>
            </w:r>
            <w:r>
              <w:rPr>
                <w:rFonts w:hint="eastAsia" w:ascii="仿宋" w:hAnsi="仿宋" w:eastAsia="仿宋" w:cs="仿宋"/>
                <w:highlight w:val="none"/>
                <w:lang w:eastAsia="zh-CN"/>
              </w:rPr>
              <w:t>：</w:t>
            </w:r>
          </w:p>
          <w:p w14:paraId="01F8EDF0">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标项1、2:  同时具有市政行业（道路工程、给水工程、桥梁工程、排水工程）专业乙级及以上、风景园林工程设计专项乙级及以上、建筑行业（建筑工程）乙级及以上资质。</w:t>
            </w:r>
          </w:p>
          <w:p w14:paraId="7FF67026">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napToGrid w:val="0"/>
                <w:kern w:val="0"/>
                <w:szCs w:val="21"/>
                <w:highlight w:val="none"/>
              </w:rPr>
            </w:pPr>
            <w:r>
              <w:rPr>
                <w:rFonts w:hint="eastAsia" w:ascii="仿宋" w:hAnsi="仿宋" w:eastAsia="仿宋" w:cs="仿宋"/>
                <w:b/>
                <w:kern w:val="0"/>
                <w:sz w:val="24"/>
                <w:highlight w:val="none"/>
                <w:lang w:val="zh-CN"/>
              </w:rPr>
              <w:t>投标人未提供有效的资格证明文件的，视为投标人不具备招标文件中规定的资格要求，其投标无效。</w:t>
            </w:r>
          </w:p>
        </w:tc>
      </w:tr>
      <w:tr w14:paraId="66CC2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0AD699D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676" w:type="dxa"/>
            <w:tcBorders>
              <w:top w:val="single" w:color="000000" w:sz="8" w:space="0"/>
              <w:left w:val="single" w:color="auto" w:sz="4" w:space="0"/>
              <w:right w:val="single" w:color="000000" w:sz="8" w:space="0"/>
            </w:tcBorders>
            <w:vAlign w:val="center"/>
          </w:tcPr>
          <w:p w14:paraId="56541DA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磋商供应商应当提供的商务技术文件</w:t>
            </w:r>
          </w:p>
        </w:tc>
        <w:tc>
          <w:tcPr>
            <w:tcW w:w="6573" w:type="dxa"/>
            <w:tcBorders>
              <w:top w:val="single" w:color="000000" w:sz="8" w:space="0"/>
              <w:left w:val="single" w:color="000000" w:sz="2" w:space="0"/>
              <w:right w:val="single" w:color="000000" w:sz="8" w:space="0"/>
            </w:tcBorders>
            <w:vAlign w:val="center"/>
          </w:tcPr>
          <w:p w14:paraId="62380000">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rPr>
              <w:t>①</w:t>
            </w:r>
            <w:r>
              <w:rPr>
                <w:rFonts w:hint="eastAsia" w:ascii="仿宋" w:hAnsi="仿宋" w:eastAsia="仿宋" w:cs="仿宋"/>
                <w:highlight w:val="none"/>
                <w:lang w:val="en-US" w:eastAsia="zh-CN"/>
              </w:rPr>
              <w:t>投标函；</w:t>
            </w:r>
          </w:p>
          <w:p w14:paraId="4E88269C">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②授权委托书或法定代表人（单位负责人、自然人本人）身份证明；</w:t>
            </w:r>
          </w:p>
          <w:p w14:paraId="2816794D">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③联合协议（如需）；</w:t>
            </w:r>
          </w:p>
          <w:p w14:paraId="4E5B8D21">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④分包意向协议（如需）；</w:t>
            </w:r>
          </w:p>
          <w:p w14:paraId="4A5FCEE7">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⑤符合性审查资料；</w:t>
            </w:r>
          </w:p>
          <w:p w14:paraId="3922A703">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⑥评标标准相应的商务技术资料（如需）；</w:t>
            </w:r>
          </w:p>
          <w:p w14:paraId="49A1FF24">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⑦商务技术偏离表；</w:t>
            </w:r>
          </w:p>
          <w:p w14:paraId="55CE7CE0">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zh-CN" w:eastAsia="zh-CN"/>
              </w:rPr>
              <w:t>⑧政府采购供应商廉洁自律承诺书。</w:t>
            </w:r>
          </w:p>
          <w:p w14:paraId="3D85E176">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highlight w:val="none"/>
                <w:lang w:val="zh-CN"/>
              </w:rPr>
            </w:pPr>
            <w:r>
              <w:rPr>
                <w:rFonts w:hint="eastAsia" w:ascii="仿宋" w:hAnsi="仿宋" w:eastAsia="仿宋" w:cs="仿宋"/>
                <w:b/>
                <w:kern w:val="0"/>
                <w:sz w:val="24"/>
                <w:highlight w:val="none"/>
                <w:lang w:val="zh-CN"/>
              </w:rPr>
              <w:t>投标文件项目不齐全或内容虚假的，将视为无效投标。</w:t>
            </w:r>
          </w:p>
        </w:tc>
      </w:tr>
      <w:tr w14:paraId="4EDB2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5967EBC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1676" w:type="dxa"/>
            <w:tcBorders>
              <w:top w:val="single" w:color="000000" w:sz="8" w:space="0"/>
              <w:left w:val="single" w:color="auto" w:sz="4" w:space="0"/>
              <w:right w:val="single" w:color="000000" w:sz="8" w:space="0"/>
            </w:tcBorders>
            <w:vAlign w:val="center"/>
          </w:tcPr>
          <w:p w14:paraId="19220ED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磋商供应商应当提供的报价文件</w:t>
            </w:r>
          </w:p>
        </w:tc>
        <w:tc>
          <w:tcPr>
            <w:tcW w:w="6573" w:type="dxa"/>
            <w:tcBorders>
              <w:top w:val="single" w:color="000000" w:sz="8" w:space="0"/>
              <w:left w:val="single" w:color="000000" w:sz="2" w:space="0"/>
              <w:right w:val="single" w:color="000000" w:sz="8" w:space="0"/>
            </w:tcBorders>
            <w:vAlign w:val="center"/>
          </w:tcPr>
          <w:p w14:paraId="5EAD5EC6">
            <w:pPr>
              <w:pStyle w:val="284"/>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①开标一览表（报价表）；</w:t>
            </w:r>
          </w:p>
          <w:p w14:paraId="16B1C563">
            <w:pPr>
              <w:pStyle w:val="284"/>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②中小企业声明函（如需）。</w:t>
            </w:r>
          </w:p>
          <w:p w14:paraId="1298EC42">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w:t>
            </w:r>
            <w:r>
              <w:rPr>
                <w:rFonts w:hint="eastAsia" w:ascii="仿宋" w:hAnsi="仿宋" w:eastAsia="仿宋" w:cs="仿宋"/>
                <w:b/>
                <w:kern w:val="0"/>
                <w:sz w:val="24"/>
                <w:highlight w:val="none"/>
                <w:lang w:val="zh-CN"/>
              </w:rPr>
              <w:t>将视为无效投标。</w:t>
            </w:r>
          </w:p>
        </w:tc>
      </w:tr>
      <w:tr w14:paraId="20CDC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1451961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09FAAB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573" w:type="dxa"/>
            <w:tcBorders>
              <w:top w:val="single" w:color="000000" w:sz="8" w:space="0"/>
              <w:left w:val="single" w:color="000000" w:sz="2" w:space="0"/>
              <w:bottom w:val="single" w:color="000000" w:sz="8" w:space="0"/>
              <w:right w:val="single" w:color="000000" w:sz="8" w:space="0"/>
            </w:tcBorders>
            <w:vAlign w:val="center"/>
          </w:tcPr>
          <w:p w14:paraId="020319E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9A6794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5D5DB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2C7CAE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2456FD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573" w:type="dxa"/>
            <w:tcBorders>
              <w:top w:val="single" w:color="000000" w:sz="8" w:space="0"/>
              <w:left w:val="single" w:color="000000" w:sz="2" w:space="0"/>
              <w:bottom w:val="single" w:color="000000" w:sz="8" w:space="0"/>
              <w:right w:val="single" w:color="000000" w:sz="8" w:space="0"/>
            </w:tcBorders>
            <w:vAlign w:val="center"/>
          </w:tcPr>
          <w:p w14:paraId="1563656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A不要求提供</w:t>
            </w:r>
            <w:r>
              <w:rPr>
                <w:rFonts w:hint="eastAsia" w:ascii="仿宋" w:hAnsi="仿宋" w:eastAsia="仿宋" w:cs="仿宋"/>
                <w:sz w:val="24"/>
                <w:highlight w:val="none"/>
              </w:rPr>
              <w:t>。</w:t>
            </w:r>
          </w:p>
          <w:p w14:paraId="3C5F5FFA">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highlight w:val="none"/>
              </w:rPr>
            </w:pPr>
            <w:r>
              <w:rPr>
                <w:rFonts w:hint="eastAsia" w:ascii="仿宋" w:hAnsi="仿宋" w:eastAsia="仿宋" w:cs="仿宋"/>
                <w:sz w:val="24"/>
                <w:highlight w:val="none"/>
              </w:rPr>
              <w:t>☐</w:t>
            </w:r>
            <w:r>
              <w:rPr>
                <w:rFonts w:hint="eastAsia" w:ascii="仿宋" w:hAnsi="仿宋" w:eastAsia="仿宋" w:cs="仿宋"/>
                <w:color w:val="auto"/>
                <w:kern w:val="0"/>
                <w:sz w:val="24"/>
                <w:highlight w:val="none"/>
              </w:rPr>
              <w:t>B要求提供：</w:t>
            </w:r>
          </w:p>
          <w:p w14:paraId="2D841C58">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123E7072">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1759129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样品的评审方法以及评审标准</w:t>
            </w:r>
            <w:r>
              <w:rPr>
                <w:rFonts w:hint="eastAsia" w:ascii="仿宋" w:hAnsi="仿宋" w:eastAsia="仿宋" w:cs="仿宋"/>
                <w:snapToGrid w:val="0"/>
                <w:kern w:val="28"/>
                <w:sz w:val="24"/>
                <w:highlight w:val="none"/>
              </w:rPr>
              <w:t>：</w:t>
            </w:r>
            <w:r>
              <w:rPr>
                <w:rFonts w:hint="eastAsia" w:ascii="仿宋" w:hAnsi="仿宋" w:eastAsia="仿宋" w:cs="仿宋"/>
                <w:kern w:val="0"/>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4289E3CE">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是否需要随样品提交检测报告：</w:t>
            </w: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C3A1578">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6D8D4D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AE2B44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制作、运输、安装和保管样品所发生的一切费用由投标人自理。</w:t>
            </w:r>
          </w:p>
        </w:tc>
      </w:tr>
      <w:tr w14:paraId="4D844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77822C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6B9BB6D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573" w:type="dxa"/>
            <w:tcBorders>
              <w:top w:val="single" w:color="000000" w:sz="8" w:space="0"/>
              <w:left w:val="single" w:color="000000" w:sz="2" w:space="0"/>
              <w:bottom w:val="single" w:color="000000" w:sz="8" w:space="0"/>
              <w:right w:val="single" w:color="000000" w:sz="8" w:space="0"/>
            </w:tcBorders>
            <w:vAlign w:val="center"/>
          </w:tcPr>
          <w:p w14:paraId="0A83333F">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A不组织。</w:t>
            </w:r>
          </w:p>
          <w:p w14:paraId="25B03CB9">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B组织。</w:t>
            </w:r>
          </w:p>
          <w:p w14:paraId="7B54F24E">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highlight w:val="none"/>
                <w:lang w:val="en-US" w:eastAsia="zh-CN"/>
              </w:rPr>
              <w:t>15</w:t>
            </w:r>
            <w:r>
              <w:rPr>
                <w:rFonts w:hint="eastAsia" w:ascii="仿宋" w:hAnsi="仿宋" w:eastAsia="仿宋" w:cs="仿宋"/>
                <w:kern w:val="0"/>
                <w:sz w:val="24"/>
                <w:highlight w:val="none"/>
              </w:rPr>
              <w:t>分钟。</w:t>
            </w:r>
          </w:p>
          <w:p w14:paraId="61AB4F68">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w:t>
            </w:r>
          </w:p>
        </w:tc>
      </w:tr>
      <w:tr w14:paraId="42FA4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B068A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highlight w:val="none"/>
              </w:rPr>
            </w:pPr>
            <w:r>
              <w:rPr>
                <w:rFonts w:hint="eastAsia" w:ascii="仿宋" w:hAnsi="仿宋" w:eastAsia="仿宋" w:cs="仿宋"/>
                <w:sz w:val="24"/>
                <w:highlight w:val="none"/>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60B3156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保证金收取</w:t>
            </w:r>
          </w:p>
        </w:tc>
        <w:tc>
          <w:tcPr>
            <w:tcW w:w="6573" w:type="dxa"/>
            <w:tcBorders>
              <w:top w:val="single" w:color="000000" w:sz="8" w:space="0"/>
              <w:left w:val="single" w:color="000000" w:sz="2" w:space="0"/>
              <w:bottom w:val="single" w:color="000000" w:sz="8" w:space="0"/>
              <w:right w:val="single" w:color="000000" w:sz="8" w:space="0"/>
            </w:tcBorders>
            <w:vAlign w:val="center"/>
          </w:tcPr>
          <w:p w14:paraId="377A7EFA">
            <w:pPr>
              <w:keepNext w:val="0"/>
              <w:keepLines w:val="0"/>
              <w:pageBreakBefore w:val="0"/>
              <w:widowControl w:val="0"/>
              <w:numPr>
                <w:ilvl w:val="0"/>
                <w:numId w:val="0"/>
              </w:numPr>
              <w:kinsoku/>
              <w:wordWrap/>
              <w:overflowPunct/>
              <w:topLinePunct w:val="0"/>
              <w:autoSpaceDE/>
              <w:autoSpaceDN/>
              <w:bidi w:val="0"/>
              <w:adjustRightInd w:val="0"/>
              <w:spacing w:line="288" w:lineRule="auto"/>
              <w:textAlignment w:val="auto"/>
              <w:rPr>
                <w:rFonts w:hint="eastAsia" w:ascii="仿宋" w:hAnsi="仿宋" w:eastAsia="仿宋" w:cs="仿宋"/>
                <w:b w:val="0"/>
                <w:bCs w:val="0"/>
                <w:kern w:val="0"/>
                <w:sz w:val="24"/>
                <w:highlight w:val="none"/>
              </w:rPr>
            </w:pPr>
            <w:r>
              <w:rPr>
                <w:rFonts w:hint="eastAsia" w:ascii="仿宋" w:hAnsi="仿宋" w:eastAsia="仿宋" w:cs="仿宋"/>
                <w:b/>
                <w:bCs/>
                <w:kern w:val="0"/>
                <w:sz w:val="24"/>
                <w:highlight w:val="none"/>
                <w:lang w:val="en-US" w:eastAsia="zh-CN"/>
              </w:rPr>
              <w:t>1、</w:t>
            </w:r>
            <w:r>
              <w:rPr>
                <w:rFonts w:hint="eastAsia" w:ascii="仿宋" w:hAnsi="仿宋" w:eastAsia="仿宋" w:cs="仿宋"/>
                <w:b/>
                <w:bCs/>
                <w:kern w:val="0"/>
                <w:sz w:val="24"/>
                <w:highlight w:val="none"/>
                <w:lang w:eastAsia="zh-CN"/>
              </w:rPr>
              <w:t>投标保证金：</w:t>
            </w:r>
            <w:r>
              <w:rPr>
                <w:rFonts w:hint="eastAsia" w:ascii="仿宋" w:hAnsi="仿宋" w:eastAsia="仿宋" w:cs="仿宋"/>
                <w:kern w:val="0"/>
                <w:sz w:val="24"/>
                <w:highlight w:val="none"/>
              </w:rPr>
              <w:t>本</w:t>
            </w:r>
            <w:r>
              <w:rPr>
                <w:rFonts w:hint="eastAsia" w:ascii="仿宋" w:hAnsi="仿宋" w:eastAsia="仿宋" w:cs="仿宋"/>
                <w:b w:val="0"/>
                <w:bCs w:val="0"/>
                <w:kern w:val="0"/>
                <w:sz w:val="24"/>
                <w:highlight w:val="none"/>
              </w:rPr>
              <w:t>项目不收取投标保证金。</w:t>
            </w:r>
          </w:p>
          <w:p w14:paraId="2CAE0E51">
            <w:pPr>
              <w:keepNext w:val="0"/>
              <w:keepLines w:val="0"/>
              <w:pageBreakBefore w:val="0"/>
              <w:widowControl w:val="0"/>
              <w:numPr>
                <w:ilvl w:val="0"/>
                <w:numId w:val="0"/>
              </w:numPr>
              <w:kinsoku/>
              <w:wordWrap/>
              <w:overflowPunct/>
              <w:topLinePunct w:val="0"/>
              <w:autoSpaceDE/>
              <w:autoSpaceDN/>
              <w:bidi w:val="0"/>
              <w:adjustRightInd w:val="0"/>
              <w:spacing w:line="288" w:lineRule="auto"/>
              <w:textAlignment w:val="auto"/>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2、履约保证金：</w:t>
            </w:r>
            <w:r>
              <w:rPr>
                <w:rFonts w:hint="eastAsia" w:ascii="仿宋" w:hAnsi="仿宋" w:eastAsia="仿宋"/>
                <w:sz w:val="24"/>
                <w:highlight w:val="none"/>
              </w:rPr>
              <w:t>合同签订时，中标人须向采购人缴纳本标项采购预算金额的1%作为履约保证金，</w:t>
            </w:r>
            <w:r>
              <w:rPr>
                <w:rFonts w:hint="eastAsia" w:ascii="仿宋" w:hAnsi="仿宋" w:eastAsia="仿宋" w:cs="仿宋"/>
                <w:bCs/>
                <w:sz w:val="24"/>
                <w:highlight w:val="none"/>
              </w:rPr>
              <w:t>合同到期且负责的项目全部完成后无违约情况下</w:t>
            </w:r>
            <w:r>
              <w:rPr>
                <w:rFonts w:ascii="仿宋" w:hAnsi="仿宋" w:eastAsia="仿宋" w:cs="仿宋"/>
                <w:bCs/>
                <w:sz w:val="24"/>
                <w:highlight w:val="none"/>
              </w:rPr>
              <w:t>7</w:t>
            </w:r>
            <w:r>
              <w:rPr>
                <w:rFonts w:hint="eastAsia" w:ascii="仿宋" w:hAnsi="仿宋" w:eastAsia="仿宋" w:cs="仿宋"/>
                <w:bCs/>
                <w:sz w:val="24"/>
                <w:highlight w:val="none"/>
              </w:rPr>
              <w:t>个工作日内无息退还</w:t>
            </w:r>
            <w:r>
              <w:rPr>
                <w:rFonts w:hint="eastAsia" w:ascii="仿宋" w:hAnsi="仿宋" w:eastAsia="仿宋" w:cs="仿宋"/>
                <w:b w:val="0"/>
                <w:bCs w:val="0"/>
                <w:kern w:val="0"/>
                <w:sz w:val="24"/>
                <w:highlight w:val="none"/>
                <w:lang w:val="en-US" w:eastAsia="zh-CN"/>
              </w:rPr>
              <w:t>。</w:t>
            </w:r>
          </w:p>
        </w:tc>
      </w:tr>
      <w:tr w14:paraId="287E6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9FEEA1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EDAA51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采购进口产品</w:t>
            </w:r>
          </w:p>
        </w:tc>
        <w:tc>
          <w:tcPr>
            <w:tcW w:w="6573" w:type="dxa"/>
            <w:tcBorders>
              <w:top w:val="single" w:color="000000" w:sz="8" w:space="0"/>
              <w:left w:val="single" w:color="000000" w:sz="2" w:space="0"/>
              <w:bottom w:val="single" w:color="000000" w:sz="8" w:space="0"/>
              <w:right w:val="single" w:color="000000" w:sz="8" w:space="0"/>
            </w:tcBorders>
            <w:vAlign w:val="center"/>
          </w:tcPr>
          <w:p w14:paraId="6AFC7E0E">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B55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90D1B0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65C50D0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573" w:type="dxa"/>
            <w:tcBorders>
              <w:top w:val="single" w:color="000000" w:sz="8" w:space="0"/>
              <w:left w:val="single" w:color="000000" w:sz="2" w:space="0"/>
              <w:bottom w:val="single" w:color="000000" w:sz="8" w:space="0"/>
              <w:right w:val="single" w:color="000000" w:sz="8" w:space="0"/>
            </w:tcBorders>
            <w:vAlign w:val="center"/>
          </w:tcPr>
          <w:p w14:paraId="53BE33F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val="0"/>
                <w:bCs w:val="0"/>
                <w:color w:val="FF0000"/>
                <w:sz w:val="24"/>
                <w:highlight w:val="none"/>
                <w:u w:val="single"/>
                <w:lang w:val="en-US" w:eastAsia="zh-CN"/>
              </w:rPr>
            </w:pPr>
            <w:r>
              <w:rPr>
                <w:rFonts w:hint="eastAsia" w:ascii="仿宋" w:hAnsi="仿宋" w:eastAsia="仿宋" w:cs="仿宋"/>
                <w:kern w:val="0"/>
                <w:sz w:val="24"/>
                <w:highlight w:val="none"/>
              </w:rPr>
              <w:t>☐A</w:t>
            </w:r>
            <w:r>
              <w:rPr>
                <w:rFonts w:hint="eastAsia" w:ascii="仿宋" w:hAnsi="仿宋" w:eastAsia="仿宋" w:cs="仿宋"/>
                <w:sz w:val="24"/>
                <w:highlight w:val="none"/>
              </w:rPr>
              <w:t>货物类</w:t>
            </w:r>
            <w:r>
              <w:rPr>
                <w:rFonts w:hint="eastAsia" w:ascii="仿宋" w:hAnsi="仿宋" w:eastAsia="仿宋" w:cs="仿宋"/>
                <w:sz w:val="24"/>
                <w:highlight w:val="none"/>
                <w:lang w:eastAsia="zh-CN"/>
              </w:rPr>
              <w:t>，单一产品</w:t>
            </w:r>
            <w:r>
              <w:rPr>
                <w:rFonts w:hint="eastAsia" w:ascii="仿宋" w:hAnsi="仿宋" w:eastAsia="仿宋" w:cs="仿宋"/>
                <w:b w:val="0"/>
                <w:bCs w:val="0"/>
                <w:color w:val="auto"/>
                <w:sz w:val="24"/>
                <w:highlight w:val="none"/>
                <w:lang w:eastAsia="zh-CN"/>
              </w:rPr>
              <w:t>或核心产品为</w:t>
            </w:r>
            <w:r>
              <w:rPr>
                <w:rFonts w:hint="eastAsia" w:ascii="仿宋" w:hAnsi="仿宋" w:eastAsia="仿宋" w:cs="仿宋"/>
                <w:b w:val="0"/>
                <w:bCs w:val="0"/>
                <w:color w:val="auto"/>
                <w:sz w:val="24"/>
                <w:highlight w:val="none"/>
                <w:u w:val="none"/>
                <w:lang w:eastAsia="zh-CN"/>
              </w:rPr>
              <w:t>：</w:t>
            </w:r>
            <w:r>
              <w:rPr>
                <w:rFonts w:hint="eastAsia" w:ascii="仿宋" w:hAnsi="仿宋" w:eastAsia="仿宋" w:cs="仿宋"/>
                <w:b w:val="0"/>
                <w:bCs w:val="0"/>
                <w:color w:val="auto"/>
                <w:sz w:val="24"/>
                <w:highlight w:val="none"/>
                <w:u w:val="single"/>
                <w:lang w:val="en-US" w:eastAsia="zh-CN"/>
              </w:rPr>
              <w:t xml:space="preserve"> / </w:t>
            </w:r>
          </w:p>
          <w:p w14:paraId="28A59841">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B</w:t>
            </w:r>
            <w:r>
              <w:rPr>
                <w:rFonts w:hint="eastAsia" w:ascii="仿宋" w:hAnsi="仿宋" w:eastAsia="仿宋" w:cs="仿宋"/>
                <w:sz w:val="24"/>
                <w:highlight w:val="none"/>
              </w:rPr>
              <w:t>服务类：</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设计服务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14:paraId="06578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EF445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4DEBC01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中小企业划分标准所属行业</w:t>
            </w:r>
          </w:p>
        </w:tc>
        <w:tc>
          <w:tcPr>
            <w:tcW w:w="6573" w:type="dxa"/>
            <w:tcBorders>
              <w:top w:val="single" w:color="000000" w:sz="8" w:space="0"/>
              <w:left w:val="single" w:color="000000" w:sz="2" w:space="0"/>
              <w:bottom w:val="single" w:color="000000" w:sz="8" w:space="0"/>
              <w:right w:val="single" w:color="000000" w:sz="8" w:space="0"/>
            </w:tcBorders>
            <w:vAlign w:val="center"/>
          </w:tcPr>
          <w:p w14:paraId="60995717">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诸暨市东和乡2024-2025年度市政园林、房建设计服务采购项目</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p w14:paraId="7C9AEA47">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highlight w:val="none"/>
                <w:lang w:val="en-US" w:eastAsia="zh-CN"/>
              </w:rPr>
            </w:pPr>
            <w:r>
              <w:rPr>
                <w:rFonts w:hint="eastAsia" w:ascii="仿宋" w:hAnsi="仿宋" w:eastAsia="仿宋" w:cs="仿宋"/>
                <w:kern w:val="0"/>
                <w:sz w:val="24"/>
                <w:highlight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tc>
      </w:tr>
      <w:tr w14:paraId="1E63D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26AA39F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14</w:t>
            </w:r>
          </w:p>
        </w:tc>
        <w:tc>
          <w:tcPr>
            <w:tcW w:w="1676" w:type="dxa"/>
            <w:tcBorders>
              <w:top w:val="single" w:color="000000" w:sz="8" w:space="0"/>
              <w:left w:val="single" w:color="000000" w:sz="2" w:space="0"/>
              <w:right w:val="single" w:color="000000" w:sz="8" w:space="0"/>
            </w:tcBorders>
            <w:vAlign w:val="center"/>
          </w:tcPr>
          <w:p w14:paraId="4E5516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573" w:type="dxa"/>
            <w:tcBorders>
              <w:top w:val="single" w:color="000000" w:sz="8" w:space="0"/>
              <w:left w:val="single" w:color="000000" w:sz="2" w:space="0"/>
              <w:right w:val="single" w:color="000000" w:sz="8" w:space="0"/>
            </w:tcBorders>
            <w:vAlign w:val="center"/>
          </w:tcPr>
          <w:p w14:paraId="26D4608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73F5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6AA9B2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46ED62D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 </w:t>
            </w:r>
          </w:p>
        </w:tc>
        <w:tc>
          <w:tcPr>
            <w:tcW w:w="6573" w:type="dxa"/>
            <w:tcBorders>
              <w:top w:val="single" w:color="000000" w:sz="8" w:space="0"/>
              <w:left w:val="single" w:color="000000" w:sz="2" w:space="0"/>
              <w:bottom w:val="single" w:color="000000" w:sz="8" w:space="0"/>
              <w:right w:val="single" w:color="000000" w:sz="8" w:space="0"/>
            </w:tcBorders>
            <w:vAlign w:val="center"/>
          </w:tcPr>
          <w:p w14:paraId="2EF3CE63">
            <w:pPr>
              <w:pStyle w:val="35"/>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highlight w:val="none"/>
              </w:rPr>
            </w:pPr>
            <w:r>
              <w:rPr>
                <w:rFonts w:hint="eastAsia" w:ascii="仿宋" w:hAnsi="仿宋" w:eastAsia="仿宋" w:cs="仿宋"/>
                <w:b/>
                <w:sz w:val="24"/>
                <w:szCs w:val="24"/>
                <w:highlight w:val="none"/>
                <w:lang w:eastAsia="zh-CN"/>
              </w:rPr>
              <w:t>绍兴盈伽工程咨询有限公司</w:t>
            </w:r>
            <w:r>
              <w:rPr>
                <w:rFonts w:hint="eastAsia" w:ascii="仿宋" w:hAnsi="仿宋" w:eastAsia="仿宋" w:cs="仿宋"/>
                <w:b/>
                <w:sz w:val="24"/>
                <w:szCs w:val="24"/>
                <w:highlight w:val="none"/>
              </w:rPr>
              <w:t>邮箱（</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"mailto:zjztb001@aliyun.com" </w:instrText>
            </w:r>
            <w:r>
              <w:rPr>
                <w:rFonts w:hint="eastAsia" w:ascii="仿宋" w:hAnsi="仿宋" w:eastAsia="仿宋" w:cs="仿宋"/>
                <w:highlight w:val="none"/>
              </w:rPr>
              <w:fldChar w:fldCharType="separate"/>
            </w:r>
            <w:r>
              <w:rPr>
                <w:rStyle w:val="80"/>
                <w:rFonts w:hint="eastAsia" w:ascii="仿宋" w:hAnsi="仿宋" w:eastAsia="仿宋" w:cs="仿宋"/>
                <w:b/>
                <w:snapToGrid/>
                <w:kern w:val="2"/>
                <w:sz w:val="24"/>
                <w:szCs w:val="24"/>
                <w:highlight w:val="none"/>
                <w:lang w:val="en-US" w:eastAsia="zh-CN"/>
              </w:rPr>
              <w:t>3652086121@qq.com</w:t>
            </w:r>
            <w:r>
              <w:rPr>
                <w:rStyle w:val="80"/>
                <w:rFonts w:hint="eastAsia" w:ascii="仿宋" w:hAnsi="仿宋" w:eastAsia="仿宋" w:cs="仿宋"/>
                <w:b/>
                <w:snapToGrid/>
                <w:kern w:val="2"/>
                <w:sz w:val="24"/>
                <w:szCs w:val="24"/>
                <w:highlight w:val="none"/>
              </w:rPr>
              <w:fldChar w:fldCharType="end"/>
            </w:r>
            <w:r>
              <w:rPr>
                <w:rFonts w:hint="eastAsia" w:ascii="仿宋" w:hAnsi="仿宋" w:eastAsia="仿宋" w:cs="仿宋"/>
                <w:b/>
                <w:sz w:val="24"/>
                <w:szCs w:val="24"/>
                <w:highlight w:val="none"/>
              </w:rPr>
              <w:t>）</w:t>
            </w:r>
          </w:p>
        </w:tc>
      </w:tr>
      <w:tr w14:paraId="7D2C2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F5641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D44B0B0">
            <w:pPr>
              <w:pStyle w:val="35"/>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highlight w:val="none"/>
                <w:lang w:val="en-US" w:eastAsia="zh-CN" w:bidi="ar-SA"/>
              </w:rPr>
            </w:pPr>
            <w:r>
              <w:rPr>
                <w:rFonts w:hint="eastAsia" w:ascii="仿宋" w:hAnsi="仿宋" w:eastAsia="仿宋" w:cs="仿宋"/>
                <w:b/>
                <w:bCs/>
                <w:snapToGrid w:val="0"/>
                <w:kern w:val="28"/>
                <w:sz w:val="24"/>
                <w:szCs w:val="24"/>
                <w:highlight w:val="none"/>
                <w:lang w:val="en-US" w:eastAsia="zh-CN" w:bidi="ar-SA"/>
              </w:rPr>
              <w:t>其他</w:t>
            </w:r>
          </w:p>
        </w:tc>
        <w:tc>
          <w:tcPr>
            <w:tcW w:w="6573" w:type="dxa"/>
            <w:tcBorders>
              <w:top w:val="single" w:color="000000" w:sz="8" w:space="0"/>
              <w:left w:val="single" w:color="000000" w:sz="2" w:space="0"/>
              <w:bottom w:val="single" w:color="000000" w:sz="8" w:space="0"/>
              <w:right w:val="single" w:color="000000" w:sz="8" w:space="0"/>
            </w:tcBorders>
            <w:vAlign w:val="center"/>
          </w:tcPr>
          <w:p w14:paraId="029EDC22">
            <w:pPr>
              <w:pStyle w:val="2"/>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4"/>
                <w:rFonts w:hint="eastAsia" w:ascii="仿宋" w:hAnsi="仿宋" w:eastAsia="仿宋" w:cs="仿宋"/>
                <w:b w:val="0"/>
                <w:color w:val="auto"/>
                <w:sz w:val="24"/>
                <w:szCs w:val="24"/>
                <w:highlight w:val="none"/>
              </w:rPr>
            </w:pPr>
            <w:bookmarkStart w:id="10" w:name="_Hlk28095012"/>
            <w:r>
              <w:rPr>
                <w:rFonts w:hint="eastAsia" w:ascii="仿宋" w:hAnsi="仿宋" w:eastAsia="仿宋" w:cs="仿宋"/>
                <w:snapToGrid w:val="0"/>
                <w:kern w:val="28"/>
                <w:sz w:val="24"/>
                <w:szCs w:val="24"/>
                <w:highlight w:val="none"/>
                <w:lang w:val="en-US" w:eastAsia="zh-CN" w:bidi="ar-SA"/>
              </w:rPr>
              <w:t>1、招标代理服务费由中标人支付，收费基数为合同总金额，按以下费率标准计算，计算方式采用差额定率累进法：不足3000按3000收取。</w:t>
            </w:r>
            <w:bookmarkEnd w:id="10"/>
          </w:p>
          <w:tbl>
            <w:tblPr>
              <w:tblStyle w:val="66"/>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848"/>
              <w:gridCol w:w="884"/>
              <w:gridCol w:w="884"/>
              <w:gridCol w:w="871"/>
            </w:tblGrid>
            <w:tr w14:paraId="3FB49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5FC188D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              </w:t>
                  </w:r>
                  <w:r>
                    <w:rPr>
                      <w:rFonts w:hint="eastAsia" w:ascii="仿宋" w:hAnsi="仿宋" w:eastAsia="仿宋" w:cs="仿宋"/>
                      <w:b/>
                      <w:bCs/>
                      <w:i w:val="0"/>
                      <w:iCs w:val="0"/>
                      <w:caps w:val="0"/>
                      <w:color w:val="000000"/>
                      <w:spacing w:val="0"/>
                      <w:kern w:val="0"/>
                      <w:sz w:val="18"/>
                      <w:szCs w:val="18"/>
                      <w:highlight w:val="none"/>
                      <w:lang w:val="en-US" w:eastAsia="zh-CN" w:bidi="ar"/>
                    </w:rPr>
                    <w:t>服务类型     中标金额（万元）</w:t>
                  </w:r>
                </w:p>
              </w:tc>
              <w:tc>
                <w:tcPr>
                  <w:tcW w:w="1065" w:type="dxa"/>
                  <w:noWrap w:val="0"/>
                  <w:vAlign w:val="center"/>
                </w:tcPr>
                <w:p w14:paraId="6D9E13CC">
                  <w:pPr>
                    <w:pStyle w:val="62"/>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i w:val="0"/>
                      <w:iCs w:val="0"/>
                      <w:caps w:val="0"/>
                      <w:color w:val="000000"/>
                      <w:spacing w:val="0"/>
                      <w:sz w:val="18"/>
                      <w:szCs w:val="18"/>
                      <w:highlight w:val="none"/>
                    </w:rPr>
                    <w:t>货物招标</w:t>
                  </w:r>
                </w:p>
              </w:tc>
              <w:tc>
                <w:tcPr>
                  <w:tcW w:w="1065" w:type="dxa"/>
                  <w:noWrap w:val="0"/>
                  <w:vAlign w:val="center"/>
                </w:tcPr>
                <w:p w14:paraId="0DF948B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b/>
                      <w:bCs/>
                      <w:i w:val="0"/>
                      <w:iCs w:val="0"/>
                      <w:caps w:val="0"/>
                      <w:color w:val="000000"/>
                      <w:spacing w:val="0"/>
                      <w:kern w:val="0"/>
                      <w:sz w:val="18"/>
                      <w:szCs w:val="18"/>
                      <w:highlight w:val="none"/>
                      <w:lang w:val="en-US" w:eastAsia="zh-CN" w:bidi="ar"/>
                    </w:rPr>
                    <w:t>服务招标</w:t>
                  </w:r>
                </w:p>
              </w:tc>
              <w:tc>
                <w:tcPr>
                  <w:tcW w:w="1050" w:type="dxa"/>
                  <w:noWrap w:val="0"/>
                  <w:vAlign w:val="center"/>
                </w:tcPr>
                <w:p w14:paraId="5600FF8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b/>
                      <w:bCs/>
                      <w:i w:val="0"/>
                      <w:iCs w:val="0"/>
                      <w:caps w:val="0"/>
                      <w:color w:val="000000"/>
                      <w:spacing w:val="0"/>
                      <w:kern w:val="0"/>
                      <w:sz w:val="18"/>
                      <w:szCs w:val="18"/>
                      <w:highlight w:val="none"/>
                      <w:lang w:val="en-US" w:eastAsia="zh-CN" w:bidi="ar"/>
                    </w:rPr>
                    <w:t>工程招标</w:t>
                  </w:r>
                </w:p>
              </w:tc>
            </w:tr>
            <w:tr w14:paraId="668C2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A2A73C4">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100以下</w:t>
                  </w:r>
                </w:p>
              </w:tc>
              <w:tc>
                <w:tcPr>
                  <w:tcW w:w="1065" w:type="dxa"/>
                  <w:noWrap w:val="0"/>
                  <w:vAlign w:val="center"/>
                </w:tcPr>
                <w:p w14:paraId="1CD9CB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1.5％</w:t>
                  </w:r>
                </w:p>
              </w:tc>
              <w:tc>
                <w:tcPr>
                  <w:tcW w:w="1065" w:type="dxa"/>
                  <w:noWrap w:val="0"/>
                  <w:vAlign w:val="center"/>
                </w:tcPr>
                <w:p w14:paraId="6A2F406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1.5％</w:t>
                  </w:r>
                </w:p>
              </w:tc>
              <w:tc>
                <w:tcPr>
                  <w:tcW w:w="1050" w:type="dxa"/>
                  <w:noWrap w:val="0"/>
                  <w:vAlign w:val="center"/>
                </w:tcPr>
                <w:p w14:paraId="48DCB8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1.0％</w:t>
                  </w:r>
                </w:p>
              </w:tc>
            </w:tr>
            <w:tr w14:paraId="5F9C6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4CC5E1D">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100—500</w:t>
                  </w:r>
                </w:p>
              </w:tc>
              <w:tc>
                <w:tcPr>
                  <w:tcW w:w="1065" w:type="dxa"/>
                  <w:noWrap w:val="0"/>
                  <w:vAlign w:val="center"/>
                </w:tcPr>
                <w:p w14:paraId="0EABE4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1.1％</w:t>
                  </w:r>
                </w:p>
              </w:tc>
              <w:tc>
                <w:tcPr>
                  <w:tcW w:w="1065" w:type="dxa"/>
                  <w:noWrap w:val="0"/>
                  <w:vAlign w:val="center"/>
                </w:tcPr>
                <w:p w14:paraId="62DE800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0.8％</w:t>
                  </w:r>
                </w:p>
              </w:tc>
              <w:tc>
                <w:tcPr>
                  <w:tcW w:w="1050" w:type="dxa"/>
                  <w:noWrap w:val="0"/>
                  <w:vAlign w:val="center"/>
                </w:tcPr>
                <w:p w14:paraId="64D0B64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0.7％</w:t>
                  </w:r>
                </w:p>
              </w:tc>
            </w:tr>
            <w:tr w14:paraId="04B12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7400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500—1000</w:t>
                  </w:r>
                </w:p>
              </w:tc>
              <w:tc>
                <w:tcPr>
                  <w:tcW w:w="1065" w:type="dxa"/>
                  <w:noWrap w:val="0"/>
                  <w:vAlign w:val="center"/>
                </w:tcPr>
                <w:p w14:paraId="17AE7D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0.8％</w:t>
                  </w:r>
                </w:p>
              </w:tc>
              <w:tc>
                <w:tcPr>
                  <w:tcW w:w="1065" w:type="dxa"/>
                  <w:noWrap w:val="0"/>
                  <w:vAlign w:val="center"/>
                </w:tcPr>
                <w:p w14:paraId="74BE67B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0.45％</w:t>
                  </w:r>
                </w:p>
              </w:tc>
              <w:tc>
                <w:tcPr>
                  <w:tcW w:w="1050" w:type="dxa"/>
                  <w:noWrap w:val="0"/>
                  <w:vAlign w:val="center"/>
                </w:tcPr>
                <w:p w14:paraId="1F2FD78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0.55％</w:t>
                  </w:r>
                </w:p>
              </w:tc>
            </w:tr>
            <w:tr w14:paraId="251E51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C1025B0">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1000—5000</w:t>
                  </w:r>
                </w:p>
              </w:tc>
              <w:tc>
                <w:tcPr>
                  <w:tcW w:w="1065" w:type="dxa"/>
                  <w:noWrap w:val="0"/>
                  <w:vAlign w:val="center"/>
                </w:tcPr>
                <w:p w14:paraId="3C616A7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0.5％</w:t>
                  </w:r>
                </w:p>
              </w:tc>
              <w:tc>
                <w:tcPr>
                  <w:tcW w:w="1065" w:type="dxa"/>
                  <w:noWrap w:val="0"/>
                  <w:vAlign w:val="center"/>
                </w:tcPr>
                <w:p w14:paraId="7A07E77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0.25％</w:t>
                  </w:r>
                </w:p>
              </w:tc>
              <w:tc>
                <w:tcPr>
                  <w:tcW w:w="1050" w:type="dxa"/>
                  <w:noWrap w:val="0"/>
                  <w:vAlign w:val="center"/>
                </w:tcPr>
                <w:p w14:paraId="6378462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0.35％</w:t>
                  </w:r>
                </w:p>
              </w:tc>
            </w:tr>
            <w:tr w14:paraId="44C9C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C44465B">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5000—10000</w:t>
                  </w:r>
                </w:p>
              </w:tc>
              <w:tc>
                <w:tcPr>
                  <w:tcW w:w="1065" w:type="dxa"/>
                  <w:noWrap w:val="0"/>
                  <w:vAlign w:val="center"/>
                </w:tcPr>
                <w:p w14:paraId="41BB16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0.25％</w:t>
                  </w:r>
                </w:p>
              </w:tc>
              <w:tc>
                <w:tcPr>
                  <w:tcW w:w="1065" w:type="dxa"/>
                  <w:noWrap w:val="0"/>
                  <w:vAlign w:val="center"/>
                </w:tcPr>
                <w:p w14:paraId="678447C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0.1％</w:t>
                  </w:r>
                </w:p>
              </w:tc>
              <w:tc>
                <w:tcPr>
                  <w:tcW w:w="1050" w:type="dxa"/>
                  <w:noWrap w:val="0"/>
                  <w:vAlign w:val="center"/>
                </w:tcPr>
                <w:p w14:paraId="68EA134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0.2％</w:t>
                  </w:r>
                </w:p>
              </w:tc>
            </w:tr>
            <w:tr w14:paraId="44A53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93FF52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10000——100000</w:t>
                  </w:r>
                </w:p>
              </w:tc>
              <w:tc>
                <w:tcPr>
                  <w:tcW w:w="1065" w:type="dxa"/>
                  <w:noWrap w:val="0"/>
                  <w:vAlign w:val="center"/>
                </w:tcPr>
                <w:p w14:paraId="3C3E01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0.05％</w:t>
                  </w:r>
                </w:p>
              </w:tc>
              <w:tc>
                <w:tcPr>
                  <w:tcW w:w="1065" w:type="dxa"/>
                  <w:noWrap w:val="0"/>
                  <w:vAlign w:val="center"/>
                </w:tcPr>
                <w:p w14:paraId="58DEB5F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0.05％</w:t>
                  </w:r>
                </w:p>
              </w:tc>
              <w:tc>
                <w:tcPr>
                  <w:tcW w:w="1050" w:type="dxa"/>
                  <w:noWrap w:val="0"/>
                  <w:vAlign w:val="center"/>
                </w:tcPr>
                <w:p w14:paraId="7AB20E5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0.05％</w:t>
                  </w:r>
                </w:p>
              </w:tc>
            </w:tr>
            <w:tr w14:paraId="3819A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D34809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1000000以上</w:t>
                  </w:r>
                </w:p>
              </w:tc>
              <w:tc>
                <w:tcPr>
                  <w:tcW w:w="1065" w:type="dxa"/>
                  <w:noWrap w:val="0"/>
                  <w:vAlign w:val="center"/>
                </w:tcPr>
                <w:p w14:paraId="054BD9F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0.01％</w:t>
                  </w:r>
                </w:p>
              </w:tc>
              <w:tc>
                <w:tcPr>
                  <w:tcW w:w="1065" w:type="dxa"/>
                  <w:noWrap w:val="0"/>
                  <w:vAlign w:val="center"/>
                </w:tcPr>
                <w:p w14:paraId="2415302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0.01％</w:t>
                  </w:r>
                </w:p>
              </w:tc>
              <w:tc>
                <w:tcPr>
                  <w:tcW w:w="1050" w:type="dxa"/>
                  <w:noWrap w:val="0"/>
                  <w:vAlign w:val="center"/>
                </w:tcPr>
                <w:p w14:paraId="26EFAB4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highlight w:val="none"/>
                    </w:rPr>
                  </w:pPr>
                  <w:r>
                    <w:rPr>
                      <w:rFonts w:hint="eastAsia" w:ascii="仿宋" w:hAnsi="仿宋" w:eastAsia="仿宋" w:cs="仿宋"/>
                      <w:i w:val="0"/>
                      <w:iCs w:val="0"/>
                      <w:caps w:val="0"/>
                      <w:color w:val="000000"/>
                      <w:spacing w:val="0"/>
                      <w:kern w:val="0"/>
                      <w:sz w:val="18"/>
                      <w:szCs w:val="18"/>
                      <w:highlight w:val="none"/>
                      <w:lang w:val="en-US" w:eastAsia="zh-CN" w:bidi="ar"/>
                    </w:rPr>
                    <w:t>0.01％</w:t>
                  </w:r>
                </w:p>
              </w:tc>
            </w:tr>
          </w:tbl>
          <w:p w14:paraId="7FF1C6A0">
            <w:pPr>
              <w:pStyle w:val="25"/>
              <w:rPr>
                <w:rFonts w:hint="eastAsia" w:ascii="仿宋" w:hAnsi="仿宋" w:eastAsia="仿宋" w:cs="仿宋"/>
                <w:highlight w:val="none"/>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14:paraId="16B0A9E0">
            <w:pPr>
              <w:keepNext w:val="0"/>
              <w:keepLines w:val="0"/>
              <w:pageBreakBefore w:val="0"/>
              <w:widowControl w:val="0"/>
              <w:numPr>
                <w:ilvl w:val="0"/>
                <w:numId w:val="6"/>
              </w:numPr>
              <w:kinsoku/>
              <w:wordWrap/>
              <w:overflowPunct/>
              <w:topLinePunct w:val="0"/>
              <w:autoSpaceDE/>
              <w:autoSpaceDN/>
              <w:bidi w:val="0"/>
              <w:spacing w:line="288" w:lineRule="auto"/>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收取方式：本项目的招标代理服务费由中标人支付，在领取中标通知书时，一次性向采购代理机构付清。</w:t>
            </w:r>
          </w:p>
          <w:p w14:paraId="626220F6">
            <w:pPr>
              <w:keepNext w:val="0"/>
              <w:keepLines w:val="0"/>
              <w:pageBreakBefore w:val="0"/>
              <w:widowControl w:val="0"/>
              <w:numPr>
                <w:ilvl w:val="0"/>
                <w:numId w:val="6"/>
              </w:numPr>
              <w:kinsoku/>
              <w:wordWrap/>
              <w:overflowPunct/>
              <w:topLinePunct w:val="0"/>
              <w:autoSpaceDE/>
              <w:autoSpaceDN/>
              <w:bidi w:val="0"/>
              <w:spacing w:line="288" w:lineRule="auto"/>
              <w:ind w:right="0" w:rightChars="0"/>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收款账户信息：绍兴盈伽工程咨询有限公司，开户行：诸暨农商陶朱支行和泰路分理处，账号：201000337290760。</w:t>
            </w:r>
          </w:p>
        </w:tc>
      </w:tr>
      <w:bookmarkEnd w:id="9"/>
    </w:tbl>
    <w:p w14:paraId="2FC19B2A">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highlight w:val="none"/>
        </w:rPr>
        <w:sectPr>
          <w:footerReference r:id="rId9" w:type="first"/>
          <w:headerReference r:id="rId7" w:type="default"/>
          <w:footerReference r:id="rId8" w:type="default"/>
          <w:pgSz w:w="11906" w:h="16838"/>
          <w:pgMar w:top="1247" w:right="1803" w:bottom="1247" w:left="1803" w:header="907"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11" w:name="_Toc164416483"/>
      <w:bookmarkStart w:id="12" w:name="第三部分"/>
    </w:p>
    <w:p w14:paraId="331B8488">
      <w:pPr>
        <w:keepNext w:val="0"/>
        <w:keepLines w:val="0"/>
        <w:pageBreakBefore w:val="0"/>
        <w:widowControl w:val="0"/>
        <w:kinsoku/>
        <w:wordWrap/>
        <w:overflowPunct/>
        <w:topLinePunct w:val="0"/>
        <w:autoSpaceDE/>
        <w:autoSpaceDN/>
        <w:bidi w:val="0"/>
        <w:adjustRightInd/>
        <w:snapToGrid/>
        <w:spacing w:before="159" w:beforeLines="51" w:beforeAutospacing="0" w:line="240" w:lineRule="auto"/>
        <w:ind w:firstLine="562" w:firstLineChars="200"/>
        <w:jc w:val="center"/>
        <w:textAlignment w:val="auto"/>
        <w:outlineLvl w:val="0"/>
        <w:rPr>
          <w:rFonts w:hint="eastAsia" w:ascii="仿宋" w:hAnsi="仿宋" w:eastAsia="仿宋" w:cs="仿宋"/>
          <w:b/>
          <w:sz w:val="28"/>
          <w:szCs w:val="18"/>
          <w:highlight w:val="none"/>
        </w:rPr>
      </w:pPr>
      <w:r>
        <w:rPr>
          <w:rFonts w:hint="eastAsia" w:ascii="仿宋" w:hAnsi="仿宋" w:eastAsia="仿宋" w:cs="仿宋"/>
          <w:b/>
          <w:sz w:val="28"/>
          <w:szCs w:val="18"/>
          <w:highlight w:val="none"/>
        </w:rPr>
        <w:t>一、总则</w:t>
      </w:r>
    </w:p>
    <w:bookmarkEnd w:id="11"/>
    <w:bookmarkEnd w:id="12"/>
    <w:p w14:paraId="56A62A05">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仿宋" w:hAnsi="仿宋" w:eastAsia="仿宋" w:cs="仿宋"/>
          <w:b/>
          <w:sz w:val="24"/>
          <w:highlight w:val="none"/>
        </w:rPr>
      </w:pPr>
      <w:bookmarkStart w:id="13" w:name="第四部分"/>
      <w:r>
        <w:rPr>
          <w:rFonts w:hint="eastAsia" w:ascii="仿宋" w:hAnsi="仿宋" w:eastAsia="仿宋" w:cs="仿宋"/>
          <w:b/>
          <w:sz w:val="24"/>
          <w:highlight w:val="none"/>
        </w:rPr>
        <w:t>1. 适用范围</w:t>
      </w:r>
    </w:p>
    <w:p w14:paraId="0C54890C">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15D19E89">
      <w:pPr>
        <w:keepNext w:val="0"/>
        <w:keepLines w:val="0"/>
        <w:pageBreakBefore w:val="0"/>
        <w:kinsoku/>
        <w:wordWrap/>
        <w:overflowPunct/>
        <w:topLinePunct w:val="0"/>
        <w:bidi w:val="0"/>
        <w:adjustRightInd/>
        <w:spacing w:line="420" w:lineRule="exact"/>
        <w:ind w:left="0" w:leftChars="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14:paraId="2ADF445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52D24CB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14:paraId="5DA3774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”系指是指响应招标、参加投标竞争的法人、其他组织或者自然人。</w:t>
      </w:r>
    </w:p>
    <w:p w14:paraId="4FE1F40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21ABC2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w:t>
      </w:r>
    </w:p>
    <w:p w14:paraId="4218D77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5FEB699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2.7 “★” 系指实质性要求条款，“</w:t>
      </w:r>
      <w:r>
        <w:rPr>
          <w:rFonts w:hint="eastAsia" w:ascii="仿宋" w:hAnsi="仿宋" w:eastAsia="仿宋" w:cs="仿宋"/>
          <w:kern w:val="0"/>
          <w:sz w:val="24"/>
          <w:highlight w:val="none"/>
        </w:rPr>
        <w:t></w:t>
      </w:r>
      <w:r>
        <w:rPr>
          <w:rFonts w:hint="eastAsia" w:ascii="仿宋" w:hAnsi="仿宋" w:eastAsia="仿宋" w:cs="仿宋"/>
          <w:sz w:val="24"/>
          <w:highlight w:val="none"/>
        </w:rPr>
        <w:t>” 系指适用本项目的要求，“☐” 系指不适用本项目的要求。</w:t>
      </w:r>
    </w:p>
    <w:p w14:paraId="0AF0BD8D">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14:paraId="7F355B5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98A2B1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5508B36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须按招标文件要求提供相关产品认证证书。</w:t>
      </w:r>
      <w:r>
        <w:rPr>
          <w:rFonts w:hint="eastAsia" w:ascii="仿宋" w:hAnsi="仿宋" w:eastAsia="仿宋" w:cs="仿宋"/>
          <w:b/>
          <w:sz w:val="24"/>
          <w:highlight w:val="none"/>
        </w:rPr>
        <w:t>★采购人拟采购的产品属于政府强制采购的节能产品品目清单范围的，</w:t>
      </w:r>
      <w:r>
        <w:rPr>
          <w:rFonts w:hint="eastAsia" w:ascii="仿宋" w:hAnsi="仿宋" w:eastAsia="仿宋" w:cs="仿宋"/>
          <w:b/>
          <w:sz w:val="24"/>
          <w:highlight w:val="none"/>
          <w:lang w:eastAsia="zh-CN"/>
        </w:rPr>
        <w:t>磋商供应商</w:t>
      </w:r>
      <w:r>
        <w:rPr>
          <w:rFonts w:hint="eastAsia" w:ascii="仿宋" w:hAnsi="仿宋" w:eastAsia="仿宋" w:cs="仿宋"/>
          <w:b/>
          <w:sz w:val="24"/>
          <w:highlight w:val="none"/>
        </w:rPr>
        <w:t>未按招标文件要求提供国家确定的认证机构出具的、处于有效期之内的节能产品认证证书的，投标无效。</w:t>
      </w:r>
    </w:p>
    <w:p w14:paraId="66F2C8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2419FD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EAA19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37A917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1801E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2EED97F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提供的货物、工程或者服务符合下列情形的，享受中小企业扶持政策：</w:t>
      </w:r>
    </w:p>
    <w:p w14:paraId="1171A33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57AAFF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3E5D047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3.3.2.3在服务采购项目中，服务由中小企业承接，即提供服务的人员为中小企业依照《中华人民共和国民法典》订立劳动合同的从业人员。</w:t>
      </w:r>
    </w:p>
    <w:p w14:paraId="519ACE3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提供的货物既有中小企业制造货物，也有大型企业制造货物的，不享受中小企业扶持政策。</w:t>
      </w:r>
    </w:p>
    <w:p w14:paraId="102FDDB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426ADC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1C1CF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79D35A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23D20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应按照招标文件格式要求提供《中小企业声明函》，</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提供的《中小企业声明函》与实际情况不符或未按照要求提供的，不享受中小企业扶持政策。声明内容不实的，属于提供虚假材料谋取中标、成交的，依法承担法律责任。</w:t>
      </w:r>
    </w:p>
    <w:p w14:paraId="2E69747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3.3.7中小企业享受扶持政策获得政府采购合同的，小微企业不得将合同分包给大中型企业，中型企业不得将合同分包给大型企业。 </w:t>
      </w:r>
    </w:p>
    <w:p w14:paraId="546F6CF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3.3.8采购人严格贯彻落实《保障中小企业款项支付条例》，按规定向中小企业支付款项。</w:t>
      </w:r>
    </w:p>
    <w:p w14:paraId="5444D1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3.3.9中小企业信用融资：供应商中标后可在政府采购云平台申请政采贷：操作路径：登录政府采购云平台-金融服务中心-【融资服务】。</w:t>
      </w:r>
    </w:p>
    <w:p w14:paraId="0C4A967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0876B65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56D9400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9AE4156">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4. 询问、质疑、投诉</w:t>
      </w:r>
    </w:p>
    <w:p w14:paraId="72C9CCD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4.1供应商询问</w:t>
      </w:r>
    </w:p>
    <w:p w14:paraId="51A260F6">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7DF61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2C909CD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0D6554E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9AD9F8A">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04FC8F2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7800726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11692D98">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4.2.2.4针对采购文件中特定资格条件、采购需求、评分办法提出的质疑，应向采购人提出；对采购文件中其他内容、采购过程、采购结果提出的质疑，应向采购代理机构提出。</w:t>
      </w:r>
    </w:p>
    <w:p w14:paraId="482FDAD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06D99A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4.2.3.1供应商的姓名或者名称、地址、邮编、联系人及联系电话；</w:t>
      </w:r>
    </w:p>
    <w:p w14:paraId="7A479EB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4.2.3.2质疑项目的名称、编号；</w:t>
      </w:r>
    </w:p>
    <w:p w14:paraId="7B4FBC0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4.2.3.3具体、明确的质疑事项和与质疑事项相关的请求；</w:t>
      </w:r>
    </w:p>
    <w:p w14:paraId="5BA362F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4.2.3.4事实依据；</w:t>
      </w:r>
    </w:p>
    <w:p w14:paraId="3F17E0AA">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4.2.3.5必要的法律依据；</w:t>
      </w:r>
    </w:p>
    <w:p w14:paraId="146383C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3.6提出质疑的日期。</w:t>
      </w:r>
    </w:p>
    <w:p w14:paraId="0CC5A66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B036E3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F26AE8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4.2.5询问或者质疑事项可能影响采购结果的，采购人应当暂停签订合同，已经签订合同的，应当中止履行合同。</w:t>
      </w:r>
    </w:p>
    <w:p w14:paraId="7C1B4F6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4.3质疑供应商投诉</w:t>
      </w:r>
    </w:p>
    <w:p w14:paraId="45673DE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996457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4.3.2供应商投诉的事项不得超出已质疑事项的范围，基于质疑答复内容提出的投诉事项除外。</w:t>
      </w:r>
    </w:p>
    <w:p w14:paraId="2425587A">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4.3.3供应商投诉应当有明确的请求和必要的证明材料。</w:t>
      </w:r>
    </w:p>
    <w:p w14:paraId="641EBFA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4.3.5 以联合体形式参加政府采购活动的，其投诉应当由组成联合体的所有供应商共同提出。投诉书范本及制作说明详见附件3。</w:t>
      </w:r>
    </w:p>
    <w:p w14:paraId="2818DFC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1618D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二、招标文件的构成、澄清、补充、修改</w:t>
      </w:r>
    </w:p>
    <w:p w14:paraId="05805B7F">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3DA4E83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2796E042">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096B2DAE">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5.1.2</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须知；</w:t>
      </w:r>
    </w:p>
    <w:p w14:paraId="7065C898">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38398A4F">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D5B22C5">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1451CE10">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432137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澄清、补充、修改的内容为招标文件的组成部分</w:t>
      </w:r>
      <w:r>
        <w:rPr>
          <w:rFonts w:hint="eastAsia" w:ascii="仿宋" w:hAnsi="仿宋" w:eastAsia="仿宋" w:cs="仿宋"/>
          <w:sz w:val="24"/>
          <w:highlight w:val="none"/>
        </w:rPr>
        <w:t>。</w:t>
      </w:r>
    </w:p>
    <w:p w14:paraId="6A37F710">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招标文件的澄清、补充、修改</w:t>
      </w:r>
    </w:p>
    <w:p w14:paraId="6830BA99">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6.1已获取招标文件的潜在</w:t>
      </w:r>
      <w:r>
        <w:rPr>
          <w:rFonts w:hint="eastAsia" w:ascii="仿宋" w:hAnsi="仿宋" w:eastAsia="仿宋" w:cs="仿宋"/>
          <w:highlight w:val="none"/>
          <w:lang w:eastAsia="zh-CN"/>
        </w:rPr>
        <w:t>磋商供应商</w:t>
      </w:r>
      <w:r>
        <w:rPr>
          <w:rFonts w:hint="eastAsia" w:ascii="仿宋" w:hAnsi="仿宋" w:eastAsia="仿宋" w:cs="仿宋"/>
          <w:highlight w:val="none"/>
        </w:rPr>
        <w:t>，若有问题需要澄清，应于投标截止时间前，以书面形式向采购代理机构提出。</w:t>
      </w:r>
    </w:p>
    <w:p w14:paraId="46BDA329">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6.2 采购代理机构对招标文件进行澄清、补充、修改的，将以网上发布补充（更正）公告的形式通知所有潜在</w:t>
      </w:r>
      <w:r>
        <w:rPr>
          <w:rFonts w:hint="eastAsia" w:ascii="仿宋" w:hAnsi="仿宋" w:eastAsia="仿宋" w:cs="仿宋"/>
          <w:highlight w:val="none"/>
          <w:lang w:eastAsia="zh-CN"/>
        </w:rPr>
        <w:t>磋商供应商</w:t>
      </w:r>
      <w:r>
        <w:rPr>
          <w:rFonts w:hint="eastAsia" w:ascii="仿宋" w:hAnsi="仿宋" w:eastAsia="仿宋" w:cs="仿宋"/>
          <w:highlight w:val="none"/>
        </w:rPr>
        <w:t>，同时视情况延长投标截止时间和开标时间。该澄清、补充、修改的内容为招标文件的组成部分。</w:t>
      </w:r>
    </w:p>
    <w:p w14:paraId="229DE479">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6.3当招标文件与澄清、补充、修改就同一内容表述不一致的以最后发出的文件或公告为准。</w:t>
      </w:r>
    </w:p>
    <w:p w14:paraId="750361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14:paraId="5C809D71">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14:paraId="48C8209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08E7196">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6788D85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现场考察或者召开开标前答疑会的，潜在</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按第二部分</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须知前附表的规定参加现场考察或者开标前答疑会。</w:t>
      </w:r>
    </w:p>
    <w:p w14:paraId="39203420">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51A5283C">
      <w:pPr>
        <w:pStyle w:val="17"/>
        <w:keepNext w:val="0"/>
        <w:keepLines w:val="0"/>
        <w:pageBreakBefore w:val="0"/>
        <w:kinsoku/>
        <w:wordWrap/>
        <w:overflowPunct/>
        <w:topLinePunct w:val="0"/>
        <w:bidi w:val="0"/>
        <w:spacing w:line="420" w:lineRule="exact"/>
        <w:ind w:left="0" w:leftChars="0"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0C0AE36">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4D3E3900">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投标文件及</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与采购有关的来往通知、函件和文件均应使用中文。</w:t>
      </w:r>
    </w:p>
    <w:p w14:paraId="7B902E3B">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762824EE">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11.1资格文件：</w:t>
      </w:r>
    </w:p>
    <w:p w14:paraId="6096B34F">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14:paraId="6C080958">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11.1.2落实政府采购政策需满足的资格要求（如需）；</w:t>
      </w:r>
    </w:p>
    <w:p w14:paraId="4F70E80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11.1.3本项目的特定资格要求（如需）。</w:t>
      </w:r>
    </w:p>
    <w:p w14:paraId="21BA55A6">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0C9D16C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49FED314">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7364040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11.2.3联合协议（如需）；</w:t>
      </w:r>
    </w:p>
    <w:p w14:paraId="5AD0CD5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11.2.4分包意向协议（如需）；</w:t>
      </w:r>
    </w:p>
    <w:p w14:paraId="419AB53E">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11.2.5符合性审查资料；</w:t>
      </w:r>
    </w:p>
    <w:p w14:paraId="07F5EE30">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11.2.6评标标准相应的商务技术资料（如需）；</w:t>
      </w:r>
    </w:p>
    <w:p w14:paraId="460A51F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11.2.7商务技术偏离表；</w:t>
      </w:r>
    </w:p>
    <w:p w14:paraId="4F66077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59EF3A0D">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 xml:space="preserve">报价文件： </w:t>
      </w:r>
    </w:p>
    <w:p w14:paraId="685BE2E4">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32F402A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11.3.2中小企业声明函（如需）。</w:t>
      </w:r>
    </w:p>
    <w:p w14:paraId="4C608A99">
      <w:pPr>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11.4投标文件含有采购人不能接受的附加条件的，投标无效；</w:t>
      </w:r>
      <w:r>
        <w:rPr>
          <w:rFonts w:hint="eastAsia" w:ascii="仿宋" w:hAnsi="仿宋" w:eastAsia="仿宋" w:cs="仿宋"/>
          <w:b/>
          <w:sz w:val="24"/>
          <w:highlight w:val="none"/>
          <w:lang w:eastAsia="zh-CN"/>
        </w:rPr>
        <w:t>磋商供应商</w:t>
      </w:r>
      <w:r>
        <w:rPr>
          <w:rFonts w:hint="eastAsia" w:ascii="仿宋" w:hAnsi="仿宋" w:eastAsia="仿宋" w:cs="仿宋"/>
          <w:b/>
          <w:sz w:val="24"/>
          <w:highlight w:val="none"/>
        </w:rPr>
        <w:t>提供虚假材料投标的，投标无效。</w:t>
      </w:r>
    </w:p>
    <w:p w14:paraId="5E849768">
      <w:pPr>
        <w:pStyle w:val="166"/>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14:paraId="0168EB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磋商供应商在编制投标文件时请按照招标文件第六部分规定的格式进行，混乱的编排导致投标文件被误读或评标委员会查找不到有效文件是磋商供应商的风险。</w:t>
      </w:r>
    </w:p>
    <w:p w14:paraId="39E128C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12.2磋商供应商进行电子投标应安装客户端软件—“政采云电子交易客户端”，并按照招标文件和电子交易平台的要求编制并加密投标文件。磋商供应商未按规定加密的投标文件，电子交易平台将拒收并提示。</w:t>
      </w:r>
    </w:p>
    <w:p w14:paraId="7EE3F78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1C571DC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12.4磋商供应商应充分考虑完成平台注册、申领CA证书等所需时间，如未在“政府采购云平台”系统内完成相关流程，而引起的投标或响应无效的责任自负。</w:t>
      </w:r>
    </w:p>
    <w:p w14:paraId="579EF330">
      <w:pPr>
        <w:keepNext w:val="0"/>
        <w:keepLines w:val="0"/>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6E8718DF">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w:t>
      </w:r>
      <w:r>
        <w:rPr>
          <w:rFonts w:hint="eastAsia" w:ascii="仿宋" w:hAnsi="仿宋" w:eastAsia="仿宋" w:cs="仿宋"/>
          <w:b/>
          <w:highlight w:val="none"/>
          <w:lang w:eastAsia="zh-CN"/>
        </w:rPr>
        <w:t>磋商供应商</w:t>
      </w:r>
      <w:r>
        <w:rPr>
          <w:rFonts w:hint="eastAsia" w:ascii="仿宋" w:hAnsi="仿宋" w:eastAsia="仿宋" w:cs="仿宋"/>
          <w:b/>
          <w:highlight w:val="none"/>
        </w:rPr>
        <w:t>的投标文件未按照招标文件要求签署、盖章的，其投标无效</w:t>
      </w:r>
      <w:r>
        <w:rPr>
          <w:rFonts w:hint="eastAsia" w:ascii="仿宋" w:hAnsi="仿宋" w:eastAsia="仿宋" w:cs="仿宋"/>
          <w:szCs w:val="24"/>
          <w:highlight w:val="none"/>
        </w:rPr>
        <w:t>。</w:t>
      </w:r>
    </w:p>
    <w:p w14:paraId="6B91D214">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13.2为确保网上操作合法、有效和安全，</w:t>
      </w:r>
      <w:r>
        <w:rPr>
          <w:rFonts w:hint="eastAsia" w:ascii="仿宋" w:hAnsi="仿宋" w:eastAsia="仿宋" w:cs="仿宋"/>
          <w:highlight w:val="none"/>
          <w:lang w:eastAsia="zh-CN"/>
        </w:rPr>
        <w:t>磋商供应商</w:t>
      </w:r>
      <w:r>
        <w:rPr>
          <w:rFonts w:hint="eastAsia" w:ascii="仿宋" w:hAnsi="仿宋" w:eastAsia="仿宋" w:cs="仿宋"/>
          <w:highlight w:val="none"/>
        </w:rPr>
        <w:t>应当在投标截止时间前完成在“政府采购云平台”的身份认证，确保在电子投标过程中能够对相关数据电文进行加密和使用电子签名。</w:t>
      </w:r>
    </w:p>
    <w:p w14:paraId="4309B505">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51C65838">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14:paraId="0C448A47">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7DA4DD">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7928410">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color w:val="FF0000"/>
          <w:szCs w:val="24"/>
          <w:highlight w:val="none"/>
          <w:u w:val="single"/>
        </w:rPr>
      </w:pPr>
      <w:r>
        <w:rPr>
          <w:rFonts w:hint="eastAsia" w:ascii="仿宋" w:hAnsi="仿宋" w:eastAsia="仿宋" w:cs="仿宋"/>
          <w:szCs w:val="24"/>
          <w:highlight w:val="none"/>
        </w:rPr>
        <w:t>14.3采购人、采购代理机构可以视情况延长投标文件提交的截止时间。在上述情况下，采购代理机构与</w:t>
      </w:r>
      <w:r>
        <w:rPr>
          <w:rFonts w:hint="eastAsia" w:ascii="仿宋" w:hAnsi="仿宋" w:eastAsia="仿宋" w:cs="仿宋"/>
          <w:szCs w:val="24"/>
          <w:highlight w:val="none"/>
          <w:lang w:eastAsia="zh-CN"/>
        </w:rPr>
        <w:t>磋商供应商</w:t>
      </w:r>
      <w:r>
        <w:rPr>
          <w:rFonts w:hint="eastAsia" w:ascii="仿宋" w:hAnsi="仿宋" w:eastAsia="仿宋" w:cs="仿宋"/>
          <w:szCs w:val="24"/>
          <w:highlight w:val="none"/>
        </w:rPr>
        <w:t>以前在投标截止期方面的全部权利、责任和义务，将适用于延长至新的投标截止期。</w:t>
      </w:r>
    </w:p>
    <w:p w14:paraId="11369734">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410D2345">
      <w:pPr>
        <w:pStyle w:val="35"/>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在电子交易平台传输递交投标文件后，还可以在投标截止时间前向绍兴盈伽工程咨询有限公司</w:t>
      </w:r>
      <w:r>
        <w:rPr>
          <w:rFonts w:hint="eastAsia" w:ascii="仿宋" w:hAnsi="仿宋" w:eastAsia="仿宋" w:cs="仿宋"/>
          <w:bCs/>
          <w:sz w:val="24"/>
          <w:szCs w:val="24"/>
          <w:highlight w:val="none"/>
        </w:rPr>
        <w:t>邮箱（3652086121@qq.com</w:t>
      </w:r>
      <w:r>
        <w:rPr>
          <w:rFonts w:hint="eastAsia" w:ascii="仿宋" w:hAnsi="仿宋" w:eastAsia="仿宋" w:cs="仿宋"/>
          <w:sz w:val="24"/>
          <w:szCs w:val="24"/>
          <w:highlight w:val="none"/>
        </w:rPr>
        <w:t>）递交备份投标文件1份，</w:t>
      </w:r>
      <w:r>
        <w:rPr>
          <w:rFonts w:hint="eastAsia" w:ascii="仿宋" w:hAnsi="仿宋" w:eastAsia="仿宋" w:cs="仿宋"/>
          <w:b/>
          <w:sz w:val="24"/>
          <w:szCs w:val="24"/>
          <w:highlight w:val="none"/>
        </w:rPr>
        <w:t>但采购人、采购代理机构不强制或变相强制</w:t>
      </w:r>
      <w:r>
        <w:rPr>
          <w:rFonts w:hint="eastAsia" w:ascii="仿宋" w:hAnsi="仿宋" w:eastAsia="仿宋" w:cs="仿宋"/>
          <w:b/>
          <w:sz w:val="24"/>
          <w:szCs w:val="24"/>
          <w:highlight w:val="none"/>
          <w:lang w:eastAsia="zh-CN"/>
        </w:rPr>
        <w:t>磋商供应商</w:t>
      </w:r>
      <w:r>
        <w:rPr>
          <w:rFonts w:hint="eastAsia" w:ascii="仿宋" w:hAnsi="仿宋" w:eastAsia="仿宋" w:cs="仿宋"/>
          <w:b/>
          <w:sz w:val="24"/>
          <w:szCs w:val="24"/>
          <w:highlight w:val="none"/>
        </w:rPr>
        <w:t>提交备份投标文件。</w:t>
      </w:r>
    </w:p>
    <w:p w14:paraId="23537CD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w:t>
      </w:r>
      <w:r>
        <w:rPr>
          <w:rFonts w:hint="eastAsia" w:ascii="仿宋" w:hAnsi="仿宋" w:eastAsia="仿宋" w:cs="仿宋"/>
          <w:b/>
          <w:sz w:val="24"/>
          <w:szCs w:val="24"/>
          <w:highlight w:val="none"/>
        </w:rPr>
        <w:t xml:space="preserve"> </w:t>
      </w:r>
    </w:p>
    <w:p w14:paraId="4D479E6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15.3采购代理机构将拒绝接受逾期送达的备份投标文件。</w:t>
      </w:r>
    </w:p>
    <w:p w14:paraId="523CC887">
      <w:pPr>
        <w:pStyle w:val="35"/>
        <w:keepNext w:val="0"/>
        <w:keepLines w:val="0"/>
        <w:pageBreakBefore w:val="0"/>
        <w:kinsoku/>
        <w:wordWrap/>
        <w:overflowPunct/>
        <w:topLinePunct w:val="0"/>
        <w:bidi w:val="0"/>
        <w:spacing w:line="420" w:lineRule="exact"/>
        <w:ind w:left="0" w:leftChars="0" w:firstLine="479" w:firstLineChars="199"/>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15.4</w:t>
      </w:r>
      <w:r>
        <w:rPr>
          <w:rFonts w:hint="eastAsia" w:ascii="仿宋" w:hAnsi="仿宋" w:eastAsia="仿宋" w:cs="仿宋"/>
          <w:b/>
          <w:sz w:val="24"/>
          <w:szCs w:val="24"/>
          <w:highlight w:val="none"/>
          <w:lang w:eastAsia="zh-CN"/>
        </w:rPr>
        <w:t>磋商供应商</w:t>
      </w:r>
      <w:r>
        <w:rPr>
          <w:rFonts w:hint="eastAsia" w:ascii="仿宋" w:hAnsi="仿宋" w:eastAsia="仿宋" w:cs="仿宋"/>
          <w:b/>
          <w:sz w:val="24"/>
          <w:szCs w:val="24"/>
          <w:highlight w:val="none"/>
        </w:rPr>
        <w:t>仅提交备份投标文件，没有在电子交易平台传输递交投标文件的，投标无效。</w:t>
      </w:r>
    </w:p>
    <w:p w14:paraId="22EEABCC">
      <w:pPr>
        <w:pStyle w:val="35"/>
        <w:keepNext w:val="0"/>
        <w:keepLines w:val="0"/>
        <w:pageBreakBefore w:val="0"/>
        <w:kinsoku/>
        <w:wordWrap/>
        <w:overflowPunct/>
        <w:topLinePunct w:val="0"/>
        <w:bidi w:val="0"/>
        <w:spacing w:line="420" w:lineRule="exact"/>
        <w:ind w:left="0" w:leftChars="0" w:firstLine="477" w:firstLineChars="1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15.5投标文件如有补充、修改，备份投标文件应同步调整并再次提交，采购代理机构以最新备份投标文件为准。</w:t>
      </w:r>
    </w:p>
    <w:p w14:paraId="3198A73D">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4C96791E">
      <w:pPr>
        <w:pStyle w:val="27"/>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5F91276C">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5660532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sz w:val="24"/>
          <w:highlight w:val="none"/>
        </w:rPr>
        <w:t>★</w:t>
      </w:r>
      <w:r>
        <w:rPr>
          <w:rFonts w:hint="eastAsia" w:ascii="仿宋" w:hAnsi="仿宋" w:eastAsia="仿宋" w:cs="仿宋"/>
          <w:b/>
          <w:sz w:val="24"/>
          <w:szCs w:val="20"/>
          <w:highlight w:val="none"/>
          <w:lang w:eastAsia="zh-CN"/>
        </w:rPr>
        <w:t>磋商供应商</w:t>
      </w:r>
      <w:r>
        <w:rPr>
          <w:rFonts w:hint="eastAsia" w:ascii="仿宋" w:hAnsi="仿宋" w:eastAsia="仿宋" w:cs="仿宋"/>
          <w:b/>
          <w:sz w:val="24"/>
          <w:szCs w:val="20"/>
          <w:highlight w:val="none"/>
        </w:rPr>
        <w:t>的投标文件中承</w:t>
      </w:r>
      <w:r>
        <w:rPr>
          <w:rFonts w:hint="eastAsia" w:ascii="仿宋" w:hAnsi="仿宋" w:eastAsia="仿宋" w:cs="仿宋"/>
          <w:b/>
          <w:sz w:val="24"/>
          <w:szCs w:val="21"/>
          <w:highlight w:val="none"/>
        </w:rPr>
        <w:t>诺的投标有效期少于招标文件中载明的投标有效期的，投标无效。</w:t>
      </w:r>
    </w:p>
    <w:p w14:paraId="7E9926BA">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644A09CB">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w:t>
      </w:r>
      <w:r>
        <w:rPr>
          <w:rFonts w:hint="eastAsia" w:ascii="仿宋" w:hAnsi="仿宋" w:eastAsia="仿宋" w:cs="仿宋"/>
          <w:highlight w:val="none"/>
          <w:lang w:eastAsia="zh-CN"/>
        </w:rPr>
        <w:t>磋商供应商</w:t>
      </w:r>
      <w:r>
        <w:rPr>
          <w:rFonts w:hint="eastAsia" w:ascii="仿宋" w:hAnsi="仿宋" w:eastAsia="仿宋" w:cs="仿宋"/>
          <w:highlight w:val="none"/>
        </w:rPr>
        <w:t>延长投标有效期。</w:t>
      </w:r>
      <w:r>
        <w:rPr>
          <w:rFonts w:hint="eastAsia" w:ascii="仿宋" w:hAnsi="仿宋" w:eastAsia="仿宋" w:cs="仿宋"/>
          <w:highlight w:val="none"/>
          <w:lang w:eastAsia="zh-CN"/>
        </w:rPr>
        <w:t>磋商供应商</w:t>
      </w:r>
      <w:r>
        <w:rPr>
          <w:rFonts w:hint="eastAsia" w:ascii="仿宋" w:hAnsi="仿宋" w:eastAsia="仿宋" w:cs="仿宋"/>
          <w:highlight w:val="none"/>
        </w:rPr>
        <w:t>同意延长的，不得要求或被允许修改其投标文件，</w:t>
      </w:r>
      <w:r>
        <w:rPr>
          <w:rFonts w:hint="eastAsia" w:ascii="仿宋" w:hAnsi="仿宋" w:eastAsia="仿宋" w:cs="仿宋"/>
          <w:highlight w:val="none"/>
          <w:lang w:eastAsia="zh-CN"/>
        </w:rPr>
        <w:t>磋商供应商</w:t>
      </w:r>
      <w:r>
        <w:rPr>
          <w:rFonts w:hint="eastAsia" w:ascii="仿宋" w:hAnsi="仿宋" w:eastAsia="仿宋" w:cs="仿宋"/>
          <w:highlight w:val="none"/>
        </w:rPr>
        <w:t>拒绝延长的，其投标无效。</w:t>
      </w:r>
    </w:p>
    <w:p w14:paraId="60C655A1">
      <w:pPr>
        <w:pStyle w:val="166"/>
        <w:keepNext w:val="0"/>
        <w:keepLines w:val="0"/>
        <w:pageBreakBefore w:val="0"/>
        <w:widowControl w:val="0"/>
        <w:kinsoku/>
        <w:wordWrap/>
        <w:overflowPunct/>
        <w:topLinePunct w:val="0"/>
        <w:autoSpaceDE/>
        <w:autoSpaceDN/>
        <w:bidi w:val="0"/>
        <w:adjustRightInd w:val="0"/>
        <w:snapToGrid/>
        <w:spacing w:before="315" w:beforeLines="101" w:beforeAutospacing="0" w:line="360" w:lineRule="auto"/>
        <w:ind w:left="0" w:leftChars="0" w:firstLine="1928" w:firstLineChars="600"/>
        <w:textAlignment w:val="auto"/>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4ED94F01">
      <w:pPr>
        <w:pStyle w:val="566"/>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14:paraId="6DAEF7DB">
      <w:pPr>
        <w:pStyle w:val="566"/>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均应当准时在线参加。</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不足3家的，不得开标。</w:t>
      </w:r>
    </w:p>
    <w:p w14:paraId="25D8EB93">
      <w:pPr>
        <w:pStyle w:val="566"/>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18.2开标时，电子交易平台按开标时间自动提取所有投标文件。采购代理机构依托电子交易平台发起开始解密指令，</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按照平台提示在招标文件规定时间内完成在线解密。</w:t>
      </w:r>
    </w:p>
    <w:p w14:paraId="10582433">
      <w:pPr>
        <w:pStyle w:val="566"/>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w:t>
      </w:r>
      <w:r>
        <w:rPr>
          <w:rFonts w:hint="eastAsia" w:ascii="仿宋" w:hAnsi="仿宋" w:eastAsia="仿宋" w:cs="仿宋"/>
          <w:b/>
          <w:sz w:val="24"/>
          <w:highlight w:val="none"/>
          <w:lang w:eastAsia="zh-CN"/>
        </w:rPr>
        <w:t>磋商供应商</w:t>
      </w:r>
      <w:r>
        <w:rPr>
          <w:rFonts w:hint="eastAsia" w:ascii="仿宋" w:hAnsi="仿宋" w:eastAsia="仿宋" w:cs="仿宋"/>
          <w:b/>
          <w:sz w:val="24"/>
          <w:highlight w:val="none"/>
        </w:rPr>
        <w:t>提供了备份投标文件的，经</w:t>
      </w:r>
      <w:r>
        <w:rPr>
          <w:rFonts w:hint="eastAsia" w:ascii="仿宋" w:hAnsi="仿宋" w:eastAsia="仿宋" w:cs="仿宋"/>
          <w:b/>
          <w:sz w:val="24"/>
          <w:highlight w:val="none"/>
          <w:lang w:eastAsia="zh-CN"/>
        </w:rPr>
        <w:t>磋商供应商</w:t>
      </w:r>
      <w:r>
        <w:rPr>
          <w:rFonts w:hint="eastAsia" w:ascii="仿宋" w:hAnsi="仿宋" w:eastAsia="仿宋" w:cs="仿宋"/>
          <w:b/>
          <w:sz w:val="24"/>
          <w:highlight w:val="none"/>
        </w:rPr>
        <w:t>同意后以备份投标文件作为依据，否则视为投标文件撤回。投标文件已按时解密的，备份投标文件自动失效。</w:t>
      </w:r>
    </w:p>
    <w:p w14:paraId="4BFB9091">
      <w:pPr>
        <w:pStyle w:val="566"/>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b/>
          <w:sz w:val="24"/>
          <w:highlight w:val="none"/>
        </w:rPr>
      </w:pPr>
      <w:r>
        <w:rPr>
          <w:rFonts w:hint="eastAsia" w:ascii="仿宋" w:hAnsi="仿宋" w:eastAsia="仿宋" w:cs="仿宋"/>
          <w:b/>
          <w:sz w:val="24"/>
          <w:highlight w:val="none"/>
        </w:rPr>
        <w:t>19</w:t>
      </w:r>
      <w:r>
        <w:rPr>
          <w:rFonts w:hint="eastAsia" w:ascii="仿宋" w:hAnsi="仿宋" w:eastAsia="仿宋" w:cs="仿宋"/>
          <w:b/>
          <w:sz w:val="24"/>
          <w:szCs w:val="24"/>
          <w:highlight w:val="none"/>
        </w:rPr>
        <w:t>.</w:t>
      </w:r>
      <w:r>
        <w:rPr>
          <w:rFonts w:hint="eastAsia" w:ascii="仿宋" w:hAnsi="仿宋" w:eastAsia="仿宋" w:cs="仿宋"/>
          <w:b/>
          <w:sz w:val="24"/>
          <w:highlight w:val="none"/>
        </w:rPr>
        <w:t>资格审查</w:t>
      </w:r>
    </w:p>
    <w:p w14:paraId="533086CA">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19.1开标后，采购人或采购代理机构将依法对</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的资格进行审查。</w:t>
      </w:r>
    </w:p>
    <w:p w14:paraId="764E86C3">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采购人或采购代理机构依据法律法规和招标文件的规定，对</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的基本资格条件、特定资格条件进行审查。</w:t>
      </w:r>
    </w:p>
    <w:p w14:paraId="03806C3A">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19.3</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不具备招标文件中规定的资格要求，其投标无效。</w:t>
      </w:r>
    </w:p>
    <w:p w14:paraId="7AC0F9C8">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19.4对未通过资格审查的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，采购人或采购代理机构告知其未通过的原因。</w:t>
      </w:r>
    </w:p>
    <w:p w14:paraId="2E0F20AF">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w:t>
      </w:r>
      <w:r>
        <w:rPr>
          <w:rFonts w:hint="eastAsia" w:ascii="仿宋" w:hAnsi="仿宋" w:eastAsia="仿宋" w:cs="仿宋"/>
          <w:highlight w:val="none"/>
          <w:lang w:eastAsia="zh-CN"/>
        </w:rPr>
        <w:t>磋商供应商</w:t>
      </w:r>
      <w:r>
        <w:rPr>
          <w:rFonts w:hint="eastAsia" w:ascii="仿宋" w:hAnsi="仿宋" w:eastAsia="仿宋" w:cs="仿宋"/>
          <w:highlight w:val="none"/>
        </w:rPr>
        <w:t>不足3家的，不再评标。</w:t>
      </w:r>
    </w:p>
    <w:p w14:paraId="2F8308A2">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51B26217">
      <w:pPr>
        <w:pStyle w:val="166"/>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20.1信用信息查询渠道及截止时间：采购代理机构将通过“信用中国”网站(www.creditchina.gov.cn)、中国政府采购网(www.ccgp.gov.cn)渠道查询</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投标截止时间当天的信用记录。</w:t>
      </w:r>
    </w:p>
    <w:p w14:paraId="3B736ACC">
      <w:pPr>
        <w:pStyle w:val="166"/>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的信用记录、查询结果经确认后将与采购文件一起存档。</w:t>
      </w:r>
    </w:p>
    <w:p w14:paraId="400EB90C">
      <w:pPr>
        <w:pStyle w:val="166"/>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将被拒绝参与政府采购活动。</w:t>
      </w:r>
    </w:p>
    <w:p w14:paraId="6186F025">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1F31CE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五、评标</w:t>
      </w:r>
    </w:p>
    <w:p w14:paraId="6E660D2E">
      <w:pPr>
        <w:pStyle w:val="166"/>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highlight w:val="none"/>
        </w:rPr>
      </w:pPr>
      <w:bookmarkStart w:id="14" w:name="_Toc91899903"/>
      <w:r>
        <w:rPr>
          <w:rFonts w:hint="eastAsia" w:ascii="仿宋" w:hAnsi="仿宋" w:eastAsia="仿宋" w:cs="仿宋"/>
          <w:kern w:val="0"/>
          <w:szCs w:val="24"/>
          <w:highlight w:val="none"/>
        </w:rPr>
        <w:t>21. 评标委员会将根据招标文件和有关规定，履行评标工作职责，并按照评标方法及评分标准，全面衡量各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对招标文件的响应情况。对实质上响应招标文件的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，按照评审因素进行评审。详见招标文件第四部分评标办法。</w:t>
      </w:r>
    </w:p>
    <w:p w14:paraId="447DDB8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六、定标</w:t>
      </w:r>
    </w:p>
    <w:p w14:paraId="47F36F59">
      <w:pPr>
        <w:pStyle w:val="2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22. 确定中标供应商</w:t>
      </w:r>
    </w:p>
    <w:p w14:paraId="66DD21CB">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采购人将自收到评审报告之日起5个工作日内通过电子交易平台在评审报告推荐的中标候选人中确定中标供应商，并将结果确认书面提交给采购代理机构。</w:t>
      </w:r>
    </w:p>
    <w:p w14:paraId="50330617">
      <w:pPr>
        <w:pStyle w:val="166"/>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0FFF07EF">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w:t>
      </w:r>
    </w:p>
    <w:p w14:paraId="06CC0A97">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23.2公告期限为1个工作日。</w:t>
      </w:r>
    </w:p>
    <w:p w14:paraId="66DE58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150"/>
        <w:jc w:val="center"/>
        <w:textAlignment w:val="auto"/>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3A5C2028">
      <w:pPr>
        <w:pStyle w:val="2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14:paraId="38CB520D">
      <w:pPr>
        <w:pStyle w:val="2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25. 合同的签订</w:t>
      </w:r>
    </w:p>
    <w:p w14:paraId="6BC7CF45">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采购人与中标人应当在中标通知书发出之日起三十日内，按照招标文件确定的事项签订政府采购合同，并在合同签订之日起2个工作日内依法发布合同公告。</w:t>
      </w:r>
    </w:p>
    <w:p w14:paraId="6E20C785">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highlight w:val="none"/>
          <w:lang w:val="zh-CN"/>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C1C9D5A">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highlight w:val="none"/>
        </w:rPr>
      </w:pPr>
      <w:r>
        <w:rPr>
          <w:rFonts w:hint="eastAsia" w:ascii="仿宋" w:hAnsi="仿宋" w:eastAsia="仿宋" w:cs="仿宋"/>
          <w:highlight w:val="none"/>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14:paraId="58128B49">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25.4如签订合同并生效后，供应商无故拒绝或延期，除按照合同条款处理外，将上报政府采购监管部门予以处理。</w:t>
      </w:r>
    </w:p>
    <w:p w14:paraId="100F09B3">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25.5中标供应商拒绝与采购人签订合同的，采购人应当重新开展政府采购活动。</w:t>
      </w:r>
    </w:p>
    <w:p w14:paraId="39C8F0BA">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25.6采购合同由采购人与中标供应商根据招标文件、投标文件等内容签订并公告。</w:t>
      </w:r>
    </w:p>
    <w:p w14:paraId="282BA3BF">
      <w:pPr>
        <w:pStyle w:val="2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26. 履约保证金</w:t>
      </w:r>
    </w:p>
    <w:p w14:paraId="42885C0A">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w:t>
      </w:r>
      <w:r>
        <w:rPr>
          <w:rFonts w:hint="eastAsia" w:ascii="仿宋" w:hAnsi="仿宋" w:eastAsia="仿宋" w:cs="仿宋"/>
          <w:kern w:val="0"/>
          <w:sz w:val="24"/>
          <w:highlight w:val="none"/>
        </w:rPr>
        <w:t>的</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w:t>
      </w:r>
    </w:p>
    <w:p w14:paraId="5B22CF30">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32"/>
          <w:highlight w:val="none"/>
        </w:rPr>
      </w:pPr>
      <w:r>
        <w:rPr>
          <w:rFonts w:hint="eastAsia" w:ascii="仿宋" w:hAnsi="仿宋" w:eastAsia="仿宋" w:cs="仿宋"/>
          <w:kern w:val="0"/>
          <w:sz w:val="24"/>
          <w:highlight w:val="none"/>
        </w:rPr>
        <w:t>供应商可登录政府采购云平台-【金融服务】—【我的项目】—【已备案合同】以保函形式提供。政府采购云平台金融专线400-903-9583。</w:t>
      </w:r>
    </w:p>
    <w:p w14:paraId="206C47C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363A42AC">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仿宋" w:hAnsi="仿宋" w:eastAsia="仿宋" w:cs="仿宋"/>
          <w:highlight w:val="none"/>
        </w:rPr>
      </w:pPr>
      <w:r>
        <w:rPr>
          <w:rFonts w:hint="eastAsia" w:ascii="仿宋" w:hAnsi="仿宋" w:eastAsia="仿宋" w:cs="仿宋"/>
          <w:b/>
          <w:bCs/>
          <w:highlight w:val="none"/>
        </w:rPr>
        <w:t xml:space="preserve">27. </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1F378801">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7D4A0F57">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2A59F4C9">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34170109">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7D1E99D6">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19A023E6">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仿宋" w:hAnsi="仿宋" w:eastAsia="仿宋" w:cs="仿宋"/>
          <w:highlight w:val="none"/>
        </w:rPr>
      </w:pPr>
      <w:r>
        <w:rPr>
          <w:rFonts w:hint="eastAsia" w:ascii="仿宋" w:hAnsi="仿宋" w:eastAsia="仿宋" w:cs="仿宋"/>
          <w:b/>
          <w:bCs/>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777482BD">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232FCC3F">
      <w:pPr>
        <w:pStyle w:val="27"/>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14:paraId="3A96793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6078C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或者第三方机构参与验收。参与验收的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或者第三方机构的意见作为验收书的参考资料一并存档。</w:t>
      </w:r>
    </w:p>
    <w:p w14:paraId="298607B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5F75F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1EB1C40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bookmarkStart w:id="15" w:name="_Hlt74707468"/>
      <w:bookmarkEnd w:id="15"/>
      <w:bookmarkStart w:id="16" w:name="_Hlt68072990"/>
      <w:bookmarkEnd w:id="16"/>
      <w:bookmarkStart w:id="17" w:name="_Hlt74730295"/>
      <w:bookmarkEnd w:id="17"/>
      <w:bookmarkStart w:id="18" w:name="_Hlt68057669"/>
      <w:bookmarkEnd w:id="18"/>
      <w:bookmarkStart w:id="19" w:name="_Hlt75236011"/>
      <w:bookmarkEnd w:id="19"/>
      <w:bookmarkStart w:id="20" w:name="_Hlt74714665"/>
      <w:bookmarkEnd w:id="20"/>
      <w:bookmarkStart w:id="21" w:name="_Hlt68403820"/>
      <w:bookmarkEnd w:id="21"/>
      <w:bookmarkStart w:id="22" w:name="_Hlt68072998"/>
      <w:bookmarkEnd w:id="22"/>
      <w:bookmarkStart w:id="23" w:name="_Hlt75236101"/>
      <w:bookmarkEnd w:id="23"/>
      <w:bookmarkStart w:id="24" w:name="_Hlt68073093"/>
      <w:bookmarkEnd w:id="24"/>
      <w:bookmarkStart w:id="25" w:name="_Hlt74729768"/>
      <w:bookmarkEnd w:id="25"/>
      <w:bookmarkStart w:id="26" w:name="_Hlt75236290"/>
      <w:bookmarkEnd w:id="26"/>
    </w:p>
    <w:p w14:paraId="73E0217A">
      <w:pPr>
        <w:snapToGrid w:val="0"/>
        <w:spacing w:line="360" w:lineRule="auto"/>
        <w:ind w:left="120" w:leftChars="57" w:firstLine="482" w:firstLineChars="150"/>
        <w:jc w:val="center"/>
        <w:rPr>
          <w:rFonts w:hint="eastAsia" w:ascii="仿宋" w:hAnsi="仿宋" w:eastAsia="仿宋" w:cs="仿宋"/>
          <w:b/>
          <w:sz w:val="32"/>
          <w:highlight w:val="none"/>
          <w:lang w:val="en-US" w:eastAsia="zh-CN"/>
        </w:rPr>
      </w:pPr>
      <w:r>
        <w:rPr>
          <w:rFonts w:hint="eastAsia" w:ascii="仿宋" w:hAnsi="仿宋" w:eastAsia="仿宋" w:cs="仿宋"/>
          <w:b/>
          <w:sz w:val="32"/>
          <w:highlight w:val="none"/>
          <w:lang w:val="en-US" w:eastAsia="zh-CN"/>
        </w:rPr>
        <w:t>十、监督和解释</w:t>
      </w:r>
    </w:p>
    <w:p w14:paraId="251D67B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.本次招标活动接受</w:t>
      </w:r>
      <w:r>
        <w:rPr>
          <w:rFonts w:hint="eastAsia" w:ascii="仿宋" w:hAnsi="仿宋" w:eastAsia="仿宋" w:cs="仿宋"/>
          <w:kern w:val="0"/>
          <w:sz w:val="24"/>
          <w:highlight w:val="none"/>
          <w:lang w:val="en-US" w:eastAsia="zh-CN"/>
        </w:rPr>
        <w:t>诸暨市财政局</w:t>
      </w:r>
      <w:r>
        <w:rPr>
          <w:rFonts w:hint="eastAsia" w:ascii="仿宋" w:hAnsi="仿宋" w:eastAsia="仿宋" w:cs="仿宋"/>
          <w:kern w:val="0"/>
          <w:sz w:val="24"/>
          <w:highlight w:val="none"/>
        </w:rPr>
        <w:t>的监督。</w:t>
      </w:r>
    </w:p>
    <w:p w14:paraId="4D63471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lang w:eastAsia="zh-CN"/>
        </w:rPr>
        <w:sectPr>
          <w:pgSz w:w="11906" w:h="16838"/>
          <w:pgMar w:top="1247" w:right="1803" w:bottom="1247" w:left="1803" w:header="907" w:footer="992" w:gutter="0"/>
          <w:pgNumType w:fmt="decimal"/>
          <w:cols w:space="720" w:num="1"/>
          <w:titlePg/>
          <w:docGrid w:linePitch="312" w:charSpace="0"/>
        </w:sect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.本</w:t>
      </w:r>
      <w:r>
        <w:rPr>
          <w:rFonts w:hint="eastAsia" w:ascii="仿宋" w:hAnsi="仿宋" w:eastAsia="仿宋" w:cs="仿宋"/>
          <w:kern w:val="0"/>
          <w:sz w:val="24"/>
          <w:highlight w:val="none"/>
          <w:lang w:val="en-US" w:eastAsia="zh-CN"/>
        </w:rPr>
        <w:t>磋商</w:t>
      </w:r>
      <w:r>
        <w:rPr>
          <w:rFonts w:hint="eastAsia" w:ascii="仿宋" w:hAnsi="仿宋" w:eastAsia="仿宋" w:cs="仿宋"/>
          <w:kern w:val="0"/>
          <w:sz w:val="24"/>
          <w:highlight w:val="none"/>
        </w:rPr>
        <w:t>文件的解释权属于采购单位和</w:t>
      </w:r>
      <w:r>
        <w:rPr>
          <w:rFonts w:hint="eastAsia" w:ascii="仿宋" w:hAnsi="仿宋" w:eastAsia="仿宋" w:cs="仿宋"/>
          <w:sz w:val="24"/>
          <w:highlight w:val="none"/>
          <w:lang w:val="en-US" w:eastAsia="zh-CN"/>
        </w:rPr>
        <w:t>绍兴盈伽工程咨询有限公司</w:t>
      </w:r>
      <w:r>
        <w:rPr>
          <w:rFonts w:hint="eastAsia" w:ascii="仿宋" w:hAnsi="仿宋" w:eastAsia="仿宋" w:cs="仿宋"/>
          <w:kern w:val="0"/>
          <w:sz w:val="24"/>
          <w:highlight w:val="none"/>
          <w:lang w:eastAsia="zh-CN"/>
        </w:rPr>
        <w:t>。</w:t>
      </w:r>
    </w:p>
    <w:p w14:paraId="74027197">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第三部分 采购需求</w:t>
      </w:r>
    </w:p>
    <w:p w14:paraId="3F318A51">
      <w:pPr>
        <w:pStyle w:val="408"/>
        <w:keepNext w:val="0"/>
        <w:keepLines w:val="0"/>
        <w:pageBreakBefore w:val="0"/>
        <w:widowControl w:val="0"/>
        <w:numPr>
          <w:ilvl w:val="0"/>
          <w:numId w:val="0"/>
        </w:numPr>
        <w:kinsoku/>
        <w:wordWrap/>
        <w:overflowPunct/>
        <w:topLinePunct w:val="0"/>
        <w:autoSpaceDE/>
        <w:autoSpaceDN/>
        <w:bidi w:val="0"/>
        <w:adjustRightInd/>
        <w:snapToGrid/>
        <w:spacing w:afterLines="0" w:line="420" w:lineRule="exact"/>
        <w:ind w:right="0" w:rightChars="0" w:firstLine="482" w:firstLineChars="200"/>
        <w:jc w:val="left"/>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（一）项目概况：</w:t>
      </w:r>
    </w:p>
    <w:p w14:paraId="189207C2">
      <w:pPr>
        <w:pStyle w:val="408"/>
        <w:keepNext w:val="0"/>
        <w:keepLines w:val="0"/>
        <w:pageBreakBefore w:val="0"/>
        <w:widowControl w:val="0"/>
        <w:kinsoku/>
        <w:wordWrap/>
        <w:overflowPunct/>
        <w:topLinePunct w:val="0"/>
        <w:autoSpaceDE/>
        <w:autoSpaceDN/>
        <w:bidi w:val="0"/>
        <w:adjustRightInd/>
        <w:snapToGrid/>
        <w:spacing w:after="159" w:afterLines="51" w:afterAutospacing="0" w:line="420" w:lineRule="exact"/>
        <w:ind w:left="0" w:leftChars="0" w:right="0" w:rightChars="0" w:firstLine="480" w:firstLineChars="200"/>
        <w:jc w:val="both"/>
        <w:textAlignment w:val="auto"/>
        <w:outlineLvl w:val="9"/>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1、</w:t>
      </w:r>
      <w:r>
        <w:rPr>
          <w:rFonts w:hint="eastAsia" w:ascii="仿宋" w:hAnsi="仿宋" w:eastAsia="仿宋" w:cs="仿宋"/>
          <w:b w:val="0"/>
          <w:bCs w:val="0"/>
          <w:color w:val="auto"/>
          <w:kern w:val="2"/>
          <w:sz w:val="24"/>
          <w:szCs w:val="24"/>
          <w:highlight w:val="none"/>
          <w:lang w:eastAsia="zh-CN"/>
        </w:rPr>
        <w:t>诸暨市东和乡2024-2025年度市政园林、房建设计服务采购项目，采购预算金额为人民币</w:t>
      </w:r>
      <w:r>
        <w:rPr>
          <w:rFonts w:hint="eastAsia" w:ascii="仿宋" w:hAnsi="仿宋" w:eastAsia="仿宋" w:cs="仿宋"/>
          <w:b w:val="0"/>
          <w:bCs w:val="0"/>
          <w:color w:val="auto"/>
          <w:kern w:val="2"/>
          <w:sz w:val="24"/>
          <w:szCs w:val="24"/>
          <w:highlight w:val="none"/>
          <w:lang w:val="en-US" w:eastAsia="zh-CN"/>
        </w:rPr>
        <w:t>陆拾</w:t>
      </w:r>
      <w:r>
        <w:rPr>
          <w:rFonts w:hint="eastAsia" w:ascii="仿宋" w:hAnsi="仿宋" w:eastAsia="仿宋" w:cs="仿宋"/>
          <w:b w:val="0"/>
          <w:bCs w:val="0"/>
          <w:color w:val="auto"/>
          <w:kern w:val="2"/>
          <w:sz w:val="24"/>
          <w:szCs w:val="24"/>
          <w:highlight w:val="none"/>
          <w:lang w:eastAsia="zh-CN"/>
        </w:rPr>
        <w:t>万元整（¥</w:t>
      </w:r>
      <w:r>
        <w:rPr>
          <w:rFonts w:hint="eastAsia" w:ascii="仿宋" w:hAnsi="仿宋" w:eastAsia="仿宋" w:cs="仿宋"/>
          <w:b w:val="0"/>
          <w:bCs w:val="0"/>
          <w:color w:val="auto"/>
          <w:kern w:val="2"/>
          <w:sz w:val="24"/>
          <w:szCs w:val="24"/>
          <w:highlight w:val="none"/>
          <w:lang w:val="en-US" w:eastAsia="zh-CN"/>
        </w:rPr>
        <w:t>6</w:t>
      </w:r>
      <w:r>
        <w:rPr>
          <w:rFonts w:hint="eastAsia" w:ascii="仿宋" w:hAnsi="仿宋" w:eastAsia="仿宋" w:cs="仿宋"/>
          <w:b w:val="0"/>
          <w:bCs w:val="0"/>
          <w:color w:val="auto"/>
          <w:kern w:val="2"/>
          <w:sz w:val="24"/>
          <w:szCs w:val="24"/>
          <w:highlight w:val="none"/>
          <w:lang w:eastAsia="zh-CN"/>
        </w:rPr>
        <w:t>00000.00），本项目分2个标项，每个标项内容和预算金额见下表，按折扣招标，</w:t>
      </w:r>
      <w:r>
        <w:rPr>
          <w:rFonts w:hint="eastAsia" w:ascii="仿宋" w:hAnsi="仿宋" w:eastAsia="仿宋" w:cs="仿宋"/>
          <w:b w:val="0"/>
          <w:bCs w:val="0"/>
          <w:color w:val="auto"/>
          <w:kern w:val="2"/>
          <w:sz w:val="24"/>
          <w:szCs w:val="24"/>
          <w:highlight w:val="none"/>
          <w:lang w:val="en-US" w:eastAsia="zh-CN"/>
        </w:rPr>
        <w:t>工程量</w:t>
      </w:r>
      <w:r>
        <w:rPr>
          <w:rFonts w:hint="eastAsia" w:ascii="仿宋" w:hAnsi="仿宋" w:eastAsia="仿宋" w:cs="仿宋"/>
          <w:b w:val="0"/>
          <w:bCs w:val="0"/>
          <w:color w:val="auto"/>
          <w:kern w:val="2"/>
          <w:sz w:val="24"/>
          <w:szCs w:val="24"/>
          <w:highlight w:val="none"/>
          <w:lang w:eastAsia="zh-CN"/>
        </w:rPr>
        <w:t>按实结算，年度服务期限内，中标单位设计费累计结算金额不超过本项目各标项采购预算金额。</w:t>
      </w:r>
    </w:p>
    <w:tbl>
      <w:tblPr>
        <w:tblStyle w:val="66"/>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6"/>
        <w:gridCol w:w="1688"/>
      </w:tblGrid>
      <w:tr w14:paraId="707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noWrap w:val="0"/>
            <w:vAlign w:val="center"/>
          </w:tcPr>
          <w:p w14:paraId="1E8568D7">
            <w:pPr>
              <w:snapToGrid w:val="0"/>
              <w:spacing w:beforeAutospacing="0"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4916" w:type="dxa"/>
            <w:noWrap w:val="0"/>
            <w:vAlign w:val="center"/>
          </w:tcPr>
          <w:p w14:paraId="5F466CA5">
            <w:pPr>
              <w:snapToGrid w:val="0"/>
              <w:spacing w:line="312"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标项内容</w:t>
            </w:r>
          </w:p>
        </w:tc>
        <w:tc>
          <w:tcPr>
            <w:tcW w:w="1688" w:type="dxa"/>
            <w:noWrap w:val="0"/>
            <w:vAlign w:val="center"/>
          </w:tcPr>
          <w:p w14:paraId="3EE4182B">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预算金额</w:t>
            </w:r>
          </w:p>
        </w:tc>
      </w:tr>
      <w:tr w14:paraId="06C8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4F97F05E">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标项1</w:t>
            </w:r>
          </w:p>
        </w:tc>
        <w:tc>
          <w:tcPr>
            <w:tcW w:w="4916" w:type="dxa"/>
            <w:noWrap w:val="0"/>
            <w:vAlign w:val="center"/>
          </w:tcPr>
          <w:p w14:paraId="202C64AE">
            <w:pPr>
              <w:snapToGrid w:val="0"/>
              <w:spacing w:line="312"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实施区域1</w:t>
            </w:r>
          </w:p>
        </w:tc>
        <w:tc>
          <w:tcPr>
            <w:tcW w:w="1688" w:type="dxa"/>
            <w:noWrap w:val="0"/>
            <w:vAlign w:val="center"/>
          </w:tcPr>
          <w:p w14:paraId="60554DD7">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0万元</w:t>
            </w:r>
          </w:p>
        </w:tc>
      </w:tr>
      <w:tr w14:paraId="776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4344FD9A">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标项2</w:t>
            </w:r>
          </w:p>
        </w:tc>
        <w:tc>
          <w:tcPr>
            <w:tcW w:w="4916" w:type="dxa"/>
            <w:noWrap w:val="0"/>
            <w:vAlign w:val="center"/>
          </w:tcPr>
          <w:p w14:paraId="3BF48ACF">
            <w:pPr>
              <w:snapToGrid w:val="0"/>
              <w:spacing w:line="312" w:lineRule="auto"/>
              <w:jc w:val="center"/>
              <w:rPr>
                <w:rFonts w:hint="default" w:ascii="仿宋" w:hAnsi="仿宋" w:eastAsia="仿宋" w:cs="仿宋"/>
                <w:sz w:val="24"/>
                <w:highlight w:val="none"/>
                <w:lang w:val="en-US"/>
              </w:rPr>
            </w:pPr>
            <w:r>
              <w:rPr>
                <w:rFonts w:hint="eastAsia" w:ascii="仿宋" w:hAnsi="仿宋" w:eastAsia="仿宋" w:cs="仿宋"/>
                <w:sz w:val="24"/>
                <w:highlight w:val="none"/>
                <w:lang w:val="en-US" w:eastAsia="zh-CN"/>
              </w:rPr>
              <w:t>实施区域2</w:t>
            </w:r>
          </w:p>
        </w:tc>
        <w:tc>
          <w:tcPr>
            <w:tcW w:w="1688" w:type="dxa"/>
            <w:noWrap w:val="0"/>
            <w:vAlign w:val="center"/>
          </w:tcPr>
          <w:p w14:paraId="19F03AD9">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0万元</w:t>
            </w:r>
          </w:p>
        </w:tc>
      </w:tr>
      <w:tr w14:paraId="468C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05" w:type="dxa"/>
            <w:gridSpan w:val="2"/>
            <w:noWrap w:val="0"/>
            <w:vAlign w:val="center"/>
          </w:tcPr>
          <w:p w14:paraId="2B54AE76">
            <w:pPr>
              <w:snapToGrid w:val="0"/>
              <w:spacing w:line="312" w:lineRule="auto"/>
              <w:jc w:val="center"/>
              <w:rPr>
                <w:rFonts w:hint="eastAsia" w:ascii="仿宋" w:hAnsi="仿宋" w:eastAsia="仿宋" w:cs="仿宋"/>
                <w:sz w:val="24"/>
                <w:highlight w:val="none"/>
              </w:rPr>
            </w:pPr>
            <w:r>
              <w:rPr>
                <w:rFonts w:hint="eastAsia" w:ascii="仿宋" w:hAnsi="仿宋" w:eastAsia="仿宋" w:cs="仿宋"/>
                <w:bCs/>
                <w:sz w:val="24"/>
                <w:highlight w:val="none"/>
              </w:rPr>
              <w:t>合计</w:t>
            </w:r>
          </w:p>
        </w:tc>
        <w:tc>
          <w:tcPr>
            <w:tcW w:w="1688" w:type="dxa"/>
            <w:noWrap w:val="0"/>
            <w:vAlign w:val="center"/>
          </w:tcPr>
          <w:p w14:paraId="26C53A10">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0万元</w:t>
            </w:r>
          </w:p>
        </w:tc>
      </w:tr>
    </w:tbl>
    <w:p w14:paraId="10970CC7">
      <w:pPr>
        <w:keepNext w:val="0"/>
        <w:keepLines w:val="0"/>
        <w:pageBreakBefore w:val="0"/>
        <w:widowControl w:val="0"/>
        <w:kinsoku/>
        <w:wordWrap/>
        <w:overflowPunct/>
        <w:topLinePunct w:val="0"/>
        <w:autoSpaceDE/>
        <w:autoSpaceDN/>
        <w:bidi w:val="0"/>
        <w:adjustRightInd w:val="0"/>
        <w:snapToGrid w:val="0"/>
        <w:spacing w:before="98" w:beforeLines="31" w:beforeAutospacing="0" w:line="312" w:lineRule="auto"/>
        <w:ind w:firstLine="482" w:firstLineChars="200"/>
        <w:textAlignment w:val="auto"/>
        <w:rPr>
          <w:rFonts w:hint="eastAsia" w:ascii="仿宋" w:hAnsi="仿宋" w:eastAsia="仿宋" w:cs="仿宋"/>
          <w:bCs/>
          <w:sz w:val="24"/>
          <w:highlight w:val="none"/>
        </w:rPr>
      </w:pPr>
      <w:r>
        <w:rPr>
          <w:rFonts w:hint="eastAsia" w:ascii="仿宋" w:hAnsi="仿宋" w:eastAsia="仿宋" w:cs="仿宋"/>
          <w:b/>
          <w:sz w:val="24"/>
          <w:highlight w:val="none"/>
        </w:rPr>
        <w:t>2</w:t>
      </w:r>
      <w:r>
        <w:rPr>
          <w:rFonts w:hint="eastAsia" w:ascii="仿宋" w:hAnsi="仿宋" w:eastAsia="仿宋" w:cs="仿宋"/>
          <w:bCs/>
          <w:sz w:val="24"/>
          <w:highlight w:val="none"/>
        </w:rPr>
        <w:t>.</w:t>
      </w:r>
      <w:r>
        <w:rPr>
          <w:rFonts w:hint="eastAsia" w:ascii="仿宋" w:hAnsi="仿宋" w:eastAsia="仿宋" w:cs="仿宋"/>
          <w:b/>
          <w:bCs/>
          <w:sz w:val="24"/>
          <w:highlight w:val="none"/>
        </w:rPr>
        <w:t>服务期限：</w:t>
      </w:r>
      <w:r>
        <w:rPr>
          <w:rFonts w:hint="eastAsia" w:ascii="仿宋" w:hAnsi="仿宋" w:eastAsia="仿宋" w:cs="仿宋"/>
          <w:bCs/>
          <w:sz w:val="24"/>
          <w:highlight w:val="none"/>
          <w:lang w:val="en-US" w:eastAsia="zh-CN"/>
        </w:rPr>
        <w:t>本项目的合同履约期限均为合同签订之日起至2025年12月31日止，或各标项实际结算费用达到预算金额（以先到为准）。如未及时招标，经与业主协商要求，可适当延期至下一阶段招标。</w:t>
      </w:r>
    </w:p>
    <w:p w14:paraId="425F69ED">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3.收费标准：</w:t>
      </w:r>
      <w:r>
        <w:rPr>
          <w:rFonts w:hint="eastAsia" w:ascii="仿宋" w:hAnsi="仿宋" w:eastAsia="仿宋" w:cs="仿宋"/>
          <w:bCs/>
          <w:sz w:val="24"/>
          <w:highlight w:val="none"/>
          <w:lang w:val="en-US" w:eastAsia="zh-CN"/>
        </w:rPr>
        <w:t>参照</w:t>
      </w:r>
      <w:r>
        <w:rPr>
          <w:rFonts w:hint="eastAsia" w:ascii="仿宋" w:hAnsi="仿宋" w:eastAsia="仿宋" w:cs="仿宋"/>
          <w:bCs/>
          <w:sz w:val="24"/>
          <w:highlight w:val="none"/>
        </w:rPr>
        <w:t>《工程勘察设计收费标准》（2002年修订本）</w:t>
      </w:r>
      <w:r>
        <w:rPr>
          <w:rFonts w:hint="eastAsia" w:ascii="仿宋" w:hAnsi="仿宋" w:eastAsia="仿宋" w:cs="仿宋"/>
          <w:bCs/>
          <w:sz w:val="24"/>
          <w:highlight w:val="none"/>
          <w:lang w:val="en-US" w:eastAsia="zh-CN"/>
        </w:rPr>
        <w:t>执行，本年度所有项目的工程设计收费标准的调整系数按专业调整系数为1，工程复杂程度系数为0.85，附加调整系数为1执行。</w:t>
      </w:r>
    </w:p>
    <w:p w14:paraId="4C0161D0">
      <w:pPr>
        <w:keepNext w:val="0"/>
        <w:keepLines w:val="0"/>
        <w:pageBreakBefore w:val="0"/>
        <w:widowControl w:val="0"/>
        <w:kinsoku/>
        <w:wordWrap/>
        <w:overflowPunct/>
        <w:topLinePunct w:val="0"/>
        <w:autoSpaceDE/>
        <w:autoSpaceDN/>
        <w:bidi w:val="0"/>
        <w:adjustRightInd w:val="0"/>
        <w:spacing w:line="312" w:lineRule="auto"/>
        <w:textAlignment w:val="auto"/>
        <w:rPr>
          <w:rFonts w:hint="default" w:ascii="仿宋" w:hAnsi="仿宋" w:eastAsia="仿宋" w:cs="仿宋"/>
          <w:b/>
          <w:sz w:val="24"/>
          <w:highlight w:val="none"/>
          <w:lang w:val="en-US" w:eastAsia="zh-CN"/>
        </w:rPr>
      </w:pPr>
      <w:r>
        <w:rPr>
          <w:rFonts w:hint="eastAsia" w:ascii="仿宋" w:hAnsi="仿宋" w:eastAsia="仿宋" w:cs="仿宋"/>
          <w:b/>
          <w:sz w:val="24"/>
          <w:highlight w:val="none"/>
        </w:rPr>
        <w:t>（二）</w:t>
      </w:r>
      <w:r>
        <w:rPr>
          <w:rFonts w:hint="eastAsia" w:ascii="仿宋" w:hAnsi="仿宋" w:eastAsia="仿宋" w:cs="仿宋"/>
          <w:b/>
          <w:sz w:val="24"/>
          <w:highlight w:val="none"/>
          <w:lang w:val="en-US" w:eastAsia="zh-CN"/>
        </w:rPr>
        <w:t>服务要求</w:t>
      </w:r>
    </w:p>
    <w:p w14:paraId="03FA28E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服务内容（包括但不限于）:方案设计及深化、初步设计、概算编制、施工图设计、报批审查配合、按审查和招标人意见对整个设计过程的修改、深化整合和优化设计；按文件要求提供纸质和电子图纸；设计补图和工程施工阶段的变更联系单；施工配合、验收配合等相关服务；根据工程实际需要提供现场服务等。</w:t>
      </w:r>
    </w:p>
    <w:p w14:paraId="39EAE73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2、设计要求（包括但不限于）:</w:t>
      </w:r>
    </w:p>
    <w:p w14:paraId="0B49B4C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（1）中标人应按国家技术规范、标准、规程及采购人提出的设计要求，进行工程设计，按合同规定的进度要求提交质量合格的设计资料，并对其负责。</w:t>
      </w:r>
    </w:p>
    <w:p w14:paraId="0E341DD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（2）中标人采用的主要技术标准：按国家现行的设计规范和要求。</w:t>
      </w:r>
    </w:p>
    <w:p w14:paraId="53A92BF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（3）质量要求：中标人提供的设计文件应符合国家相关规范（或规定）的要求，并满足采购人的要求并满足相关规范规定。</w:t>
      </w:r>
    </w:p>
    <w:p w14:paraId="338B21A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（4）中标人应向采购人交付的设计资料及文件（包括但不限于）：纸质施工图文件（每个项目8套）、电子存档文件（每个项目以光盘或U盘形式递交一份，包含单个项目的全套电子成果资料）</w:t>
      </w:r>
    </w:p>
    <w:p w14:paraId="2EA538A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中标人交付设计资料及文件后，应按规定参加有关的设计审查，并根据审查结论负责对不超出原定设计范围的内容做必要调整和补充。中标人按合同规定时限交付设计资料及文件，并负责向采购人及施工单位进行设计交底、处理有关设计问题和参加竣工验收。</w:t>
      </w:r>
    </w:p>
    <w:p w14:paraId="609C117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6）中标人应保护采购人的知识产权，不得向第三人泄露、转让采购人提交的产品图纸等技术经济资料，并在提供服务过程中不得侵犯任何第三方知识产权。如发生以上情况并给采购人造成经济或名誉损失的，采购人有权向中标人索赔。</w:t>
      </w:r>
    </w:p>
    <w:p w14:paraId="4C69E42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（7）如需设计人员参加建设单位组织的（包括但不限于）施工图论证、施工图完善优化、施工图交底、技术答疑、监理例会等现场或线上会议的，设计人员均不得缺席，每缺席一次的将被扣除该项目1%的设计费。</w:t>
      </w:r>
    </w:p>
    <w:p w14:paraId="2FB14BE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（8）本工程设计资料及文件中的建筑材料、建筑构配件和设备，中标人应当注明其规格、型号、性能等技术指标，但不得指定生产厂商或供应商。</w:t>
      </w:r>
    </w:p>
    <w:p w14:paraId="07E66E2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（9）施工图设计的设计深度除取得地方有关建设管理部门的审核批准外，还必须满足工程施工及工程发包的需要。</w:t>
      </w:r>
    </w:p>
    <w:p w14:paraId="63BB281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（10）施工图必须由中标人组织设计，中标人不得擅自将部分或全部服务内容分包给其他人。</w:t>
      </w:r>
    </w:p>
    <w:p w14:paraId="7F33842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（11）投标人中标后在服务期内设计团队人员不得随意变动，如遇特殊情况确需变更，则须经采购人同意后方可变更，否则采购人有权取消其中标资格并追究相关责任。</w:t>
      </w:r>
    </w:p>
    <w:p w14:paraId="6A663CFA">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eastAsia="仿宋"/>
          <w:b/>
          <w:color w:val="auto"/>
          <w:sz w:val="24"/>
          <w:highlight w:val="none"/>
        </w:rPr>
      </w:pPr>
      <w:r>
        <w:rPr>
          <w:rFonts w:hint="eastAsia" w:eastAsia="仿宋"/>
          <w:b/>
          <w:color w:val="auto"/>
          <w:sz w:val="24"/>
          <w:highlight w:val="none"/>
        </w:rPr>
        <w:t>（三）</w:t>
      </w:r>
      <w:r>
        <w:rPr>
          <w:rFonts w:hint="eastAsia" w:eastAsia="仿宋"/>
          <w:b/>
          <w:color w:val="auto"/>
          <w:sz w:val="24"/>
          <w:highlight w:val="none"/>
          <w:lang w:val="en-US" w:eastAsia="zh-CN"/>
        </w:rPr>
        <w:t>项目</w:t>
      </w:r>
      <w:r>
        <w:rPr>
          <w:rFonts w:hint="eastAsia" w:eastAsia="仿宋"/>
          <w:b/>
          <w:color w:val="auto"/>
          <w:sz w:val="24"/>
          <w:highlight w:val="none"/>
        </w:rPr>
        <w:t>主要技术标准</w:t>
      </w:r>
    </w:p>
    <w:p w14:paraId="3D15E05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rPr>
      </w:pPr>
      <w:r>
        <w:rPr>
          <w:rFonts w:hint="eastAsia" w:eastAsia="仿宋"/>
          <w:bCs/>
          <w:color w:val="auto"/>
          <w:sz w:val="24"/>
          <w:highlight w:val="none"/>
        </w:rPr>
        <w:t>设计过程和成果必须符合国家有关标准强制性条文现行的标准、规范、规程、定额、办法、示例，以及招标项目所在地设计方面的文件、规定。</w:t>
      </w:r>
    </w:p>
    <w:p w14:paraId="060262E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rPr>
      </w:pPr>
      <w:r>
        <w:rPr>
          <w:rFonts w:hint="eastAsia" w:eastAsia="仿宋"/>
          <w:bCs/>
          <w:color w:val="auto"/>
          <w:sz w:val="24"/>
          <w:highlight w:val="none"/>
          <w:lang w:val="en-US" w:eastAsia="zh-CN"/>
        </w:rPr>
        <w:t>设计人</w:t>
      </w:r>
      <w:r>
        <w:rPr>
          <w:rFonts w:hint="eastAsia" w:eastAsia="仿宋"/>
          <w:bCs/>
          <w:color w:val="auto"/>
          <w:sz w:val="24"/>
          <w:highlight w:val="none"/>
        </w:rPr>
        <w:t>在</w:t>
      </w:r>
      <w:r>
        <w:rPr>
          <w:rFonts w:hint="eastAsia" w:eastAsia="仿宋"/>
          <w:bCs/>
          <w:color w:val="auto"/>
          <w:sz w:val="24"/>
          <w:highlight w:val="none"/>
          <w:lang w:val="en-US" w:eastAsia="zh-CN"/>
        </w:rPr>
        <w:t>设计</w:t>
      </w:r>
      <w:r>
        <w:rPr>
          <w:rFonts w:hint="eastAsia" w:eastAsia="仿宋"/>
          <w:bCs/>
          <w:color w:val="auto"/>
          <w:sz w:val="24"/>
          <w:highlight w:val="none"/>
        </w:rPr>
        <w:t>工作中使用或参考上述标准、规范以外的技术标准、规范时，应征得采购人或采购人的指定代表人的同意。</w:t>
      </w:r>
    </w:p>
    <w:p w14:paraId="02A075C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Cs/>
          <w:color w:val="auto"/>
          <w:sz w:val="24"/>
          <w:highlight w:val="none"/>
        </w:rPr>
      </w:pPr>
      <w:r>
        <w:rPr>
          <w:rFonts w:hint="eastAsia" w:eastAsia="仿宋"/>
          <w:bCs/>
          <w:color w:val="auto"/>
          <w:sz w:val="24"/>
          <w:highlight w:val="none"/>
        </w:rPr>
        <w:t>在合同履行过程中，如果国家或有关部门颁布了新的技术标准或规范，则应采用新的标准或规范进行设计。</w:t>
      </w:r>
    </w:p>
    <w:p w14:paraId="574DAC7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eastAsia="仿宋"/>
          <w:b w:val="0"/>
          <w:bCs/>
          <w:color w:val="auto"/>
          <w:sz w:val="24"/>
          <w:highlight w:val="none"/>
        </w:rPr>
      </w:pPr>
      <w:r>
        <w:rPr>
          <w:rFonts w:hint="eastAsia" w:eastAsia="仿宋"/>
          <w:b w:val="0"/>
          <w:bCs/>
          <w:color w:val="auto"/>
          <w:sz w:val="24"/>
          <w:highlight w:val="none"/>
        </w:rPr>
        <w:t>设计人在设计工作中必须使用中华人民共和国《工程建设标准强制性条文》和下述标准、规范（</w:t>
      </w:r>
      <w:r>
        <w:rPr>
          <w:rFonts w:hint="eastAsia" w:eastAsia="仿宋"/>
          <w:b w:val="0"/>
          <w:bCs/>
          <w:color w:val="auto"/>
          <w:sz w:val="24"/>
          <w:highlight w:val="none"/>
          <w:lang w:val="en-US" w:eastAsia="zh-CN"/>
        </w:rPr>
        <w:t>包括但</w:t>
      </w:r>
      <w:r>
        <w:rPr>
          <w:rFonts w:hint="eastAsia" w:eastAsia="仿宋"/>
          <w:b w:val="0"/>
          <w:bCs/>
          <w:color w:val="auto"/>
          <w:sz w:val="24"/>
          <w:highlight w:val="none"/>
        </w:rPr>
        <w:t>不限于）：</w:t>
      </w:r>
    </w:p>
    <w:p w14:paraId="75082767">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《城市道路工程设计规范》（CJJ37-2012）;</w:t>
      </w:r>
    </w:p>
    <w:p w14:paraId="2AA69CA1">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《城镇道路路面设计规范》（CJJ169-2012）；</w:t>
      </w:r>
    </w:p>
    <w:p w14:paraId="35D0DFE3">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《道路交通标志和标线》（GB5768-2009）;</w:t>
      </w:r>
    </w:p>
    <w:p w14:paraId="7E831413">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《建筑基础处理技术规范》（JGJ50-2001）;</w:t>
      </w:r>
    </w:p>
    <w:p w14:paraId="27599343">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《城市道路和建筑物无障碍设计规范》（JGJ50-2011）;</w:t>
      </w:r>
    </w:p>
    <w:p w14:paraId="1C720039">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《城镇道路工程施工与验收规范》（CJJ1-2008）；</w:t>
      </w:r>
    </w:p>
    <w:p w14:paraId="6AAD91DA">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《城镇道路养护技术规范》（CJJ36-2006）；</w:t>
      </w:r>
    </w:p>
    <w:p w14:paraId="024A8CB4">
      <w:pPr>
        <w:keepNext w:val="0"/>
        <w:keepLines w:val="0"/>
        <w:pageBreakBefore w:val="0"/>
        <w:widowControl w:val="0"/>
        <w:numPr>
          <w:ilvl w:val="0"/>
          <w:numId w:val="7"/>
        </w:numPr>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《室外排水设计规范》（GB50014-2006）；</w:t>
      </w:r>
    </w:p>
    <w:p w14:paraId="03564FCF">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《给水排水工程构筑物结构设计规范》（GB50069-2002）；</w:t>
      </w:r>
    </w:p>
    <w:p w14:paraId="5203062E">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《给水排水工程管道结构设计规范》（GB50332-2002）；</w:t>
      </w:r>
    </w:p>
    <w:p w14:paraId="5984ACBD">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《给水排水工程管道工程施工及验收规范》（GB50268-2008）；</w:t>
      </w:r>
    </w:p>
    <w:p w14:paraId="68A04953">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《给水排水构筑物工程施工及验收规范》（GB50332-2002）；</w:t>
      </w:r>
    </w:p>
    <w:p w14:paraId="71C5B492">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《城市绿化条例》（国务院 1992.08.01 实施）</w:t>
      </w:r>
      <w:r>
        <w:rPr>
          <w:rFonts w:hint="eastAsia" w:ascii="仿宋" w:hAnsi="仿宋" w:eastAsia="仿宋" w:cs="仿宋"/>
          <w:bCs/>
          <w:color w:val="auto"/>
          <w:sz w:val="24"/>
          <w:highlight w:val="none"/>
          <w:lang w:eastAsia="zh-CN"/>
        </w:rPr>
        <w:t>；</w:t>
      </w:r>
    </w:p>
    <w:p w14:paraId="6918BA96">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《城市绿地设计规范》（GB 50420-2007）</w:t>
      </w:r>
      <w:r>
        <w:rPr>
          <w:rFonts w:hint="eastAsia" w:ascii="仿宋" w:hAnsi="仿宋" w:eastAsia="仿宋" w:cs="仿宋"/>
          <w:bCs/>
          <w:color w:val="auto"/>
          <w:sz w:val="24"/>
          <w:highlight w:val="none"/>
          <w:lang w:eastAsia="zh-CN"/>
        </w:rPr>
        <w:t>；</w:t>
      </w:r>
    </w:p>
    <w:p w14:paraId="7560A647">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《城市道路绿化规划与设计规范》（CJJ 75-97）</w:t>
      </w:r>
      <w:r>
        <w:rPr>
          <w:rFonts w:hint="eastAsia" w:ascii="仿宋" w:hAnsi="仿宋" w:eastAsia="仿宋" w:cs="仿宋"/>
          <w:bCs/>
          <w:color w:val="auto"/>
          <w:sz w:val="24"/>
          <w:highlight w:val="none"/>
          <w:lang w:eastAsia="zh-CN"/>
        </w:rPr>
        <w:t>；</w:t>
      </w:r>
    </w:p>
    <w:p w14:paraId="09456D21">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《园林绿化工程施工及验收规范》（CJJ 82-2012）</w:t>
      </w:r>
      <w:r>
        <w:rPr>
          <w:rFonts w:hint="eastAsia" w:ascii="仿宋" w:hAnsi="仿宋" w:eastAsia="仿宋" w:cs="仿宋"/>
          <w:bCs/>
          <w:color w:val="auto"/>
          <w:sz w:val="24"/>
          <w:highlight w:val="none"/>
          <w:lang w:eastAsia="zh-CN"/>
        </w:rPr>
        <w:t>；</w:t>
      </w:r>
    </w:p>
    <w:p w14:paraId="53E50EE7">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《绿道设计与施工技术规程》（DB33/T1130-2016）</w:t>
      </w:r>
      <w:r>
        <w:rPr>
          <w:rFonts w:hint="eastAsia" w:ascii="仿宋" w:hAnsi="仿宋" w:eastAsia="仿宋" w:cs="仿宋"/>
          <w:bCs/>
          <w:color w:val="auto"/>
          <w:sz w:val="24"/>
          <w:highlight w:val="none"/>
          <w:lang w:eastAsia="zh-CN"/>
        </w:rPr>
        <w:t>；</w:t>
      </w:r>
    </w:p>
    <w:p w14:paraId="08B25A5E">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《建筑工程设计文件编制深度规定》(2008 年版)</w:t>
      </w:r>
      <w:r>
        <w:rPr>
          <w:rFonts w:hint="eastAsia" w:ascii="仿宋" w:hAnsi="仿宋" w:eastAsia="仿宋" w:cs="仿宋"/>
          <w:bCs/>
          <w:color w:val="auto"/>
          <w:sz w:val="24"/>
          <w:highlight w:val="none"/>
          <w:lang w:eastAsia="zh-CN"/>
        </w:rPr>
        <w:t>；</w:t>
      </w:r>
    </w:p>
    <w:p w14:paraId="700F1BD1">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《房屋建筑制图统一标准》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GB/T 50001--2010</w:t>
      </w:r>
      <w:r>
        <w:rPr>
          <w:rFonts w:hint="eastAsia" w:ascii="仿宋" w:hAnsi="仿宋" w:eastAsia="仿宋" w:cs="仿宋"/>
          <w:bCs/>
          <w:color w:val="auto"/>
          <w:sz w:val="24"/>
          <w:highlight w:val="none"/>
          <w:lang w:eastAsia="zh-CN"/>
        </w:rPr>
        <w:t>）；</w:t>
      </w:r>
    </w:p>
    <w:p w14:paraId="7F382BE8">
      <w:pPr>
        <w:keepNext w:val="0"/>
        <w:keepLines w:val="0"/>
        <w:pageBreakBefore w:val="0"/>
        <w:widowControl w:val="0"/>
        <w:numPr>
          <w:ilvl w:val="0"/>
          <w:numId w:val="7"/>
        </w:numPr>
        <w:kinsoku/>
        <w:wordWrap/>
        <w:overflowPunct/>
        <w:topLinePunct w:val="0"/>
        <w:bidi w:val="0"/>
        <w:adjustRightInd w:val="0"/>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《建筑制图标准》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GB/T 50104--2010</w:t>
      </w:r>
      <w:r>
        <w:rPr>
          <w:rFonts w:hint="eastAsia" w:ascii="仿宋" w:hAnsi="仿宋" w:eastAsia="仿宋" w:cs="仿宋"/>
          <w:bCs/>
          <w:color w:val="auto"/>
          <w:sz w:val="24"/>
          <w:highlight w:val="none"/>
          <w:lang w:eastAsia="zh-CN"/>
        </w:rPr>
        <w:t>）；</w:t>
      </w:r>
    </w:p>
    <w:p w14:paraId="378F8430">
      <w:pPr>
        <w:keepNext w:val="0"/>
        <w:keepLines w:val="0"/>
        <w:pageBreakBefore w:val="0"/>
        <w:widowControl w:val="0"/>
        <w:numPr>
          <w:ilvl w:val="0"/>
          <w:numId w:val="7"/>
        </w:numPr>
        <w:kinsoku/>
        <w:wordWrap/>
        <w:overflowPunct/>
        <w:topLinePunct w:val="0"/>
        <w:autoSpaceDE w:val="0"/>
        <w:autoSpaceDN w:val="0"/>
        <w:bidi w:val="0"/>
        <w:adjustRightInd/>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《民用建筑设计通则》</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 50352--2005</w:t>
      </w:r>
      <w:r>
        <w:rPr>
          <w:rFonts w:hint="eastAsia" w:ascii="仿宋" w:hAnsi="仿宋" w:eastAsia="仿宋" w:cs="仿宋"/>
          <w:bCs/>
          <w:color w:val="auto"/>
          <w:sz w:val="24"/>
          <w:highlight w:val="none"/>
          <w:lang w:eastAsia="zh-CN"/>
        </w:rPr>
        <w:t>）；</w:t>
      </w:r>
    </w:p>
    <w:p w14:paraId="512D1885">
      <w:pPr>
        <w:keepNext w:val="0"/>
        <w:keepLines w:val="0"/>
        <w:pageBreakBefore w:val="0"/>
        <w:widowControl w:val="0"/>
        <w:numPr>
          <w:ilvl w:val="0"/>
          <w:numId w:val="7"/>
        </w:numPr>
        <w:kinsoku/>
        <w:wordWrap/>
        <w:overflowPunct/>
        <w:topLinePunct w:val="0"/>
        <w:autoSpaceDE w:val="0"/>
        <w:autoSpaceDN w:val="0"/>
        <w:bidi w:val="0"/>
        <w:adjustRightInd/>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《总图制图标准》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GB/T 50103--2010</w:t>
      </w:r>
      <w:r>
        <w:rPr>
          <w:rFonts w:hint="eastAsia" w:ascii="仿宋" w:hAnsi="仿宋" w:eastAsia="仿宋" w:cs="仿宋"/>
          <w:bCs/>
          <w:color w:val="auto"/>
          <w:sz w:val="24"/>
          <w:highlight w:val="none"/>
          <w:lang w:eastAsia="zh-CN"/>
        </w:rPr>
        <w:t>）；</w:t>
      </w:r>
    </w:p>
    <w:p w14:paraId="0883F394">
      <w:pPr>
        <w:keepNext w:val="0"/>
        <w:keepLines w:val="0"/>
        <w:pageBreakBefore w:val="0"/>
        <w:widowControl w:val="0"/>
        <w:numPr>
          <w:ilvl w:val="0"/>
          <w:numId w:val="7"/>
        </w:numPr>
        <w:kinsoku/>
        <w:wordWrap/>
        <w:overflowPunct/>
        <w:topLinePunct w:val="0"/>
        <w:autoSpaceDE w:val="0"/>
        <w:autoSpaceDN w:val="0"/>
        <w:bidi w:val="0"/>
        <w:adjustRightInd/>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《建筑模数协调标准》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GB/T 50002--2013</w:t>
      </w:r>
      <w:r>
        <w:rPr>
          <w:rFonts w:hint="eastAsia" w:ascii="仿宋" w:hAnsi="仿宋" w:eastAsia="仿宋" w:cs="仿宋"/>
          <w:bCs/>
          <w:color w:val="auto"/>
          <w:sz w:val="24"/>
          <w:highlight w:val="none"/>
          <w:lang w:eastAsia="zh-CN"/>
        </w:rPr>
        <w:t>）；</w:t>
      </w:r>
    </w:p>
    <w:p w14:paraId="710021AE">
      <w:pPr>
        <w:keepNext w:val="0"/>
        <w:keepLines w:val="0"/>
        <w:pageBreakBefore w:val="0"/>
        <w:widowControl w:val="0"/>
        <w:numPr>
          <w:ilvl w:val="0"/>
          <w:numId w:val="7"/>
        </w:numPr>
        <w:kinsoku/>
        <w:wordWrap/>
        <w:overflowPunct/>
        <w:topLinePunct w:val="0"/>
        <w:autoSpaceDE w:val="0"/>
        <w:autoSpaceDN w:val="0"/>
        <w:bidi w:val="0"/>
        <w:adjustRightInd/>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《建筑设计防火规范》</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 50016--2014</w:t>
      </w:r>
      <w:r>
        <w:rPr>
          <w:rFonts w:hint="eastAsia" w:ascii="仿宋" w:hAnsi="仿宋" w:eastAsia="仿宋" w:cs="仿宋"/>
          <w:bCs/>
          <w:color w:val="auto"/>
          <w:sz w:val="24"/>
          <w:highlight w:val="none"/>
          <w:lang w:eastAsia="zh-CN"/>
        </w:rPr>
        <w:t>）；</w:t>
      </w:r>
    </w:p>
    <w:p w14:paraId="31C00F52">
      <w:pPr>
        <w:keepNext w:val="0"/>
        <w:keepLines w:val="0"/>
        <w:pageBreakBefore w:val="0"/>
        <w:widowControl w:val="0"/>
        <w:numPr>
          <w:ilvl w:val="0"/>
          <w:numId w:val="7"/>
        </w:numPr>
        <w:kinsoku/>
        <w:wordWrap/>
        <w:overflowPunct/>
        <w:topLinePunct w:val="0"/>
        <w:autoSpaceDE w:val="0"/>
        <w:autoSpaceDN w:val="0"/>
        <w:bidi w:val="0"/>
        <w:adjustRightInd/>
        <w:snapToGrid w:val="0"/>
        <w:spacing w:line="420" w:lineRule="atLeast"/>
        <w:ind w:left="0" w:leftChars="0" w:firstLine="480" w:firstLineChars="20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《建筑内部装修设计防火规范》</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GB 50222—1995</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2001 年修订版</w:t>
      </w:r>
      <w:r>
        <w:rPr>
          <w:rFonts w:hint="eastAsia" w:ascii="仿宋" w:hAnsi="仿宋" w:eastAsia="仿宋" w:cs="仿宋"/>
          <w:bCs/>
          <w:color w:val="auto"/>
          <w:sz w:val="24"/>
          <w:highlight w:val="none"/>
          <w:lang w:eastAsia="zh-CN"/>
        </w:rPr>
        <w:t>）；</w:t>
      </w:r>
    </w:p>
    <w:p w14:paraId="51FCD0B0">
      <w:pPr>
        <w:keepNext w:val="0"/>
        <w:keepLines w:val="0"/>
        <w:pageBreakBefore w:val="0"/>
        <w:widowControl w:val="0"/>
        <w:numPr>
          <w:ilvl w:val="0"/>
          <w:numId w:val="7"/>
        </w:numPr>
        <w:kinsoku/>
        <w:wordWrap/>
        <w:overflowPunct/>
        <w:topLinePunct w:val="0"/>
        <w:autoSpaceDE w:val="0"/>
        <w:autoSpaceDN w:val="0"/>
        <w:bidi w:val="0"/>
        <w:adjustRightInd/>
        <w:snapToGrid w:val="0"/>
        <w:spacing w:afterAutospacing="0" w:line="420" w:lineRule="atLeast"/>
        <w:ind w:left="0" w:leftChars="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其他国家标准及行业标准。</w:t>
      </w:r>
    </w:p>
    <w:p w14:paraId="4A18D938">
      <w:pPr>
        <w:keepNext w:val="0"/>
        <w:keepLines w:val="0"/>
        <w:pageBreakBefore w:val="0"/>
        <w:widowControl w:val="0"/>
        <w:kinsoku/>
        <w:wordWrap/>
        <w:overflowPunct/>
        <w:topLinePunct w:val="0"/>
        <w:autoSpaceDE/>
        <w:autoSpaceDN/>
        <w:bidi w:val="0"/>
        <w:adjustRightInd w:val="0"/>
        <w:snapToGrid w:val="0"/>
        <w:spacing w:before="145" w:beforeLines="50" w:beforeAutospacing="0" w:line="312" w:lineRule="auto"/>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rPr>
        <w:t>（</w:t>
      </w:r>
      <w:r>
        <w:rPr>
          <w:rFonts w:hint="eastAsia" w:ascii="仿宋" w:hAnsi="仿宋" w:eastAsia="仿宋" w:cs="仿宋"/>
          <w:b/>
          <w:sz w:val="24"/>
          <w:highlight w:val="none"/>
          <w:lang w:eastAsia="zh-CN"/>
        </w:rPr>
        <w:t>四</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其他要求</w:t>
      </w:r>
    </w:p>
    <w:p w14:paraId="07E346F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对于施工图设计过程中出现的补充、修改、完善等，中标人应无条件配合直至设计图通过相关部门的审核；施工过程中如需出具的设计变更（补充）单等任务，中标人应无条件配合。以上情况中标人均不得主张向建设单位收取额外费用。</w:t>
      </w:r>
    </w:p>
    <w:p w14:paraId="4873FC3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中标人应对设计文件出现的遗漏或错误负责修改或补充。如有因中标人原因造成工程事故或工程延期的，中标人除负责采取补救措施外，采购人有权罚没部分或全部的设计费，并根据实际情况由中标人向采购人赔偿相应损失，赔偿金数额由双方商定。</w:t>
      </w:r>
    </w:p>
    <w:p w14:paraId="060F9A3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3、中标人如在合同服务期内出现造假、行贿、受贿等违法违纪行为或其他违反行业规定的行为，采购人有权随时终止合同并没收全部履约保证金，并上报监督部门和禁止中标人两年内在东和乡的投标资格，所有损失均由中标人自行承担。</w:t>
      </w:r>
    </w:p>
    <w:p w14:paraId="73D4003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（五）验收</w:t>
      </w:r>
    </w:p>
    <w:p w14:paraId="035B602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严格遵循国家和行业质量验收相关规范</w:t>
      </w:r>
      <w:r>
        <w:rPr>
          <w:rFonts w:hint="eastAsia" w:ascii="仿宋" w:hAnsi="仿宋" w:eastAsia="仿宋" w:cs="仿宋"/>
          <w:sz w:val="24"/>
          <w:highlight w:val="none"/>
        </w:rPr>
        <w:t>、标准执行。</w:t>
      </w:r>
    </w:p>
    <w:p w14:paraId="2AA1A990">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（六）项目成果</w:t>
      </w:r>
    </w:p>
    <w:p w14:paraId="3AEFC20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本次设计主要内容包括市政、房建、园林等工程相关设计，具体成果及数量按采购人要求为准。</w:t>
      </w:r>
    </w:p>
    <w:p w14:paraId="00D229C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（七）报价要求</w:t>
      </w:r>
    </w:p>
    <w:p w14:paraId="2AC3CC84">
      <w:pPr>
        <w:keepNext w:val="0"/>
        <w:keepLines w:val="0"/>
        <w:pageBreakBefore w:val="0"/>
        <w:widowControl w:val="0"/>
        <w:kinsoku/>
        <w:wordWrap/>
        <w:overflowPunct/>
        <w:topLinePunct w:val="0"/>
        <w:autoSpaceDE/>
        <w:autoSpaceDN/>
        <w:bidi w:val="0"/>
        <w:adjustRightInd w:val="0"/>
        <w:snapToGrid w:val="0"/>
        <w:spacing w:line="312"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本标项投标报价采用折扣方式报价；折扣报价上限为65%，任何高于65%的报价将被认定为无效报价，作无效投标处理。</w:t>
      </w:r>
    </w:p>
    <w:p w14:paraId="4FABBE34">
      <w:pPr>
        <w:keepNext w:val="0"/>
        <w:keepLines w:val="0"/>
        <w:pageBreakBefore w:val="0"/>
        <w:widowControl w:val="0"/>
        <w:kinsoku/>
        <w:wordWrap/>
        <w:overflowPunct/>
        <w:topLinePunct w:val="0"/>
        <w:autoSpaceDE/>
        <w:autoSpaceDN/>
        <w:bidi w:val="0"/>
        <w:adjustRightInd w:val="0"/>
        <w:snapToGrid w:val="0"/>
        <w:spacing w:line="312"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投标折扣在合同实施期间均保持不变，</w:t>
      </w:r>
      <w:r>
        <w:rPr>
          <w:rFonts w:hint="eastAsia" w:ascii="仿宋" w:hAnsi="仿宋" w:eastAsia="仿宋" w:cs="仿宋"/>
          <w:spacing w:val="-6"/>
          <w:sz w:val="24"/>
          <w:highlight w:val="none"/>
        </w:rPr>
        <w:t>报价包括履行本项目所有规定服务所产生的全部</w:t>
      </w:r>
      <w:r>
        <w:rPr>
          <w:rFonts w:hint="eastAsia" w:ascii="仿宋" w:hAnsi="仿宋" w:eastAsia="仿宋" w:cs="仿宋"/>
          <w:sz w:val="24"/>
          <w:highlight w:val="none"/>
        </w:rPr>
        <w:t>税金、利润和费用</w:t>
      </w:r>
      <w:r>
        <w:rPr>
          <w:rFonts w:hint="eastAsia" w:ascii="仿宋" w:hAnsi="仿宋" w:eastAsia="仿宋" w:cs="仿宋"/>
          <w:spacing w:val="-6"/>
          <w:sz w:val="24"/>
          <w:highlight w:val="none"/>
        </w:rPr>
        <w:t>，</w:t>
      </w:r>
      <w:r>
        <w:rPr>
          <w:rFonts w:hint="eastAsia" w:ascii="仿宋" w:hAnsi="仿宋" w:eastAsia="仿宋" w:cs="仿宋"/>
          <w:sz w:val="24"/>
          <w:highlight w:val="none"/>
        </w:rPr>
        <w:t>投标人应充分考虑并将</w:t>
      </w:r>
      <w:r>
        <w:rPr>
          <w:rFonts w:hint="eastAsia" w:ascii="仿宋" w:hAnsi="仿宋" w:eastAsia="仿宋" w:cs="仿宋"/>
          <w:sz w:val="24"/>
          <w:highlight w:val="none"/>
          <w:lang w:val="zh-CN"/>
        </w:rPr>
        <w:t>有关本项目实施所涉及的一切费用均计入报价。</w:t>
      </w:r>
    </w:p>
    <w:p w14:paraId="15AC9CC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（八）履约保证金</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费用结算</w:t>
      </w:r>
      <w:r>
        <w:rPr>
          <w:rFonts w:hint="eastAsia" w:ascii="仿宋" w:hAnsi="仿宋" w:eastAsia="仿宋" w:cs="仿宋"/>
          <w:b/>
          <w:sz w:val="24"/>
          <w:highlight w:val="none"/>
        </w:rPr>
        <w:t>及付款方式</w:t>
      </w:r>
    </w:p>
    <w:p w14:paraId="4CE6667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1、履约保证金：签订合同前，中标人向采购人缴纳合同总金额1％的履约保证金，服务期结束后且无任何问题一个月内退回，不计息。</w:t>
      </w:r>
    </w:p>
    <w:p w14:paraId="2CFD5742">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费用结算</w:t>
      </w:r>
      <w:r>
        <w:rPr>
          <w:rFonts w:hint="eastAsia" w:ascii="仿宋" w:hAnsi="仿宋" w:eastAsia="仿宋" w:cs="仿宋"/>
          <w:bCs/>
          <w:sz w:val="24"/>
          <w:highlight w:val="none"/>
        </w:rPr>
        <w:t>：</w:t>
      </w:r>
    </w:p>
    <w:p w14:paraId="228C296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设计费按单个工程计算。按《工程勘察设计收费标准》（2002年修订本）收费标准计算后，再按中标折扣率计算最终设计费。其中专业调整系数按1.0计取，复杂程度调整系数按0.85计取，附加调整系数按1.0计取。工程设计费收费基价的取费基数为施工合同价。即每只独立项目设计费＝工程设计收费基价×1.0（专业调整系数）×0.85（工程复杂程度调整系数）×1.0（工程附加调整系数）×中标折扣率。</w:t>
      </w:r>
    </w:p>
    <w:p w14:paraId="286A3DEB">
      <w:pPr>
        <w:keepNext w:val="0"/>
        <w:keepLines w:val="0"/>
        <w:pageBreakBefore w:val="0"/>
        <w:widowControl w:val="0"/>
        <w:numPr>
          <w:ilvl w:val="0"/>
          <w:numId w:val="8"/>
        </w:numPr>
        <w:kinsoku/>
        <w:wordWrap/>
        <w:overflowPunct/>
        <w:topLinePunct w:val="0"/>
        <w:autoSpaceDE/>
        <w:autoSpaceDN/>
        <w:bidi w:val="0"/>
        <w:adjustRightInd w:val="0"/>
        <w:spacing w:line="312"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付款</w:t>
      </w:r>
      <w:r>
        <w:rPr>
          <w:rFonts w:hint="eastAsia" w:ascii="仿宋" w:hAnsi="仿宋" w:eastAsia="仿宋" w:cs="仿宋"/>
          <w:b/>
          <w:sz w:val="24"/>
          <w:highlight w:val="none"/>
        </w:rPr>
        <w:t>方式：</w:t>
      </w:r>
    </w:p>
    <w:p w14:paraId="296CCFE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）镇乡级工程费用由诸暨市东和乡人民政府在服务期结束后统一支付，中标人应在付款时提供发票及其它付款所需资料</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采购人审核通过后进行支付</w:t>
      </w:r>
      <w:r>
        <w:rPr>
          <w:rFonts w:hint="eastAsia" w:ascii="仿宋" w:hAnsi="仿宋" w:eastAsia="仿宋" w:cs="仿宋"/>
          <w:bCs/>
          <w:sz w:val="24"/>
          <w:highlight w:val="none"/>
        </w:rPr>
        <w:t>。</w:t>
      </w:r>
    </w:p>
    <w:p w14:paraId="19D94B0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）村级工程费用由各村单独支付，中标人可在设计完成并递交完成的设计资料及文件后向各村申请支付费用，中标人应在付款时提供发票及其它付款所需资料。</w:t>
      </w:r>
    </w:p>
    <w:p w14:paraId="5C73C70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（九）最高限价</w:t>
      </w:r>
    </w:p>
    <w:p w14:paraId="4D015C12">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24"/>
          <w:highlight w:val="none"/>
        </w:rPr>
      </w:pPr>
      <w:r>
        <w:rPr>
          <w:rFonts w:hint="eastAsia" w:ascii="仿宋" w:hAnsi="仿宋" w:eastAsia="仿宋" w:cs="仿宋"/>
          <w:b/>
          <w:bCs w:val="0"/>
          <w:sz w:val="24"/>
          <w:highlight w:val="none"/>
        </w:rPr>
        <w:t>本项目按折扣招标，具体</w:t>
      </w:r>
      <w:r>
        <w:rPr>
          <w:rFonts w:hint="eastAsia" w:ascii="仿宋" w:hAnsi="仿宋" w:eastAsia="仿宋" w:cs="仿宋"/>
          <w:b/>
          <w:bCs w:val="0"/>
          <w:sz w:val="24"/>
          <w:highlight w:val="none"/>
          <w:lang w:val="en-US" w:eastAsia="zh-CN"/>
        </w:rPr>
        <w:t>工程</w:t>
      </w:r>
      <w:r>
        <w:rPr>
          <w:rFonts w:hint="eastAsia" w:ascii="仿宋" w:hAnsi="仿宋" w:eastAsia="仿宋" w:cs="仿宋"/>
          <w:b/>
          <w:bCs w:val="0"/>
          <w:sz w:val="24"/>
          <w:highlight w:val="none"/>
        </w:rPr>
        <w:t>量按实结算，最高折扣限价为65%，任何超过最高限价的报价将被认定为无效报价，报价包含了与本项目设计服务相关的一切费用。</w:t>
      </w:r>
    </w:p>
    <w:p w14:paraId="41E8FF34">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24"/>
          <w:highlight w:val="none"/>
          <w:u w:val="single"/>
        </w:rPr>
      </w:pPr>
      <w:r>
        <w:rPr>
          <w:rFonts w:hint="eastAsia" w:ascii="仿宋" w:hAnsi="仿宋" w:eastAsia="仿宋" w:cs="仿宋"/>
          <w:b/>
          <w:bCs w:val="0"/>
          <w:sz w:val="24"/>
          <w:highlight w:val="none"/>
          <w:u w:val="single"/>
        </w:rPr>
        <w:t>标项1最高合同金额为人民币</w:t>
      </w:r>
      <w:r>
        <w:rPr>
          <w:rFonts w:hint="eastAsia" w:ascii="仿宋" w:hAnsi="仿宋" w:eastAsia="仿宋" w:cs="仿宋"/>
          <w:b/>
          <w:bCs w:val="0"/>
          <w:sz w:val="24"/>
          <w:highlight w:val="none"/>
          <w:u w:val="single"/>
          <w:lang w:val="en-US" w:eastAsia="zh-CN"/>
        </w:rPr>
        <w:t>叁拾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3</w:t>
      </w:r>
      <w:r>
        <w:rPr>
          <w:rFonts w:hint="eastAsia" w:ascii="仿宋" w:hAnsi="仿宋" w:eastAsia="仿宋" w:cs="仿宋"/>
          <w:b/>
          <w:bCs w:val="0"/>
          <w:sz w:val="24"/>
          <w:highlight w:val="none"/>
          <w:u w:val="single"/>
        </w:rPr>
        <w:t>00000.00）整</w:t>
      </w:r>
      <w:r>
        <w:rPr>
          <w:rFonts w:hint="eastAsia" w:ascii="仿宋" w:hAnsi="仿宋" w:eastAsia="仿宋" w:cs="仿宋"/>
          <w:b/>
          <w:bCs w:val="0"/>
          <w:sz w:val="24"/>
          <w:highlight w:val="none"/>
        </w:rPr>
        <w:t>；</w:t>
      </w:r>
    </w:p>
    <w:p w14:paraId="4F3CD988">
      <w:pPr>
        <w:ind w:firstLine="482"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bCs w:val="0"/>
          <w:sz w:val="24"/>
          <w:highlight w:val="none"/>
          <w:u w:val="single"/>
        </w:rPr>
        <w:t>标项2最高合同金额为人民币</w:t>
      </w:r>
      <w:r>
        <w:rPr>
          <w:rFonts w:hint="eastAsia" w:ascii="仿宋" w:hAnsi="仿宋" w:eastAsia="仿宋" w:cs="仿宋"/>
          <w:b/>
          <w:bCs w:val="0"/>
          <w:sz w:val="24"/>
          <w:highlight w:val="none"/>
          <w:u w:val="single"/>
          <w:lang w:val="en-US" w:eastAsia="zh-CN"/>
        </w:rPr>
        <w:t>叁拾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3</w:t>
      </w:r>
      <w:r>
        <w:rPr>
          <w:rFonts w:hint="eastAsia" w:ascii="仿宋" w:hAnsi="仿宋" w:eastAsia="仿宋" w:cs="仿宋"/>
          <w:b/>
          <w:bCs w:val="0"/>
          <w:sz w:val="24"/>
          <w:highlight w:val="none"/>
          <w:u w:val="single"/>
        </w:rPr>
        <w:t xml:space="preserve">00000.00）整 </w:t>
      </w:r>
      <w:r>
        <w:rPr>
          <w:rFonts w:hint="eastAsia" w:ascii="仿宋" w:hAnsi="仿宋" w:eastAsia="仿宋" w:cs="仿宋"/>
          <w:b/>
          <w:bCs w:val="0"/>
          <w:sz w:val="24"/>
          <w:highlight w:val="none"/>
        </w:rPr>
        <w:t>。</w:t>
      </w:r>
      <w:r>
        <w:rPr>
          <w:rFonts w:hint="eastAsia" w:ascii="仿宋" w:hAnsi="仿宋" w:eastAsia="仿宋" w:cs="仿宋"/>
          <w:b w:val="0"/>
          <w:bCs w:val="0"/>
          <w:color w:val="auto"/>
          <w:kern w:val="2"/>
          <w:sz w:val="24"/>
          <w:szCs w:val="24"/>
          <w:highlight w:val="none"/>
        </w:rPr>
        <w:br w:type="page"/>
      </w:r>
    </w:p>
    <w:p w14:paraId="2C8BC199">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 xml:space="preserve">第四部分 </w:t>
      </w:r>
      <w:bookmarkStart w:id="27" w:name="_Toc184308096"/>
      <w:bookmarkEnd w:id="27"/>
      <w:bookmarkStart w:id="28" w:name="_Toc184313262"/>
      <w:bookmarkEnd w:id="28"/>
      <w:bookmarkStart w:id="29" w:name="_Toc184314427"/>
      <w:bookmarkEnd w:id="29"/>
      <w:bookmarkStart w:id="30" w:name="_Toc184312076"/>
      <w:bookmarkEnd w:id="30"/>
      <w:bookmarkStart w:id="31" w:name="_Toc184313240"/>
      <w:bookmarkEnd w:id="31"/>
      <w:bookmarkStart w:id="32" w:name="_Toc184310344"/>
      <w:bookmarkEnd w:id="32"/>
      <w:bookmarkStart w:id="33" w:name="_Toc184312134"/>
      <w:bookmarkEnd w:id="33"/>
      <w:bookmarkStart w:id="34" w:name="_Toc184312123"/>
      <w:bookmarkEnd w:id="34"/>
      <w:bookmarkStart w:id="35" w:name="_Toc184313303"/>
      <w:bookmarkEnd w:id="35"/>
      <w:bookmarkStart w:id="36" w:name="_Toc184312110"/>
      <w:bookmarkEnd w:id="36"/>
      <w:bookmarkStart w:id="37" w:name="_Toc184308064"/>
      <w:bookmarkEnd w:id="37"/>
      <w:bookmarkStart w:id="38" w:name="_Toc184314461"/>
      <w:bookmarkEnd w:id="38"/>
      <w:bookmarkStart w:id="39" w:name="_Toc184312090"/>
      <w:bookmarkEnd w:id="39"/>
      <w:bookmarkStart w:id="40" w:name="_Toc184314424"/>
      <w:bookmarkEnd w:id="40"/>
      <w:bookmarkStart w:id="41" w:name="_Toc184312111"/>
      <w:bookmarkEnd w:id="41"/>
      <w:bookmarkStart w:id="42" w:name="_Toc184314456"/>
      <w:bookmarkEnd w:id="42"/>
      <w:bookmarkStart w:id="43" w:name="_Toc184312120"/>
      <w:bookmarkEnd w:id="43"/>
      <w:bookmarkStart w:id="44" w:name="_Toc184310296"/>
      <w:bookmarkEnd w:id="44"/>
      <w:bookmarkStart w:id="45" w:name="_Toc184313242"/>
      <w:bookmarkEnd w:id="45"/>
      <w:bookmarkStart w:id="46" w:name="_Toc184308036"/>
      <w:bookmarkEnd w:id="46"/>
      <w:bookmarkStart w:id="47" w:name="_Toc184312094"/>
      <w:bookmarkEnd w:id="47"/>
      <w:bookmarkStart w:id="48" w:name="_Toc184308095"/>
      <w:bookmarkEnd w:id="48"/>
      <w:bookmarkStart w:id="49" w:name="_Toc184312106"/>
      <w:bookmarkEnd w:id="49"/>
      <w:bookmarkStart w:id="50" w:name="_Toc184312127"/>
      <w:bookmarkEnd w:id="50"/>
      <w:bookmarkStart w:id="51" w:name="_Toc184312131"/>
      <w:bookmarkEnd w:id="51"/>
      <w:bookmarkStart w:id="52" w:name="_Toc184314462"/>
      <w:bookmarkEnd w:id="52"/>
      <w:bookmarkStart w:id="53" w:name="_Toc184308068"/>
      <w:bookmarkEnd w:id="53"/>
      <w:bookmarkStart w:id="54" w:name="_Toc184308058"/>
      <w:bookmarkEnd w:id="54"/>
      <w:bookmarkStart w:id="55" w:name="_Toc184310335"/>
      <w:bookmarkEnd w:id="55"/>
      <w:bookmarkStart w:id="56" w:name="_Toc184308090"/>
      <w:bookmarkEnd w:id="56"/>
      <w:bookmarkStart w:id="57" w:name="_Toc184312097"/>
      <w:bookmarkEnd w:id="57"/>
      <w:bookmarkStart w:id="58" w:name="_Toc184312079"/>
      <w:bookmarkEnd w:id="58"/>
      <w:bookmarkStart w:id="59" w:name="_Toc184314455"/>
      <w:bookmarkEnd w:id="59"/>
      <w:bookmarkStart w:id="60" w:name="_Toc184308080"/>
      <w:bookmarkEnd w:id="60"/>
      <w:bookmarkStart w:id="61" w:name="_Toc184313280"/>
      <w:bookmarkEnd w:id="61"/>
      <w:bookmarkStart w:id="62" w:name="_Toc184310325"/>
      <w:bookmarkEnd w:id="62"/>
      <w:bookmarkStart w:id="63" w:name="_Toc184314452"/>
      <w:bookmarkEnd w:id="63"/>
      <w:bookmarkStart w:id="64" w:name="_Toc184308038"/>
      <w:bookmarkEnd w:id="64"/>
      <w:bookmarkStart w:id="65" w:name="_Toc184313256"/>
      <w:bookmarkEnd w:id="65"/>
      <w:bookmarkStart w:id="66" w:name="_Toc184314472"/>
      <w:bookmarkEnd w:id="66"/>
      <w:bookmarkStart w:id="67" w:name="_Toc184313276"/>
      <w:bookmarkEnd w:id="67"/>
      <w:bookmarkStart w:id="68" w:name="_Toc184313243"/>
      <w:bookmarkEnd w:id="68"/>
      <w:bookmarkStart w:id="69" w:name="_Toc184308062"/>
      <w:bookmarkEnd w:id="69"/>
      <w:bookmarkStart w:id="70" w:name="_Toc184313253"/>
      <w:bookmarkEnd w:id="70"/>
      <w:bookmarkStart w:id="71" w:name="_Toc184313290"/>
      <w:bookmarkEnd w:id="71"/>
      <w:bookmarkStart w:id="72" w:name="_Toc184310313"/>
      <w:bookmarkEnd w:id="72"/>
      <w:bookmarkStart w:id="73" w:name="_Toc184314420"/>
      <w:bookmarkEnd w:id="73"/>
      <w:bookmarkStart w:id="74" w:name="_Toc184312129"/>
      <w:bookmarkEnd w:id="74"/>
      <w:bookmarkStart w:id="75" w:name="_Toc184310319"/>
      <w:bookmarkEnd w:id="75"/>
      <w:bookmarkStart w:id="76" w:name="_Toc184313260"/>
      <w:bookmarkEnd w:id="76"/>
      <w:bookmarkStart w:id="77" w:name="_Toc184314476"/>
      <w:bookmarkEnd w:id="77"/>
      <w:bookmarkStart w:id="78" w:name="_Toc184313284"/>
      <w:bookmarkEnd w:id="78"/>
      <w:bookmarkStart w:id="79" w:name="_Toc184312126"/>
      <w:bookmarkEnd w:id="79"/>
      <w:bookmarkStart w:id="80" w:name="_Toc184312091"/>
      <w:bookmarkEnd w:id="80"/>
      <w:bookmarkStart w:id="81" w:name="_Toc184314426"/>
      <w:bookmarkEnd w:id="81"/>
      <w:bookmarkStart w:id="82" w:name="_Toc184308088"/>
      <w:bookmarkEnd w:id="82"/>
      <w:bookmarkStart w:id="83" w:name="_Toc184310273"/>
      <w:bookmarkEnd w:id="83"/>
      <w:bookmarkStart w:id="84" w:name="_Toc184313275"/>
      <w:bookmarkEnd w:id="84"/>
      <w:bookmarkStart w:id="85" w:name="_Toc184310309"/>
      <w:bookmarkEnd w:id="85"/>
      <w:bookmarkStart w:id="86" w:name="_Toc184313297"/>
      <w:bookmarkEnd w:id="86"/>
      <w:bookmarkStart w:id="87" w:name="_Toc184314413"/>
      <w:bookmarkEnd w:id="87"/>
      <w:bookmarkStart w:id="88" w:name="_Toc184314412"/>
      <w:bookmarkEnd w:id="88"/>
      <w:bookmarkStart w:id="89" w:name="_Toc184310337"/>
      <w:bookmarkEnd w:id="89"/>
      <w:bookmarkStart w:id="90" w:name="_Toc184312130"/>
      <w:bookmarkEnd w:id="90"/>
      <w:bookmarkStart w:id="91" w:name="_Toc184314440"/>
      <w:bookmarkEnd w:id="91"/>
      <w:bookmarkStart w:id="92" w:name="_Toc184308063"/>
      <w:bookmarkEnd w:id="92"/>
      <w:bookmarkStart w:id="93" w:name="_Toc184310300"/>
      <w:bookmarkEnd w:id="93"/>
      <w:bookmarkStart w:id="94" w:name="_Toc184312093"/>
      <w:bookmarkEnd w:id="94"/>
      <w:bookmarkStart w:id="95" w:name="_Toc184308108"/>
      <w:bookmarkEnd w:id="95"/>
      <w:bookmarkStart w:id="96" w:name="_Toc184308061"/>
      <w:bookmarkEnd w:id="96"/>
      <w:bookmarkStart w:id="97" w:name="_Toc184312103"/>
      <w:bookmarkEnd w:id="97"/>
      <w:bookmarkStart w:id="98" w:name="_Toc184312102"/>
      <w:bookmarkEnd w:id="98"/>
      <w:bookmarkStart w:id="99" w:name="_Toc184313263"/>
      <w:bookmarkEnd w:id="99"/>
      <w:bookmarkStart w:id="100" w:name="_Toc184312109"/>
      <w:bookmarkEnd w:id="100"/>
      <w:bookmarkStart w:id="101" w:name="_Toc184312080"/>
      <w:bookmarkEnd w:id="101"/>
      <w:bookmarkStart w:id="102" w:name="_Toc184313274"/>
      <w:bookmarkEnd w:id="102"/>
      <w:bookmarkStart w:id="103" w:name="_Toc184310294"/>
      <w:bookmarkEnd w:id="103"/>
      <w:bookmarkStart w:id="104" w:name="_Toc184314419"/>
      <w:bookmarkEnd w:id="104"/>
      <w:bookmarkStart w:id="105" w:name="_Toc184314458"/>
      <w:bookmarkEnd w:id="105"/>
      <w:bookmarkStart w:id="106" w:name="_Toc184313265"/>
      <w:bookmarkEnd w:id="106"/>
      <w:bookmarkStart w:id="107" w:name="_Toc184312112"/>
      <w:bookmarkEnd w:id="107"/>
      <w:bookmarkStart w:id="108" w:name="_Toc184308084"/>
      <w:bookmarkEnd w:id="108"/>
      <w:bookmarkStart w:id="109" w:name="_Toc184312119"/>
      <w:bookmarkEnd w:id="109"/>
      <w:bookmarkStart w:id="110" w:name="_Toc184310343"/>
      <w:bookmarkEnd w:id="110"/>
      <w:bookmarkStart w:id="111" w:name="_Toc184314468"/>
      <w:bookmarkEnd w:id="111"/>
      <w:bookmarkStart w:id="112" w:name="_Toc184312074"/>
      <w:bookmarkEnd w:id="112"/>
      <w:bookmarkStart w:id="113" w:name="_Toc184312132"/>
      <w:bookmarkEnd w:id="113"/>
      <w:bookmarkStart w:id="114" w:name="_Toc184310342"/>
      <w:bookmarkEnd w:id="114"/>
      <w:bookmarkStart w:id="115" w:name="_Toc184313252"/>
      <w:bookmarkEnd w:id="115"/>
      <w:bookmarkStart w:id="116" w:name="_Toc184310298"/>
      <w:bookmarkEnd w:id="116"/>
      <w:bookmarkStart w:id="117" w:name="_Toc184314444"/>
      <w:bookmarkEnd w:id="117"/>
      <w:bookmarkStart w:id="118" w:name="_Toc184313281"/>
      <w:bookmarkEnd w:id="118"/>
      <w:bookmarkStart w:id="119" w:name="_Toc184312100"/>
      <w:bookmarkEnd w:id="119"/>
      <w:bookmarkStart w:id="120" w:name="_Toc184308055"/>
      <w:bookmarkEnd w:id="120"/>
      <w:bookmarkStart w:id="121" w:name="_Toc184310282"/>
      <w:bookmarkEnd w:id="121"/>
      <w:bookmarkStart w:id="122" w:name="_Toc184308086"/>
      <w:bookmarkEnd w:id="122"/>
      <w:bookmarkStart w:id="123" w:name="_Toc184314416"/>
      <w:bookmarkEnd w:id="123"/>
      <w:bookmarkStart w:id="124" w:name="_Toc184310293"/>
      <w:bookmarkEnd w:id="124"/>
      <w:bookmarkStart w:id="125" w:name="_Toc184310324"/>
      <w:bookmarkEnd w:id="125"/>
      <w:bookmarkStart w:id="126" w:name="_Toc184308101"/>
      <w:bookmarkEnd w:id="126"/>
      <w:bookmarkStart w:id="127" w:name="_Toc184310290"/>
      <w:bookmarkEnd w:id="127"/>
      <w:bookmarkStart w:id="128" w:name="_Toc184310303"/>
      <w:bookmarkEnd w:id="128"/>
      <w:bookmarkStart w:id="129" w:name="_Toc184314447"/>
      <w:bookmarkEnd w:id="129"/>
      <w:bookmarkStart w:id="130" w:name="_Toc184314460"/>
      <w:bookmarkEnd w:id="130"/>
      <w:bookmarkStart w:id="131" w:name="_Toc184314439"/>
      <w:bookmarkEnd w:id="131"/>
      <w:bookmarkStart w:id="132" w:name="_Toc184314411"/>
      <w:bookmarkEnd w:id="132"/>
      <w:bookmarkStart w:id="133" w:name="_Toc184314477"/>
      <w:bookmarkEnd w:id="133"/>
      <w:bookmarkStart w:id="134" w:name="_Toc184313302"/>
      <w:bookmarkEnd w:id="134"/>
      <w:bookmarkStart w:id="135" w:name="_Toc184310307"/>
      <w:bookmarkEnd w:id="135"/>
      <w:bookmarkStart w:id="136" w:name="_Toc184312105"/>
      <w:bookmarkEnd w:id="136"/>
      <w:bookmarkStart w:id="137" w:name="_Toc184310316"/>
      <w:bookmarkEnd w:id="137"/>
      <w:bookmarkStart w:id="138" w:name="_Toc184314437"/>
      <w:bookmarkEnd w:id="138"/>
      <w:bookmarkStart w:id="139" w:name="_Toc184308044"/>
      <w:bookmarkEnd w:id="139"/>
      <w:bookmarkStart w:id="140" w:name="_Toc184308081"/>
      <w:bookmarkEnd w:id="140"/>
      <w:bookmarkStart w:id="141" w:name="_Toc184310305"/>
      <w:bookmarkEnd w:id="141"/>
      <w:bookmarkStart w:id="142" w:name="_Toc184308098"/>
      <w:bookmarkEnd w:id="142"/>
      <w:bookmarkStart w:id="143" w:name="_Toc184308066"/>
      <w:bookmarkEnd w:id="143"/>
      <w:bookmarkStart w:id="144" w:name="_Toc184312077"/>
      <w:bookmarkEnd w:id="144"/>
      <w:bookmarkStart w:id="145" w:name="_Toc184314459"/>
      <w:bookmarkEnd w:id="145"/>
      <w:bookmarkStart w:id="146" w:name="_Toc184308077"/>
      <w:bookmarkEnd w:id="146"/>
      <w:bookmarkStart w:id="147" w:name="_Toc184314430"/>
      <w:bookmarkEnd w:id="147"/>
      <w:bookmarkStart w:id="148" w:name="_Toc184312098"/>
      <w:bookmarkEnd w:id="148"/>
      <w:bookmarkStart w:id="149" w:name="_Toc184312095"/>
      <w:bookmarkEnd w:id="149"/>
      <w:bookmarkStart w:id="150" w:name="_Toc184312083"/>
      <w:bookmarkEnd w:id="150"/>
      <w:bookmarkStart w:id="151" w:name="_Toc184308074"/>
      <w:bookmarkEnd w:id="151"/>
      <w:bookmarkStart w:id="152" w:name="_Toc184314441"/>
      <w:bookmarkEnd w:id="152"/>
      <w:bookmarkStart w:id="153" w:name="_Toc184312082"/>
      <w:bookmarkEnd w:id="153"/>
      <w:bookmarkStart w:id="154" w:name="_Toc184310304"/>
      <w:bookmarkEnd w:id="154"/>
      <w:bookmarkStart w:id="155" w:name="_Toc184313267"/>
      <w:bookmarkEnd w:id="155"/>
      <w:bookmarkStart w:id="156" w:name="_Toc184308100"/>
      <w:bookmarkEnd w:id="156"/>
      <w:bookmarkStart w:id="157" w:name="_Toc184313238"/>
      <w:bookmarkEnd w:id="157"/>
      <w:bookmarkStart w:id="158" w:name="_Toc184308102"/>
      <w:bookmarkEnd w:id="158"/>
      <w:bookmarkStart w:id="159" w:name="_Toc184314471"/>
      <w:bookmarkEnd w:id="159"/>
      <w:bookmarkStart w:id="160" w:name="_Toc184312069"/>
      <w:bookmarkEnd w:id="160"/>
      <w:bookmarkStart w:id="161" w:name="_Toc184314470"/>
      <w:bookmarkEnd w:id="161"/>
      <w:bookmarkStart w:id="162" w:name="_Toc184310277"/>
      <w:bookmarkEnd w:id="162"/>
      <w:bookmarkStart w:id="163" w:name="_Toc184312133"/>
      <w:bookmarkEnd w:id="163"/>
      <w:bookmarkStart w:id="164" w:name="_Toc184308071"/>
      <w:bookmarkEnd w:id="164"/>
      <w:bookmarkStart w:id="165" w:name="_Toc184312092"/>
      <w:bookmarkEnd w:id="165"/>
      <w:bookmarkStart w:id="166" w:name="_Toc184310320"/>
      <w:bookmarkEnd w:id="166"/>
      <w:bookmarkStart w:id="167" w:name="_Toc184312114"/>
      <w:bookmarkEnd w:id="167"/>
      <w:bookmarkStart w:id="168" w:name="_Toc184308094"/>
      <w:bookmarkEnd w:id="168"/>
      <w:bookmarkStart w:id="169" w:name="_Toc184310327"/>
      <w:bookmarkEnd w:id="169"/>
      <w:bookmarkStart w:id="170" w:name="_Toc184314475"/>
      <w:bookmarkEnd w:id="170"/>
      <w:bookmarkStart w:id="171" w:name="_Toc184314438"/>
      <w:bookmarkEnd w:id="171"/>
      <w:bookmarkStart w:id="172" w:name="_Toc184314482"/>
      <w:bookmarkEnd w:id="172"/>
      <w:bookmarkStart w:id="173" w:name="_Toc184314479"/>
      <w:bookmarkEnd w:id="173"/>
      <w:bookmarkStart w:id="174" w:name="_Toc184312099"/>
      <w:bookmarkEnd w:id="174"/>
      <w:bookmarkStart w:id="175" w:name="_Toc184313305"/>
      <w:bookmarkEnd w:id="175"/>
      <w:bookmarkStart w:id="176" w:name="_Toc184310317"/>
      <w:bookmarkEnd w:id="176"/>
      <w:bookmarkStart w:id="177" w:name="_Toc184310292"/>
      <w:bookmarkEnd w:id="177"/>
      <w:bookmarkStart w:id="178" w:name="_Toc184313254"/>
      <w:bookmarkEnd w:id="178"/>
      <w:bookmarkStart w:id="179" w:name="_Toc184312067"/>
      <w:bookmarkEnd w:id="179"/>
      <w:bookmarkStart w:id="180" w:name="_Toc184313287"/>
      <w:bookmarkEnd w:id="180"/>
      <w:bookmarkStart w:id="181" w:name="_Toc184310328"/>
      <w:bookmarkEnd w:id="181"/>
      <w:bookmarkStart w:id="182" w:name="_Toc184314434"/>
      <w:bookmarkEnd w:id="182"/>
      <w:bookmarkStart w:id="183" w:name="_Toc184308079"/>
      <w:bookmarkEnd w:id="183"/>
      <w:bookmarkStart w:id="184" w:name="_Toc184310339"/>
      <w:bookmarkEnd w:id="184"/>
      <w:bookmarkStart w:id="185" w:name="_Toc184312117"/>
      <w:bookmarkEnd w:id="185"/>
      <w:bookmarkStart w:id="186" w:name="_Toc184308052"/>
      <w:bookmarkEnd w:id="186"/>
      <w:bookmarkStart w:id="187" w:name="_Toc184308075"/>
      <w:bookmarkEnd w:id="187"/>
      <w:bookmarkStart w:id="188" w:name="_Toc184313273"/>
      <w:bookmarkEnd w:id="188"/>
      <w:bookmarkStart w:id="189" w:name="_Toc184312128"/>
      <w:bookmarkEnd w:id="189"/>
      <w:bookmarkStart w:id="190" w:name="_Toc184313292"/>
      <w:bookmarkEnd w:id="190"/>
      <w:bookmarkStart w:id="191" w:name="_Toc184310280"/>
      <w:bookmarkEnd w:id="191"/>
      <w:bookmarkStart w:id="192" w:name="_Toc184308045"/>
      <w:bookmarkEnd w:id="192"/>
      <w:bookmarkStart w:id="193" w:name="_Toc184314450"/>
      <w:bookmarkEnd w:id="193"/>
      <w:bookmarkStart w:id="194" w:name="_Toc184310291"/>
      <w:bookmarkEnd w:id="194"/>
      <w:bookmarkStart w:id="195" w:name="_Toc184314436"/>
      <w:bookmarkEnd w:id="195"/>
      <w:bookmarkStart w:id="196" w:name="_Toc184314422"/>
      <w:bookmarkEnd w:id="196"/>
      <w:bookmarkStart w:id="197" w:name="_Toc184312107"/>
      <w:bookmarkEnd w:id="197"/>
      <w:bookmarkStart w:id="198" w:name="_Toc184313310"/>
      <w:bookmarkEnd w:id="198"/>
      <w:bookmarkStart w:id="199" w:name="_Toc184314451"/>
      <w:bookmarkEnd w:id="199"/>
      <w:bookmarkStart w:id="200" w:name="_Toc184314442"/>
      <w:bookmarkEnd w:id="200"/>
      <w:bookmarkStart w:id="201" w:name="_Toc184310331"/>
      <w:bookmarkEnd w:id="201"/>
      <w:bookmarkStart w:id="202" w:name="_Toc184308078"/>
      <w:bookmarkEnd w:id="202"/>
      <w:bookmarkStart w:id="203" w:name="_Toc184312122"/>
      <w:bookmarkEnd w:id="203"/>
      <w:bookmarkStart w:id="204" w:name="_Toc184314428"/>
      <w:bookmarkEnd w:id="204"/>
      <w:bookmarkStart w:id="205" w:name="_Toc184314481"/>
      <w:bookmarkEnd w:id="205"/>
      <w:bookmarkStart w:id="206" w:name="_Toc184308053"/>
      <w:bookmarkEnd w:id="206"/>
      <w:bookmarkStart w:id="207" w:name="_Toc184312071"/>
      <w:bookmarkEnd w:id="207"/>
      <w:bookmarkStart w:id="208" w:name="_Toc184314457"/>
      <w:bookmarkEnd w:id="208"/>
      <w:bookmarkStart w:id="209" w:name="_Toc184313304"/>
      <w:bookmarkEnd w:id="209"/>
      <w:bookmarkStart w:id="210" w:name="_Toc184314417"/>
      <w:bookmarkEnd w:id="210"/>
      <w:bookmarkStart w:id="211" w:name="_Toc184308083"/>
      <w:bookmarkEnd w:id="211"/>
      <w:bookmarkStart w:id="212" w:name="_Toc184310285"/>
      <w:bookmarkEnd w:id="212"/>
      <w:bookmarkStart w:id="213" w:name="_Toc184308039"/>
      <w:bookmarkEnd w:id="213"/>
      <w:bookmarkStart w:id="214" w:name="_Toc184308103"/>
      <w:bookmarkEnd w:id="214"/>
      <w:bookmarkStart w:id="215" w:name="_Toc184310323"/>
      <w:bookmarkEnd w:id="215"/>
      <w:bookmarkStart w:id="216" w:name="_Toc184308043"/>
      <w:bookmarkEnd w:id="216"/>
      <w:bookmarkStart w:id="217" w:name="_Toc184312088"/>
      <w:bookmarkEnd w:id="217"/>
      <w:bookmarkStart w:id="218" w:name="_Toc184312113"/>
      <w:bookmarkEnd w:id="218"/>
      <w:bookmarkStart w:id="219" w:name="_Toc184308042"/>
      <w:bookmarkEnd w:id="219"/>
      <w:bookmarkStart w:id="220" w:name="_Toc184308092"/>
      <w:bookmarkEnd w:id="220"/>
      <w:bookmarkStart w:id="221" w:name="_Toc184314431"/>
      <w:bookmarkEnd w:id="221"/>
      <w:bookmarkStart w:id="222" w:name="_Toc184314465"/>
      <w:bookmarkEnd w:id="222"/>
      <w:bookmarkStart w:id="223" w:name="_Toc184308099"/>
      <w:bookmarkEnd w:id="223"/>
      <w:bookmarkStart w:id="224" w:name="_Toc184310338"/>
      <w:bookmarkEnd w:id="224"/>
      <w:bookmarkStart w:id="225" w:name="_Toc184312115"/>
      <w:bookmarkEnd w:id="225"/>
      <w:bookmarkStart w:id="226" w:name="_Toc184308105"/>
      <w:bookmarkEnd w:id="226"/>
      <w:bookmarkStart w:id="227" w:name="_Toc184310321"/>
      <w:bookmarkEnd w:id="227"/>
      <w:bookmarkStart w:id="228" w:name="_Toc184314418"/>
      <w:bookmarkEnd w:id="228"/>
      <w:bookmarkStart w:id="229" w:name="_Toc184313244"/>
      <w:bookmarkEnd w:id="229"/>
      <w:bookmarkStart w:id="230" w:name="_Toc184312116"/>
      <w:bookmarkEnd w:id="230"/>
      <w:bookmarkStart w:id="231" w:name="_Toc184313245"/>
      <w:bookmarkEnd w:id="231"/>
      <w:bookmarkStart w:id="232" w:name="_Toc184313257"/>
      <w:bookmarkEnd w:id="232"/>
      <w:bookmarkStart w:id="233" w:name="_Toc184314446"/>
      <w:bookmarkEnd w:id="233"/>
      <w:bookmarkStart w:id="234" w:name="_Toc184310289"/>
      <w:bookmarkEnd w:id="234"/>
      <w:bookmarkStart w:id="235" w:name="_Toc184310306"/>
      <w:bookmarkEnd w:id="235"/>
      <w:bookmarkStart w:id="236" w:name="_Toc184312121"/>
      <w:bookmarkEnd w:id="236"/>
      <w:bookmarkStart w:id="237" w:name="_Toc184313278"/>
      <w:bookmarkEnd w:id="237"/>
      <w:bookmarkStart w:id="238" w:name="_Toc184308056"/>
      <w:bookmarkEnd w:id="238"/>
      <w:bookmarkStart w:id="239" w:name="_Toc184308040"/>
      <w:bookmarkEnd w:id="239"/>
      <w:bookmarkStart w:id="240" w:name="_Toc184312072"/>
      <w:bookmarkEnd w:id="240"/>
      <w:bookmarkStart w:id="241" w:name="_Toc184310287"/>
      <w:bookmarkEnd w:id="241"/>
      <w:bookmarkStart w:id="242" w:name="_Toc184310322"/>
      <w:bookmarkEnd w:id="242"/>
      <w:bookmarkStart w:id="243" w:name="_Toc184310283"/>
      <w:bookmarkEnd w:id="243"/>
      <w:bookmarkStart w:id="244" w:name="_Toc184313259"/>
      <w:bookmarkEnd w:id="244"/>
      <w:bookmarkStart w:id="245" w:name="_Toc184313272"/>
      <w:bookmarkEnd w:id="245"/>
      <w:bookmarkStart w:id="246" w:name="_Toc184313239"/>
      <w:bookmarkEnd w:id="246"/>
      <w:bookmarkStart w:id="247" w:name="_Toc184308107"/>
      <w:bookmarkEnd w:id="247"/>
      <w:bookmarkStart w:id="248" w:name="_Toc184312075"/>
      <w:bookmarkEnd w:id="248"/>
      <w:bookmarkStart w:id="249" w:name="_Toc184310315"/>
      <w:bookmarkEnd w:id="249"/>
      <w:bookmarkStart w:id="250" w:name="_Toc184310278"/>
      <w:bookmarkEnd w:id="250"/>
      <w:bookmarkStart w:id="251" w:name="_Toc184308106"/>
      <w:bookmarkEnd w:id="251"/>
      <w:bookmarkStart w:id="252" w:name="_Toc184313291"/>
      <w:bookmarkEnd w:id="252"/>
      <w:bookmarkStart w:id="253" w:name="_Toc184312070"/>
      <w:bookmarkEnd w:id="253"/>
      <w:bookmarkStart w:id="254" w:name="_Toc184312139"/>
      <w:bookmarkEnd w:id="254"/>
      <w:bookmarkStart w:id="255" w:name="_Toc184310326"/>
      <w:bookmarkEnd w:id="255"/>
      <w:bookmarkStart w:id="256" w:name="_Toc184313285"/>
      <w:bookmarkEnd w:id="256"/>
      <w:bookmarkStart w:id="257" w:name="_Toc184310308"/>
      <w:bookmarkEnd w:id="257"/>
      <w:bookmarkStart w:id="258" w:name="_Toc184314425"/>
      <w:bookmarkEnd w:id="258"/>
      <w:bookmarkStart w:id="259" w:name="_Toc184314466"/>
      <w:bookmarkEnd w:id="259"/>
      <w:bookmarkStart w:id="260" w:name="_Toc184312084"/>
      <w:bookmarkEnd w:id="260"/>
      <w:bookmarkStart w:id="261" w:name="_Toc184308051"/>
      <w:bookmarkEnd w:id="261"/>
      <w:bookmarkStart w:id="262" w:name="_Toc184310333"/>
      <w:bookmarkEnd w:id="262"/>
      <w:bookmarkStart w:id="263" w:name="_Toc184314464"/>
      <w:bookmarkEnd w:id="263"/>
      <w:bookmarkStart w:id="264" w:name="_Toc184313289"/>
      <w:bookmarkEnd w:id="264"/>
      <w:bookmarkStart w:id="265" w:name="_Toc184310286"/>
      <w:bookmarkEnd w:id="265"/>
      <w:bookmarkStart w:id="266" w:name="_Toc184313246"/>
      <w:bookmarkEnd w:id="266"/>
      <w:bookmarkStart w:id="267" w:name="_Toc184308087"/>
      <w:bookmarkEnd w:id="267"/>
      <w:bookmarkStart w:id="268" w:name="_Toc184314435"/>
      <w:bookmarkEnd w:id="268"/>
      <w:bookmarkStart w:id="269" w:name="_Toc184313299"/>
      <w:bookmarkEnd w:id="269"/>
      <w:bookmarkStart w:id="270" w:name="_Toc184313269"/>
      <w:bookmarkEnd w:id="270"/>
      <w:bookmarkStart w:id="271" w:name="_Toc184308059"/>
      <w:bookmarkEnd w:id="271"/>
      <w:bookmarkStart w:id="272" w:name="_Toc184312125"/>
      <w:bookmarkEnd w:id="272"/>
      <w:bookmarkStart w:id="273" w:name="_Toc184308091"/>
      <w:bookmarkEnd w:id="273"/>
      <w:bookmarkStart w:id="274" w:name="_Toc184308046"/>
      <w:bookmarkEnd w:id="274"/>
      <w:bookmarkStart w:id="275" w:name="_Toc184310275"/>
      <w:bookmarkEnd w:id="275"/>
      <w:bookmarkStart w:id="276" w:name="_Toc184312068"/>
      <w:bookmarkEnd w:id="276"/>
      <w:bookmarkStart w:id="277" w:name="_Toc184308047"/>
      <w:bookmarkEnd w:id="277"/>
      <w:bookmarkStart w:id="278" w:name="_Toc184308104"/>
      <w:bookmarkEnd w:id="278"/>
      <w:bookmarkStart w:id="279" w:name="_Toc184310295"/>
      <w:bookmarkEnd w:id="279"/>
      <w:bookmarkStart w:id="280" w:name="_Toc184314433"/>
      <w:bookmarkEnd w:id="280"/>
      <w:bookmarkStart w:id="281" w:name="_Toc184313293"/>
      <w:bookmarkEnd w:id="281"/>
      <w:bookmarkStart w:id="282" w:name="_Toc184314423"/>
      <w:bookmarkEnd w:id="282"/>
      <w:bookmarkStart w:id="283" w:name="_Toc184308085"/>
      <w:bookmarkEnd w:id="283"/>
      <w:bookmarkStart w:id="284" w:name="_Toc184312081"/>
      <w:bookmarkEnd w:id="284"/>
      <w:bookmarkStart w:id="285" w:name="_Toc184313241"/>
      <w:bookmarkEnd w:id="285"/>
      <w:bookmarkStart w:id="286" w:name="_Toc184308082"/>
      <w:bookmarkEnd w:id="286"/>
      <w:bookmarkStart w:id="287" w:name="_Toc184313298"/>
      <w:bookmarkEnd w:id="287"/>
      <w:bookmarkStart w:id="288" w:name="_Toc184310301"/>
      <w:bookmarkEnd w:id="288"/>
      <w:bookmarkStart w:id="289" w:name="_Toc184308072"/>
      <w:bookmarkEnd w:id="289"/>
      <w:bookmarkStart w:id="290" w:name="_Toc184314469"/>
      <w:bookmarkEnd w:id="290"/>
      <w:bookmarkStart w:id="291" w:name="_Toc184313258"/>
      <w:bookmarkEnd w:id="291"/>
      <w:bookmarkStart w:id="292" w:name="_Toc184312104"/>
      <w:bookmarkEnd w:id="292"/>
      <w:bookmarkStart w:id="293" w:name="_Toc184313309"/>
      <w:bookmarkEnd w:id="293"/>
      <w:bookmarkStart w:id="294" w:name="_Toc184310299"/>
      <w:bookmarkEnd w:id="294"/>
      <w:bookmarkStart w:id="295" w:name="_Toc184308093"/>
      <w:bookmarkEnd w:id="295"/>
      <w:bookmarkStart w:id="296" w:name="_Toc184313250"/>
      <w:bookmarkEnd w:id="296"/>
      <w:bookmarkStart w:id="297" w:name="_Toc184310297"/>
      <w:bookmarkEnd w:id="297"/>
      <w:bookmarkStart w:id="298" w:name="_Toc184310332"/>
      <w:bookmarkEnd w:id="298"/>
      <w:bookmarkStart w:id="299" w:name="_Toc184312087"/>
      <w:bookmarkEnd w:id="299"/>
      <w:bookmarkStart w:id="300" w:name="_Toc184314414"/>
      <w:bookmarkEnd w:id="300"/>
      <w:bookmarkStart w:id="301" w:name="_Toc184314429"/>
      <w:bookmarkEnd w:id="301"/>
      <w:bookmarkStart w:id="302" w:name="_Toc184314421"/>
      <w:bookmarkEnd w:id="302"/>
      <w:bookmarkStart w:id="303" w:name="_Toc184310310"/>
      <w:bookmarkEnd w:id="303"/>
      <w:bookmarkStart w:id="304" w:name="_Toc184312108"/>
      <w:bookmarkEnd w:id="304"/>
      <w:bookmarkStart w:id="305" w:name="_Toc184313286"/>
      <w:bookmarkEnd w:id="305"/>
      <w:bookmarkStart w:id="306" w:name="_Toc184310279"/>
      <w:bookmarkEnd w:id="306"/>
      <w:bookmarkStart w:id="307" w:name="_Toc184310274"/>
      <w:bookmarkEnd w:id="307"/>
      <w:bookmarkStart w:id="308" w:name="_Toc184310312"/>
      <w:bookmarkEnd w:id="308"/>
      <w:bookmarkStart w:id="309" w:name="_Toc184313277"/>
      <w:bookmarkEnd w:id="309"/>
      <w:bookmarkStart w:id="310" w:name="_Toc184314480"/>
      <w:bookmarkEnd w:id="310"/>
      <w:bookmarkStart w:id="311" w:name="_Toc184313261"/>
      <w:bookmarkEnd w:id="311"/>
      <w:bookmarkStart w:id="312" w:name="_Toc184310284"/>
      <w:bookmarkEnd w:id="312"/>
      <w:bookmarkStart w:id="313" w:name="_Toc184314474"/>
      <w:bookmarkEnd w:id="313"/>
      <w:bookmarkStart w:id="314" w:name="_Toc184308073"/>
      <w:bookmarkEnd w:id="314"/>
      <w:bookmarkStart w:id="315" w:name="_Toc184314473"/>
      <w:bookmarkEnd w:id="315"/>
      <w:bookmarkStart w:id="316" w:name="_Toc184310329"/>
      <w:bookmarkEnd w:id="316"/>
      <w:bookmarkStart w:id="317" w:name="_Toc184308048"/>
      <w:bookmarkEnd w:id="317"/>
      <w:bookmarkStart w:id="318" w:name="_Toc184308069"/>
      <w:bookmarkEnd w:id="318"/>
      <w:bookmarkStart w:id="319" w:name="_Toc184313288"/>
      <w:bookmarkEnd w:id="319"/>
      <w:bookmarkStart w:id="320" w:name="_Toc184314478"/>
      <w:bookmarkEnd w:id="320"/>
      <w:bookmarkStart w:id="321" w:name="_Toc184313264"/>
      <w:bookmarkEnd w:id="321"/>
      <w:bookmarkStart w:id="322" w:name="_Toc184308089"/>
      <w:bookmarkEnd w:id="322"/>
      <w:bookmarkStart w:id="323" w:name="_Toc184310341"/>
      <w:bookmarkEnd w:id="323"/>
      <w:bookmarkStart w:id="324" w:name="_Toc184313247"/>
      <w:bookmarkEnd w:id="324"/>
      <w:bookmarkStart w:id="325" w:name="_Toc184312089"/>
      <w:bookmarkEnd w:id="325"/>
      <w:bookmarkStart w:id="326" w:name="_Toc184313268"/>
      <w:bookmarkEnd w:id="326"/>
      <w:bookmarkStart w:id="327" w:name="_Toc184313296"/>
      <w:bookmarkEnd w:id="327"/>
      <w:bookmarkStart w:id="328" w:name="_Toc184308076"/>
      <w:bookmarkEnd w:id="328"/>
      <w:bookmarkStart w:id="329" w:name="_Toc184314415"/>
      <w:bookmarkEnd w:id="329"/>
      <w:bookmarkStart w:id="330" w:name="_Toc184308057"/>
      <w:bookmarkEnd w:id="330"/>
      <w:bookmarkStart w:id="331" w:name="_Toc184313306"/>
      <w:bookmarkEnd w:id="331"/>
      <w:bookmarkStart w:id="332" w:name="_Toc184314410"/>
      <w:bookmarkEnd w:id="332"/>
      <w:bookmarkStart w:id="333" w:name="_Toc184314443"/>
      <w:bookmarkEnd w:id="333"/>
      <w:bookmarkStart w:id="334" w:name="_Toc184314448"/>
      <w:bookmarkEnd w:id="334"/>
      <w:bookmarkStart w:id="335" w:name="_Toc184310314"/>
      <w:bookmarkEnd w:id="335"/>
      <w:bookmarkStart w:id="336" w:name="_Toc184313295"/>
      <w:bookmarkEnd w:id="336"/>
      <w:bookmarkStart w:id="337" w:name="_Toc184312124"/>
      <w:bookmarkEnd w:id="337"/>
      <w:bookmarkStart w:id="338" w:name="_Toc184313266"/>
      <w:bookmarkEnd w:id="338"/>
      <w:bookmarkStart w:id="339" w:name="_Toc184308041"/>
      <w:bookmarkEnd w:id="339"/>
      <w:bookmarkStart w:id="340" w:name="_Toc184308070"/>
      <w:bookmarkEnd w:id="340"/>
      <w:bookmarkStart w:id="341" w:name="_Toc184313300"/>
      <w:bookmarkEnd w:id="341"/>
      <w:bookmarkStart w:id="342" w:name="_Toc184314449"/>
      <w:bookmarkEnd w:id="342"/>
      <w:bookmarkStart w:id="343" w:name="_Toc184312078"/>
      <w:bookmarkEnd w:id="343"/>
      <w:bookmarkStart w:id="344" w:name="_Toc184314467"/>
      <w:bookmarkEnd w:id="344"/>
      <w:bookmarkStart w:id="345" w:name="_Toc184312138"/>
      <w:bookmarkEnd w:id="345"/>
      <w:bookmarkStart w:id="346" w:name="_Toc184308050"/>
      <w:bookmarkEnd w:id="346"/>
      <w:bookmarkStart w:id="347" w:name="_Toc184312118"/>
      <w:bookmarkEnd w:id="347"/>
      <w:bookmarkStart w:id="348" w:name="_Toc184312136"/>
      <w:bookmarkEnd w:id="348"/>
      <w:bookmarkStart w:id="349" w:name="_Toc184308037"/>
      <w:bookmarkEnd w:id="349"/>
      <w:bookmarkStart w:id="350" w:name="_Toc184308054"/>
      <w:bookmarkEnd w:id="350"/>
      <w:bookmarkStart w:id="351" w:name="_Toc184310272"/>
      <w:bookmarkEnd w:id="351"/>
      <w:bookmarkStart w:id="352" w:name="_Toc184313282"/>
      <w:bookmarkEnd w:id="352"/>
      <w:bookmarkStart w:id="353" w:name="_Toc184312135"/>
      <w:bookmarkEnd w:id="353"/>
      <w:bookmarkStart w:id="354" w:name="_Toc184308049"/>
      <w:bookmarkEnd w:id="354"/>
      <w:bookmarkStart w:id="355" w:name="_Toc184312096"/>
      <w:bookmarkEnd w:id="355"/>
      <w:bookmarkStart w:id="356" w:name="_Toc184310288"/>
      <w:bookmarkEnd w:id="356"/>
      <w:bookmarkStart w:id="357" w:name="_Toc184313283"/>
      <w:bookmarkEnd w:id="357"/>
      <w:bookmarkStart w:id="358" w:name="_Toc184312085"/>
      <w:bookmarkEnd w:id="358"/>
      <w:bookmarkStart w:id="359" w:name="_Toc184310281"/>
      <w:bookmarkEnd w:id="359"/>
      <w:bookmarkStart w:id="360" w:name="_Toc184308097"/>
      <w:bookmarkEnd w:id="360"/>
      <w:bookmarkStart w:id="361" w:name="_Toc184310334"/>
      <w:bookmarkEnd w:id="361"/>
      <w:bookmarkStart w:id="362" w:name="_Toc184312086"/>
      <w:bookmarkEnd w:id="362"/>
      <w:bookmarkStart w:id="363" w:name="_Toc184313308"/>
      <w:bookmarkEnd w:id="363"/>
      <w:bookmarkStart w:id="364" w:name="_Toc184312101"/>
      <w:bookmarkEnd w:id="364"/>
      <w:bookmarkStart w:id="365" w:name="_Toc184314432"/>
      <w:bookmarkEnd w:id="365"/>
      <w:bookmarkStart w:id="366" w:name="_Toc184308060"/>
      <w:bookmarkEnd w:id="366"/>
      <w:bookmarkStart w:id="367" w:name="_Toc184314445"/>
      <w:bookmarkEnd w:id="367"/>
      <w:bookmarkStart w:id="368" w:name="_Toc184313271"/>
      <w:bookmarkEnd w:id="368"/>
      <w:bookmarkStart w:id="369" w:name="_Toc184310276"/>
      <w:bookmarkEnd w:id="369"/>
      <w:bookmarkStart w:id="370" w:name="_Toc184313249"/>
      <w:bookmarkEnd w:id="370"/>
      <w:bookmarkStart w:id="371" w:name="_Toc184313307"/>
      <w:bookmarkEnd w:id="371"/>
      <w:bookmarkStart w:id="372" w:name="_Toc184310318"/>
      <w:bookmarkEnd w:id="372"/>
      <w:bookmarkStart w:id="373" w:name="_Toc184314453"/>
      <w:bookmarkEnd w:id="373"/>
      <w:bookmarkStart w:id="374" w:name="_Toc184308065"/>
      <w:bookmarkEnd w:id="374"/>
      <w:bookmarkStart w:id="375" w:name="_Toc184310311"/>
      <w:bookmarkEnd w:id="375"/>
      <w:bookmarkStart w:id="376" w:name="_Toc184313294"/>
      <w:bookmarkEnd w:id="376"/>
      <w:bookmarkStart w:id="377" w:name="_Toc184313255"/>
      <w:bookmarkEnd w:id="377"/>
      <w:bookmarkStart w:id="378" w:name="_Toc184310340"/>
      <w:bookmarkEnd w:id="378"/>
      <w:bookmarkStart w:id="379" w:name="_Toc184312137"/>
      <w:bookmarkEnd w:id="379"/>
      <w:bookmarkStart w:id="380" w:name="_Toc184313279"/>
      <w:bookmarkEnd w:id="380"/>
      <w:bookmarkStart w:id="381" w:name="_Toc184314463"/>
      <w:bookmarkEnd w:id="381"/>
      <w:bookmarkStart w:id="382" w:name="_Toc184313251"/>
      <w:bookmarkEnd w:id="382"/>
      <w:bookmarkStart w:id="383" w:name="_Toc184314454"/>
      <w:bookmarkEnd w:id="383"/>
      <w:bookmarkStart w:id="384" w:name="_Toc184310336"/>
      <w:bookmarkEnd w:id="384"/>
      <w:bookmarkStart w:id="385" w:name="_Toc184310302"/>
      <w:bookmarkEnd w:id="385"/>
      <w:bookmarkStart w:id="386" w:name="_Toc184310330"/>
      <w:bookmarkEnd w:id="386"/>
      <w:bookmarkStart w:id="387" w:name="_Toc184313248"/>
      <w:bookmarkEnd w:id="387"/>
      <w:bookmarkStart w:id="388" w:name="_Toc184313270"/>
      <w:bookmarkEnd w:id="388"/>
      <w:bookmarkStart w:id="389" w:name="_Toc184313301"/>
      <w:bookmarkEnd w:id="389"/>
      <w:bookmarkStart w:id="390" w:name="_Toc184312073"/>
      <w:bookmarkEnd w:id="390"/>
      <w:bookmarkStart w:id="391" w:name="_Toc184308067"/>
      <w:bookmarkEnd w:id="391"/>
      <w:r>
        <w:rPr>
          <w:rFonts w:hint="eastAsia" w:ascii="仿宋" w:hAnsi="仿宋" w:eastAsia="仿宋" w:cs="仿宋"/>
          <w:b/>
          <w:color w:val="auto"/>
          <w:kern w:val="44"/>
          <w:sz w:val="36"/>
          <w:szCs w:val="36"/>
          <w:highlight w:val="none"/>
          <w:lang w:val="en-US" w:eastAsia="zh-CN" w:bidi="ar-SA"/>
        </w:rPr>
        <w:t>评标办法</w:t>
      </w:r>
    </w:p>
    <w:p w14:paraId="05F1FDF4">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仿宋" w:hAnsi="仿宋" w:eastAsia="仿宋" w:cs="仿宋"/>
          <w:b/>
          <w:color w:val="auto"/>
          <w:kern w:val="44"/>
          <w:sz w:val="32"/>
          <w:szCs w:val="32"/>
          <w:highlight w:val="none"/>
          <w:lang w:val="en-US" w:eastAsia="zh-CN" w:bidi="ar-SA"/>
        </w:rPr>
      </w:pPr>
      <w:r>
        <w:rPr>
          <w:rFonts w:hint="eastAsia" w:ascii="仿宋" w:hAnsi="仿宋" w:eastAsia="仿宋" w:cs="仿宋"/>
          <w:b/>
          <w:color w:val="auto"/>
          <w:kern w:val="44"/>
          <w:sz w:val="32"/>
          <w:szCs w:val="32"/>
          <w:highlight w:val="none"/>
          <w:lang w:val="en-US" w:eastAsia="zh-CN" w:bidi="ar-SA"/>
        </w:rPr>
        <w:t>评标办法前附表</w:t>
      </w:r>
    </w:p>
    <w:p w14:paraId="2C47CDD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79DE810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1D7944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（3）报价得分=（评标基准价/投标报价）*价格权值*100，评标基准价=有效投标人的最低投标报价，价格权值=20%；</w:t>
      </w:r>
    </w:p>
    <w:p w14:paraId="070618A8">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sz w:val="24"/>
          <w:highlight w:val="none"/>
        </w:rPr>
        <w:t>商务技术分评分细则（</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0分）</w:t>
      </w:r>
    </w:p>
    <w:p w14:paraId="5D9FA8F2">
      <w:pPr>
        <w:autoSpaceDE w:val="0"/>
        <w:autoSpaceDN w:val="0"/>
        <w:adjustRightInd w:val="0"/>
        <w:spacing w:after="159" w:afterLines="50" w:afterAutospacing="0" w:line="420" w:lineRule="exact"/>
        <w:rPr>
          <w:rFonts w:hint="eastAsia" w:ascii="仿宋" w:hAnsi="仿宋" w:eastAsia="仿宋" w:cs="仿宋"/>
          <w:b/>
          <w:bCs/>
          <w:i w:val="0"/>
          <w:iCs w:val="0"/>
          <w:sz w:val="24"/>
          <w:highlight w:val="none"/>
        </w:rPr>
      </w:pPr>
      <w:r>
        <w:rPr>
          <w:rFonts w:hint="eastAsia" w:eastAsia="仿宋"/>
          <w:b/>
          <w:bCs/>
          <w:i w:val="0"/>
          <w:iCs w:val="0"/>
          <w:sz w:val="24"/>
          <w:highlight w:val="none"/>
        </w:rPr>
        <w:t>标项1</w:t>
      </w:r>
      <w:r>
        <w:rPr>
          <w:rFonts w:hint="eastAsia" w:eastAsia="仿宋"/>
          <w:b/>
          <w:bCs/>
          <w:i w:val="0"/>
          <w:iCs w:val="0"/>
          <w:sz w:val="24"/>
          <w:highlight w:val="none"/>
          <w:lang w:eastAsia="zh-CN"/>
        </w:rPr>
        <w:t>、</w:t>
      </w:r>
      <w:r>
        <w:rPr>
          <w:rFonts w:hint="eastAsia" w:eastAsia="仿宋"/>
          <w:b/>
          <w:bCs/>
          <w:i w:val="0"/>
          <w:iCs w:val="0"/>
          <w:sz w:val="24"/>
          <w:highlight w:val="none"/>
          <w:lang w:val="en-US" w:eastAsia="zh-CN"/>
        </w:rPr>
        <w:t>2</w:t>
      </w:r>
      <w:r>
        <w:rPr>
          <w:rFonts w:hint="eastAsia" w:eastAsia="仿宋"/>
          <w:b/>
          <w:bCs/>
          <w:i w:val="0"/>
          <w:iCs w:val="0"/>
          <w:sz w:val="24"/>
          <w:highlight w:val="none"/>
        </w:rPr>
        <w:t>：</w:t>
      </w:r>
      <w:r>
        <w:rPr>
          <w:rFonts w:hint="eastAsia" w:ascii="仿宋" w:hAnsi="仿宋" w:eastAsia="仿宋" w:cs="仿宋"/>
          <w:b/>
          <w:bCs/>
          <w:i w:val="0"/>
          <w:iCs w:val="0"/>
          <w:sz w:val="24"/>
          <w:highlight w:val="none"/>
        </w:rPr>
        <w:t>商务</w:t>
      </w:r>
      <w:r>
        <w:rPr>
          <w:rFonts w:hint="eastAsia" w:ascii="仿宋" w:hAnsi="仿宋" w:eastAsia="仿宋" w:cs="宋体"/>
          <w:b/>
          <w:bCs/>
          <w:i w:val="0"/>
          <w:iCs w:val="0"/>
          <w:sz w:val="24"/>
          <w:highlight w:val="none"/>
        </w:rPr>
        <w:t>技术分评分细则（80分）</w:t>
      </w:r>
    </w:p>
    <w:tbl>
      <w:tblPr>
        <w:tblStyle w:val="66"/>
        <w:tblW w:w="93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4"/>
        <w:gridCol w:w="805"/>
        <w:gridCol w:w="6978"/>
        <w:gridCol w:w="791"/>
      </w:tblGrid>
      <w:tr w14:paraId="5EBCD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744" w:type="dxa"/>
            <w:noWrap/>
            <w:vAlign w:val="center"/>
          </w:tcPr>
          <w:p w14:paraId="077B8AF6">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序号</w:t>
            </w:r>
          </w:p>
        </w:tc>
        <w:tc>
          <w:tcPr>
            <w:tcW w:w="805" w:type="dxa"/>
            <w:noWrap/>
            <w:vAlign w:val="center"/>
          </w:tcPr>
          <w:p w14:paraId="2D05105E">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项目</w:t>
            </w:r>
          </w:p>
        </w:tc>
        <w:tc>
          <w:tcPr>
            <w:tcW w:w="6978" w:type="dxa"/>
            <w:noWrap/>
            <w:vAlign w:val="center"/>
          </w:tcPr>
          <w:p w14:paraId="258A9C67">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评分标准</w:t>
            </w:r>
          </w:p>
        </w:tc>
        <w:tc>
          <w:tcPr>
            <w:tcW w:w="791" w:type="dxa"/>
            <w:noWrap/>
            <w:vAlign w:val="center"/>
          </w:tcPr>
          <w:p w14:paraId="687AAA42">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分值</w:t>
            </w:r>
          </w:p>
        </w:tc>
      </w:tr>
      <w:tr w14:paraId="6FC0F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744" w:type="dxa"/>
            <w:noWrap/>
            <w:vAlign w:val="center"/>
          </w:tcPr>
          <w:p w14:paraId="1B8F8E11">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1</w:t>
            </w:r>
          </w:p>
        </w:tc>
        <w:tc>
          <w:tcPr>
            <w:tcW w:w="805" w:type="dxa"/>
            <w:noWrap/>
            <w:vAlign w:val="center"/>
          </w:tcPr>
          <w:p w14:paraId="7690C7FE">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企业</w:t>
            </w:r>
          </w:p>
          <w:p w14:paraId="2BA9587B">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资信</w:t>
            </w:r>
          </w:p>
        </w:tc>
        <w:tc>
          <w:tcPr>
            <w:tcW w:w="6978" w:type="dxa"/>
            <w:noWrap/>
            <w:vAlign w:val="center"/>
          </w:tcPr>
          <w:p w14:paraId="6BDAA3FD">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投标人具有有效期内的质量管理体系认证、环境管理体系认证、职业健康安全管理体系认证，每提供一项得1分，最高得3分。</w:t>
            </w:r>
          </w:p>
          <w:p w14:paraId="64F2096D">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注：商务技术文件中需提供有效期内相关证书复印件并加盖投标人CA签章，不提供则不得分。</w:t>
            </w:r>
          </w:p>
        </w:tc>
        <w:tc>
          <w:tcPr>
            <w:tcW w:w="791" w:type="dxa"/>
            <w:noWrap/>
            <w:vAlign w:val="center"/>
          </w:tcPr>
          <w:p w14:paraId="72406D8C">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lang w:val="en-US" w:eastAsia="zh-CN"/>
              </w:rPr>
              <w:t>3</w:t>
            </w:r>
            <w:r>
              <w:rPr>
                <w:rFonts w:hint="eastAsia" w:ascii="仿宋" w:hAnsi="仿宋" w:eastAsia="仿宋" w:cs="宋体"/>
                <w:b/>
                <w:bCs/>
                <w:kern w:val="2"/>
                <w:sz w:val="24"/>
                <w:szCs w:val="24"/>
                <w:highlight w:val="none"/>
              </w:rPr>
              <w:t>分</w:t>
            </w:r>
          </w:p>
        </w:tc>
      </w:tr>
      <w:tr w14:paraId="24C1A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5" w:hRule="atLeast"/>
          <w:jc w:val="center"/>
        </w:trPr>
        <w:tc>
          <w:tcPr>
            <w:tcW w:w="744" w:type="dxa"/>
            <w:noWrap/>
            <w:vAlign w:val="center"/>
          </w:tcPr>
          <w:p w14:paraId="38F38BC7">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2</w:t>
            </w:r>
          </w:p>
        </w:tc>
        <w:tc>
          <w:tcPr>
            <w:tcW w:w="805" w:type="dxa"/>
            <w:noWrap/>
            <w:vAlign w:val="center"/>
          </w:tcPr>
          <w:p w14:paraId="7C07C2B6">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项目</w:t>
            </w:r>
          </w:p>
          <w:p w14:paraId="67CC80CE">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经验</w:t>
            </w:r>
          </w:p>
        </w:tc>
        <w:tc>
          <w:tcPr>
            <w:tcW w:w="6978" w:type="dxa"/>
            <w:noWrap/>
            <w:vAlign w:val="center"/>
          </w:tcPr>
          <w:p w14:paraId="10B9074B">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自2021年1月1日以来（以合同签订时间为准），具有同类项目经验（单只项目合同必须同时包含市政工程、风景园林、房建工程设计内容，若无具体设计内容的提供甲方盖章证明）的，每提供一项得1分，最高得2分。</w:t>
            </w:r>
          </w:p>
          <w:p w14:paraId="5677D0AA">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注：提供项目合同复印件以及政府采购网官方截图等证明材料并加盖投标人CA公章，不提供或提供不全不得分。</w:t>
            </w:r>
          </w:p>
        </w:tc>
        <w:tc>
          <w:tcPr>
            <w:tcW w:w="791" w:type="dxa"/>
            <w:noWrap/>
            <w:vAlign w:val="center"/>
          </w:tcPr>
          <w:p w14:paraId="21E482F3">
            <w:pPr>
              <w:autoSpaceDE/>
              <w:autoSpaceDN/>
              <w:spacing w:line="320" w:lineRule="exact"/>
              <w:ind w:firstLine="0" w:firstLineChars="0"/>
              <w:jc w:val="center"/>
              <w:rPr>
                <w:rFonts w:ascii="仿宋" w:hAnsi="仿宋" w:eastAsia="仿宋" w:cs="仿宋_GB2312"/>
                <w:bCs/>
                <w:kern w:val="2"/>
                <w:sz w:val="24"/>
                <w:szCs w:val="24"/>
                <w:highlight w:val="none"/>
              </w:rPr>
            </w:pPr>
            <w:r>
              <w:rPr>
                <w:rFonts w:hint="eastAsia" w:ascii="仿宋" w:hAnsi="仿宋" w:eastAsia="仿宋" w:cs="宋体"/>
                <w:b/>
                <w:bCs/>
                <w:kern w:val="2"/>
                <w:sz w:val="24"/>
                <w:szCs w:val="24"/>
                <w:highlight w:val="none"/>
              </w:rPr>
              <w:t>2分</w:t>
            </w:r>
          </w:p>
        </w:tc>
      </w:tr>
      <w:tr w14:paraId="13069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744" w:type="dxa"/>
            <w:noWrap/>
            <w:vAlign w:val="center"/>
          </w:tcPr>
          <w:p w14:paraId="5A7A957E">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3</w:t>
            </w:r>
          </w:p>
        </w:tc>
        <w:tc>
          <w:tcPr>
            <w:tcW w:w="805" w:type="dxa"/>
            <w:noWrap/>
            <w:vAlign w:val="center"/>
          </w:tcPr>
          <w:p w14:paraId="0B902A15">
            <w:pPr>
              <w:autoSpaceDE/>
              <w:autoSpaceDN/>
              <w:spacing w:line="320" w:lineRule="exact"/>
              <w:ind w:firstLine="0" w:firstLineChars="0"/>
              <w:jc w:val="center"/>
              <w:rPr>
                <w:rFonts w:ascii="仿宋" w:hAnsi="仿宋" w:eastAsia="仿宋" w:cs="仿宋_GB2312"/>
                <w:b/>
                <w:kern w:val="2"/>
                <w:sz w:val="24"/>
                <w:szCs w:val="24"/>
                <w:highlight w:val="none"/>
              </w:rPr>
            </w:pPr>
            <w:r>
              <w:rPr>
                <w:rFonts w:hint="eastAsia" w:ascii="仿宋" w:hAnsi="仿宋" w:eastAsia="仿宋" w:cs="仿宋_GB2312"/>
                <w:b/>
                <w:kern w:val="2"/>
                <w:sz w:val="24"/>
                <w:szCs w:val="24"/>
                <w:highlight w:val="none"/>
              </w:rPr>
              <w:t>配备</w:t>
            </w:r>
          </w:p>
          <w:p w14:paraId="42EC07BA">
            <w:pPr>
              <w:autoSpaceDE/>
              <w:autoSpaceDN/>
              <w:spacing w:line="320" w:lineRule="exact"/>
              <w:ind w:firstLine="0" w:firstLineChars="0"/>
              <w:jc w:val="center"/>
              <w:rPr>
                <w:rFonts w:ascii="仿宋" w:hAnsi="仿宋" w:eastAsia="仿宋" w:cs="仿宋_GB2312"/>
                <w:b/>
                <w:kern w:val="2"/>
                <w:sz w:val="24"/>
                <w:szCs w:val="24"/>
                <w:highlight w:val="none"/>
              </w:rPr>
            </w:pPr>
            <w:r>
              <w:rPr>
                <w:rFonts w:hint="eastAsia" w:ascii="仿宋" w:hAnsi="仿宋" w:eastAsia="仿宋" w:cs="仿宋_GB2312"/>
                <w:b/>
                <w:kern w:val="2"/>
                <w:sz w:val="24"/>
                <w:szCs w:val="24"/>
                <w:highlight w:val="none"/>
              </w:rPr>
              <w:t>人员</w:t>
            </w:r>
          </w:p>
          <w:p w14:paraId="339ED838">
            <w:pPr>
              <w:autoSpaceDE/>
              <w:autoSpaceDN/>
              <w:spacing w:line="320" w:lineRule="exact"/>
              <w:ind w:firstLine="0" w:firstLineChars="0"/>
              <w:jc w:val="center"/>
              <w:rPr>
                <w:rFonts w:ascii="仿宋" w:hAnsi="仿宋" w:eastAsia="仿宋" w:cs="仿宋_GB2312"/>
                <w:bCs/>
                <w:kern w:val="2"/>
                <w:sz w:val="24"/>
                <w:szCs w:val="24"/>
                <w:highlight w:val="none"/>
              </w:rPr>
            </w:pPr>
          </w:p>
        </w:tc>
        <w:tc>
          <w:tcPr>
            <w:tcW w:w="6978" w:type="dxa"/>
            <w:noWrap/>
            <w:vAlign w:val="center"/>
          </w:tcPr>
          <w:p w14:paraId="2D42CA02">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根据投标人拟派项目组人员配备情况进行打分：</w:t>
            </w:r>
          </w:p>
          <w:p w14:paraId="7B315EFA">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b/>
                <w:bCs/>
                <w:sz w:val="24"/>
                <w:highlight w:val="none"/>
                <w:lang w:val="en-US" w:eastAsia="zh-CN"/>
              </w:rPr>
              <w:t>拟派项目负责人：</w:t>
            </w:r>
            <w:r>
              <w:rPr>
                <w:rFonts w:hint="eastAsia" w:ascii="仿宋" w:hAnsi="仿宋" w:eastAsia="仿宋" w:cs="宋体"/>
                <w:sz w:val="24"/>
                <w:highlight w:val="none"/>
                <w:lang w:val="en-US" w:eastAsia="zh-CN"/>
              </w:rPr>
              <w:t>具有高级工程师职称（市政、园林或房建类）的得4分，中级工程师职称（市政、园林或房建类）的得2分；</w:t>
            </w:r>
          </w:p>
          <w:p w14:paraId="6213F2F1">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项目负责人具有注册建筑师资格的得4分，本项最高得8分。</w:t>
            </w:r>
          </w:p>
          <w:p w14:paraId="35DA8B62">
            <w:pPr>
              <w:spacing w:line="300" w:lineRule="auto"/>
              <w:ind w:firstLine="0" w:firstLineChars="0"/>
              <w:jc w:val="both"/>
              <w:rPr>
                <w:rFonts w:hint="eastAsia"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项目组其他人员（不含项目负责人）：</w:t>
            </w:r>
          </w:p>
          <w:p w14:paraId="65E3397A">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具有高级工程师职称的，每提供一名得4分；具有中级工程师职称的，每提供一名得2分，本项最高得16分。</w:t>
            </w:r>
          </w:p>
          <w:p w14:paraId="6F966B90">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 xml:space="preserve">同一人只按最高等级职称得分且只计一次分，不得重复或累计得分。 </w:t>
            </w:r>
          </w:p>
          <w:p w14:paraId="23EAB3E6">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注：商务技术文件中需提供相关人员证书复印件和近三个月内任意一个月的社保证明（社保缴纳证明以社保机构出具的社保证明为准；具有事业双重性质的单位人员社保情况需出具主管部门的意见，视同投标人缴纳），不提供或提供不全则相关部分不得分。</w:t>
            </w:r>
          </w:p>
        </w:tc>
        <w:tc>
          <w:tcPr>
            <w:tcW w:w="791" w:type="dxa"/>
            <w:noWrap/>
            <w:vAlign w:val="center"/>
          </w:tcPr>
          <w:p w14:paraId="3FBC3C25">
            <w:pPr>
              <w:autoSpaceDE/>
              <w:autoSpaceDN/>
              <w:spacing w:line="320" w:lineRule="exact"/>
              <w:ind w:firstLine="0" w:firstLineChars="0"/>
              <w:jc w:val="center"/>
              <w:rPr>
                <w:rFonts w:ascii="仿宋" w:hAnsi="仿宋" w:eastAsia="仿宋" w:cs="仿宋"/>
                <w:kern w:val="16"/>
                <w:sz w:val="24"/>
                <w:szCs w:val="24"/>
                <w:highlight w:val="none"/>
              </w:rPr>
            </w:pPr>
            <w:r>
              <w:rPr>
                <w:rFonts w:hint="eastAsia" w:ascii="仿宋" w:hAnsi="仿宋" w:eastAsia="仿宋" w:cs="宋体"/>
                <w:b/>
                <w:bCs/>
                <w:kern w:val="2"/>
                <w:sz w:val="24"/>
                <w:szCs w:val="24"/>
                <w:highlight w:val="none"/>
                <w:lang w:val="en-US" w:eastAsia="zh-CN"/>
              </w:rPr>
              <w:t>24</w:t>
            </w:r>
            <w:r>
              <w:rPr>
                <w:rFonts w:hint="eastAsia" w:ascii="仿宋" w:hAnsi="仿宋" w:eastAsia="仿宋" w:cs="宋体"/>
                <w:b/>
                <w:bCs/>
                <w:kern w:val="2"/>
                <w:sz w:val="24"/>
                <w:szCs w:val="24"/>
                <w:highlight w:val="none"/>
              </w:rPr>
              <w:t>分</w:t>
            </w:r>
          </w:p>
        </w:tc>
      </w:tr>
      <w:tr w14:paraId="6AB4B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744" w:type="dxa"/>
            <w:noWrap/>
            <w:vAlign w:val="center"/>
          </w:tcPr>
          <w:p w14:paraId="6A966F2A">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4</w:t>
            </w:r>
          </w:p>
        </w:tc>
        <w:tc>
          <w:tcPr>
            <w:tcW w:w="805" w:type="dxa"/>
            <w:noWrap/>
            <w:vAlign w:val="center"/>
          </w:tcPr>
          <w:p w14:paraId="0E0EB089">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项目的了解与分析</w:t>
            </w:r>
          </w:p>
        </w:tc>
        <w:tc>
          <w:tcPr>
            <w:tcW w:w="6978" w:type="dxa"/>
            <w:noWrap/>
            <w:vAlign w:val="center"/>
          </w:tcPr>
          <w:p w14:paraId="396FC963">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对本项目实际情况并结合自身经验进行分析，充分考虑诸暨市东和乡的地质地貌、水文情况，结合自身独到优势针对本项目提出的设计思路和各专业设计方案，理解是否透彻、分析是否全面，由评审专家进行综合打分。</w:t>
            </w:r>
          </w:p>
          <w:p w14:paraId="5B1A6954">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分析阐述详细具体、合理有效的得（6</w:t>
            </w:r>
            <w:bookmarkStart w:id="506" w:name="_GoBack"/>
            <w:bookmarkEnd w:id="506"/>
            <w:r>
              <w:rPr>
                <w:rFonts w:hint="eastAsia" w:ascii="仿宋" w:hAnsi="仿宋" w:eastAsia="仿宋" w:cs="宋体"/>
                <w:sz w:val="24"/>
                <w:highlight w:val="none"/>
                <w:lang w:val="en-US" w:eastAsia="zh-CN"/>
              </w:rPr>
              <w:t>,10]分；分析阐述存在欠缺，但基本详细明确、合理有效的得（3,6]分；分析阐述粗略、不够明确，欠缺合理性、有效性较弱的得（0,3]分；无相关内容阐述或不符合项目的不得分。</w:t>
            </w:r>
          </w:p>
        </w:tc>
        <w:tc>
          <w:tcPr>
            <w:tcW w:w="791" w:type="dxa"/>
            <w:noWrap/>
            <w:vAlign w:val="center"/>
          </w:tcPr>
          <w:p w14:paraId="62B02DBE">
            <w:pPr>
              <w:autoSpaceDE/>
              <w:autoSpaceDN/>
              <w:spacing w:line="320" w:lineRule="exact"/>
              <w:ind w:firstLine="0" w:firstLineChars="0"/>
              <w:jc w:val="center"/>
              <w:rPr>
                <w:rFonts w:ascii="仿宋" w:hAnsi="仿宋" w:eastAsia="仿宋"/>
                <w:kern w:val="2"/>
                <w:sz w:val="24"/>
                <w:szCs w:val="24"/>
                <w:highlight w:val="none"/>
              </w:rPr>
            </w:pPr>
            <w:r>
              <w:rPr>
                <w:rFonts w:hint="eastAsia" w:ascii="仿宋" w:hAnsi="仿宋" w:eastAsia="仿宋"/>
                <w:b/>
                <w:bCs/>
                <w:kern w:val="2"/>
                <w:sz w:val="24"/>
                <w:szCs w:val="24"/>
                <w:highlight w:val="none"/>
                <w:lang w:val="en-US" w:eastAsia="zh-CN"/>
              </w:rPr>
              <w:t>10</w:t>
            </w:r>
            <w:r>
              <w:rPr>
                <w:rFonts w:hint="eastAsia" w:ascii="仿宋" w:hAnsi="仿宋" w:eastAsia="仿宋"/>
                <w:b/>
                <w:bCs/>
                <w:kern w:val="2"/>
                <w:sz w:val="24"/>
                <w:szCs w:val="24"/>
                <w:highlight w:val="none"/>
              </w:rPr>
              <w:t>分</w:t>
            </w:r>
          </w:p>
        </w:tc>
      </w:tr>
      <w:tr w14:paraId="21FCC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restart"/>
            <w:noWrap/>
            <w:vAlign w:val="center"/>
          </w:tcPr>
          <w:p w14:paraId="430B804A">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5</w:t>
            </w:r>
          </w:p>
        </w:tc>
        <w:tc>
          <w:tcPr>
            <w:tcW w:w="805" w:type="dxa"/>
            <w:vMerge w:val="restart"/>
            <w:noWrap/>
            <w:vAlign w:val="center"/>
          </w:tcPr>
          <w:p w14:paraId="7E56AFBF">
            <w:pPr>
              <w:autoSpaceDE/>
              <w:autoSpaceDN/>
              <w:spacing w:line="320" w:lineRule="exact"/>
              <w:ind w:firstLine="0" w:firstLineChars="0"/>
              <w:jc w:val="center"/>
              <w:rPr>
                <w:rFonts w:hint="default" w:ascii="仿宋" w:hAnsi="仿宋" w:eastAsia="仿宋" w:cs="宋体"/>
                <w:b/>
                <w:bCs/>
                <w:kern w:val="2"/>
                <w:sz w:val="24"/>
                <w:szCs w:val="24"/>
                <w:highlight w:val="none"/>
                <w:lang w:val="en-US" w:eastAsia="zh-CN"/>
              </w:rPr>
            </w:pPr>
            <w:r>
              <w:rPr>
                <w:rFonts w:hint="eastAsia" w:ascii="仿宋" w:hAnsi="仿宋" w:eastAsia="仿宋" w:cs="宋体"/>
                <w:b/>
                <w:bCs/>
                <w:kern w:val="2"/>
                <w:sz w:val="24"/>
                <w:szCs w:val="24"/>
                <w:highlight w:val="none"/>
                <w:lang w:val="en-US" w:eastAsia="zh-CN"/>
              </w:rPr>
              <w:t>技术方案</w:t>
            </w:r>
          </w:p>
        </w:tc>
        <w:tc>
          <w:tcPr>
            <w:tcW w:w="6978" w:type="dxa"/>
            <w:noWrap/>
            <w:vAlign w:val="center"/>
          </w:tcPr>
          <w:p w14:paraId="7A84CBC9">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rPr>
              <w:t>根据投标人对本项目组织实施是否具有完备的管理组织、实施规范，包括组织架构设立是否完善、管理组织运作机制（包括内部校审制度等）是否明确合理、可行</w:t>
            </w:r>
            <w:r>
              <w:rPr>
                <w:rFonts w:hint="eastAsia" w:ascii="仿宋" w:hAnsi="仿宋" w:eastAsia="仿宋" w:cs="宋体"/>
                <w:sz w:val="24"/>
                <w:highlight w:val="none"/>
                <w:lang w:val="en-US" w:eastAsia="zh-CN"/>
              </w:rPr>
              <w:t>，由评审专家进行综合打分。</w:t>
            </w:r>
          </w:p>
          <w:p w14:paraId="10E91104">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1.</w:t>
            </w:r>
            <w:r>
              <w:rPr>
                <w:rFonts w:hint="eastAsia" w:ascii="仿宋" w:hAnsi="仿宋" w:eastAsia="仿宋" w:cs="宋体"/>
                <w:sz w:val="24"/>
                <w:highlight w:val="none"/>
              </w:rPr>
              <w:t>管理组织设立完善，运作机制明确，合理可行的得</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,6]分；</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管理组织设立或运作机制有欠缺，但基本合理可行的得</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,4]分；</w:t>
            </w:r>
          </w:p>
          <w:p w14:paraId="45A319A6">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3.</w:t>
            </w:r>
            <w:r>
              <w:rPr>
                <w:rFonts w:hint="eastAsia" w:ascii="仿宋" w:hAnsi="仿宋" w:eastAsia="仿宋" w:cs="宋体"/>
                <w:sz w:val="24"/>
                <w:highlight w:val="none"/>
              </w:rPr>
              <w:t>管理组织设立或运作机制粗略、不够明确，欠缺合理性、可行性较弱的得</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0</w:t>
            </w:r>
            <w:r>
              <w:rPr>
                <w:rFonts w:hint="eastAsia" w:ascii="仿宋" w:hAnsi="仿宋" w:eastAsia="仿宋" w:cs="宋体"/>
                <w:sz w:val="24"/>
                <w:highlight w:val="none"/>
              </w:rPr>
              <w:t>,2]分；</w:t>
            </w:r>
          </w:p>
          <w:p w14:paraId="5B643126">
            <w:pPr>
              <w:spacing w:line="300" w:lineRule="auto"/>
              <w:ind w:firstLine="0" w:firstLineChars="0"/>
              <w:jc w:val="both"/>
              <w:rPr>
                <w:rFonts w:ascii="仿宋" w:hAnsi="仿宋" w:eastAsia="仿宋" w:cs="仿宋_GB2312"/>
                <w:bCs/>
                <w:kern w:val="2"/>
                <w:sz w:val="24"/>
                <w:szCs w:val="24"/>
                <w:highlight w:val="none"/>
              </w:rPr>
            </w:pPr>
            <w:r>
              <w:rPr>
                <w:rFonts w:hint="eastAsia" w:ascii="仿宋" w:hAnsi="仿宋" w:eastAsia="仿宋" w:cs="宋体"/>
                <w:sz w:val="24"/>
                <w:highlight w:val="none"/>
                <w:lang w:val="en-US" w:eastAsia="zh-CN"/>
              </w:rPr>
              <w:t>4.</w:t>
            </w:r>
            <w:r>
              <w:rPr>
                <w:rFonts w:hint="eastAsia" w:ascii="仿宋" w:hAnsi="仿宋" w:eastAsia="仿宋" w:cs="宋体"/>
                <w:sz w:val="24"/>
                <w:highlight w:val="none"/>
              </w:rPr>
              <w:t>无相关内容阐述或不符合项目的不得分。</w:t>
            </w:r>
          </w:p>
        </w:tc>
        <w:tc>
          <w:tcPr>
            <w:tcW w:w="791" w:type="dxa"/>
            <w:noWrap/>
            <w:vAlign w:val="center"/>
          </w:tcPr>
          <w:p w14:paraId="708A9994">
            <w:pPr>
              <w:autoSpaceDE/>
              <w:autoSpaceDN/>
              <w:spacing w:line="320" w:lineRule="exact"/>
              <w:ind w:firstLine="0" w:firstLineChars="0"/>
              <w:jc w:val="center"/>
              <w:rPr>
                <w:rFonts w:ascii="仿宋" w:hAnsi="仿宋" w:eastAsia="仿宋"/>
                <w:b/>
                <w:bCs/>
                <w:kern w:val="2"/>
                <w:sz w:val="24"/>
                <w:szCs w:val="24"/>
                <w:highlight w:val="none"/>
              </w:rPr>
            </w:pPr>
            <w:r>
              <w:rPr>
                <w:rFonts w:hint="eastAsia" w:ascii="仿宋" w:hAnsi="仿宋" w:eastAsia="仿宋"/>
                <w:b/>
                <w:bCs/>
                <w:kern w:val="2"/>
                <w:sz w:val="24"/>
                <w:szCs w:val="24"/>
                <w:highlight w:val="none"/>
                <w:lang w:val="en-US" w:eastAsia="zh-CN"/>
              </w:rPr>
              <w:t>6</w:t>
            </w:r>
            <w:r>
              <w:rPr>
                <w:rFonts w:hint="eastAsia" w:ascii="仿宋" w:hAnsi="仿宋" w:eastAsia="仿宋"/>
                <w:b/>
                <w:bCs/>
                <w:kern w:val="2"/>
                <w:sz w:val="24"/>
                <w:szCs w:val="24"/>
                <w:highlight w:val="none"/>
              </w:rPr>
              <w:t>分</w:t>
            </w:r>
          </w:p>
        </w:tc>
      </w:tr>
      <w:tr w14:paraId="5487D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continue"/>
            <w:noWrap/>
            <w:vAlign w:val="center"/>
          </w:tcPr>
          <w:p w14:paraId="4119B88A">
            <w:pPr>
              <w:autoSpaceDE/>
              <w:autoSpaceDN/>
              <w:spacing w:line="320" w:lineRule="exact"/>
              <w:ind w:firstLine="0" w:firstLineChars="0"/>
              <w:jc w:val="both"/>
              <w:rPr>
                <w:rFonts w:eastAsia="宋体"/>
                <w:kern w:val="2"/>
                <w:sz w:val="21"/>
                <w:szCs w:val="24"/>
                <w:highlight w:val="none"/>
              </w:rPr>
            </w:pPr>
          </w:p>
        </w:tc>
        <w:tc>
          <w:tcPr>
            <w:tcW w:w="805" w:type="dxa"/>
            <w:vMerge w:val="continue"/>
            <w:noWrap/>
            <w:vAlign w:val="center"/>
          </w:tcPr>
          <w:p w14:paraId="0457C46A">
            <w:pPr>
              <w:autoSpaceDE/>
              <w:autoSpaceDN/>
              <w:spacing w:line="320" w:lineRule="exact"/>
              <w:ind w:firstLine="0" w:firstLineChars="0"/>
              <w:jc w:val="center"/>
              <w:rPr>
                <w:rFonts w:ascii="仿宋" w:hAnsi="仿宋" w:eastAsia="仿宋" w:cs="宋体"/>
                <w:b/>
                <w:bCs/>
                <w:kern w:val="2"/>
                <w:sz w:val="24"/>
                <w:szCs w:val="24"/>
                <w:highlight w:val="none"/>
              </w:rPr>
            </w:pPr>
          </w:p>
        </w:tc>
        <w:tc>
          <w:tcPr>
            <w:tcW w:w="6978" w:type="dxa"/>
            <w:noWrap/>
            <w:vAlign w:val="center"/>
          </w:tcPr>
          <w:p w14:paraId="2D37EB69">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根据投标人提供的项目设计进度方案（包括设计进度计划及相应的进度控制措施）的合理性、可行性，由评审专家进行综合打分。</w:t>
            </w:r>
          </w:p>
          <w:p w14:paraId="73BAA6C2">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1.计划分布合理，时间节点把控明确，措施可行性强的得（4,6]分；</w:t>
            </w:r>
          </w:p>
          <w:p w14:paraId="6B934C3E">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2.计划分布较合理，时间节点把控较明确，措施具有一定可行性的得（2,4]分；</w:t>
            </w:r>
          </w:p>
          <w:p w14:paraId="7A8098CD">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3.计划分布、时间节点把控存在缺陷、不够合理明确，措施可行性较弱的得（0,2]分；</w:t>
            </w:r>
          </w:p>
          <w:p w14:paraId="754D24D7">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4.未提供相关内容阐述或不符合项目的不得分。</w:t>
            </w:r>
          </w:p>
        </w:tc>
        <w:tc>
          <w:tcPr>
            <w:tcW w:w="791" w:type="dxa"/>
            <w:noWrap/>
            <w:vAlign w:val="center"/>
          </w:tcPr>
          <w:p w14:paraId="599AB20D">
            <w:pPr>
              <w:autoSpaceDE/>
              <w:autoSpaceDN/>
              <w:spacing w:line="320" w:lineRule="exact"/>
              <w:ind w:firstLine="0" w:firstLineChars="0"/>
              <w:jc w:val="center"/>
              <w:rPr>
                <w:rFonts w:ascii="仿宋" w:hAnsi="仿宋" w:eastAsia="仿宋" w:cs="仿宋_GB2312"/>
                <w:bCs/>
                <w:kern w:val="2"/>
                <w:sz w:val="24"/>
                <w:szCs w:val="24"/>
                <w:highlight w:val="none"/>
              </w:rPr>
            </w:pPr>
            <w:r>
              <w:rPr>
                <w:rFonts w:hint="eastAsia" w:ascii="仿宋" w:hAnsi="仿宋" w:eastAsia="仿宋"/>
                <w:b/>
                <w:bCs/>
                <w:kern w:val="2"/>
                <w:sz w:val="24"/>
                <w:szCs w:val="24"/>
                <w:highlight w:val="none"/>
                <w:lang w:val="en-US" w:eastAsia="zh-CN"/>
              </w:rPr>
              <w:t>6</w:t>
            </w:r>
            <w:r>
              <w:rPr>
                <w:rFonts w:hint="eastAsia" w:ascii="仿宋" w:hAnsi="仿宋" w:eastAsia="仿宋"/>
                <w:b/>
                <w:bCs/>
                <w:kern w:val="2"/>
                <w:sz w:val="24"/>
                <w:szCs w:val="24"/>
                <w:highlight w:val="none"/>
              </w:rPr>
              <w:t>分</w:t>
            </w:r>
          </w:p>
        </w:tc>
      </w:tr>
      <w:tr w14:paraId="46B71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continue"/>
            <w:noWrap/>
            <w:vAlign w:val="center"/>
          </w:tcPr>
          <w:p w14:paraId="064D2663">
            <w:pPr>
              <w:autoSpaceDE/>
              <w:autoSpaceDN/>
              <w:spacing w:line="320" w:lineRule="exact"/>
              <w:ind w:firstLine="0" w:firstLineChars="0"/>
              <w:jc w:val="both"/>
              <w:rPr>
                <w:rFonts w:eastAsia="宋体"/>
                <w:kern w:val="2"/>
                <w:sz w:val="21"/>
                <w:szCs w:val="24"/>
                <w:highlight w:val="none"/>
              </w:rPr>
            </w:pPr>
          </w:p>
        </w:tc>
        <w:tc>
          <w:tcPr>
            <w:tcW w:w="805" w:type="dxa"/>
            <w:vMerge w:val="continue"/>
            <w:noWrap/>
            <w:vAlign w:val="center"/>
          </w:tcPr>
          <w:p w14:paraId="40843481">
            <w:pPr>
              <w:autoSpaceDE/>
              <w:autoSpaceDN/>
              <w:spacing w:line="320" w:lineRule="exact"/>
              <w:ind w:firstLine="0" w:firstLineChars="0"/>
              <w:jc w:val="center"/>
              <w:rPr>
                <w:rFonts w:ascii="仿宋" w:hAnsi="仿宋" w:eastAsia="仿宋" w:cs="宋体"/>
                <w:b/>
                <w:bCs/>
                <w:kern w:val="2"/>
                <w:sz w:val="24"/>
                <w:szCs w:val="24"/>
                <w:highlight w:val="none"/>
              </w:rPr>
            </w:pPr>
          </w:p>
        </w:tc>
        <w:tc>
          <w:tcPr>
            <w:tcW w:w="6978" w:type="dxa"/>
            <w:noWrap/>
            <w:vAlign w:val="center"/>
          </w:tcPr>
          <w:p w14:paraId="6B2F04C8">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根据投标人提供的项目质量保障方案（包括质量目标、质量承诺及相应的质量控制措施）是否详细明确、合理可行，由评审专家进行综合打分。</w:t>
            </w:r>
          </w:p>
          <w:p w14:paraId="5B7BE1B8">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1.方案内容详细明确，措施合理可行，总体能够充分保证项目质量的（4,6]分；</w:t>
            </w:r>
          </w:p>
          <w:p w14:paraId="6AD64FFE">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2.方案内容较为详细明确，措施较为合理可行，总体较能够保证项目质量的得（2,4]分；</w:t>
            </w:r>
          </w:p>
          <w:p w14:paraId="72EC45B7">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3.方案内容较为粗略，措施针对性、可行性较弱，总体保证项目质量较弱的得（0,2]分；</w:t>
            </w:r>
          </w:p>
          <w:p w14:paraId="7ED4CF3F">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4.未提供相关内容阐述或不符合项目的不得分。</w:t>
            </w:r>
          </w:p>
        </w:tc>
        <w:tc>
          <w:tcPr>
            <w:tcW w:w="791" w:type="dxa"/>
            <w:noWrap/>
            <w:vAlign w:val="center"/>
          </w:tcPr>
          <w:p w14:paraId="38628B71">
            <w:pPr>
              <w:autoSpaceDE/>
              <w:autoSpaceDN/>
              <w:spacing w:line="320" w:lineRule="exact"/>
              <w:ind w:firstLine="0" w:firstLineChars="0"/>
              <w:jc w:val="center"/>
              <w:rPr>
                <w:rFonts w:hint="default" w:ascii="仿宋" w:hAnsi="仿宋" w:eastAsia="仿宋"/>
                <w:b/>
                <w:bCs/>
                <w:kern w:val="2"/>
                <w:sz w:val="24"/>
                <w:szCs w:val="24"/>
                <w:highlight w:val="none"/>
                <w:lang w:val="en-US" w:eastAsia="zh-CN"/>
              </w:rPr>
            </w:pPr>
            <w:r>
              <w:rPr>
                <w:rFonts w:hint="eastAsia" w:ascii="仿宋" w:hAnsi="仿宋" w:eastAsia="仿宋"/>
                <w:b/>
                <w:bCs/>
                <w:kern w:val="2"/>
                <w:sz w:val="24"/>
                <w:szCs w:val="24"/>
                <w:highlight w:val="none"/>
                <w:lang w:val="en-US" w:eastAsia="zh-CN"/>
              </w:rPr>
              <w:t>6分</w:t>
            </w:r>
          </w:p>
        </w:tc>
      </w:tr>
      <w:tr w14:paraId="425E5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continue"/>
            <w:noWrap/>
            <w:vAlign w:val="center"/>
          </w:tcPr>
          <w:p w14:paraId="290B5854">
            <w:pPr>
              <w:autoSpaceDE/>
              <w:autoSpaceDN/>
              <w:spacing w:line="320" w:lineRule="exact"/>
              <w:ind w:firstLine="0" w:firstLineChars="0"/>
              <w:jc w:val="both"/>
              <w:rPr>
                <w:rFonts w:eastAsia="宋体"/>
                <w:kern w:val="2"/>
                <w:sz w:val="21"/>
                <w:szCs w:val="24"/>
                <w:highlight w:val="none"/>
              </w:rPr>
            </w:pPr>
          </w:p>
        </w:tc>
        <w:tc>
          <w:tcPr>
            <w:tcW w:w="805" w:type="dxa"/>
            <w:vMerge w:val="continue"/>
            <w:noWrap/>
            <w:vAlign w:val="center"/>
          </w:tcPr>
          <w:p w14:paraId="51398A46">
            <w:pPr>
              <w:autoSpaceDE/>
              <w:autoSpaceDN/>
              <w:spacing w:line="320" w:lineRule="exact"/>
              <w:ind w:firstLine="0" w:firstLineChars="0"/>
              <w:jc w:val="center"/>
              <w:rPr>
                <w:rFonts w:ascii="仿宋" w:hAnsi="仿宋" w:eastAsia="仿宋" w:cs="宋体"/>
                <w:b/>
                <w:bCs/>
                <w:kern w:val="2"/>
                <w:sz w:val="24"/>
                <w:szCs w:val="24"/>
                <w:highlight w:val="none"/>
              </w:rPr>
            </w:pPr>
          </w:p>
        </w:tc>
        <w:tc>
          <w:tcPr>
            <w:tcW w:w="6978" w:type="dxa"/>
            <w:noWrap/>
            <w:vAlign w:val="center"/>
          </w:tcPr>
          <w:p w14:paraId="1E74D86C">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根据投标人提供的针对本项目的前期对接、设计过程及项目实施中与各方沟通协调的措施的合理性、可行性，由评审专家进行综合打分。</w:t>
            </w:r>
          </w:p>
          <w:p w14:paraId="582F9A16">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1.阐述详细，各项措施合理明确，针对性及可行性强的得（2,4]分；</w:t>
            </w:r>
          </w:p>
          <w:p w14:paraId="425D22CC">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2.阐述较为详细，各项措施较为合理明确，具有一定针对性及可行性的得（1,2]分；</w:t>
            </w:r>
          </w:p>
          <w:p w14:paraId="1A2920B6">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3.内容阐述较为粗略，各项措施欠缺合理性，针对性、可行性较弱的得(0,1]分；</w:t>
            </w:r>
          </w:p>
          <w:p w14:paraId="50835E45">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4.未提供相关内容阐述或不符合项目的不得分。</w:t>
            </w:r>
          </w:p>
        </w:tc>
        <w:tc>
          <w:tcPr>
            <w:tcW w:w="791" w:type="dxa"/>
            <w:noWrap/>
            <w:vAlign w:val="center"/>
          </w:tcPr>
          <w:p w14:paraId="49EDD480">
            <w:pPr>
              <w:autoSpaceDE/>
              <w:autoSpaceDN/>
              <w:spacing w:line="320" w:lineRule="exact"/>
              <w:ind w:firstLine="0" w:firstLineChars="0"/>
              <w:jc w:val="center"/>
              <w:rPr>
                <w:rFonts w:hint="default" w:ascii="仿宋" w:hAnsi="仿宋" w:eastAsia="仿宋"/>
                <w:b/>
                <w:bCs/>
                <w:kern w:val="2"/>
                <w:sz w:val="24"/>
                <w:szCs w:val="24"/>
                <w:highlight w:val="none"/>
                <w:lang w:val="en-US" w:eastAsia="zh-CN"/>
              </w:rPr>
            </w:pPr>
            <w:r>
              <w:rPr>
                <w:rFonts w:hint="eastAsia" w:ascii="仿宋" w:hAnsi="仿宋" w:eastAsia="仿宋"/>
                <w:b/>
                <w:bCs/>
                <w:kern w:val="2"/>
                <w:sz w:val="24"/>
                <w:szCs w:val="24"/>
                <w:highlight w:val="none"/>
                <w:lang w:val="en-US" w:eastAsia="zh-CN"/>
              </w:rPr>
              <w:t>4分</w:t>
            </w:r>
          </w:p>
        </w:tc>
      </w:tr>
      <w:tr w14:paraId="78ACB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continue"/>
            <w:noWrap/>
            <w:vAlign w:val="center"/>
          </w:tcPr>
          <w:p w14:paraId="2622E474">
            <w:pPr>
              <w:autoSpaceDE/>
              <w:autoSpaceDN/>
              <w:spacing w:line="320" w:lineRule="exact"/>
              <w:ind w:firstLine="0" w:firstLineChars="0"/>
              <w:jc w:val="both"/>
              <w:rPr>
                <w:rFonts w:ascii="仿宋" w:hAnsi="仿宋" w:eastAsia="仿宋" w:cs="仿宋_GB2312"/>
                <w:bCs/>
                <w:kern w:val="2"/>
                <w:sz w:val="24"/>
                <w:szCs w:val="24"/>
                <w:highlight w:val="none"/>
              </w:rPr>
            </w:pPr>
          </w:p>
        </w:tc>
        <w:tc>
          <w:tcPr>
            <w:tcW w:w="805" w:type="dxa"/>
            <w:vMerge w:val="continue"/>
            <w:noWrap/>
            <w:vAlign w:val="center"/>
          </w:tcPr>
          <w:p w14:paraId="0FB035DE">
            <w:pPr>
              <w:autoSpaceDE/>
              <w:autoSpaceDN/>
              <w:spacing w:line="320" w:lineRule="exact"/>
              <w:ind w:firstLine="0" w:firstLineChars="0"/>
              <w:jc w:val="center"/>
              <w:rPr>
                <w:rFonts w:ascii="仿宋" w:hAnsi="仿宋" w:eastAsia="仿宋" w:cs="宋体"/>
                <w:b/>
                <w:bCs/>
                <w:kern w:val="2"/>
                <w:sz w:val="24"/>
                <w:szCs w:val="24"/>
                <w:highlight w:val="none"/>
              </w:rPr>
            </w:pPr>
          </w:p>
        </w:tc>
        <w:tc>
          <w:tcPr>
            <w:tcW w:w="6978" w:type="dxa"/>
            <w:noWrap/>
            <w:vAlign w:val="center"/>
          </w:tcPr>
          <w:p w14:paraId="7DFD3250">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根据投标人提供的针对采购单位政府性投资项目对工程设计阶段控制造价措施情况的合理性、可行性，由评审专家进行综合打分。</w:t>
            </w:r>
          </w:p>
          <w:p w14:paraId="64714E2A">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1.阐述详细，各项措施合理明确，针对性及可行性强的得（2,4]分；</w:t>
            </w:r>
          </w:p>
          <w:p w14:paraId="3ECC91A6">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2.阐述较为详细，各项措施较为合理明确，具有一定针对性及可行性的得（1,2]分；</w:t>
            </w:r>
          </w:p>
          <w:p w14:paraId="49CC9D2B">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3.内容阐述较为粗略，各项措施欠缺合理性，针对性、可行性较弱的得(0,1]分；</w:t>
            </w:r>
          </w:p>
          <w:p w14:paraId="4FD2716A">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4.未提供相关内容阐述或不符合项目的不得分。</w:t>
            </w:r>
          </w:p>
        </w:tc>
        <w:tc>
          <w:tcPr>
            <w:tcW w:w="791" w:type="dxa"/>
            <w:noWrap/>
            <w:vAlign w:val="center"/>
          </w:tcPr>
          <w:p w14:paraId="3EFF5673">
            <w:pPr>
              <w:autoSpaceDE/>
              <w:autoSpaceDN/>
              <w:spacing w:line="320" w:lineRule="exact"/>
              <w:ind w:firstLine="0" w:firstLineChars="0"/>
              <w:jc w:val="center"/>
              <w:rPr>
                <w:rFonts w:ascii="仿宋" w:hAnsi="仿宋" w:eastAsia="仿宋" w:cs="仿宋_GB2312"/>
                <w:bCs/>
                <w:kern w:val="2"/>
                <w:sz w:val="24"/>
                <w:szCs w:val="24"/>
                <w:highlight w:val="none"/>
              </w:rPr>
            </w:pPr>
            <w:r>
              <w:rPr>
                <w:rFonts w:hint="eastAsia" w:ascii="仿宋" w:hAnsi="仿宋" w:eastAsia="仿宋"/>
                <w:b/>
                <w:bCs/>
                <w:kern w:val="2"/>
                <w:sz w:val="24"/>
                <w:szCs w:val="24"/>
                <w:highlight w:val="none"/>
                <w:lang w:val="en-US" w:eastAsia="zh-CN"/>
              </w:rPr>
              <w:t>4</w:t>
            </w:r>
            <w:r>
              <w:rPr>
                <w:rFonts w:hint="eastAsia" w:ascii="仿宋" w:hAnsi="仿宋" w:eastAsia="仿宋"/>
                <w:b/>
                <w:bCs/>
                <w:kern w:val="2"/>
                <w:sz w:val="24"/>
                <w:szCs w:val="24"/>
                <w:highlight w:val="none"/>
              </w:rPr>
              <w:t>分</w:t>
            </w:r>
          </w:p>
        </w:tc>
      </w:tr>
      <w:tr w14:paraId="738C2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noWrap/>
            <w:vAlign w:val="center"/>
          </w:tcPr>
          <w:p w14:paraId="3926AECB">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6</w:t>
            </w:r>
          </w:p>
        </w:tc>
        <w:tc>
          <w:tcPr>
            <w:tcW w:w="805" w:type="dxa"/>
            <w:noWrap/>
            <w:vAlign w:val="center"/>
          </w:tcPr>
          <w:p w14:paraId="178675DA">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应急预案</w:t>
            </w:r>
          </w:p>
        </w:tc>
        <w:tc>
          <w:tcPr>
            <w:tcW w:w="6978" w:type="dxa"/>
            <w:noWrap/>
            <w:vAlign w:val="center"/>
          </w:tcPr>
          <w:p w14:paraId="13F5555B">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根据投标人提供的针对本项目的应急预案，包括应急响应时间、人员应急安排等应急保障措施情况的合理程度及完备程度，由评审专家进行综合打分。</w:t>
            </w:r>
          </w:p>
          <w:p w14:paraId="61F8027F">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1.方案周密详细，措施合理明确，可操作性强的得（3,5]分；</w:t>
            </w:r>
          </w:p>
          <w:p w14:paraId="7B194EB1">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2.方案较为详细，措施较为合理、明确，具有一定可操作性的得（1,3]分；</w:t>
            </w:r>
          </w:p>
          <w:p w14:paraId="227BC2C9">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3.方案内容较粗略，措施不够明确、欠缺合理性，可操作性较弱的得（0,1]分；</w:t>
            </w:r>
          </w:p>
          <w:p w14:paraId="5E393EE7">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4.未提供相关内容阐述或不符合项目的不得分。</w:t>
            </w:r>
          </w:p>
        </w:tc>
        <w:tc>
          <w:tcPr>
            <w:tcW w:w="791" w:type="dxa"/>
            <w:noWrap/>
            <w:vAlign w:val="center"/>
          </w:tcPr>
          <w:p w14:paraId="3A27DCFB">
            <w:pPr>
              <w:autoSpaceDE/>
              <w:autoSpaceDN/>
              <w:spacing w:line="320" w:lineRule="exact"/>
              <w:ind w:firstLine="0" w:firstLineChars="0"/>
              <w:jc w:val="center"/>
              <w:rPr>
                <w:rFonts w:ascii="仿宋" w:hAnsi="仿宋" w:eastAsia="仿宋"/>
                <w:b/>
                <w:bCs/>
                <w:kern w:val="2"/>
                <w:sz w:val="24"/>
                <w:szCs w:val="24"/>
                <w:highlight w:val="none"/>
              </w:rPr>
            </w:pPr>
            <w:r>
              <w:rPr>
                <w:rFonts w:hint="eastAsia" w:ascii="仿宋" w:hAnsi="仿宋" w:eastAsia="仿宋"/>
                <w:b/>
                <w:bCs/>
                <w:kern w:val="2"/>
                <w:sz w:val="24"/>
                <w:szCs w:val="24"/>
                <w:highlight w:val="none"/>
                <w:lang w:val="en-US" w:eastAsia="zh-CN"/>
              </w:rPr>
              <w:t>5</w:t>
            </w:r>
            <w:r>
              <w:rPr>
                <w:rFonts w:hint="eastAsia" w:ascii="仿宋" w:hAnsi="仿宋" w:eastAsia="仿宋"/>
                <w:b/>
                <w:bCs/>
                <w:kern w:val="2"/>
                <w:sz w:val="24"/>
                <w:szCs w:val="24"/>
                <w:highlight w:val="none"/>
              </w:rPr>
              <w:t>分</w:t>
            </w:r>
          </w:p>
        </w:tc>
      </w:tr>
      <w:tr w14:paraId="7958D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44" w:type="dxa"/>
            <w:noWrap/>
            <w:vAlign w:val="center"/>
          </w:tcPr>
          <w:p w14:paraId="61ACE79D">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7</w:t>
            </w:r>
          </w:p>
        </w:tc>
        <w:tc>
          <w:tcPr>
            <w:tcW w:w="805" w:type="dxa"/>
            <w:noWrap/>
            <w:vAlign w:val="center"/>
          </w:tcPr>
          <w:p w14:paraId="5D488C08">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廉洁服务措施</w:t>
            </w:r>
          </w:p>
        </w:tc>
        <w:tc>
          <w:tcPr>
            <w:tcW w:w="6978" w:type="dxa"/>
            <w:noWrap/>
            <w:vAlign w:val="center"/>
          </w:tcPr>
          <w:p w14:paraId="46CE5208">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根据投标人提供的针对本项目从业人员廉洁服务控制措施是否详细明确、合理可行，由评审专家进行综合打分。</w:t>
            </w:r>
          </w:p>
          <w:p w14:paraId="0B8B7DC6">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1.内容阐述详尽，措施规划合理明确，针对性及可行性强的得（2,4]分；</w:t>
            </w:r>
          </w:p>
          <w:p w14:paraId="19B75750">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2.内容阐述存在缺陷但基本详尽，措施规划基本合理，具有较强针对性及可行性的得（1,2]分；</w:t>
            </w:r>
          </w:p>
          <w:p w14:paraId="2E74B8EF">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3.内容阐述粗略、缺陷较多，措施规划欠缺合理性，可行性较弱的得(0,1]分；</w:t>
            </w:r>
          </w:p>
          <w:p w14:paraId="1073E6D7">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4.未提供相关内容阐述或不符合项目的不得分。</w:t>
            </w:r>
          </w:p>
        </w:tc>
        <w:tc>
          <w:tcPr>
            <w:tcW w:w="791" w:type="dxa"/>
            <w:noWrap/>
            <w:vAlign w:val="center"/>
          </w:tcPr>
          <w:p w14:paraId="60AFDF10">
            <w:pPr>
              <w:autoSpaceDE/>
              <w:autoSpaceDN/>
              <w:spacing w:line="320" w:lineRule="exact"/>
              <w:ind w:firstLine="0" w:firstLineChars="0"/>
              <w:jc w:val="center"/>
              <w:rPr>
                <w:rFonts w:ascii="仿宋" w:hAnsi="仿宋" w:eastAsia="仿宋" w:cs="仿宋_GB2312"/>
                <w:bCs/>
                <w:kern w:val="2"/>
                <w:sz w:val="24"/>
                <w:szCs w:val="24"/>
                <w:highlight w:val="none"/>
              </w:rPr>
            </w:pPr>
            <w:r>
              <w:rPr>
                <w:rFonts w:hint="eastAsia" w:ascii="仿宋" w:hAnsi="仿宋" w:eastAsia="仿宋"/>
                <w:b/>
                <w:bCs/>
                <w:kern w:val="2"/>
                <w:sz w:val="24"/>
                <w:szCs w:val="24"/>
                <w:highlight w:val="none"/>
                <w:lang w:val="en-US" w:eastAsia="zh-CN"/>
              </w:rPr>
              <w:t>4</w:t>
            </w:r>
            <w:r>
              <w:rPr>
                <w:rFonts w:hint="eastAsia" w:ascii="仿宋" w:hAnsi="仿宋" w:eastAsia="仿宋"/>
                <w:b/>
                <w:bCs/>
                <w:kern w:val="2"/>
                <w:sz w:val="24"/>
                <w:szCs w:val="24"/>
                <w:highlight w:val="none"/>
              </w:rPr>
              <w:t>分</w:t>
            </w:r>
          </w:p>
        </w:tc>
      </w:tr>
      <w:tr w14:paraId="6E3BA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noWrap/>
            <w:vAlign w:val="center"/>
          </w:tcPr>
          <w:p w14:paraId="366417DC">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8</w:t>
            </w:r>
          </w:p>
        </w:tc>
        <w:tc>
          <w:tcPr>
            <w:tcW w:w="805" w:type="dxa"/>
            <w:noWrap/>
            <w:vAlign w:val="center"/>
          </w:tcPr>
          <w:p w14:paraId="15B9A001">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售后服务方案</w:t>
            </w:r>
          </w:p>
        </w:tc>
        <w:tc>
          <w:tcPr>
            <w:tcW w:w="6978" w:type="dxa"/>
            <w:noWrap/>
            <w:vAlign w:val="center"/>
          </w:tcPr>
          <w:p w14:paraId="3FF3688A">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提供的售后服务响应方案（包括本地化服务承诺、对拟投入的技术人员制定具体本地服务工作计划，确保技术人员到位，提供快速本地服务响应等相应的保障措施）是否详细明确、合理可行，由评审专家进行综合打分。</w:t>
            </w:r>
          </w:p>
          <w:p w14:paraId="7A7ED1FB">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1.方案阐述详细，有明确、合理可行的承诺及措施，能够充分保证及时有效服务响应的得（4,6]分；</w:t>
            </w:r>
          </w:p>
          <w:p w14:paraId="6D53BFB9">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2.方案阐述较为详细，有较合理可行的承诺及措施，能较好的保障及时有效服务响应的得（2,4]分；</w:t>
            </w:r>
          </w:p>
          <w:p w14:paraId="30F7DD64">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3.方案阐述较为粗略，内容存在缺陷、合理可行性欠缺，总体服务响应保障能力较为一般的得(0,2]分；</w:t>
            </w:r>
          </w:p>
          <w:p w14:paraId="2CC1F841">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4.无相关内容阐述或不符合项目的不得分。</w:t>
            </w:r>
          </w:p>
        </w:tc>
        <w:tc>
          <w:tcPr>
            <w:tcW w:w="791" w:type="dxa"/>
            <w:noWrap/>
            <w:vAlign w:val="center"/>
          </w:tcPr>
          <w:p w14:paraId="47AB82E0">
            <w:pPr>
              <w:autoSpaceDE/>
              <w:autoSpaceDN/>
              <w:spacing w:line="320" w:lineRule="exact"/>
              <w:ind w:firstLine="0" w:firstLineChars="0"/>
              <w:jc w:val="center"/>
              <w:rPr>
                <w:rFonts w:ascii="仿宋" w:hAnsi="仿宋" w:eastAsia="仿宋" w:cs="仿宋_GB2312"/>
                <w:bCs/>
                <w:kern w:val="2"/>
                <w:sz w:val="24"/>
                <w:szCs w:val="24"/>
                <w:highlight w:val="none"/>
              </w:rPr>
            </w:pPr>
            <w:r>
              <w:rPr>
                <w:rFonts w:hint="eastAsia" w:ascii="仿宋" w:hAnsi="仿宋" w:eastAsia="仿宋"/>
                <w:b/>
                <w:bCs/>
                <w:kern w:val="2"/>
                <w:sz w:val="24"/>
                <w:szCs w:val="24"/>
                <w:highlight w:val="none"/>
                <w:lang w:val="en-US" w:eastAsia="zh-CN"/>
              </w:rPr>
              <w:t>6</w:t>
            </w:r>
            <w:r>
              <w:rPr>
                <w:rFonts w:hint="eastAsia" w:ascii="仿宋" w:hAnsi="仿宋" w:eastAsia="仿宋"/>
                <w:b/>
                <w:bCs/>
                <w:kern w:val="2"/>
                <w:sz w:val="24"/>
                <w:szCs w:val="24"/>
                <w:highlight w:val="none"/>
              </w:rPr>
              <w:t>分</w:t>
            </w:r>
          </w:p>
        </w:tc>
      </w:tr>
    </w:tbl>
    <w:p w14:paraId="638E34DF">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b/>
          <w:bCs/>
          <w:highlight w:val="none"/>
        </w:rPr>
      </w:pPr>
      <w:r>
        <w:rPr>
          <w:rFonts w:hint="eastAsia" w:ascii="仿宋" w:hAnsi="仿宋" w:eastAsia="仿宋" w:cs="宋体"/>
          <w:b/>
          <w:bCs/>
          <w:sz w:val="24"/>
          <w:highlight w:val="none"/>
        </w:rPr>
        <w:t>注：</w:t>
      </w:r>
    </w:p>
    <w:p w14:paraId="211B9F2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宋体"/>
          <w:sz w:val="24"/>
          <w:highlight w:val="none"/>
        </w:rPr>
      </w:pPr>
      <w:r>
        <w:rPr>
          <w:rFonts w:hint="eastAsia" w:ascii="仿宋" w:hAnsi="仿宋" w:eastAsia="仿宋" w:cs="宋体"/>
          <w:sz w:val="24"/>
          <w:highlight w:val="none"/>
        </w:rPr>
        <w:t>①上述评审细则中要求提供的相关证书等证明材料均需加盖投标人电子签章，且所有证书等证明材料均需在有效期内，否则对应项不得分。</w:t>
      </w:r>
    </w:p>
    <w:p w14:paraId="3695E38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宋体"/>
          <w:sz w:val="24"/>
          <w:highlight w:val="none"/>
        </w:rPr>
      </w:pPr>
      <w:r>
        <w:rPr>
          <w:rFonts w:hint="eastAsia" w:ascii="仿宋" w:hAnsi="仿宋" w:eastAsia="仿宋" w:cs="宋体"/>
          <w:sz w:val="24"/>
          <w:highlight w:val="none"/>
        </w:rPr>
        <w:t>②</w:t>
      </w:r>
      <w:r>
        <w:rPr>
          <w:rFonts w:hint="eastAsia" w:ascii="仿宋" w:hAnsi="仿宋" w:eastAsia="仿宋" w:cs="宋体"/>
          <w:sz w:val="24"/>
          <w:highlight w:val="none"/>
          <w:lang w:val="en-US" w:eastAsia="zh-CN"/>
        </w:rPr>
        <w:t>磋商供应商</w:t>
      </w:r>
      <w:r>
        <w:rPr>
          <w:rFonts w:hint="eastAsia" w:ascii="仿宋" w:hAnsi="仿宋" w:eastAsia="仿宋" w:cs="宋体"/>
          <w:sz w:val="24"/>
          <w:highlight w:val="none"/>
        </w:rPr>
        <w:t>编制投标文件（商务技术文件部分）时，建议按此目录（序号和内容）提供评标标准相应的商务技术资料。</w:t>
      </w:r>
    </w:p>
    <w:p w14:paraId="6CD5BEF6">
      <w:pPr>
        <w:spacing w:line="420" w:lineRule="exact"/>
        <w:ind w:firstLine="482" w:firstLineChars="200"/>
        <w:rPr>
          <w:rFonts w:hint="eastAsia" w:ascii="仿宋" w:hAnsi="仿宋" w:eastAsia="仿宋" w:cs="宋体"/>
          <w:b/>
          <w:bCs/>
          <w:sz w:val="24"/>
          <w:highlight w:val="none"/>
        </w:rPr>
      </w:pPr>
      <w:r>
        <w:rPr>
          <w:rFonts w:hint="eastAsia" w:ascii="仿宋" w:hAnsi="仿宋" w:eastAsia="仿宋" w:cs="宋体"/>
          <w:b/>
          <w:bCs/>
          <w:sz w:val="24"/>
          <w:highlight w:val="none"/>
        </w:rPr>
        <w:t>特别注明</w:t>
      </w:r>
    </w:p>
    <w:p w14:paraId="7CA40683">
      <w:pPr>
        <w:spacing w:line="420" w:lineRule="exact"/>
        <w:ind w:firstLine="480" w:firstLineChars="200"/>
        <w:rPr>
          <w:rFonts w:hint="eastAsia" w:ascii="仿宋" w:hAnsi="仿宋" w:eastAsia="仿宋" w:cs="宋体"/>
          <w:sz w:val="24"/>
          <w:highlight w:val="none"/>
        </w:rPr>
      </w:pPr>
      <w:r>
        <w:rPr>
          <w:rFonts w:hint="eastAsia" w:ascii="仿宋" w:hAnsi="仿宋" w:eastAsia="仿宋" w:cs="宋体"/>
          <w:sz w:val="24"/>
          <w:highlight w:val="none"/>
        </w:rPr>
        <w:t>1.本项目共2个标项，按标项1到标项2的先后顺序依次进行开评标；通过资格审查和符合性评审的全部入围进行报价评审。</w:t>
      </w:r>
    </w:p>
    <w:p w14:paraId="2894E01B">
      <w:pPr>
        <w:keepNext w:val="0"/>
        <w:keepLines w:val="0"/>
        <w:pageBreakBefore w:val="0"/>
        <w:widowControl w:val="0"/>
        <w:kinsoku/>
        <w:wordWrap/>
        <w:overflowPunct/>
        <w:topLinePunct w:val="0"/>
        <w:autoSpaceDE/>
        <w:autoSpaceDN/>
        <w:bidi w:val="0"/>
        <w:adjustRightInd w:val="0"/>
        <w:snapToGrid w:val="0"/>
        <w:spacing w:before="159" w:beforeLines="50" w:beforeAutospacing="0" w:line="420" w:lineRule="exact"/>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宋体"/>
          <w:sz w:val="24"/>
          <w:highlight w:val="none"/>
        </w:rPr>
        <w:t>2.</w:t>
      </w:r>
      <w:r>
        <w:rPr>
          <w:rFonts w:hint="eastAsia" w:ascii="仿宋" w:hAnsi="仿宋" w:eastAsia="仿宋" w:cs="宋体"/>
          <w:sz w:val="24"/>
          <w:highlight w:val="none"/>
          <w:lang w:val="en-US" w:eastAsia="zh-CN"/>
        </w:rPr>
        <w:t>供应商</w:t>
      </w:r>
      <w:r>
        <w:rPr>
          <w:rFonts w:hint="eastAsia" w:ascii="仿宋" w:hAnsi="仿宋" w:eastAsia="仿宋" w:cs="宋体"/>
          <w:sz w:val="24"/>
          <w:highlight w:val="none"/>
        </w:rPr>
        <w:t>可以选择单个或多个标项投标，但同一个</w:t>
      </w:r>
      <w:r>
        <w:rPr>
          <w:rFonts w:hint="eastAsia" w:ascii="仿宋" w:hAnsi="仿宋" w:eastAsia="仿宋" w:cs="宋体"/>
          <w:sz w:val="24"/>
          <w:highlight w:val="none"/>
          <w:lang w:val="en-US" w:eastAsia="zh-CN"/>
        </w:rPr>
        <w:t>供应商</w:t>
      </w:r>
      <w:r>
        <w:rPr>
          <w:rFonts w:hint="eastAsia" w:ascii="仿宋" w:hAnsi="仿宋" w:eastAsia="仿宋" w:cs="宋体"/>
          <w:sz w:val="24"/>
          <w:highlight w:val="none"/>
        </w:rPr>
        <w:t>最多只能成为其中一个标项的第一中标候选人；即已在之前任一标项中推荐综合得分排名第一名的中标候选人不再进入后续标项的评审，也不在后续标项中被推荐为中标候选人。</w:t>
      </w:r>
    </w:p>
    <w:bookmarkEnd w:id="13"/>
    <w:p w14:paraId="131CAA23">
      <w:pPr>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szCs w:val="24"/>
          <w:highlight w:val="none"/>
        </w:rPr>
      </w:pPr>
      <w:bookmarkStart w:id="392" w:name="第五部分"/>
      <w:bookmarkStart w:id="393" w:name="_Toc86217003"/>
      <w:r>
        <w:rPr>
          <w:rFonts w:hint="eastAsia" w:ascii="仿宋" w:hAnsi="仿宋" w:eastAsia="仿宋" w:cs="仿宋"/>
          <w:b/>
          <w:sz w:val="28"/>
          <w:szCs w:val="22"/>
          <w:highlight w:val="none"/>
        </w:rPr>
        <w:t>一、评标方法</w:t>
      </w:r>
    </w:p>
    <w:p w14:paraId="4879A37E">
      <w:pPr>
        <w:pageBreakBefore w:val="0"/>
        <w:kinsoku/>
        <w:wordWrap/>
        <w:overflowPunct/>
        <w:topLinePunct w:val="0"/>
        <w:bidi w:val="0"/>
        <w:adjustRightInd/>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1.</w:t>
      </w:r>
      <w:r>
        <w:rPr>
          <w:rFonts w:hint="eastAsia" w:ascii="仿宋" w:hAnsi="仿宋" w:eastAsia="仿宋" w:cs="仿宋"/>
          <w:b/>
          <w:kern w:val="0"/>
          <w:sz w:val="24"/>
          <w:highlight w:val="none"/>
          <w:u w:val="none"/>
        </w:rPr>
        <w:t>本项目采用综合评分法</w:t>
      </w:r>
      <w:r>
        <w:rPr>
          <w:rFonts w:hint="eastAsia" w:ascii="仿宋" w:hAnsi="仿宋" w:eastAsia="仿宋" w:cs="仿宋"/>
          <w:b/>
          <w:kern w:val="0"/>
          <w:sz w:val="24"/>
          <w:highlight w:val="none"/>
        </w:rPr>
        <w:t>。</w:t>
      </w:r>
      <w:r>
        <w:rPr>
          <w:rFonts w:hint="eastAsia" w:ascii="仿宋" w:hAnsi="仿宋" w:eastAsia="仿宋" w:cs="仿宋"/>
          <w:kern w:val="0"/>
          <w:sz w:val="24"/>
          <w:highlight w:val="none"/>
        </w:rPr>
        <w:t>综合评分法，是指投标文件满足招标文件全部实质性要求，且按照评审因素的量化指标评审得分最高的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为中标候选人的评标方法。</w:t>
      </w:r>
    </w:p>
    <w:p w14:paraId="39713ECC">
      <w:pPr>
        <w:pageBreakBefore w:val="0"/>
        <w:kinsoku/>
        <w:wordWrap/>
        <w:overflowPunct/>
        <w:topLinePunct w:val="0"/>
        <w:bidi w:val="0"/>
        <w:adjustRightInd/>
        <w:spacing w:line="420" w:lineRule="exact"/>
        <w:ind w:left="0" w:leftChars="0"/>
        <w:textAlignment w:val="auto"/>
        <w:rPr>
          <w:rFonts w:hint="eastAsia" w:ascii="仿宋" w:hAnsi="仿宋" w:eastAsia="仿宋" w:cs="仿宋"/>
          <w:kern w:val="0"/>
          <w:sz w:val="22"/>
          <w:szCs w:val="22"/>
          <w:highlight w:val="none"/>
        </w:rPr>
      </w:pPr>
      <w:r>
        <w:rPr>
          <w:rFonts w:hint="eastAsia" w:ascii="仿宋" w:hAnsi="仿宋" w:eastAsia="仿宋" w:cs="仿宋"/>
          <w:b/>
          <w:sz w:val="28"/>
          <w:szCs w:val="22"/>
          <w:highlight w:val="none"/>
        </w:rPr>
        <w:t>二、评标标准</w:t>
      </w:r>
    </w:p>
    <w:p w14:paraId="7955620A">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3B1F97A7">
      <w:pPr>
        <w:pageBreakBefore w:val="0"/>
        <w:kinsoku/>
        <w:wordWrap/>
        <w:overflowPunct/>
        <w:topLinePunct w:val="0"/>
        <w:bidi w:val="0"/>
        <w:spacing w:line="420" w:lineRule="exact"/>
        <w:ind w:left="0" w:leftChars="0"/>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三、评标程序</w:t>
      </w:r>
    </w:p>
    <w:p w14:paraId="31C8AA6A">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的投标文件进行符合性审查，以确定其是否满足招标文件的实质性要求。不满足招标文件的实质性要求的，投标无效。</w:t>
      </w:r>
    </w:p>
    <w:p w14:paraId="56D02F5C">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4563BC71">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的商务和技术文件进行评价，并汇总商务技术得分情况。</w:t>
      </w:r>
    </w:p>
    <w:p w14:paraId="3E3517A4">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D6BEC30">
      <w:pPr>
        <w:pStyle w:val="166"/>
        <w:pageBreakBefore w:val="0"/>
        <w:kinsoku/>
        <w:wordWrap/>
        <w:overflowPunct/>
        <w:topLinePunct w:val="0"/>
        <w:bidi w:val="0"/>
        <w:spacing w:before="0" w:line="420" w:lineRule="exact"/>
        <w:ind w:left="0" w:leftChars="0" w:firstLine="508" w:firstLineChars="212"/>
        <w:textAlignment w:val="auto"/>
        <w:rPr>
          <w:rFonts w:hint="eastAsia" w:ascii="仿宋" w:hAnsi="仿宋" w:eastAsia="仿宋" w:cs="仿宋"/>
          <w:kern w:val="0"/>
          <w:szCs w:val="24"/>
          <w:highlight w:val="none"/>
        </w:rPr>
      </w:pPr>
      <w:r>
        <w:rPr>
          <w:rFonts w:hint="eastAsia" w:ascii="仿宋" w:hAnsi="仿宋" w:eastAsia="仿宋" w:cs="仿宋"/>
          <w:kern w:val="0"/>
          <w:highlight w:val="none"/>
        </w:rPr>
        <w:t>3.4</w:t>
      </w:r>
      <w:r>
        <w:rPr>
          <w:rFonts w:hint="eastAsia" w:ascii="仿宋" w:hAnsi="仿宋" w:eastAsia="仿宋" w:cs="仿宋"/>
          <w:kern w:val="0"/>
          <w:szCs w:val="24"/>
          <w:highlight w:val="none"/>
        </w:rPr>
        <w:t>.1投标文件报价出现前后不一致的，按照下列规定修正：</w:t>
      </w:r>
    </w:p>
    <w:p w14:paraId="1D93B64E">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6588CA7D">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0F153C99">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6C0DA931">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6330FCDA">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3.4.1.5同时出现两种以上不一致的，按照3.4.1规定的顺序修正。修正后的报价按照《政府采购货物和服务招标投标管理办法》（财政部令第87号）第五十一条第二款的规定经</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确认后产生约束力。</w:t>
      </w:r>
    </w:p>
    <w:p w14:paraId="32C21D07">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00A28D38">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14:paraId="5B2EE7A0">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的报价明显低于其他通过符合性审查</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不能证明其报价合理性的，评标委员会应当将其作为无效投标处理。</w:t>
      </w:r>
    </w:p>
    <w:p w14:paraId="4449AF5B">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%的扣除，用扣除后的价格参加评审。组成联合体或者接受分包的小微企业与联合体内其他企业、分包企业之间存在直接控股、管理关系的，不享受价格扣除优惠政策。</w:t>
      </w:r>
    </w:p>
    <w:p w14:paraId="5414E520">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为中标候选人。本项目只推荐评审综合得分最高的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为中标候选人。</w:t>
      </w:r>
    </w:p>
    <w:p w14:paraId="35720BD8">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kern w:val="0"/>
          <w:sz w:val="24"/>
          <w:highlight w:val="none"/>
        </w:rPr>
      </w:pPr>
      <w:r>
        <w:rPr>
          <w:rFonts w:hint="eastAsia" w:ascii="仿宋" w:hAnsi="仿宋" w:eastAsia="仿宋" w:cs="仿宋"/>
          <w:kern w:val="0"/>
          <w:sz w:val="24"/>
          <w:highlight w:val="none"/>
        </w:rPr>
        <w:t>多家</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参加同一合同项下投标的，按一家</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计算，评审后得分最高的同品牌</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获得中标人推荐资格；评审得分相同的，采取随机抽取方式确定，其他同品牌</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不作为中标候选人。</w:t>
      </w:r>
    </w:p>
    <w:p w14:paraId="111F6B51">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3A8BCD">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仿宋" w:hAnsi="仿宋" w:eastAsia="仿宋" w:cs="仿宋"/>
          <w:b/>
          <w:sz w:val="28"/>
          <w:szCs w:val="22"/>
          <w:highlight w:val="none"/>
        </w:rPr>
      </w:pPr>
      <w:r>
        <w:rPr>
          <w:rFonts w:hint="eastAsia" w:ascii="仿宋" w:hAnsi="仿宋" w:eastAsia="仿宋" w:cs="仿宋"/>
          <w:b/>
          <w:sz w:val="28"/>
          <w:szCs w:val="22"/>
          <w:highlight w:val="none"/>
        </w:rPr>
        <w:t>四、评标中的其他事项</w:t>
      </w:r>
    </w:p>
    <w:p w14:paraId="7A622881">
      <w:pPr>
        <w:pStyle w:val="166"/>
        <w:pageBreakBefore w:val="0"/>
        <w:kinsoku/>
        <w:wordWrap/>
        <w:overflowPunct/>
        <w:topLinePunct w:val="0"/>
        <w:bidi w:val="0"/>
        <w:spacing w:before="0" w:line="420" w:lineRule="exact"/>
        <w:ind w:left="0" w:leftChars="0" w:firstLine="472" w:firstLineChars="196"/>
        <w:textAlignment w:val="auto"/>
        <w:rPr>
          <w:rFonts w:hint="eastAsia" w:ascii="仿宋" w:hAnsi="仿宋" w:eastAsia="仿宋" w:cs="仿宋"/>
          <w:kern w:val="0"/>
          <w:szCs w:val="24"/>
          <w:highlight w:val="none"/>
        </w:rPr>
      </w:pPr>
      <w:r>
        <w:rPr>
          <w:rFonts w:hint="eastAsia" w:ascii="仿宋" w:hAnsi="仿宋" w:eastAsia="仿宋" w:cs="仿宋"/>
          <w:b/>
          <w:kern w:val="0"/>
          <w:szCs w:val="24"/>
          <w:highlight w:val="none"/>
        </w:rPr>
        <w:t>4.1</w:t>
      </w:r>
      <w:r>
        <w:rPr>
          <w:rFonts w:hint="eastAsia" w:ascii="仿宋" w:hAnsi="仿宋" w:eastAsia="仿宋" w:cs="仿宋"/>
          <w:b/>
          <w:kern w:val="0"/>
          <w:szCs w:val="24"/>
          <w:highlight w:val="none"/>
          <w:lang w:eastAsia="zh-CN"/>
        </w:rPr>
        <w:t>磋商供应商</w:t>
      </w:r>
      <w:r>
        <w:rPr>
          <w:rFonts w:hint="eastAsia" w:ascii="仿宋" w:hAnsi="仿宋" w:eastAsia="仿宋" w:cs="仿宋"/>
          <w:b/>
          <w:kern w:val="0"/>
          <w:szCs w:val="24"/>
          <w:highlight w:val="none"/>
        </w:rPr>
        <w:t>澄清、说明或者补正。</w:t>
      </w:r>
      <w:r>
        <w:rPr>
          <w:rFonts w:hint="eastAsia" w:ascii="仿宋" w:hAnsi="仿宋" w:eastAsia="仿宋" w:cs="仿宋"/>
          <w:kern w:val="0"/>
          <w:szCs w:val="24"/>
          <w:highlight w:val="none"/>
        </w:rPr>
        <w:t>对于投标文件中含义不明确、同类问题表述不一致或者有明显文字和计算错误的内容需要</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作出必要的澄清、说明或者补正的，评标委员会和</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通过电子交易平台交换数据电文，</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提交使用电子签名的相关数据电文或通过平台上传加盖公章的扫描件。给予</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提交澄清、说明或补正的时间不得少于半小时，</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已经明确表示澄清说明或补正完毕的除外。</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的澄清、说明或者补正不得超出投标文件的范围或者改变投标文件的实质性内容。</w:t>
      </w:r>
    </w:p>
    <w:p w14:paraId="7C7C61CB">
      <w:pPr>
        <w:pStyle w:val="27"/>
        <w:pageBreakBefore w:val="0"/>
        <w:kinsoku/>
        <w:wordWrap/>
        <w:overflowPunct/>
        <w:topLinePunct w:val="0"/>
        <w:bidi w:val="0"/>
        <w:spacing w:line="420" w:lineRule="exact"/>
        <w:ind w:left="544" w:leftChars="228" w:hanging="65" w:hangingChars="27"/>
        <w:textAlignment w:val="auto"/>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52331B3A">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不具备招标文件中规定的资格要求的（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未提供有效的资格文件的，视为</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不具备招标文件中规定的资格要求）；</w:t>
      </w:r>
    </w:p>
    <w:p w14:paraId="04811437">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14:paraId="4B62F9A4">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未按招标文件要求提供国家确定的认证机构出具的、处于有效期之内的节能产品认证证书的；</w:t>
      </w:r>
    </w:p>
    <w:p w14:paraId="2DDC252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6D9EA75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14:paraId="7A87AC8A">
      <w:pPr>
        <w:pageBreakBefore w:val="0"/>
        <w:kinsoku/>
        <w:wordWrap/>
        <w:overflowPunct/>
        <w:topLinePunct w:val="0"/>
        <w:bidi w:val="0"/>
        <w:snapToGrid w:val="0"/>
        <w:spacing w:line="420" w:lineRule="exact"/>
        <w:ind w:left="0" w:leftChars="0" w:firstLine="120" w:firstLineChars="5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14:paraId="5B8B384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14:paraId="0B13971F">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的报价，有可能影响产品质量或者不能诚信履约的，未能按要求提供书面说明或者提交相关证明材料，不能证明其报价合理性的;</w:t>
      </w:r>
    </w:p>
    <w:p w14:paraId="37C3D6C0">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4.2.9</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对根据修正原则修正后的报价不确认的；</w:t>
      </w:r>
    </w:p>
    <w:p w14:paraId="6652B27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4.2.10</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提供虚假材料投标的；</w:t>
      </w:r>
    </w:p>
    <w:p w14:paraId="6171ED70">
      <w:pPr>
        <w:pageBreakBefore w:val="0"/>
        <w:kinsoku/>
        <w:wordWrap/>
        <w:overflowPunct/>
        <w:topLinePunct w:val="0"/>
        <w:bidi w:val="0"/>
        <w:spacing w:line="420" w:lineRule="exact"/>
        <w:ind w:left="0" w:leftChars="0" w:firstLine="240" w:firstLineChars="1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有恶意串通、妨碍其他</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的竞争行为、损害采购人或者其他</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的合法权益情形的；</w:t>
      </w:r>
    </w:p>
    <w:p w14:paraId="303F8244">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4.2.12</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仅提交备份投标文件，没有在电子交易平台传输递交投标文件的，投标无效；</w:t>
      </w:r>
    </w:p>
    <w:p w14:paraId="039CF6D3">
      <w:pPr>
        <w:pStyle w:val="5"/>
        <w:pageBreakBefore w:val="0"/>
        <w:kinsoku/>
        <w:wordWrap/>
        <w:overflowPunct/>
        <w:topLinePunct w:val="0"/>
        <w:bidi w:val="0"/>
        <w:spacing w:line="420" w:lineRule="exact"/>
        <w:ind w:left="0" w:leftChars="0"/>
        <w:textAlignment w:val="auto"/>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投标文件不满足招标文件的其它实质性要求的；</w:t>
      </w:r>
    </w:p>
    <w:p w14:paraId="52BA3311">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74306C0C">
      <w:pPr>
        <w:pStyle w:val="27"/>
        <w:pageBreakBefore w:val="0"/>
        <w:kinsoku/>
        <w:wordWrap/>
        <w:overflowPunct/>
        <w:topLinePunct w:val="0"/>
        <w:bidi w:val="0"/>
        <w:snapToGrid w:val="0"/>
        <w:spacing w:line="420" w:lineRule="exact"/>
        <w:ind w:left="0" w:leftChars="0" w:firstLine="472" w:firstLineChars="196"/>
        <w:textAlignment w:val="auto"/>
        <w:rPr>
          <w:rFonts w:hint="eastAsia" w:ascii="仿宋" w:hAnsi="仿宋" w:eastAsia="仿宋" w:cs="仿宋"/>
          <w:highlight w:val="none"/>
        </w:rPr>
      </w:pPr>
      <w:r>
        <w:rPr>
          <w:rFonts w:hint="eastAsia" w:ascii="仿宋" w:hAnsi="仿宋" w:eastAsia="仿宋" w:cs="仿宋"/>
          <w:b/>
          <w:highlight w:val="none"/>
        </w:rPr>
        <w:t>4.3.废标。</w:t>
      </w:r>
      <w:r>
        <w:rPr>
          <w:rFonts w:hint="eastAsia" w:ascii="仿宋" w:hAnsi="仿宋" w:eastAsia="仿宋" w:cs="仿宋"/>
          <w:highlight w:val="none"/>
        </w:rPr>
        <w:t>根据《中华人民共和国政府采购法》第三十六条之规定，在采购中，出现下列情形之一的，应予废标：</w:t>
      </w:r>
    </w:p>
    <w:p w14:paraId="3F24FC0F">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4.3.1符合专业条件的供应商或者对招标文件作实质响应的供应商不足3家的；</w:t>
      </w:r>
    </w:p>
    <w:p w14:paraId="02ACDC9E">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4.3.2出现影响采购公正的违法、违规行为的；</w:t>
      </w:r>
    </w:p>
    <w:p w14:paraId="57099676">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4.3.3</w:t>
      </w:r>
      <w:r>
        <w:rPr>
          <w:rFonts w:hint="eastAsia" w:ascii="仿宋" w:hAnsi="仿宋" w:eastAsia="仿宋" w:cs="仿宋"/>
          <w:highlight w:val="none"/>
          <w:lang w:eastAsia="zh-CN"/>
        </w:rPr>
        <w:t>磋商供应商</w:t>
      </w:r>
      <w:r>
        <w:rPr>
          <w:rFonts w:hint="eastAsia" w:ascii="仿宋" w:hAnsi="仿宋" w:eastAsia="仿宋" w:cs="仿宋"/>
          <w:highlight w:val="none"/>
        </w:rPr>
        <w:t>的报价均超过了采购预算，采购人不能支付的；</w:t>
      </w:r>
    </w:p>
    <w:p w14:paraId="0C227242">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4.3.4因重大变故，采购任务取消的。</w:t>
      </w:r>
    </w:p>
    <w:p w14:paraId="099651E3">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废标后，采购代理机构应当将废标理由通知所有</w:t>
      </w:r>
      <w:r>
        <w:rPr>
          <w:rFonts w:hint="eastAsia" w:ascii="仿宋" w:hAnsi="仿宋" w:eastAsia="仿宋" w:cs="仿宋"/>
          <w:highlight w:val="none"/>
          <w:lang w:eastAsia="zh-CN"/>
        </w:rPr>
        <w:t>磋商供应商</w:t>
      </w:r>
      <w:r>
        <w:rPr>
          <w:rFonts w:hint="eastAsia" w:ascii="仿宋" w:hAnsi="仿宋" w:eastAsia="仿宋" w:cs="仿宋"/>
          <w:highlight w:val="none"/>
        </w:rPr>
        <w:t>。</w:t>
      </w:r>
    </w:p>
    <w:p w14:paraId="43CA1945">
      <w:pPr>
        <w:pStyle w:val="27"/>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highlight w:val="none"/>
        </w:rPr>
      </w:pPr>
      <w:r>
        <w:rPr>
          <w:rFonts w:hint="eastAsia" w:ascii="仿宋" w:hAnsi="仿宋" w:eastAsia="仿宋" w:cs="仿宋"/>
          <w:b/>
          <w:highlight w:val="none"/>
        </w:rPr>
        <w:t>4.4.修改招标文件，重新组织采购活动。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5D3DF5">
      <w:pPr>
        <w:pStyle w:val="27"/>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highlight w:val="none"/>
        </w:rPr>
      </w:pPr>
      <w:r>
        <w:rPr>
          <w:rFonts w:hint="eastAsia" w:ascii="仿宋" w:hAnsi="仿宋" w:eastAsia="仿宋" w:cs="仿宋"/>
          <w:b/>
          <w:kern w:val="0"/>
          <w:highlight w:val="none"/>
        </w:rPr>
        <w:t>4.5.重新开展采购。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E63DF21">
      <w:pPr>
        <w:pStyle w:val="2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highlight w:val="none"/>
        </w:rPr>
      </w:pPr>
      <w:r>
        <w:rPr>
          <w:rFonts w:hint="eastAsia" w:ascii="仿宋" w:hAnsi="仿宋" w:eastAsia="仿宋" w:cs="仿宋"/>
          <w:highlight w:val="none"/>
        </w:rPr>
        <w:t>4.5.1未确定中标或者中标人的，终止本次政府采购活动，重新开展政府采购活动。</w:t>
      </w:r>
    </w:p>
    <w:p w14:paraId="328F7B48">
      <w:pPr>
        <w:pStyle w:val="2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highlight w:val="none"/>
        </w:rPr>
      </w:pPr>
      <w:r>
        <w:rPr>
          <w:rFonts w:hint="eastAsia" w:ascii="仿宋" w:hAnsi="仿宋" w:eastAsia="仿宋" w:cs="仿宋"/>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53580ED5">
      <w:pPr>
        <w:pStyle w:val="2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highlight w:val="none"/>
        </w:rPr>
      </w:pPr>
      <w:r>
        <w:rPr>
          <w:rFonts w:hint="eastAsia" w:ascii="仿宋" w:hAnsi="仿宋" w:eastAsia="仿宋" w:cs="仿宋"/>
          <w:highlight w:val="none"/>
        </w:rPr>
        <w:t>4.5.3政府采购合同已签订但尚未履行的，撤销合同，从合格的中标或者成交候选人中另行确定中标或者中标人；没有合格的中标或者成交候选人的，重新开展政府采购活动。</w:t>
      </w:r>
    </w:p>
    <w:p w14:paraId="58D21418">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4.5.4政府采购合同已经履行，给采购人、供应商造成损失的，由责任人承担赔偿责任。</w:t>
      </w:r>
    </w:p>
    <w:p w14:paraId="710FF1D1">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0F22585D">
      <w:pPr>
        <w:pStyle w:val="27"/>
        <w:snapToGrid w:val="0"/>
        <w:spacing w:line="360" w:lineRule="auto"/>
        <w:ind w:firstLine="0" w:firstLineChars="0"/>
        <w:rPr>
          <w:rFonts w:hint="eastAsia" w:ascii="仿宋" w:hAnsi="仿宋" w:eastAsia="仿宋" w:cs="仿宋"/>
          <w:highlight w:val="none"/>
        </w:rPr>
      </w:pPr>
    </w:p>
    <w:p w14:paraId="2B396A0D">
      <w:pPr>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br w:type="page"/>
      </w:r>
    </w:p>
    <w:p w14:paraId="58E13EDD">
      <w:pPr>
        <w:spacing w:line="360" w:lineRule="auto"/>
        <w:jc w:val="center"/>
        <w:outlineLvl w:val="0"/>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第五部分 拟签订的合同文本</w:t>
      </w:r>
    </w:p>
    <w:p w14:paraId="00401DDA">
      <w:pPr>
        <w:rPr>
          <w:rFonts w:hint="eastAsia" w:ascii="仿宋" w:hAnsi="仿宋" w:eastAsia="仿宋" w:cs="仿宋"/>
          <w:sz w:val="24"/>
          <w:highlight w:val="none"/>
        </w:rPr>
      </w:pPr>
    </w:p>
    <w:p w14:paraId="0962C63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D9B5D4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14:paraId="23C8425B">
      <w:pPr>
        <w:pStyle w:val="17"/>
        <w:rPr>
          <w:rFonts w:hint="eastAsia" w:ascii="仿宋" w:hAnsi="仿宋" w:eastAsia="仿宋" w:cs="仿宋"/>
          <w:color w:val="auto"/>
          <w:highlight w:val="none"/>
        </w:rPr>
      </w:pPr>
    </w:p>
    <w:p w14:paraId="68DEFC1C">
      <w:pPr>
        <w:pStyle w:val="17"/>
        <w:rPr>
          <w:rFonts w:hint="eastAsia" w:ascii="仿宋" w:hAnsi="仿宋" w:eastAsia="仿宋" w:cs="仿宋"/>
          <w:color w:val="auto"/>
          <w:highlight w:val="none"/>
        </w:rPr>
      </w:pPr>
    </w:p>
    <w:p w14:paraId="1D516C4F">
      <w:pPr>
        <w:pStyle w:val="17"/>
        <w:ind w:firstLine="562"/>
        <w:jc w:val="center"/>
        <w:rPr>
          <w:rFonts w:hint="eastAsia" w:ascii="仿宋" w:hAnsi="仿宋" w:eastAsia="仿宋" w:cs="仿宋"/>
          <w:b/>
          <w:color w:val="auto"/>
          <w:highlight w:val="none"/>
        </w:rPr>
      </w:pPr>
      <w:r>
        <w:rPr>
          <w:rFonts w:hint="eastAsia" w:ascii="仿宋" w:hAnsi="仿宋" w:eastAsia="仿宋" w:cs="仿宋"/>
          <w:b/>
          <w:color w:val="auto"/>
          <w:highlight w:val="none"/>
        </w:rPr>
        <w:t>第一部分   合同书</w:t>
      </w:r>
    </w:p>
    <w:p w14:paraId="7B2423CD">
      <w:pPr>
        <w:pStyle w:val="17"/>
        <w:rPr>
          <w:rFonts w:hint="eastAsia" w:ascii="仿宋" w:hAnsi="仿宋" w:eastAsia="仿宋" w:cs="仿宋"/>
          <w:color w:val="auto"/>
          <w:highlight w:val="none"/>
        </w:rPr>
      </w:pPr>
    </w:p>
    <w:p w14:paraId="500C56D9">
      <w:pPr>
        <w:pStyle w:val="17"/>
        <w:rPr>
          <w:rFonts w:hint="eastAsia" w:ascii="仿宋" w:hAnsi="仿宋" w:eastAsia="仿宋" w:cs="仿宋"/>
          <w:color w:val="auto"/>
          <w:highlight w:val="none"/>
        </w:rPr>
      </w:pPr>
    </w:p>
    <w:p w14:paraId="062E2D8D">
      <w:pPr>
        <w:spacing w:before="120" w:line="22" w:lineRule="atLeast"/>
        <w:rPr>
          <w:rFonts w:hint="eastAsia" w:ascii="仿宋" w:hAnsi="仿宋" w:eastAsia="仿宋" w:cs="仿宋"/>
          <w:color w:val="auto"/>
          <w:sz w:val="24"/>
          <w:highlight w:val="none"/>
        </w:rPr>
      </w:pPr>
    </w:p>
    <w:p w14:paraId="7670C5B0">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2B91038">
      <w:pPr>
        <w:pStyle w:val="608"/>
        <w:spacing w:before="120" w:line="22" w:lineRule="atLeast"/>
        <w:rPr>
          <w:rFonts w:hint="eastAsia" w:ascii="仿宋" w:hAnsi="仿宋" w:eastAsia="仿宋" w:cs="仿宋"/>
          <w:color w:val="auto"/>
          <w:szCs w:val="24"/>
          <w:highlight w:val="none"/>
        </w:rPr>
      </w:pPr>
    </w:p>
    <w:p w14:paraId="53B62A14">
      <w:pPr>
        <w:pStyle w:val="608"/>
        <w:spacing w:before="120" w:line="22" w:lineRule="atLeast"/>
        <w:rPr>
          <w:rFonts w:hint="eastAsia" w:ascii="仿宋" w:hAnsi="仿宋" w:eastAsia="仿宋" w:cs="仿宋"/>
          <w:color w:val="auto"/>
          <w:szCs w:val="24"/>
          <w:highlight w:val="none"/>
        </w:rPr>
      </w:pPr>
    </w:p>
    <w:p w14:paraId="4F398373">
      <w:pPr>
        <w:rPr>
          <w:rFonts w:hint="eastAsia" w:ascii="仿宋" w:hAnsi="仿宋" w:eastAsia="仿宋" w:cs="仿宋"/>
          <w:color w:val="auto"/>
          <w:sz w:val="24"/>
          <w:highlight w:val="none"/>
        </w:rPr>
      </w:pPr>
    </w:p>
    <w:p w14:paraId="3573192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C54652D">
      <w:pPr>
        <w:spacing w:before="120" w:line="22" w:lineRule="atLeast"/>
        <w:rPr>
          <w:rFonts w:hint="eastAsia" w:ascii="仿宋" w:hAnsi="仿宋" w:eastAsia="仿宋" w:cs="仿宋"/>
          <w:color w:val="auto"/>
          <w:sz w:val="24"/>
          <w:highlight w:val="none"/>
        </w:rPr>
      </w:pPr>
    </w:p>
    <w:p w14:paraId="4931272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F5582B8">
      <w:pPr>
        <w:spacing w:before="120" w:line="22" w:lineRule="atLeast"/>
        <w:rPr>
          <w:rFonts w:hint="eastAsia" w:ascii="仿宋" w:hAnsi="仿宋" w:eastAsia="仿宋" w:cs="仿宋"/>
          <w:color w:val="auto"/>
          <w:sz w:val="24"/>
          <w:highlight w:val="none"/>
        </w:rPr>
      </w:pPr>
    </w:p>
    <w:p w14:paraId="670472E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78B167E">
      <w:pPr>
        <w:spacing w:before="120" w:line="22" w:lineRule="atLeast"/>
        <w:rPr>
          <w:rFonts w:hint="eastAsia" w:ascii="仿宋" w:hAnsi="仿宋" w:eastAsia="仿宋" w:cs="仿宋"/>
          <w:color w:val="auto"/>
          <w:sz w:val="24"/>
          <w:highlight w:val="none"/>
        </w:rPr>
      </w:pPr>
    </w:p>
    <w:p w14:paraId="7E2AB63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562EF5A">
      <w:pPr>
        <w:widowControl/>
        <w:jc w:val="left"/>
        <w:rPr>
          <w:rFonts w:hint="eastAsia" w:ascii="仿宋" w:hAnsi="仿宋" w:eastAsia="仿宋" w:cs="仿宋"/>
          <w:color w:val="auto"/>
          <w:kern w:val="0"/>
          <w:sz w:val="24"/>
          <w:highlight w:val="none"/>
        </w:rPr>
        <w:sectPr>
          <w:headerReference r:id="rId10" w:type="default"/>
          <w:footerReference r:id="rId11" w:type="default"/>
          <w:pgSz w:w="11907" w:h="16840"/>
          <w:pgMar w:top="1247" w:right="1803" w:bottom="1247" w:left="1803" w:header="907" w:footer="992" w:gutter="0"/>
          <w:pgNumType w:fmt="decimal"/>
          <w:cols w:space="720" w:num="1"/>
          <w:titlePg/>
          <w:docGrid w:linePitch="286" w:charSpace="0"/>
        </w:sectPr>
      </w:pPr>
    </w:p>
    <w:p w14:paraId="0DA21316">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214753CB">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7A62C7F">
      <w:pPr>
        <w:keepNext w:val="0"/>
        <w:keepLines w:val="0"/>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sz w:val="24"/>
          <w:highlight w:val="none"/>
        </w:rPr>
      </w:pPr>
      <w:bookmarkStart w:id="394" w:name="_Toc19273"/>
      <w:bookmarkStart w:id="395" w:name="_Toc15367"/>
      <w:bookmarkStart w:id="396" w:name="_Toc20421"/>
      <w:bookmarkStart w:id="397" w:name="_Toc28855"/>
      <w:bookmarkStart w:id="398" w:name="_Toc22967"/>
      <w:r>
        <w:rPr>
          <w:rFonts w:hint="eastAsia" w:ascii="仿宋" w:hAnsi="仿宋" w:eastAsia="仿宋" w:cs="仿宋"/>
          <w:b/>
          <w:sz w:val="24"/>
          <w:highlight w:val="none"/>
        </w:rPr>
        <w:t>1.1 合同组成部分</w:t>
      </w:r>
      <w:bookmarkEnd w:id="394"/>
      <w:bookmarkEnd w:id="395"/>
      <w:bookmarkEnd w:id="396"/>
      <w:bookmarkEnd w:id="397"/>
      <w:bookmarkEnd w:id="398"/>
    </w:p>
    <w:p w14:paraId="14C36DB7">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29B1C7">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14:paraId="3F62DFA5">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1.1.2 中标或者成交通知书；</w:t>
      </w:r>
    </w:p>
    <w:p w14:paraId="27A149D8">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1.1.3 磋商响应文件（含澄清或者说明文件）；</w:t>
      </w:r>
    </w:p>
    <w:p w14:paraId="2DDDA480">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1.1.4 采购文件（含澄清或者修改文件）；</w:t>
      </w:r>
    </w:p>
    <w:p w14:paraId="0685427F">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1.1.5 其他相关采购文件。</w:t>
      </w:r>
    </w:p>
    <w:p w14:paraId="5D87B973">
      <w:pPr>
        <w:keepNext w:val="0"/>
        <w:keepLines w:val="0"/>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bookmarkStart w:id="399" w:name="_Toc22185"/>
      <w:bookmarkStart w:id="400" w:name="_Toc6773"/>
      <w:bookmarkStart w:id="401" w:name="_Toc6311"/>
      <w:bookmarkStart w:id="402" w:name="_Toc2918"/>
      <w:bookmarkStart w:id="403" w:name="_Toc18585"/>
      <w:r>
        <w:rPr>
          <w:rFonts w:hint="eastAsia" w:ascii="仿宋" w:hAnsi="仿宋" w:eastAsia="仿宋" w:cs="仿宋"/>
          <w:b/>
          <w:sz w:val="24"/>
          <w:highlight w:val="none"/>
        </w:rPr>
        <w:t>1.2 标的</w:t>
      </w:r>
      <w:bookmarkEnd w:id="399"/>
      <w:bookmarkEnd w:id="400"/>
      <w:bookmarkEnd w:id="401"/>
      <w:bookmarkEnd w:id="402"/>
      <w:bookmarkEnd w:id="403"/>
    </w:p>
    <w:p w14:paraId="58DD0E57">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C992E95">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587B316">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2205E2D5">
      <w:pPr>
        <w:keepNext w:val="0"/>
        <w:keepLines w:val="0"/>
        <w:pageBreakBefore w:val="0"/>
        <w:kinsoku/>
        <w:wordWrap/>
        <w:overflowPunct/>
        <w:topLinePunct w:val="0"/>
        <w:autoSpaceDE/>
        <w:autoSpaceDN/>
        <w:bidi w:val="0"/>
        <w:snapToGrid/>
        <w:spacing w:line="420" w:lineRule="exact"/>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AC327A0">
      <w:pPr>
        <w:pStyle w:val="967"/>
        <w:keepNext w:val="0"/>
        <w:keepLines w:val="0"/>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1.2.5</w:t>
      </w:r>
      <w:r>
        <w:rPr>
          <w:rFonts w:hint="eastAsia" w:ascii="仿宋" w:hAnsi="仿宋" w:eastAsia="仿宋" w:cs="仿宋"/>
          <w:highlight w:val="none"/>
          <w:lang w:val="en-US" w:eastAsia="zh-CN"/>
        </w:rPr>
        <w:t xml:space="preserve"> </w:t>
      </w:r>
      <w:r>
        <w:rPr>
          <w:rFonts w:hint="eastAsia" w:ascii="仿宋" w:hAnsi="仿宋" w:eastAsia="仿宋" w:cs="仿宋"/>
          <w:highlight w:val="none"/>
        </w:rPr>
        <w:t>合同</w:t>
      </w:r>
      <w:r>
        <w:rPr>
          <w:rFonts w:hint="eastAsia" w:ascii="仿宋" w:hAnsi="仿宋" w:eastAsia="仿宋" w:cs="仿宋"/>
          <w:highlight w:val="none"/>
          <w:u w:val="single"/>
        </w:rPr>
        <w:t xml:space="preserve">     </w:t>
      </w:r>
      <w:r>
        <w:rPr>
          <w:rFonts w:hint="eastAsia" w:ascii="仿宋" w:hAnsi="仿宋" w:eastAsia="仿宋" w:cs="仿宋"/>
          <w:highlight w:val="none"/>
        </w:rPr>
        <w:t>（是/否）涉及货物。若涉及货物的，则：</w:t>
      </w:r>
    </w:p>
    <w:p w14:paraId="4CA62BC7">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bookmarkStart w:id="404" w:name="_Toc4929"/>
      <w:bookmarkStart w:id="405" w:name="_Toc21124"/>
      <w:bookmarkStart w:id="406" w:name="_Toc5635"/>
      <w:bookmarkStart w:id="407" w:name="_Toc13918"/>
      <w:bookmarkStart w:id="408" w:name="_Toc1386"/>
      <w:r>
        <w:rPr>
          <w:rFonts w:hint="eastAsia" w:ascii="仿宋" w:hAnsi="仿宋" w:eastAsia="仿宋" w:cs="仿宋"/>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A2CDBB9">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0962073">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B7A1676">
      <w:pPr>
        <w:keepNext w:val="0"/>
        <w:keepLines w:val="0"/>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1.3 价款</w:t>
      </w:r>
      <w:bookmarkEnd w:id="404"/>
      <w:bookmarkEnd w:id="405"/>
      <w:bookmarkEnd w:id="406"/>
      <w:bookmarkEnd w:id="407"/>
      <w:bookmarkEnd w:id="408"/>
    </w:p>
    <w:p w14:paraId="2827D138">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14:paraId="380B0B6D">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1.3.1总价合同，本合同总价（含税）为：￥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15878072">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C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vAlign w:val="center"/>
          </w:tcPr>
          <w:p w14:paraId="3C6A275B">
            <w:pPr>
              <w:pStyle w:val="337"/>
              <w:spacing w:line="33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486A97FF">
            <w:pPr>
              <w:pStyle w:val="337"/>
              <w:spacing w:line="336" w:lineRule="auto"/>
              <w:ind w:firstLine="200"/>
              <w:jc w:val="center"/>
              <w:rPr>
                <w:rFonts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1FBC8AA0">
            <w:pPr>
              <w:pStyle w:val="337"/>
              <w:spacing w:line="33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6C9A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AB5539">
            <w:pPr>
              <w:pStyle w:val="337"/>
              <w:spacing w:line="336" w:lineRule="auto"/>
              <w:ind w:firstLine="200"/>
              <w:jc w:val="center"/>
              <w:rPr>
                <w:rFonts w:ascii="仿宋" w:hAnsi="仿宋" w:eastAsia="仿宋" w:cs="仿宋"/>
                <w:sz w:val="24"/>
                <w:szCs w:val="24"/>
                <w:highlight w:val="none"/>
              </w:rPr>
            </w:pPr>
          </w:p>
        </w:tc>
        <w:tc>
          <w:tcPr>
            <w:tcW w:w="3402" w:type="dxa"/>
            <w:vAlign w:val="center"/>
          </w:tcPr>
          <w:p w14:paraId="20639FD2">
            <w:pPr>
              <w:pStyle w:val="337"/>
              <w:spacing w:line="336" w:lineRule="auto"/>
              <w:ind w:firstLine="200"/>
              <w:jc w:val="center"/>
              <w:rPr>
                <w:rFonts w:ascii="仿宋" w:hAnsi="仿宋" w:eastAsia="仿宋" w:cs="仿宋"/>
                <w:sz w:val="24"/>
                <w:szCs w:val="24"/>
                <w:highlight w:val="none"/>
              </w:rPr>
            </w:pPr>
          </w:p>
        </w:tc>
        <w:tc>
          <w:tcPr>
            <w:tcW w:w="2552" w:type="dxa"/>
            <w:vAlign w:val="center"/>
          </w:tcPr>
          <w:p w14:paraId="4CED35AC">
            <w:pPr>
              <w:pStyle w:val="337"/>
              <w:spacing w:line="336" w:lineRule="auto"/>
              <w:ind w:firstLine="200"/>
              <w:jc w:val="center"/>
              <w:rPr>
                <w:rFonts w:ascii="仿宋" w:hAnsi="仿宋" w:eastAsia="仿宋" w:cs="仿宋"/>
                <w:sz w:val="24"/>
                <w:szCs w:val="24"/>
                <w:highlight w:val="none"/>
              </w:rPr>
            </w:pPr>
          </w:p>
        </w:tc>
      </w:tr>
      <w:tr w14:paraId="5AAE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FE4238">
            <w:pPr>
              <w:pStyle w:val="337"/>
              <w:spacing w:line="336" w:lineRule="auto"/>
              <w:ind w:firstLine="200"/>
              <w:jc w:val="center"/>
              <w:rPr>
                <w:rFonts w:ascii="仿宋" w:hAnsi="仿宋" w:eastAsia="仿宋" w:cs="仿宋"/>
                <w:sz w:val="24"/>
                <w:szCs w:val="24"/>
                <w:highlight w:val="none"/>
              </w:rPr>
            </w:pPr>
          </w:p>
        </w:tc>
        <w:tc>
          <w:tcPr>
            <w:tcW w:w="3402" w:type="dxa"/>
            <w:vAlign w:val="center"/>
          </w:tcPr>
          <w:p w14:paraId="7EA0B241">
            <w:pPr>
              <w:pStyle w:val="337"/>
              <w:spacing w:line="336" w:lineRule="auto"/>
              <w:ind w:firstLine="200"/>
              <w:jc w:val="center"/>
              <w:rPr>
                <w:rFonts w:ascii="仿宋" w:hAnsi="仿宋" w:eastAsia="仿宋" w:cs="仿宋"/>
                <w:sz w:val="24"/>
                <w:szCs w:val="24"/>
                <w:highlight w:val="none"/>
              </w:rPr>
            </w:pPr>
          </w:p>
        </w:tc>
        <w:tc>
          <w:tcPr>
            <w:tcW w:w="2552" w:type="dxa"/>
            <w:vAlign w:val="center"/>
          </w:tcPr>
          <w:p w14:paraId="231347D8">
            <w:pPr>
              <w:pStyle w:val="337"/>
              <w:spacing w:line="336" w:lineRule="auto"/>
              <w:ind w:firstLine="200"/>
              <w:jc w:val="center"/>
              <w:rPr>
                <w:rFonts w:ascii="仿宋" w:hAnsi="仿宋" w:eastAsia="仿宋" w:cs="仿宋"/>
                <w:sz w:val="24"/>
                <w:szCs w:val="24"/>
                <w:highlight w:val="none"/>
              </w:rPr>
            </w:pPr>
          </w:p>
        </w:tc>
      </w:tr>
      <w:tr w14:paraId="48A4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12F223">
            <w:pPr>
              <w:pStyle w:val="337"/>
              <w:spacing w:line="336" w:lineRule="auto"/>
              <w:ind w:firstLine="200"/>
              <w:jc w:val="center"/>
              <w:rPr>
                <w:rFonts w:ascii="仿宋" w:hAnsi="仿宋" w:eastAsia="仿宋" w:cs="仿宋"/>
                <w:sz w:val="24"/>
                <w:szCs w:val="24"/>
                <w:highlight w:val="none"/>
              </w:rPr>
            </w:pPr>
          </w:p>
        </w:tc>
        <w:tc>
          <w:tcPr>
            <w:tcW w:w="3402" w:type="dxa"/>
            <w:vAlign w:val="center"/>
          </w:tcPr>
          <w:p w14:paraId="0255AA7C">
            <w:pPr>
              <w:pStyle w:val="337"/>
              <w:spacing w:line="336" w:lineRule="auto"/>
              <w:ind w:firstLine="200"/>
              <w:jc w:val="center"/>
              <w:rPr>
                <w:rFonts w:ascii="仿宋" w:hAnsi="仿宋" w:eastAsia="仿宋" w:cs="仿宋"/>
                <w:sz w:val="24"/>
                <w:szCs w:val="24"/>
                <w:highlight w:val="none"/>
              </w:rPr>
            </w:pPr>
          </w:p>
        </w:tc>
        <w:tc>
          <w:tcPr>
            <w:tcW w:w="2552" w:type="dxa"/>
            <w:vAlign w:val="center"/>
          </w:tcPr>
          <w:p w14:paraId="0F63ECD1">
            <w:pPr>
              <w:pStyle w:val="337"/>
              <w:spacing w:line="336" w:lineRule="auto"/>
              <w:ind w:firstLine="200"/>
              <w:jc w:val="center"/>
              <w:rPr>
                <w:rFonts w:ascii="仿宋" w:hAnsi="仿宋" w:eastAsia="仿宋" w:cs="仿宋"/>
                <w:sz w:val="24"/>
                <w:szCs w:val="24"/>
                <w:highlight w:val="none"/>
              </w:rPr>
            </w:pPr>
          </w:p>
        </w:tc>
      </w:tr>
      <w:tr w14:paraId="06D1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BD1DD0">
            <w:pPr>
              <w:pStyle w:val="337"/>
              <w:spacing w:line="336" w:lineRule="auto"/>
              <w:ind w:firstLine="200"/>
              <w:jc w:val="center"/>
              <w:rPr>
                <w:rFonts w:ascii="仿宋" w:hAnsi="仿宋" w:eastAsia="仿宋" w:cs="仿宋"/>
                <w:sz w:val="24"/>
                <w:szCs w:val="24"/>
                <w:highlight w:val="none"/>
              </w:rPr>
            </w:pPr>
          </w:p>
        </w:tc>
        <w:tc>
          <w:tcPr>
            <w:tcW w:w="3402" w:type="dxa"/>
            <w:vAlign w:val="center"/>
          </w:tcPr>
          <w:p w14:paraId="6034D6E4">
            <w:pPr>
              <w:pStyle w:val="337"/>
              <w:spacing w:line="336" w:lineRule="auto"/>
              <w:ind w:firstLine="200"/>
              <w:jc w:val="center"/>
              <w:rPr>
                <w:rFonts w:ascii="仿宋" w:hAnsi="仿宋" w:eastAsia="仿宋" w:cs="仿宋"/>
                <w:sz w:val="24"/>
                <w:szCs w:val="24"/>
                <w:highlight w:val="none"/>
              </w:rPr>
            </w:pPr>
          </w:p>
        </w:tc>
        <w:tc>
          <w:tcPr>
            <w:tcW w:w="2552" w:type="dxa"/>
            <w:vAlign w:val="center"/>
          </w:tcPr>
          <w:p w14:paraId="33ECD06D">
            <w:pPr>
              <w:pStyle w:val="337"/>
              <w:spacing w:line="336" w:lineRule="auto"/>
              <w:ind w:firstLine="200"/>
              <w:jc w:val="center"/>
              <w:rPr>
                <w:rFonts w:ascii="仿宋" w:hAnsi="仿宋" w:eastAsia="仿宋" w:cs="仿宋"/>
                <w:sz w:val="24"/>
                <w:szCs w:val="24"/>
                <w:highlight w:val="none"/>
              </w:rPr>
            </w:pPr>
          </w:p>
        </w:tc>
      </w:tr>
      <w:tr w14:paraId="58B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628B0C0">
            <w:pPr>
              <w:pStyle w:val="337"/>
              <w:spacing w:line="336" w:lineRule="auto"/>
              <w:ind w:firstLine="200"/>
              <w:jc w:val="center"/>
              <w:rPr>
                <w:rFonts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140CA78A">
            <w:pPr>
              <w:pStyle w:val="337"/>
              <w:spacing w:line="336" w:lineRule="auto"/>
              <w:ind w:firstLine="200"/>
              <w:jc w:val="center"/>
              <w:rPr>
                <w:rFonts w:ascii="仿宋" w:hAnsi="仿宋" w:eastAsia="仿宋" w:cs="仿宋"/>
                <w:sz w:val="24"/>
                <w:szCs w:val="24"/>
                <w:highlight w:val="none"/>
              </w:rPr>
            </w:pPr>
          </w:p>
        </w:tc>
      </w:tr>
    </w:tbl>
    <w:p w14:paraId="297CAE94">
      <w:pPr>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bookmarkStart w:id="409" w:name="_Toc30158"/>
      <w:bookmarkStart w:id="410" w:name="_Toc30506"/>
      <w:bookmarkStart w:id="411" w:name="_Toc14993"/>
      <w:bookmarkStart w:id="412" w:name="_Toc3654"/>
      <w:bookmarkStart w:id="413" w:name="_Toc26916"/>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。服务工作量的计量方式为：</w:t>
      </w:r>
      <w:r>
        <w:rPr>
          <w:rFonts w:hint="eastAsia" w:ascii="仿宋" w:hAnsi="仿宋" w:eastAsia="仿宋" w:cs="仿宋"/>
          <w:bCs/>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。单价合同，在合同履行期间内，根据实际完成的工作量据实结算，但结算总价上限不得超过预算金额或者双方确定的金额￥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12D87F65">
      <w:pPr>
        <w:pStyle w:val="5"/>
        <w:pageBreakBefore w:val="0"/>
        <w:numPr>
          <w:ilvl w:val="0"/>
          <w:numId w:val="0"/>
        </w:numPr>
        <w:kinsoku/>
        <w:wordWrap/>
        <w:overflowPunct/>
        <w:topLinePunct w:val="0"/>
        <w:autoSpaceDE/>
        <w:autoSpaceDN/>
        <w:bidi w:val="0"/>
        <w:snapToGrid/>
        <w:spacing w:line="420" w:lineRule="exact"/>
        <w:ind w:left="-432" w:firstLine="482" w:firstLineChars="200"/>
        <w:textAlignment w:val="auto"/>
        <w:rPr>
          <w:rFonts w:ascii="仿宋" w:eastAsia="仿宋" w:cs="仿宋"/>
          <w:highlight w:val="none"/>
          <w:lang w:val="en-US"/>
        </w:rPr>
      </w:pPr>
      <w:r>
        <w:rPr>
          <w:rFonts w:hint="eastAsia" w:ascii="仿宋" w:eastAsia="仿宋" w:cs="仿宋"/>
          <w:sz w:val="24"/>
          <w:highlight w:val="none"/>
          <w:lang w:val="en-US"/>
        </w:rPr>
        <w:t xml:space="preserve">   </w:t>
      </w:r>
      <w:r>
        <w:rPr>
          <w:rFonts w:hint="eastAsia" w:ascii="仿宋" w:eastAsia="仿宋" w:cs="仿宋"/>
          <w:sz w:val="24"/>
          <w:highlight w:val="none"/>
          <w:lang w:val="en-US" w:eastAsia="zh-CN"/>
        </w:rPr>
        <w:t xml:space="preserve"> </w:t>
      </w:r>
      <w:r>
        <w:rPr>
          <w:rFonts w:hint="eastAsia" w:ascii="仿宋" w:eastAsia="仿宋" w:cs="仿宋"/>
          <w:b w:val="0"/>
          <w:bCs w:val="0"/>
          <w:sz w:val="24"/>
          <w:highlight w:val="none"/>
          <w:lang w:val="en-US"/>
        </w:rPr>
        <w:t>1.3.3其他计价方式：</w:t>
      </w:r>
      <w:r>
        <w:rPr>
          <w:rFonts w:hint="eastAsia" w:ascii="仿宋" w:eastAsia="仿宋" w:cs="仿宋"/>
          <w:b w:val="0"/>
          <w:bCs w:val="0"/>
          <w:sz w:val="24"/>
          <w:highlight w:val="none"/>
          <w:u w:val="single"/>
          <w:lang w:val="en-US"/>
        </w:rPr>
        <w:t xml:space="preserve">                   </w:t>
      </w:r>
      <w:r>
        <w:rPr>
          <w:rFonts w:hint="eastAsia" w:ascii="仿宋" w:eastAsia="仿宋" w:cs="仿宋"/>
          <w:b w:val="0"/>
          <w:bCs w:val="0"/>
          <w:sz w:val="24"/>
          <w:highlight w:val="none"/>
        </w:rPr>
        <w:t>。</w:t>
      </w:r>
    </w:p>
    <w:bookmarkEnd w:id="409"/>
    <w:bookmarkEnd w:id="410"/>
    <w:bookmarkEnd w:id="411"/>
    <w:bookmarkEnd w:id="412"/>
    <w:bookmarkEnd w:id="413"/>
    <w:p w14:paraId="47D0AC7B">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b/>
          <w:highlight w:val="none"/>
        </w:rPr>
      </w:pPr>
      <w:bookmarkStart w:id="414" w:name="_Toc10340"/>
      <w:bookmarkStart w:id="415" w:name="_Toc22618"/>
      <w:bookmarkStart w:id="416" w:name="_Toc1814"/>
      <w:bookmarkStart w:id="417" w:name="_Toc31421"/>
      <w:bookmarkStart w:id="418" w:name="_Toc3625"/>
      <w:bookmarkStart w:id="419" w:name="_Toc4760"/>
      <w:bookmarkStart w:id="420" w:name="_Toc11108"/>
      <w:bookmarkStart w:id="421" w:name="_Toc8772"/>
      <w:r>
        <w:rPr>
          <w:rFonts w:hint="eastAsia" w:ascii="仿宋" w:hAnsi="仿宋" w:eastAsia="仿宋" w:cs="仿宋"/>
          <w:b/>
          <w:highlight w:val="none"/>
        </w:rPr>
        <w:t>1.4履约保证金</w:t>
      </w:r>
    </w:p>
    <w:p w14:paraId="1FCDBBB8">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14:paraId="25814033">
      <w:pPr>
        <w:pageBreakBefore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570CBB29">
      <w:pPr>
        <w:pageBreakBefore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0DAAAD34">
      <w:pPr>
        <w:pStyle w:val="5"/>
        <w:pageBreakBefore w:val="0"/>
        <w:numPr>
          <w:ilvl w:val="0"/>
          <w:numId w:val="0"/>
        </w:numPr>
        <w:tabs>
          <w:tab w:val="clear" w:pos="432"/>
        </w:tabs>
        <w:kinsoku/>
        <w:wordWrap/>
        <w:overflowPunct/>
        <w:topLinePunct w:val="0"/>
        <w:autoSpaceDE/>
        <w:autoSpaceDN/>
        <w:bidi w:val="0"/>
        <w:snapToGrid/>
        <w:spacing w:line="420" w:lineRule="exact"/>
        <w:ind w:left="852" w:leftChars="200"/>
        <w:textAlignment w:val="auto"/>
        <w:rPr>
          <w:rFonts w:ascii="仿宋" w:eastAsia="仿宋" w:cs="仿宋"/>
          <w:highlight w:val="none"/>
          <w:lang w:val="en-US"/>
        </w:rPr>
      </w:pPr>
      <w:r>
        <w:rPr>
          <w:rFonts w:hint="eastAsia" w:asci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48E176">
      <w:pPr>
        <w:pageBreakBefore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1038DE05">
      <w:pPr>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1.5</w:t>
      </w:r>
      <w:bookmarkEnd w:id="414"/>
      <w:bookmarkEnd w:id="415"/>
      <w:bookmarkEnd w:id="416"/>
      <w:r>
        <w:rPr>
          <w:rFonts w:hint="eastAsia" w:ascii="仿宋" w:hAnsi="仿宋" w:eastAsia="仿宋" w:cs="仿宋"/>
          <w:b/>
          <w:sz w:val="24"/>
          <w:highlight w:val="none"/>
        </w:rPr>
        <w:t>预付款</w:t>
      </w:r>
    </w:p>
    <w:p w14:paraId="5A7E7737">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237DAA2C">
      <w:pPr>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65DE58CB">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38114E2F">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132C381">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b/>
          <w:bCs/>
          <w:highlight w:val="none"/>
        </w:rPr>
      </w:pPr>
      <w:r>
        <w:rPr>
          <w:rFonts w:hint="eastAsia" w:ascii="仿宋" w:hAnsi="仿宋" w:eastAsia="仿宋" w:cs="仿宋"/>
          <w:b/>
          <w:bCs/>
          <w:highlight w:val="none"/>
        </w:rPr>
        <w:t>1.6资金支付</w:t>
      </w:r>
    </w:p>
    <w:p w14:paraId="483282A1">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D0CBB0">
      <w:pPr>
        <w:pageBreakBefore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80E0F47">
      <w:pPr>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1.7 履行期限、地点和方式</w:t>
      </w:r>
      <w:bookmarkEnd w:id="417"/>
      <w:bookmarkEnd w:id="418"/>
      <w:bookmarkEnd w:id="419"/>
      <w:bookmarkEnd w:id="420"/>
      <w:bookmarkEnd w:id="421"/>
    </w:p>
    <w:p w14:paraId="7901FF9C">
      <w:pPr>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8D29D10">
      <w:pPr>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261A002">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D948DF6">
      <w:pPr>
        <w:pageBreakBefore w:val="0"/>
        <w:widowControl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bCs/>
          <w:sz w:val="24"/>
          <w:highlight w:val="none"/>
        </w:rPr>
      </w:pPr>
      <w:bookmarkStart w:id="422" w:name="_Toc8586"/>
      <w:bookmarkStart w:id="423" w:name="_Toc2375"/>
      <w:bookmarkStart w:id="424" w:name="_Toc5698"/>
      <w:bookmarkStart w:id="425" w:name="_Toc24662"/>
      <w:bookmarkStart w:id="426" w:name="_Toc3079"/>
      <w:r>
        <w:rPr>
          <w:rFonts w:hint="eastAsia" w:ascii="仿宋" w:hAnsi="仿宋" w:eastAsia="仿宋" w:cs="仿宋"/>
          <w:bCs/>
          <w:sz w:val="24"/>
          <w:highlight w:val="none"/>
        </w:rPr>
        <w:t>1.7.4若服务涉及货物的，则货物的：</w:t>
      </w:r>
    </w:p>
    <w:p w14:paraId="35D7F7B5">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84ECE86">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91619C5">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AB4FFF7">
      <w:pPr>
        <w:pageBreakBefore w:val="0"/>
        <w:widowControl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sz w:val="24"/>
          <w:highlight w:val="none"/>
          <w:u w:val="single"/>
        </w:rPr>
      </w:pPr>
      <w:r>
        <w:rPr>
          <w:rFonts w:hint="eastAsia" w:ascii="仿宋" w:hAnsi="仿宋" w:eastAsia="仿宋" w:cs="仿宋"/>
          <w:b/>
          <w:sz w:val="24"/>
          <w:highlight w:val="none"/>
        </w:rPr>
        <w:t>1.8违约责任</w:t>
      </w:r>
      <w:bookmarkEnd w:id="422"/>
      <w:bookmarkEnd w:id="423"/>
      <w:bookmarkEnd w:id="424"/>
      <w:bookmarkEnd w:id="425"/>
      <w:bookmarkEnd w:id="426"/>
    </w:p>
    <w:p w14:paraId="31C556E6">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4E71161D">
      <w:pPr>
        <w:pStyle w:val="5"/>
        <w:pageBreakBefore w:val="0"/>
        <w:widowControl w:val="0"/>
        <w:kinsoku/>
        <w:wordWrap/>
        <w:overflowPunct/>
        <w:topLinePunct w:val="0"/>
        <w:autoSpaceDE/>
        <w:autoSpaceDN/>
        <w:bidi w:val="0"/>
        <w:snapToGrid/>
        <w:spacing w:line="420" w:lineRule="exact"/>
        <w:ind w:left="0" w:firstLine="480" w:firstLineChars="200"/>
        <w:textAlignment w:val="auto"/>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u w:val="single"/>
          <w:lang w:val="en-US" w:eastAsia="zh-CN"/>
        </w:rPr>
        <w:t xml:space="preserve">   </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%计算，最高限额为本合同总价的</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u w:val="single"/>
          <w:lang w:val="en-US" w:eastAsia="zh-CN"/>
        </w:rPr>
        <w:t xml:space="preserve">  </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62B2644F">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7D45D22B">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bookmarkStart w:id="427" w:name="_Toc32454"/>
      <w:bookmarkStart w:id="428" w:name="_Toc26807"/>
      <w:bookmarkStart w:id="429" w:name="_Toc9497"/>
      <w:bookmarkStart w:id="430" w:name="_Toc18683"/>
      <w:bookmarkStart w:id="431" w:name="_Toc30329"/>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789027">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9AFF18">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7202C9D">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427"/>
    <w:bookmarkEnd w:id="428"/>
    <w:bookmarkEnd w:id="429"/>
    <w:bookmarkEnd w:id="430"/>
    <w:bookmarkEnd w:id="431"/>
    <w:p w14:paraId="527D9D64">
      <w:pPr>
        <w:pageBreakBefore w:val="0"/>
        <w:widowControl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1.9合同争议的解决</w:t>
      </w:r>
    </w:p>
    <w:p w14:paraId="4113F914">
      <w:pPr>
        <w:pageBreakBefore w:val="0"/>
        <w:widowControl w:val="0"/>
        <w:kinsoku/>
        <w:wordWrap/>
        <w:overflowPunct/>
        <w:topLinePunct w:val="0"/>
        <w:autoSpaceDE/>
        <w:autoSpaceDN/>
        <w:bidi w:val="0"/>
        <w:snapToGrid/>
        <w:spacing w:line="420" w:lineRule="exact"/>
        <w:ind w:firstLine="240" w:firstLineChars="100"/>
        <w:textAlignment w:val="auto"/>
        <w:rPr>
          <w:rFonts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14:paraId="51340965">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53311342">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07F1138E">
      <w:pPr>
        <w:pageBreakBefore w:val="0"/>
        <w:widowControl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2.0 合同生效</w:t>
      </w:r>
    </w:p>
    <w:p w14:paraId="0485174C">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1BA0EBF8">
      <w:pPr>
        <w:autoSpaceDE w:val="0"/>
        <w:autoSpaceDN w:val="0"/>
        <w:spacing w:line="336" w:lineRule="auto"/>
        <w:rPr>
          <w:rFonts w:ascii="仿宋" w:hAnsi="仿宋" w:eastAsia="仿宋" w:cs="仿宋"/>
          <w:sz w:val="24"/>
          <w:highlight w:val="none"/>
          <w:lang w:val="zh-CN"/>
        </w:rPr>
      </w:pPr>
    </w:p>
    <w:p w14:paraId="5E5C8161">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51DA7072">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2F02A665">
      <w:pPr>
        <w:keepNext w:val="0"/>
        <w:keepLines w:val="0"/>
        <w:pageBreakBefore w:val="0"/>
        <w:widowControl w:val="0"/>
        <w:kinsoku/>
        <w:wordWrap/>
        <w:overflowPunct/>
        <w:topLinePunct w:val="0"/>
        <w:autoSpaceDE w:val="0"/>
        <w:autoSpaceDN w:val="0"/>
        <w:bidi w:val="0"/>
        <w:adjustRightInd w:val="0"/>
        <w:snapToGrid/>
        <w:spacing w:line="336" w:lineRule="auto"/>
        <w:ind w:firstLine="720" w:firstLineChars="300"/>
        <w:textAlignment w:val="auto"/>
        <w:rPr>
          <w:rFonts w:ascii="仿宋" w:hAnsi="仿宋" w:eastAsia="仿宋" w:cs="仿宋"/>
          <w:sz w:val="24"/>
          <w:highlight w:val="none"/>
          <w:lang w:val="zh-CN"/>
        </w:rPr>
      </w:pPr>
    </w:p>
    <w:p w14:paraId="4B0359FE">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7149EB39">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188525FE">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59F165B4">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3495A891">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7B9BF59E">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0DCC40B9">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555D9968">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10707F54">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14:paraId="72595D05">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14:paraId="7BF433EE">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14:paraId="4FEAED33">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1D062AEB">
      <w:pPr>
        <w:widowControl/>
        <w:spacing w:line="336" w:lineRule="auto"/>
        <w:jc w:val="left"/>
        <w:rPr>
          <w:rFonts w:ascii="仿宋" w:hAnsi="仿宋" w:eastAsia="仿宋" w:cs="仿宋"/>
          <w:b/>
          <w:sz w:val="24"/>
          <w:highlight w:val="none"/>
        </w:rPr>
      </w:pPr>
    </w:p>
    <w:p w14:paraId="77F43015">
      <w:pPr>
        <w:widowControl/>
        <w:adjustRightInd/>
        <w:spacing w:line="336" w:lineRule="auto"/>
        <w:jc w:val="left"/>
        <w:rPr>
          <w:rFonts w:ascii="仿宋" w:hAnsi="仿宋" w:eastAsia="仿宋" w:cs="仿宋"/>
          <w:b/>
          <w:sz w:val="24"/>
          <w:highlight w:val="none"/>
        </w:rPr>
      </w:pPr>
      <w:r>
        <w:rPr>
          <w:rFonts w:hint="eastAsia" w:ascii="仿宋" w:hAnsi="仿宋" w:eastAsia="仿宋" w:cs="仿宋"/>
          <w:b/>
          <w:highlight w:val="none"/>
        </w:rPr>
        <w:br w:type="page"/>
      </w:r>
    </w:p>
    <w:p w14:paraId="63F5BAC0">
      <w:pPr>
        <w:pStyle w:val="710"/>
        <w:spacing w:after="0" w:line="336" w:lineRule="auto"/>
        <w:ind w:left="0" w:leftChars="0" w:firstLine="482"/>
        <w:jc w:val="center"/>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14:paraId="6E8996D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32" w:name="_Toc25079"/>
      <w:bookmarkStart w:id="433" w:name="_Toc14021"/>
      <w:bookmarkStart w:id="434" w:name="_Toc5228"/>
      <w:bookmarkStart w:id="435" w:name="_Toc31297"/>
      <w:bookmarkStart w:id="436" w:name="_Toc19680"/>
      <w:r>
        <w:rPr>
          <w:rFonts w:hint="eastAsia" w:ascii="仿宋" w:hAnsi="仿宋" w:eastAsia="仿宋" w:cs="仿宋"/>
          <w:b/>
          <w:sz w:val="24"/>
          <w:highlight w:val="none"/>
        </w:rPr>
        <w:t>2.1 定义</w:t>
      </w:r>
      <w:bookmarkEnd w:id="432"/>
      <w:bookmarkEnd w:id="433"/>
      <w:bookmarkEnd w:id="434"/>
      <w:bookmarkEnd w:id="435"/>
      <w:bookmarkEnd w:id="436"/>
    </w:p>
    <w:p w14:paraId="7CC8B14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6346C93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435BBDC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388A60F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16B5007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53A8119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A6D75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191EFCC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37" w:name="_Toc3769"/>
      <w:bookmarkStart w:id="438" w:name="_Toc16752"/>
      <w:bookmarkStart w:id="439" w:name="_Toc19539"/>
      <w:bookmarkStart w:id="440" w:name="_Toc23289"/>
      <w:bookmarkStart w:id="441" w:name="_Toc31402"/>
      <w:r>
        <w:rPr>
          <w:rFonts w:hint="eastAsia" w:ascii="仿宋" w:hAnsi="仿宋" w:eastAsia="仿宋" w:cs="仿宋"/>
          <w:b/>
          <w:sz w:val="24"/>
          <w:highlight w:val="none"/>
        </w:rPr>
        <w:t>2.2 技术规范</w:t>
      </w:r>
      <w:bookmarkEnd w:id="437"/>
      <w:bookmarkEnd w:id="438"/>
      <w:bookmarkEnd w:id="439"/>
      <w:bookmarkEnd w:id="440"/>
      <w:bookmarkEnd w:id="441"/>
    </w:p>
    <w:p w14:paraId="658845E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BDEBF8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42" w:name="_Toc12412"/>
      <w:bookmarkStart w:id="443" w:name="_Toc13673"/>
      <w:bookmarkStart w:id="444" w:name="_Toc4133"/>
      <w:bookmarkStart w:id="445" w:name="_Toc27945"/>
      <w:bookmarkStart w:id="446" w:name="_Toc9161"/>
      <w:r>
        <w:rPr>
          <w:rFonts w:hint="eastAsia" w:ascii="仿宋" w:hAnsi="仿宋" w:eastAsia="仿宋" w:cs="仿宋"/>
          <w:b/>
          <w:sz w:val="24"/>
          <w:highlight w:val="none"/>
        </w:rPr>
        <w:t>2.3 知识产权</w:t>
      </w:r>
      <w:bookmarkEnd w:id="442"/>
      <w:bookmarkEnd w:id="443"/>
      <w:bookmarkEnd w:id="444"/>
      <w:bookmarkEnd w:id="445"/>
      <w:bookmarkEnd w:id="446"/>
    </w:p>
    <w:p w14:paraId="7F15C7F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B9AA1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AD81E3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2.4 履约检查和问题反馈</w:t>
      </w:r>
    </w:p>
    <w:p w14:paraId="36C4517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72E7F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612CD0F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47" w:name="_Toc31233"/>
      <w:bookmarkStart w:id="448" w:name="_Toc15447"/>
      <w:bookmarkStart w:id="449" w:name="_Toc32670"/>
      <w:bookmarkStart w:id="450" w:name="_Toc26555"/>
      <w:bookmarkStart w:id="451" w:name="_Toc22011"/>
      <w:r>
        <w:rPr>
          <w:rFonts w:hint="eastAsia" w:ascii="仿宋" w:hAnsi="仿宋" w:eastAsia="仿宋" w:cs="仿宋"/>
          <w:b/>
          <w:sz w:val="24"/>
          <w:highlight w:val="none"/>
        </w:rPr>
        <w:t>2.5 结算方式和付款条件</w:t>
      </w:r>
      <w:bookmarkEnd w:id="447"/>
      <w:bookmarkEnd w:id="448"/>
      <w:bookmarkEnd w:id="449"/>
      <w:bookmarkEnd w:id="450"/>
      <w:bookmarkEnd w:id="451"/>
    </w:p>
    <w:p w14:paraId="69C30E6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8AACC6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2" w:name="_Toc16163"/>
      <w:bookmarkStart w:id="453" w:name="_Toc30507"/>
      <w:bookmarkStart w:id="454" w:name="_Toc18990"/>
      <w:bookmarkStart w:id="455" w:name="_Toc13154"/>
      <w:bookmarkStart w:id="456" w:name="_Toc13467"/>
      <w:r>
        <w:rPr>
          <w:rFonts w:hint="eastAsia" w:ascii="仿宋" w:hAnsi="仿宋" w:eastAsia="仿宋" w:cs="仿宋"/>
          <w:b/>
          <w:sz w:val="24"/>
          <w:highlight w:val="none"/>
        </w:rPr>
        <w:t>2.6 技术资料和保密义务</w:t>
      </w:r>
      <w:bookmarkEnd w:id="452"/>
      <w:bookmarkEnd w:id="453"/>
      <w:bookmarkEnd w:id="454"/>
      <w:bookmarkEnd w:id="455"/>
      <w:bookmarkEnd w:id="456"/>
    </w:p>
    <w:p w14:paraId="39FD1E2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4816A89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2D6E4C5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F3995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7" w:name="_Toc19069"/>
      <w:r>
        <w:rPr>
          <w:rFonts w:hint="eastAsia" w:ascii="仿宋" w:hAnsi="仿宋" w:eastAsia="仿宋" w:cs="仿宋"/>
          <w:b/>
          <w:sz w:val="24"/>
          <w:highlight w:val="none"/>
        </w:rPr>
        <w:t>2.7 质量保证</w:t>
      </w:r>
      <w:bookmarkEnd w:id="457"/>
    </w:p>
    <w:p w14:paraId="50D090F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60A84D9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1F4AE2B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8" w:name="_Toc22267"/>
      <w:r>
        <w:rPr>
          <w:rFonts w:hint="eastAsia" w:ascii="仿宋" w:hAnsi="仿宋" w:eastAsia="仿宋" w:cs="仿宋"/>
          <w:b/>
          <w:sz w:val="24"/>
          <w:highlight w:val="none"/>
        </w:rPr>
        <w:t>2.8 延迟履行</w:t>
      </w:r>
      <w:bookmarkEnd w:id="458"/>
    </w:p>
    <w:p w14:paraId="5216D45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757296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9" w:name="_Toc10611"/>
      <w:r>
        <w:rPr>
          <w:rFonts w:hint="eastAsia" w:ascii="仿宋" w:hAnsi="仿宋" w:eastAsia="仿宋" w:cs="仿宋"/>
          <w:b/>
          <w:sz w:val="24"/>
          <w:highlight w:val="none"/>
        </w:rPr>
        <w:t>2.9 合同变更</w:t>
      </w:r>
      <w:bookmarkEnd w:id="459"/>
    </w:p>
    <w:p w14:paraId="075D237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6D7864E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60" w:name="_Toc42"/>
      <w:bookmarkStart w:id="461" w:name="_Toc21830"/>
      <w:bookmarkStart w:id="462" w:name="_Toc23368"/>
      <w:bookmarkStart w:id="463" w:name="_Toc10663"/>
      <w:bookmarkStart w:id="464" w:name="_Toc26689"/>
      <w:r>
        <w:rPr>
          <w:rFonts w:hint="eastAsia" w:ascii="仿宋" w:hAnsi="仿宋" w:eastAsia="仿宋" w:cs="仿宋"/>
          <w:b/>
          <w:sz w:val="24"/>
          <w:highlight w:val="none"/>
        </w:rPr>
        <w:t>2.10 合同转让和分包</w:t>
      </w:r>
      <w:bookmarkEnd w:id="460"/>
      <w:bookmarkEnd w:id="461"/>
      <w:bookmarkEnd w:id="462"/>
      <w:bookmarkEnd w:id="463"/>
      <w:bookmarkEnd w:id="464"/>
    </w:p>
    <w:p w14:paraId="6727149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E2CBB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65" w:name="_Toc4720"/>
      <w:bookmarkStart w:id="466" w:name="_Toc14371"/>
      <w:bookmarkStart w:id="467" w:name="_Toc32494"/>
      <w:bookmarkStart w:id="468" w:name="_Toc25571"/>
      <w:bookmarkStart w:id="469" w:name="_Toc26633"/>
      <w:r>
        <w:rPr>
          <w:rFonts w:hint="eastAsia" w:ascii="仿宋" w:hAnsi="仿宋" w:eastAsia="仿宋" w:cs="仿宋"/>
          <w:b/>
          <w:sz w:val="24"/>
          <w:highlight w:val="none"/>
        </w:rPr>
        <w:t>2.11 不可抗力</w:t>
      </w:r>
      <w:bookmarkEnd w:id="465"/>
      <w:bookmarkEnd w:id="466"/>
      <w:bookmarkEnd w:id="467"/>
      <w:bookmarkEnd w:id="468"/>
      <w:bookmarkEnd w:id="469"/>
    </w:p>
    <w:p w14:paraId="7310AFE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0B5F5EB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696E4D9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1F981C0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0DBB69AA">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70" w:name="_Toc24465"/>
      <w:bookmarkStart w:id="471" w:name="_Toc14115"/>
      <w:bookmarkStart w:id="472" w:name="_Toc25783"/>
      <w:bookmarkStart w:id="473" w:name="_Toc3638"/>
      <w:bookmarkStart w:id="474" w:name="_Toc23854"/>
      <w:r>
        <w:rPr>
          <w:rFonts w:hint="eastAsia" w:ascii="仿宋" w:hAnsi="仿宋" w:eastAsia="仿宋" w:cs="仿宋"/>
          <w:b/>
          <w:sz w:val="24"/>
          <w:highlight w:val="none"/>
        </w:rPr>
        <w:t>2.12 税费</w:t>
      </w:r>
      <w:bookmarkEnd w:id="470"/>
      <w:bookmarkEnd w:id="471"/>
      <w:bookmarkEnd w:id="472"/>
      <w:bookmarkEnd w:id="473"/>
      <w:bookmarkEnd w:id="474"/>
    </w:p>
    <w:p w14:paraId="1DB4DCF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4A6A4550">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75" w:name="_Toc14814"/>
      <w:bookmarkStart w:id="476" w:name="_Toc25525"/>
      <w:bookmarkStart w:id="477" w:name="_Toc30105"/>
      <w:bookmarkStart w:id="478" w:name="_Toc7315"/>
      <w:bookmarkStart w:id="479" w:name="_Toc26883"/>
      <w:r>
        <w:rPr>
          <w:rFonts w:hint="eastAsia" w:ascii="仿宋" w:hAnsi="仿宋" w:eastAsia="仿宋" w:cs="仿宋"/>
          <w:b/>
          <w:sz w:val="24"/>
          <w:highlight w:val="none"/>
        </w:rPr>
        <w:t>2.13 乙方破产</w:t>
      </w:r>
      <w:bookmarkEnd w:id="475"/>
      <w:bookmarkEnd w:id="476"/>
      <w:bookmarkEnd w:id="477"/>
      <w:bookmarkEnd w:id="478"/>
      <w:bookmarkEnd w:id="479"/>
    </w:p>
    <w:p w14:paraId="7FEF9C5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9AC8F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80" w:name="_Toc1123"/>
      <w:bookmarkStart w:id="481" w:name="_Toc2016"/>
      <w:bookmarkStart w:id="482" w:name="_Toc23323"/>
      <w:r>
        <w:rPr>
          <w:rFonts w:hint="eastAsia" w:ascii="仿宋" w:hAnsi="仿宋" w:eastAsia="仿宋" w:cs="仿宋"/>
          <w:b/>
          <w:sz w:val="24"/>
          <w:highlight w:val="none"/>
        </w:rPr>
        <w:t>2.14 合同中止、终止</w:t>
      </w:r>
      <w:bookmarkEnd w:id="480"/>
      <w:bookmarkEnd w:id="481"/>
      <w:bookmarkEnd w:id="482"/>
    </w:p>
    <w:p w14:paraId="3BC4101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7DEE8F3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1EB582B2">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83" w:name="_Toc1969"/>
      <w:bookmarkStart w:id="484" w:name="_Toc17363"/>
      <w:bookmarkStart w:id="485" w:name="_Toc14525"/>
      <w:r>
        <w:rPr>
          <w:rFonts w:hint="eastAsia" w:ascii="仿宋" w:hAnsi="仿宋" w:eastAsia="仿宋" w:cs="仿宋"/>
          <w:b/>
          <w:sz w:val="24"/>
          <w:highlight w:val="none"/>
        </w:rPr>
        <w:t>2.15 检验和验收</w:t>
      </w:r>
      <w:bookmarkEnd w:id="483"/>
      <w:bookmarkEnd w:id="484"/>
      <w:bookmarkEnd w:id="485"/>
    </w:p>
    <w:p w14:paraId="1C32B48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234343B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0F1A7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01AFC4B1">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86" w:name="_Toc12666"/>
      <w:bookmarkStart w:id="487" w:name="_Toc9808"/>
      <w:bookmarkStart w:id="488" w:name="_Toc25198"/>
      <w:bookmarkStart w:id="489" w:name="_Toc31892"/>
      <w:bookmarkStart w:id="490" w:name="_Toc2308"/>
      <w:r>
        <w:rPr>
          <w:rFonts w:hint="eastAsia" w:ascii="仿宋" w:hAnsi="仿宋" w:eastAsia="仿宋" w:cs="仿宋"/>
          <w:b/>
          <w:sz w:val="24"/>
          <w:highlight w:val="none"/>
        </w:rPr>
        <w:t>2.16 通知和送达</w:t>
      </w:r>
      <w:bookmarkEnd w:id="486"/>
      <w:bookmarkEnd w:id="487"/>
      <w:bookmarkEnd w:id="488"/>
      <w:bookmarkEnd w:id="489"/>
      <w:bookmarkEnd w:id="490"/>
    </w:p>
    <w:p w14:paraId="3F17E0E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bookmarkStart w:id="491" w:name="_Toc18401"/>
      <w:bookmarkStart w:id="492" w:name="_Toc27674"/>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7E30636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105BAB1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93" w:name="_Toc28906"/>
      <w:bookmarkStart w:id="494" w:name="_Toc27644"/>
      <w:bookmarkStart w:id="495" w:name="_Toc20808"/>
      <w:bookmarkStart w:id="496" w:name="_Toc5063"/>
      <w:bookmarkStart w:id="497" w:name="_Toc12254"/>
      <w:r>
        <w:rPr>
          <w:rFonts w:hint="eastAsia" w:ascii="仿宋" w:hAnsi="仿宋" w:eastAsia="仿宋" w:cs="仿宋"/>
          <w:b/>
          <w:sz w:val="24"/>
          <w:highlight w:val="none"/>
        </w:rPr>
        <w:t>2.17 合同使用的文字和适用的法律</w:t>
      </w:r>
      <w:bookmarkEnd w:id="493"/>
      <w:bookmarkEnd w:id="494"/>
      <w:bookmarkEnd w:id="495"/>
      <w:bookmarkEnd w:id="496"/>
      <w:bookmarkEnd w:id="497"/>
    </w:p>
    <w:p w14:paraId="5918371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2.17.1 合同使用汉语书就、变更和解释；</w:t>
      </w:r>
    </w:p>
    <w:p w14:paraId="092F974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2.17.2 合同适用中华人民共和国法律。</w:t>
      </w:r>
    </w:p>
    <w:p w14:paraId="708D601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2.18 计量单位</w:t>
      </w:r>
    </w:p>
    <w:p w14:paraId="2307488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6003B89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sz w:val="24"/>
          <w:highlight w:val="none"/>
        </w:rPr>
      </w:pPr>
      <w:bookmarkStart w:id="498" w:name="_Toc18567"/>
      <w:bookmarkStart w:id="499" w:name="_Toc12773"/>
      <w:bookmarkStart w:id="500" w:name="_Toc487900373"/>
      <w:bookmarkStart w:id="501" w:name="_Toc10330"/>
      <w:bookmarkStart w:id="502" w:name="_Toc259093692"/>
      <w:bookmarkStart w:id="503" w:name="_Toc279701263"/>
      <w:r>
        <w:rPr>
          <w:rFonts w:hint="eastAsia" w:ascii="仿宋" w:hAnsi="仿宋" w:eastAsia="仿宋" w:cs="仿宋"/>
          <w:b/>
          <w:sz w:val="24"/>
          <w:highlight w:val="none"/>
        </w:rPr>
        <w:t>2.19 合同使用的文字和适用的法律</w:t>
      </w:r>
      <w:bookmarkEnd w:id="498"/>
      <w:bookmarkEnd w:id="499"/>
      <w:bookmarkEnd w:id="500"/>
      <w:bookmarkEnd w:id="501"/>
      <w:bookmarkEnd w:id="502"/>
      <w:bookmarkEnd w:id="503"/>
    </w:p>
    <w:p w14:paraId="4959D30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2.19.1 合同使用汉语书就、变更和解释；</w:t>
      </w:r>
    </w:p>
    <w:p w14:paraId="17CF755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2.19.2 合同适用中华人民共和国法律。</w:t>
      </w:r>
    </w:p>
    <w:p w14:paraId="2AC8D753">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20</w:t>
      </w:r>
      <w:r>
        <w:rPr>
          <w:rFonts w:hint="eastAsia" w:ascii="仿宋" w:hAnsi="仿宋" w:eastAsia="仿宋" w:cs="仿宋"/>
          <w:b/>
          <w:sz w:val="24"/>
          <w:highlight w:val="none"/>
        </w:rPr>
        <w:t>合同份数</w:t>
      </w:r>
    </w:p>
    <w:p w14:paraId="27D8C50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7C3B329A">
      <w:pPr>
        <w:spacing w:line="336" w:lineRule="auto"/>
        <w:ind w:firstLine="480" w:firstLineChars="200"/>
        <w:jc w:val="center"/>
        <w:outlineLvl w:val="0"/>
        <w:rPr>
          <w:rFonts w:hint="eastAsia" w:ascii="仿宋_GB2312" w:hAnsi="仿宋" w:eastAsia="仿宋_GB2312" w:cs="Times New Roman"/>
          <w:b/>
          <w:kern w:val="2"/>
          <w:sz w:val="24"/>
          <w:szCs w:val="24"/>
          <w:highlight w:val="none"/>
          <w:lang w:val="en-US" w:eastAsia="zh-CN" w:bidi="ar-SA"/>
        </w:rPr>
      </w:pPr>
      <w:r>
        <w:rPr>
          <w:rFonts w:hint="eastAsia" w:ascii="仿宋" w:hAnsi="仿宋" w:eastAsia="仿宋" w:cs="仿宋"/>
          <w:sz w:val="24"/>
          <w:highlight w:val="none"/>
        </w:rPr>
        <w:br w:type="page"/>
      </w:r>
      <w:r>
        <w:rPr>
          <w:rFonts w:hint="eastAsia" w:ascii="仿宋" w:hAnsi="仿宋" w:eastAsia="仿宋" w:cs="仿宋"/>
          <w:b/>
          <w:sz w:val="24"/>
          <w:highlight w:val="none"/>
        </w:rPr>
        <w:t xml:space="preserve"> </w:t>
      </w:r>
      <w:r>
        <w:rPr>
          <w:rFonts w:hint="eastAsia" w:ascii="仿宋_GB2312" w:hAnsi="仿宋" w:eastAsia="仿宋_GB2312" w:cs="Times New Roman"/>
          <w:b/>
          <w:kern w:val="2"/>
          <w:sz w:val="24"/>
          <w:szCs w:val="24"/>
          <w:highlight w:val="none"/>
          <w:lang w:val="en-US" w:eastAsia="zh-CN" w:bidi="ar-SA"/>
        </w:rPr>
        <w:t>第三部分  合同专用条款</w:t>
      </w:r>
    </w:p>
    <w:p w14:paraId="1EFDFFE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0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5"/>
        <w:gridCol w:w="8049"/>
      </w:tblGrid>
      <w:tr w14:paraId="5008A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965" w:type="dxa"/>
            <w:tcBorders>
              <w:left w:val="single" w:color="auto" w:sz="4" w:space="0"/>
            </w:tcBorders>
            <w:vAlign w:val="center"/>
          </w:tcPr>
          <w:p w14:paraId="2D3B924E">
            <w:pPr>
              <w:spacing w:line="336" w:lineRule="auto"/>
              <w:jc w:val="center"/>
              <w:rPr>
                <w:rFonts w:ascii="仿宋" w:hAnsi="仿宋" w:eastAsia="仿宋" w:cs="仿宋"/>
                <w:b/>
                <w:sz w:val="24"/>
                <w:highlight w:val="none"/>
              </w:rPr>
            </w:pPr>
            <w:r>
              <w:rPr>
                <w:rFonts w:hint="eastAsia" w:ascii="仿宋" w:hAnsi="仿宋" w:eastAsia="仿宋" w:cs="仿宋"/>
                <w:b/>
                <w:sz w:val="24"/>
                <w:highlight w:val="none"/>
              </w:rPr>
              <w:t>条款号</w:t>
            </w:r>
          </w:p>
        </w:tc>
        <w:tc>
          <w:tcPr>
            <w:tcW w:w="8049" w:type="dxa"/>
            <w:vAlign w:val="center"/>
          </w:tcPr>
          <w:p w14:paraId="38A07C65">
            <w:pPr>
              <w:spacing w:line="336" w:lineRule="auto"/>
              <w:jc w:val="center"/>
              <w:rPr>
                <w:rFonts w:ascii="仿宋" w:hAnsi="仿宋" w:eastAsia="仿宋" w:cs="仿宋"/>
                <w:b/>
                <w:sz w:val="24"/>
                <w:highlight w:val="none"/>
              </w:rPr>
            </w:pPr>
            <w:r>
              <w:rPr>
                <w:rFonts w:hint="eastAsia" w:ascii="仿宋" w:hAnsi="仿宋" w:eastAsia="仿宋" w:cs="仿宋"/>
                <w:b/>
                <w:sz w:val="24"/>
                <w:highlight w:val="none"/>
              </w:rPr>
              <w:t>约定内容</w:t>
            </w:r>
          </w:p>
        </w:tc>
      </w:tr>
      <w:tr w14:paraId="06C16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692D0E82">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1.3.2</w:t>
            </w:r>
          </w:p>
        </w:tc>
        <w:tc>
          <w:tcPr>
            <w:tcW w:w="8049" w:type="dxa"/>
            <w:vAlign w:val="center"/>
          </w:tcPr>
          <w:p w14:paraId="45B7E613">
            <w:pPr>
              <w:spacing w:line="336" w:lineRule="auto"/>
              <w:jc w:val="center"/>
              <w:rPr>
                <w:rFonts w:ascii="仿宋" w:hAnsi="仿宋" w:eastAsia="仿宋" w:cs="仿宋"/>
                <w:sz w:val="24"/>
                <w:highlight w:val="none"/>
              </w:rPr>
            </w:pPr>
          </w:p>
        </w:tc>
      </w:tr>
      <w:tr w14:paraId="6D9FA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21F7AFC4">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1.4.2</w:t>
            </w:r>
          </w:p>
        </w:tc>
        <w:tc>
          <w:tcPr>
            <w:tcW w:w="8049" w:type="dxa"/>
            <w:vAlign w:val="center"/>
          </w:tcPr>
          <w:p w14:paraId="6396FD8C">
            <w:pPr>
              <w:spacing w:line="336" w:lineRule="auto"/>
              <w:jc w:val="center"/>
              <w:rPr>
                <w:rFonts w:ascii="仿宋" w:hAnsi="仿宋" w:eastAsia="仿宋" w:cs="仿宋"/>
                <w:sz w:val="24"/>
                <w:highlight w:val="none"/>
              </w:rPr>
            </w:pPr>
          </w:p>
        </w:tc>
      </w:tr>
      <w:tr w14:paraId="7FE3E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237ABDEE">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1.5.1</w:t>
            </w:r>
          </w:p>
        </w:tc>
        <w:tc>
          <w:tcPr>
            <w:tcW w:w="8049" w:type="dxa"/>
            <w:vAlign w:val="center"/>
          </w:tcPr>
          <w:p w14:paraId="70C90E2A">
            <w:pPr>
              <w:spacing w:line="336" w:lineRule="auto"/>
              <w:jc w:val="center"/>
              <w:rPr>
                <w:rFonts w:ascii="仿宋" w:hAnsi="仿宋" w:eastAsia="仿宋" w:cs="仿宋"/>
                <w:sz w:val="24"/>
                <w:highlight w:val="none"/>
              </w:rPr>
            </w:pPr>
          </w:p>
        </w:tc>
      </w:tr>
      <w:tr w14:paraId="7EABB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7B16B2DE">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1.5.2</w:t>
            </w:r>
          </w:p>
        </w:tc>
        <w:tc>
          <w:tcPr>
            <w:tcW w:w="8049" w:type="dxa"/>
            <w:vAlign w:val="center"/>
          </w:tcPr>
          <w:p w14:paraId="05877375">
            <w:pPr>
              <w:spacing w:line="336" w:lineRule="auto"/>
              <w:jc w:val="center"/>
              <w:rPr>
                <w:rFonts w:ascii="仿宋" w:hAnsi="仿宋" w:eastAsia="仿宋" w:cs="仿宋"/>
                <w:sz w:val="24"/>
                <w:highlight w:val="none"/>
              </w:rPr>
            </w:pPr>
          </w:p>
        </w:tc>
      </w:tr>
      <w:tr w14:paraId="1D577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430064D1">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1.5.3</w:t>
            </w:r>
          </w:p>
        </w:tc>
        <w:tc>
          <w:tcPr>
            <w:tcW w:w="8049" w:type="dxa"/>
            <w:vAlign w:val="center"/>
          </w:tcPr>
          <w:p w14:paraId="2A889CBA">
            <w:pPr>
              <w:spacing w:line="336" w:lineRule="auto"/>
              <w:jc w:val="center"/>
              <w:rPr>
                <w:rFonts w:ascii="仿宋" w:hAnsi="仿宋" w:eastAsia="仿宋" w:cs="仿宋"/>
                <w:sz w:val="24"/>
                <w:highlight w:val="none"/>
              </w:rPr>
            </w:pPr>
          </w:p>
        </w:tc>
      </w:tr>
      <w:tr w14:paraId="22906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1982AE9F">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1.6.2</w:t>
            </w:r>
          </w:p>
        </w:tc>
        <w:tc>
          <w:tcPr>
            <w:tcW w:w="8049" w:type="dxa"/>
            <w:vAlign w:val="center"/>
          </w:tcPr>
          <w:p w14:paraId="6B081918">
            <w:pPr>
              <w:spacing w:line="336" w:lineRule="auto"/>
              <w:jc w:val="center"/>
              <w:rPr>
                <w:rFonts w:ascii="仿宋" w:hAnsi="仿宋" w:eastAsia="仿宋" w:cs="仿宋"/>
                <w:sz w:val="24"/>
                <w:highlight w:val="none"/>
              </w:rPr>
            </w:pPr>
          </w:p>
        </w:tc>
      </w:tr>
      <w:tr w14:paraId="2A34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489C06E9">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1.7.1</w:t>
            </w:r>
          </w:p>
        </w:tc>
        <w:tc>
          <w:tcPr>
            <w:tcW w:w="8049" w:type="dxa"/>
            <w:vAlign w:val="center"/>
          </w:tcPr>
          <w:p w14:paraId="54CC7F01">
            <w:pPr>
              <w:spacing w:line="336" w:lineRule="auto"/>
              <w:jc w:val="center"/>
              <w:rPr>
                <w:rFonts w:ascii="仿宋" w:hAnsi="仿宋" w:eastAsia="仿宋" w:cs="仿宋"/>
                <w:sz w:val="24"/>
                <w:highlight w:val="none"/>
              </w:rPr>
            </w:pPr>
          </w:p>
        </w:tc>
      </w:tr>
      <w:tr w14:paraId="2483D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23E9DB38">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1.7.2</w:t>
            </w:r>
          </w:p>
        </w:tc>
        <w:tc>
          <w:tcPr>
            <w:tcW w:w="8049" w:type="dxa"/>
            <w:vAlign w:val="center"/>
          </w:tcPr>
          <w:p w14:paraId="3008EF85">
            <w:pPr>
              <w:spacing w:line="336" w:lineRule="auto"/>
              <w:jc w:val="center"/>
              <w:rPr>
                <w:rFonts w:ascii="仿宋" w:hAnsi="仿宋" w:eastAsia="仿宋" w:cs="仿宋"/>
                <w:sz w:val="24"/>
                <w:highlight w:val="none"/>
              </w:rPr>
            </w:pPr>
          </w:p>
        </w:tc>
      </w:tr>
      <w:tr w14:paraId="62915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70C9A149">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1.7.3</w:t>
            </w:r>
          </w:p>
        </w:tc>
        <w:tc>
          <w:tcPr>
            <w:tcW w:w="8049" w:type="dxa"/>
            <w:vAlign w:val="center"/>
          </w:tcPr>
          <w:p w14:paraId="7BEA334D">
            <w:pPr>
              <w:spacing w:line="336" w:lineRule="auto"/>
              <w:jc w:val="center"/>
              <w:rPr>
                <w:rFonts w:ascii="仿宋" w:hAnsi="仿宋" w:eastAsia="仿宋" w:cs="仿宋"/>
                <w:sz w:val="24"/>
                <w:highlight w:val="none"/>
              </w:rPr>
            </w:pPr>
          </w:p>
        </w:tc>
      </w:tr>
      <w:tr w14:paraId="28545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32A03BE2">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1.7.4.1</w:t>
            </w:r>
          </w:p>
        </w:tc>
        <w:tc>
          <w:tcPr>
            <w:tcW w:w="8049" w:type="dxa"/>
            <w:vAlign w:val="center"/>
          </w:tcPr>
          <w:p w14:paraId="4E55FE65">
            <w:pPr>
              <w:spacing w:line="336" w:lineRule="auto"/>
              <w:jc w:val="center"/>
              <w:rPr>
                <w:rFonts w:ascii="仿宋" w:hAnsi="仿宋" w:eastAsia="仿宋" w:cs="仿宋"/>
                <w:sz w:val="24"/>
                <w:highlight w:val="none"/>
              </w:rPr>
            </w:pPr>
          </w:p>
        </w:tc>
      </w:tr>
      <w:tr w14:paraId="07B94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4E626DDA">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1.7.4.2</w:t>
            </w:r>
          </w:p>
        </w:tc>
        <w:tc>
          <w:tcPr>
            <w:tcW w:w="8049" w:type="dxa"/>
            <w:vAlign w:val="center"/>
          </w:tcPr>
          <w:p w14:paraId="41AB5F30">
            <w:pPr>
              <w:spacing w:line="336" w:lineRule="auto"/>
              <w:jc w:val="center"/>
              <w:rPr>
                <w:rFonts w:ascii="仿宋" w:hAnsi="仿宋" w:eastAsia="仿宋" w:cs="仿宋"/>
                <w:sz w:val="24"/>
                <w:highlight w:val="none"/>
              </w:rPr>
            </w:pPr>
          </w:p>
        </w:tc>
      </w:tr>
      <w:tr w14:paraId="18B3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76A2E882">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1.7.4.3</w:t>
            </w:r>
          </w:p>
        </w:tc>
        <w:tc>
          <w:tcPr>
            <w:tcW w:w="8049" w:type="dxa"/>
            <w:vAlign w:val="center"/>
          </w:tcPr>
          <w:p w14:paraId="33CF40D5">
            <w:pPr>
              <w:spacing w:line="336" w:lineRule="auto"/>
              <w:jc w:val="center"/>
              <w:rPr>
                <w:rFonts w:ascii="仿宋" w:hAnsi="仿宋" w:eastAsia="仿宋" w:cs="仿宋"/>
                <w:sz w:val="24"/>
                <w:highlight w:val="none"/>
              </w:rPr>
            </w:pPr>
          </w:p>
        </w:tc>
      </w:tr>
      <w:tr w14:paraId="5449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3ACA5604">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1.8.7</w:t>
            </w:r>
          </w:p>
        </w:tc>
        <w:tc>
          <w:tcPr>
            <w:tcW w:w="8049" w:type="dxa"/>
            <w:vAlign w:val="center"/>
          </w:tcPr>
          <w:p w14:paraId="7CA4AFE5">
            <w:pPr>
              <w:spacing w:line="336" w:lineRule="auto"/>
              <w:jc w:val="center"/>
              <w:rPr>
                <w:rFonts w:ascii="仿宋" w:hAnsi="仿宋" w:eastAsia="仿宋" w:cs="仿宋"/>
                <w:sz w:val="24"/>
                <w:highlight w:val="none"/>
              </w:rPr>
            </w:pPr>
          </w:p>
        </w:tc>
      </w:tr>
      <w:tr w14:paraId="1D82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54BCC7F1">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1.9.1</w:t>
            </w:r>
          </w:p>
        </w:tc>
        <w:tc>
          <w:tcPr>
            <w:tcW w:w="8049" w:type="dxa"/>
            <w:vAlign w:val="center"/>
          </w:tcPr>
          <w:p w14:paraId="692BB520">
            <w:pPr>
              <w:spacing w:line="336" w:lineRule="auto"/>
              <w:jc w:val="center"/>
              <w:rPr>
                <w:rFonts w:ascii="仿宋" w:hAnsi="仿宋" w:eastAsia="仿宋" w:cs="仿宋"/>
                <w:sz w:val="24"/>
                <w:highlight w:val="none"/>
              </w:rPr>
            </w:pPr>
          </w:p>
        </w:tc>
      </w:tr>
      <w:tr w14:paraId="5283F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37A506AD">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1.9.2</w:t>
            </w:r>
          </w:p>
        </w:tc>
        <w:tc>
          <w:tcPr>
            <w:tcW w:w="8049" w:type="dxa"/>
            <w:vAlign w:val="center"/>
          </w:tcPr>
          <w:p w14:paraId="44B2359B">
            <w:pPr>
              <w:spacing w:line="336" w:lineRule="auto"/>
              <w:jc w:val="center"/>
              <w:rPr>
                <w:rFonts w:ascii="仿宋" w:hAnsi="仿宋" w:eastAsia="仿宋" w:cs="仿宋"/>
                <w:sz w:val="24"/>
                <w:highlight w:val="none"/>
              </w:rPr>
            </w:pPr>
          </w:p>
        </w:tc>
      </w:tr>
      <w:tr w14:paraId="25F21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71DBF0E0">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2.3.2</w:t>
            </w:r>
          </w:p>
        </w:tc>
        <w:tc>
          <w:tcPr>
            <w:tcW w:w="8049" w:type="dxa"/>
            <w:vAlign w:val="center"/>
          </w:tcPr>
          <w:p w14:paraId="18C5FCFE">
            <w:pPr>
              <w:spacing w:line="336" w:lineRule="auto"/>
              <w:ind w:firstLine="480" w:firstLineChars="200"/>
              <w:jc w:val="center"/>
              <w:rPr>
                <w:rFonts w:ascii="仿宋" w:hAnsi="仿宋" w:eastAsia="仿宋" w:cs="仿宋"/>
                <w:sz w:val="24"/>
                <w:highlight w:val="none"/>
              </w:rPr>
            </w:pPr>
          </w:p>
        </w:tc>
      </w:tr>
      <w:tr w14:paraId="1D8D4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5C9BA560">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2.5</w:t>
            </w:r>
          </w:p>
        </w:tc>
        <w:tc>
          <w:tcPr>
            <w:tcW w:w="8049" w:type="dxa"/>
            <w:vAlign w:val="center"/>
          </w:tcPr>
          <w:p w14:paraId="7BE29389">
            <w:pPr>
              <w:spacing w:line="336" w:lineRule="auto"/>
              <w:ind w:firstLine="480" w:firstLineChars="200"/>
              <w:jc w:val="center"/>
              <w:rPr>
                <w:rFonts w:ascii="仿宋" w:hAnsi="仿宋" w:eastAsia="仿宋" w:cs="仿宋"/>
                <w:sz w:val="24"/>
                <w:highlight w:val="none"/>
              </w:rPr>
            </w:pPr>
          </w:p>
        </w:tc>
      </w:tr>
      <w:tr w14:paraId="0F2B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5487C45A">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2.11.3</w:t>
            </w:r>
          </w:p>
        </w:tc>
        <w:tc>
          <w:tcPr>
            <w:tcW w:w="8049" w:type="dxa"/>
            <w:vAlign w:val="center"/>
          </w:tcPr>
          <w:p w14:paraId="3AD92258">
            <w:pPr>
              <w:spacing w:line="336" w:lineRule="auto"/>
              <w:jc w:val="center"/>
              <w:rPr>
                <w:rFonts w:ascii="仿宋" w:hAnsi="仿宋" w:eastAsia="仿宋" w:cs="仿宋"/>
                <w:sz w:val="24"/>
                <w:highlight w:val="none"/>
              </w:rPr>
            </w:pPr>
          </w:p>
        </w:tc>
      </w:tr>
      <w:tr w14:paraId="24DA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6722E943">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2.11.4</w:t>
            </w:r>
          </w:p>
        </w:tc>
        <w:tc>
          <w:tcPr>
            <w:tcW w:w="8049" w:type="dxa"/>
            <w:vAlign w:val="center"/>
          </w:tcPr>
          <w:p w14:paraId="37DBE9D7">
            <w:pPr>
              <w:spacing w:line="336" w:lineRule="auto"/>
              <w:jc w:val="center"/>
              <w:rPr>
                <w:rFonts w:ascii="仿宋" w:hAnsi="仿宋" w:eastAsia="仿宋" w:cs="仿宋"/>
                <w:sz w:val="24"/>
                <w:highlight w:val="none"/>
              </w:rPr>
            </w:pPr>
          </w:p>
        </w:tc>
      </w:tr>
      <w:tr w14:paraId="0BB2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382DFCD1">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2.15.1</w:t>
            </w:r>
          </w:p>
        </w:tc>
        <w:tc>
          <w:tcPr>
            <w:tcW w:w="8049" w:type="dxa"/>
            <w:vAlign w:val="center"/>
          </w:tcPr>
          <w:p w14:paraId="788B993B">
            <w:pPr>
              <w:spacing w:line="336" w:lineRule="auto"/>
              <w:jc w:val="center"/>
              <w:rPr>
                <w:rFonts w:ascii="仿宋" w:hAnsi="仿宋" w:eastAsia="仿宋" w:cs="仿宋"/>
                <w:sz w:val="24"/>
                <w:highlight w:val="none"/>
              </w:rPr>
            </w:pPr>
          </w:p>
        </w:tc>
      </w:tr>
      <w:tr w14:paraId="4B0B9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09BE255E">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2.15.3</w:t>
            </w:r>
          </w:p>
        </w:tc>
        <w:tc>
          <w:tcPr>
            <w:tcW w:w="8049" w:type="dxa"/>
            <w:vAlign w:val="center"/>
          </w:tcPr>
          <w:p w14:paraId="04D27D96">
            <w:pPr>
              <w:spacing w:line="336" w:lineRule="auto"/>
              <w:jc w:val="center"/>
              <w:rPr>
                <w:rFonts w:ascii="仿宋" w:hAnsi="仿宋" w:eastAsia="仿宋" w:cs="仿宋"/>
                <w:sz w:val="24"/>
                <w:highlight w:val="none"/>
              </w:rPr>
            </w:pPr>
          </w:p>
        </w:tc>
      </w:tr>
    </w:tbl>
    <w:p w14:paraId="2006DF8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533C746">
      <w:pPr>
        <w:autoSpaceDE w:val="0"/>
        <w:autoSpaceDN w:val="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第六部分</w:t>
      </w:r>
      <w:bookmarkEnd w:id="392"/>
      <w:r>
        <w:rPr>
          <w:rFonts w:hint="eastAsia" w:ascii="仿宋" w:hAnsi="仿宋" w:eastAsia="仿宋" w:cs="仿宋"/>
          <w:b/>
          <w:color w:val="auto"/>
          <w:kern w:val="0"/>
          <w:sz w:val="36"/>
          <w:szCs w:val="36"/>
          <w:highlight w:val="none"/>
        </w:rPr>
        <w:t xml:space="preserve"> </w:t>
      </w:r>
      <w:bookmarkEnd w:id="393"/>
      <w:r>
        <w:rPr>
          <w:rFonts w:hint="eastAsia" w:ascii="仿宋" w:hAnsi="仿宋" w:eastAsia="仿宋" w:cs="仿宋"/>
          <w:b/>
          <w:color w:val="auto"/>
          <w:kern w:val="0"/>
          <w:sz w:val="36"/>
          <w:szCs w:val="36"/>
          <w:highlight w:val="none"/>
        </w:rPr>
        <w:t>应提交的有关格式范例</w:t>
      </w:r>
    </w:p>
    <w:p w14:paraId="7BA9F579">
      <w:pPr>
        <w:spacing w:line="360" w:lineRule="auto"/>
        <w:jc w:val="center"/>
        <w:outlineLvl w:val="0"/>
        <w:rPr>
          <w:rFonts w:hint="eastAsia" w:ascii="仿宋" w:hAnsi="仿宋" w:eastAsia="仿宋" w:cs="仿宋"/>
          <w:b/>
          <w:kern w:val="0"/>
          <w:sz w:val="36"/>
          <w:szCs w:val="36"/>
          <w:highlight w:val="none"/>
        </w:rPr>
      </w:pPr>
    </w:p>
    <w:p w14:paraId="55744D7E">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2E635F1">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0B76F7D">
      <w:pPr>
        <w:snapToGrid w:val="0"/>
        <w:spacing w:line="360" w:lineRule="auto"/>
        <w:rPr>
          <w:rFonts w:hint="eastAsia" w:ascii="仿宋" w:hAnsi="仿宋" w:eastAsia="仿宋" w:cs="仿宋"/>
          <w:sz w:val="24"/>
          <w:highlight w:val="none"/>
        </w:rPr>
      </w:pPr>
    </w:p>
    <w:p w14:paraId="2D9F32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（1）营业执照或事业法人证书复印件（加盖单位公章）…………………（页码）</w:t>
      </w:r>
    </w:p>
    <w:p w14:paraId="1828722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）符合参加政府采购活动应当具备的一般条件的承诺函………………（页码）</w:t>
      </w:r>
    </w:p>
    <w:p w14:paraId="7165F8C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）落实政府采购政策需满足的资格要求（如需）………………………（页码）</w:t>
      </w:r>
    </w:p>
    <w:p w14:paraId="65E72C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）本项目的特定资格要求（如需）………………………………………（页码）</w:t>
      </w:r>
    </w:p>
    <w:p w14:paraId="3992C184">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一、营业执照或事业法人证书复印件</w:t>
      </w:r>
    </w:p>
    <w:p w14:paraId="66658A04">
      <w:pPr>
        <w:snapToGrid w:val="0"/>
        <w:spacing w:line="360" w:lineRule="auto"/>
        <w:ind w:right="480"/>
        <w:jc w:val="center"/>
        <w:rPr>
          <w:rFonts w:hint="eastAsia" w:ascii="仿宋" w:hAnsi="仿宋" w:eastAsia="仿宋" w:cs="仿宋"/>
          <w:b/>
          <w:kern w:val="0"/>
          <w:sz w:val="32"/>
          <w:szCs w:val="32"/>
          <w:highlight w:val="none"/>
        </w:rPr>
        <w:sectPr>
          <w:headerReference r:id="rId13" w:type="first"/>
          <w:footerReference r:id="rId15" w:type="first"/>
          <w:headerReference r:id="rId12" w:type="default"/>
          <w:footerReference r:id="rId14"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4980CB7">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符合参加政府采购活动应当具备的一般条件的</w:t>
      </w:r>
      <w:r>
        <w:rPr>
          <w:rFonts w:hint="eastAsia" w:ascii="仿宋" w:hAnsi="仿宋" w:eastAsia="仿宋" w:cs="仿宋"/>
          <w:b/>
          <w:kern w:val="0"/>
          <w:sz w:val="32"/>
          <w:szCs w:val="32"/>
          <w:highlight w:val="none"/>
          <w:lang w:eastAsia="zh-CN"/>
        </w:rPr>
        <w:t>承诺</w:t>
      </w:r>
      <w:r>
        <w:rPr>
          <w:rFonts w:hint="eastAsia" w:ascii="仿宋" w:hAnsi="仿宋" w:eastAsia="仿宋" w:cs="仿宋"/>
          <w:b/>
          <w:kern w:val="0"/>
          <w:sz w:val="32"/>
          <w:szCs w:val="32"/>
          <w:highlight w:val="none"/>
        </w:rPr>
        <w:t>函</w:t>
      </w:r>
    </w:p>
    <w:p w14:paraId="2508C1D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0725579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14:paraId="4BA79E3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具备《中华人民共和国政府采购法》第二十二条规定的以下条件：</w:t>
      </w:r>
    </w:p>
    <w:p w14:paraId="31CBD3C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61AB54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5EB4112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A59755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1A798E3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5、我方</w:t>
      </w:r>
      <w:r>
        <w:rPr>
          <w:rFonts w:hint="eastAsia" w:ascii="仿宋" w:hAnsi="仿宋" w:eastAsia="仿宋" w:cs="仿宋"/>
          <w:sz w:val="24"/>
          <w:highlight w:val="none"/>
          <w:lang w:val="en-US" w:eastAsia="zh-CN"/>
        </w:rPr>
        <w:t>在</w:t>
      </w:r>
      <w:r>
        <w:rPr>
          <w:rFonts w:hint="eastAsia" w:ascii="仿宋" w:hAnsi="仿宋" w:eastAsia="仿宋" w:cs="仿宋"/>
          <w:sz w:val="24"/>
          <w:highlight w:val="none"/>
        </w:rPr>
        <w:t>参加</w:t>
      </w:r>
      <w:r>
        <w:rPr>
          <w:rFonts w:hint="eastAsia" w:ascii="仿宋" w:hAnsi="仿宋" w:eastAsia="仿宋" w:cs="仿宋"/>
          <w:sz w:val="24"/>
          <w:highlight w:val="none"/>
          <w:lang w:val="en-US" w:eastAsia="zh-CN"/>
        </w:rPr>
        <w:t>本次</w:t>
      </w:r>
      <w:r>
        <w:rPr>
          <w:rFonts w:hint="eastAsia" w:ascii="仿宋" w:hAnsi="仿宋" w:eastAsia="仿宋" w:cs="仿宋"/>
          <w:sz w:val="24"/>
          <w:highlight w:val="none"/>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4B23C6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15EA377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未被</w:t>
      </w:r>
      <w:r>
        <w:rPr>
          <w:rFonts w:hint="eastAsia" w:ascii="仿宋" w:hAnsi="仿宋" w:eastAsia="仿宋" w:cs="仿宋"/>
          <w:sz w:val="24"/>
          <w:highlight w:val="none"/>
          <w:lang w:eastAsia="zh-CN"/>
        </w:rPr>
        <w:t>“</w:t>
      </w:r>
      <w:r>
        <w:rPr>
          <w:rFonts w:hint="eastAsia" w:ascii="仿宋" w:hAnsi="仿宋" w:eastAsia="仿宋" w:cs="仿宋"/>
          <w:sz w:val="24"/>
          <w:highlight w:val="none"/>
        </w:rPr>
        <w:t>信用中国</w:t>
      </w:r>
      <w:r>
        <w:rPr>
          <w:rFonts w:hint="eastAsia" w:ascii="仿宋" w:hAnsi="仿宋" w:eastAsia="仿宋" w:cs="仿宋"/>
          <w:sz w:val="24"/>
          <w:highlight w:val="none"/>
          <w:lang w:eastAsia="zh-CN"/>
        </w:rPr>
        <w:t>”</w:t>
      </w:r>
      <w:r>
        <w:rPr>
          <w:rFonts w:hint="eastAsia" w:ascii="仿宋" w:hAnsi="仿宋" w:eastAsia="仿宋" w:cs="仿宋"/>
          <w:sz w:val="24"/>
          <w:highlight w:val="none"/>
        </w:rPr>
        <w:t>（www.creditchina.gov.cn)、中国政府采购网（www.ccgp.gov.cn）列入失信被执行人、重大税收违法案件当事人名单、政府采购严重违法失信行为记录名单。</w:t>
      </w:r>
    </w:p>
    <w:p w14:paraId="6DDAC25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5CD266B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6F8E15C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5CBBCD8C">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我方对上述承诺的所有内容的真实性负责。如有虚假，将依法承担相应责任，我方对此无任何异议。</w:t>
      </w:r>
    </w:p>
    <w:p w14:paraId="52A33712">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特此承诺！</w:t>
      </w:r>
    </w:p>
    <w:p w14:paraId="125C2671">
      <w:pPr>
        <w:pStyle w:val="5"/>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highlight w:val="none"/>
          <w:lang w:val="en-US"/>
        </w:rPr>
      </w:pPr>
    </w:p>
    <w:p w14:paraId="022162E2">
      <w:pPr>
        <w:rPr>
          <w:rFonts w:hint="eastAsia" w:ascii="仿宋" w:hAnsi="仿宋" w:eastAsia="仿宋" w:cs="仿宋"/>
          <w:highlight w:val="none"/>
        </w:rPr>
      </w:pPr>
    </w:p>
    <w:p w14:paraId="12F861B5">
      <w:pPr>
        <w:snapToGrid w:val="0"/>
        <w:spacing w:line="360" w:lineRule="auto"/>
        <w:ind w:firstLine="5280" w:firstLineChars="2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zh-CN"/>
        </w:rPr>
        <w:t>磋商供应商名称（电子签名）：</w:t>
      </w:r>
      <w:r>
        <w:rPr>
          <w:rFonts w:hint="eastAsia" w:ascii="仿宋" w:hAnsi="仿宋" w:eastAsia="仿宋" w:cs="仿宋"/>
          <w:kern w:val="0"/>
          <w:sz w:val="24"/>
          <w:highlight w:val="none"/>
          <w:lang w:val="en-US" w:eastAsia="zh-CN"/>
        </w:rPr>
        <w:t xml:space="preserve"> </w:t>
      </w:r>
    </w:p>
    <w:p w14:paraId="5F79AD8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FAAF72A">
      <w:pPr>
        <w:snapToGrid w:val="0"/>
        <w:spacing w:line="360" w:lineRule="auto"/>
        <w:ind w:right="480"/>
        <w:jc w:val="center"/>
        <w:rPr>
          <w:rFonts w:hint="eastAsia" w:ascii="仿宋" w:hAnsi="仿宋" w:eastAsia="仿宋" w:cs="仿宋"/>
          <w:b/>
          <w:kern w:val="0"/>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1350DAB">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16F7A03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1A9C1DBE">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E11CA40">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59021DF">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14:paraId="281FBC4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投标。</w:t>
      </w:r>
    </w:p>
    <w:p w14:paraId="087727D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710EC80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7AA4CC8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0A7B310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633C4EF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6DF8C28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5C9FB5A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1752C09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37BB146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2A10EAB6">
      <w:pPr>
        <w:snapToGrid w:val="0"/>
        <w:spacing w:line="360" w:lineRule="auto"/>
        <w:ind w:firstLine="4800" w:firstLine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E0057CD">
      <w:pPr>
        <w:snapToGrid w:val="0"/>
        <w:spacing w:line="360" w:lineRule="auto"/>
        <w:ind w:firstLine="4800" w:firstLine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50C5F28">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C87874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BDA46E3">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6B7E447C">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highlight w:val="none"/>
        </w:rPr>
      </w:pPr>
    </w:p>
    <w:p w14:paraId="1E9A1CCD">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5F6583D0">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372431D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73C46034">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789E3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0D3521D">
      <w:pPr>
        <w:pStyle w:val="5"/>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highlight w:val="none"/>
        </w:rPr>
      </w:pPr>
      <w:r>
        <w:rPr>
          <w:rFonts w:hint="eastAsia" w:ascii="仿宋" w:hAnsi="仿宋" w:eastAsia="仿宋" w:cs="仿宋"/>
          <w:kern w:val="0"/>
          <w:sz w:val="24"/>
          <w:szCs w:val="24"/>
          <w:highlight w:val="none"/>
        </w:rPr>
        <w:t>……</w:t>
      </w:r>
    </w:p>
    <w:p w14:paraId="6B21E73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3EC962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E7FCD8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475A1DE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78D7C55">
      <w:pPr>
        <w:pageBreakBefore w:val="0"/>
        <w:widowControl w:val="0"/>
        <w:numPr>
          <w:ilvl w:val="0"/>
          <w:numId w:val="10"/>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价款或者报酬</w:t>
      </w:r>
    </w:p>
    <w:p w14:paraId="5CAB67DD">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77780CC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6ACC18EE">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6FF3D8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13BD07D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04DECE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21C29BC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中小企业合同金额达到  %，小微企业合同金额达到 %  。                                           </w:t>
      </w:r>
    </w:p>
    <w:p w14:paraId="40B4C970">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highlight w:val="none"/>
          <w:lang w:val="zh-CN"/>
        </w:rPr>
      </w:pPr>
    </w:p>
    <w:p w14:paraId="2A7F844B">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磋商供应商名称（电子签名）</w:t>
      </w:r>
      <w:r>
        <w:rPr>
          <w:rFonts w:hint="eastAsia" w:ascii="仿宋" w:hAnsi="仿宋" w:eastAsia="仿宋" w:cs="仿宋"/>
          <w:kern w:val="0"/>
          <w:sz w:val="24"/>
          <w:highlight w:val="none"/>
          <w:lang w:val="zh-CN"/>
        </w:rPr>
        <w:t>：</w:t>
      </w:r>
    </w:p>
    <w:p w14:paraId="1AC09BC8">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分包供应商名称：</w:t>
      </w:r>
    </w:p>
    <w:p w14:paraId="5D5EB44D">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512FD55D">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41956D8">
      <w:pPr>
        <w:widowControl/>
        <w:spacing w:line="360" w:lineRule="auto"/>
        <w:jc w:val="center"/>
        <w:rPr>
          <w:rFonts w:hint="eastAsia" w:ascii="仿宋" w:hAnsi="仿宋" w:eastAsia="仿宋" w:cs="仿宋"/>
          <w:b/>
          <w:kern w:val="0"/>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051BBD3">
      <w:pPr>
        <w:widowControl/>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7E5BD30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796075B5">
      <w:pPr>
        <w:spacing w:line="360" w:lineRule="auto"/>
        <w:ind w:right="420" w:firstLine="3213" w:firstLineChars="1000"/>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1A20430">
      <w:pPr>
        <w:spacing w:line="360" w:lineRule="auto"/>
        <w:ind w:right="420" w:firstLine="3213" w:firstLineChars="10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商务技术文件部分</w:t>
      </w:r>
    </w:p>
    <w:p w14:paraId="165814DA">
      <w:pPr>
        <w:spacing w:line="360" w:lineRule="auto"/>
        <w:jc w:val="center"/>
        <w:outlineLvl w:val="0"/>
        <w:rPr>
          <w:rFonts w:hint="eastAsia" w:ascii="仿宋" w:hAnsi="仿宋" w:eastAsia="仿宋" w:cs="仿宋"/>
          <w:b/>
          <w:kern w:val="0"/>
          <w:sz w:val="24"/>
          <w:highlight w:val="none"/>
        </w:rPr>
      </w:pPr>
    </w:p>
    <w:p w14:paraId="18A6EDC5">
      <w:pPr>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目录</w:t>
      </w:r>
    </w:p>
    <w:p w14:paraId="6659E41D">
      <w:pPr>
        <w:numPr>
          <w:ilvl w:val="0"/>
          <w:numId w:val="0"/>
        </w:num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en-US" w:eastAsia="zh-CN"/>
        </w:rPr>
        <w:t>（1）投</w:t>
      </w:r>
      <w:r>
        <w:rPr>
          <w:rFonts w:hint="eastAsia" w:ascii="仿宋" w:hAnsi="仿宋" w:eastAsia="仿宋" w:cs="仿宋"/>
          <w:sz w:val="24"/>
          <w:highlight w:val="none"/>
        </w:rPr>
        <w:t>标函</w:t>
      </w:r>
      <w:r>
        <w:rPr>
          <w:rFonts w:hint="eastAsia" w:ascii="仿宋" w:hAnsi="仿宋" w:eastAsia="仿宋" w:cs="仿宋"/>
          <w:highlight w:val="none"/>
        </w:rPr>
        <w:t>………………………………………………………………………………（页码）</w:t>
      </w:r>
    </w:p>
    <w:p w14:paraId="50437B4D">
      <w:pPr>
        <w:numPr>
          <w:ilvl w:val="0"/>
          <w:numId w:val="0"/>
        </w:num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5AF67526">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（3）联合协议（如需）</w:t>
      </w:r>
      <w:r>
        <w:rPr>
          <w:rFonts w:hint="eastAsia" w:ascii="仿宋" w:hAnsi="仿宋" w:eastAsia="仿宋" w:cs="仿宋"/>
          <w:highlight w:val="none"/>
        </w:rPr>
        <w:t>…………………………………………………………………（页码）</w:t>
      </w:r>
    </w:p>
    <w:p w14:paraId="25F9760B">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（4）分包意向协议（如需）</w:t>
      </w:r>
      <w:r>
        <w:rPr>
          <w:rFonts w:hint="eastAsia" w:ascii="仿宋" w:hAnsi="仿宋" w:eastAsia="仿宋" w:cs="仿宋"/>
          <w:highlight w:val="none"/>
        </w:rPr>
        <w:t>…………………………………………………………（页码）</w:t>
      </w:r>
    </w:p>
    <w:p w14:paraId="42E5295B">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（5）符合性审查资料</w:t>
      </w:r>
      <w:r>
        <w:rPr>
          <w:rFonts w:hint="eastAsia" w:ascii="仿宋" w:hAnsi="仿宋" w:eastAsia="仿宋" w:cs="仿宋"/>
          <w:highlight w:val="none"/>
        </w:rPr>
        <w:t>……………………………………………………………………（页码）</w:t>
      </w:r>
    </w:p>
    <w:p w14:paraId="4C3F423B">
      <w:pPr>
        <w:snapToGrid w:val="0"/>
        <w:spacing w:line="360" w:lineRule="auto"/>
        <w:ind w:left="0" w:leftChars="0" w:firstLine="0" w:firstLineChars="0"/>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评标标准相应的商务技术资料（如需）</w:t>
      </w:r>
      <w:r>
        <w:rPr>
          <w:rFonts w:hint="eastAsia" w:ascii="仿宋" w:hAnsi="仿宋" w:eastAsia="仿宋" w:cs="仿宋"/>
          <w:highlight w:val="none"/>
        </w:rPr>
        <w:t>……………………………………（页码）</w:t>
      </w:r>
    </w:p>
    <w:p w14:paraId="0F622E3D">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54D6968C">
      <w:p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7D0B1610">
      <w:pPr>
        <w:snapToGrid w:val="0"/>
        <w:spacing w:line="360" w:lineRule="auto"/>
        <w:jc w:val="center"/>
        <w:outlineLvl w:val="0"/>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0908556">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0B7F387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3024D78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0775740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1D38F08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70B87A6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2.1资格文件：</w:t>
      </w:r>
    </w:p>
    <w:p w14:paraId="5D35803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w:t>
      </w:r>
      <w:r>
        <w:rPr>
          <w:rFonts w:hint="eastAsia" w:ascii="仿宋" w:hAnsi="仿宋" w:eastAsia="仿宋" w:cs="仿宋"/>
          <w:sz w:val="24"/>
          <w:highlight w:val="none"/>
          <w:lang w:val="en-US" w:eastAsia="zh-CN"/>
        </w:rPr>
        <w:t>营业执照（或事业法人证书）</w:t>
      </w:r>
    </w:p>
    <w:p w14:paraId="2AC210E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2.1.2承诺函；</w:t>
      </w:r>
    </w:p>
    <w:p w14:paraId="7E9C8E8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落实政府采购政策需满足的资格要求（如果有）；</w:t>
      </w:r>
    </w:p>
    <w:p w14:paraId="00B91FF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本项目的特定资格要求（如果有）。</w:t>
      </w:r>
    </w:p>
    <w:p w14:paraId="4E6C1C0F">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548CBEE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51FAAB2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11A3E0D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2.2.3联合协议（如果有）；</w:t>
      </w:r>
    </w:p>
    <w:p w14:paraId="0E91F8E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2.2.4分包意向协议（如果有）；</w:t>
      </w:r>
    </w:p>
    <w:p w14:paraId="7A4D7451">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2.2.5符合性审查资料；</w:t>
      </w:r>
    </w:p>
    <w:p w14:paraId="3A14E72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2.2.6评标标准相应的商务技术资料；</w:t>
      </w:r>
    </w:p>
    <w:p w14:paraId="210953C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02FF784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3C3EC6B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461A2211">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91AD41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14:paraId="1E680CB8">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6C6608F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5F5F405A">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1C65ECA3">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4.2在签订合同时不向你方提出附加条件；</w:t>
      </w:r>
    </w:p>
    <w:p w14:paraId="06E16918">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4.3按照招标文件要求提交履约保证金；</w:t>
      </w:r>
    </w:p>
    <w:p w14:paraId="2647276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4.4在合同约定的期限内完成合同规定的全部义务。</w:t>
      </w:r>
    </w:p>
    <w:p w14:paraId="7B04CD9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2540403">
      <w:pPr>
        <w:keepNext w:val="0"/>
        <w:keepLines w:val="0"/>
        <w:pageBreakBefore w:val="0"/>
        <w:widowControl w:val="0"/>
        <w:kinsoku/>
        <w:wordWrap/>
        <w:overflowPunct/>
        <w:topLinePunct w:val="0"/>
        <w:autoSpaceDE/>
        <w:autoSpaceDN/>
        <w:bidi w:val="0"/>
        <w:adjustRightInd w:val="0"/>
        <w:spacing w:line="288" w:lineRule="auto"/>
        <w:ind w:firstLine="3600" w:firstLineChars="1500"/>
        <w:jc w:val="center"/>
        <w:textAlignment w:val="auto"/>
        <w:rPr>
          <w:rFonts w:hint="eastAsia" w:ascii="仿宋" w:hAnsi="仿宋" w:eastAsia="仿宋" w:cs="仿宋"/>
          <w:sz w:val="24"/>
          <w:highlight w:val="none"/>
        </w:rPr>
      </w:pPr>
    </w:p>
    <w:p w14:paraId="7DC67CD1">
      <w:pPr>
        <w:keepNext w:val="0"/>
        <w:keepLines w:val="0"/>
        <w:pageBreakBefore w:val="0"/>
        <w:widowControl w:val="0"/>
        <w:kinsoku/>
        <w:wordWrap/>
        <w:overflowPunct/>
        <w:topLinePunct w:val="0"/>
        <w:autoSpaceDE/>
        <w:autoSpaceDN/>
        <w:bidi w:val="0"/>
        <w:adjustRightInd w:val="0"/>
        <w:spacing w:line="288" w:lineRule="auto"/>
        <w:ind w:firstLine="3600" w:firstLineChars="150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磋商供应商名称（电子签名）：</w:t>
      </w:r>
    </w:p>
    <w:p w14:paraId="092FBA67">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  年   月   日</w:t>
      </w:r>
    </w:p>
    <w:p w14:paraId="01D23EA0">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765DFD9">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3F46734F">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zh-CN"/>
        </w:rPr>
        <w:t>授权委托书（适用于非联合体投标）</w:t>
      </w:r>
    </w:p>
    <w:p w14:paraId="002D052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10061956">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E0D793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0F5F061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8E8F8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highlight w:val="none"/>
          <w:lang w:val="zh-CN"/>
        </w:rPr>
      </w:pPr>
    </w:p>
    <w:p w14:paraId="33C8DE25">
      <w:pPr>
        <w:pStyle w:val="85"/>
        <w:ind w:left="0" w:leftChars="0" w:firstLine="0" w:firstLineChars="0"/>
        <w:rPr>
          <w:rFonts w:hint="eastAsia" w:ascii="仿宋" w:hAnsi="仿宋" w:eastAsia="仿宋" w:cs="仿宋"/>
          <w:kern w:val="0"/>
          <w:sz w:val="24"/>
          <w:highlight w:val="none"/>
          <w:lang w:val="zh-CN"/>
        </w:rPr>
      </w:pPr>
    </w:p>
    <w:p w14:paraId="1F8768C9">
      <w:pPr>
        <w:pStyle w:val="25"/>
        <w:rPr>
          <w:rFonts w:hint="eastAsia" w:ascii="仿宋" w:hAnsi="仿宋" w:eastAsia="仿宋" w:cs="仿宋"/>
          <w:kern w:val="0"/>
          <w:sz w:val="24"/>
          <w:highlight w:val="none"/>
          <w:lang w:val="zh-CN"/>
        </w:rPr>
      </w:pPr>
    </w:p>
    <w:p w14:paraId="3CF0C640">
      <w:pPr>
        <w:rPr>
          <w:rFonts w:hint="eastAsia" w:ascii="仿宋" w:hAnsi="仿宋" w:eastAsia="仿宋" w:cs="仿宋"/>
          <w:highlight w:val="none"/>
          <w:lang w:val="zh-CN"/>
        </w:rPr>
      </w:pPr>
    </w:p>
    <w:p w14:paraId="366928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磋商供应商名称（电子签名）：</w:t>
      </w:r>
    </w:p>
    <w:p w14:paraId="081B613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06B197C9">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p>
    <w:p w14:paraId="3C9C51E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highlight w:val="none"/>
          <w:lang w:val="en-US" w:eastAsia="zh-CN"/>
        </w:rPr>
      </w:pPr>
    </w:p>
    <w:p w14:paraId="16E92F73">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p>
    <w:p w14:paraId="61ADFEAB">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r>
        <w:rPr>
          <w:rFonts w:hint="eastAsia" w:ascii="仿宋" w:hAnsi="仿宋" w:eastAsia="仿宋" w:cs="仿宋"/>
          <w:b/>
          <w:bCs/>
          <w:i/>
          <w:iCs/>
          <w:color w:val="auto"/>
          <w:spacing w:val="-6"/>
          <w:sz w:val="24"/>
          <w:szCs w:val="24"/>
          <w:highlight w:val="none"/>
          <w:u w:val="single"/>
          <w:lang w:val="en-US" w:eastAsia="zh-CN"/>
        </w:rPr>
        <w:t>说明：</w:t>
      </w:r>
    </w:p>
    <w:p w14:paraId="55D13638">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pPr>
      <w:r>
        <w:rPr>
          <w:rFonts w:hint="eastAsia" w:ascii="仿宋" w:hAnsi="仿宋" w:eastAsia="仿宋" w:cs="仿宋"/>
          <w:b/>
          <w:i/>
          <w:iCs/>
          <w:color w:val="auto"/>
          <w:sz w:val="24"/>
          <w:szCs w:val="24"/>
          <w:highlight w:val="none"/>
          <w:u w:val="single"/>
        </w:rPr>
        <w:t>1、法定代表人、单位负责人或自然人本人代表投标人参加投标的，提供法定代表人（单位负责人、自然人本人）身份证件复印件。</w:t>
      </w:r>
    </w:p>
    <w:p w14:paraId="05E777D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i/>
          <w:iCs/>
          <w:color w:val="auto"/>
          <w:sz w:val="24"/>
          <w:szCs w:val="24"/>
          <w:highlight w:val="none"/>
          <w:u w:val="single"/>
        </w:rPr>
        <w:t>2、法定代表人（单位负责人、自然人本人）以外的其他人员代表投标人参加投标时，应当按本格式要求编制、提交《授权委托书》。</w:t>
      </w:r>
    </w:p>
    <w:p w14:paraId="370620C1">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zh-CN"/>
        </w:rPr>
        <w:t>授权委托书（适用于联合体投标）</w:t>
      </w:r>
    </w:p>
    <w:p w14:paraId="498A68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5B0C23D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9AE76C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1E7A778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91D6F30">
      <w:pPr>
        <w:snapToGrid w:val="0"/>
        <w:spacing w:line="360" w:lineRule="auto"/>
        <w:rPr>
          <w:rFonts w:hint="eastAsia" w:ascii="仿宋" w:hAnsi="仿宋" w:eastAsia="仿宋" w:cs="仿宋"/>
          <w:kern w:val="0"/>
          <w:sz w:val="24"/>
          <w:highlight w:val="none"/>
          <w:lang w:val="zh-CN"/>
        </w:rPr>
      </w:pPr>
    </w:p>
    <w:p w14:paraId="5F8DAD22">
      <w:pPr>
        <w:snapToGrid w:val="0"/>
        <w:spacing w:line="360" w:lineRule="auto"/>
        <w:rPr>
          <w:rFonts w:hint="eastAsia" w:ascii="仿宋" w:hAnsi="仿宋" w:eastAsia="仿宋" w:cs="仿宋"/>
          <w:kern w:val="0"/>
          <w:sz w:val="24"/>
          <w:highlight w:val="none"/>
          <w:lang w:val="zh-CN"/>
        </w:rPr>
      </w:pPr>
    </w:p>
    <w:p w14:paraId="5C295CA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联合体成员名称(电子签名/公章)：</w:t>
      </w:r>
    </w:p>
    <w:p w14:paraId="638F2DC2">
      <w:pPr>
        <w:snapToGri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联合体成员名称(电子签名/公章)：</w:t>
      </w:r>
    </w:p>
    <w:p w14:paraId="759F4B2D">
      <w:pPr>
        <w:snapToGri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w:t>
      </w:r>
    </w:p>
    <w:p w14:paraId="081B218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958524A">
      <w:pPr>
        <w:snapToGrid w:val="0"/>
        <w:spacing w:line="360" w:lineRule="auto"/>
        <w:jc w:val="right"/>
        <w:rPr>
          <w:rFonts w:hint="eastAsia" w:ascii="仿宋" w:hAnsi="仿宋" w:eastAsia="仿宋" w:cs="仿宋"/>
          <w:kern w:val="0"/>
          <w:sz w:val="24"/>
          <w:highlight w:val="none"/>
          <w:lang w:val="zh-CN"/>
        </w:rPr>
      </w:pPr>
    </w:p>
    <w:p w14:paraId="3C2A0DA4">
      <w:pPr>
        <w:snapToGrid w:val="0"/>
        <w:spacing w:line="360" w:lineRule="auto"/>
        <w:rPr>
          <w:rFonts w:hint="eastAsia" w:ascii="仿宋" w:hAnsi="仿宋" w:eastAsia="仿宋" w:cs="仿宋"/>
          <w:sz w:val="24"/>
          <w:highlight w:val="none"/>
        </w:rPr>
      </w:pPr>
    </w:p>
    <w:p w14:paraId="21EE1E17">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r>
        <w:rPr>
          <w:rFonts w:hint="eastAsia" w:ascii="仿宋" w:hAnsi="仿宋" w:eastAsia="仿宋" w:cs="仿宋"/>
          <w:b/>
          <w:bCs/>
          <w:i/>
          <w:iCs/>
          <w:color w:val="auto"/>
          <w:spacing w:val="-6"/>
          <w:sz w:val="24"/>
          <w:szCs w:val="24"/>
          <w:highlight w:val="none"/>
          <w:u w:val="single"/>
          <w:lang w:val="en-US" w:eastAsia="zh-CN"/>
        </w:rPr>
        <w:t>说明：</w:t>
      </w:r>
    </w:p>
    <w:p w14:paraId="34343B71">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pPr>
      <w:r>
        <w:rPr>
          <w:rFonts w:hint="eastAsia" w:ascii="仿宋" w:hAnsi="仿宋" w:eastAsia="仿宋" w:cs="仿宋"/>
          <w:b/>
          <w:i/>
          <w:iCs/>
          <w:color w:val="auto"/>
          <w:sz w:val="24"/>
          <w:szCs w:val="24"/>
          <w:highlight w:val="none"/>
          <w:u w:val="single"/>
        </w:rPr>
        <w:t>1、法定代表人、单位负责人或自然人本人代表投标人参加投标的，提供法定代表人（单位负责人、自然人本人）身份证件复印件。</w:t>
      </w:r>
    </w:p>
    <w:p w14:paraId="2F55B351">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i/>
          <w:iCs/>
          <w:color w:val="auto"/>
          <w:sz w:val="24"/>
          <w:szCs w:val="24"/>
          <w:highlight w:val="none"/>
          <w:u w:val="single"/>
        </w:rPr>
        <w:t>2、法定代表人（单位负责人、自然人本人）以外的其他人员代表投标人参加投标时，应当按本格式要求编制、提交《授权委托书》。</w:t>
      </w:r>
    </w:p>
    <w:p w14:paraId="5EC7DA2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7696CE01">
      <w:pPr>
        <w:pStyle w:val="181"/>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6"/>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14:paraId="718F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8343" w:type="dxa"/>
          </w:tcPr>
          <w:p w14:paraId="549B7F2E">
            <w:pPr>
              <w:pStyle w:val="181"/>
              <w:adjustRightInd w:val="0"/>
              <w:spacing w:line="360" w:lineRule="auto"/>
              <w:rPr>
                <w:rFonts w:hint="eastAsia" w:ascii="仿宋" w:hAnsi="仿宋" w:eastAsia="仿宋" w:cs="仿宋"/>
                <w:bCs/>
                <w:sz w:val="24"/>
                <w:szCs w:val="21"/>
                <w:highlight w:val="none"/>
              </w:rPr>
            </w:pPr>
            <w:r>
              <w:rPr>
                <w:rFonts w:hint="eastAsia" w:ascii="仿宋" w:hAnsi="仿宋" w:eastAsia="仿宋" w:cs="仿宋"/>
                <w:bCs/>
                <w:sz w:val="24"/>
                <w:szCs w:val="21"/>
                <w:highlight w:val="none"/>
              </w:rPr>
              <w:t>正面：                                 反面：</w:t>
            </w:r>
          </w:p>
          <w:p w14:paraId="25CEC67B">
            <w:pPr>
              <w:pStyle w:val="181"/>
              <w:adjustRightInd w:val="0"/>
              <w:spacing w:line="360" w:lineRule="auto"/>
              <w:rPr>
                <w:rFonts w:hint="eastAsia" w:ascii="仿宋" w:hAnsi="仿宋" w:eastAsia="仿宋" w:cs="仿宋"/>
                <w:bCs/>
                <w:sz w:val="24"/>
                <w:szCs w:val="21"/>
                <w:highlight w:val="none"/>
              </w:rPr>
            </w:pPr>
          </w:p>
        </w:tc>
      </w:tr>
    </w:tbl>
    <w:p w14:paraId="6CC15961">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28096028">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C02AAE7">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磋商供应商名称（电子签名）：</w:t>
      </w:r>
    </w:p>
    <w:p w14:paraId="42B6E9A4">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40856141">
      <w:pPr>
        <w:jc w:val="center"/>
        <w:rPr>
          <w:rFonts w:hint="eastAsia" w:ascii="仿宋" w:hAnsi="仿宋" w:eastAsia="仿宋" w:cs="仿宋"/>
          <w:b/>
          <w:kern w:val="0"/>
          <w:sz w:val="32"/>
          <w:szCs w:val="32"/>
          <w:highlight w:val="none"/>
        </w:rPr>
        <w:sectPr>
          <w:headerReference r:id="rId17" w:type="first"/>
          <w:footerReference r:id="rId19" w:type="first"/>
          <w:headerReference r:id="rId16" w:type="default"/>
          <w:footerReference r:id="rId18"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301C15C6">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联合协议</w:t>
      </w:r>
    </w:p>
    <w:p w14:paraId="1D8654ED">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0271454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7C556D3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006EC03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4EA946FA">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5AF8F0E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14:paraId="018FA625">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17CEA1B4">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6EFD025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0265B094">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0308C02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140180BD">
      <w:pPr>
        <w:snapToGrid w:val="0"/>
        <w:spacing w:line="360" w:lineRule="auto"/>
        <w:ind w:firstLine="4560" w:firstLineChars="19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012810B">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2D88064C">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793156C">
      <w:pPr>
        <w:snapToGrid w:val="0"/>
        <w:spacing w:line="360" w:lineRule="auto"/>
        <w:ind w:right="480"/>
        <w:rPr>
          <w:rFonts w:hint="eastAsia" w:ascii="仿宋" w:hAnsi="仿宋" w:eastAsia="仿宋" w:cs="仿宋"/>
          <w:b/>
          <w:kern w:val="0"/>
          <w:sz w:val="32"/>
          <w:szCs w:val="32"/>
          <w:highlight w:val="none"/>
          <w:lang w:val="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C43AF85">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四、分包意向协议</w:t>
      </w:r>
    </w:p>
    <w:p w14:paraId="07E94D7D">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173441D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7F8A254">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3B8BE60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682D00A4">
      <w:pPr>
        <w:pStyle w:val="5"/>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14:paraId="67AE8D17">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D74DCEC">
      <w:pPr>
        <w:snapToGrid w:val="0"/>
        <w:spacing w:line="24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5D622799">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7BA2CFB6">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EF2E4C7">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598890C">
      <w:pPr>
        <w:snapToGrid w:val="0"/>
        <w:spacing w:line="24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A5F8B23">
      <w:pPr>
        <w:snapToGrid w:val="0"/>
        <w:spacing w:line="24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5A1A5AEE">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81C1222">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625786F6">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D861623">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622F590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highlight w:val="none"/>
          <w:lang w:val="zh-CN"/>
        </w:rPr>
      </w:pPr>
      <w:r>
        <w:rPr>
          <w:rFonts w:hint="eastAsia" w:ascii="仿宋" w:hAnsi="仿宋" w:eastAsia="仿宋" w:cs="仿宋"/>
          <w:kern w:val="0"/>
          <w:sz w:val="24"/>
          <w:highlight w:val="none"/>
          <w:u w:val="single"/>
        </w:rPr>
        <w:t>（分包供应商名称）提供的货物全部由小微企业制造，</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highlight w:val="none"/>
          <w:lang w:val="zh-CN"/>
        </w:rPr>
        <w:t>金额30%以上的，对大中型企业的报价给予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18786BA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color w:val="FF0000"/>
          <w:kern w:val="0"/>
          <w:sz w:val="24"/>
          <w:highlight w:val="none"/>
          <w:lang w:val="zh-CN"/>
        </w:rPr>
        <w:t xml:space="preserve">                  </w:t>
      </w:r>
      <w:r>
        <w:rPr>
          <w:rFonts w:hint="eastAsia" w:ascii="仿宋" w:hAnsi="仿宋" w:eastAsia="仿宋" w:cs="仿宋"/>
          <w:kern w:val="0"/>
          <w:sz w:val="24"/>
          <w:highlight w:val="none"/>
          <w:lang w:val="zh-CN"/>
        </w:rPr>
        <w:t xml:space="preserve">                       磋商供应商名称（电子签名）：</w:t>
      </w:r>
    </w:p>
    <w:p w14:paraId="514D3220">
      <w:pPr>
        <w:snapToGrid w:val="0"/>
        <w:spacing w:line="360" w:lineRule="auto"/>
        <w:ind w:left="0" w:leftChars="0" w:firstLine="4920" w:firstLineChars="20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66DFBC1D">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75880D01">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4EE12C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AAD94E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14:paraId="006C4DE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highlight w:val="none"/>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EF7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784B86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098C06F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3714" w:type="dxa"/>
            <w:vAlign w:val="center"/>
          </w:tcPr>
          <w:p w14:paraId="74517B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r>
      <w:tr w14:paraId="5D0C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200E3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center"/>
          </w:tcPr>
          <w:p w14:paraId="776BC2D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3714" w:type="dxa"/>
            <w:vAlign w:val="center"/>
          </w:tcPr>
          <w:p w14:paraId="57AF9440">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r>
      <w:tr w14:paraId="412B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3D14C6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center"/>
          </w:tcPr>
          <w:p w14:paraId="2A8075A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0B526D1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r>
      <w:tr w14:paraId="5633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7288BCD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center"/>
          </w:tcPr>
          <w:p w14:paraId="6B8DFE9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3714" w:type="dxa"/>
            <w:vAlign w:val="center"/>
          </w:tcPr>
          <w:p w14:paraId="2E9CB46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投标函</w:t>
            </w:r>
          </w:p>
        </w:tc>
      </w:tr>
      <w:tr w14:paraId="3A8D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B05787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vAlign w:val="center"/>
          </w:tcPr>
          <w:p w14:paraId="04DDFBD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3714" w:type="dxa"/>
            <w:vAlign w:val="center"/>
          </w:tcPr>
          <w:p w14:paraId="30BA270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招标文件其它实质性要求相应的材料（“★” 系指实质性要求条款，招标文件无其它实质性要求的，无需提供）</w:t>
            </w:r>
          </w:p>
        </w:tc>
      </w:tr>
    </w:tbl>
    <w:p w14:paraId="773B8AEA">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highlight w:val="none"/>
        </w:rPr>
        <w:sectPr>
          <w:headerReference r:id="rId21" w:type="first"/>
          <w:footerReference r:id="rId23" w:type="first"/>
          <w:headerReference r:id="rId20" w:type="default"/>
          <w:footerReference r:id="rId22"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7D79BAD0">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14:paraId="46686F7F">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5470560E">
      <w:pPr>
        <w:jc w:val="center"/>
        <w:rPr>
          <w:rFonts w:hint="eastAsia" w:ascii="仿宋" w:hAnsi="仿宋" w:eastAsia="仿宋" w:cs="仿宋"/>
          <w:b/>
          <w:kern w:val="0"/>
          <w:sz w:val="32"/>
          <w:szCs w:val="32"/>
          <w:highlight w:val="none"/>
        </w:rPr>
      </w:pPr>
    </w:p>
    <w:p w14:paraId="646D780B">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F0A3BA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880"/>
        <w:gridCol w:w="3720"/>
        <w:gridCol w:w="1260"/>
      </w:tblGrid>
      <w:tr w14:paraId="459E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3C6A9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880" w:type="dxa"/>
          </w:tcPr>
          <w:p w14:paraId="0F5992D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720" w:type="dxa"/>
          </w:tcPr>
          <w:p w14:paraId="3FD4826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投标文件章节（页码）及具体内容</w:t>
            </w:r>
          </w:p>
        </w:tc>
        <w:tc>
          <w:tcPr>
            <w:tcW w:w="1260" w:type="dxa"/>
          </w:tcPr>
          <w:p w14:paraId="034E5F3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37B6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0AEC55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880" w:type="dxa"/>
          </w:tcPr>
          <w:p w14:paraId="69FEBEB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4D3A262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74E947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r w14:paraId="5A49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EFE3E3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880" w:type="dxa"/>
          </w:tcPr>
          <w:p w14:paraId="796F0ED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0B74536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561E83D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r w14:paraId="10A5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D65740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2880" w:type="dxa"/>
          </w:tcPr>
          <w:p w14:paraId="1A85212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4364BF3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3078D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bl>
    <w:p w14:paraId="566682D4">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66016AE4">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3D77091">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2、投标人递交的技术规格书中必须真实逐条列明，否则由投标人自行承担相关风险。</w:t>
      </w:r>
    </w:p>
    <w:p w14:paraId="3F30705B">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3、此表在不改变格式的情况下可自行制作。</w:t>
      </w:r>
    </w:p>
    <w:p w14:paraId="0E14B8E3">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4、此表置于商务技术文件中。</w:t>
      </w:r>
    </w:p>
    <w:p w14:paraId="4591704F">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投标人保证：除商务技术偏离表列出的偏离外，投标人响应招标文件的全部要求。</w:t>
      </w:r>
    </w:p>
    <w:p w14:paraId="0D7175C4">
      <w:pPr>
        <w:ind w:firstLine="1911" w:firstLineChars="595"/>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FDC9EFE">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八、</w:t>
      </w:r>
      <w:r>
        <w:rPr>
          <w:rFonts w:hint="eastAsia" w:ascii="仿宋" w:hAnsi="仿宋" w:eastAsia="仿宋" w:cs="仿宋"/>
          <w:b/>
          <w:kern w:val="0"/>
          <w:sz w:val="32"/>
          <w:szCs w:val="32"/>
          <w:highlight w:val="none"/>
          <w:lang w:val="zh-CN"/>
        </w:rPr>
        <w:t>政府采购供应商廉洁自律承诺书</w:t>
      </w:r>
    </w:p>
    <w:p w14:paraId="5939EDC7">
      <w:pPr>
        <w:snapToGrid w:val="0"/>
        <w:spacing w:line="360" w:lineRule="auto"/>
        <w:rPr>
          <w:rFonts w:hint="eastAsia" w:ascii="仿宋" w:hAnsi="仿宋" w:eastAsia="仿宋" w:cs="仿宋"/>
          <w:sz w:val="24"/>
          <w:highlight w:val="none"/>
        </w:rPr>
      </w:pPr>
    </w:p>
    <w:p w14:paraId="3E2889FD">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（采购人）、（采购代理机构）：</w:t>
      </w:r>
    </w:p>
    <w:p w14:paraId="5BACFC2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1841135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p>
    <w:p w14:paraId="3D2F2BF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8FB013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78EDC69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0289FE8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5B14A53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73301D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55E7B9E">
      <w:pPr>
        <w:autoSpaceDE w:val="0"/>
        <w:autoSpaceDN w:val="0"/>
        <w:spacing w:line="360" w:lineRule="auto"/>
        <w:ind w:left="2"/>
        <w:jc w:val="left"/>
        <w:rPr>
          <w:rFonts w:hint="eastAsia" w:ascii="仿宋" w:hAnsi="仿宋" w:eastAsia="仿宋" w:cs="仿宋"/>
          <w:kern w:val="0"/>
          <w:sz w:val="24"/>
          <w:highlight w:val="none"/>
          <w:lang w:val="zh-CN"/>
        </w:rPr>
      </w:pPr>
    </w:p>
    <w:p w14:paraId="50F3BE4A">
      <w:pPr>
        <w:autoSpaceDE w:val="0"/>
        <w:autoSpaceDN w:val="0"/>
        <w:spacing w:line="360" w:lineRule="auto"/>
        <w:ind w:left="2"/>
        <w:jc w:val="left"/>
        <w:rPr>
          <w:rFonts w:hint="eastAsia" w:ascii="仿宋" w:hAnsi="仿宋" w:eastAsia="仿宋" w:cs="仿宋"/>
          <w:kern w:val="0"/>
          <w:sz w:val="24"/>
          <w:highlight w:val="none"/>
          <w:lang w:val="zh-CN"/>
        </w:rPr>
      </w:pPr>
    </w:p>
    <w:p w14:paraId="3A8FD5A7">
      <w:pPr>
        <w:autoSpaceDE w:val="0"/>
        <w:autoSpaceDN w:val="0"/>
        <w:spacing w:line="360" w:lineRule="auto"/>
        <w:ind w:right="1120" w:firstLine="4080" w:firstLineChars="17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磋商供应商名称（电子签名）：</w:t>
      </w:r>
    </w:p>
    <w:p w14:paraId="16A1A435">
      <w:pPr>
        <w:spacing w:line="360" w:lineRule="auto"/>
        <w:ind w:firstLine="4080" w:firstLineChars="17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3A44167">
      <w:pPr>
        <w:spacing w:line="360" w:lineRule="auto"/>
        <w:jc w:val="center"/>
        <w:rPr>
          <w:rFonts w:hint="eastAsia" w:ascii="仿宋" w:hAnsi="仿宋" w:eastAsia="仿宋" w:cs="仿宋"/>
          <w:b/>
          <w:bCs/>
          <w:sz w:val="24"/>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542271B">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0266FC94">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9A1CBFE">
      <w:pPr>
        <w:tabs>
          <w:tab w:val="left" w:pos="7647"/>
        </w:tabs>
        <w:spacing w:line="360" w:lineRule="auto"/>
        <w:jc w:val="left"/>
        <w:outlineLvl w:val="0"/>
        <w:rPr>
          <w:rFonts w:hint="eastAsia" w:ascii="仿宋" w:hAnsi="仿宋" w:eastAsia="仿宋" w:cs="仿宋"/>
          <w:b/>
          <w:kern w:val="0"/>
          <w:sz w:val="36"/>
          <w:szCs w:val="36"/>
          <w:highlight w:val="none"/>
          <w:lang w:eastAsia="zh-CN"/>
        </w:rPr>
      </w:pPr>
      <w:r>
        <w:rPr>
          <w:rFonts w:hint="eastAsia" w:ascii="仿宋" w:hAnsi="仿宋" w:eastAsia="仿宋" w:cs="仿宋"/>
          <w:b/>
          <w:kern w:val="0"/>
          <w:sz w:val="36"/>
          <w:szCs w:val="36"/>
          <w:highlight w:val="none"/>
          <w:lang w:eastAsia="zh-CN"/>
        </w:rPr>
        <w:tab/>
      </w:r>
    </w:p>
    <w:p w14:paraId="1AF76FB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报价表</w:t>
      </w:r>
      <w:r>
        <w:rPr>
          <w:rFonts w:hint="eastAsia" w:ascii="仿宋" w:hAnsi="仿宋" w:eastAsia="仿宋" w:cs="仿宋"/>
          <w:sz w:val="24"/>
          <w:highlight w:val="none"/>
          <w:lang w:eastAsia="zh-CN"/>
        </w:rPr>
        <w:t>）</w:t>
      </w:r>
      <w:r>
        <w:rPr>
          <w:rFonts w:hint="eastAsia" w:ascii="仿宋" w:hAnsi="仿宋" w:eastAsia="仿宋" w:cs="仿宋"/>
          <w:sz w:val="24"/>
          <w:highlight w:val="none"/>
        </w:rPr>
        <w:t>…………………………………………………（页码）</w:t>
      </w:r>
    </w:p>
    <w:p w14:paraId="1D5EC7F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（2）中小企业声明函（如需）………………………………………………（页码）</w:t>
      </w:r>
    </w:p>
    <w:p w14:paraId="3A022D5C">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val="en-US" w:eastAsia="zh-CN"/>
        </w:rPr>
      </w:pPr>
    </w:p>
    <w:p w14:paraId="1761C6B2">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2FF11B7">
      <w:pPr>
        <w:pStyle w:val="701"/>
        <w:keepNext w:val="0"/>
        <w:pageBreakBefore w:val="0"/>
        <w:numPr>
          <w:ilvl w:val="0"/>
          <w:numId w:val="11"/>
        </w:numPr>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开标一览表（标项1）</w:t>
      </w:r>
    </w:p>
    <w:p w14:paraId="1FDF452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诸暨市东和乡2024-2025年度市政园林、房建设计服务采购项目</w:t>
      </w:r>
    </w:p>
    <w:p w14:paraId="0E83FE2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绍兴盈伽2024-11-21</w:t>
      </w:r>
    </w:p>
    <w:tbl>
      <w:tblPr>
        <w:tblStyle w:val="6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225"/>
        <w:gridCol w:w="1427"/>
        <w:gridCol w:w="1907"/>
        <w:gridCol w:w="2661"/>
      </w:tblGrid>
      <w:tr w14:paraId="3998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58" w:type="dxa"/>
            <w:vMerge w:val="restart"/>
            <w:noWrap w:val="0"/>
            <w:vAlign w:val="center"/>
          </w:tcPr>
          <w:p w14:paraId="242AF8BA">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2225" w:type="dxa"/>
            <w:vMerge w:val="restart"/>
            <w:noWrap w:val="0"/>
            <w:vAlign w:val="center"/>
          </w:tcPr>
          <w:p w14:paraId="4F09420B">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427" w:type="dxa"/>
            <w:vMerge w:val="restart"/>
            <w:noWrap w:val="0"/>
            <w:vAlign w:val="center"/>
          </w:tcPr>
          <w:p w14:paraId="6CB629D5">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最高限价（%）</w:t>
            </w:r>
          </w:p>
        </w:tc>
        <w:tc>
          <w:tcPr>
            <w:tcW w:w="4568" w:type="dxa"/>
            <w:gridSpan w:val="2"/>
            <w:noWrap w:val="0"/>
            <w:vAlign w:val="center"/>
          </w:tcPr>
          <w:p w14:paraId="66D5C36B">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w:t>
            </w:r>
            <w:r>
              <w:rPr>
                <w:rFonts w:hint="eastAsia" w:ascii="仿宋" w:hAnsi="仿宋" w:eastAsia="仿宋" w:cs="仿宋"/>
                <w:b/>
                <w:color w:val="auto"/>
                <w:sz w:val="28"/>
                <w:szCs w:val="28"/>
                <w:highlight w:val="none"/>
                <w:lang w:val="en-US" w:eastAsia="zh-CN"/>
              </w:rPr>
              <w:t>报价（折扣%）</w:t>
            </w:r>
          </w:p>
        </w:tc>
      </w:tr>
      <w:tr w14:paraId="45A9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58" w:type="dxa"/>
            <w:vMerge w:val="continue"/>
            <w:noWrap w:val="0"/>
            <w:vAlign w:val="center"/>
          </w:tcPr>
          <w:p w14:paraId="3B10E70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2225" w:type="dxa"/>
            <w:vMerge w:val="continue"/>
            <w:noWrap w:val="0"/>
            <w:vAlign w:val="center"/>
          </w:tcPr>
          <w:p w14:paraId="61CC41C3">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427" w:type="dxa"/>
            <w:vMerge w:val="continue"/>
            <w:noWrap w:val="0"/>
            <w:vAlign w:val="center"/>
          </w:tcPr>
          <w:p w14:paraId="58B5BECA">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907" w:type="dxa"/>
            <w:noWrap w:val="0"/>
            <w:vAlign w:val="center"/>
          </w:tcPr>
          <w:p w14:paraId="6C1D8C5A">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61" w:type="dxa"/>
            <w:noWrap w:val="0"/>
            <w:vAlign w:val="center"/>
          </w:tcPr>
          <w:p w14:paraId="5BE68E71">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79A6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058" w:type="dxa"/>
            <w:noWrap w:val="0"/>
            <w:vAlign w:val="center"/>
          </w:tcPr>
          <w:p w14:paraId="350BDADE">
            <w:pPr>
              <w:kinsoku/>
              <w:wordWrap/>
              <w:overflowPunct/>
              <w:topLinePunct w:val="0"/>
              <w:bidi w:val="0"/>
              <w:spacing w:line="400" w:lineRule="exact"/>
              <w:jc w:val="center"/>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标项1</w:t>
            </w:r>
          </w:p>
        </w:tc>
        <w:tc>
          <w:tcPr>
            <w:tcW w:w="2225" w:type="dxa"/>
            <w:noWrap w:val="0"/>
            <w:vAlign w:val="center"/>
          </w:tcPr>
          <w:p w14:paraId="0A6A1C9A">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实施区域1</w:t>
            </w:r>
          </w:p>
        </w:tc>
        <w:tc>
          <w:tcPr>
            <w:tcW w:w="1427" w:type="dxa"/>
            <w:noWrap w:val="0"/>
            <w:vAlign w:val="center"/>
          </w:tcPr>
          <w:p w14:paraId="687BEC65">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65.00%</w:t>
            </w:r>
          </w:p>
        </w:tc>
        <w:tc>
          <w:tcPr>
            <w:tcW w:w="1907" w:type="dxa"/>
            <w:noWrap w:val="0"/>
            <w:vAlign w:val="center"/>
          </w:tcPr>
          <w:p w14:paraId="6506F99D">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tc>
        <w:tc>
          <w:tcPr>
            <w:tcW w:w="2661" w:type="dxa"/>
            <w:noWrap w:val="0"/>
            <w:vAlign w:val="center"/>
          </w:tcPr>
          <w:p w14:paraId="736CCCDF">
            <w:pPr>
              <w:kinsoku/>
              <w:wordWrap/>
              <w:overflowPunct/>
              <w:topLinePunct w:val="0"/>
              <w:bidi w:val="0"/>
              <w:spacing w:line="4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百分之**点**</w:t>
            </w:r>
          </w:p>
        </w:tc>
      </w:tr>
    </w:tbl>
    <w:p w14:paraId="3AC31593">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highlight w:val="none"/>
          <w:lang w:val="en-US" w:eastAsia="zh-CN"/>
        </w:rPr>
      </w:pPr>
    </w:p>
    <w:p w14:paraId="7FA853F9">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磋商供应商名称（电子签名）：</w:t>
      </w:r>
    </w:p>
    <w:p w14:paraId="78FDB4D5">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val="zh-CN"/>
        </w:rPr>
        <w:t>日  期：</w:t>
      </w:r>
    </w:p>
    <w:p w14:paraId="08B81E08">
      <w:pPr>
        <w:pStyle w:val="25"/>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37361786">
      <w:pPr>
        <w:pStyle w:val="25"/>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68ED4BB0">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4E1BA630">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76FD2A0B">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4DD1F9A0">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2E7636">
      <w:pPr>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br w:type="page"/>
      </w:r>
    </w:p>
    <w:p w14:paraId="1482D15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eastAsia="zh-CN"/>
        </w:rPr>
      </w:pPr>
      <w:r>
        <w:rPr>
          <w:rFonts w:hint="eastAsia" w:ascii="仿宋" w:hAnsi="仿宋" w:eastAsia="仿宋" w:cs="仿宋"/>
          <w:b/>
          <w:bCs w:val="0"/>
          <w:color w:val="auto"/>
          <w:kern w:val="2"/>
          <w:sz w:val="32"/>
          <w:szCs w:val="32"/>
          <w:highlight w:val="none"/>
        </w:rPr>
        <w:t>开标一览表</w:t>
      </w:r>
      <w:r>
        <w:rPr>
          <w:rFonts w:hint="eastAsia" w:ascii="仿宋" w:hAnsi="仿宋" w:eastAsia="仿宋" w:cs="仿宋"/>
          <w:b/>
          <w:bCs w:val="0"/>
          <w:color w:val="auto"/>
          <w:kern w:val="2"/>
          <w:sz w:val="32"/>
          <w:szCs w:val="32"/>
          <w:highlight w:val="none"/>
          <w:lang w:eastAsia="zh-CN"/>
        </w:rPr>
        <w:t>（</w:t>
      </w:r>
      <w:r>
        <w:rPr>
          <w:rFonts w:hint="eastAsia" w:ascii="仿宋" w:hAnsi="仿宋" w:eastAsia="仿宋" w:cs="仿宋"/>
          <w:b/>
          <w:bCs w:val="0"/>
          <w:color w:val="auto"/>
          <w:kern w:val="2"/>
          <w:sz w:val="32"/>
          <w:szCs w:val="32"/>
          <w:highlight w:val="none"/>
          <w:lang w:val="en-US" w:eastAsia="zh-CN"/>
        </w:rPr>
        <w:t>标项2</w:t>
      </w:r>
      <w:r>
        <w:rPr>
          <w:rFonts w:hint="eastAsia" w:ascii="仿宋" w:hAnsi="仿宋" w:eastAsia="仿宋" w:cs="仿宋"/>
          <w:b/>
          <w:bCs w:val="0"/>
          <w:color w:val="auto"/>
          <w:kern w:val="2"/>
          <w:sz w:val="32"/>
          <w:szCs w:val="32"/>
          <w:highlight w:val="none"/>
          <w:lang w:eastAsia="zh-CN"/>
        </w:rPr>
        <w:t>）</w:t>
      </w:r>
    </w:p>
    <w:p w14:paraId="5EC2FE1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诸暨市东和乡2024-2025年度市政园林、房建设计服务采购项目</w:t>
      </w:r>
    </w:p>
    <w:p w14:paraId="0873AE9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绍兴盈伽2024-11-21</w:t>
      </w:r>
    </w:p>
    <w:tbl>
      <w:tblPr>
        <w:tblStyle w:val="6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485"/>
        <w:gridCol w:w="1398"/>
        <w:gridCol w:w="1676"/>
        <w:gridCol w:w="2661"/>
      </w:tblGrid>
      <w:tr w14:paraId="2995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58" w:type="dxa"/>
            <w:vMerge w:val="restart"/>
            <w:noWrap w:val="0"/>
            <w:vAlign w:val="center"/>
          </w:tcPr>
          <w:p w14:paraId="6607A791">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2485" w:type="dxa"/>
            <w:vMerge w:val="restart"/>
            <w:noWrap w:val="0"/>
            <w:vAlign w:val="center"/>
          </w:tcPr>
          <w:p w14:paraId="690EB2F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398" w:type="dxa"/>
            <w:vMerge w:val="restart"/>
            <w:noWrap w:val="0"/>
            <w:vAlign w:val="center"/>
          </w:tcPr>
          <w:p w14:paraId="09B410E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最高限价（%）</w:t>
            </w:r>
          </w:p>
        </w:tc>
        <w:tc>
          <w:tcPr>
            <w:tcW w:w="4337" w:type="dxa"/>
            <w:gridSpan w:val="2"/>
            <w:noWrap w:val="0"/>
            <w:vAlign w:val="center"/>
          </w:tcPr>
          <w:p w14:paraId="7C052FC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w:t>
            </w:r>
            <w:r>
              <w:rPr>
                <w:rFonts w:hint="eastAsia" w:ascii="仿宋" w:hAnsi="仿宋" w:eastAsia="仿宋" w:cs="仿宋"/>
                <w:b/>
                <w:color w:val="auto"/>
                <w:sz w:val="28"/>
                <w:szCs w:val="28"/>
                <w:highlight w:val="none"/>
                <w:lang w:val="en-US" w:eastAsia="zh-CN"/>
              </w:rPr>
              <w:t>报价（折扣%）</w:t>
            </w:r>
          </w:p>
        </w:tc>
      </w:tr>
      <w:tr w14:paraId="2116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58" w:type="dxa"/>
            <w:vMerge w:val="continue"/>
            <w:noWrap w:val="0"/>
            <w:vAlign w:val="center"/>
          </w:tcPr>
          <w:p w14:paraId="4A98EDF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2485" w:type="dxa"/>
            <w:vMerge w:val="continue"/>
            <w:noWrap w:val="0"/>
            <w:vAlign w:val="center"/>
          </w:tcPr>
          <w:p w14:paraId="2D803E4C">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398" w:type="dxa"/>
            <w:vMerge w:val="continue"/>
            <w:noWrap w:val="0"/>
            <w:vAlign w:val="center"/>
          </w:tcPr>
          <w:p w14:paraId="55662BA0">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676" w:type="dxa"/>
            <w:noWrap w:val="0"/>
            <w:vAlign w:val="center"/>
          </w:tcPr>
          <w:p w14:paraId="5A4B5892">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61" w:type="dxa"/>
            <w:noWrap w:val="0"/>
            <w:vAlign w:val="center"/>
          </w:tcPr>
          <w:p w14:paraId="6B8E0C0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18C3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058" w:type="dxa"/>
            <w:noWrap w:val="0"/>
            <w:vAlign w:val="center"/>
          </w:tcPr>
          <w:p w14:paraId="1859CC0C">
            <w:pPr>
              <w:kinsoku/>
              <w:wordWrap/>
              <w:overflowPunct/>
              <w:topLinePunct w:val="0"/>
              <w:bidi w:val="0"/>
              <w:spacing w:line="400" w:lineRule="exact"/>
              <w:jc w:val="center"/>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标项2</w:t>
            </w:r>
          </w:p>
        </w:tc>
        <w:tc>
          <w:tcPr>
            <w:tcW w:w="2485" w:type="dxa"/>
            <w:noWrap w:val="0"/>
            <w:vAlign w:val="center"/>
          </w:tcPr>
          <w:p w14:paraId="3C9E8D8A">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实施区域2</w:t>
            </w:r>
          </w:p>
        </w:tc>
        <w:tc>
          <w:tcPr>
            <w:tcW w:w="1398" w:type="dxa"/>
            <w:noWrap w:val="0"/>
            <w:vAlign w:val="center"/>
          </w:tcPr>
          <w:p w14:paraId="42DB189E">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65.00%</w:t>
            </w:r>
          </w:p>
        </w:tc>
        <w:tc>
          <w:tcPr>
            <w:tcW w:w="1676" w:type="dxa"/>
            <w:noWrap w:val="0"/>
            <w:vAlign w:val="center"/>
          </w:tcPr>
          <w:p w14:paraId="771A152F">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tc>
        <w:tc>
          <w:tcPr>
            <w:tcW w:w="2661" w:type="dxa"/>
            <w:noWrap w:val="0"/>
            <w:vAlign w:val="center"/>
          </w:tcPr>
          <w:p w14:paraId="25B2A157">
            <w:pPr>
              <w:kinsoku/>
              <w:wordWrap/>
              <w:overflowPunct/>
              <w:topLinePunct w:val="0"/>
              <w:bidi w:val="0"/>
              <w:spacing w:line="4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百分之**点**</w:t>
            </w:r>
          </w:p>
        </w:tc>
      </w:tr>
    </w:tbl>
    <w:p w14:paraId="3266FDCE">
      <w:pPr>
        <w:snapToGrid w:val="0"/>
        <w:spacing w:line="360" w:lineRule="auto"/>
        <w:ind w:firstLine="1920" w:firstLineChars="800"/>
        <w:rPr>
          <w:rFonts w:hint="eastAsia" w:ascii="仿宋" w:hAnsi="仿宋" w:eastAsia="仿宋" w:cs="仿宋"/>
          <w:b w:val="0"/>
          <w:bCs/>
          <w:color w:val="auto"/>
          <w:kern w:val="0"/>
          <w:sz w:val="24"/>
          <w:highlight w:val="none"/>
          <w:lang w:val="en-US" w:eastAsia="zh-CN"/>
        </w:rPr>
      </w:pPr>
    </w:p>
    <w:p w14:paraId="1E493C15">
      <w:pPr>
        <w:snapToGrid w:val="0"/>
        <w:spacing w:line="360" w:lineRule="auto"/>
        <w:ind w:left="5027" w:leftChars="2394" w:firstLine="0" w:firstLineChars="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en-US" w:eastAsia="zh-CN"/>
        </w:rPr>
        <w:t>磋商供应商名称（电子签名）</w:t>
      </w:r>
      <w:r>
        <w:rPr>
          <w:rFonts w:hint="eastAsia" w:ascii="仿宋" w:hAnsi="仿宋" w:eastAsia="仿宋" w:cs="仿宋"/>
          <w:b w:val="0"/>
          <w:bCs/>
          <w:color w:val="auto"/>
          <w:kern w:val="0"/>
          <w:sz w:val="24"/>
          <w:highlight w:val="none"/>
          <w:lang w:val="zh-CN"/>
        </w:rPr>
        <w:t>：日  期：</w:t>
      </w:r>
    </w:p>
    <w:p w14:paraId="23FF8C12">
      <w:pPr>
        <w:pStyle w:val="25"/>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7C9E2E65">
      <w:pPr>
        <w:pStyle w:val="25"/>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4FE16E8E">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7304A2D1">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620525F7">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09816C87">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24CA0F">
      <w:pPr>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br w:type="page"/>
      </w:r>
    </w:p>
    <w:p w14:paraId="7DF47B5F">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val="en-US" w:eastAsia="zh-CN"/>
        </w:rPr>
        <w:t>二轮报价表</w:t>
      </w:r>
      <w:r>
        <w:rPr>
          <w:rFonts w:hint="eastAsia" w:ascii="仿宋" w:hAnsi="仿宋" w:eastAsia="仿宋" w:cs="仿宋"/>
          <w:kern w:val="2"/>
          <w:sz w:val="32"/>
          <w:szCs w:val="32"/>
          <w:highlight w:val="none"/>
        </w:rPr>
        <w:t>（标项1）</w:t>
      </w:r>
    </w:p>
    <w:p w14:paraId="35E1B6B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诸暨市东和乡2024-2025年度市政园林、房建设计服务采购项目</w:t>
      </w:r>
    </w:p>
    <w:p w14:paraId="2A31894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绍兴盈伽2024-11-21</w:t>
      </w:r>
    </w:p>
    <w:tbl>
      <w:tblPr>
        <w:tblStyle w:val="6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225"/>
        <w:gridCol w:w="1427"/>
        <w:gridCol w:w="1907"/>
        <w:gridCol w:w="2661"/>
      </w:tblGrid>
      <w:tr w14:paraId="5B45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58" w:type="dxa"/>
            <w:vMerge w:val="restart"/>
            <w:noWrap w:val="0"/>
            <w:vAlign w:val="center"/>
          </w:tcPr>
          <w:p w14:paraId="1FB62DA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2225" w:type="dxa"/>
            <w:vMerge w:val="restart"/>
            <w:noWrap w:val="0"/>
            <w:vAlign w:val="center"/>
          </w:tcPr>
          <w:p w14:paraId="24E7A3F3">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427" w:type="dxa"/>
            <w:vMerge w:val="restart"/>
            <w:noWrap w:val="0"/>
            <w:vAlign w:val="center"/>
          </w:tcPr>
          <w:p w14:paraId="3898967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最高限价（%）</w:t>
            </w:r>
          </w:p>
        </w:tc>
        <w:tc>
          <w:tcPr>
            <w:tcW w:w="4568" w:type="dxa"/>
            <w:gridSpan w:val="2"/>
            <w:noWrap w:val="0"/>
            <w:vAlign w:val="center"/>
          </w:tcPr>
          <w:p w14:paraId="17220AC3">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w:t>
            </w:r>
            <w:r>
              <w:rPr>
                <w:rFonts w:hint="eastAsia" w:ascii="仿宋" w:hAnsi="仿宋" w:eastAsia="仿宋" w:cs="仿宋"/>
                <w:b/>
                <w:color w:val="auto"/>
                <w:sz w:val="28"/>
                <w:szCs w:val="28"/>
                <w:highlight w:val="none"/>
                <w:lang w:val="en-US" w:eastAsia="zh-CN"/>
              </w:rPr>
              <w:t>报价（折扣%）</w:t>
            </w:r>
          </w:p>
        </w:tc>
      </w:tr>
      <w:tr w14:paraId="4676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58" w:type="dxa"/>
            <w:vMerge w:val="continue"/>
            <w:noWrap w:val="0"/>
            <w:vAlign w:val="center"/>
          </w:tcPr>
          <w:p w14:paraId="501E4D1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2225" w:type="dxa"/>
            <w:vMerge w:val="continue"/>
            <w:noWrap w:val="0"/>
            <w:vAlign w:val="center"/>
          </w:tcPr>
          <w:p w14:paraId="5C623878">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427" w:type="dxa"/>
            <w:vMerge w:val="continue"/>
            <w:noWrap w:val="0"/>
            <w:vAlign w:val="center"/>
          </w:tcPr>
          <w:p w14:paraId="54B61693">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907" w:type="dxa"/>
            <w:noWrap w:val="0"/>
            <w:vAlign w:val="center"/>
          </w:tcPr>
          <w:p w14:paraId="4A49924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61" w:type="dxa"/>
            <w:noWrap w:val="0"/>
            <w:vAlign w:val="center"/>
          </w:tcPr>
          <w:p w14:paraId="3386CD8C">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3420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058" w:type="dxa"/>
            <w:noWrap w:val="0"/>
            <w:vAlign w:val="center"/>
          </w:tcPr>
          <w:p w14:paraId="65F68F7A">
            <w:pPr>
              <w:kinsoku/>
              <w:wordWrap/>
              <w:overflowPunct/>
              <w:topLinePunct w:val="0"/>
              <w:bidi w:val="0"/>
              <w:spacing w:line="400" w:lineRule="exact"/>
              <w:jc w:val="center"/>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标项1</w:t>
            </w:r>
          </w:p>
        </w:tc>
        <w:tc>
          <w:tcPr>
            <w:tcW w:w="2225" w:type="dxa"/>
            <w:noWrap w:val="0"/>
            <w:vAlign w:val="center"/>
          </w:tcPr>
          <w:p w14:paraId="6B1F0AE5">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实施区域1</w:t>
            </w:r>
          </w:p>
        </w:tc>
        <w:tc>
          <w:tcPr>
            <w:tcW w:w="1427" w:type="dxa"/>
            <w:noWrap w:val="0"/>
            <w:vAlign w:val="center"/>
          </w:tcPr>
          <w:p w14:paraId="2312222F">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不得超过第一次报价</w:t>
            </w:r>
          </w:p>
        </w:tc>
        <w:tc>
          <w:tcPr>
            <w:tcW w:w="1907" w:type="dxa"/>
            <w:noWrap w:val="0"/>
            <w:vAlign w:val="center"/>
          </w:tcPr>
          <w:p w14:paraId="78EFC784">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tc>
        <w:tc>
          <w:tcPr>
            <w:tcW w:w="2661" w:type="dxa"/>
            <w:noWrap w:val="0"/>
            <w:vAlign w:val="center"/>
          </w:tcPr>
          <w:p w14:paraId="1AEDDD3C">
            <w:pPr>
              <w:kinsoku/>
              <w:wordWrap/>
              <w:overflowPunct/>
              <w:topLinePunct w:val="0"/>
              <w:bidi w:val="0"/>
              <w:spacing w:line="4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百分之**点**</w:t>
            </w:r>
          </w:p>
        </w:tc>
      </w:tr>
    </w:tbl>
    <w:p w14:paraId="3FAAB88C">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highlight w:val="none"/>
          <w:lang w:val="en-US" w:eastAsia="zh-CN"/>
        </w:rPr>
      </w:pPr>
    </w:p>
    <w:p w14:paraId="4BF64606">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val="zh-CN"/>
        </w:rPr>
        <w:t>磋商供应商名称（电子签名）：</w:t>
      </w:r>
    </w:p>
    <w:p w14:paraId="288A26B1">
      <w:pP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 xml:space="preserve">                                    </w:t>
      </w:r>
    </w:p>
    <w:p w14:paraId="2B0A4DE1">
      <w:pPr>
        <w:ind w:firstLine="4320" w:firstLineChars="18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日  期：</w:t>
      </w:r>
    </w:p>
    <w:p w14:paraId="628E6378">
      <w:pPr>
        <w:pStyle w:val="25"/>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5071137D">
      <w:pPr>
        <w:pStyle w:val="25"/>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5EB554DC">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77BA1F9B">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575683F2">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278E3805">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F40CB0">
      <w:pPr>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br w:type="page"/>
      </w:r>
    </w:p>
    <w:p w14:paraId="6C711569">
      <w:pPr>
        <w:pStyle w:val="26"/>
        <w:rPr>
          <w:rFonts w:hint="eastAsia"/>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7C43FDC1">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eastAsia="zh-CN"/>
        </w:rPr>
      </w:pPr>
      <w:r>
        <w:rPr>
          <w:rFonts w:hint="eastAsia" w:ascii="仿宋" w:hAnsi="仿宋" w:eastAsia="仿宋" w:cs="仿宋"/>
          <w:b/>
          <w:bCs w:val="0"/>
          <w:color w:val="auto"/>
          <w:kern w:val="2"/>
          <w:sz w:val="32"/>
          <w:szCs w:val="32"/>
          <w:highlight w:val="none"/>
          <w:lang w:val="en-US" w:eastAsia="zh-CN"/>
        </w:rPr>
        <w:t>二轮报价表</w:t>
      </w:r>
      <w:r>
        <w:rPr>
          <w:rFonts w:hint="eastAsia" w:ascii="仿宋" w:hAnsi="仿宋" w:eastAsia="仿宋" w:cs="仿宋"/>
          <w:b/>
          <w:bCs w:val="0"/>
          <w:color w:val="auto"/>
          <w:kern w:val="2"/>
          <w:sz w:val="32"/>
          <w:szCs w:val="32"/>
          <w:highlight w:val="none"/>
          <w:lang w:eastAsia="zh-CN"/>
        </w:rPr>
        <w:t>（</w:t>
      </w:r>
      <w:r>
        <w:rPr>
          <w:rFonts w:hint="eastAsia" w:ascii="仿宋" w:hAnsi="仿宋" w:eastAsia="仿宋" w:cs="仿宋"/>
          <w:b/>
          <w:bCs w:val="0"/>
          <w:color w:val="auto"/>
          <w:kern w:val="2"/>
          <w:sz w:val="32"/>
          <w:szCs w:val="32"/>
          <w:highlight w:val="none"/>
          <w:lang w:val="en-US" w:eastAsia="zh-CN"/>
        </w:rPr>
        <w:t>标项2</w:t>
      </w:r>
      <w:r>
        <w:rPr>
          <w:rFonts w:hint="eastAsia" w:ascii="仿宋" w:hAnsi="仿宋" w:eastAsia="仿宋" w:cs="仿宋"/>
          <w:b/>
          <w:bCs w:val="0"/>
          <w:color w:val="auto"/>
          <w:kern w:val="2"/>
          <w:sz w:val="32"/>
          <w:szCs w:val="32"/>
          <w:highlight w:val="none"/>
          <w:lang w:eastAsia="zh-CN"/>
        </w:rPr>
        <w:t>）</w:t>
      </w:r>
    </w:p>
    <w:p w14:paraId="609C001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诸暨市东和乡2024-2025年度市政园林、房建设计服务采购项目</w:t>
      </w:r>
    </w:p>
    <w:p w14:paraId="61C6593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绍兴盈伽2024-11-21</w:t>
      </w:r>
    </w:p>
    <w:tbl>
      <w:tblPr>
        <w:tblStyle w:val="6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485"/>
        <w:gridCol w:w="1398"/>
        <w:gridCol w:w="1676"/>
        <w:gridCol w:w="2661"/>
      </w:tblGrid>
      <w:tr w14:paraId="4D63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58" w:type="dxa"/>
            <w:vMerge w:val="restart"/>
            <w:noWrap w:val="0"/>
            <w:vAlign w:val="center"/>
          </w:tcPr>
          <w:p w14:paraId="6B042FC5">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2485" w:type="dxa"/>
            <w:vMerge w:val="restart"/>
            <w:noWrap w:val="0"/>
            <w:vAlign w:val="center"/>
          </w:tcPr>
          <w:p w14:paraId="76B0B7B0">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398" w:type="dxa"/>
            <w:vMerge w:val="restart"/>
            <w:noWrap w:val="0"/>
            <w:vAlign w:val="center"/>
          </w:tcPr>
          <w:p w14:paraId="076703FB">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最高限价（%）</w:t>
            </w:r>
          </w:p>
        </w:tc>
        <w:tc>
          <w:tcPr>
            <w:tcW w:w="4337" w:type="dxa"/>
            <w:gridSpan w:val="2"/>
            <w:noWrap w:val="0"/>
            <w:vAlign w:val="center"/>
          </w:tcPr>
          <w:p w14:paraId="05A48B9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w:t>
            </w:r>
            <w:r>
              <w:rPr>
                <w:rFonts w:hint="eastAsia" w:ascii="仿宋" w:hAnsi="仿宋" w:eastAsia="仿宋" w:cs="仿宋"/>
                <w:b/>
                <w:color w:val="auto"/>
                <w:sz w:val="28"/>
                <w:szCs w:val="28"/>
                <w:highlight w:val="none"/>
                <w:lang w:val="en-US" w:eastAsia="zh-CN"/>
              </w:rPr>
              <w:t>报价（折扣%）</w:t>
            </w:r>
          </w:p>
        </w:tc>
      </w:tr>
      <w:tr w14:paraId="0942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58" w:type="dxa"/>
            <w:vMerge w:val="continue"/>
            <w:noWrap w:val="0"/>
            <w:vAlign w:val="center"/>
          </w:tcPr>
          <w:p w14:paraId="3B3AFC0B">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2485" w:type="dxa"/>
            <w:vMerge w:val="continue"/>
            <w:noWrap w:val="0"/>
            <w:vAlign w:val="center"/>
          </w:tcPr>
          <w:p w14:paraId="142004A1">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398" w:type="dxa"/>
            <w:vMerge w:val="continue"/>
            <w:noWrap w:val="0"/>
            <w:vAlign w:val="center"/>
          </w:tcPr>
          <w:p w14:paraId="2180A1AC">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676" w:type="dxa"/>
            <w:noWrap w:val="0"/>
            <w:vAlign w:val="center"/>
          </w:tcPr>
          <w:p w14:paraId="46C86B21">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61" w:type="dxa"/>
            <w:noWrap w:val="0"/>
            <w:vAlign w:val="center"/>
          </w:tcPr>
          <w:p w14:paraId="3C400B9C">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4897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058" w:type="dxa"/>
            <w:noWrap w:val="0"/>
            <w:vAlign w:val="center"/>
          </w:tcPr>
          <w:p w14:paraId="67434399">
            <w:pPr>
              <w:kinsoku/>
              <w:wordWrap/>
              <w:overflowPunct/>
              <w:topLinePunct w:val="0"/>
              <w:bidi w:val="0"/>
              <w:spacing w:line="400" w:lineRule="exact"/>
              <w:jc w:val="center"/>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标项2</w:t>
            </w:r>
          </w:p>
        </w:tc>
        <w:tc>
          <w:tcPr>
            <w:tcW w:w="2485" w:type="dxa"/>
            <w:noWrap w:val="0"/>
            <w:vAlign w:val="center"/>
          </w:tcPr>
          <w:p w14:paraId="53A9D1D0">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实施区域2</w:t>
            </w:r>
          </w:p>
        </w:tc>
        <w:tc>
          <w:tcPr>
            <w:tcW w:w="1398" w:type="dxa"/>
            <w:noWrap w:val="0"/>
            <w:vAlign w:val="center"/>
          </w:tcPr>
          <w:p w14:paraId="2CB89938">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不得超过第一次报价</w:t>
            </w:r>
          </w:p>
        </w:tc>
        <w:tc>
          <w:tcPr>
            <w:tcW w:w="1676" w:type="dxa"/>
            <w:noWrap w:val="0"/>
            <w:vAlign w:val="center"/>
          </w:tcPr>
          <w:p w14:paraId="5C945251">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tc>
        <w:tc>
          <w:tcPr>
            <w:tcW w:w="2661" w:type="dxa"/>
            <w:noWrap w:val="0"/>
            <w:vAlign w:val="center"/>
          </w:tcPr>
          <w:p w14:paraId="23CCA182">
            <w:pPr>
              <w:kinsoku/>
              <w:wordWrap/>
              <w:overflowPunct/>
              <w:topLinePunct w:val="0"/>
              <w:bidi w:val="0"/>
              <w:spacing w:line="4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百分之**点**</w:t>
            </w:r>
          </w:p>
        </w:tc>
      </w:tr>
    </w:tbl>
    <w:p w14:paraId="27762645">
      <w:pPr>
        <w:snapToGrid w:val="0"/>
        <w:spacing w:line="360" w:lineRule="auto"/>
        <w:ind w:firstLine="1920" w:firstLineChars="800"/>
        <w:rPr>
          <w:rFonts w:hint="eastAsia" w:ascii="仿宋" w:hAnsi="仿宋" w:eastAsia="仿宋" w:cs="仿宋"/>
          <w:b w:val="0"/>
          <w:bCs/>
          <w:color w:val="auto"/>
          <w:kern w:val="0"/>
          <w:sz w:val="24"/>
          <w:highlight w:val="none"/>
          <w:lang w:val="en-US" w:eastAsia="zh-CN"/>
        </w:rPr>
      </w:pPr>
    </w:p>
    <w:p w14:paraId="05367655">
      <w:pPr>
        <w:snapToGrid w:val="0"/>
        <w:spacing w:line="360" w:lineRule="auto"/>
        <w:ind w:left="5027" w:leftChars="2394" w:firstLine="0" w:firstLineChars="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en-US" w:eastAsia="zh-CN"/>
        </w:rPr>
        <w:t>磋商供应商名称（电子签名）</w:t>
      </w:r>
      <w:r>
        <w:rPr>
          <w:rFonts w:hint="eastAsia" w:ascii="仿宋" w:hAnsi="仿宋" w:eastAsia="仿宋" w:cs="仿宋"/>
          <w:b w:val="0"/>
          <w:bCs/>
          <w:color w:val="auto"/>
          <w:kern w:val="0"/>
          <w:sz w:val="24"/>
          <w:highlight w:val="none"/>
          <w:lang w:val="zh-CN"/>
        </w:rPr>
        <w:t>：日  期：</w:t>
      </w:r>
    </w:p>
    <w:p w14:paraId="600AA1B7">
      <w:pPr>
        <w:pStyle w:val="25"/>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03BF43A6">
      <w:pPr>
        <w:pStyle w:val="25"/>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6062AF80">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2058DDC9">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67DDA448">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16BAB2D7">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0AFE38">
      <w:pPr>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br w:type="page"/>
      </w:r>
    </w:p>
    <w:p w14:paraId="5101365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 w:hAnsi="仿宋" w:eastAsia="仿宋" w:cs="仿宋"/>
          <w:sz w:val="32"/>
          <w:szCs w:val="32"/>
          <w:highlight w:val="none"/>
        </w:rPr>
        <w:t>中小企业声明函</w:t>
      </w:r>
    </w:p>
    <w:p w14:paraId="42A4D62E">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528BC981">
      <w:pPr>
        <w:tabs>
          <w:tab w:val="left" w:pos="8085"/>
        </w:tabs>
        <w:spacing w:line="360" w:lineRule="auto"/>
        <w:ind w:firstLine="1285" w:firstLineChars="400"/>
        <w:jc w:val="left"/>
        <w:rPr>
          <w:rFonts w:hint="eastAsia" w:ascii="仿宋" w:hAnsi="仿宋" w:eastAsia="仿宋" w:cs="仿宋"/>
          <w:b/>
          <w:sz w:val="32"/>
          <w:szCs w:val="32"/>
          <w:highlight w:val="none"/>
        </w:rPr>
        <w:sectPr>
          <w:headerReference r:id="rId24" w:type="default"/>
          <w:footerReference r:id="rId25"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9CA5A7F">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14:paraId="771E7E6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25A8C1EE">
      <w:pPr>
        <w:pStyle w:val="4"/>
        <w:jc w:val="center"/>
        <w:rPr>
          <w:rFonts w:hint="eastAsia" w:ascii="仿宋" w:hAnsi="仿宋" w:eastAsia="仿宋" w:cs="仿宋"/>
          <w:b/>
          <w:spacing w:val="6"/>
          <w:sz w:val="44"/>
          <w:szCs w:val="44"/>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87307D3">
      <w:pPr>
        <w:pStyle w:val="4"/>
        <w:jc w:val="center"/>
        <w:rPr>
          <w:rFonts w:hint="eastAsia" w:ascii="仿宋" w:hAnsi="仿宋" w:eastAsia="仿宋" w:cs="仿宋"/>
          <w:sz w:val="44"/>
          <w:szCs w:val="44"/>
          <w:highlight w:val="none"/>
          <w:lang w:val="en-US" w:eastAsia="zh-CN"/>
        </w:rPr>
      </w:pPr>
      <w:r>
        <w:rPr>
          <w:rFonts w:hint="eastAsia" w:ascii="仿宋" w:hAnsi="仿宋" w:eastAsia="仿宋" w:cs="仿宋"/>
          <w:b/>
          <w:spacing w:val="6"/>
          <w:sz w:val="44"/>
          <w:szCs w:val="44"/>
          <w:highlight w:val="none"/>
          <w:lang w:val="en-US" w:eastAsia="zh-CN"/>
        </w:rPr>
        <w:t>附件</w:t>
      </w:r>
    </w:p>
    <w:p w14:paraId="52C17FF8">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408C5580">
      <w:pPr>
        <w:spacing w:line="360" w:lineRule="auto"/>
        <w:jc w:val="center"/>
        <w:rPr>
          <w:rFonts w:hint="eastAsia" w:ascii="仿宋" w:hAnsi="仿宋" w:eastAsia="仿宋" w:cs="仿宋"/>
          <w:b/>
          <w:spacing w:val="6"/>
          <w:sz w:val="32"/>
          <w:szCs w:val="32"/>
          <w:highlight w:val="none"/>
        </w:rPr>
      </w:pPr>
      <w:bookmarkStart w:id="504" w:name="OLE_LINK14"/>
      <w:bookmarkStart w:id="505" w:name="OLE_LINK13"/>
      <w:r>
        <w:rPr>
          <w:rFonts w:hint="eastAsia" w:ascii="仿宋" w:hAnsi="仿宋" w:eastAsia="仿宋" w:cs="仿宋"/>
          <w:b/>
          <w:spacing w:val="6"/>
          <w:sz w:val="32"/>
          <w:szCs w:val="32"/>
          <w:highlight w:val="none"/>
        </w:rPr>
        <w:t>残疾人福利性单位声明函</w:t>
      </w:r>
    </w:p>
    <w:bookmarkEnd w:id="504"/>
    <w:bookmarkEnd w:id="505"/>
    <w:p w14:paraId="4BB7A3C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highlight w:val="none"/>
        </w:rPr>
      </w:pPr>
    </w:p>
    <w:p w14:paraId="40562CD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02DA3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4162F9FF">
      <w:pPr>
        <w:spacing w:line="360" w:lineRule="auto"/>
        <w:ind w:firstLine="480" w:firstLineChars="200"/>
        <w:rPr>
          <w:rFonts w:hint="eastAsia" w:ascii="仿宋" w:hAnsi="仿宋" w:eastAsia="仿宋" w:cs="仿宋"/>
          <w:sz w:val="24"/>
          <w:highlight w:val="none"/>
        </w:rPr>
      </w:pPr>
    </w:p>
    <w:p w14:paraId="1CC12D99">
      <w:pPr>
        <w:spacing w:line="360" w:lineRule="auto"/>
        <w:ind w:firstLine="480" w:firstLineChars="200"/>
        <w:rPr>
          <w:rFonts w:hint="eastAsia" w:ascii="仿宋" w:hAnsi="仿宋" w:eastAsia="仿宋" w:cs="仿宋"/>
          <w:sz w:val="24"/>
          <w:highlight w:val="none"/>
        </w:rPr>
      </w:pPr>
    </w:p>
    <w:p w14:paraId="6896C75B">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0BB77770">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A3A2464">
      <w:pPr>
        <w:tabs>
          <w:tab w:val="left" w:pos="1559"/>
          <w:tab w:val="center" w:pos="4212"/>
        </w:tabs>
        <w:spacing w:line="360" w:lineRule="auto"/>
        <w:jc w:val="center"/>
        <w:rPr>
          <w:rFonts w:hint="eastAsia" w:ascii="仿宋" w:hAnsi="仿宋" w:eastAsia="仿宋" w:cs="仿宋"/>
          <w:b/>
          <w:spacing w:val="6"/>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694C004">
      <w:pPr>
        <w:tabs>
          <w:tab w:val="left" w:pos="1559"/>
          <w:tab w:val="center" w:pos="4212"/>
        </w:tabs>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3563E56D">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52B9E9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DC21D5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1C10523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6D6AE7F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0A96F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58B6187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5A42BE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A620F7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39B533D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472FB02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C5A8AA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30BC3CB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3760388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3AAF977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E7BCBF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4F45A3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56D507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D1E6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0506C13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w:t>
      </w:r>
    </w:p>
    <w:p w14:paraId="0DEA951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669C86C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41334B6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28594F7">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FA7F308">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highlight w:val="none"/>
        </w:rPr>
      </w:pPr>
    </w:p>
    <w:p w14:paraId="0720BD73">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1C4D519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746643F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1509F1A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2AB40F7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6654BE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1B4E329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607E0BC0">
      <w:pPr>
        <w:spacing w:line="360" w:lineRule="auto"/>
        <w:jc w:val="center"/>
        <w:rPr>
          <w:rFonts w:hint="eastAsia" w:ascii="仿宋" w:hAnsi="仿宋" w:eastAsia="仿宋" w:cs="仿宋"/>
          <w:b/>
          <w:spacing w:val="6"/>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FB3DCCB">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0653C19D">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7EFA370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5ECB5D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5B4D92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18AF63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004171A">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1DA4E7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06F8D0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D25AB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p>
    <w:p w14:paraId="54C974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D565D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48A0A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5843A5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14AC6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p>
    <w:p w14:paraId="687CBEC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41DE7C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CE24BA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508958F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50A857F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8CB02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67D2513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C2661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1A4B0E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4F83FE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0E7CBB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p>
    <w:p w14:paraId="2ED30F5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7FE04C6">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3211CD7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618F4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44C9FA2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56B08FE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4F5654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07BA24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6262FC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投诉事项2</w:t>
      </w:r>
    </w:p>
    <w:p w14:paraId="5B2AE12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F749B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1168B9F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E4950F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p>
    <w:p w14:paraId="07E5EA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9F569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5F7F5AD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p>
    <w:p w14:paraId="7CAA20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p>
    <w:p w14:paraId="15A81B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6005E1F8">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712B6B7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16A48E7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615EAE29">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5282B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384939B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65C7B83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16ACB9CD">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9B506FD">
      <w:pPr>
        <w:autoSpaceDE w:val="0"/>
        <w:autoSpaceDN w:val="0"/>
        <w:jc w:val="center"/>
        <w:rPr>
          <w:rFonts w:hint="eastAsia" w:ascii="仿宋" w:hAnsi="仿宋" w:eastAsia="仿宋" w:cs="仿宋"/>
          <w:b/>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sz w:val="32"/>
          <w:szCs w:val="32"/>
          <w:highlight w:val="none"/>
        </w:rPr>
        <w:t>中小企业声明函</w:t>
      </w:r>
    </w:p>
    <w:p w14:paraId="0EEF0315">
      <w:pPr>
        <w:adjustRightInd/>
        <w:spacing w:line="336" w:lineRule="auto"/>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中小企业声明函</w:t>
      </w:r>
      <w:r>
        <w:rPr>
          <w:rFonts w:hint="eastAsia" w:ascii="仿宋" w:hAnsi="仿宋" w:eastAsia="仿宋" w:cs="仿宋"/>
          <w:b/>
          <w:sz w:val="32"/>
          <w:szCs w:val="32"/>
          <w:highlight w:val="none"/>
        </w:rPr>
        <w:t>（服务）</w:t>
      </w:r>
    </w:p>
    <w:p w14:paraId="0FBFFDE5">
      <w:pPr>
        <w:spacing w:line="336"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本公司（联合体）郑重声明，根据《政府采购促进中小企业发展管理办法》（财库﹝2020﹞46号）的规定，本公司（联合体）参加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32E16E0A">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3B1E5879">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0F4BF5D6">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14:paraId="1CF9C392">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3364278">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6186703E">
      <w:pPr>
        <w:spacing w:line="336" w:lineRule="auto"/>
        <w:jc w:val="right"/>
        <w:rPr>
          <w:rFonts w:ascii="仿宋" w:hAnsi="仿宋" w:eastAsia="仿宋" w:cs="仿宋"/>
          <w:sz w:val="24"/>
          <w:highlight w:val="none"/>
        </w:rPr>
      </w:pPr>
      <w:r>
        <w:rPr>
          <w:rFonts w:hint="eastAsia" w:ascii="仿宋" w:hAnsi="仿宋" w:eastAsia="仿宋" w:cs="仿宋"/>
          <w:sz w:val="24"/>
          <w:highlight w:val="none"/>
        </w:rPr>
        <w:t>供应商名称（电子签名）：</w:t>
      </w:r>
    </w:p>
    <w:p w14:paraId="156A5C8A">
      <w:pPr>
        <w:spacing w:line="336" w:lineRule="auto"/>
        <w:ind w:firstLine="6600" w:firstLineChars="2750"/>
        <w:rPr>
          <w:rFonts w:ascii="仿宋" w:hAnsi="仿宋" w:eastAsia="仿宋" w:cs="仿宋"/>
          <w:sz w:val="24"/>
          <w:highlight w:val="none"/>
        </w:rPr>
      </w:pPr>
      <w:r>
        <w:rPr>
          <w:rFonts w:hint="eastAsia" w:ascii="仿宋" w:hAnsi="仿宋" w:eastAsia="仿宋" w:cs="仿宋"/>
          <w:sz w:val="24"/>
          <w:highlight w:val="none"/>
        </w:rPr>
        <w:t>日 期：</w:t>
      </w:r>
    </w:p>
    <w:p w14:paraId="5039A240">
      <w:pPr>
        <w:spacing w:line="336"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55BF947C">
      <w:pPr>
        <w:spacing w:line="336" w:lineRule="auto"/>
        <w:rPr>
          <w:rFonts w:ascii="仿宋" w:hAnsi="仿宋" w:eastAsia="仿宋" w:cs="仿宋"/>
          <w:sz w:val="24"/>
          <w:highlight w:val="none"/>
        </w:rPr>
      </w:pPr>
      <w:r>
        <w:rPr>
          <w:rFonts w:hint="eastAsia" w:ascii="仿宋" w:hAnsi="仿宋" w:eastAsia="仿宋" w:cs="仿宋"/>
          <w:sz w:val="24"/>
          <w:highlight w:val="none"/>
        </w:rPr>
        <w:t xml:space="preserve">   注：</w:t>
      </w:r>
    </w:p>
    <w:p w14:paraId="3AA6E5E1">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w:t>
      </w:r>
      <w:r>
        <w:rPr>
          <w:rFonts w:hint="eastAsia" w:ascii="仿宋" w:hAnsi="仿宋" w:eastAsia="仿宋" w:cs="仿宋"/>
          <w:sz w:val="24"/>
          <w:highlight w:val="none"/>
          <w:lang w:val="zh-CN"/>
        </w:rPr>
        <w:t>中小企业声明函</w:t>
      </w:r>
      <w:r>
        <w:rPr>
          <w:rFonts w:hint="eastAsia" w:ascii="仿宋" w:hAnsi="仿宋" w:eastAsia="仿宋" w:cs="仿宋"/>
          <w:sz w:val="24"/>
          <w:highlight w:val="none"/>
        </w:rPr>
        <w:t>》与实际情况不符的或者未按以上要求填写的，</w:t>
      </w:r>
      <w:r>
        <w:rPr>
          <w:rFonts w:hint="eastAsia" w:ascii="仿宋" w:hAnsi="仿宋" w:eastAsia="仿宋" w:cs="仿宋"/>
          <w:sz w:val="24"/>
          <w:highlight w:val="none"/>
          <w:lang w:val="zh-CN"/>
        </w:rPr>
        <w:t>中小企业声明函</w:t>
      </w:r>
      <w:r>
        <w:rPr>
          <w:rFonts w:hint="eastAsia" w:ascii="仿宋" w:hAnsi="仿宋" w:eastAsia="仿宋" w:cs="仿宋"/>
          <w:sz w:val="24"/>
          <w:highlight w:val="none"/>
        </w:rPr>
        <w:t>无效，不享受中小企业扶持政策。声明内容不实的，属于提供虚假材料谋取中标、成交的，依法承担法律责任。</w:t>
      </w:r>
    </w:p>
    <w:p w14:paraId="1ABFF90A">
      <w:pPr>
        <w:keepNext w:val="0"/>
        <w:keepLines w:val="0"/>
        <w:pageBreakBefore w:val="0"/>
        <w:widowControl w:val="0"/>
        <w:kinsoku/>
        <w:wordWrap/>
        <w:overflowPunct/>
        <w:topLinePunct w:val="0"/>
        <w:autoSpaceDE/>
        <w:autoSpaceDN/>
        <w:bidi w:val="0"/>
        <w:adjustRightInd w:val="0"/>
        <w:snapToGrid/>
        <w:spacing w:line="360" w:lineRule="exact"/>
        <w:ind w:firstLine="720" w:firstLineChars="300"/>
        <w:textAlignment w:val="auto"/>
        <w:rPr>
          <w:rFonts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770226F">
      <w:pPr>
        <w:spacing w:line="336" w:lineRule="auto"/>
        <w:rPr>
          <w:rFonts w:ascii="仿宋" w:hAnsi="仿宋" w:eastAsia="仿宋" w:cs="仿宋"/>
          <w:b/>
          <w:sz w:val="24"/>
          <w:highlight w:val="none"/>
        </w:rPr>
      </w:pPr>
    </w:p>
    <w:p w14:paraId="4E7D95F6">
      <w:pPr>
        <w:pageBreakBefore/>
        <w:shd w:val="clear" w:color="auto" w:fill="FFFFFF"/>
        <w:spacing w:line="336" w:lineRule="auto"/>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国家统计局关于印发《统计上大中小微型企业划分办法（2017）》的通知</w:t>
      </w:r>
    </w:p>
    <w:p w14:paraId="2318CD5A">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各省、自治区、直辖市统计局，新疆生产建设兵团统计局，国务院各有关部门，国家统计局各调查总队：</w:t>
      </w:r>
    </w:p>
    <w:p w14:paraId="3F5269D4">
      <w:pPr>
        <w:widowControl/>
        <w:shd w:val="clear" w:color="auto" w:fill="FFFFFF"/>
        <w:spacing w:line="336" w:lineRule="auto"/>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A5B7CA7">
      <w:pPr>
        <w:widowControl/>
        <w:spacing w:line="336" w:lineRule="auto"/>
        <w:jc w:val="left"/>
        <w:rPr>
          <w:rFonts w:ascii="仿宋" w:hAnsi="仿宋" w:eastAsia="仿宋" w:cs="仿宋"/>
          <w:kern w:val="0"/>
          <w:szCs w:val="21"/>
          <w:highlight w:val="none"/>
        </w:rPr>
      </w:pPr>
      <w:r>
        <w:rPr>
          <w:rFonts w:hint="eastAsia" w:ascii="仿宋" w:hAnsi="仿宋" w:eastAsia="仿宋" w:cs="仿宋"/>
          <w:kern w:val="0"/>
          <w:szCs w:val="21"/>
          <w:highlight w:val="none"/>
        </w:rPr>
        <w:t>附件：《统计上大中小微型企业划分办法（2017）》修订说明</w:t>
      </w:r>
    </w:p>
    <w:p w14:paraId="4822CF93">
      <w:pPr>
        <w:widowControl/>
        <w:shd w:val="clear" w:color="auto" w:fill="FFFFFF"/>
        <w:spacing w:line="336" w:lineRule="auto"/>
        <w:jc w:val="righ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国家统计局  </w:t>
      </w:r>
    </w:p>
    <w:p w14:paraId="76904A9B">
      <w:pPr>
        <w:widowControl/>
        <w:shd w:val="clear" w:color="auto" w:fill="FFFFFF"/>
        <w:spacing w:line="336" w:lineRule="auto"/>
        <w:jc w:val="righ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2017年12月28日</w:t>
      </w:r>
    </w:p>
    <w:p w14:paraId="22CBCECF">
      <w:pPr>
        <w:pStyle w:val="25"/>
        <w:spacing w:line="336" w:lineRule="auto"/>
        <w:rPr>
          <w:rFonts w:ascii="仿宋" w:hAnsi="仿宋" w:eastAsia="仿宋" w:cs="仿宋"/>
          <w:highlight w:val="none"/>
          <w:lang w:val="en-US"/>
        </w:rPr>
      </w:pPr>
    </w:p>
    <w:p w14:paraId="72CA0DA1">
      <w:pPr>
        <w:widowControl/>
        <w:shd w:val="clear" w:color="auto" w:fill="FFFFFF"/>
        <w:spacing w:line="336" w:lineRule="auto"/>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统计上大中小微型企业划分办法（2017）</w:t>
      </w:r>
    </w:p>
    <w:p w14:paraId="09B4DC0D">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A83C613">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二、本办法适用对象为在中华人民共和国境内依法设立的各种组织形式的法人企业或单位。个体工商户参照本办法进行划分。</w:t>
      </w:r>
    </w:p>
    <w:p w14:paraId="55C3BE53">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B2009BA">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1307AA46">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五、企业划分由政府综合统计部门根据统计年报每年确定一次，定报统计原则上不进行调整。</w:t>
      </w:r>
    </w:p>
    <w:p w14:paraId="6873A9AF">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六、本办法自印发之日起执行，国家统计局2011年印发的《统计上大中小微型企业划分办法》（国统字〔2011〕75号）同时废止。</w:t>
      </w:r>
    </w:p>
    <w:p w14:paraId="6B111F76">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附表：统计上大中小微型企业划分标准</w:t>
      </w:r>
    </w:p>
    <w:p w14:paraId="3C05A832">
      <w:pPr>
        <w:widowControl/>
        <w:shd w:val="clear" w:color="auto" w:fill="FFFFFF"/>
        <w:spacing w:line="336" w:lineRule="auto"/>
        <w:jc w:val="center"/>
        <w:textAlignment w:val="baseline"/>
        <w:rPr>
          <w:rFonts w:hint="eastAsia" w:ascii="仿宋" w:hAnsi="仿宋" w:eastAsia="仿宋" w:cs="仿宋"/>
          <w:b/>
          <w:bCs/>
          <w:kern w:val="0"/>
          <w:sz w:val="32"/>
          <w:szCs w:val="32"/>
          <w:highlight w:val="none"/>
        </w:rPr>
      </w:pPr>
    </w:p>
    <w:p w14:paraId="2DA43935">
      <w:pPr>
        <w:widowControl/>
        <w:shd w:val="clear" w:color="auto" w:fill="FFFFFF"/>
        <w:spacing w:line="336" w:lineRule="auto"/>
        <w:jc w:val="center"/>
        <w:textAlignment w:val="baseline"/>
        <w:rPr>
          <w:rFonts w:hint="eastAsia" w:ascii="仿宋" w:hAnsi="仿宋" w:eastAsia="仿宋" w:cs="仿宋"/>
          <w:b/>
          <w:bCs/>
          <w:kern w:val="0"/>
          <w:sz w:val="32"/>
          <w:szCs w:val="32"/>
          <w:highlight w:val="none"/>
        </w:rPr>
      </w:pPr>
    </w:p>
    <w:p w14:paraId="65F0C9C5">
      <w:pPr>
        <w:widowControl/>
        <w:shd w:val="clear" w:color="auto" w:fill="FFFFFF"/>
        <w:spacing w:line="336" w:lineRule="auto"/>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统计上大中小微型企业划分标准</w:t>
      </w:r>
    </w:p>
    <w:tbl>
      <w:tblPr>
        <w:tblStyle w:val="66"/>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5926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center"/>
          </w:tcPr>
          <w:p w14:paraId="5496C470">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行业名称</w:t>
            </w:r>
          </w:p>
        </w:tc>
        <w:tc>
          <w:tcPr>
            <w:tcW w:w="1560" w:type="dxa"/>
            <w:tcMar>
              <w:top w:w="75" w:type="dxa"/>
              <w:left w:w="75" w:type="dxa"/>
              <w:bottom w:w="75" w:type="dxa"/>
              <w:right w:w="75" w:type="dxa"/>
            </w:tcMar>
            <w:vAlign w:val="center"/>
          </w:tcPr>
          <w:p w14:paraId="5767D8C8">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指标名称</w:t>
            </w:r>
          </w:p>
        </w:tc>
        <w:tc>
          <w:tcPr>
            <w:tcW w:w="671" w:type="dxa"/>
            <w:tcMar>
              <w:top w:w="75" w:type="dxa"/>
              <w:left w:w="75" w:type="dxa"/>
              <w:bottom w:w="75" w:type="dxa"/>
              <w:right w:w="75" w:type="dxa"/>
            </w:tcMar>
            <w:vAlign w:val="center"/>
          </w:tcPr>
          <w:p w14:paraId="2BEEABB0">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计量单位</w:t>
            </w:r>
          </w:p>
        </w:tc>
        <w:tc>
          <w:tcPr>
            <w:tcW w:w="1231" w:type="dxa"/>
            <w:tcMar>
              <w:top w:w="75" w:type="dxa"/>
              <w:left w:w="75" w:type="dxa"/>
              <w:bottom w:w="75" w:type="dxa"/>
              <w:right w:w="75" w:type="dxa"/>
            </w:tcMar>
            <w:vAlign w:val="center"/>
          </w:tcPr>
          <w:p w14:paraId="581FAB3F">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大型</w:t>
            </w:r>
          </w:p>
        </w:tc>
        <w:tc>
          <w:tcPr>
            <w:tcW w:w="1891" w:type="dxa"/>
            <w:tcMar>
              <w:top w:w="75" w:type="dxa"/>
              <w:left w:w="75" w:type="dxa"/>
              <w:bottom w:w="75" w:type="dxa"/>
              <w:right w:w="75" w:type="dxa"/>
            </w:tcMar>
            <w:vAlign w:val="center"/>
          </w:tcPr>
          <w:p w14:paraId="77CA123F">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中型</w:t>
            </w:r>
          </w:p>
        </w:tc>
        <w:tc>
          <w:tcPr>
            <w:tcW w:w="1730" w:type="dxa"/>
            <w:tcMar>
              <w:top w:w="75" w:type="dxa"/>
              <w:left w:w="75" w:type="dxa"/>
              <w:bottom w:w="75" w:type="dxa"/>
              <w:right w:w="75" w:type="dxa"/>
            </w:tcMar>
            <w:vAlign w:val="center"/>
          </w:tcPr>
          <w:p w14:paraId="34ECD9E7">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小型</w:t>
            </w:r>
          </w:p>
        </w:tc>
        <w:tc>
          <w:tcPr>
            <w:tcW w:w="1203" w:type="dxa"/>
            <w:tcMar>
              <w:top w:w="75" w:type="dxa"/>
              <w:left w:w="75" w:type="dxa"/>
              <w:bottom w:w="75" w:type="dxa"/>
              <w:right w:w="75" w:type="dxa"/>
            </w:tcMar>
            <w:vAlign w:val="center"/>
          </w:tcPr>
          <w:p w14:paraId="02BF6276">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微型</w:t>
            </w:r>
          </w:p>
        </w:tc>
      </w:tr>
      <w:tr w14:paraId="4F5A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DE3F64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农、林、牧、渔业</w:t>
            </w:r>
          </w:p>
        </w:tc>
        <w:tc>
          <w:tcPr>
            <w:tcW w:w="1560" w:type="dxa"/>
            <w:vAlign w:val="center"/>
          </w:tcPr>
          <w:p w14:paraId="74C09AD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5C4C9E5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7AA1EE3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Y≥20000</w:t>
            </w:r>
          </w:p>
        </w:tc>
        <w:tc>
          <w:tcPr>
            <w:tcW w:w="1891" w:type="dxa"/>
            <w:vAlign w:val="center"/>
          </w:tcPr>
          <w:p w14:paraId="0359A6C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500≤Y＜20000</w:t>
            </w:r>
          </w:p>
        </w:tc>
        <w:tc>
          <w:tcPr>
            <w:tcW w:w="1730" w:type="dxa"/>
            <w:vAlign w:val="center"/>
          </w:tcPr>
          <w:p w14:paraId="1731E56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50≤Y＜500</w:t>
            </w:r>
          </w:p>
        </w:tc>
        <w:tc>
          <w:tcPr>
            <w:tcW w:w="1203" w:type="dxa"/>
            <w:vAlign w:val="center"/>
          </w:tcPr>
          <w:p w14:paraId="4239345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Y＜50</w:t>
            </w:r>
          </w:p>
        </w:tc>
      </w:tr>
      <w:tr w14:paraId="7999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19E94E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工业 *</w:t>
            </w:r>
          </w:p>
        </w:tc>
        <w:tc>
          <w:tcPr>
            <w:tcW w:w="1560" w:type="dxa"/>
            <w:vAlign w:val="center"/>
          </w:tcPr>
          <w:p w14:paraId="1F648D7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0BDEF0B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595D1A6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X≥1000</w:t>
            </w:r>
          </w:p>
        </w:tc>
        <w:tc>
          <w:tcPr>
            <w:tcW w:w="1891" w:type="dxa"/>
            <w:vAlign w:val="center"/>
          </w:tcPr>
          <w:p w14:paraId="0342426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300≤X＜1000</w:t>
            </w:r>
          </w:p>
        </w:tc>
        <w:tc>
          <w:tcPr>
            <w:tcW w:w="1730" w:type="dxa"/>
            <w:vAlign w:val="center"/>
          </w:tcPr>
          <w:p w14:paraId="0EB4617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20≤X＜300</w:t>
            </w:r>
          </w:p>
        </w:tc>
        <w:tc>
          <w:tcPr>
            <w:tcW w:w="1203" w:type="dxa"/>
            <w:vAlign w:val="center"/>
          </w:tcPr>
          <w:p w14:paraId="025F988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w:t>
            </w:r>
          </w:p>
        </w:tc>
      </w:tr>
      <w:tr w14:paraId="507C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1DB179D">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2F92AD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34FEF53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F85725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Y≥40000</w:t>
            </w:r>
          </w:p>
        </w:tc>
        <w:tc>
          <w:tcPr>
            <w:tcW w:w="1891" w:type="dxa"/>
            <w:vAlign w:val="center"/>
          </w:tcPr>
          <w:p w14:paraId="5E3402D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2000≤Y＜40000</w:t>
            </w:r>
          </w:p>
        </w:tc>
        <w:tc>
          <w:tcPr>
            <w:tcW w:w="1730" w:type="dxa"/>
            <w:vAlign w:val="center"/>
          </w:tcPr>
          <w:p w14:paraId="2D77C54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300≤Y＜2000</w:t>
            </w:r>
          </w:p>
        </w:tc>
        <w:tc>
          <w:tcPr>
            <w:tcW w:w="1203" w:type="dxa"/>
            <w:vAlign w:val="center"/>
          </w:tcPr>
          <w:p w14:paraId="6300FF3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w:t>
            </w:r>
          </w:p>
        </w:tc>
      </w:tr>
      <w:tr w14:paraId="5A49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52356C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建筑业</w:t>
            </w:r>
          </w:p>
        </w:tc>
        <w:tc>
          <w:tcPr>
            <w:tcW w:w="1560" w:type="dxa"/>
            <w:vAlign w:val="center"/>
          </w:tcPr>
          <w:p w14:paraId="74CAC21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224735A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67F7E21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Y≥80000</w:t>
            </w:r>
          </w:p>
        </w:tc>
        <w:tc>
          <w:tcPr>
            <w:tcW w:w="1891" w:type="dxa"/>
            <w:vAlign w:val="center"/>
          </w:tcPr>
          <w:p w14:paraId="79BDB90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6000≤Y＜80000</w:t>
            </w:r>
          </w:p>
        </w:tc>
        <w:tc>
          <w:tcPr>
            <w:tcW w:w="1730" w:type="dxa"/>
            <w:vAlign w:val="center"/>
          </w:tcPr>
          <w:p w14:paraId="5AEDF2C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300≤Y＜6000</w:t>
            </w:r>
          </w:p>
        </w:tc>
        <w:tc>
          <w:tcPr>
            <w:tcW w:w="1203" w:type="dxa"/>
            <w:vAlign w:val="center"/>
          </w:tcPr>
          <w:p w14:paraId="753988C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w:t>
            </w:r>
          </w:p>
        </w:tc>
      </w:tr>
      <w:tr w14:paraId="5CF1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34BA44">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04A7F5A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资产总额(Z)</w:t>
            </w:r>
          </w:p>
        </w:tc>
        <w:tc>
          <w:tcPr>
            <w:tcW w:w="671" w:type="dxa"/>
            <w:vAlign w:val="center"/>
          </w:tcPr>
          <w:p w14:paraId="1224CD8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343771B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Z≥80000</w:t>
            </w:r>
          </w:p>
        </w:tc>
        <w:tc>
          <w:tcPr>
            <w:tcW w:w="1891" w:type="dxa"/>
            <w:vAlign w:val="center"/>
          </w:tcPr>
          <w:p w14:paraId="1E8ED6E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5000≤Z＜80000</w:t>
            </w:r>
          </w:p>
        </w:tc>
        <w:tc>
          <w:tcPr>
            <w:tcW w:w="1730" w:type="dxa"/>
            <w:vAlign w:val="center"/>
          </w:tcPr>
          <w:p w14:paraId="0D20B11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300≤Z＜5000</w:t>
            </w:r>
          </w:p>
        </w:tc>
        <w:tc>
          <w:tcPr>
            <w:tcW w:w="1203" w:type="dxa"/>
            <w:vAlign w:val="center"/>
          </w:tcPr>
          <w:p w14:paraId="5D7CFA2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Z＜300</w:t>
            </w:r>
          </w:p>
        </w:tc>
      </w:tr>
      <w:tr w14:paraId="11DA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487FA4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批发业</w:t>
            </w:r>
          </w:p>
        </w:tc>
        <w:tc>
          <w:tcPr>
            <w:tcW w:w="1560" w:type="dxa"/>
            <w:vAlign w:val="center"/>
          </w:tcPr>
          <w:p w14:paraId="5EBD44D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3BEABF7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6A6F387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X≥200</w:t>
            </w:r>
          </w:p>
        </w:tc>
        <w:tc>
          <w:tcPr>
            <w:tcW w:w="1891" w:type="dxa"/>
            <w:vAlign w:val="center"/>
          </w:tcPr>
          <w:p w14:paraId="706395D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20≤X＜200</w:t>
            </w:r>
          </w:p>
        </w:tc>
        <w:tc>
          <w:tcPr>
            <w:tcW w:w="1730" w:type="dxa"/>
            <w:vAlign w:val="center"/>
          </w:tcPr>
          <w:p w14:paraId="16921C9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5≤X＜20</w:t>
            </w:r>
          </w:p>
        </w:tc>
        <w:tc>
          <w:tcPr>
            <w:tcW w:w="1203" w:type="dxa"/>
            <w:vAlign w:val="center"/>
          </w:tcPr>
          <w:p w14:paraId="043B400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X＜5</w:t>
            </w:r>
          </w:p>
        </w:tc>
      </w:tr>
      <w:tr w14:paraId="1C814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9B14DA8">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4C1371D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2BE757F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3D8931B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Y≥40000</w:t>
            </w:r>
          </w:p>
        </w:tc>
        <w:tc>
          <w:tcPr>
            <w:tcW w:w="1891" w:type="dxa"/>
            <w:vAlign w:val="center"/>
          </w:tcPr>
          <w:p w14:paraId="36C8FFD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5000≤Y＜40000</w:t>
            </w:r>
          </w:p>
        </w:tc>
        <w:tc>
          <w:tcPr>
            <w:tcW w:w="1730" w:type="dxa"/>
            <w:vAlign w:val="center"/>
          </w:tcPr>
          <w:p w14:paraId="6D61778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1000≤Y＜5000</w:t>
            </w:r>
          </w:p>
        </w:tc>
        <w:tc>
          <w:tcPr>
            <w:tcW w:w="1203" w:type="dxa"/>
            <w:vAlign w:val="center"/>
          </w:tcPr>
          <w:p w14:paraId="56BAE00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w:t>
            </w:r>
          </w:p>
        </w:tc>
      </w:tr>
      <w:tr w14:paraId="4309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6AC4F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零售业</w:t>
            </w:r>
          </w:p>
        </w:tc>
        <w:tc>
          <w:tcPr>
            <w:tcW w:w="1560" w:type="dxa"/>
            <w:vAlign w:val="center"/>
          </w:tcPr>
          <w:p w14:paraId="1D44500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7E1F437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0B7879A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107399C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50≤X＜300</w:t>
            </w:r>
          </w:p>
        </w:tc>
        <w:tc>
          <w:tcPr>
            <w:tcW w:w="1730" w:type="dxa"/>
            <w:vAlign w:val="center"/>
          </w:tcPr>
          <w:p w14:paraId="3C46C0F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10≤X＜50</w:t>
            </w:r>
          </w:p>
        </w:tc>
        <w:tc>
          <w:tcPr>
            <w:tcW w:w="1203" w:type="dxa"/>
            <w:vAlign w:val="center"/>
          </w:tcPr>
          <w:p w14:paraId="3FF7F88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207F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E265D6F">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3B5AEC8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72BD221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5AE1612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Y≥20000</w:t>
            </w:r>
          </w:p>
        </w:tc>
        <w:tc>
          <w:tcPr>
            <w:tcW w:w="1891" w:type="dxa"/>
            <w:vAlign w:val="center"/>
          </w:tcPr>
          <w:p w14:paraId="72A3DE4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500≤Y＜20000</w:t>
            </w:r>
          </w:p>
        </w:tc>
        <w:tc>
          <w:tcPr>
            <w:tcW w:w="1730" w:type="dxa"/>
            <w:vAlign w:val="center"/>
          </w:tcPr>
          <w:p w14:paraId="6291CFB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100≤Y＜500</w:t>
            </w:r>
          </w:p>
        </w:tc>
        <w:tc>
          <w:tcPr>
            <w:tcW w:w="1203" w:type="dxa"/>
            <w:vAlign w:val="center"/>
          </w:tcPr>
          <w:p w14:paraId="0D2FC4F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33B9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3BEDA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交通运输业 *</w:t>
            </w:r>
          </w:p>
        </w:tc>
        <w:tc>
          <w:tcPr>
            <w:tcW w:w="1560" w:type="dxa"/>
            <w:vAlign w:val="center"/>
          </w:tcPr>
          <w:p w14:paraId="24C6302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5A11BE3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212C5F7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X≥1000</w:t>
            </w:r>
          </w:p>
        </w:tc>
        <w:tc>
          <w:tcPr>
            <w:tcW w:w="1891" w:type="dxa"/>
            <w:vAlign w:val="center"/>
          </w:tcPr>
          <w:p w14:paraId="17EF8AE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300≤X＜1000</w:t>
            </w:r>
          </w:p>
        </w:tc>
        <w:tc>
          <w:tcPr>
            <w:tcW w:w="1730" w:type="dxa"/>
            <w:vAlign w:val="center"/>
          </w:tcPr>
          <w:p w14:paraId="3641EA1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20≤X＜300</w:t>
            </w:r>
          </w:p>
        </w:tc>
        <w:tc>
          <w:tcPr>
            <w:tcW w:w="1203" w:type="dxa"/>
            <w:vAlign w:val="center"/>
          </w:tcPr>
          <w:p w14:paraId="422ECEC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w:t>
            </w:r>
          </w:p>
        </w:tc>
      </w:tr>
      <w:tr w14:paraId="35D1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34008">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3ACA3C0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40928D0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5FBBEED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Y≥30000</w:t>
            </w:r>
          </w:p>
        </w:tc>
        <w:tc>
          <w:tcPr>
            <w:tcW w:w="1891" w:type="dxa"/>
            <w:vAlign w:val="center"/>
          </w:tcPr>
          <w:p w14:paraId="2A8109E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3000≤Y＜30000</w:t>
            </w:r>
          </w:p>
        </w:tc>
        <w:tc>
          <w:tcPr>
            <w:tcW w:w="1730" w:type="dxa"/>
            <w:vAlign w:val="center"/>
          </w:tcPr>
          <w:p w14:paraId="1B5B9AC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200≤Y＜3000</w:t>
            </w:r>
          </w:p>
        </w:tc>
        <w:tc>
          <w:tcPr>
            <w:tcW w:w="1203" w:type="dxa"/>
            <w:vAlign w:val="center"/>
          </w:tcPr>
          <w:p w14:paraId="422DDD7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Y＜200</w:t>
            </w:r>
          </w:p>
        </w:tc>
      </w:tr>
      <w:tr w14:paraId="6331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29ABE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仓储业*</w:t>
            </w:r>
          </w:p>
        </w:tc>
        <w:tc>
          <w:tcPr>
            <w:tcW w:w="1560" w:type="dxa"/>
            <w:vAlign w:val="center"/>
          </w:tcPr>
          <w:p w14:paraId="17FDEBC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2A0BDF7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7F76075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X≥200</w:t>
            </w:r>
          </w:p>
        </w:tc>
        <w:tc>
          <w:tcPr>
            <w:tcW w:w="1891" w:type="dxa"/>
            <w:vAlign w:val="center"/>
          </w:tcPr>
          <w:p w14:paraId="42DAECE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100≤X＜200</w:t>
            </w:r>
          </w:p>
        </w:tc>
        <w:tc>
          <w:tcPr>
            <w:tcW w:w="1730" w:type="dxa"/>
            <w:vAlign w:val="center"/>
          </w:tcPr>
          <w:p w14:paraId="74DC6F9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20≤X＜100</w:t>
            </w:r>
          </w:p>
        </w:tc>
        <w:tc>
          <w:tcPr>
            <w:tcW w:w="1203" w:type="dxa"/>
            <w:vAlign w:val="center"/>
          </w:tcPr>
          <w:p w14:paraId="704B6E0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w:t>
            </w:r>
          </w:p>
        </w:tc>
      </w:tr>
      <w:tr w14:paraId="2F06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D17912">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3895B9E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3D3EF3E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34C4DCF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Y≥30000</w:t>
            </w:r>
          </w:p>
        </w:tc>
        <w:tc>
          <w:tcPr>
            <w:tcW w:w="1891" w:type="dxa"/>
            <w:vAlign w:val="center"/>
          </w:tcPr>
          <w:p w14:paraId="42F2A86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1000≤Y＜30000</w:t>
            </w:r>
          </w:p>
        </w:tc>
        <w:tc>
          <w:tcPr>
            <w:tcW w:w="1730" w:type="dxa"/>
            <w:vAlign w:val="center"/>
          </w:tcPr>
          <w:p w14:paraId="621A67E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100≤Y＜1000</w:t>
            </w:r>
          </w:p>
        </w:tc>
        <w:tc>
          <w:tcPr>
            <w:tcW w:w="1203" w:type="dxa"/>
            <w:vAlign w:val="center"/>
          </w:tcPr>
          <w:p w14:paraId="7B70B52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2FB5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9D95BA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邮政业</w:t>
            </w:r>
          </w:p>
        </w:tc>
        <w:tc>
          <w:tcPr>
            <w:tcW w:w="1560" w:type="dxa"/>
            <w:vAlign w:val="center"/>
          </w:tcPr>
          <w:p w14:paraId="63FAD11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2493AA0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207DF1C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X≥1000</w:t>
            </w:r>
          </w:p>
        </w:tc>
        <w:tc>
          <w:tcPr>
            <w:tcW w:w="1891" w:type="dxa"/>
            <w:vAlign w:val="center"/>
          </w:tcPr>
          <w:p w14:paraId="3D1003A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300≤X＜1000</w:t>
            </w:r>
          </w:p>
        </w:tc>
        <w:tc>
          <w:tcPr>
            <w:tcW w:w="1730" w:type="dxa"/>
            <w:vAlign w:val="center"/>
          </w:tcPr>
          <w:p w14:paraId="7B7F6EC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20≤X＜300</w:t>
            </w:r>
          </w:p>
        </w:tc>
        <w:tc>
          <w:tcPr>
            <w:tcW w:w="1203" w:type="dxa"/>
            <w:vAlign w:val="center"/>
          </w:tcPr>
          <w:p w14:paraId="77760A9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w:t>
            </w:r>
          </w:p>
        </w:tc>
      </w:tr>
      <w:tr w14:paraId="473D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490A07">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546C7E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607C91C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34B90C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Y≥30000</w:t>
            </w:r>
          </w:p>
        </w:tc>
        <w:tc>
          <w:tcPr>
            <w:tcW w:w="1891" w:type="dxa"/>
            <w:vAlign w:val="center"/>
          </w:tcPr>
          <w:p w14:paraId="4D4709F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2000≤Y＜30000</w:t>
            </w:r>
          </w:p>
        </w:tc>
        <w:tc>
          <w:tcPr>
            <w:tcW w:w="1730" w:type="dxa"/>
            <w:vAlign w:val="center"/>
          </w:tcPr>
          <w:p w14:paraId="45BCE43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100≤Y＜2000</w:t>
            </w:r>
          </w:p>
        </w:tc>
        <w:tc>
          <w:tcPr>
            <w:tcW w:w="1203" w:type="dxa"/>
            <w:vAlign w:val="center"/>
          </w:tcPr>
          <w:p w14:paraId="2E4EFAD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303C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F11B7D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住宿业</w:t>
            </w:r>
          </w:p>
        </w:tc>
        <w:tc>
          <w:tcPr>
            <w:tcW w:w="1560" w:type="dxa"/>
            <w:vAlign w:val="center"/>
          </w:tcPr>
          <w:p w14:paraId="133631A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35A4E29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7716F53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255AA9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30258CC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2B54596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285B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2A2FF4">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6678F85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6F27129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6E042EE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Y≥10000</w:t>
            </w:r>
          </w:p>
        </w:tc>
        <w:tc>
          <w:tcPr>
            <w:tcW w:w="1891" w:type="dxa"/>
            <w:vAlign w:val="center"/>
          </w:tcPr>
          <w:p w14:paraId="4C7263F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2000≤Y＜10000</w:t>
            </w:r>
          </w:p>
        </w:tc>
        <w:tc>
          <w:tcPr>
            <w:tcW w:w="1730" w:type="dxa"/>
            <w:vAlign w:val="center"/>
          </w:tcPr>
          <w:p w14:paraId="2111E60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100≤Y＜2000</w:t>
            </w:r>
          </w:p>
        </w:tc>
        <w:tc>
          <w:tcPr>
            <w:tcW w:w="1203" w:type="dxa"/>
            <w:vAlign w:val="center"/>
          </w:tcPr>
          <w:p w14:paraId="0CF465F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6B95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ADE047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餐饮业</w:t>
            </w:r>
          </w:p>
        </w:tc>
        <w:tc>
          <w:tcPr>
            <w:tcW w:w="1560" w:type="dxa"/>
            <w:vAlign w:val="center"/>
          </w:tcPr>
          <w:p w14:paraId="3AD9CE9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0352315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7F84C2F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4617248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30F1326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41C9A67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419C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EAEA49E">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5568727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685279C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80BC32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Y≥10000</w:t>
            </w:r>
          </w:p>
        </w:tc>
        <w:tc>
          <w:tcPr>
            <w:tcW w:w="1891" w:type="dxa"/>
            <w:vAlign w:val="center"/>
          </w:tcPr>
          <w:p w14:paraId="4F6C5D5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2000≤Y＜10000</w:t>
            </w:r>
          </w:p>
        </w:tc>
        <w:tc>
          <w:tcPr>
            <w:tcW w:w="1730" w:type="dxa"/>
            <w:vAlign w:val="center"/>
          </w:tcPr>
          <w:p w14:paraId="3D5C555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100≤Y＜2000</w:t>
            </w:r>
          </w:p>
        </w:tc>
        <w:tc>
          <w:tcPr>
            <w:tcW w:w="1203" w:type="dxa"/>
            <w:vAlign w:val="center"/>
          </w:tcPr>
          <w:p w14:paraId="042AA6A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7654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27BC8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信息传输业 *</w:t>
            </w:r>
          </w:p>
        </w:tc>
        <w:tc>
          <w:tcPr>
            <w:tcW w:w="1560" w:type="dxa"/>
            <w:vAlign w:val="center"/>
          </w:tcPr>
          <w:p w14:paraId="0336EFD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2F73E05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6A10C1A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X≥2000</w:t>
            </w:r>
          </w:p>
        </w:tc>
        <w:tc>
          <w:tcPr>
            <w:tcW w:w="1891" w:type="dxa"/>
            <w:vAlign w:val="center"/>
          </w:tcPr>
          <w:p w14:paraId="41C8D94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100≤X＜2000</w:t>
            </w:r>
          </w:p>
        </w:tc>
        <w:tc>
          <w:tcPr>
            <w:tcW w:w="1730" w:type="dxa"/>
            <w:vAlign w:val="center"/>
          </w:tcPr>
          <w:p w14:paraId="4A02C7F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1938654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6119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03BC153">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2E044F3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5E17D86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1B80DF9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Y≥100000</w:t>
            </w:r>
          </w:p>
        </w:tc>
        <w:tc>
          <w:tcPr>
            <w:tcW w:w="1891" w:type="dxa"/>
            <w:vAlign w:val="center"/>
          </w:tcPr>
          <w:p w14:paraId="476F3E8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1000≤Y＜100000</w:t>
            </w:r>
          </w:p>
        </w:tc>
        <w:tc>
          <w:tcPr>
            <w:tcW w:w="1730" w:type="dxa"/>
            <w:vAlign w:val="center"/>
          </w:tcPr>
          <w:p w14:paraId="793D122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100≤Y＜1000</w:t>
            </w:r>
          </w:p>
        </w:tc>
        <w:tc>
          <w:tcPr>
            <w:tcW w:w="1203" w:type="dxa"/>
            <w:vAlign w:val="center"/>
          </w:tcPr>
          <w:p w14:paraId="57520F7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1494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415ED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软件和信息技术服务业</w:t>
            </w:r>
          </w:p>
        </w:tc>
        <w:tc>
          <w:tcPr>
            <w:tcW w:w="1560" w:type="dxa"/>
            <w:vAlign w:val="center"/>
          </w:tcPr>
          <w:p w14:paraId="6118963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11F1473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0BEE028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19A286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296661A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0C1B219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22C14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E7552C">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5DBB1F3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6199568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018FAEA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Y≥10000</w:t>
            </w:r>
          </w:p>
        </w:tc>
        <w:tc>
          <w:tcPr>
            <w:tcW w:w="1891" w:type="dxa"/>
            <w:vAlign w:val="center"/>
          </w:tcPr>
          <w:p w14:paraId="4AF259D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1000≤Y＜10000</w:t>
            </w:r>
          </w:p>
        </w:tc>
        <w:tc>
          <w:tcPr>
            <w:tcW w:w="1730" w:type="dxa"/>
            <w:vAlign w:val="center"/>
          </w:tcPr>
          <w:p w14:paraId="6966939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50≤Y＜1000</w:t>
            </w:r>
          </w:p>
        </w:tc>
        <w:tc>
          <w:tcPr>
            <w:tcW w:w="1203" w:type="dxa"/>
            <w:vAlign w:val="center"/>
          </w:tcPr>
          <w:p w14:paraId="69CEA5E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Y＜50</w:t>
            </w:r>
          </w:p>
        </w:tc>
      </w:tr>
      <w:tr w14:paraId="0405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1170D8E">
            <w:pPr>
              <w:widowControl/>
              <w:spacing w:line="336" w:lineRule="auto"/>
              <w:jc w:val="center"/>
              <w:rPr>
                <w:rFonts w:hint="eastAsia"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房地产开发</w:t>
            </w:r>
          </w:p>
          <w:p w14:paraId="409D343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经营</w:t>
            </w:r>
          </w:p>
        </w:tc>
        <w:tc>
          <w:tcPr>
            <w:tcW w:w="1560" w:type="dxa"/>
            <w:vAlign w:val="center"/>
          </w:tcPr>
          <w:p w14:paraId="7915128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0C12ACC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6824840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Y≥200000</w:t>
            </w:r>
          </w:p>
        </w:tc>
        <w:tc>
          <w:tcPr>
            <w:tcW w:w="1891" w:type="dxa"/>
            <w:vAlign w:val="center"/>
          </w:tcPr>
          <w:p w14:paraId="10F508A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1000≤Y＜200000</w:t>
            </w:r>
          </w:p>
        </w:tc>
        <w:tc>
          <w:tcPr>
            <w:tcW w:w="1730" w:type="dxa"/>
            <w:vAlign w:val="center"/>
          </w:tcPr>
          <w:p w14:paraId="35D6002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100≤Y＜1000</w:t>
            </w:r>
          </w:p>
        </w:tc>
        <w:tc>
          <w:tcPr>
            <w:tcW w:w="1203" w:type="dxa"/>
            <w:vAlign w:val="center"/>
          </w:tcPr>
          <w:p w14:paraId="383DFDB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316A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CD4EA8F">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4C9CB44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资产总额(Z)</w:t>
            </w:r>
          </w:p>
        </w:tc>
        <w:tc>
          <w:tcPr>
            <w:tcW w:w="671" w:type="dxa"/>
            <w:vAlign w:val="center"/>
          </w:tcPr>
          <w:p w14:paraId="72CAC97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52B73F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Z≥10000</w:t>
            </w:r>
          </w:p>
        </w:tc>
        <w:tc>
          <w:tcPr>
            <w:tcW w:w="1891" w:type="dxa"/>
            <w:vAlign w:val="center"/>
          </w:tcPr>
          <w:p w14:paraId="25A0935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5000≤Z＜10000</w:t>
            </w:r>
          </w:p>
        </w:tc>
        <w:tc>
          <w:tcPr>
            <w:tcW w:w="1730" w:type="dxa"/>
            <w:vAlign w:val="center"/>
          </w:tcPr>
          <w:p w14:paraId="428AF87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2000≤Z＜5000</w:t>
            </w:r>
          </w:p>
        </w:tc>
        <w:tc>
          <w:tcPr>
            <w:tcW w:w="1203" w:type="dxa"/>
            <w:vAlign w:val="center"/>
          </w:tcPr>
          <w:p w14:paraId="34B38A3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Z＜2000</w:t>
            </w:r>
          </w:p>
        </w:tc>
      </w:tr>
      <w:tr w14:paraId="4A58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AD5FA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物业管理</w:t>
            </w:r>
          </w:p>
        </w:tc>
        <w:tc>
          <w:tcPr>
            <w:tcW w:w="1560" w:type="dxa"/>
            <w:vAlign w:val="center"/>
          </w:tcPr>
          <w:p w14:paraId="5A512D9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41A4ED3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02F3BDF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X≥1000</w:t>
            </w:r>
          </w:p>
        </w:tc>
        <w:tc>
          <w:tcPr>
            <w:tcW w:w="1891" w:type="dxa"/>
            <w:vAlign w:val="center"/>
          </w:tcPr>
          <w:p w14:paraId="6185073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300≤X＜1000</w:t>
            </w:r>
          </w:p>
        </w:tc>
        <w:tc>
          <w:tcPr>
            <w:tcW w:w="1730" w:type="dxa"/>
            <w:vAlign w:val="center"/>
          </w:tcPr>
          <w:p w14:paraId="55732BD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203" w:type="dxa"/>
            <w:vAlign w:val="center"/>
          </w:tcPr>
          <w:p w14:paraId="38405AA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w:t>
            </w:r>
          </w:p>
        </w:tc>
      </w:tr>
      <w:tr w14:paraId="0835D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926AAF">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2339B31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1476C2C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793601B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Y≥5000</w:t>
            </w:r>
          </w:p>
        </w:tc>
        <w:tc>
          <w:tcPr>
            <w:tcW w:w="1891" w:type="dxa"/>
            <w:vAlign w:val="center"/>
          </w:tcPr>
          <w:p w14:paraId="0BB37E7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1000≤Y＜5000</w:t>
            </w:r>
          </w:p>
        </w:tc>
        <w:tc>
          <w:tcPr>
            <w:tcW w:w="1730" w:type="dxa"/>
            <w:vAlign w:val="center"/>
          </w:tcPr>
          <w:p w14:paraId="440257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500≤Y＜1000</w:t>
            </w:r>
          </w:p>
        </w:tc>
        <w:tc>
          <w:tcPr>
            <w:tcW w:w="1203" w:type="dxa"/>
            <w:vAlign w:val="center"/>
          </w:tcPr>
          <w:p w14:paraId="715F96E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Y＜500</w:t>
            </w:r>
          </w:p>
        </w:tc>
      </w:tr>
      <w:tr w14:paraId="03940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79B37A">
            <w:pPr>
              <w:widowControl/>
              <w:spacing w:line="336" w:lineRule="auto"/>
              <w:jc w:val="center"/>
              <w:rPr>
                <w:rFonts w:hint="eastAsia"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租赁和商务</w:t>
            </w:r>
          </w:p>
          <w:p w14:paraId="0F4E68C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服务业</w:t>
            </w:r>
          </w:p>
        </w:tc>
        <w:tc>
          <w:tcPr>
            <w:tcW w:w="1560" w:type="dxa"/>
            <w:vAlign w:val="center"/>
          </w:tcPr>
          <w:p w14:paraId="6B7BC84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1189055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63748C8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270B23E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5756057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543C0CF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3B50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E86EE6D">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4C2AC9B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资产总额(Z)</w:t>
            </w:r>
          </w:p>
        </w:tc>
        <w:tc>
          <w:tcPr>
            <w:tcW w:w="671" w:type="dxa"/>
            <w:vAlign w:val="center"/>
          </w:tcPr>
          <w:p w14:paraId="71C608E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D93675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Z≥120000</w:t>
            </w:r>
          </w:p>
        </w:tc>
        <w:tc>
          <w:tcPr>
            <w:tcW w:w="1891" w:type="dxa"/>
            <w:vAlign w:val="center"/>
          </w:tcPr>
          <w:p w14:paraId="5A0C4D1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8000≤Z＜120000</w:t>
            </w:r>
          </w:p>
        </w:tc>
        <w:tc>
          <w:tcPr>
            <w:tcW w:w="1730" w:type="dxa"/>
            <w:vAlign w:val="center"/>
          </w:tcPr>
          <w:p w14:paraId="5440878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100≤Z＜8000</w:t>
            </w:r>
          </w:p>
        </w:tc>
        <w:tc>
          <w:tcPr>
            <w:tcW w:w="1203" w:type="dxa"/>
            <w:vAlign w:val="center"/>
          </w:tcPr>
          <w:p w14:paraId="73E0FC8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Z＜100</w:t>
            </w:r>
          </w:p>
        </w:tc>
      </w:tr>
      <w:tr w14:paraId="55231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14D7618">
            <w:pPr>
              <w:widowControl/>
              <w:spacing w:line="336" w:lineRule="auto"/>
              <w:jc w:val="center"/>
              <w:rPr>
                <w:rFonts w:hint="eastAsia"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其他未列明</w:t>
            </w:r>
          </w:p>
          <w:p w14:paraId="531754E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行业 *</w:t>
            </w:r>
          </w:p>
        </w:tc>
        <w:tc>
          <w:tcPr>
            <w:tcW w:w="1560" w:type="dxa"/>
            <w:vAlign w:val="center"/>
          </w:tcPr>
          <w:p w14:paraId="432A976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3D600A0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1BBC1C8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213EF82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05247F9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7F4F90A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bl>
    <w:p w14:paraId="0AA5A370">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说明： 　　</w:t>
      </w:r>
    </w:p>
    <w:p w14:paraId="12AA0DC4">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1.大型、中型和小型企业须同时满足所列指标的下限，否则下划一档；微型企业只须满足所列指标中的一项即可。 　　</w:t>
      </w:r>
    </w:p>
    <w:p w14:paraId="56A89DBC">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37FC7FE">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3.企业划分指标以现行统计制度为准。</w:t>
      </w:r>
    </w:p>
    <w:p w14:paraId="096E277E">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（1）从业人员，是指期末从业人员数，没有期末从业人员数的，采用全年平均人员数代替。</w:t>
      </w:r>
    </w:p>
    <w:p w14:paraId="01E6100A">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3A5EC56">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（3）资产总额，采用资产总计代替。</w:t>
      </w:r>
    </w:p>
    <w:p w14:paraId="3C986CD8">
      <w:pPr>
        <w:widowControl/>
        <w:spacing w:line="336" w:lineRule="auto"/>
        <w:jc w:val="left"/>
        <w:rPr>
          <w:rFonts w:ascii="仿宋" w:hAnsi="仿宋" w:eastAsia="仿宋" w:cs="仿宋"/>
          <w:kern w:val="0"/>
          <w:sz w:val="24"/>
          <w:highlight w:val="none"/>
        </w:rPr>
      </w:pPr>
    </w:p>
    <w:p w14:paraId="038C7A09">
      <w:pPr>
        <w:widowControl/>
        <w:shd w:val="clear" w:color="auto" w:fill="FFFFFF"/>
        <w:spacing w:line="336" w:lineRule="auto"/>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《统计上大中小微型企业划分办法（2017）》修订说明</w:t>
      </w:r>
    </w:p>
    <w:p w14:paraId="6CB70C31">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left"/>
        <w:textAlignment w:val="baseline"/>
        <w:rPr>
          <w:rFonts w:ascii="仿宋" w:hAnsi="仿宋" w:eastAsia="仿宋" w:cs="仿宋"/>
          <w:b/>
          <w:bCs/>
          <w:kern w:val="0"/>
          <w:sz w:val="27"/>
          <w:szCs w:val="27"/>
          <w:highlight w:val="none"/>
        </w:rPr>
      </w:pPr>
      <w:r>
        <w:rPr>
          <w:rFonts w:hint="eastAsia" w:ascii="仿宋" w:hAnsi="仿宋" w:eastAsia="仿宋" w:cs="仿宋"/>
          <w:b/>
          <w:bCs/>
          <w:kern w:val="0"/>
          <w:sz w:val="27"/>
          <w:szCs w:val="27"/>
          <w:highlight w:val="none"/>
        </w:rPr>
        <w:t>一、修订背景</w:t>
      </w:r>
    </w:p>
    <w:p w14:paraId="4FACAF19">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85F3B0">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59CF9C4">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left"/>
        <w:textAlignment w:val="baseline"/>
        <w:rPr>
          <w:rFonts w:ascii="仿宋" w:hAnsi="仿宋" w:eastAsia="仿宋" w:cs="仿宋"/>
          <w:b/>
          <w:bCs/>
          <w:kern w:val="0"/>
          <w:sz w:val="27"/>
          <w:szCs w:val="27"/>
          <w:highlight w:val="none"/>
        </w:rPr>
      </w:pPr>
      <w:r>
        <w:rPr>
          <w:rFonts w:hint="eastAsia" w:ascii="仿宋" w:hAnsi="仿宋" w:eastAsia="仿宋" w:cs="仿宋"/>
          <w:b/>
          <w:bCs/>
          <w:kern w:val="0"/>
          <w:sz w:val="27"/>
          <w:szCs w:val="27"/>
          <w:highlight w:val="none"/>
        </w:rPr>
        <w:t>二、修订主要内容</w:t>
      </w:r>
    </w:p>
    <w:p w14:paraId="5CBB2449">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351736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将交通运输业中包括的“装卸搬运和运输代理业”修改为“多式联运和运输代理业、装卸搬运”。</w:t>
      </w:r>
    </w:p>
    <w:p w14:paraId="179F63C8">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仓储业所包括的行业中类，根据《国民经济行业分类》（GB/T4754—2017）调整为“通用仓储，低温仓储，危险品仓储，谷物、棉花等农产品仓储，中药材仓储和其他仓储业”。</w:t>
      </w:r>
    </w:p>
    <w:p w14:paraId="7DAFCBF8">
      <w:pPr>
        <w:widowControl/>
        <w:spacing w:line="336" w:lineRule="auto"/>
        <w:jc w:val="left"/>
        <w:rPr>
          <w:rFonts w:ascii="仿宋" w:hAnsi="仿宋" w:eastAsia="仿宋" w:cs="仿宋"/>
          <w:kern w:val="0"/>
          <w:sz w:val="18"/>
          <w:szCs w:val="18"/>
          <w:highlight w:val="none"/>
        </w:rPr>
      </w:pPr>
    </w:p>
    <w:p w14:paraId="013899AD">
      <w:pPr>
        <w:widowControl/>
        <w:spacing w:line="336" w:lineRule="auto"/>
        <w:jc w:val="left"/>
        <w:rPr>
          <w:rFonts w:ascii="仿宋" w:hAnsi="仿宋" w:eastAsia="仿宋" w:cs="仿宋"/>
          <w:kern w:val="0"/>
          <w:sz w:val="16"/>
          <w:szCs w:val="16"/>
          <w:highlight w:val="none"/>
        </w:rPr>
      </w:pPr>
    </w:p>
    <w:p w14:paraId="1731E03A">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中国人民银行中国银行业监督管理委员会</w:t>
      </w:r>
    </w:p>
    <w:p w14:paraId="6F81E069">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中国证券监督管理委员会中国保险监督管理委员会</w:t>
      </w:r>
    </w:p>
    <w:p w14:paraId="06E85500">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国家统计局关于印发《金融业企业划型标准规定》的通知</w:t>
      </w:r>
    </w:p>
    <w:p w14:paraId="22BFAFC6">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1F2F8A7">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17B29B3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附件：金融业企业划型标准规定</w:t>
      </w:r>
    </w:p>
    <w:p w14:paraId="42F6EB35">
      <w:pPr>
        <w:widowControl/>
        <w:shd w:val="clear" w:color="auto" w:fill="FFFFFF"/>
        <w:spacing w:line="336" w:lineRule="auto"/>
        <w:jc w:val="center"/>
        <w:textAlignment w:val="baseline"/>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金融业企业划型标准规定</w:t>
      </w:r>
    </w:p>
    <w:p w14:paraId="0A13069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177AF930">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二、 适用范围。本规定适用于从事《国民经济行业分类》(GB/T4754-2011)中J门类（金融业）活动的企业。</w:t>
      </w:r>
    </w:p>
    <w:p w14:paraId="7FF41C4D">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51E2418">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四、划型标准指标。采用一个完整会计年度中四个季度末法人并表口径的资产总额（信托公司为信托资产）平均值作为划型指标，该指标以监管部门数据为准。</w:t>
      </w:r>
    </w:p>
    <w:p w14:paraId="6FBD0A8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五、指标标准值。依据指标标准值，将各类金融业企业划分为大、中、小、微四个规模类型，中型企业标准上限及以上的为大型企业。</w:t>
      </w:r>
    </w:p>
    <w:p w14:paraId="53D1DD83">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1080C0A0">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4703BD39">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5B4E79EE">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30C86728">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2381E9C6">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2A418586">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6C0D32EC">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5406B7F5">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5D0A595E">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七、 标准值的评估和调整。金融业企业划型标准工作组毎五年对划型标准值受经济发展与通货膨胀等因素的响程度进行评估和调整。</w:t>
      </w:r>
    </w:p>
    <w:p w14:paraId="1483505D">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16B5317C">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九、 融资担保公司参照本规定中“除贷款公司、小额贷款公司、典当行以外的其他金融机构”标准划型。</w:t>
      </w:r>
    </w:p>
    <w:p w14:paraId="4BD7A468">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十、本规定由人民银行会同银监会，证监会、保监会和统计局负责解释。</w:t>
      </w:r>
    </w:p>
    <w:p w14:paraId="21D7CDD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十一、本规定自发布之日起实施。</w:t>
      </w:r>
    </w:p>
    <w:p w14:paraId="38130895">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附：金融业企业划型标准</w:t>
      </w:r>
    </w:p>
    <w:p w14:paraId="58B71957">
      <w:pPr>
        <w:widowControl/>
        <w:shd w:val="clear" w:color="auto" w:fill="FFFFFF"/>
        <w:spacing w:line="336" w:lineRule="auto"/>
        <w:jc w:val="center"/>
        <w:textAlignment w:val="baseline"/>
        <w:rPr>
          <w:rFonts w:hint="eastAsia" w:ascii="仿宋" w:hAnsi="仿宋" w:eastAsia="仿宋" w:cs="仿宋"/>
          <w:b/>
          <w:bCs/>
          <w:kern w:val="0"/>
          <w:sz w:val="32"/>
          <w:szCs w:val="32"/>
          <w:highlight w:val="none"/>
        </w:rPr>
      </w:pPr>
    </w:p>
    <w:p w14:paraId="06AC7C5E">
      <w:pPr>
        <w:widowControl/>
        <w:shd w:val="clear" w:color="auto" w:fill="FFFFFF"/>
        <w:spacing w:line="336" w:lineRule="auto"/>
        <w:jc w:val="center"/>
        <w:textAlignment w:val="baseline"/>
        <w:rPr>
          <w:rFonts w:ascii="仿宋" w:hAnsi="仿宋" w:eastAsia="仿宋" w:cs="仿宋"/>
          <w:b/>
          <w:bCs/>
          <w:kern w:val="0"/>
          <w:sz w:val="36"/>
          <w:szCs w:val="36"/>
          <w:highlight w:val="none"/>
        </w:rPr>
      </w:pPr>
      <w:r>
        <w:rPr>
          <w:rFonts w:hint="eastAsia" w:ascii="仿宋" w:hAnsi="仿宋" w:eastAsia="仿宋" w:cs="仿宋"/>
          <w:b/>
          <w:bCs/>
          <w:kern w:val="0"/>
          <w:sz w:val="32"/>
          <w:szCs w:val="32"/>
          <w:highlight w:val="none"/>
        </w:rPr>
        <w:t>金融业企业划型标准</w:t>
      </w:r>
    </w:p>
    <w:tbl>
      <w:tblPr>
        <w:tblStyle w:val="66"/>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6640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6A57BF0">
            <w:pPr>
              <w:widowControl/>
              <w:spacing w:line="33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行业</w:t>
            </w:r>
          </w:p>
        </w:tc>
        <w:tc>
          <w:tcPr>
            <w:tcW w:w="2836" w:type="dxa"/>
            <w:tcMar>
              <w:top w:w="75" w:type="dxa"/>
              <w:left w:w="75" w:type="dxa"/>
              <w:bottom w:w="75" w:type="dxa"/>
              <w:right w:w="75" w:type="dxa"/>
            </w:tcMar>
            <w:vAlign w:val="bottom"/>
          </w:tcPr>
          <w:p w14:paraId="490CA851">
            <w:pPr>
              <w:widowControl/>
              <w:spacing w:line="33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类别</w:t>
            </w:r>
          </w:p>
        </w:tc>
        <w:tc>
          <w:tcPr>
            <w:tcW w:w="606" w:type="dxa"/>
            <w:tcMar>
              <w:top w:w="75" w:type="dxa"/>
              <w:left w:w="75" w:type="dxa"/>
              <w:bottom w:w="75" w:type="dxa"/>
              <w:right w:w="75" w:type="dxa"/>
            </w:tcMar>
            <w:vAlign w:val="bottom"/>
          </w:tcPr>
          <w:p w14:paraId="5A1B9063">
            <w:pPr>
              <w:widowControl/>
              <w:spacing w:line="33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类型</w:t>
            </w:r>
          </w:p>
        </w:tc>
        <w:tc>
          <w:tcPr>
            <w:tcW w:w="3326" w:type="dxa"/>
            <w:tcMar>
              <w:top w:w="75" w:type="dxa"/>
              <w:left w:w="75" w:type="dxa"/>
              <w:bottom w:w="75" w:type="dxa"/>
              <w:right w:w="75" w:type="dxa"/>
            </w:tcMar>
            <w:vAlign w:val="bottom"/>
          </w:tcPr>
          <w:p w14:paraId="5EC14118">
            <w:pPr>
              <w:widowControl/>
              <w:spacing w:line="33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资产总额</w:t>
            </w:r>
          </w:p>
        </w:tc>
      </w:tr>
      <w:tr w14:paraId="1B30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F19D009">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货币金融服务</w:t>
            </w:r>
          </w:p>
        </w:tc>
        <w:tc>
          <w:tcPr>
            <w:tcW w:w="1025" w:type="dxa"/>
            <w:vMerge w:val="restart"/>
            <w:vAlign w:val="center"/>
          </w:tcPr>
          <w:p w14:paraId="6DDE5FFB">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货币银行服务</w:t>
            </w:r>
          </w:p>
        </w:tc>
        <w:tc>
          <w:tcPr>
            <w:tcW w:w="2836" w:type="dxa"/>
            <w:vMerge w:val="restart"/>
            <w:vAlign w:val="center"/>
          </w:tcPr>
          <w:p w14:paraId="1B13C2E0">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银行业存款类金融机构</w:t>
            </w:r>
          </w:p>
        </w:tc>
        <w:tc>
          <w:tcPr>
            <w:tcW w:w="606" w:type="dxa"/>
            <w:vAlign w:val="center"/>
          </w:tcPr>
          <w:p w14:paraId="33131F36">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6E14DC6E">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5000亿元（含）至40000亿元</w:t>
            </w:r>
          </w:p>
        </w:tc>
      </w:tr>
      <w:tr w14:paraId="0EC8D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B2096B6">
            <w:pPr>
              <w:widowControl/>
              <w:spacing w:line="336" w:lineRule="auto"/>
              <w:jc w:val="left"/>
              <w:rPr>
                <w:rFonts w:ascii="仿宋" w:hAnsi="仿宋" w:eastAsia="仿宋" w:cs="仿宋"/>
                <w:kern w:val="0"/>
                <w:sz w:val="24"/>
                <w:highlight w:val="none"/>
              </w:rPr>
            </w:pPr>
          </w:p>
        </w:tc>
        <w:tc>
          <w:tcPr>
            <w:tcW w:w="1025" w:type="dxa"/>
            <w:vMerge w:val="continue"/>
            <w:vAlign w:val="center"/>
          </w:tcPr>
          <w:p w14:paraId="1768BB06">
            <w:pPr>
              <w:widowControl/>
              <w:spacing w:line="336" w:lineRule="auto"/>
              <w:jc w:val="left"/>
              <w:rPr>
                <w:rFonts w:ascii="仿宋" w:hAnsi="仿宋" w:eastAsia="仿宋" w:cs="仿宋"/>
                <w:kern w:val="0"/>
                <w:sz w:val="24"/>
                <w:highlight w:val="none"/>
              </w:rPr>
            </w:pPr>
          </w:p>
        </w:tc>
        <w:tc>
          <w:tcPr>
            <w:tcW w:w="2836" w:type="dxa"/>
            <w:vMerge w:val="continue"/>
            <w:vAlign w:val="center"/>
          </w:tcPr>
          <w:p w14:paraId="6EA8836A">
            <w:pPr>
              <w:widowControl/>
              <w:spacing w:line="336" w:lineRule="auto"/>
              <w:jc w:val="left"/>
              <w:rPr>
                <w:rFonts w:ascii="仿宋" w:hAnsi="仿宋" w:eastAsia="仿宋" w:cs="仿宋"/>
                <w:kern w:val="0"/>
                <w:sz w:val="24"/>
                <w:highlight w:val="none"/>
              </w:rPr>
            </w:pPr>
          </w:p>
        </w:tc>
        <w:tc>
          <w:tcPr>
            <w:tcW w:w="606" w:type="dxa"/>
            <w:vAlign w:val="center"/>
          </w:tcPr>
          <w:p w14:paraId="2E747303">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4DAD271A">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50亿元（含）至5000亿元</w:t>
            </w:r>
          </w:p>
        </w:tc>
      </w:tr>
      <w:tr w14:paraId="0C19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C897FD">
            <w:pPr>
              <w:widowControl/>
              <w:spacing w:line="336" w:lineRule="auto"/>
              <w:jc w:val="left"/>
              <w:rPr>
                <w:rFonts w:ascii="仿宋" w:hAnsi="仿宋" w:eastAsia="仿宋" w:cs="仿宋"/>
                <w:kern w:val="0"/>
                <w:sz w:val="24"/>
                <w:highlight w:val="none"/>
              </w:rPr>
            </w:pPr>
          </w:p>
        </w:tc>
        <w:tc>
          <w:tcPr>
            <w:tcW w:w="1025" w:type="dxa"/>
            <w:vMerge w:val="continue"/>
            <w:vAlign w:val="center"/>
          </w:tcPr>
          <w:p w14:paraId="4B23858B">
            <w:pPr>
              <w:widowControl/>
              <w:spacing w:line="336" w:lineRule="auto"/>
              <w:jc w:val="left"/>
              <w:rPr>
                <w:rFonts w:ascii="仿宋" w:hAnsi="仿宋" w:eastAsia="仿宋" w:cs="仿宋"/>
                <w:kern w:val="0"/>
                <w:sz w:val="24"/>
                <w:highlight w:val="none"/>
              </w:rPr>
            </w:pPr>
          </w:p>
        </w:tc>
        <w:tc>
          <w:tcPr>
            <w:tcW w:w="2836" w:type="dxa"/>
            <w:vMerge w:val="continue"/>
            <w:vAlign w:val="center"/>
          </w:tcPr>
          <w:p w14:paraId="370EB5F2">
            <w:pPr>
              <w:widowControl/>
              <w:spacing w:line="336" w:lineRule="auto"/>
              <w:jc w:val="left"/>
              <w:rPr>
                <w:rFonts w:ascii="仿宋" w:hAnsi="仿宋" w:eastAsia="仿宋" w:cs="仿宋"/>
                <w:kern w:val="0"/>
                <w:sz w:val="24"/>
                <w:highlight w:val="none"/>
              </w:rPr>
            </w:pPr>
          </w:p>
        </w:tc>
        <w:tc>
          <w:tcPr>
            <w:tcW w:w="606" w:type="dxa"/>
            <w:vAlign w:val="center"/>
          </w:tcPr>
          <w:p w14:paraId="516BF14A">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4F292551">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62382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DC5330">
            <w:pPr>
              <w:widowControl/>
              <w:spacing w:line="336" w:lineRule="auto"/>
              <w:jc w:val="left"/>
              <w:rPr>
                <w:rFonts w:ascii="仿宋" w:hAnsi="仿宋" w:eastAsia="仿宋" w:cs="仿宋"/>
                <w:kern w:val="0"/>
                <w:sz w:val="24"/>
                <w:highlight w:val="none"/>
              </w:rPr>
            </w:pPr>
          </w:p>
        </w:tc>
        <w:tc>
          <w:tcPr>
            <w:tcW w:w="1025" w:type="dxa"/>
            <w:vMerge w:val="restart"/>
            <w:vAlign w:val="center"/>
          </w:tcPr>
          <w:p w14:paraId="233A66A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非货币银行服务</w:t>
            </w:r>
          </w:p>
        </w:tc>
        <w:tc>
          <w:tcPr>
            <w:tcW w:w="2836" w:type="dxa"/>
            <w:vMerge w:val="restart"/>
            <w:vAlign w:val="center"/>
          </w:tcPr>
          <w:p w14:paraId="0050F11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银行业非存款类金融机构</w:t>
            </w:r>
          </w:p>
        </w:tc>
        <w:tc>
          <w:tcPr>
            <w:tcW w:w="606" w:type="dxa"/>
            <w:vAlign w:val="center"/>
          </w:tcPr>
          <w:p w14:paraId="574BC3DE">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7748E8BC">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1DED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CDEC2D9">
            <w:pPr>
              <w:widowControl/>
              <w:spacing w:line="336" w:lineRule="auto"/>
              <w:jc w:val="left"/>
              <w:rPr>
                <w:rFonts w:ascii="仿宋" w:hAnsi="仿宋" w:eastAsia="仿宋" w:cs="仿宋"/>
                <w:kern w:val="0"/>
                <w:sz w:val="24"/>
                <w:highlight w:val="none"/>
              </w:rPr>
            </w:pPr>
          </w:p>
        </w:tc>
        <w:tc>
          <w:tcPr>
            <w:tcW w:w="1025" w:type="dxa"/>
            <w:vMerge w:val="continue"/>
            <w:vAlign w:val="center"/>
          </w:tcPr>
          <w:p w14:paraId="4B09CB50">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719E6102">
            <w:pPr>
              <w:widowControl/>
              <w:spacing w:line="336" w:lineRule="auto"/>
              <w:jc w:val="center"/>
              <w:rPr>
                <w:rFonts w:ascii="仿宋" w:hAnsi="仿宋" w:eastAsia="仿宋" w:cs="仿宋"/>
                <w:kern w:val="0"/>
                <w:sz w:val="24"/>
                <w:highlight w:val="none"/>
              </w:rPr>
            </w:pPr>
          </w:p>
        </w:tc>
        <w:tc>
          <w:tcPr>
            <w:tcW w:w="606" w:type="dxa"/>
            <w:vAlign w:val="center"/>
          </w:tcPr>
          <w:p w14:paraId="4CF990A9">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65EB0EE3">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3E96A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765C17">
            <w:pPr>
              <w:widowControl/>
              <w:spacing w:line="336" w:lineRule="auto"/>
              <w:jc w:val="left"/>
              <w:rPr>
                <w:rFonts w:ascii="仿宋" w:hAnsi="仿宋" w:eastAsia="仿宋" w:cs="仿宋"/>
                <w:kern w:val="0"/>
                <w:sz w:val="24"/>
                <w:highlight w:val="none"/>
              </w:rPr>
            </w:pPr>
          </w:p>
        </w:tc>
        <w:tc>
          <w:tcPr>
            <w:tcW w:w="1025" w:type="dxa"/>
            <w:vMerge w:val="continue"/>
            <w:vAlign w:val="center"/>
          </w:tcPr>
          <w:p w14:paraId="083FD23B">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054736A4">
            <w:pPr>
              <w:widowControl/>
              <w:spacing w:line="336" w:lineRule="auto"/>
              <w:jc w:val="center"/>
              <w:rPr>
                <w:rFonts w:ascii="仿宋" w:hAnsi="仿宋" w:eastAsia="仿宋" w:cs="仿宋"/>
                <w:kern w:val="0"/>
                <w:sz w:val="24"/>
                <w:highlight w:val="none"/>
              </w:rPr>
            </w:pPr>
          </w:p>
        </w:tc>
        <w:tc>
          <w:tcPr>
            <w:tcW w:w="606" w:type="dxa"/>
            <w:vAlign w:val="center"/>
          </w:tcPr>
          <w:p w14:paraId="01DB4982">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66CE36FE">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248B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1A835C">
            <w:pPr>
              <w:widowControl/>
              <w:spacing w:line="336" w:lineRule="auto"/>
              <w:jc w:val="left"/>
              <w:rPr>
                <w:rFonts w:ascii="仿宋" w:hAnsi="仿宋" w:eastAsia="仿宋" w:cs="仿宋"/>
                <w:kern w:val="0"/>
                <w:sz w:val="24"/>
                <w:highlight w:val="none"/>
              </w:rPr>
            </w:pPr>
          </w:p>
        </w:tc>
        <w:tc>
          <w:tcPr>
            <w:tcW w:w="1025" w:type="dxa"/>
            <w:vMerge w:val="continue"/>
            <w:vAlign w:val="center"/>
          </w:tcPr>
          <w:p w14:paraId="249F90A8">
            <w:pPr>
              <w:widowControl/>
              <w:spacing w:line="336" w:lineRule="auto"/>
              <w:jc w:val="center"/>
              <w:rPr>
                <w:rFonts w:ascii="仿宋" w:hAnsi="仿宋" w:eastAsia="仿宋" w:cs="仿宋"/>
                <w:kern w:val="0"/>
                <w:sz w:val="24"/>
                <w:highlight w:val="none"/>
              </w:rPr>
            </w:pPr>
          </w:p>
        </w:tc>
        <w:tc>
          <w:tcPr>
            <w:tcW w:w="2836" w:type="dxa"/>
            <w:vMerge w:val="restart"/>
            <w:vAlign w:val="center"/>
          </w:tcPr>
          <w:p w14:paraId="38184B4F">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贷款公司、小额贷款公司及典当行</w:t>
            </w:r>
          </w:p>
        </w:tc>
        <w:tc>
          <w:tcPr>
            <w:tcW w:w="606" w:type="dxa"/>
            <w:vAlign w:val="center"/>
          </w:tcPr>
          <w:p w14:paraId="443620EC">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20FFBA65">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10AA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2FD51E">
            <w:pPr>
              <w:widowControl/>
              <w:spacing w:line="336" w:lineRule="auto"/>
              <w:jc w:val="left"/>
              <w:rPr>
                <w:rFonts w:ascii="仿宋" w:hAnsi="仿宋" w:eastAsia="仿宋" w:cs="仿宋"/>
                <w:kern w:val="0"/>
                <w:sz w:val="24"/>
                <w:highlight w:val="none"/>
              </w:rPr>
            </w:pPr>
          </w:p>
        </w:tc>
        <w:tc>
          <w:tcPr>
            <w:tcW w:w="1025" w:type="dxa"/>
            <w:vMerge w:val="continue"/>
            <w:vAlign w:val="center"/>
          </w:tcPr>
          <w:p w14:paraId="4E916355">
            <w:pPr>
              <w:widowControl/>
              <w:spacing w:line="336" w:lineRule="auto"/>
              <w:jc w:val="left"/>
              <w:rPr>
                <w:rFonts w:ascii="仿宋" w:hAnsi="仿宋" w:eastAsia="仿宋" w:cs="仿宋"/>
                <w:kern w:val="0"/>
                <w:sz w:val="24"/>
                <w:highlight w:val="none"/>
              </w:rPr>
            </w:pPr>
          </w:p>
        </w:tc>
        <w:tc>
          <w:tcPr>
            <w:tcW w:w="2836" w:type="dxa"/>
            <w:vMerge w:val="continue"/>
            <w:vAlign w:val="center"/>
          </w:tcPr>
          <w:p w14:paraId="5B0F43A3">
            <w:pPr>
              <w:widowControl/>
              <w:spacing w:line="336" w:lineRule="auto"/>
              <w:jc w:val="left"/>
              <w:rPr>
                <w:rFonts w:ascii="仿宋" w:hAnsi="仿宋" w:eastAsia="仿宋" w:cs="仿宋"/>
                <w:kern w:val="0"/>
                <w:sz w:val="24"/>
                <w:highlight w:val="none"/>
              </w:rPr>
            </w:pPr>
          </w:p>
        </w:tc>
        <w:tc>
          <w:tcPr>
            <w:tcW w:w="606" w:type="dxa"/>
            <w:vAlign w:val="center"/>
          </w:tcPr>
          <w:p w14:paraId="32FEE46F">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76148CD6">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527F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5226B2">
            <w:pPr>
              <w:widowControl/>
              <w:spacing w:line="336" w:lineRule="auto"/>
              <w:jc w:val="left"/>
              <w:rPr>
                <w:rFonts w:ascii="仿宋" w:hAnsi="仿宋" w:eastAsia="仿宋" w:cs="仿宋"/>
                <w:kern w:val="0"/>
                <w:sz w:val="24"/>
                <w:highlight w:val="none"/>
              </w:rPr>
            </w:pPr>
          </w:p>
        </w:tc>
        <w:tc>
          <w:tcPr>
            <w:tcW w:w="1025" w:type="dxa"/>
            <w:vMerge w:val="continue"/>
            <w:vAlign w:val="center"/>
          </w:tcPr>
          <w:p w14:paraId="6E9A42D4">
            <w:pPr>
              <w:widowControl/>
              <w:spacing w:line="336" w:lineRule="auto"/>
              <w:jc w:val="left"/>
              <w:rPr>
                <w:rFonts w:ascii="仿宋" w:hAnsi="仿宋" w:eastAsia="仿宋" w:cs="仿宋"/>
                <w:kern w:val="0"/>
                <w:sz w:val="24"/>
                <w:highlight w:val="none"/>
              </w:rPr>
            </w:pPr>
          </w:p>
        </w:tc>
        <w:tc>
          <w:tcPr>
            <w:tcW w:w="2836" w:type="dxa"/>
            <w:vMerge w:val="continue"/>
            <w:vAlign w:val="center"/>
          </w:tcPr>
          <w:p w14:paraId="44D44244">
            <w:pPr>
              <w:widowControl/>
              <w:spacing w:line="336" w:lineRule="auto"/>
              <w:jc w:val="left"/>
              <w:rPr>
                <w:rFonts w:ascii="仿宋" w:hAnsi="仿宋" w:eastAsia="仿宋" w:cs="仿宋"/>
                <w:kern w:val="0"/>
                <w:sz w:val="24"/>
                <w:highlight w:val="none"/>
              </w:rPr>
            </w:pPr>
          </w:p>
        </w:tc>
        <w:tc>
          <w:tcPr>
            <w:tcW w:w="606" w:type="dxa"/>
            <w:vAlign w:val="center"/>
          </w:tcPr>
          <w:p w14:paraId="679EEDE2">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17FFC6BC">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4B877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8693123">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资本市场服务</w:t>
            </w:r>
          </w:p>
        </w:tc>
        <w:tc>
          <w:tcPr>
            <w:tcW w:w="2836" w:type="dxa"/>
            <w:vMerge w:val="restart"/>
            <w:vAlign w:val="center"/>
          </w:tcPr>
          <w:p w14:paraId="7DFF699D">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证券业金融机构</w:t>
            </w:r>
          </w:p>
        </w:tc>
        <w:tc>
          <w:tcPr>
            <w:tcW w:w="606" w:type="dxa"/>
            <w:vAlign w:val="center"/>
          </w:tcPr>
          <w:p w14:paraId="7048DC25">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23C3F2B5">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100亿元（含）至1000亿元</w:t>
            </w:r>
          </w:p>
        </w:tc>
      </w:tr>
      <w:tr w14:paraId="2DDCE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597B06C">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7393DEC2">
            <w:pPr>
              <w:widowControl/>
              <w:spacing w:line="336" w:lineRule="auto"/>
              <w:jc w:val="center"/>
              <w:rPr>
                <w:rFonts w:ascii="仿宋" w:hAnsi="仿宋" w:eastAsia="仿宋" w:cs="仿宋"/>
                <w:kern w:val="0"/>
                <w:sz w:val="24"/>
                <w:highlight w:val="none"/>
              </w:rPr>
            </w:pPr>
          </w:p>
        </w:tc>
        <w:tc>
          <w:tcPr>
            <w:tcW w:w="606" w:type="dxa"/>
            <w:vAlign w:val="center"/>
          </w:tcPr>
          <w:p w14:paraId="3C6791B9">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4C81EC13">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10亿元（含）至100亿元</w:t>
            </w:r>
          </w:p>
        </w:tc>
      </w:tr>
      <w:tr w14:paraId="5E540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30B9072">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11D904CE">
            <w:pPr>
              <w:widowControl/>
              <w:spacing w:line="336" w:lineRule="auto"/>
              <w:jc w:val="center"/>
              <w:rPr>
                <w:rFonts w:ascii="仿宋" w:hAnsi="仿宋" w:eastAsia="仿宋" w:cs="仿宋"/>
                <w:kern w:val="0"/>
                <w:sz w:val="24"/>
                <w:highlight w:val="none"/>
              </w:rPr>
            </w:pPr>
          </w:p>
        </w:tc>
        <w:tc>
          <w:tcPr>
            <w:tcW w:w="606" w:type="dxa"/>
            <w:vAlign w:val="center"/>
          </w:tcPr>
          <w:p w14:paraId="255A6305">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5D33709D">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10亿元以下</w:t>
            </w:r>
          </w:p>
        </w:tc>
      </w:tr>
      <w:tr w14:paraId="58C96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D0F8A8C">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保险业</w:t>
            </w:r>
          </w:p>
        </w:tc>
        <w:tc>
          <w:tcPr>
            <w:tcW w:w="2836" w:type="dxa"/>
            <w:vMerge w:val="restart"/>
            <w:vAlign w:val="center"/>
          </w:tcPr>
          <w:p w14:paraId="2EE6BB6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保险业金融机构</w:t>
            </w:r>
          </w:p>
        </w:tc>
        <w:tc>
          <w:tcPr>
            <w:tcW w:w="606" w:type="dxa"/>
            <w:vAlign w:val="center"/>
          </w:tcPr>
          <w:p w14:paraId="4699453A">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0033DFBF">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400亿元（含）至5000亿元</w:t>
            </w:r>
          </w:p>
        </w:tc>
      </w:tr>
      <w:tr w14:paraId="10649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D7AE3C7">
            <w:pPr>
              <w:widowControl/>
              <w:spacing w:line="336" w:lineRule="auto"/>
              <w:jc w:val="left"/>
              <w:rPr>
                <w:rFonts w:ascii="仿宋" w:hAnsi="仿宋" w:eastAsia="仿宋" w:cs="仿宋"/>
                <w:kern w:val="0"/>
                <w:sz w:val="24"/>
                <w:highlight w:val="none"/>
              </w:rPr>
            </w:pPr>
          </w:p>
        </w:tc>
        <w:tc>
          <w:tcPr>
            <w:tcW w:w="2836" w:type="dxa"/>
            <w:vMerge w:val="continue"/>
            <w:vAlign w:val="center"/>
          </w:tcPr>
          <w:p w14:paraId="3DC7BC2C">
            <w:pPr>
              <w:widowControl/>
              <w:spacing w:line="336" w:lineRule="auto"/>
              <w:jc w:val="left"/>
              <w:rPr>
                <w:rFonts w:ascii="仿宋" w:hAnsi="仿宋" w:eastAsia="仿宋" w:cs="仿宋"/>
                <w:kern w:val="0"/>
                <w:sz w:val="24"/>
                <w:highlight w:val="none"/>
              </w:rPr>
            </w:pPr>
          </w:p>
        </w:tc>
        <w:tc>
          <w:tcPr>
            <w:tcW w:w="606" w:type="dxa"/>
            <w:vAlign w:val="center"/>
          </w:tcPr>
          <w:p w14:paraId="2BB8398D">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373E136D">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20亿元（含）至400亿元</w:t>
            </w:r>
          </w:p>
        </w:tc>
      </w:tr>
      <w:tr w14:paraId="182B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98CC3C8">
            <w:pPr>
              <w:widowControl/>
              <w:spacing w:line="336" w:lineRule="auto"/>
              <w:jc w:val="left"/>
              <w:rPr>
                <w:rFonts w:ascii="仿宋" w:hAnsi="仿宋" w:eastAsia="仿宋" w:cs="仿宋"/>
                <w:kern w:val="0"/>
                <w:sz w:val="24"/>
                <w:highlight w:val="none"/>
              </w:rPr>
            </w:pPr>
          </w:p>
        </w:tc>
        <w:tc>
          <w:tcPr>
            <w:tcW w:w="2836" w:type="dxa"/>
            <w:vMerge w:val="continue"/>
            <w:vAlign w:val="center"/>
          </w:tcPr>
          <w:p w14:paraId="6C9099FA">
            <w:pPr>
              <w:widowControl/>
              <w:spacing w:line="336" w:lineRule="auto"/>
              <w:jc w:val="left"/>
              <w:rPr>
                <w:rFonts w:ascii="仿宋" w:hAnsi="仿宋" w:eastAsia="仿宋" w:cs="仿宋"/>
                <w:kern w:val="0"/>
                <w:sz w:val="24"/>
                <w:highlight w:val="none"/>
              </w:rPr>
            </w:pPr>
          </w:p>
        </w:tc>
        <w:tc>
          <w:tcPr>
            <w:tcW w:w="606" w:type="dxa"/>
            <w:vAlign w:val="center"/>
          </w:tcPr>
          <w:p w14:paraId="705CDE5D">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3DDBC684">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20亿元以下</w:t>
            </w:r>
          </w:p>
        </w:tc>
      </w:tr>
      <w:tr w14:paraId="6A706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206E0A">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其他金融业</w:t>
            </w:r>
          </w:p>
        </w:tc>
        <w:tc>
          <w:tcPr>
            <w:tcW w:w="1025" w:type="dxa"/>
            <w:vMerge w:val="restart"/>
            <w:vAlign w:val="center"/>
          </w:tcPr>
          <w:p w14:paraId="6EA074E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金融信托与管理服务</w:t>
            </w:r>
          </w:p>
        </w:tc>
        <w:tc>
          <w:tcPr>
            <w:tcW w:w="2836" w:type="dxa"/>
            <w:vMerge w:val="restart"/>
            <w:vAlign w:val="center"/>
          </w:tcPr>
          <w:p w14:paraId="6A1DA0B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信托公司</w:t>
            </w:r>
          </w:p>
        </w:tc>
        <w:tc>
          <w:tcPr>
            <w:tcW w:w="606" w:type="dxa"/>
            <w:vAlign w:val="center"/>
          </w:tcPr>
          <w:p w14:paraId="085AE807">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5D416A3E">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400亿元（含）至1000亿元</w:t>
            </w:r>
          </w:p>
        </w:tc>
      </w:tr>
      <w:tr w14:paraId="347CF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B055F64">
            <w:pPr>
              <w:widowControl/>
              <w:spacing w:line="336" w:lineRule="auto"/>
              <w:jc w:val="center"/>
              <w:rPr>
                <w:rFonts w:ascii="仿宋" w:hAnsi="仿宋" w:eastAsia="仿宋" w:cs="仿宋"/>
                <w:kern w:val="0"/>
                <w:sz w:val="24"/>
                <w:highlight w:val="none"/>
              </w:rPr>
            </w:pPr>
          </w:p>
        </w:tc>
        <w:tc>
          <w:tcPr>
            <w:tcW w:w="1025" w:type="dxa"/>
            <w:vMerge w:val="continue"/>
            <w:vAlign w:val="center"/>
          </w:tcPr>
          <w:p w14:paraId="14FDD7E7">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33ACB53C">
            <w:pPr>
              <w:widowControl/>
              <w:spacing w:line="336" w:lineRule="auto"/>
              <w:jc w:val="center"/>
              <w:rPr>
                <w:rFonts w:ascii="仿宋" w:hAnsi="仿宋" w:eastAsia="仿宋" w:cs="仿宋"/>
                <w:kern w:val="0"/>
                <w:sz w:val="24"/>
                <w:highlight w:val="none"/>
              </w:rPr>
            </w:pPr>
          </w:p>
        </w:tc>
        <w:tc>
          <w:tcPr>
            <w:tcW w:w="606" w:type="dxa"/>
            <w:vAlign w:val="center"/>
          </w:tcPr>
          <w:p w14:paraId="5A689BD1">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220D0BCA">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20亿元（含）至400亿元</w:t>
            </w:r>
          </w:p>
        </w:tc>
      </w:tr>
      <w:tr w14:paraId="2CF35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7CCBA5">
            <w:pPr>
              <w:widowControl/>
              <w:spacing w:line="336" w:lineRule="auto"/>
              <w:jc w:val="center"/>
              <w:rPr>
                <w:rFonts w:ascii="仿宋" w:hAnsi="仿宋" w:eastAsia="仿宋" w:cs="仿宋"/>
                <w:kern w:val="0"/>
                <w:sz w:val="24"/>
                <w:highlight w:val="none"/>
              </w:rPr>
            </w:pPr>
          </w:p>
        </w:tc>
        <w:tc>
          <w:tcPr>
            <w:tcW w:w="1025" w:type="dxa"/>
            <w:vMerge w:val="continue"/>
            <w:vAlign w:val="center"/>
          </w:tcPr>
          <w:p w14:paraId="06AC55F6">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04BC0D36">
            <w:pPr>
              <w:widowControl/>
              <w:spacing w:line="336" w:lineRule="auto"/>
              <w:jc w:val="center"/>
              <w:rPr>
                <w:rFonts w:ascii="仿宋" w:hAnsi="仿宋" w:eastAsia="仿宋" w:cs="仿宋"/>
                <w:kern w:val="0"/>
                <w:sz w:val="24"/>
                <w:highlight w:val="none"/>
              </w:rPr>
            </w:pPr>
          </w:p>
        </w:tc>
        <w:tc>
          <w:tcPr>
            <w:tcW w:w="606" w:type="dxa"/>
            <w:vAlign w:val="center"/>
          </w:tcPr>
          <w:p w14:paraId="4F79A808">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268BABCD">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20亿元以下</w:t>
            </w:r>
          </w:p>
        </w:tc>
      </w:tr>
      <w:tr w14:paraId="12EB0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D0C4DBB">
            <w:pPr>
              <w:widowControl/>
              <w:spacing w:line="336" w:lineRule="auto"/>
              <w:jc w:val="center"/>
              <w:rPr>
                <w:rFonts w:ascii="仿宋" w:hAnsi="仿宋" w:eastAsia="仿宋" w:cs="仿宋"/>
                <w:kern w:val="0"/>
                <w:sz w:val="24"/>
                <w:highlight w:val="none"/>
              </w:rPr>
            </w:pPr>
          </w:p>
        </w:tc>
        <w:tc>
          <w:tcPr>
            <w:tcW w:w="1025" w:type="dxa"/>
            <w:vMerge w:val="restart"/>
            <w:vAlign w:val="center"/>
          </w:tcPr>
          <w:p w14:paraId="0EB12AF1">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控股公司服务</w:t>
            </w:r>
          </w:p>
        </w:tc>
        <w:tc>
          <w:tcPr>
            <w:tcW w:w="2836" w:type="dxa"/>
            <w:vMerge w:val="restart"/>
            <w:vAlign w:val="center"/>
          </w:tcPr>
          <w:p w14:paraId="5631DF0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金融控股公司</w:t>
            </w:r>
          </w:p>
        </w:tc>
        <w:tc>
          <w:tcPr>
            <w:tcW w:w="606" w:type="dxa"/>
            <w:vAlign w:val="center"/>
          </w:tcPr>
          <w:p w14:paraId="0911C6BC">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7A365380">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5000亿元（含）至40000亿元</w:t>
            </w:r>
          </w:p>
        </w:tc>
      </w:tr>
      <w:tr w14:paraId="2BE7F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AE0F61F">
            <w:pPr>
              <w:widowControl/>
              <w:spacing w:line="336" w:lineRule="auto"/>
              <w:jc w:val="center"/>
              <w:rPr>
                <w:rFonts w:ascii="仿宋" w:hAnsi="仿宋" w:eastAsia="仿宋" w:cs="仿宋"/>
                <w:kern w:val="0"/>
                <w:sz w:val="24"/>
                <w:highlight w:val="none"/>
              </w:rPr>
            </w:pPr>
          </w:p>
        </w:tc>
        <w:tc>
          <w:tcPr>
            <w:tcW w:w="1025" w:type="dxa"/>
            <w:vMerge w:val="continue"/>
            <w:vAlign w:val="center"/>
          </w:tcPr>
          <w:p w14:paraId="7D556F1F">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205AD4D5">
            <w:pPr>
              <w:widowControl/>
              <w:spacing w:line="336" w:lineRule="auto"/>
              <w:jc w:val="center"/>
              <w:rPr>
                <w:rFonts w:ascii="仿宋" w:hAnsi="仿宋" w:eastAsia="仿宋" w:cs="仿宋"/>
                <w:kern w:val="0"/>
                <w:sz w:val="24"/>
                <w:highlight w:val="none"/>
              </w:rPr>
            </w:pPr>
          </w:p>
        </w:tc>
        <w:tc>
          <w:tcPr>
            <w:tcW w:w="606" w:type="dxa"/>
            <w:vAlign w:val="center"/>
          </w:tcPr>
          <w:p w14:paraId="378F609C">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7C63DC40">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50亿元（含）至5000亿元</w:t>
            </w:r>
          </w:p>
        </w:tc>
      </w:tr>
      <w:tr w14:paraId="42FB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5CEC221">
            <w:pPr>
              <w:widowControl/>
              <w:spacing w:line="336" w:lineRule="auto"/>
              <w:jc w:val="center"/>
              <w:rPr>
                <w:rFonts w:ascii="仿宋" w:hAnsi="仿宋" w:eastAsia="仿宋" w:cs="仿宋"/>
                <w:kern w:val="0"/>
                <w:sz w:val="24"/>
                <w:highlight w:val="none"/>
              </w:rPr>
            </w:pPr>
          </w:p>
        </w:tc>
        <w:tc>
          <w:tcPr>
            <w:tcW w:w="1025" w:type="dxa"/>
            <w:vMerge w:val="continue"/>
            <w:vAlign w:val="center"/>
          </w:tcPr>
          <w:p w14:paraId="1AF2E196">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13EAECD2">
            <w:pPr>
              <w:widowControl/>
              <w:spacing w:line="336" w:lineRule="auto"/>
              <w:jc w:val="center"/>
              <w:rPr>
                <w:rFonts w:ascii="仿宋" w:hAnsi="仿宋" w:eastAsia="仿宋" w:cs="仿宋"/>
                <w:kern w:val="0"/>
                <w:sz w:val="24"/>
                <w:highlight w:val="none"/>
              </w:rPr>
            </w:pPr>
          </w:p>
        </w:tc>
        <w:tc>
          <w:tcPr>
            <w:tcW w:w="606" w:type="dxa"/>
            <w:vAlign w:val="center"/>
          </w:tcPr>
          <w:p w14:paraId="3EA656DF">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79F93DE8">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3FDA5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3ADED0">
            <w:pPr>
              <w:widowControl/>
              <w:spacing w:line="336" w:lineRule="auto"/>
              <w:jc w:val="center"/>
              <w:rPr>
                <w:rFonts w:ascii="仿宋" w:hAnsi="仿宋" w:eastAsia="仿宋" w:cs="仿宋"/>
                <w:kern w:val="0"/>
                <w:sz w:val="24"/>
                <w:highlight w:val="none"/>
              </w:rPr>
            </w:pPr>
          </w:p>
        </w:tc>
        <w:tc>
          <w:tcPr>
            <w:tcW w:w="1025" w:type="dxa"/>
            <w:vMerge w:val="restart"/>
            <w:vAlign w:val="center"/>
          </w:tcPr>
          <w:p w14:paraId="1D54D14F">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其他未包括的金融业</w:t>
            </w:r>
          </w:p>
        </w:tc>
        <w:tc>
          <w:tcPr>
            <w:tcW w:w="2836" w:type="dxa"/>
            <w:vMerge w:val="restart"/>
            <w:vAlign w:val="center"/>
          </w:tcPr>
          <w:p w14:paraId="688AD361">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除贷款公司、小额贷款公司及典当行以外的其他金融机构</w:t>
            </w:r>
          </w:p>
        </w:tc>
        <w:tc>
          <w:tcPr>
            <w:tcW w:w="606" w:type="dxa"/>
            <w:vAlign w:val="center"/>
          </w:tcPr>
          <w:p w14:paraId="43943BB6">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3EFB4DC7">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57EFC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A7FE61">
            <w:pPr>
              <w:widowControl/>
              <w:spacing w:line="336" w:lineRule="auto"/>
              <w:jc w:val="left"/>
              <w:rPr>
                <w:rFonts w:ascii="仿宋" w:hAnsi="仿宋" w:eastAsia="仿宋" w:cs="仿宋"/>
                <w:kern w:val="0"/>
                <w:sz w:val="24"/>
                <w:highlight w:val="none"/>
              </w:rPr>
            </w:pPr>
          </w:p>
        </w:tc>
        <w:tc>
          <w:tcPr>
            <w:tcW w:w="1025" w:type="dxa"/>
            <w:vMerge w:val="continue"/>
            <w:vAlign w:val="center"/>
          </w:tcPr>
          <w:p w14:paraId="40F227F9">
            <w:pPr>
              <w:widowControl/>
              <w:spacing w:line="336" w:lineRule="auto"/>
              <w:jc w:val="left"/>
              <w:rPr>
                <w:rFonts w:ascii="仿宋" w:hAnsi="仿宋" w:eastAsia="仿宋" w:cs="仿宋"/>
                <w:kern w:val="0"/>
                <w:sz w:val="24"/>
                <w:highlight w:val="none"/>
              </w:rPr>
            </w:pPr>
          </w:p>
        </w:tc>
        <w:tc>
          <w:tcPr>
            <w:tcW w:w="2836" w:type="dxa"/>
            <w:vMerge w:val="continue"/>
            <w:vAlign w:val="center"/>
          </w:tcPr>
          <w:p w14:paraId="1D72B6E5">
            <w:pPr>
              <w:widowControl/>
              <w:spacing w:line="336" w:lineRule="auto"/>
              <w:jc w:val="left"/>
              <w:rPr>
                <w:rFonts w:ascii="仿宋" w:hAnsi="仿宋" w:eastAsia="仿宋" w:cs="仿宋"/>
                <w:kern w:val="0"/>
                <w:sz w:val="24"/>
                <w:highlight w:val="none"/>
              </w:rPr>
            </w:pPr>
          </w:p>
        </w:tc>
        <w:tc>
          <w:tcPr>
            <w:tcW w:w="606" w:type="dxa"/>
            <w:vAlign w:val="center"/>
          </w:tcPr>
          <w:p w14:paraId="5CA030E5">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236CA864">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67CB1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2E4C08">
            <w:pPr>
              <w:widowControl/>
              <w:spacing w:line="336" w:lineRule="auto"/>
              <w:jc w:val="left"/>
              <w:rPr>
                <w:rFonts w:ascii="仿宋" w:hAnsi="仿宋" w:eastAsia="仿宋" w:cs="仿宋"/>
                <w:kern w:val="0"/>
                <w:sz w:val="24"/>
                <w:highlight w:val="none"/>
              </w:rPr>
            </w:pPr>
          </w:p>
        </w:tc>
        <w:tc>
          <w:tcPr>
            <w:tcW w:w="1025" w:type="dxa"/>
            <w:vMerge w:val="continue"/>
            <w:vAlign w:val="center"/>
          </w:tcPr>
          <w:p w14:paraId="76A1B651">
            <w:pPr>
              <w:widowControl/>
              <w:spacing w:line="336" w:lineRule="auto"/>
              <w:jc w:val="left"/>
              <w:rPr>
                <w:rFonts w:ascii="仿宋" w:hAnsi="仿宋" w:eastAsia="仿宋" w:cs="仿宋"/>
                <w:kern w:val="0"/>
                <w:sz w:val="24"/>
                <w:highlight w:val="none"/>
              </w:rPr>
            </w:pPr>
          </w:p>
        </w:tc>
        <w:tc>
          <w:tcPr>
            <w:tcW w:w="2836" w:type="dxa"/>
            <w:vMerge w:val="continue"/>
            <w:vAlign w:val="center"/>
          </w:tcPr>
          <w:p w14:paraId="06DBAD0D">
            <w:pPr>
              <w:widowControl/>
              <w:spacing w:line="336" w:lineRule="auto"/>
              <w:jc w:val="left"/>
              <w:rPr>
                <w:rFonts w:ascii="仿宋" w:hAnsi="仿宋" w:eastAsia="仿宋" w:cs="仿宋"/>
                <w:kern w:val="0"/>
                <w:sz w:val="24"/>
                <w:highlight w:val="none"/>
              </w:rPr>
            </w:pPr>
          </w:p>
        </w:tc>
        <w:tc>
          <w:tcPr>
            <w:tcW w:w="606" w:type="dxa"/>
            <w:vAlign w:val="center"/>
          </w:tcPr>
          <w:p w14:paraId="57A12F42">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17040021">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bl>
    <w:p w14:paraId="0A4B796C">
      <w:pPr>
        <w:keepNext w:val="0"/>
        <w:keepLines w:val="0"/>
        <w:pageBreakBefore w:val="0"/>
        <w:widowControl w:val="0"/>
        <w:kinsoku/>
        <w:wordWrap/>
        <w:overflowPunct/>
        <w:topLinePunct w:val="0"/>
        <w:autoSpaceDE/>
        <w:autoSpaceDN/>
        <w:bidi w:val="0"/>
        <w:adjustRightInd w:val="0"/>
        <w:snapToGrid/>
        <w:spacing w:line="360" w:lineRule="exact"/>
        <w:ind w:left="0" w:right="0"/>
        <w:textAlignment w:val="auto"/>
        <w:rPr>
          <w:rFonts w:hint="eastAsia" w:ascii="仿宋" w:hAnsi="仿宋" w:eastAsia="仿宋" w:cs="仿宋"/>
          <w:bCs/>
          <w:sz w:val="24"/>
          <w:highlight w:val="none"/>
        </w:rPr>
      </w:pPr>
    </w:p>
    <w:p w14:paraId="2EA73FE9">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highlight w:val="none"/>
        </w:rPr>
      </w:pPr>
    </w:p>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2020503050405090304"/>
    <w:charset w:val="86"/>
    <w:family w:val="modern"/>
    <w:pitch w:val="default"/>
    <w:sig w:usb0="00000000" w:usb1="00000000" w:usb2="00000001" w:usb3="00000000" w:csb0="400001BF" w:csb1="DFF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8EEC">
    <w:pPr>
      <w:pStyle w:val="43"/>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2A20">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8D90C">
                          <w:pPr>
                            <w:pStyle w:val="4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888D90C">
                    <w:pPr>
                      <w:pStyle w:val="43"/>
                    </w:pPr>
                    <w:r>
                      <w:fldChar w:fldCharType="begin"/>
                    </w:r>
                    <w:r>
                      <w:instrText xml:space="preserve"> PAGE  \* MERGEFORMAT </w:instrText>
                    </w:r>
                    <w:r>
                      <w:fldChar w:fldCharType="separate"/>
                    </w:r>
                    <w:r>
                      <w:t>50</w:t>
                    </w:r>
                    <w:r>
                      <w:fldChar w:fldCharType="end"/>
                    </w:r>
                  </w:p>
                </w:txbxContent>
              </v:textbox>
            </v:shape>
          </w:pict>
        </mc:Fallback>
      </mc:AlternateContent>
    </w:r>
  </w:p>
  <w:p w14:paraId="1369A81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9454">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49432">
                          <w:pPr>
                            <w:pStyle w:val="4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49432">
                    <w:pPr>
                      <w:pStyle w:val="43"/>
                    </w:pPr>
                    <w:r>
                      <w:fldChar w:fldCharType="begin"/>
                    </w:r>
                    <w:r>
                      <w:instrText xml:space="preserve"> PAGE  \* MERGEFORMAT </w:instrText>
                    </w:r>
                    <w:r>
                      <w:fldChar w:fldCharType="separate"/>
                    </w:r>
                    <w:r>
                      <w:t>49</w:t>
                    </w:r>
                    <w:r>
                      <w:fldChar w:fldCharType="end"/>
                    </w:r>
                  </w:p>
                </w:txbxContent>
              </v:textbox>
            </v:shape>
          </w:pict>
        </mc:Fallback>
      </mc:AlternateContent>
    </w:r>
  </w:p>
  <w:p w14:paraId="6B40AAF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B35D8">
    <w:pPr>
      <w:pStyle w:val="43"/>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8CB98">
                          <w:pPr>
                            <w:pStyle w:val="4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88CB98">
                    <w:pPr>
                      <w:pStyle w:val="4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691D">
    <w:pPr>
      <w:pStyle w:val="43"/>
      <w:tabs>
        <w:tab w:val="clear" w:pos="4153"/>
      </w:tabs>
      <w:jc w:val="center"/>
    </w:pPr>
    <w: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2162">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DF4E1">
                          <w:pPr>
                            <w:pStyle w:val="4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BDF4E1">
                    <w:pPr>
                      <w:pStyle w:val="4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1B6E">
    <w:pPr>
      <w:pStyle w:val="43"/>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A00CC">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5A00CC">
                    <w:pPr>
                      <w:pStyle w:val="43"/>
                    </w:pPr>
                    <w:r>
                      <w:fldChar w:fldCharType="begin"/>
                    </w:r>
                    <w:r>
                      <w:instrText xml:space="preserve"> PAGE  \* MERGEFORMAT </w:instrText>
                    </w:r>
                    <w:r>
                      <w:fldChar w:fldCharType="separate"/>
                    </w:r>
                    <w:r>
                      <w:t>1</w:t>
                    </w:r>
                    <w:r>
                      <w:fldChar w:fldCharType="end"/>
                    </w:r>
                  </w:p>
                </w:txbxContent>
              </v:textbox>
            </v:shape>
          </w:pict>
        </mc:Fallback>
      </mc:AlternateContent>
    </w:r>
    <w:r>
      <w:ptab w:relativeTo="margin" w:alignment="center"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AE09">
    <w:pPr>
      <w:pStyle w:val="4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57AD58">
                          <w:pPr>
                            <w:pStyle w:val="43"/>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4557AD58">
                    <w:pPr>
                      <w:pStyle w:val="4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DA240">
    <w:pPr>
      <w:pStyle w:val="43"/>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9362C">
                          <w:pPr>
                            <w:pStyle w:val="4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79362C">
                    <w:pPr>
                      <w:pStyle w:val="4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810C">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8AB26">
                          <w:pPr>
                            <w:pStyle w:val="4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948AB26">
                    <w:pPr>
                      <w:pStyle w:val="4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D917">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FB640">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1FB640">
                    <w:pPr>
                      <w:pStyle w:val="43"/>
                    </w:pPr>
                    <w:r>
                      <w:fldChar w:fldCharType="begin"/>
                    </w:r>
                    <w:r>
                      <w:instrText xml:space="preserve"> PAGE  \* MERGEFORMAT </w:instrText>
                    </w:r>
                    <w:r>
                      <w:fldChar w:fldCharType="separate"/>
                    </w:r>
                    <w:r>
                      <w:t>1</w:t>
                    </w:r>
                    <w:r>
                      <w:fldChar w:fldCharType="end"/>
                    </w:r>
                  </w:p>
                </w:txbxContent>
              </v:textbox>
            </v:shape>
          </w:pict>
        </mc:Fallback>
      </mc:AlternateContent>
    </w:r>
  </w:p>
  <w:p w14:paraId="3A30B2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2BF8">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B49E5">
                          <w:pPr>
                            <w:pStyle w:val="4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CB49E5">
                    <w:pPr>
                      <w:pStyle w:val="43"/>
                    </w:pPr>
                    <w:r>
                      <w:fldChar w:fldCharType="begin"/>
                    </w:r>
                    <w:r>
                      <w:instrText xml:space="preserve"> PAGE  \* MERGEFORMAT </w:instrText>
                    </w:r>
                    <w:r>
                      <w:fldChar w:fldCharType="separate"/>
                    </w:r>
                    <w:r>
                      <w:t>47</w:t>
                    </w:r>
                    <w:r>
                      <w:fldChar w:fldCharType="end"/>
                    </w:r>
                  </w:p>
                </w:txbxContent>
              </v:textbox>
            </v:shape>
          </w:pict>
        </mc:Fallback>
      </mc:AlternateContent>
    </w:r>
  </w:p>
  <w:p w14:paraId="70C6338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3A13">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04785776">
    <w:pPr>
      <w:pStyle w:val="45"/>
      <w:pBdr>
        <w:bottom w:val="none" w:color="auto" w:sz="0" w:space="0"/>
      </w:pBdr>
      <w:tabs>
        <w:tab w:val="center" w:pos="4535"/>
        <w:tab w:val="right" w:pos="9070"/>
        <w:tab w:val="clear" w:pos="4153"/>
        <w:tab w:val="clear" w:pos="8306"/>
      </w:tabs>
      <w:jc w:val="both"/>
      <w:rPr>
        <w:lang w:val="zh-CN"/>
      </w:rPr>
    </w:pPr>
    <w:r>
      <w:rPr>
        <w:lang w:val="zh-CN"/>
      </w:rPr>
      <w:t></w:t>
    </w:r>
  </w:p>
  <w:p w14:paraId="41DDFCF1">
    <w:pPr>
      <w:pStyle w:val="45"/>
      <w:pBdr>
        <w:bottom w:val="none" w:color="auto" w:sz="0" w:space="0"/>
      </w:pBdr>
      <w:tabs>
        <w:tab w:val="center" w:pos="4535"/>
        <w:tab w:val="right" w:pos="9070"/>
        <w:tab w:val="clear" w:pos="4153"/>
        <w:tab w:val="clear" w:pos="8306"/>
      </w:tabs>
      <w:jc w:val="both"/>
      <w:rPr>
        <w:rFonts w:hint="default"/>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8CAB">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C1297BD">
    <w:pPr>
      <w:pStyle w:val="45"/>
      <w:pBdr>
        <w:bottom w:val="none" w:color="auto" w:sz="0" w:space="0"/>
      </w:pBdr>
      <w:tabs>
        <w:tab w:val="center" w:pos="4535"/>
        <w:tab w:val="right" w:pos="9070"/>
        <w:tab w:val="clear" w:pos="4153"/>
        <w:tab w:val="clear" w:pos="8306"/>
      </w:tabs>
      <w:jc w:val="both"/>
      <w:rPr>
        <w:rFonts w:hint="eastAsia" w:ascii="宋体" w:hAnsi="宋体" w:eastAsia="宋体" w:cs="宋体"/>
      </w:rPr>
    </w:pPr>
    <w:r>
      <w:rPr>
        <w:lang w:val="zh-CN"/>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9C1B">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5E26895B">
    <w:pPr>
      <w:pStyle w:val="45"/>
      <w:pBdr>
        <w:bottom w:val="none" w:color="auto" w:sz="0" w:space="0"/>
      </w:pBdr>
      <w:tabs>
        <w:tab w:val="center" w:pos="4535"/>
        <w:tab w:val="right" w:pos="9070"/>
        <w:tab w:val="clear" w:pos="4153"/>
        <w:tab w:val="clear" w:pos="8306"/>
      </w:tabs>
      <w:jc w:val="both"/>
      <w:rPr>
        <w:rFonts w:hint="eastAsia" w:ascii="宋体" w:hAnsi="宋体" w:eastAsia="宋体" w:cs="宋体"/>
        <w:b/>
        <w:i/>
        <w:iCs/>
        <w:sz w:val="21"/>
        <w:szCs w:val="21"/>
        <w:u w:val="single"/>
      </w:rPr>
    </w:pPr>
    <w:r>
      <w:rPr>
        <w:lang w:val="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12F54">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3A4CE24D">
    <w:pPr>
      <w:pStyle w:val="45"/>
      <w:pBdr>
        <w:bottom w:val="none" w:color="auto" w:sz="0" w:space="0"/>
      </w:pBdr>
      <w:tabs>
        <w:tab w:val="center" w:pos="4535"/>
        <w:tab w:val="right" w:pos="9070"/>
        <w:tab w:val="clear" w:pos="4153"/>
        <w:tab w:val="clear" w:pos="8306"/>
      </w:tabs>
      <w:jc w:val="both"/>
    </w:pPr>
    <w:r>
      <w:rPr>
        <w:lang w:val="zh-CN"/>
      </w:rPr>
      <w:t></w:t>
    </w:r>
  </w:p>
  <w:p w14:paraId="04941767">
    <w:pPr>
      <w:pStyle w:val="45"/>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9322">
    <w:pPr>
      <w:pStyle w:val="45"/>
      <w:pBdr>
        <w:bottom w:val="thickThinSmallGap" w:color="auto" w:sz="12" w:space="1"/>
      </w:pBdr>
      <w:ind w:left="6000" w:hanging="6000" w:hangingChars="3000"/>
      <w:jc w:val="left"/>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32E5446A">
    <w:pPr>
      <w:pStyle w:val="45"/>
      <w:pBdr>
        <w:bottom w:val="none" w:color="auto" w:sz="0" w:space="1"/>
      </w:pBdr>
      <w:jc w:val="both"/>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C4F3">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06B392C0">
    <w:pPr>
      <w:pStyle w:val="45"/>
      <w:pBdr>
        <w:bottom w:val="none" w:color="auto" w:sz="0" w:space="0"/>
      </w:pBdr>
      <w:tabs>
        <w:tab w:val="center" w:pos="4535"/>
        <w:tab w:val="right" w:pos="9070"/>
        <w:tab w:val="clear" w:pos="4153"/>
        <w:tab w:val="clear" w:pos="8306"/>
      </w:tabs>
      <w:jc w:val="both"/>
    </w:pP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8193">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124C5C6">
    <w:pPr>
      <w:pStyle w:val="45"/>
      <w:pBdr>
        <w:bottom w:val="none" w:color="auto" w:sz="0" w:space="0"/>
      </w:pBdr>
      <w:tabs>
        <w:tab w:val="center" w:pos="4535"/>
        <w:tab w:val="right" w:pos="9070"/>
        <w:tab w:val="clear" w:pos="4153"/>
        <w:tab w:val="clear" w:pos="8306"/>
      </w:tabs>
      <w:jc w:val="both"/>
      <w:rPr>
        <w:rFonts w:hint="default"/>
        <w:lang w:val="en-US" w:eastAsia="zh-CN"/>
      </w:rPr>
    </w:pPr>
    <w:r>
      <w:rPr>
        <w:lang w:val="zh-CN"/>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2BD9">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6BC3C14C">
    <w:pPr>
      <w:pStyle w:val="45"/>
      <w:pBdr>
        <w:bottom w:val="none" w:color="auto" w:sz="0" w:space="0"/>
      </w:pBdr>
      <w:tabs>
        <w:tab w:val="center" w:pos="4535"/>
        <w:tab w:val="right" w:pos="9070"/>
        <w:tab w:val="clear" w:pos="4153"/>
        <w:tab w:val="clear" w:pos="8306"/>
      </w:tabs>
      <w:jc w:val="both"/>
      <w:rPr>
        <w:rFonts w:hint="default"/>
        <w:lang w:val="en-US" w:eastAsia="zh-CN"/>
      </w:rPr>
    </w:pPr>
    <w:r>
      <w:rPr>
        <w:lang w:val="zh-CN"/>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74BB">
    <w:pPr>
      <w:pStyle w:val="45"/>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绍兴盈伽工程咨询有限公司招标文件</w:t>
    </w:r>
  </w:p>
  <w:p w14:paraId="350A664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7FC3">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B3D93DD">
    <w:pPr>
      <w:pStyle w:val="45"/>
      <w:pBdr>
        <w:bottom w:val="none" w:color="auto" w:sz="0" w:space="0"/>
      </w:pBdr>
      <w:tabs>
        <w:tab w:val="center" w:pos="4535"/>
        <w:tab w:val="right" w:pos="9070"/>
        <w:tab w:val="clear" w:pos="4153"/>
        <w:tab w:val="clear" w:pos="8306"/>
      </w:tabs>
      <w:jc w:val="both"/>
      <w:rPr>
        <w:rFonts w:hint="default"/>
        <w:sz w:val="21"/>
        <w:szCs w:val="22"/>
        <w:lang w:val="en-US"/>
      </w:rPr>
    </w:pPr>
    <w:r>
      <w:rPr>
        <w:lang w:val="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4EA4D">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25F95AB">
    <w:pPr>
      <w:pStyle w:val="45"/>
      <w:pBdr>
        <w:bottom w:val="none" w:color="auto" w:sz="0" w:space="0"/>
      </w:pBdr>
      <w:tabs>
        <w:tab w:val="center" w:pos="4535"/>
        <w:tab w:val="right" w:pos="9070"/>
        <w:tab w:val="clear" w:pos="4153"/>
        <w:tab w:val="clear" w:pos="8306"/>
      </w:tabs>
      <w:jc w:val="both"/>
      <w:rPr>
        <w:rFonts w:hint="eastAsia" w:ascii="宋体" w:hAnsi="宋体" w:eastAsia="宋体" w:cs="宋体"/>
        <w:b/>
        <w:i/>
        <w:sz w:val="21"/>
        <w:szCs w:val="21"/>
        <w:u w:val="single"/>
      </w:rPr>
    </w:pPr>
    <w:r>
      <w:rPr>
        <w:lang w:val="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19362"/>
    <w:multiLevelType w:val="singleLevel"/>
    <w:tmpl w:val="86419362"/>
    <w:lvl w:ilvl="0" w:tentative="0">
      <w:start w:val="3"/>
      <w:numFmt w:val="decimal"/>
      <w:lvlText w:val="%1."/>
      <w:lvlJc w:val="left"/>
      <w:pPr>
        <w:tabs>
          <w:tab w:val="left" w:pos="312"/>
        </w:tabs>
      </w:p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F53F6B6E"/>
    <w:multiLevelType w:val="singleLevel"/>
    <w:tmpl w:val="F53F6B6E"/>
    <w:lvl w:ilvl="0" w:tentative="0">
      <w:start w:val="2"/>
      <w:numFmt w:val="decimal"/>
      <w:suff w:val="nothing"/>
      <w:lvlText w:val="%1、"/>
      <w:lvlJc w:val="left"/>
    </w:lvl>
  </w:abstractNum>
  <w:abstractNum w:abstractNumId="3">
    <w:nsid w:val="F7DFC3B7"/>
    <w:multiLevelType w:val="singleLevel"/>
    <w:tmpl w:val="F7DFC3B7"/>
    <w:lvl w:ilvl="0" w:tentative="0">
      <w:start w:val="4"/>
      <w:numFmt w:val="decimal"/>
      <w:lvlText w:val="%1."/>
      <w:lvlJc w:val="left"/>
      <w:pPr>
        <w:tabs>
          <w:tab w:val="left" w:pos="312"/>
        </w:tabs>
      </w:pPr>
    </w:lvl>
  </w:abstractNum>
  <w:abstractNum w:abstractNumId="4">
    <w:nsid w:val="06809A2A"/>
    <w:multiLevelType w:val="singleLevel"/>
    <w:tmpl w:val="06809A2A"/>
    <w:lvl w:ilvl="0" w:tentative="0">
      <w:start w:val="1"/>
      <w:numFmt w:val="decimal"/>
      <w:suff w:val="nothing"/>
      <w:lvlText w:val="%1、"/>
      <w:lvlJc w:val="left"/>
      <w:pPr>
        <w:ind w:left="425" w:leftChars="0" w:hanging="425" w:firstLineChars="0"/>
      </w:pPr>
      <w:rPr>
        <w:rFonts w:hint="default"/>
      </w:rPr>
    </w:lvl>
  </w:abstractNum>
  <w:abstractNum w:abstractNumId="5">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8CB19B"/>
    <w:multiLevelType w:val="singleLevel"/>
    <w:tmpl w:val="188CB19B"/>
    <w:lvl w:ilvl="0" w:tentative="0">
      <w:start w:val="4"/>
      <w:numFmt w:val="chineseCounting"/>
      <w:suff w:val="nothing"/>
      <w:lvlText w:val="%1、"/>
      <w:lvlJc w:val="left"/>
      <w:rPr>
        <w:rFonts w:hint="eastAsia"/>
      </w:rPr>
    </w:lvl>
  </w:abstractNum>
  <w:abstractNum w:abstractNumId="7">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9">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0">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5"/>
  </w:num>
  <w:num w:numId="3">
    <w:abstractNumId w:val="9"/>
  </w:num>
  <w:num w:numId="4">
    <w:abstractNumId w:val="10"/>
  </w:num>
  <w:num w:numId="5">
    <w:abstractNumId w:val="7"/>
  </w:num>
  <w:num w:numId="6">
    <w:abstractNumId w:val="2"/>
  </w:num>
  <w:num w:numId="7">
    <w:abstractNumId w:val="4"/>
  </w:num>
  <w:num w:numId="8">
    <w:abstractNumId w:val="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Mzk5YWUxNWJiNTQ4Mzc1MzYxYzQ1MzlmNmM5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0C68F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0E17F0"/>
    <w:rsid w:val="0326446A"/>
    <w:rsid w:val="032D5555"/>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A16594"/>
    <w:rsid w:val="05A7762D"/>
    <w:rsid w:val="05D00EC1"/>
    <w:rsid w:val="05ED36CF"/>
    <w:rsid w:val="060E5941"/>
    <w:rsid w:val="06110FAF"/>
    <w:rsid w:val="063F4ED6"/>
    <w:rsid w:val="06462DE7"/>
    <w:rsid w:val="06493CA7"/>
    <w:rsid w:val="0651544E"/>
    <w:rsid w:val="065A6178"/>
    <w:rsid w:val="066218CC"/>
    <w:rsid w:val="066C6438"/>
    <w:rsid w:val="066F1CF3"/>
    <w:rsid w:val="0678654A"/>
    <w:rsid w:val="06930BB8"/>
    <w:rsid w:val="0693169A"/>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90B64"/>
    <w:rsid w:val="0AA374A5"/>
    <w:rsid w:val="0AAB7649"/>
    <w:rsid w:val="0ABC5606"/>
    <w:rsid w:val="0B0125E2"/>
    <w:rsid w:val="0B30404E"/>
    <w:rsid w:val="0B347B82"/>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C27B72"/>
    <w:rsid w:val="0CFE707A"/>
    <w:rsid w:val="0D002EE5"/>
    <w:rsid w:val="0D063BDA"/>
    <w:rsid w:val="0D08375F"/>
    <w:rsid w:val="0D184CFB"/>
    <w:rsid w:val="0D2606C0"/>
    <w:rsid w:val="0D33083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8C2F6C"/>
    <w:rsid w:val="0E9D0089"/>
    <w:rsid w:val="0EAD0A9E"/>
    <w:rsid w:val="0EB803EE"/>
    <w:rsid w:val="0EC058C8"/>
    <w:rsid w:val="0EF94D4B"/>
    <w:rsid w:val="0F1C3261"/>
    <w:rsid w:val="0F4958DC"/>
    <w:rsid w:val="0F4D633E"/>
    <w:rsid w:val="0F515DF7"/>
    <w:rsid w:val="0F596BA8"/>
    <w:rsid w:val="0F6248D2"/>
    <w:rsid w:val="0F693536"/>
    <w:rsid w:val="0F75168B"/>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116148"/>
    <w:rsid w:val="19826FE8"/>
    <w:rsid w:val="19932372"/>
    <w:rsid w:val="19A20DD5"/>
    <w:rsid w:val="19AE03F1"/>
    <w:rsid w:val="19BE2C88"/>
    <w:rsid w:val="19CA11F8"/>
    <w:rsid w:val="1A071A03"/>
    <w:rsid w:val="1A1F16AE"/>
    <w:rsid w:val="1A3B5C77"/>
    <w:rsid w:val="1A513151"/>
    <w:rsid w:val="1A984BAD"/>
    <w:rsid w:val="1AB8220E"/>
    <w:rsid w:val="1AE4166C"/>
    <w:rsid w:val="1AE82B34"/>
    <w:rsid w:val="1AF06CFB"/>
    <w:rsid w:val="1AF11B8D"/>
    <w:rsid w:val="1B0E7A21"/>
    <w:rsid w:val="1B11359C"/>
    <w:rsid w:val="1B18764C"/>
    <w:rsid w:val="1B2A271F"/>
    <w:rsid w:val="1B530544"/>
    <w:rsid w:val="1B713184"/>
    <w:rsid w:val="1B945CBD"/>
    <w:rsid w:val="1BA209CF"/>
    <w:rsid w:val="1BB4777D"/>
    <w:rsid w:val="1BBC6277"/>
    <w:rsid w:val="1BD75AB8"/>
    <w:rsid w:val="1C0459C2"/>
    <w:rsid w:val="1C1B3B4A"/>
    <w:rsid w:val="1C1C3DE9"/>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DE092F"/>
    <w:rsid w:val="1FE868A9"/>
    <w:rsid w:val="20034907"/>
    <w:rsid w:val="201723F5"/>
    <w:rsid w:val="20173E4B"/>
    <w:rsid w:val="204B414A"/>
    <w:rsid w:val="204E48BC"/>
    <w:rsid w:val="205173F8"/>
    <w:rsid w:val="206C7450"/>
    <w:rsid w:val="208921B3"/>
    <w:rsid w:val="20956B79"/>
    <w:rsid w:val="20973DEB"/>
    <w:rsid w:val="20A23587"/>
    <w:rsid w:val="20B26522"/>
    <w:rsid w:val="20B44310"/>
    <w:rsid w:val="20CF69FF"/>
    <w:rsid w:val="211116EB"/>
    <w:rsid w:val="214915E5"/>
    <w:rsid w:val="216133FC"/>
    <w:rsid w:val="21721428"/>
    <w:rsid w:val="21D56769"/>
    <w:rsid w:val="21E52EF3"/>
    <w:rsid w:val="21EA5DF7"/>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31E31"/>
    <w:rsid w:val="2A7D76B4"/>
    <w:rsid w:val="2A9A0D1B"/>
    <w:rsid w:val="2AA21BBD"/>
    <w:rsid w:val="2B230E8E"/>
    <w:rsid w:val="2B3E2076"/>
    <w:rsid w:val="2B437463"/>
    <w:rsid w:val="2B451BC7"/>
    <w:rsid w:val="2B573B3D"/>
    <w:rsid w:val="2B720E9D"/>
    <w:rsid w:val="2B7807EE"/>
    <w:rsid w:val="2BB2215A"/>
    <w:rsid w:val="2BBF00EC"/>
    <w:rsid w:val="2BC37CFD"/>
    <w:rsid w:val="2BD5237F"/>
    <w:rsid w:val="2BDE6499"/>
    <w:rsid w:val="2BE536CE"/>
    <w:rsid w:val="2BE758D9"/>
    <w:rsid w:val="2C09049E"/>
    <w:rsid w:val="2C0A653C"/>
    <w:rsid w:val="2C191F85"/>
    <w:rsid w:val="2C6847A3"/>
    <w:rsid w:val="2C9B2ACC"/>
    <w:rsid w:val="2CE82D6F"/>
    <w:rsid w:val="2D1A5C3D"/>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C54A47"/>
    <w:rsid w:val="31E3679B"/>
    <w:rsid w:val="31E732FD"/>
    <w:rsid w:val="324E2D81"/>
    <w:rsid w:val="32517576"/>
    <w:rsid w:val="327D6706"/>
    <w:rsid w:val="32BE5C2C"/>
    <w:rsid w:val="32D31B31"/>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156FD"/>
    <w:rsid w:val="357C6C5E"/>
    <w:rsid w:val="357D40D8"/>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976654"/>
    <w:rsid w:val="3BC01EFC"/>
    <w:rsid w:val="3BCA786A"/>
    <w:rsid w:val="3BD31E2F"/>
    <w:rsid w:val="3BF15831"/>
    <w:rsid w:val="3C097F9F"/>
    <w:rsid w:val="3C105946"/>
    <w:rsid w:val="3C471448"/>
    <w:rsid w:val="3C5F759A"/>
    <w:rsid w:val="3C6C525A"/>
    <w:rsid w:val="3CCE23CB"/>
    <w:rsid w:val="3CD17D17"/>
    <w:rsid w:val="3D3C7F39"/>
    <w:rsid w:val="3D440F09"/>
    <w:rsid w:val="3D4504A0"/>
    <w:rsid w:val="3D7E3E5D"/>
    <w:rsid w:val="3D8734BB"/>
    <w:rsid w:val="3D9A11D4"/>
    <w:rsid w:val="3DA16D89"/>
    <w:rsid w:val="3DA364BE"/>
    <w:rsid w:val="3DAC116D"/>
    <w:rsid w:val="3DBC3C0B"/>
    <w:rsid w:val="3DE041CB"/>
    <w:rsid w:val="3E0D48F6"/>
    <w:rsid w:val="3E1868B4"/>
    <w:rsid w:val="3E377251"/>
    <w:rsid w:val="3E3D2DA2"/>
    <w:rsid w:val="3E42664B"/>
    <w:rsid w:val="3E4814F4"/>
    <w:rsid w:val="3E5A7334"/>
    <w:rsid w:val="3E5E239F"/>
    <w:rsid w:val="3E6A79D4"/>
    <w:rsid w:val="3E7B5D6B"/>
    <w:rsid w:val="3E843E66"/>
    <w:rsid w:val="3E8F51FE"/>
    <w:rsid w:val="3E926F87"/>
    <w:rsid w:val="3E9A59DE"/>
    <w:rsid w:val="3E9F22D5"/>
    <w:rsid w:val="3EA641A9"/>
    <w:rsid w:val="3EAF4836"/>
    <w:rsid w:val="3EC33DFA"/>
    <w:rsid w:val="3EC8606A"/>
    <w:rsid w:val="3EE82E22"/>
    <w:rsid w:val="3F060E16"/>
    <w:rsid w:val="3F1D1096"/>
    <w:rsid w:val="3F2F0234"/>
    <w:rsid w:val="3F604DC5"/>
    <w:rsid w:val="3F6363FE"/>
    <w:rsid w:val="3F756B8F"/>
    <w:rsid w:val="3F8A2017"/>
    <w:rsid w:val="3F95482B"/>
    <w:rsid w:val="3FF9543C"/>
    <w:rsid w:val="400175E0"/>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9101DD"/>
    <w:rsid w:val="44A63584"/>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3859E2"/>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53672B"/>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3D0E54"/>
    <w:rsid w:val="4F47354A"/>
    <w:rsid w:val="4F911C54"/>
    <w:rsid w:val="4FE625E0"/>
    <w:rsid w:val="4FE958A7"/>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A0DDE"/>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8A3BD6"/>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B93746"/>
    <w:rsid w:val="55D04B4D"/>
    <w:rsid w:val="55DC29B6"/>
    <w:rsid w:val="55DD4241"/>
    <w:rsid w:val="562023F9"/>
    <w:rsid w:val="566B6D1E"/>
    <w:rsid w:val="569EA23F"/>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D95C1D"/>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91128F"/>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5226F9"/>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30795"/>
    <w:rsid w:val="611D2366"/>
    <w:rsid w:val="61421856"/>
    <w:rsid w:val="615227C4"/>
    <w:rsid w:val="61654E3F"/>
    <w:rsid w:val="6182292A"/>
    <w:rsid w:val="619F7F92"/>
    <w:rsid w:val="61F94C26"/>
    <w:rsid w:val="62000E56"/>
    <w:rsid w:val="624F3E49"/>
    <w:rsid w:val="62576091"/>
    <w:rsid w:val="62632286"/>
    <w:rsid w:val="62885958"/>
    <w:rsid w:val="628C6355"/>
    <w:rsid w:val="62B107F3"/>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55163"/>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3E0C32"/>
    <w:rsid w:val="68475733"/>
    <w:rsid w:val="6851558A"/>
    <w:rsid w:val="68551F4F"/>
    <w:rsid w:val="687C10C9"/>
    <w:rsid w:val="68840C16"/>
    <w:rsid w:val="68876EFB"/>
    <w:rsid w:val="68884654"/>
    <w:rsid w:val="689F444F"/>
    <w:rsid w:val="68B96DBB"/>
    <w:rsid w:val="68CA2805"/>
    <w:rsid w:val="68DD4058"/>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B32772"/>
    <w:rsid w:val="6C196F71"/>
    <w:rsid w:val="6C226FCB"/>
    <w:rsid w:val="6C2918DA"/>
    <w:rsid w:val="6C31226F"/>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4217D2"/>
    <w:rsid w:val="6F8331F1"/>
    <w:rsid w:val="6FAE1A09"/>
    <w:rsid w:val="6FD75BF8"/>
    <w:rsid w:val="704350D5"/>
    <w:rsid w:val="705D67F9"/>
    <w:rsid w:val="707723D0"/>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CE1D92"/>
    <w:rsid w:val="72E2290F"/>
    <w:rsid w:val="72E820EE"/>
    <w:rsid w:val="73012015"/>
    <w:rsid w:val="734B00E0"/>
    <w:rsid w:val="73683F81"/>
    <w:rsid w:val="739D493C"/>
    <w:rsid w:val="73C0646E"/>
    <w:rsid w:val="7414117C"/>
    <w:rsid w:val="741A1211"/>
    <w:rsid w:val="742222F5"/>
    <w:rsid w:val="74476126"/>
    <w:rsid w:val="744E76B7"/>
    <w:rsid w:val="74706664"/>
    <w:rsid w:val="747F3682"/>
    <w:rsid w:val="749C4185"/>
    <w:rsid w:val="749D7C99"/>
    <w:rsid w:val="74E249F9"/>
    <w:rsid w:val="7500081F"/>
    <w:rsid w:val="75067759"/>
    <w:rsid w:val="752E6DCD"/>
    <w:rsid w:val="753A41D8"/>
    <w:rsid w:val="7551380D"/>
    <w:rsid w:val="75600BE5"/>
    <w:rsid w:val="7564475C"/>
    <w:rsid w:val="7583797F"/>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12A7"/>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A81073"/>
    <w:rsid w:val="7BEE0103"/>
    <w:rsid w:val="7C0A0FE4"/>
    <w:rsid w:val="7C2001FE"/>
    <w:rsid w:val="7C254906"/>
    <w:rsid w:val="7C421432"/>
    <w:rsid w:val="7C590818"/>
    <w:rsid w:val="7C7C10F6"/>
    <w:rsid w:val="7C853BEA"/>
    <w:rsid w:val="7C881368"/>
    <w:rsid w:val="7C9E6B26"/>
    <w:rsid w:val="7CE27788"/>
    <w:rsid w:val="7D0C32F1"/>
    <w:rsid w:val="7D0F408D"/>
    <w:rsid w:val="7D491C6C"/>
    <w:rsid w:val="7D5429C0"/>
    <w:rsid w:val="7D592A4D"/>
    <w:rsid w:val="7D6E6D43"/>
    <w:rsid w:val="7D7F469A"/>
    <w:rsid w:val="7D935010"/>
    <w:rsid w:val="7DB57A34"/>
    <w:rsid w:val="7DE60973"/>
    <w:rsid w:val="7DEF0916"/>
    <w:rsid w:val="7E0B4A1D"/>
    <w:rsid w:val="7E0D5685"/>
    <w:rsid w:val="7E1E5218"/>
    <w:rsid w:val="7E9A4E1F"/>
    <w:rsid w:val="7EA7723A"/>
    <w:rsid w:val="7EC42148"/>
    <w:rsid w:val="7EF56FBB"/>
    <w:rsid w:val="7F0768EB"/>
    <w:rsid w:val="7F143BEC"/>
    <w:rsid w:val="7F1C260B"/>
    <w:rsid w:val="7F1C7115"/>
    <w:rsid w:val="7F410946"/>
    <w:rsid w:val="7F6531DB"/>
    <w:rsid w:val="7F715AF2"/>
    <w:rsid w:val="7F886E69"/>
    <w:rsid w:val="7F993C8B"/>
    <w:rsid w:val="BB7FA927"/>
    <w:rsid w:val="F3D96E50"/>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6"/>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
    <w:name w:val="Body Text Indent1"/>
    <w:basedOn w:val="1"/>
    <w:next w:val="1"/>
    <w:autoRedefine/>
    <w:qFormat/>
    <w:uiPriority w:val="0"/>
    <w:pPr>
      <w:ind w:left="420" w:leftChars="200"/>
    </w:p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5"/>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0"/>
    <w:autoRedefine/>
    <w:qFormat/>
    <w:uiPriority w:val="99"/>
    <w:pPr>
      <w:shd w:val="clear" w:color="auto" w:fill="000080"/>
    </w:pPr>
    <w:rPr>
      <w:sz w:val="24"/>
      <w:szCs w:val="20"/>
    </w:rPr>
  </w:style>
  <w:style w:type="paragraph" w:styleId="21">
    <w:name w:val="annotation text"/>
    <w:basedOn w:val="1"/>
    <w:link w:val="358"/>
    <w:autoRedefine/>
    <w:qFormat/>
    <w:uiPriority w:val="99"/>
    <w:pPr>
      <w:jc w:val="left"/>
    </w:pPr>
    <w:rPr>
      <w:sz w:val="24"/>
      <w:szCs w:val="20"/>
    </w:rPr>
  </w:style>
  <w:style w:type="paragraph" w:styleId="22">
    <w:name w:val="Salutation"/>
    <w:basedOn w:val="1"/>
    <w:next w:val="1"/>
    <w:link w:val="102"/>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8"/>
    <w:autoRedefine/>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1"/>
    <w:link w:val="99"/>
    <w:autoRedefine/>
    <w:qFormat/>
    <w:uiPriority w:val="99"/>
    <w:pPr>
      <w:ind w:firstLine="420"/>
    </w:pPr>
    <w:rPr>
      <w:rFonts w:hAnsi="Times New Roman" w:cs="Times New Roman"/>
      <w:szCs w:val="20"/>
    </w:rPr>
  </w:style>
  <w:style w:type="paragraph" w:styleId="27">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36"/>
    <w:link w:val="106"/>
    <w:autoRedefine/>
    <w:qFormat/>
    <w:uiPriority w:val="99"/>
    <w:rPr>
      <w:rFonts w:ascii="宋体" w:hAnsi="Courier New" w:cs="Arial"/>
      <w:szCs w:val="21"/>
    </w:rPr>
  </w:style>
  <w:style w:type="paragraph" w:styleId="36">
    <w:name w:val="index 7"/>
    <w:basedOn w:val="1"/>
    <w:next w:val="1"/>
    <w:autoRedefine/>
    <w:semiHidden/>
    <w:qFormat/>
    <w:locked/>
    <w:uiPriority w:val="0"/>
    <w:pPr>
      <w:ind w:left="1200" w:leftChars="1200"/>
    </w:pPr>
  </w:style>
  <w:style w:type="paragraph" w:styleId="37">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99"/>
    <w:pPr>
      <w:ind w:left="2940" w:leftChars="1400"/>
    </w:pPr>
  </w:style>
  <w:style w:type="paragraph" w:styleId="39">
    <w:name w:val="Date"/>
    <w:basedOn w:val="1"/>
    <w:next w:val="1"/>
    <w:link w:val="107"/>
    <w:autoRedefine/>
    <w:qFormat/>
    <w:uiPriority w:val="99"/>
    <w:pPr>
      <w:ind w:left="100" w:leftChars="2500"/>
    </w:pPr>
    <w:rPr>
      <w:rFonts w:ascii="宋体"/>
      <w:sz w:val="24"/>
      <w:szCs w:val="21"/>
      <w:lang w:val="zh-CN"/>
    </w:rPr>
  </w:style>
  <w:style w:type="paragraph" w:styleId="40">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41">
    <w:name w:val="endnote text"/>
    <w:basedOn w:val="1"/>
    <w:link w:val="109"/>
    <w:autoRedefine/>
    <w:qFormat/>
    <w:uiPriority w:val="99"/>
    <w:rPr>
      <w:lang w:val="zh-CN"/>
    </w:rPr>
  </w:style>
  <w:style w:type="paragraph" w:styleId="42">
    <w:name w:val="Balloon Text"/>
    <w:basedOn w:val="1"/>
    <w:link w:val="216"/>
    <w:autoRedefine/>
    <w:qFormat/>
    <w:uiPriority w:val="99"/>
    <w:rPr>
      <w:sz w:val="18"/>
      <w:szCs w:val="20"/>
    </w:rPr>
  </w:style>
  <w:style w:type="paragraph" w:styleId="43">
    <w:name w:val="footer"/>
    <w:basedOn w:val="1"/>
    <w:link w:val="394"/>
    <w:autoRedefine/>
    <w:qFormat/>
    <w:uiPriority w:val="99"/>
    <w:pPr>
      <w:tabs>
        <w:tab w:val="center" w:pos="4153"/>
        <w:tab w:val="right" w:pos="8306"/>
      </w:tabs>
      <w:snapToGrid w:val="0"/>
      <w:jc w:val="left"/>
    </w:pPr>
    <w:rPr>
      <w:sz w:val="18"/>
      <w:szCs w:val="20"/>
    </w:rPr>
  </w:style>
  <w:style w:type="paragraph" w:styleId="44">
    <w:name w:val="envelope return"/>
    <w:basedOn w:val="1"/>
    <w:autoRedefine/>
    <w:qFormat/>
    <w:locked/>
    <w:uiPriority w:val="0"/>
    <w:pPr>
      <w:snapToGrid w:val="0"/>
    </w:pPr>
    <w:rPr>
      <w:rFonts w:ascii="Arial" w:hAnsi="Arial"/>
    </w:rPr>
  </w:style>
  <w:style w:type="paragraph" w:styleId="45">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6">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99"/>
  </w:style>
  <w:style w:type="paragraph" w:styleId="48">
    <w:name w:val="toc 4"/>
    <w:basedOn w:val="1"/>
    <w:next w:val="1"/>
    <w:autoRedefine/>
    <w:qFormat/>
    <w:uiPriority w:val="99"/>
    <w:pPr>
      <w:ind w:left="1260" w:leftChars="600"/>
    </w:pPr>
  </w:style>
  <w:style w:type="paragraph" w:styleId="49">
    <w:name w:val="index heading"/>
    <w:basedOn w:val="1"/>
    <w:next w:val="50"/>
    <w:autoRedefine/>
    <w:qFormat/>
    <w:uiPriority w:val="99"/>
    <w:pPr>
      <w:adjustRightInd/>
      <w:ind w:firstLine="200" w:firstLineChars="200"/>
    </w:pPr>
  </w:style>
  <w:style w:type="paragraph" w:styleId="50">
    <w:name w:val="index 1"/>
    <w:basedOn w:val="1"/>
    <w:next w:val="1"/>
    <w:autoRedefine/>
    <w:qFormat/>
    <w:uiPriority w:val="99"/>
    <w:pPr>
      <w:adjustRightInd/>
      <w:spacing w:line="360" w:lineRule="auto"/>
      <w:ind w:firstLine="200" w:firstLineChars="200"/>
      <w:jc w:val="center"/>
    </w:pPr>
    <w:rPr>
      <w:sz w:val="24"/>
      <w:szCs w:val="20"/>
    </w:rPr>
  </w:style>
  <w:style w:type="paragraph" w:styleId="51">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52">
    <w:name w:val="List Number 5"/>
    <w:basedOn w:val="1"/>
    <w:autoRedefine/>
    <w:qFormat/>
    <w:uiPriority w:val="99"/>
    <w:pPr>
      <w:tabs>
        <w:tab w:val="left" w:pos="902"/>
      </w:tabs>
      <w:adjustRightInd/>
      <w:spacing w:line="400" w:lineRule="exact"/>
      <w:ind w:left="902" w:hanging="420"/>
    </w:pPr>
    <w:rPr>
      <w:sz w:val="24"/>
      <w:szCs w:val="20"/>
    </w:rPr>
  </w:style>
  <w:style w:type="paragraph" w:styleId="53">
    <w:name w:val="List"/>
    <w:basedOn w:val="1"/>
    <w:autoRedefine/>
    <w:qFormat/>
    <w:uiPriority w:val="99"/>
    <w:pPr>
      <w:ind w:left="200" w:hanging="200" w:hangingChars="200"/>
    </w:pPr>
  </w:style>
  <w:style w:type="paragraph" w:styleId="54">
    <w:name w:val="footnote text"/>
    <w:basedOn w:val="17"/>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5">
    <w:name w:val="toc 6"/>
    <w:basedOn w:val="1"/>
    <w:next w:val="1"/>
    <w:autoRedefine/>
    <w:qFormat/>
    <w:uiPriority w:val="99"/>
    <w:pPr>
      <w:ind w:left="2100" w:leftChars="1000"/>
    </w:pPr>
  </w:style>
  <w:style w:type="paragraph" w:styleId="56">
    <w:name w:val="List 5"/>
    <w:basedOn w:val="1"/>
    <w:autoRedefine/>
    <w:qFormat/>
    <w:uiPriority w:val="99"/>
    <w:pPr>
      <w:adjustRightInd/>
      <w:ind w:left="100" w:leftChars="800" w:hanging="200" w:hangingChars="200"/>
    </w:pPr>
  </w:style>
  <w:style w:type="paragraph" w:styleId="57">
    <w:name w:val="Body Text Indent 3"/>
    <w:basedOn w:val="1"/>
    <w:link w:val="116"/>
    <w:autoRedefine/>
    <w:qFormat/>
    <w:uiPriority w:val="99"/>
    <w:pPr>
      <w:spacing w:line="360" w:lineRule="auto"/>
      <w:ind w:firstLine="420"/>
    </w:pPr>
    <w:rPr>
      <w:sz w:val="24"/>
      <w:szCs w:val="20"/>
    </w:rPr>
  </w:style>
  <w:style w:type="paragraph" w:styleId="58">
    <w:name w:val="toc 2"/>
    <w:basedOn w:val="1"/>
    <w:next w:val="1"/>
    <w:autoRedefine/>
    <w:qFormat/>
    <w:uiPriority w:val="99"/>
    <w:pPr>
      <w:ind w:left="420" w:leftChars="200"/>
    </w:pPr>
  </w:style>
  <w:style w:type="paragraph" w:styleId="59">
    <w:name w:val="toc 9"/>
    <w:basedOn w:val="1"/>
    <w:next w:val="1"/>
    <w:autoRedefine/>
    <w:qFormat/>
    <w:uiPriority w:val="99"/>
    <w:pPr>
      <w:ind w:left="3360" w:leftChars="1600"/>
    </w:pPr>
  </w:style>
  <w:style w:type="paragraph" w:styleId="60">
    <w:name w:val="Body Text 2"/>
    <w:basedOn w:val="1"/>
    <w:next w:val="1"/>
    <w:link w:val="117"/>
    <w:autoRedefine/>
    <w:qFormat/>
    <w:uiPriority w:val="99"/>
    <w:pPr>
      <w:spacing w:after="120" w:line="480" w:lineRule="auto"/>
    </w:pPr>
  </w:style>
  <w:style w:type="paragraph" w:styleId="61">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20"/>
    <w:autoRedefine/>
    <w:qFormat/>
    <w:uiPriority w:val="99"/>
    <w:rPr>
      <w:b/>
      <w:bCs/>
    </w:rPr>
  </w:style>
  <w:style w:type="paragraph" w:styleId="65">
    <w:name w:val="Body Text First Indent 2"/>
    <w:basedOn w:val="27"/>
    <w:link w:val="121"/>
    <w:autoRedefine/>
    <w:qFormat/>
    <w:uiPriority w:val="99"/>
    <w:pPr>
      <w:adjustRightInd/>
      <w:spacing w:after="120" w:line="240" w:lineRule="auto"/>
      <w:ind w:left="420" w:leftChars="200" w:firstLine="210"/>
    </w:pPr>
    <w:rPr>
      <w:sz w:val="21"/>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85">
    <w:name w:val="表格文字"/>
    <w:basedOn w:val="86"/>
    <w:next w:val="25"/>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3"/>
    <w:link w:val="4"/>
    <w:autoRedefine/>
    <w:qFormat/>
    <w:locked/>
    <w:uiPriority w:val="99"/>
    <w:rPr>
      <w:rFonts w:ascii="Times New Roman" w:hAnsi="Times New Roman" w:eastAsia="黑体" w:cs="Times New Roman"/>
      <w:b/>
      <w:kern w:val="0"/>
      <w:sz w:val="24"/>
    </w:rPr>
  </w:style>
  <w:style w:type="character" w:customStyle="1" w:styleId="90">
    <w:name w:val="Heading 2 Char"/>
    <w:basedOn w:val="73"/>
    <w:link w:val="5"/>
    <w:autoRedefine/>
    <w:semiHidden/>
    <w:qFormat/>
    <w:locked/>
    <w:uiPriority w:val="99"/>
    <w:rPr>
      <w:rFonts w:ascii="Cambria" w:hAnsi="Cambria" w:eastAsia="宋体" w:cs="Times New Roman"/>
      <w:b/>
      <w:bCs/>
      <w:sz w:val="32"/>
      <w:szCs w:val="32"/>
    </w:rPr>
  </w:style>
  <w:style w:type="character" w:customStyle="1" w:styleId="91">
    <w:name w:val="Heading 3 Char"/>
    <w:basedOn w:val="73"/>
    <w:link w:val="6"/>
    <w:autoRedefine/>
    <w:semiHidden/>
    <w:qFormat/>
    <w:locked/>
    <w:uiPriority w:val="99"/>
    <w:rPr>
      <w:rFonts w:cs="Times New Roman"/>
      <w:b/>
      <w:bCs/>
      <w:sz w:val="32"/>
      <w:szCs w:val="32"/>
    </w:rPr>
  </w:style>
  <w:style w:type="character" w:customStyle="1" w:styleId="92">
    <w:name w:val="Heading 4 Char"/>
    <w:basedOn w:val="73"/>
    <w:link w:val="7"/>
    <w:autoRedefine/>
    <w:qFormat/>
    <w:locked/>
    <w:uiPriority w:val="99"/>
    <w:rPr>
      <w:rFonts w:ascii="Arial" w:hAnsi="Arial" w:eastAsia="黑体" w:cs="Times New Roman"/>
      <w:b/>
      <w:kern w:val="2"/>
      <w:sz w:val="28"/>
      <w:lang w:val="zh-CN"/>
    </w:rPr>
  </w:style>
  <w:style w:type="character" w:customStyle="1" w:styleId="93">
    <w:name w:val="Heading 5 Char"/>
    <w:basedOn w:val="73"/>
    <w:link w:val="8"/>
    <w:autoRedefine/>
    <w:qFormat/>
    <w:locked/>
    <w:uiPriority w:val="99"/>
    <w:rPr>
      <w:rFonts w:cs="Times New Roman"/>
      <w:b/>
      <w:kern w:val="2"/>
      <w:sz w:val="28"/>
    </w:rPr>
  </w:style>
  <w:style w:type="character" w:customStyle="1" w:styleId="94">
    <w:name w:val="Heading 6 Char"/>
    <w:basedOn w:val="73"/>
    <w:link w:val="9"/>
    <w:autoRedefine/>
    <w:qFormat/>
    <w:locked/>
    <w:uiPriority w:val="99"/>
    <w:rPr>
      <w:rFonts w:ascii="Arial" w:hAnsi="Arial" w:eastAsia="黑体" w:cs="Times New Roman"/>
      <w:b/>
      <w:kern w:val="2"/>
      <w:sz w:val="24"/>
    </w:rPr>
  </w:style>
  <w:style w:type="character" w:customStyle="1" w:styleId="95">
    <w:name w:val="Heading 7 Char"/>
    <w:basedOn w:val="73"/>
    <w:link w:val="10"/>
    <w:autoRedefine/>
    <w:qFormat/>
    <w:locked/>
    <w:uiPriority w:val="99"/>
    <w:rPr>
      <w:rFonts w:ascii="宋体" w:hAnsi="宋体" w:eastAsia="宋体" w:cs="Times New Roman"/>
      <w:b/>
      <w:kern w:val="2"/>
      <w:sz w:val="24"/>
      <w:lang w:val="en-US" w:eastAsia="zh-CN"/>
    </w:rPr>
  </w:style>
  <w:style w:type="character" w:customStyle="1" w:styleId="96">
    <w:name w:val="Heading 8 Char"/>
    <w:basedOn w:val="73"/>
    <w:link w:val="11"/>
    <w:autoRedefine/>
    <w:qFormat/>
    <w:locked/>
    <w:uiPriority w:val="99"/>
    <w:rPr>
      <w:rFonts w:ascii="Arial" w:hAnsi="Arial" w:eastAsia="黑体" w:cs="Times New Roman"/>
      <w:kern w:val="2"/>
      <w:sz w:val="24"/>
    </w:rPr>
  </w:style>
  <w:style w:type="character" w:customStyle="1" w:styleId="97">
    <w:name w:val="Heading 9 Char"/>
    <w:basedOn w:val="73"/>
    <w:link w:val="12"/>
    <w:autoRedefine/>
    <w:qFormat/>
    <w:locked/>
    <w:uiPriority w:val="99"/>
    <w:rPr>
      <w:rFonts w:ascii="Arial" w:hAnsi="Arial" w:eastAsia="黑体" w:cs="Times New Roman"/>
      <w:kern w:val="2"/>
      <w:sz w:val="21"/>
    </w:rPr>
  </w:style>
  <w:style w:type="character" w:customStyle="1" w:styleId="98">
    <w:name w:val="Body Text Char"/>
    <w:basedOn w:val="73"/>
    <w:link w:val="25"/>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26"/>
    <w:autoRedefine/>
    <w:qFormat/>
    <w:locked/>
    <w:uiPriority w:val="99"/>
    <w:rPr>
      <w:sz w:val="24"/>
    </w:rPr>
  </w:style>
  <w:style w:type="character" w:customStyle="1" w:styleId="100">
    <w:name w:val="Document Map Char"/>
    <w:basedOn w:val="73"/>
    <w:link w:val="20"/>
    <w:autoRedefine/>
    <w:qFormat/>
    <w:locked/>
    <w:uiPriority w:val="99"/>
    <w:rPr>
      <w:rFonts w:eastAsia="宋体" w:cs="Times New Roman"/>
      <w:kern w:val="2"/>
      <w:sz w:val="24"/>
      <w:lang w:val="en-US" w:eastAsia="zh-CN"/>
    </w:rPr>
  </w:style>
  <w:style w:type="character" w:customStyle="1" w:styleId="101">
    <w:name w:val="Comment Text Char"/>
    <w:basedOn w:val="73"/>
    <w:link w:val="21"/>
    <w:autoRedefine/>
    <w:qFormat/>
    <w:locked/>
    <w:uiPriority w:val="99"/>
    <w:rPr>
      <w:rFonts w:ascii="宋体" w:hAnsi="宋体" w:eastAsia="宋体" w:cs="Times New Roman"/>
      <w:kern w:val="2"/>
      <w:sz w:val="24"/>
      <w:lang w:val="en-US" w:eastAsia="zh-CN"/>
    </w:rPr>
  </w:style>
  <w:style w:type="character" w:customStyle="1" w:styleId="102">
    <w:name w:val="Salutation Char"/>
    <w:basedOn w:val="73"/>
    <w:link w:val="22"/>
    <w:autoRedefine/>
    <w:qFormat/>
    <w:locked/>
    <w:uiPriority w:val="99"/>
    <w:rPr>
      <w:rFonts w:ascii="仿宋_GB2312" w:eastAsia="仿宋_GB2312" w:cs="Times New Roman"/>
      <w:kern w:val="2"/>
      <w:sz w:val="28"/>
    </w:rPr>
  </w:style>
  <w:style w:type="character" w:customStyle="1" w:styleId="103">
    <w:name w:val="Body Text 3 Char"/>
    <w:basedOn w:val="73"/>
    <w:autoRedefine/>
    <w:qFormat/>
    <w:locked/>
    <w:uiPriority w:val="99"/>
    <w:rPr>
      <w:rFonts w:cs="Times New Roman"/>
      <w:kern w:val="2"/>
      <w:sz w:val="21"/>
    </w:rPr>
  </w:style>
  <w:style w:type="character" w:customStyle="1" w:styleId="104">
    <w:name w:val="Body Text Indent Char"/>
    <w:basedOn w:val="73"/>
    <w:link w:val="27"/>
    <w:autoRedefine/>
    <w:qFormat/>
    <w:locked/>
    <w:uiPriority w:val="99"/>
    <w:rPr>
      <w:rFonts w:ascii="宋体" w:eastAsia="宋体" w:cs="Times New Roman"/>
      <w:kern w:val="2"/>
      <w:sz w:val="24"/>
    </w:rPr>
  </w:style>
  <w:style w:type="character" w:customStyle="1" w:styleId="105">
    <w:name w:val="HTML Address Char"/>
    <w:basedOn w:val="73"/>
    <w:link w:val="32"/>
    <w:autoRedefine/>
    <w:qFormat/>
    <w:locked/>
    <w:uiPriority w:val="99"/>
    <w:rPr>
      <w:rFonts w:ascii="宋体" w:eastAsia="宋体" w:cs="Times New Roman"/>
      <w:i/>
      <w:sz w:val="24"/>
    </w:rPr>
  </w:style>
  <w:style w:type="character" w:customStyle="1" w:styleId="106">
    <w:name w:val="Plain Text Char"/>
    <w:basedOn w:val="73"/>
    <w:link w:val="35"/>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3"/>
    <w:link w:val="39"/>
    <w:autoRedefine/>
    <w:qFormat/>
    <w:locked/>
    <w:uiPriority w:val="99"/>
    <w:rPr>
      <w:rFonts w:ascii="宋体" w:cs="Times New Roman"/>
      <w:kern w:val="2"/>
      <w:sz w:val="21"/>
      <w:lang w:val="zh-CN"/>
    </w:rPr>
  </w:style>
  <w:style w:type="character" w:customStyle="1" w:styleId="108">
    <w:name w:val="Body Text Indent 2 Char"/>
    <w:basedOn w:val="73"/>
    <w:link w:val="40"/>
    <w:autoRedefine/>
    <w:qFormat/>
    <w:locked/>
    <w:uiPriority w:val="99"/>
    <w:rPr>
      <w:rFonts w:ascii="宋体" w:cs="Times New Roman"/>
      <w:sz w:val="28"/>
    </w:rPr>
  </w:style>
  <w:style w:type="character" w:customStyle="1" w:styleId="109">
    <w:name w:val="Endnote Text Char"/>
    <w:basedOn w:val="73"/>
    <w:link w:val="41"/>
    <w:autoRedefine/>
    <w:qFormat/>
    <w:locked/>
    <w:uiPriority w:val="99"/>
    <w:rPr>
      <w:rFonts w:cs="Times New Roman"/>
      <w:kern w:val="2"/>
      <w:sz w:val="24"/>
      <w:lang w:val="zh-CN"/>
    </w:rPr>
  </w:style>
  <w:style w:type="character" w:customStyle="1" w:styleId="110">
    <w:name w:val="Balloon Text Char"/>
    <w:basedOn w:val="73"/>
    <w:link w:val="42"/>
    <w:autoRedefine/>
    <w:qFormat/>
    <w:locked/>
    <w:uiPriority w:val="99"/>
    <w:rPr>
      <w:rFonts w:eastAsia="宋体" w:cs="Times New Roman"/>
      <w:kern w:val="2"/>
      <w:sz w:val="18"/>
      <w:lang w:val="en-US" w:eastAsia="zh-CN"/>
    </w:rPr>
  </w:style>
  <w:style w:type="character" w:customStyle="1" w:styleId="111">
    <w:name w:val="Footer Char"/>
    <w:basedOn w:val="73"/>
    <w:link w:val="43"/>
    <w:autoRedefine/>
    <w:qFormat/>
    <w:locked/>
    <w:uiPriority w:val="99"/>
    <w:rPr>
      <w:rFonts w:eastAsia="宋体" w:cs="Times New Roman"/>
      <w:kern w:val="2"/>
      <w:sz w:val="18"/>
      <w:lang w:val="en-US" w:eastAsia="zh-CN"/>
    </w:rPr>
  </w:style>
  <w:style w:type="character" w:customStyle="1" w:styleId="112">
    <w:name w:val="Header Char"/>
    <w:basedOn w:val="73"/>
    <w:link w:val="45"/>
    <w:autoRedefine/>
    <w:qFormat/>
    <w:locked/>
    <w:uiPriority w:val="99"/>
    <w:rPr>
      <w:rFonts w:eastAsia="宋体" w:cs="Times New Roman"/>
      <w:kern w:val="2"/>
      <w:sz w:val="18"/>
      <w:lang w:val="en-US" w:eastAsia="zh-CN"/>
    </w:rPr>
  </w:style>
  <w:style w:type="character" w:customStyle="1" w:styleId="113">
    <w:name w:val="Signature Char"/>
    <w:basedOn w:val="73"/>
    <w:link w:val="46"/>
    <w:autoRedefine/>
    <w:qFormat/>
    <w:locked/>
    <w:uiPriority w:val="99"/>
    <w:rPr>
      <w:rFonts w:eastAsia="仿宋_GB2312" w:cs="Times New Roman"/>
      <w:sz w:val="24"/>
    </w:rPr>
  </w:style>
  <w:style w:type="character" w:customStyle="1" w:styleId="114">
    <w:name w:val="Subtitle Char"/>
    <w:basedOn w:val="73"/>
    <w:link w:val="51"/>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3"/>
    <w:link w:val="54"/>
    <w:autoRedefine/>
    <w:qFormat/>
    <w:locked/>
    <w:uiPriority w:val="99"/>
    <w:rPr>
      <w:rFonts w:cs="Times New Roman"/>
      <w:color w:val="0000FF"/>
      <w:sz w:val="21"/>
    </w:rPr>
  </w:style>
  <w:style w:type="character" w:customStyle="1" w:styleId="116">
    <w:name w:val="Body Text Indent 3 Char"/>
    <w:basedOn w:val="73"/>
    <w:link w:val="57"/>
    <w:autoRedefine/>
    <w:qFormat/>
    <w:locked/>
    <w:uiPriority w:val="99"/>
    <w:rPr>
      <w:rFonts w:cs="Times New Roman"/>
      <w:kern w:val="2"/>
      <w:sz w:val="24"/>
    </w:rPr>
  </w:style>
  <w:style w:type="character" w:customStyle="1" w:styleId="117">
    <w:name w:val="Body Text 2 Char"/>
    <w:basedOn w:val="73"/>
    <w:link w:val="60"/>
    <w:autoRedefine/>
    <w:qFormat/>
    <w:locked/>
    <w:uiPriority w:val="99"/>
    <w:rPr>
      <w:rFonts w:cs="Times New Roman"/>
      <w:kern w:val="2"/>
      <w:sz w:val="24"/>
    </w:rPr>
  </w:style>
  <w:style w:type="character" w:customStyle="1" w:styleId="118">
    <w:name w:val="HTML Preformatted Char"/>
    <w:basedOn w:val="73"/>
    <w:link w:val="61"/>
    <w:autoRedefine/>
    <w:qFormat/>
    <w:locked/>
    <w:uiPriority w:val="99"/>
    <w:rPr>
      <w:rFonts w:ascii="黑体" w:hAnsi="Courier New" w:eastAsia="黑体" w:cs="Times New Roman"/>
    </w:rPr>
  </w:style>
  <w:style w:type="character" w:customStyle="1" w:styleId="119">
    <w:name w:val="Title Char"/>
    <w:basedOn w:val="73"/>
    <w:link w:val="63"/>
    <w:autoRedefine/>
    <w:qFormat/>
    <w:locked/>
    <w:uiPriority w:val="99"/>
    <w:rPr>
      <w:rFonts w:cs="Times New Roman"/>
      <w:b/>
      <w:sz w:val="24"/>
      <w:lang w:val="en-GB"/>
    </w:rPr>
  </w:style>
  <w:style w:type="character" w:customStyle="1" w:styleId="120">
    <w:name w:val="Comment Subject Char"/>
    <w:basedOn w:val="101"/>
    <w:link w:val="64"/>
    <w:autoRedefine/>
    <w:qFormat/>
    <w:locked/>
    <w:uiPriority w:val="99"/>
    <w:rPr>
      <w:b/>
    </w:rPr>
  </w:style>
  <w:style w:type="character" w:customStyle="1" w:styleId="121">
    <w:name w:val="Body Text First Indent 2 Char"/>
    <w:basedOn w:val="104"/>
    <w:link w:val="65"/>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3"/>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5"/>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42"/>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7"/>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20"/>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3"/>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7"/>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8"/>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basedOn w:val="73"/>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4"/>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7"/>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10"/>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basedOn w:val="73"/>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basedOn w:val="73"/>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21"/>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43"/>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45"/>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9"/>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3"/>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17"/>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3"/>
    <w:autoRedefine/>
    <w:qFormat/>
    <w:uiPriority w:val="99"/>
    <w:rPr>
      <w:rFonts w:ascii="Arial" w:hAnsi="Arial" w:eastAsia="黑体" w:cs="Arial"/>
      <w:snapToGrid w:val="0"/>
      <w:kern w:val="0"/>
      <w:sz w:val="21"/>
      <w:szCs w:val="21"/>
    </w:rPr>
  </w:style>
  <w:style w:type="character" w:customStyle="1" w:styleId="442">
    <w:name w:val="hui"/>
    <w:basedOn w:val="73"/>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27"/>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7"/>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5"/>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5"/>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9"/>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40"/>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5"/>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6"/>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8"/>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6"/>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5"/>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autoRedefine/>
    <w:qFormat/>
    <w:uiPriority w:val="99"/>
    <w:pPr>
      <w:adjustRightInd/>
      <w:ind w:firstLine="420" w:firstLineChars="200"/>
    </w:pPr>
    <w:rPr>
      <w:rFonts w:eastAsia="仿宋_GB2312"/>
      <w:sz w:val="28"/>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6"/>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5"/>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7"/>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7"/>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5"/>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5"/>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7"/>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60"/>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5"/>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4"/>
    <w:autoRedefine/>
    <w:qFormat/>
    <w:uiPriority w:val="99"/>
    <w:pPr>
      <w:tabs>
        <w:tab w:val="left" w:pos="840"/>
      </w:tabs>
      <w:adjustRightInd/>
      <w:ind w:left="840" w:hanging="420"/>
    </w:pPr>
  </w:style>
  <w:style w:type="paragraph" w:customStyle="1" w:styleId="635">
    <w:name w:val="样式 标题 2标题2H2Heading 2 HiddenHeading 2 CCBSheading 22nd lev..."/>
    <w:basedOn w:val="5"/>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表格"/>
    <w:basedOn w:val="1"/>
    <w:autoRedefine/>
    <w:qFormat/>
    <w:uiPriority w:val="99"/>
    <w:pPr>
      <w:snapToGrid w:val="0"/>
      <w:ind w:firstLine="42" w:firstLineChars="21"/>
    </w:pPr>
    <w:rPr>
      <w:rFonts w:ascii="宋体" w:hAnsi="宋体"/>
      <w:kern w:val="0"/>
      <w:sz w:val="20"/>
      <w:szCs w:val="20"/>
    </w:rPr>
  </w:style>
  <w:style w:type="paragraph" w:customStyle="1" w:styleId="638">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0">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autoRedefine/>
    <w:qFormat/>
    <w:uiPriority w:val="99"/>
    <w:pPr>
      <w:adjustRightInd/>
      <w:spacing w:line="300" w:lineRule="auto"/>
      <w:jc w:val="center"/>
    </w:pPr>
  </w:style>
  <w:style w:type="paragraph" w:customStyle="1" w:styleId="643">
    <w:name w:val="_Style 6"/>
    <w:basedOn w:val="1"/>
    <w:autoRedefine/>
    <w:qFormat/>
    <w:uiPriority w:val="99"/>
    <w:pPr>
      <w:adjustRightInd/>
      <w:ind w:firstLine="420" w:firstLineChars="200"/>
    </w:pPr>
    <w:rPr>
      <w:rFonts w:eastAsia="仿宋_GB2312"/>
      <w:sz w:val="28"/>
    </w:rPr>
  </w:style>
  <w:style w:type="paragraph" w:customStyle="1" w:styleId="644">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5"/>
    <w:autoRedefine/>
    <w:qFormat/>
    <w:uiPriority w:val="99"/>
    <w:pPr>
      <w:spacing w:before="260" w:after="260" w:line="415" w:lineRule="auto"/>
      <w:ind w:left="420" w:hanging="420"/>
    </w:pPr>
    <w:rPr>
      <w:rFonts w:ascii="Arial" w:hAnsi="Arial" w:eastAsia="微软雅黑"/>
      <w:lang w:val="en-US"/>
    </w:rPr>
  </w:style>
  <w:style w:type="paragraph" w:customStyle="1" w:styleId="647">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9">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0">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1">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2">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autoRedefine/>
    <w:qFormat/>
    <w:uiPriority w:val="99"/>
    <w:rPr>
      <w:rFonts w:ascii="仿宋_GB2312" w:eastAsia="仿宋_GB2312"/>
      <w:b/>
      <w:sz w:val="32"/>
      <w:szCs w:val="20"/>
    </w:rPr>
  </w:style>
  <w:style w:type="paragraph" w:customStyle="1" w:styleId="654">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5">
    <w:name w:val="Char1 Char Char Char1"/>
    <w:basedOn w:val="1"/>
    <w:autoRedefine/>
    <w:qFormat/>
    <w:uiPriority w:val="99"/>
    <w:pPr>
      <w:adjustRightInd/>
      <w:ind w:firstLine="200" w:firstLineChars="200"/>
    </w:pPr>
    <w:rPr>
      <w:rFonts w:ascii="Tahoma" w:hAnsi="Tahoma"/>
      <w:sz w:val="24"/>
      <w:szCs w:val="20"/>
    </w:rPr>
  </w:style>
  <w:style w:type="paragraph" w:customStyle="1" w:styleId="656">
    <w:name w:val="a1"/>
    <w:basedOn w:val="1"/>
    <w:autoRedefine/>
    <w:qFormat/>
    <w:uiPriority w:val="99"/>
    <w:pPr>
      <w:widowControl/>
      <w:spacing w:line="300" w:lineRule="atLeast"/>
      <w:jc w:val="left"/>
    </w:pPr>
    <w:rPr>
      <w:rFonts w:ascii="宋体" w:hAnsi="宋体"/>
      <w:kern w:val="0"/>
      <w:sz w:val="18"/>
      <w:szCs w:val="20"/>
    </w:rPr>
  </w:style>
  <w:style w:type="paragraph" w:customStyle="1" w:styleId="657">
    <w:name w:val="样式7"/>
    <w:basedOn w:val="658"/>
    <w:next w:val="1"/>
    <w:autoRedefine/>
    <w:qFormat/>
    <w:uiPriority w:val="99"/>
    <w:pPr>
      <w:spacing w:afterLines="50"/>
      <w:jc w:val="left"/>
      <w:outlineLvl w:val="3"/>
    </w:pPr>
    <w:rPr>
      <w:sz w:val="24"/>
      <w:szCs w:val="24"/>
    </w:rPr>
  </w:style>
  <w:style w:type="paragraph" w:customStyle="1" w:styleId="658">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0">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1">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autoRedefine/>
    <w:qFormat/>
    <w:uiPriority w:val="99"/>
    <w:pPr>
      <w:adjustRightInd/>
    </w:pPr>
    <w:rPr>
      <w:rFonts w:ascii="Tahoma" w:hAnsi="Tahoma"/>
      <w:sz w:val="24"/>
      <w:szCs w:val="20"/>
    </w:rPr>
  </w:style>
  <w:style w:type="paragraph" w:customStyle="1" w:styleId="663">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autoRedefine/>
    <w:qFormat/>
    <w:uiPriority w:val="99"/>
    <w:pPr>
      <w:tabs>
        <w:tab w:val="left" w:pos="1260"/>
        <w:tab w:val="left" w:pos="1680"/>
        <w:tab w:val="left" w:pos="2100"/>
        <w:tab w:val="left" w:pos="2520"/>
      </w:tabs>
      <w:ind w:left="2520"/>
      <w:outlineLvl w:val="4"/>
    </w:pPr>
  </w:style>
  <w:style w:type="paragraph" w:customStyle="1" w:styleId="665">
    <w:name w:val="二级条标题"/>
    <w:basedOn w:val="666"/>
    <w:next w:val="649"/>
    <w:autoRedefine/>
    <w:qFormat/>
    <w:uiPriority w:val="99"/>
    <w:pPr>
      <w:tabs>
        <w:tab w:val="left" w:pos="1260"/>
        <w:tab w:val="left" w:pos="1680"/>
        <w:tab w:val="left" w:pos="2100"/>
      </w:tabs>
      <w:ind w:left="0"/>
      <w:outlineLvl w:val="3"/>
    </w:pPr>
  </w:style>
  <w:style w:type="paragraph" w:customStyle="1" w:styleId="666">
    <w:name w:val="一级条标题"/>
    <w:basedOn w:val="667"/>
    <w:next w:val="649"/>
    <w:autoRedefine/>
    <w:qFormat/>
    <w:uiPriority w:val="99"/>
    <w:pPr>
      <w:tabs>
        <w:tab w:val="left" w:pos="1260"/>
        <w:tab w:val="left" w:pos="1680"/>
      </w:tabs>
      <w:spacing w:beforeLines="0" w:afterLines="0"/>
      <w:ind w:left="1680"/>
      <w:outlineLvl w:val="2"/>
    </w:pPr>
  </w:style>
  <w:style w:type="paragraph" w:customStyle="1" w:styleId="667">
    <w:name w:val="章标题"/>
    <w:next w:val="649"/>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8">
    <w:name w:val="数字标题2"/>
    <w:basedOn w:val="5"/>
    <w:next w:val="1"/>
    <w:autoRedefine/>
    <w:qFormat/>
    <w:uiPriority w:val="99"/>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4"/>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1">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4"/>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4">
    <w:name w:val="正文 项目2"/>
    <w:basedOn w:val="675"/>
    <w:autoRedefine/>
    <w:qFormat/>
    <w:uiPriority w:val="99"/>
    <w:pPr>
      <w:tabs>
        <w:tab w:val="left" w:pos="840"/>
      </w:tabs>
      <w:spacing w:after="0"/>
      <w:ind w:left="900"/>
    </w:pPr>
  </w:style>
  <w:style w:type="paragraph" w:customStyle="1" w:styleId="675">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99"/>
    <w:pPr>
      <w:widowControl/>
      <w:adjustRightInd/>
      <w:ind w:left="720" w:hanging="720"/>
    </w:pPr>
    <w:rPr>
      <w:color w:val="000000"/>
      <w:kern w:val="0"/>
      <w:sz w:val="24"/>
      <w:szCs w:val="20"/>
      <w:lang w:val="en-GB"/>
    </w:rPr>
  </w:style>
  <w:style w:type="paragraph" w:customStyle="1" w:styleId="677">
    <w:name w:val="表1"/>
    <w:basedOn w:val="1"/>
    <w:autoRedefine/>
    <w:qFormat/>
    <w:uiPriority w:val="99"/>
    <w:pPr>
      <w:tabs>
        <w:tab w:val="left" w:pos="703"/>
      </w:tabs>
      <w:adjustRightInd/>
      <w:spacing w:line="360" w:lineRule="auto"/>
      <w:ind w:left="703"/>
      <w:jc w:val="center"/>
    </w:pPr>
  </w:style>
  <w:style w:type="paragraph" w:customStyle="1" w:styleId="678">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9">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5"/>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40"/>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6"/>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3"/>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7"/>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7"/>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6"/>
    <w:next w:val="57"/>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4"/>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9"/>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49"/>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7"/>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40"/>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4"/>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6"/>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6"/>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0"/>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8"/>
    <w:next w:val="1"/>
    <w:autoRedefine/>
    <w:qFormat/>
    <w:uiPriority w:val="99"/>
    <w:pPr>
      <w:tabs>
        <w:tab w:val="left" w:pos="1080"/>
      </w:tabs>
      <w:ind w:left="1080" w:hanging="1080"/>
    </w:pPr>
  </w:style>
  <w:style w:type="paragraph" w:customStyle="1" w:styleId="905">
    <w:name w:val="数字标题1"/>
    <w:basedOn w:val="4"/>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3"/>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3"/>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4"/>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3"/>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5"/>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3"/>
    <w:autoRedefine/>
    <w:qFormat/>
    <w:uiPriority w:val="0"/>
  </w:style>
  <w:style w:type="paragraph" w:customStyle="1" w:styleId="988">
    <w:name w:val="正文文字2"/>
    <w:basedOn w:val="25"/>
    <w:next w:val="16"/>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80</Pages>
  <Words>24520</Words>
  <Characters>26563</Characters>
  <Lines>0</Lines>
  <Paragraphs>0</Paragraphs>
  <TotalTime>26</TotalTime>
  <ScaleCrop>false</ScaleCrop>
  <LinksUpToDate>false</LinksUpToDate>
  <CharactersWithSpaces>27775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2022-03-12T00:42:00Z</dcterms:created>
  <dc:creator>玥</dc:creator>
  <cp:lastModifiedBy>jia.</cp:lastModifiedBy>
  <cp:lastPrinted>2022-06-07T23:09:00Z</cp:lastPrinted>
  <dcterms:modified xsi:type="dcterms:W3CDTF">2025-01-06T06:49:08Z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330E93A1686943E28056C2E2AAB37C57_13</vt:lpwstr>
  </property>
  <property fmtid="{D5CDD505-2E9C-101B-9397-08002B2CF9AE}" pid="5" name="KSOTemplateDocerSaveRecord">
    <vt:lpwstr>eyJoZGlkIjoiODliMDE1YjNkOGRjYjliMDFmZDAwZjMyYjg1NGM2ODQiLCJ1c2VySWQiOiI0MzM1Mjc4NzAifQ==</vt:lpwstr>
  </property>
</Properties>
</file>