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9F7BB">
      <w:pPr>
        <w:keepNext w:val="0"/>
        <w:keepLines w:val="0"/>
        <w:pageBreakBefore w:val="0"/>
        <w:widowControl w:val="0"/>
        <w:kinsoku/>
        <w:wordWrap/>
        <w:overflowPunct/>
        <w:topLinePunct w:val="0"/>
        <w:autoSpaceDE/>
        <w:autoSpaceDN/>
        <w:bidi w:val="0"/>
        <w:adjustRightInd/>
        <w:snapToGrid/>
        <w:spacing w:before="2341" w:beforeLines="750" w:line="360" w:lineRule="auto"/>
        <w:jc w:val="center"/>
        <w:textAlignment w:val="auto"/>
        <w:rPr>
          <w:rFonts w:hint="default" w:ascii="宋体" w:hAnsi="宋体" w:eastAsia="宋体" w:cs="宋体"/>
          <w:b/>
          <w:bCs/>
          <w:color w:val="auto"/>
          <w:sz w:val="56"/>
          <w:szCs w:val="56"/>
          <w:lang w:val="en-US" w:eastAsia="zh-CN"/>
        </w:rPr>
      </w:pPr>
      <w:r>
        <w:rPr>
          <w:rFonts w:hint="eastAsia" w:ascii="宋体" w:hAnsi="宋体" w:cs="宋体"/>
          <w:b/>
          <w:bCs/>
          <w:color w:val="auto"/>
          <w:sz w:val="56"/>
          <w:szCs w:val="56"/>
          <w:lang w:val="en-US" w:eastAsia="zh-CN"/>
        </w:rPr>
        <w:t>诸暨市浬浦镇2025年食堂配送采购项目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02</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02</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5"/>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2" w:hRule="atLeast"/>
          <w:jc w:val="center"/>
        </w:trPr>
        <w:tc>
          <w:tcPr>
            <w:tcW w:w="7580" w:type="dxa"/>
            <w:vAlign w:val="center"/>
          </w:tcPr>
          <w:p w14:paraId="0F021D46">
            <w:pPr>
              <w:pStyle w:val="33"/>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人）：诸暨市浬浦镇人民政府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580" w:type="dxa"/>
            <w:vAlign w:val="center"/>
          </w:tcPr>
          <w:p w14:paraId="4C8CD05E">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五年二</w:t>
      </w:r>
      <w:r>
        <w:rPr>
          <w:rFonts w:hint="eastAsia" w:ascii="仿宋" w:hAnsi="仿宋" w:eastAsia="仿宋" w:cs="仿宋"/>
          <w:b/>
          <w:bCs/>
          <w:sz w:val="32"/>
          <w:szCs w:val="32"/>
        </w:rPr>
        <w:t>月</w:t>
      </w:r>
    </w:p>
    <w:p w14:paraId="556EF968">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349CCB8C">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728647"/>
      <w:bookmarkEnd w:id="2"/>
      <w:bookmarkStart w:id="3" w:name="_Hlt74729822"/>
      <w:bookmarkEnd w:id="3"/>
      <w:bookmarkStart w:id="4" w:name="_Hlt74649545"/>
      <w:bookmarkEnd w:id="4"/>
      <w:bookmarkStart w:id="5" w:name="_Hlt74707423"/>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诸暨市浬浦镇2025年食堂配送采购项目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w:t>
      </w:r>
      <w:r>
        <w:rPr>
          <w:rFonts w:hint="eastAsia" w:ascii="仿宋" w:hAnsi="仿宋" w:eastAsia="仿宋" w:cs="仿宋"/>
          <w:bCs/>
          <w:color w:val="auto"/>
          <w:sz w:val="24"/>
        </w:rPr>
        <w:t>京时间）前</w:t>
      </w:r>
      <w:r>
        <w:rPr>
          <w:rFonts w:hint="eastAsia" w:ascii="仿宋" w:hAnsi="仿宋" w:eastAsia="仿宋" w:cs="仿宋"/>
          <w:color w:val="auto"/>
          <w:sz w:val="24"/>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70115D95">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诸宸佳2025-02-02</w:t>
      </w:r>
    </w:p>
    <w:p w14:paraId="12EB84CE">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Times New Roman" w:hAnsi="Times New Roman" w:eastAsia="仿宋" w:cs="Times New Roman"/>
          <w:b w:val="0"/>
          <w:bCs/>
          <w:color w:val="auto"/>
          <w:sz w:val="24"/>
          <w:lang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val="en-US" w:eastAsia="zh-CN"/>
        </w:rPr>
        <w:t>诸暨市浬浦镇2025年食堂配送采购项目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800000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eastAsia="仿宋"/>
          <w:b w:val="0"/>
          <w:bCs/>
          <w:color w:val="auto"/>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800000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rPr>
        <w:t>采购需求：</w:t>
      </w:r>
      <w:r>
        <w:rPr>
          <w:rFonts w:hint="eastAsia" w:ascii="仿宋" w:hAnsi="仿宋" w:eastAsia="仿宋" w:cs="仿宋"/>
          <w:bCs/>
          <w:sz w:val="24"/>
          <w:szCs w:val="24"/>
        </w:rPr>
        <w:t>诸暨市浬浦镇2025年食堂配送采购项目</w:t>
      </w:r>
      <w:r>
        <w:rPr>
          <w:rFonts w:hint="eastAsia" w:ascii="仿宋" w:hAnsi="仿宋" w:eastAsia="仿宋" w:cs="仿宋"/>
          <w:sz w:val="24"/>
          <w:szCs w:val="24"/>
        </w:rPr>
        <w:t>，采购预算金额为人民币</w:t>
      </w:r>
      <w:r>
        <w:rPr>
          <w:rFonts w:hint="eastAsia" w:ascii="仿宋" w:hAnsi="仿宋" w:eastAsia="仿宋" w:cs="仿宋"/>
          <w:sz w:val="24"/>
          <w:szCs w:val="24"/>
          <w:lang w:val="en-US" w:eastAsia="zh-CN"/>
        </w:rPr>
        <w:t>捌万</w:t>
      </w:r>
      <w:r>
        <w:rPr>
          <w:rFonts w:hint="eastAsia" w:ascii="仿宋" w:hAnsi="仿宋" w:eastAsia="仿宋" w:cs="仿宋"/>
          <w:sz w:val="24"/>
          <w:szCs w:val="24"/>
        </w:rPr>
        <w:t>元整（¥</w:t>
      </w:r>
      <w:r>
        <w:rPr>
          <w:rFonts w:hint="eastAsia" w:ascii="仿宋" w:hAnsi="仿宋" w:eastAsia="仿宋" w:cs="仿宋"/>
          <w:sz w:val="24"/>
          <w:szCs w:val="24"/>
          <w:lang w:val="en-US" w:eastAsia="zh-CN"/>
        </w:rPr>
        <w:t>800000</w:t>
      </w:r>
      <w:r>
        <w:rPr>
          <w:rFonts w:hint="eastAsia" w:ascii="仿宋" w:hAnsi="仿宋" w:eastAsia="仿宋" w:cs="仿宋"/>
          <w:sz w:val="24"/>
          <w:szCs w:val="24"/>
        </w:rPr>
        <w:t>.00），具体内容详见采购需求。</w:t>
      </w:r>
    </w:p>
    <w:p w14:paraId="21388C14">
      <w:pPr>
        <w:pStyle w:val="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F81E5C7">
      <w:pPr>
        <w:pStyle w:val="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Times New Roman" w:hAnsi="Times New Roman" w:eastAsia="仿宋" w:cs="Times New Roman"/>
          <w:b w:val="0"/>
          <w:bCs/>
          <w:color w:val="auto"/>
          <w:sz w:val="24"/>
          <w:highlight w:val="none"/>
        </w:rPr>
        <w:t>按招标文件要求执行。</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1.满足《中华人民共和国政府采购法》第二十二条规定</w:t>
      </w:r>
      <w:r>
        <w:rPr>
          <w:rFonts w:hint="eastAsia" w:ascii="仿宋" w:hAnsi="仿宋" w:eastAsia="仿宋" w:cs="仿宋"/>
          <w:bCs/>
          <w:color w:val="auto"/>
          <w:sz w:val="24"/>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lang w:eastAsia="zh-CN"/>
        </w:rPr>
        <w:t>。</w:t>
      </w:r>
    </w:p>
    <w:p w14:paraId="108E3B7F">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lang w:val="en-US"/>
        </w:rPr>
        <w:t>3.</w:t>
      </w:r>
      <w:r>
        <w:rPr>
          <w:rFonts w:hint="eastAsia" w:ascii="仿宋" w:hAnsi="仿宋" w:eastAsia="仿宋" w:cs="仿宋"/>
          <w:bCs/>
          <w:color w:val="auto"/>
          <w:sz w:val="24"/>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sym w:font="Wingdings" w:char="F0FE"/>
      </w:r>
      <w:r>
        <w:rPr>
          <w:rFonts w:hint="eastAsia" w:ascii="仿宋" w:hAnsi="仿宋" w:eastAsia="仿宋" w:cs="仿宋"/>
          <w:bCs/>
          <w:color w:val="auto"/>
          <w:sz w:val="24"/>
        </w:rPr>
        <w:t>专门面向中小企业</w:t>
      </w:r>
      <w:r>
        <w:rPr>
          <w:rFonts w:hint="eastAsia" w:ascii="仿宋" w:hAnsi="仿宋" w:eastAsia="仿宋" w:cs="仿宋"/>
          <w:bCs/>
          <w:color w:val="auto"/>
          <w:sz w:val="24"/>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lang w:val="en-US" w:eastAsia="zh-CN"/>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本项目的特定资格要求：</w:t>
      </w:r>
      <w:r>
        <w:rPr>
          <w:rFonts w:hint="eastAsia" w:ascii="仿宋" w:hAnsi="仿宋" w:eastAsia="仿宋" w:cs="仿宋"/>
          <w:bCs/>
          <w:color w:val="auto"/>
          <w:sz w:val="24"/>
          <w:szCs w:val="24"/>
        </w:rPr>
        <w:t>无</w:t>
      </w:r>
      <w:r>
        <w:rPr>
          <w:rFonts w:hint="eastAsia" w:eastAsia="仿宋" w:cs="Times New Roman"/>
          <w:color w:val="auto"/>
          <w:sz w:val="24"/>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0521445">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b w:val="0"/>
          <w:bCs/>
          <w:color w:val="auto"/>
          <w:sz w:val="24"/>
          <w:highlight w:val="none"/>
          <w:u w:val="single"/>
          <w:lang w:val="en-US" w:eastAsia="zh-CN"/>
        </w:rPr>
        <w:t>月04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12:00</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64CC80B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提交投标文件截</w:t>
      </w:r>
      <w:r>
        <w:rPr>
          <w:rFonts w:hint="eastAsia" w:ascii="仿宋" w:hAnsi="仿宋" w:eastAsia="仿宋" w:cs="仿宋"/>
          <w:color w:val="auto"/>
          <w:highlight w:val="none"/>
        </w:rPr>
        <w:t>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582449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9F98127">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t>
      </w:r>
      <w:r>
        <w:rPr>
          <w:rFonts w:hint="eastAsia" w:ascii="仿宋" w:hAnsi="仿宋" w:eastAsia="仿宋"/>
          <w:color w:val="auto"/>
        </w:rPr>
        <w:t>://www.zcygov.cn/）</w:t>
      </w:r>
      <w:r>
        <w:rPr>
          <w:rFonts w:hint="eastAsia" w:ascii="仿宋" w:hAnsi="仿宋" w:eastAsia="仿宋"/>
          <w:color w:val="auto"/>
          <w:lang w:eastAsia="zh-CN"/>
        </w:rPr>
        <w:t>。</w:t>
      </w:r>
      <w:r>
        <w:rPr>
          <w:rFonts w:hint="eastAsia" w:ascii="仿宋" w:hAnsi="仿宋" w:eastAsia="仿宋"/>
          <w:color w:val="auto"/>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诸暨市浬浦镇人民政府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址：诸暨市浬浦镇书院路210号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项目联系人（询问）：魏书萌</w:t>
      </w:r>
    </w:p>
    <w:p w14:paraId="650D79C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项目联系方式（询问）：0575-8794998</w:t>
      </w:r>
    </w:p>
    <w:p w14:paraId="166C0D4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质疑联系人：魏书萌</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质疑联系方式：18367592899（工作电话）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13758513307（工作电话</w:t>
      </w:r>
      <w:r>
        <w:rPr>
          <w:rFonts w:hint="eastAsia" w:ascii="仿宋" w:hAnsi="仿宋" w:eastAsia="仿宋" w:cs="仿宋"/>
          <w:sz w:val="24"/>
          <w:lang w:val="en-US" w:eastAsia="zh-CN"/>
        </w:rPr>
        <w:t>）</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6"/>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w:t>
            </w:r>
            <w:r>
              <w:rPr>
                <w:rFonts w:hint="eastAsia" w:ascii="仿宋" w:hAnsi="仿宋" w:eastAsia="仿宋" w:cs="仿宋"/>
                <w:kern w:val="0"/>
                <w:sz w:val="24"/>
                <w:lang w:val="en-US" w:eastAsia="zh-CN"/>
              </w:rPr>
              <w:t>百分比</w:t>
            </w:r>
            <w:r>
              <w:rPr>
                <w:rFonts w:hint="eastAsia" w:ascii="仿宋" w:hAnsi="仿宋" w:eastAsia="仿宋" w:cs="仿宋"/>
                <w:kern w:val="0"/>
                <w:sz w:val="24"/>
                <w:lang w:val="zh-CN"/>
              </w:rPr>
              <w:t>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rPr>
            </w:pPr>
            <w:r>
              <w:rPr>
                <w:rFonts w:hint="eastAsia" w:ascii="仿宋" w:hAnsi="仿宋" w:eastAsia="仿宋" w:cs="仿宋"/>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 w:val="0"/>
                <w:bCs w:val="0"/>
                <w:kern w:val="0"/>
                <w:sz w:val="24"/>
                <w:lang w:val="en-US" w:eastAsia="zh-CN"/>
              </w:rPr>
              <w:t>合同签订前，中标人须向采购人缴纳合同金额1%的履约保证金，合同到期后无异议后十个工作日退回</w:t>
            </w:r>
            <w:r>
              <w:rPr>
                <w:rFonts w:hint="eastAsia" w:ascii="仿宋" w:hAnsi="仿宋" w:eastAsia="仿宋" w:cs="仿宋"/>
                <w:color w:val="auto"/>
                <w:sz w:val="24"/>
                <w:szCs w:val="24"/>
                <w:lang w:val="en-US" w:eastAsia="zh-CN"/>
              </w:rPr>
              <w:t>（不计息）</w:t>
            </w:r>
            <w:r>
              <w:rPr>
                <w:rFonts w:hint="eastAsia" w:ascii="仿宋" w:hAnsi="仿宋" w:eastAsia="仿宋" w:cs="仿宋"/>
                <w:b w:val="0"/>
                <w:bCs w:val="0"/>
                <w:kern w:val="0"/>
                <w:sz w:val="24"/>
                <w:lang w:val="en-US" w:eastAsia="zh-CN"/>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rPr>
              <w:t>诸暨市浬浦镇2025年食堂配送采购项目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highlight w:val="none"/>
                <w:u w:val="single"/>
                <w:lang w:val="en-US" w:eastAsia="zh-CN"/>
              </w:rPr>
              <w:t>餐饮业</w:t>
            </w:r>
            <w:r>
              <w:rPr>
                <w:rFonts w:hint="eastAsia" w:ascii="仿宋" w:hAnsi="仿宋" w:eastAsia="仿宋" w:cs="仿宋"/>
                <w:color w:val="auto"/>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kern w:val="0"/>
                <w:sz w:val="24"/>
                <w:highlight w:val="none"/>
                <w:u w:val="single"/>
                <w:lang w:val="en-US" w:eastAsia="zh-CN"/>
              </w:rPr>
              <w:t>餐饮业</w:t>
            </w:r>
            <w:r>
              <w:rPr>
                <w:rFonts w:hint="eastAsia" w:ascii="仿宋" w:hAnsi="仿宋" w:eastAsia="仿宋" w:cs="仿宋"/>
                <w:color w:val="auto"/>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lang w:val="en-US" w:eastAsia="zh-CN"/>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0"/>
                <w:rFonts w:hint="eastAsia" w:ascii="仿宋" w:hAnsi="仿宋" w:eastAsia="仿宋" w:cs="仿宋"/>
                <w:b/>
                <w:snapToGrid/>
                <w:kern w:val="2"/>
                <w:sz w:val="24"/>
                <w:szCs w:val="24"/>
                <w:lang w:val="en-US" w:eastAsia="zh-CN"/>
              </w:rPr>
              <w:t>2028562254@qq.com</w:t>
            </w:r>
            <w:r>
              <w:rPr>
                <w:rStyle w:val="8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3"/>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bCs w:val="0"/>
                <w:snapToGrid w:val="0"/>
                <w:kern w:val="28"/>
                <w:sz w:val="24"/>
                <w:szCs w:val="24"/>
                <w:lang w:val="en-US" w:eastAsia="zh-CN" w:bidi="ar-SA"/>
              </w:rPr>
            </w:pPr>
            <w:r>
              <w:rPr>
                <w:rFonts w:hint="eastAsia" w:ascii="仿宋" w:hAnsi="仿宋" w:eastAsia="仿宋" w:cs="仿宋"/>
                <w:b/>
                <w:bCs w:val="0"/>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4"/>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4"/>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4"/>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4"/>
                <w:rFonts w:hint="eastAsia" w:ascii="仿宋" w:hAnsi="仿宋" w:eastAsia="仿宋" w:cs="宋体"/>
                <w:b w:val="0"/>
                <w:color w:val="auto"/>
                <w:sz w:val="24"/>
                <w:szCs w:val="24"/>
              </w:rPr>
              <w:t>按以下费率标准计算，计算方式采用差额定率累进法：</w:t>
            </w:r>
          </w:p>
          <w:tbl>
            <w:tblPr>
              <w:tblStyle w:val="66"/>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6C222912">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first"/>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_Toc164416483"/>
      <w:bookmarkStart w:id="10" w:name="第三部分"/>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60497A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74707468"/>
      <w:bookmarkEnd w:id="12"/>
      <w:bookmarkStart w:id="13" w:name="_Hlt74714665"/>
      <w:bookmarkEnd w:id="13"/>
      <w:bookmarkStart w:id="14" w:name="_Hlt75236101"/>
      <w:bookmarkEnd w:id="14"/>
      <w:bookmarkStart w:id="15" w:name="_Hlt68072998"/>
      <w:bookmarkEnd w:id="15"/>
      <w:bookmarkStart w:id="16" w:name="_Hlt68073093"/>
      <w:bookmarkEnd w:id="16"/>
      <w:bookmarkStart w:id="17" w:name="_Hlt68403820"/>
      <w:bookmarkEnd w:id="17"/>
      <w:bookmarkStart w:id="18" w:name="_Hlt68057669"/>
      <w:bookmarkEnd w:id="18"/>
      <w:bookmarkStart w:id="19" w:name="_Hlt75236290"/>
      <w:bookmarkEnd w:id="19"/>
      <w:bookmarkStart w:id="20" w:name="_Hlt75236011"/>
      <w:bookmarkEnd w:id="20"/>
      <w:bookmarkStart w:id="21" w:name="_Hlt68072990"/>
      <w:bookmarkEnd w:id="21"/>
      <w:bookmarkStart w:id="22" w:name="_Hlt74729768"/>
      <w:bookmarkEnd w:id="22"/>
      <w:bookmarkStart w:id="23" w:name="_Hlt74730295"/>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0"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219F78F4">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服务范围</w:t>
      </w:r>
    </w:p>
    <w:p w14:paraId="15AF3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包括粮油、蔬果、肉类、水产、干货、调味、百货类等食品、用品的供应及配送服务。</w:t>
      </w:r>
    </w:p>
    <w:p w14:paraId="4163A993">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服务期限</w:t>
      </w:r>
    </w:p>
    <w:p w14:paraId="1B8F89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自合同签订生效之日起1年或合同累计结算金额达到采购预算金额时止，两者以先到者为准。</w:t>
      </w:r>
    </w:p>
    <w:p w14:paraId="5921DEB9">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供货方式及地点</w:t>
      </w:r>
    </w:p>
    <w:p w14:paraId="5A9E5CC4">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仿宋" w:hAnsi="仿宋" w:eastAsia="仿宋" w:cs="宋体"/>
          <w:sz w:val="24"/>
          <w:szCs w:val="24"/>
        </w:rPr>
      </w:pPr>
      <w:r>
        <w:rPr>
          <w:rFonts w:hint="eastAsia" w:ascii="仿宋" w:hAnsi="仿宋" w:eastAsia="仿宋" w:cs="宋体"/>
          <w:sz w:val="24"/>
          <w:szCs w:val="24"/>
          <w:lang w:eastAsia="zh-CN"/>
        </w:rPr>
        <w:t>采购</w:t>
      </w:r>
      <w:r>
        <w:rPr>
          <w:rFonts w:hint="eastAsia" w:ascii="仿宋" w:hAnsi="仿宋" w:eastAsia="仿宋" w:cs="宋体"/>
          <w:sz w:val="24"/>
          <w:szCs w:val="24"/>
          <w:lang w:val="en-US" w:eastAsia="zh-CN"/>
        </w:rPr>
        <w:t>人</w:t>
      </w:r>
      <w:r>
        <w:rPr>
          <w:rFonts w:hint="eastAsia" w:ascii="仿宋" w:hAnsi="仿宋" w:eastAsia="仿宋" w:cs="宋体"/>
          <w:sz w:val="24"/>
          <w:szCs w:val="24"/>
        </w:rPr>
        <w:t>根据需求，采用电话、传真等方式订货。</w:t>
      </w:r>
      <w:r>
        <w:rPr>
          <w:rFonts w:hint="eastAsia" w:ascii="仿宋" w:hAnsi="仿宋" w:eastAsia="仿宋" w:cs="宋体"/>
          <w:sz w:val="24"/>
          <w:szCs w:val="24"/>
          <w:lang w:eastAsia="zh-CN"/>
        </w:rPr>
        <w:t>采购</w:t>
      </w:r>
      <w:r>
        <w:rPr>
          <w:rFonts w:hint="eastAsia" w:ascii="仿宋" w:hAnsi="仿宋" w:eastAsia="仿宋" w:cs="宋体"/>
          <w:sz w:val="24"/>
          <w:szCs w:val="24"/>
          <w:lang w:val="en-US" w:eastAsia="zh-CN"/>
        </w:rPr>
        <w:t>人</w:t>
      </w:r>
      <w:r>
        <w:rPr>
          <w:rFonts w:hint="eastAsia" w:ascii="仿宋" w:hAnsi="仿宋" w:eastAsia="仿宋" w:cs="宋体"/>
          <w:sz w:val="24"/>
          <w:szCs w:val="24"/>
        </w:rPr>
        <w:t>在发出要约后，</w:t>
      </w:r>
      <w:r>
        <w:rPr>
          <w:rFonts w:hint="eastAsia" w:ascii="仿宋" w:hAnsi="仿宋" w:eastAsia="仿宋" w:cs="宋体"/>
          <w:sz w:val="24"/>
          <w:szCs w:val="24"/>
          <w:lang w:val="en-US" w:eastAsia="zh-CN"/>
        </w:rPr>
        <w:t>中标人</w:t>
      </w:r>
      <w:r>
        <w:rPr>
          <w:rFonts w:hint="eastAsia" w:ascii="仿宋" w:hAnsi="仿宋" w:eastAsia="仿宋" w:cs="宋体"/>
          <w:sz w:val="24"/>
          <w:szCs w:val="24"/>
        </w:rPr>
        <w:t>应在二十四小时内将货物免费送到</w:t>
      </w:r>
      <w:r>
        <w:rPr>
          <w:rFonts w:hint="eastAsia" w:ascii="仿宋" w:hAnsi="仿宋" w:eastAsia="仿宋" w:cs="宋体"/>
          <w:sz w:val="24"/>
          <w:szCs w:val="24"/>
          <w:lang w:eastAsia="zh-CN"/>
        </w:rPr>
        <w:t>采购</w:t>
      </w:r>
      <w:r>
        <w:rPr>
          <w:rFonts w:hint="eastAsia" w:ascii="仿宋" w:hAnsi="仿宋" w:eastAsia="仿宋" w:cs="宋体"/>
          <w:sz w:val="24"/>
          <w:szCs w:val="24"/>
          <w:lang w:val="en-US" w:eastAsia="zh-CN"/>
        </w:rPr>
        <w:t>人</w:t>
      </w:r>
      <w:r>
        <w:rPr>
          <w:rFonts w:hint="eastAsia" w:ascii="仿宋" w:hAnsi="仿宋" w:eastAsia="仿宋" w:cs="宋体"/>
          <w:sz w:val="24"/>
          <w:szCs w:val="24"/>
        </w:rPr>
        <w:t>指定地点。</w:t>
      </w:r>
    </w:p>
    <w:p w14:paraId="7E253BCD">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仿宋" w:hAnsi="仿宋" w:eastAsia="仿宋" w:cs="宋体"/>
          <w:sz w:val="24"/>
          <w:szCs w:val="24"/>
          <w:lang w:eastAsia="zh-CN"/>
        </w:rPr>
      </w:pPr>
      <w:r>
        <w:rPr>
          <w:rFonts w:hint="eastAsia" w:ascii="仿宋" w:hAnsi="仿宋" w:eastAsia="仿宋" w:cs="宋体"/>
          <w:sz w:val="24"/>
          <w:szCs w:val="24"/>
          <w:lang w:val="en-US" w:eastAsia="zh-CN"/>
        </w:rPr>
        <w:t>中标人</w:t>
      </w:r>
      <w:r>
        <w:rPr>
          <w:rFonts w:hint="eastAsia" w:ascii="仿宋" w:hAnsi="仿宋" w:eastAsia="仿宋" w:cs="宋体"/>
          <w:sz w:val="24"/>
          <w:szCs w:val="24"/>
          <w:lang w:eastAsia="zh-CN"/>
        </w:rPr>
        <w:t>若发现采购</w:t>
      </w:r>
      <w:r>
        <w:rPr>
          <w:rFonts w:hint="eastAsia" w:ascii="仿宋" w:hAnsi="仿宋" w:eastAsia="仿宋" w:cs="宋体"/>
          <w:sz w:val="24"/>
          <w:szCs w:val="24"/>
          <w:lang w:val="en-US" w:eastAsia="zh-CN"/>
        </w:rPr>
        <w:t>人</w:t>
      </w:r>
      <w:r>
        <w:rPr>
          <w:rFonts w:hint="eastAsia" w:ascii="仿宋" w:hAnsi="仿宋" w:eastAsia="仿宋" w:cs="宋体"/>
          <w:sz w:val="24"/>
          <w:szCs w:val="24"/>
          <w:lang w:eastAsia="zh-CN"/>
        </w:rPr>
        <w:t>所需商品无货或发生其他情况时，必须及时告知采购</w:t>
      </w:r>
      <w:r>
        <w:rPr>
          <w:rFonts w:hint="eastAsia" w:ascii="仿宋" w:hAnsi="仿宋" w:eastAsia="仿宋" w:cs="宋体"/>
          <w:sz w:val="24"/>
          <w:szCs w:val="24"/>
          <w:lang w:val="en-US" w:eastAsia="zh-CN"/>
        </w:rPr>
        <w:t>人</w:t>
      </w:r>
      <w:r>
        <w:rPr>
          <w:rFonts w:hint="eastAsia" w:ascii="仿宋" w:hAnsi="仿宋" w:eastAsia="仿宋" w:cs="宋体"/>
          <w:sz w:val="24"/>
          <w:szCs w:val="24"/>
          <w:lang w:eastAsia="zh-CN"/>
        </w:rPr>
        <w:t>，由采购</w:t>
      </w:r>
      <w:r>
        <w:rPr>
          <w:rFonts w:hint="eastAsia" w:ascii="仿宋" w:hAnsi="仿宋" w:eastAsia="仿宋" w:cs="宋体"/>
          <w:sz w:val="24"/>
          <w:szCs w:val="24"/>
          <w:lang w:val="en-US" w:eastAsia="zh-CN"/>
        </w:rPr>
        <w:t>人</w:t>
      </w:r>
      <w:r>
        <w:rPr>
          <w:rFonts w:hint="eastAsia" w:ascii="仿宋" w:hAnsi="仿宋" w:eastAsia="仿宋" w:cs="宋体"/>
          <w:sz w:val="24"/>
          <w:szCs w:val="24"/>
          <w:lang w:eastAsia="zh-CN"/>
        </w:rPr>
        <w:t>作出变更，</w:t>
      </w:r>
      <w:r>
        <w:rPr>
          <w:rFonts w:hint="eastAsia" w:ascii="仿宋" w:hAnsi="仿宋" w:eastAsia="仿宋" w:cs="宋体"/>
          <w:sz w:val="24"/>
          <w:szCs w:val="24"/>
          <w:lang w:val="en-US" w:eastAsia="zh-CN"/>
        </w:rPr>
        <w:t>中标人</w:t>
      </w:r>
      <w:r>
        <w:rPr>
          <w:rFonts w:hint="eastAsia" w:ascii="仿宋" w:hAnsi="仿宋" w:eastAsia="仿宋" w:cs="宋体"/>
          <w:sz w:val="24"/>
          <w:szCs w:val="24"/>
          <w:lang w:eastAsia="zh-CN"/>
        </w:rPr>
        <w:t>不能擅自改变采购</w:t>
      </w:r>
      <w:r>
        <w:rPr>
          <w:rFonts w:hint="eastAsia" w:ascii="仿宋" w:hAnsi="仿宋" w:eastAsia="仿宋" w:cs="宋体"/>
          <w:sz w:val="24"/>
          <w:szCs w:val="24"/>
          <w:lang w:val="en-US" w:eastAsia="zh-CN"/>
        </w:rPr>
        <w:t>人</w:t>
      </w:r>
      <w:r>
        <w:rPr>
          <w:rFonts w:hint="eastAsia" w:ascii="仿宋" w:hAnsi="仿宋" w:eastAsia="仿宋" w:cs="宋体"/>
          <w:sz w:val="24"/>
          <w:szCs w:val="24"/>
          <w:lang w:eastAsia="zh-CN"/>
        </w:rPr>
        <w:t>要约的内容。</w:t>
      </w:r>
    </w:p>
    <w:p w14:paraId="0D9DBCC3">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日常配送地址（地址如有增减、变动，中标价格不作调整）：</w:t>
      </w:r>
      <w:r>
        <w:rPr>
          <w:rFonts w:hint="eastAsia" w:ascii="仿宋" w:hAnsi="仿宋" w:eastAsia="仿宋" w:cs="宋体"/>
          <w:sz w:val="24"/>
          <w:szCs w:val="24"/>
          <w:lang w:val="en-US" w:eastAsia="zh-CN"/>
        </w:rPr>
        <w:t>诸暨市浬浦镇人民政府。</w:t>
      </w:r>
    </w:p>
    <w:p w14:paraId="09D651FF">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供货要求及验收方法</w:t>
      </w:r>
    </w:p>
    <w:p w14:paraId="4D6BAA8B">
      <w:pPr>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配送指导价格：</w:t>
      </w:r>
    </w:p>
    <w:p w14:paraId="22B88723">
      <w:pPr>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包装类以明确的包装规格下单，食用油、大米、面粉、主要调味料按</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指定品牌配送，价格经</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调查确认周边两家及以上大型超市的市场价后再进行协商，当</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价格与周围超市价格一致则优先由</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进行配送，若</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价格高于周围超市价格</w:t>
      </w:r>
      <w:r>
        <w:rPr>
          <w:rFonts w:hint="eastAsia" w:ascii="仿宋" w:hAnsi="仿宋" w:eastAsia="仿宋" w:cs="仿宋"/>
          <w:color w:val="auto"/>
          <w:sz w:val="24"/>
          <w:szCs w:val="24"/>
          <w:lang w:eastAsia="zh-CN"/>
        </w:rPr>
        <w:t>时采购人有权另行采购。</w:t>
      </w:r>
    </w:p>
    <w:p w14:paraId="70665DAD">
      <w:pPr>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采购人申购数量散装类以kg计量，中标人根据采购人下单数量按送达时间要求、送达地点要求进行配送，数量以采购人实际过秤数量为准。</w:t>
      </w:r>
    </w:p>
    <w:p w14:paraId="191EBAEF">
      <w:pPr>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其余菜蔬等配送价格以投标承诺价（折扣）为基础，承诺按照每周诸暨市</w:t>
      </w:r>
      <w:r>
        <w:rPr>
          <w:rFonts w:hint="eastAsia" w:ascii="仿宋" w:hAnsi="仿宋" w:eastAsia="仿宋" w:cs="仿宋"/>
          <w:color w:val="auto"/>
          <w:sz w:val="24"/>
          <w:szCs w:val="24"/>
          <w:lang w:val="en-US" w:eastAsia="zh-CN"/>
        </w:rPr>
        <w:t>发展和改革</w:t>
      </w:r>
      <w:r>
        <w:rPr>
          <w:rFonts w:hint="eastAsia" w:ascii="仿宋" w:hAnsi="仿宋" w:eastAsia="仿宋" w:cs="仿宋"/>
          <w:color w:val="auto"/>
          <w:sz w:val="24"/>
          <w:szCs w:val="24"/>
          <w:lang w:eastAsia="zh-CN"/>
        </w:rPr>
        <w:t>局发布的《民生商品价格监测信息》中</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"http://jgjg.sx.gov.cn/shops_nm2.aspx?id=79&amp;page_number=0" </w:instrText>
      </w:r>
      <w:r>
        <w:rPr>
          <w:rFonts w:hint="eastAsia" w:ascii="仿宋" w:hAnsi="仿宋" w:eastAsia="仿宋" w:cs="仿宋"/>
          <w:color w:val="auto"/>
          <w:sz w:val="24"/>
          <w:szCs w:val="24"/>
          <w:lang w:eastAsia="zh-CN"/>
        </w:rPr>
        <w:fldChar w:fldCharType="separate"/>
      </w:r>
      <w:r>
        <w:rPr>
          <w:rFonts w:hint="eastAsia" w:ascii="仿宋" w:hAnsi="仿宋" w:eastAsia="仿宋" w:cs="仿宋"/>
          <w:color w:val="auto"/>
          <w:sz w:val="24"/>
          <w:szCs w:val="24"/>
          <w:lang w:eastAsia="zh-CN"/>
        </w:rPr>
        <w:t>诸暨东湖菜场</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价格进行折扣，保证不高于市场同类食品价格，《民生商品价格监测信息》中没有的按诸暨市大润发超市、一百超市或市场调研价格为准（由中标人提供）。</w:t>
      </w:r>
    </w:p>
    <w:p w14:paraId="0865A9C8">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以上配送货品价格明显超出参照价格的，采购人可参照约定参照价格予以结算。</w:t>
      </w:r>
    </w:p>
    <w:p w14:paraId="6D1EA933">
      <w:pPr>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配送产品验收要求</w:t>
      </w:r>
    </w:p>
    <w:p w14:paraId="6666ECDE">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所有配送产品必须优质、新鲜，采购人必须按经招标的品牌、品名、规格等要求进行认真验收。采购人和配送供应商分别建立采购和供应台账，确定专人负责验收和送货，禁用非统一配送物品、无</w:t>
      </w:r>
      <w:r>
        <w:rPr>
          <w:rFonts w:hint="eastAsia" w:ascii="仿宋" w:hAnsi="仿宋" w:eastAsia="仿宋" w:cs="仿宋"/>
          <w:color w:val="auto"/>
          <w:sz w:val="24"/>
          <w:szCs w:val="24"/>
          <w:lang w:val="en-US" w:eastAsia="zh-CN"/>
        </w:rPr>
        <w:t>SC</w:t>
      </w:r>
      <w:r>
        <w:rPr>
          <w:rFonts w:hint="eastAsia" w:ascii="仿宋" w:hAnsi="仿宋" w:eastAsia="仿宋" w:cs="仿宋"/>
          <w:color w:val="auto"/>
          <w:sz w:val="24"/>
          <w:szCs w:val="24"/>
        </w:rPr>
        <w:t>标志的相关食品进入食堂，禁止禁用的食物成品、半成品。对于出现不符规格、以次充好等现象，采购人有权退货，</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必须无条件退换，并保证</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正常就餐。</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视情节对</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作出处罚决定。</w:t>
      </w:r>
    </w:p>
    <w:p w14:paraId="6C9C8096">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采购人在与配送供应商签订合同中，中标</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须提供以下证件：</w:t>
      </w:r>
      <w:r>
        <w:rPr>
          <w:rFonts w:hint="eastAsia" w:ascii="仿宋" w:hAnsi="仿宋" w:eastAsia="仿宋" w:cs="仿宋"/>
          <w:color w:val="auto"/>
          <w:sz w:val="24"/>
          <w:szCs w:val="24"/>
          <w:lang w:val="en-US" w:eastAsia="zh-CN"/>
        </w:rPr>
        <w:t>中标人工商营业执照、有效食品流通许可证、食品生产许可证或食品经营许可证、配送人身份证明等。</w:t>
      </w:r>
    </w:p>
    <w:p w14:paraId="627D1CA6">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所有配送产品必须索证，源头可查，在食品配送中，中标</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须提供以下单证：</w:t>
      </w:r>
    </w:p>
    <w:p w14:paraId="121D26D4">
      <w:pPr>
        <w:keepNext w:val="0"/>
        <w:keepLines w:val="0"/>
        <w:pageBreakBefore w:val="0"/>
        <w:numPr>
          <w:ilvl w:val="0"/>
          <w:numId w:val="9"/>
        </w:numP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送货清单：配送单按采购人规定格式，一式4联，信息齐全，电子打印。</w:t>
      </w:r>
    </w:p>
    <w:p w14:paraId="443600A2">
      <w:pPr>
        <w:keepNext w:val="0"/>
        <w:keepLines w:val="0"/>
        <w:pageBreakBefore w:val="0"/>
        <w:numPr>
          <w:ilvl w:val="0"/>
          <w:numId w:val="9"/>
        </w:numP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食品生产（经营）企业相关资料：包括营业执照、食品生产（经营）许可证等。</w:t>
      </w:r>
    </w:p>
    <w:p w14:paraId="641CBCEE">
      <w:pPr>
        <w:keepNext w:val="0"/>
        <w:keepLines w:val="0"/>
        <w:pageBreakBefore w:val="0"/>
        <w:widowControl w:val="0"/>
        <w:numPr>
          <w:ilvl w:val="0"/>
          <w:numId w:val="9"/>
        </w:numP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食品相关资料：</w:t>
      </w:r>
    </w:p>
    <w:p w14:paraId="3EF1234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①生鲜肉类：动物检疫合格证明或市场分销证明。大块的猪肉必须盖有蓝色的检验合格验讫印章。</w:t>
      </w:r>
    </w:p>
    <w:p w14:paraId="5A246F7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②蔬菜类：农药残留量检测报告。</w:t>
      </w:r>
    </w:p>
    <w:p w14:paraId="0542020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③水产品：质量检测报告。</w:t>
      </w:r>
    </w:p>
    <w:p w14:paraId="5185959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大米、食用油、面粉、豆制品、调味品、副食品、干货：生产企业营业执照、食品生产许可证、生产批次产品检验报告和合格证明。查看是否按规定标出品名、产地、厂名、生产日期、保存期（保质期）等法定标志。</w:t>
      </w:r>
    </w:p>
    <w:p w14:paraId="722A8DD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⑤冷冻品：产品检验报告、代理授权证明、区域性知名品牌证明等。</w:t>
      </w:r>
    </w:p>
    <w:p w14:paraId="422E428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以上单证必须符合配送物品当前的批次日期并及时更新，复印件都要加盖</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的公章</w:t>
      </w:r>
    </w:p>
    <w:p w14:paraId="7D4A40A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注：上述</w:t>
      </w:r>
      <w:r>
        <w:rPr>
          <w:rFonts w:hint="eastAsia" w:ascii="仿宋" w:hAnsi="仿宋" w:eastAsia="仿宋" w:cs="仿宋"/>
          <w:color w:val="auto"/>
          <w:sz w:val="24"/>
          <w:szCs w:val="24"/>
          <w:lang w:val="en-US"/>
        </w:rPr>
        <w:t>所列标准如与最新颁布的食品安全国家标准不一致时，按最新颁布的食品安全国家标准执行。</w:t>
      </w:r>
    </w:p>
    <w:p w14:paraId="52C829D4">
      <w:pPr>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对于订单以外临时增加配送的商品，</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应按照</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要求全力做好服务配合工作。</w:t>
      </w:r>
    </w:p>
    <w:p w14:paraId="44673F4E">
      <w:pPr>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若因特殊原因引起的价格变动</w:t>
      </w:r>
      <w:r>
        <w:rPr>
          <w:rFonts w:hint="eastAsia" w:ascii="仿宋" w:hAnsi="仿宋" w:eastAsia="仿宋" w:cs="仿宋"/>
          <w:b w:val="0"/>
          <w:bCs w:val="0"/>
          <w:color w:val="auto"/>
          <w:sz w:val="24"/>
          <w:szCs w:val="24"/>
          <w:lang w:val="en-US" w:eastAsia="zh-CN"/>
        </w:rPr>
        <w:t>应</w:t>
      </w:r>
      <w:r>
        <w:rPr>
          <w:rFonts w:hint="eastAsia" w:ascii="仿宋" w:hAnsi="仿宋" w:eastAsia="仿宋" w:cs="仿宋"/>
          <w:b w:val="0"/>
          <w:bCs w:val="0"/>
          <w:color w:val="auto"/>
          <w:sz w:val="24"/>
          <w:szCs w:val="24"/>
          <w:lang w:eastAsia="zh-CN"/>
        </w:rPr>
        <w:t>提前</w:t>
      </w:r>
      <w:r>
        <w:rPr>
          <w:rFonts w:hint="eastAsia" w:ascii="仿宋" w:hAnsi="仿宋" w:eastAsia="仿宋" w:cs="仿宋"/>
          <w:b w:val="0"/>
          <w:bCs w:val="0"/>
          <w:color w:val="auto"/>
          <w:sz w:val="24"/>
          <w:szCs w:val="24"/>
        </w:rPr>
        <w:t>告知</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，并以不高于市场同类、同质商品的价格为限</w:t>
      </w:r>
      <w:r>
        <w:rPr>
          <w:rFonts w:hint="eastAsia" w:ascii="仿宋" w:hAnsi="仿宋" w:eastAsia="仿宋" w:cs="仿宋"/>
          <w:b w:val="0"/>
          <w:bCs w:val="0"/>
          <w:color w:val="auto"/>
          <w:sz w:val="24"/>
          <w:szCs w:val="24"/>
          <w:lang w:eastAsia="zh-CN"/>
        </w:rPr>
        <w:t>；若未提前告知的，按当月价格表价格结算</w:t>
      </w:r>
      <w:r>
        <w:rPr>
          <w:rFonts w:hint="eastAsia" w:ascii="仿宋" w:hAnsi="仿宋" w:eastAsia="仿宋" w:cs="仿宋"/>
          <w:b w:val="0"/>
          <w:bCs w:val="0"/>
          <w:color w:val="auto"/>
          <w:sz w:val="24"/>
          <w:szCs w:val="24"/>
        </w:rPr>
        <w:t>。</w:t>
      </w:r>
    </w:p>
    <w:p w14:paraId="244A1ADA">
      <w:pPr>
        <w:keepNext w:val="0"/>
        <w:keepLines w:val="0"/>
        <w:pageBreakBefore w:val="0"/>
        <w:widowControl w:val="0"/>
        <w:numPr>
          <w:ilvl w:val="0"/>
          <w:numId w:val="7"/>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rPr>
      </w:pPr>
      <w:r>
        <w:rPr>
          <w:rFonts w:hint="eastAsia" w:ascii="仿宋" w:hAnsi="仿宋" w:eastAsia="仿宋" w:cs="仿宋"/>
          <w:b w:val="0"/>
          <w:bCs w:val="0"/>
          <w:color w:val="auto"/>
          <w:sz w:val="24"/>
          <w:szCs w:val="24"/>
        </w:rPr>
        <w:t>验收要求：</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确定专人负责送货和验收，严防非统一配送食品进食堂。对于质量问题、外观欠缺及价格虚高等现象，</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有权退货，</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必须无条件退换，并保证可以正常就餐。</w:t>
      </w:r>
    </w:p>
    <w:p w14:paraId="75B1BCB4">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配送服务标准与要求</w:t>
      </w:r>
    </w:p>
    <w:p w14:paraId="2E8645C2">
      <w:pPr>
        <w:keepNext w:val="0"/>
        <w:keepLines w:val="0"/>
        <w:pageBreakBefore w:val="0"/>
        <w:widowControl w:val="0"/>
        <w:numPr>
          <w:ilvl w:val="0"/>
          <w:numId w:val="10"/>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配送</w:t>
      </w:r>
      <w:r>
        <w:rPr>
          <w:rFonts w:hint="eastAsia" w:ascii="仿宋" w:hAnsi="仿宋" w:eastAsia="仿宋" w:cs="仿宋"/>
          <w:b/>
          <w:bCs/>
          <w:color w:val="auto"/>
          <w:sz w:val="24"/>
          <w:szCs w:val="24"/>
        </w:rPr>
        <w:t>要求</w:t>
      </w:r>
    </w:p>
    <w:p w14:paraId="48FE5698">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食用油、调味品必须具有SC标志，有监管部门提供的检测报告，每批次应提供该批次产品的出厂检验合格证或者其他合格证明。产品包装、标签标识应符合相关食品安全国家标准的要求。其中大豆油、玉米油、菜籽油原料应为非转基因产品，产品质量应符合其包装上明示的产品标准要求及相应的国家食品安全标准要求，质量等级达到或超过该种食用植物油国家标准中“一级”的要求。干货产品必须是由正规厂家生产的名牌信得过产品。</w:t>
      </w:r>
    </w:p>
    <w:p w14:paraId="08DAA62C">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蔬菜必须新鲜，完整，去皮，净重（去包装或保护层）；应以无公害基地蔬菜为主配菜。每批提供常规检测报告，蔬菜农药残留在国家规定GB2763-2014允许的范围内；外地蔬菜需提供合格证、营业执照，符合国家蔬菜质量安全标准。本地基地质量安全管理水平达到当地农业部门信用评定B级以上水平。</w:t>
      </w:r>
    </w:p>
    <w:p w14:paraId="32597541">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禽蛋质量及其标识应符合国家标准，绿色、有机、无公害，并提供无公害养殖基地有效证件。</w:t>
      </w:r>
    </w:p>
    <w:p w14:paraId="4741D061">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鲜活水产必须来源于无公害水产品养殖水产企业，水产品的感官指标、鲜度指标及安全卫生指标必须符合国家无公害水产品质量要求。</w:t>
      </w:r>
    </w:p>
    <w:p w14:paraId="667EDE51">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猪肉和家禽产品必须新鲜，观感好，来源大型无公害养殖基地或稳定的供肉基地，经动物检疫和定点屠宰，符合国家肉类食品质量安全标准。</w:t>
      </w:r>
    </w:p>
    <w:p w14:paraId="44E3665B">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冷冻食品、豆制品必须为知名厂家生产的品牌，具有SC标志、区域性知名品牌证明，有监督部门提供的检测报告，有生产日期、保质期、净重等。不得配送超过保质期1/2日期的冷冻食品。</w:t>
      </w:r>
    </w:p>
    <w:p w14:paraId="1D107A8F">
      <w:pPr>
        <w:keepNext w:val="0"/>
        <w:keepLines w:val="0"/>
        <w:pageBreakBefore w:val="0"/>
        <w:widowControl w:val="0"/>
        <w:numPr>
          <w:ilvl w:val="0"/>
          <w:numId w:val="11"/>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标人提供的所有商品必须符合国家的质量标准，保证安全、新鲜、效期良好，不得出现以次充好的现象，严格遵守《中华人民共和国食品安全法》《中华人民共和国动物检疫法》和《中华人民共和国农产品质量安全法》等相关法律法规规定。</w:t>
      </w:r>
    </w:p>
    <w:p w14:paraId="2B75D439">
      <w:pPr>
        <w:keepNext w:val="0"/>
        <w:keepLines w:val="0"/>
        <w:pageBreakBefore w:val="0"/>
        <w:widowControl w:val="0"/>
        <w:numPr>
          <w:ilvl w:val="0"/>
          <w:numId w:val="10"/>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经营要求</w:t>
      </w:r>
    </w:p>
    <w:p w14:paraId="27A36888">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应足额、及时将食堂物品配送</w:t>
      </w:r>
      <w:r>
        <w:rPr>
          <w:rFonts w:hint="eastAsia" w:ascii="仿宋" w:hAnsi="仿宋" w:eastAsia="仿宋" w:cs="仿宋"/>
          <w:color w:val="auto"/>
          <w:sz w:val="24"/>
          <w:szCs w:val="24"/>
          <w:lang w:val="en-US" w:eastAsia="zh-CN"/>
        </w:rPr>
        <w:t>至采购人订货费</w:t>
      </w:r>
      <w:r>
        <w:rPr>
          <w:rFonts w:hint="eastAsia" w:ascii="仿宋" w:hAnsi="仿宋" w:eastAsia="仿宋" w:cs="仿宋"/>
          <w:color w:val="auto"/>
          <w:sz w:val="24"/>
          <w:szCs w:val="24"/>
        </w:rPr>
        <w:t>食堂。</w:t>
      </w:r>
      <w:r>
        <w:rPr>
          <w:rFonts w:hint="eastAsia" w:ascii="仿宋" w:hAnsi="仿宋" w:eastAsia="仿宋" w:cs="仿宋"/>
          <w:color w:val="000000"/>
          <w:sz w:val="24"/>
          <w:szCs w:val="24"/>
          <w:lang w:val="en-US" w:eastAsia="zh-CN"/>
        </w:rPr>
        <w:t>采购人</w:t>
      </w:r>
      <w:r>
        <w:rPr>
          <w:rFonts w:hint="eastAsia" w:ascii="仿宋" w:hAnsi="仿宋" w:eastAsia="仿宋" w:cs="仿宋"/>
          <w:color w:val="auto"/>
          <w:sz w:val="24"/>
          <w:szCs w:val="24"/>
          <w:lang w:val="en-US" w:eastAsia="zh-CN"/>
        </w:rPr>
        <w:t>提前24小时将</w:t>
      </w:r>
      <w:r>
        <w:rPr>
          <w:rFonts w:hint="eastAsia" w:ascii="仿宋" w:hAnsi="仿宋" w:eastAsia="仿宋" w:cs="仿宋"/>
          <w:color w:val="auto"/>
          <w:sz w:val="24"/>
          <w:szCs w:val="24"/>
        </w:rPr>
        <w:t>需要采购的各类食品、日用品等品名及数量清单以书面形式或电子邮件、微信、电话等方式报至中标</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必须按采购人提供的采购计划及时配送到位。如遇特殊情况，双方协商解决。</w:t>
      </w:r>
    </w:p>
    <w:p w14:paraId="3AEE4E44">
      <w:pPr>
        <w:keepNext w:val="0"/>
        <w:keepLines w:val="0"/>
        <w:pageBreakBefore w:val="0"/>
        <w:widowControl w:val="0"/>
        <w:numPr>
          <w:ilvl w:val="0"/>
          <w:numId w:val="10"/>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工作要求</w:t>
      </w:r>
    </w:p>
    <w:p w14:paraId="4E185BA8">
      <w:pPr>
        <w:keepNext w:val="0"/>
        <w:keepLines w:val="0"/>
        <w:pageBreakBefore w:val="0"/>
        <w:widowControl w:val="0"/>
        <w:numPr>
          <w:ilvl w:val="0"/>
          <w:numId w:val="12"/>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中标人要做到制度完善，证照齐全，用工规范，文明配送。要树立档案意识，建立完整的配送档案，将配送合同、配送清单、检测报告、配送人员、车辆信息及源头供应商的相关资料、进货单、源头追溯资料分门别类进行归档，保存一年；自觉接受采购人及有关职能部门的监督和指导。</w:t>
      </w:r>
    </w:p>
    <w:p w14:paraId="58A68B9F">
      <w:pPr>
        <w:keepNext w:val="0"/>
        <w:keepLines w:val="0"/>
        <w:pageBreakBefore w:val="0"/>
        <w:widowControl w:val="0"/>
        <w:numPr>
          <w:ilvl w:val="0"/>
          <w:numId w:val="12"/>
        </w:numPr>
        <w:tabs>
          <w:tab w:val="clear" w:pos="0"/>
        </w:tabs>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能自觉遵守采购人的相关规章制度，服从采购管理。无条件响应采购人提出的补货、退货、换货要求。</w:t>
      </w:r>
    </w:p>
    <w:p w14:paraId="39992ECC">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违约责任</w:t>
      </w:r>
    </w:p>
    <w:p w14:paraId="7ACFA0AC">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发生食品安全责任事故，取消配送资格，扣除全部履约保证金，并承担相应的民事责任和刑事责任。</w:t>
      </w:r>
    </w:p>
    <w:p w14:paraId="4A550CC3">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中标人如转包或变相转包，一经查实，取消配送资格，扣除全部履约保证金。</w:t>
      </w:r>
    </w:p>
    <w:p w14:paraId="4FA06520">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应自觉接受市场监督管理、农业、质监等部门的检查和检测。配送的大宗食品质量低于投标承诺质量的，经查实后将视情节作出出以下处罚：一是配送价格按性价比同比例下降；二是从每月食材费用中扣款2000元/次。</w:t>
      </w:r>
    </w:p>
    <w:p w14:paraId="4A4F7E96">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中标人配送的大宗食品出现质量、数量不符合要求及价格虚高等现象，采购人有权要求中标人及时退换，并从每月食材费用中扣款1000元/次。</w:t>
      </w:r>
    </w:p>
    <w:p w14:paraId="31E3D885">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提供物资或食材不新鲜、质量不合格、偷工减料等不规范、不标准行为的，第一次从每月食材费用中扣款1000元；第二次从每月食材费用中扣款2000元；第三次直接终止合同并没收全部履约保证金，由此造成的一切后果由中标人自行承担。</w:t>
      </w:r>
    </w:p>
    <w:p w14:paraId="63515323">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中标人配送不及时或拒绝配送的，第一次从每月食材费用中扣款1000元；第二次从每月食材费用中扣款2000元；第三次直接终止合同并没收全部履约保证金，由此造成的一切后果由中标人自行承担。</w:t>
      </w:r>
    </w:p>
    <w:p w14:paraId="4F5CAAA3">
      <w:pPr>
        <w:keepNext w:val="0"/>
        <w:keepLines w:val="0"/>
        <w:pageBreakBefore w:val="0"/>
        <w:widowControl/>
        <w:numPr>
          <w:ilvl w:val="0"/>
          <w:numId w:val="13"/>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严肃财经纪律，加强廉政建设，经查实发现有受贿、行贿现象，取消配送资格，相关人员按情节轻重作出相应处分或处罚；触犯刑律的，依法追究法律责任。</w:t>
      </w:r>
    </w:p>
    <w:p w14:paraId="63D71E44">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安全责任</w:t>
      </w:r>
    </w:p>
    <w:p w14:paraId="0A6610F2">
      <w:pPr>
        <w:keepNext w:val="0"/>
        <w:keepLines w:val="0"/>
        <w:pageBreakBefore w:val="0"/>
        <w:widowControl/>
        <w:numPr>
          <w:ilvl w:val="0"/>
          <w:numId w:val="14"/>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因质量问题造成食物中毒或其它安全责任事故的，中标人独立承担一切法律责任和经济责任，没收全部履约保证金，双方合同自行终止，并追究由此造成的一切损失。</w:t>
      </w:r>
    </w:p>
    <w:p w14:paraId="52937546">
      <w:pPr>
        <w:keepNext w:val="0"/>
        <w:keepLines w:val="0"/>
        <w:pageBreakBefore w:val="0"/>
        <w:widowControl/>
        <w:numPr>
          <w:ilvl w:val="0"/>
          <w:numId w:val="14"/>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中标人在采购人处运输物品，应遵循采购人规章制度，服从指挥，确保人员安全。配送过程中发生的任何安全事故，中标人独立承担一切刑事、民事责任。</w:t>
      </w:r>
    </w:p>
    <w:p w14:paraId="2D4B1CD4">
      <w:pPr>
        <w:keepNext w:val="0"/>
        <w:keepLines w:val="0"/>
        <w:pageBreakBefore w:val="0"/>
        <w:widowControl/>
        <w:numPr>
          <w:ilvl w:val="0"/>
          <w:numId w:val="14"/>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配送中所涉运输、装卸、税收及相应税费均由中标人自行承担，所需证、照等均由中标人自行办理。</w:t>
      </w:r>
    </w:p>
    <w:p w14:paraId="2A3ECF33">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结算原则</w:t>
      </w:r>
    </w:p>
    <w:p w14:paraId="6843B244">
      <w:pPr>
        <w:keepNext w:val="0"/>
        <w:keepLines w:val="0"/>
        <w:pageBreakBefore w:val="0"/>
        <w:widowControl/>
        <w:numPr>
          <w:ilvl w:val="0"/>
          <w:numId w:val="15"/>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定价机制：</w:t>
      </w:r>
      <w:r>
        <w:rPr>
          <w:rFonts w:hint="eastAsia" w:ascii="仿宋" w:hAnsi="仿宋" w:eastAsia="仿宋" w:cs="仿宋"/>
          <w:color w:val="auto"/>
          <w:sz w:val="24"/>
          <w:szCs w:val="24"/>
          <w:lang w:val="en-US" w:eastAsia="zh-CN"/>
        </w:rPr>
        <w:t>采购人确认的基准价*中标折扣=成交价</w:t>
      </w:r>
    </w:p>
    <w:p w14:paraId="2477BFB5">
      <w:pPr>
        <w:keepNext w:val="0"/>
        <w:keepLines w:val="0"/>
        <w:pageBreakBefore w:val="0"/>
        <w:widowControl/>
        <w:numPr>
          <w:ilvl w:val="0"/>
          <w:numId w:val="15"/>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基准价满足以下条件：</w:t>
      </w:r>
      <w:r>
        <w:rPr>
          <w:rFonts w:hint="eastAsia" w:ascii="仿宋" w:hAnsi="仿宋" w:eastAsia="仿宋" w:cs="仿宋"/>
          <w:color w:val="auto"/>
          <w:sz w:val="24"/>
          <w:szCs w:val="24"/>
          <w:lang w:val="en-US" w:eastAsia="zh-CN"/>
        </w:rPr>
        <w:t>①不超过每周诸暨市发改局发布的《民生商品价格监测信息》中诸暨东湖菜场菜类价格；②《民生商品价格监测信息》中没有的按诸暨市大润发超市、一百超市或市场调研价格为准（由中标人提供），采购人将不定期对中标人提供的价格进行核查，最终由采购人确认后进行价格结算。</w:t>
      </w:r>
    </w:p>
    <w:p w14:paraId="25FD10CC">
      <w:pPr>
        <w:keepNext w:val="0"/>
        <w:keepLines w:val="0"/>
        <w:pageBreakBefore w:val="0"/>
        <w:widowControl/>
        <w:numPr>
          <w:ilvl w:val="0"/>
          <w:numId w:val="15"/>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基准价调整周期：二周。</w:t>
      </w:r>
    </w:p>
    <w:p w14:paraId="56AD2BA8">
      <w:pPr>
        <w:keepNext w:val="0"/>
        <w:keepLines w:val="0"/>
        <w:pageBreakBefore w:val="0"/>
        <w:widowControl/>
        <w:numPr>
          <w:ilvl w:val="0"/>
          <w:numId w:val="15"/>
        </w:numPr>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本项目投标报价采用单价折扣报价，数量按实际结算，最高结算金额不超过80万元。</w:t>
      </w:r>
    </w:p>
    <w:p w14:paraId="4DD5966D">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履约保证金及付款方式</w:t>
      </w:r>
    </w:p>
    <w:p w14:paraId="13AE8F33">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highlight w:val="none"/>
          <w:lang w:val="en-US" w:eastAsia="zh-CN"/>
        </w:rPr>
        <w:t>1、履约保证金：</w:t>
      </w:r>
      <w:r>
        <w:rPr>
          <w:rFonts w:hint="eastAsia" w:ascii="仿宋" w:hAnsi="仿宋" w:eastAsia="仿宋" w:cs="仿宋"/>
          <w:color w:val="auto"/>
          <w:sz w:val="24"/>
          <w:szCs w:val="24"/>
          <w:highlight w:val="none"/>
          <w:lang w:val="en-US" w:eastAsia="zh-CN"/>
        </w:rPr>
        <w:t>合同签订前，中标人须向采</w:t>
      </w:r>
      <w:r>
        <w:rPr>
          <w:rFonts w:hint="eastAsia" w:ascii="仿宋" w:hAnsi="仿宋" w:eastAsia="仿宋" w:cs="仿宋"/>
          <w:color w:val="auto"/>
          <w:sz w:val="24"/>
          <w:szCs w:val="24"/>
          <w:lang w:val="en-US" w:eastAsia="zh-CN"/>
        </w:rPr>
        <w:t>购人缴纳合同金额1%的履约保证金，合同到期后无异议后十个工作日退回（不计息）。</w:t>
      </w:r>
    </w:p>
    <w:p w14:paraId="62FBF6F1">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2、付款方式：</w:t>
      </w:r>
      <w:r>
        <w:rPr>
          <w:rFonts w:hint="eastAsia" w:ascii="仿宋" w:hAnsi="仿宋" w:eastAsia="仿宋" w:cs="仿宋"/>
          <w:color w:val="auto"/>
          <w:sz w:val="24"/>
          <w:szCs w:val="24"/>
          <w:highlight w:val="none"/>
          <w:lang w:val="en-US" w:eastAsia="zh-CN"/>
        </w:rPr>
        <w:t>配送货款按月结算，</w:t>
      </w:r>
      <w:r>
        <w:rPr>
          <w:rFonts w:hint="eastAsia" w:ascii="仿宋" w:hAnsi="仿宋" w:eastAsia="仿宋" w:cs="仿宋"/>
          <w:color w:val="auto"/>
          <w:sz w:val="24"/>
          <w:szCs w:val="24"/>
          <w:lang w:val="en-US" w:eastAsia="zh-CN"/>
        </w:rPr>
        <w:t>凭采购人签字确认的配送单及正式票据定时结算，月度考核结果产生罚款的从当月结算金额中扣除。采购人收到正式票据和相关财务报销资料证明后15个工作日内结算汇款，中标人所开票据必须与投标时的名称相一致。</w:t>
      </w:r>
    </w:p>
    <w:p w14:paraId="16892CDC">
      <w:pPr>
        <w:keepNext w:val="0"/>
        <w:keepLines w:val="0"/>
        <w:pageBreakBefore w:val="0"/>
        <w:numPr>
          <w:ilvl w:val="0"/>
          <w:numId w:val="5"/>
        </w:numPr>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最高限价</w:t>
      </w:r>
    </w:p>
    <w:p w14:paraId="42287186">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本次采购按单价统一折扣招标，具体</w:t>
      </w:r>
      <w:r>
        <w:rPr>
          <w:rFonts w:hint="eastAsia" w:ascii="仿宋" w:hAnsi="仿宋" w:eastAsia="仿宋" w:cs="仿宋"/>
          <w:b/>
          <w:bCs w:val="0"/>
          <w:color w:val="auto"/>
          <w:sz w:val="24"/>
          <w:szCs w:val="24"/>
          <w:lang w:eastAsia="zh-CN"/>
        </w:rPr>
        <w:t>数量按实结算，</w:t>
      </w:r>
      <w:r>
        <w:rPr>
          <w:rFonts w:hint="eastAsia" w:ascii="仿宋" w:hAnsi="仿宋" w:eastAsia="仿宋" w:cs="仿宋"/>
          <w:b/>
          <w:bCs w:val="0"/>
          <w:color w:val="auto"/>
          <w:sz w:val="24"/>
          <w:szCs w:val="24"/>
          <w:lang w:val="en-US" w:eastAsia="zh-CN"/>
        </w:rPr>
        <w:t>折扣报价最高限价为100%，任何超过最高限价的报价将被认定为无效报价</w:t>
      </w:r>
      <w:r>
        <w:rPr>
          <w:rFonts w:hint="eastAsia" w:ascii="仿宋" w:hAnsi="仿宋" w:eastAsia="仿宋" w:cs="仿宋"/>
          <w:b/>
          <w:bCs w:val="0"/>
          <w:color w:val="auto"/>
          <w:sz w:val="24"/>
          <w:szCs w:val="24"/>
          <w:lang w:eastAsia="zh-CN"/>
        </w:rPr>
        <w:t>。</w:t>
      </w:r>
    </w:p>
    <w:p w14:paraId="6BE8CD94">
      <w:pPr>
        <w:keepNext w:val="0"/>
        <w:keepLines w:val="0"/>
        <w:pageBreakBefore w:val="0"/>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b/>
          <w:bCs w:val="0"/>
          <w:color w:val="auto"/>
          <w:sz w:val="24"/>
          <w:szCs w:val="24"/>
          <w:lang w:val="en-US" w:eastAsia="zh-CN"/>
        </w:rPr>
        <w:sectPr>
          <w:headerReference r:id="rId10" w:type="default"/>
          <w:footerReference r:id="rId1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type="linesAndChars" w:linePitch="312" w:charSpace="0"/>
        </w:sectPr>
      </w:pPr>
      <w:r>
        <w:rPr>
          <w:rFonts w:hint="eastAsia" w:ascii="仿宋" w:hAnsi="仿宋" w:eastAsia="仿宋" w:cs="仿宋"/>
          <w:b/>
          <w:bCs w:val="0"/>
          <w:color w:val="auto"/>
          <w:sz w:val="24"/>
          <w:szCs w:val="24"/>
          <w:lang w:val="en-US" w:eastAsia="zh-CN"/>
        </w:rPr>
        <w:t>本项目合同结算金额不超过人民币捌拾万元整（¥800000.00），（本项目投标报价包括人工、材料、运输、装卸、税金等本项目实施的一切费用）。</w:t>
      </w:r>
    </w:p>
    <w:p w14:paraId="5AF50BCF">
      <w:pPr>
        <w:pStyle w:val="4"/>
        <w:keepNext/>
        <w:keepLines/>
        <w:pageBreakBefore w:val="0"/>
        <w:widowControl w:val="0"/>
        <w:kinsoku/>
        <w:wordWrap/>
        <w:overflowPunct/>
        <w:topLinePunct w:val="0"/>
        <w:autoSpaceDE/>
        <w:autoSpaceDN/>
        <w:bidi w:val="0"/>
        <w:adjustRightInd/>
        <w:snapToGrid/>
        <w:ind w:left="431" w:hanging="431"/>
        <w:textAlignment w:val="auto"/>
        <w:rPr>
          <w:rFonts w:hint="default"/>
          <w:lang w:val="en-US" w:eastAsia="zh-CN"/>
        </w:rPr>
      </w:pPr>
      <w:r>
        <w:rPr>
          <w:rFonts w:hint="eastAsia"/>
          <w:lang w:val="en-US" w:eastAsia="zh-CN"/>
        </w:rPr>
        <w:t>附件：考核标准</w:t>
      </w:r>
    </w:p>
    <w:tbl>
      <w:tblPr>
        <w:tblStyle w:val="66"/>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82"/>
        <w:gridCol w:w="3216"/>
        <w:gridCol w:w="735"/>
        <w:gridCol w:w="2491"/>
        <w:gridCol w:w="948"/>
        <w:gridCol w:w="850"/>
      </w:tblGrid>
      <w:tr w14:paraId="406B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22" w:type="dxa"/>
            <w:gridSpan w:val="7"/>
            <w:tcBorders>
              <w:tl2br w:val="nil"/>
              <w:tr2bl w:val="nil"/>
            </w:tcBorders>
            <w:noWrap w:val="0"/>
            <w:vAlign w:val="center"/>
          </w:tcPr>
          <w:p w14:paraId="64D0A942">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月度</w:t>
            </w:r>
            <w:r>
              <w:rPr>
                <w:rFonts w:hint="eastAsia" w:ascii="仿宋" w:hAnsi="仿宋" w:eastAsia="仿宋" w:cs="仿宋"/>
                <w:b/>
                <w:color w:val="auto"/>
                <w:kern w:val="0"/>
                <w:sz w:val="24"/>
                <w:szCs w:val="24"/>
                <w:highlight w:val="none"/>
              </w:rPr>
              <w:t>考核细则（考核用表）</w:t>
            </w:r>
          </w:p>
        </w:tc>
      </w:tr>
      <w:tr w14:paraId="6C5B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98" w:type="dxa"/>
            <w:gridSpan w:val="3"/>
            <w:tcBorders>
              <w:tl2br w:val="nil"/>
              <w:tr2bl w:val="nil"/>
            </w:tcBorders>
            <w:noWrap w:val="0"/>
            <w:vAlign w:val="center"/>
          </w:tcPr>
          <w:p w14:paraId="2DFD6063">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需求单位：（盖章）</w:t>
            </w:r>
          </w:p>
        </w:tc>
        <w:tc>
          <w:tcPr>
            <w:tcW w:w="5024" w:type="dxa"/>
            <w:gridSpan w:val="4"/>
            <w:tcBorders>
              <w:tl2br w:val="nil"/>
              <w:tr2bl w:val="nil"/>
            </w:tcBorders>
            <w:noWrap w:val="0"/>
            <w:vAlign w:val="center"/>
          </w:tcPr>
          <w:p w14:paraId="6CF4397C">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考核日期        年     月     日</w:t>
            </w:r>
          </w:p>
        </w:tc>
      </w:tr>
      <w:tr w14:paraId="3DDA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l2br w:val="nil"/>
              <w:tr2bl w:val="nil"/>
            </w:tcBorders>
            <w:noWrap w:val="0"/>
            <w:vAlign w:val="center"/>
          </w:tcPr>
          <w:p w14:paraId="682E8CC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1182" w:type="dxa"/>
            <w:tcBorders>
              <w:tl2br w:val="nil"/>
              <w:tr2bl w:val="nil"/>
            </w:tcBorders>
            <w:noWrap w:val="0"/>
            <w:vAlign w:val="center"/>
          </w:tcPr>
          <w:p w14:paraId="60058C45">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考核内容</w:t>
            </w:r>
          </w:p>
        </w:tc>
        <w:tc>
          <w:tcPr>
            <w:tcW w:w="3216" w:type="dxa"/>
            <w:tcBorders>
              <w:tl2br w:val="nil"/>
              <w:tr2bl w:val="nil"/>
            </w:tcBorders>
            <w:noWrap w:val="0"/>
            <w:vAlign w:val="center"/>
          </w:tcPr>
          <w:p w14:paraId="60109A9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考核细则</w:t>
            </w:r>
          </w:p>
        </w:tc>
        <w:tc>
          <w:tcPr>
            <w:tcW w:w="735" w:type="dxa"/>
            <w:tcBorders>
              <w:tl2br w:val="nil"/>
              <w:tr2bl w:val="nil"/>
            </w:tcBorders>
            <w:noWrap w:val="0"/>
            <w:vAlign w:val="center"/>
          </w:tcPr>
          <w:p w14:paraId="0D0ED15D">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分值</w:t>
            </w:r>
          </w:p>
        </w:tc>
        <w:tc>
          <w:tcPr>
            <w:tcW w:w="2491" w:type="dxa"/>
            <w:tcBorders>
              <w:tl2br w:val="nil"/>
              <w:tr2bl w:val="nil"/>
            </w:tcBorders>
            <w:noWrap w:val="0"/>
            <w:vAlign w:val="center"/>
          </w:tcPr>
          <w:p w14:paraId="67DB14C1">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标分标准</w:t>
            </w:r>
          </w:p>
        </w:tc>
        <w:tc>
          <w:tcPr>
            <w:tcW w:w="948" w:type="dxa"/>
            <w:tcBorders>
              <w:tl2br w:val="nil"/>
              <w:tr2bl w:val="nil"/>
            </w:tcBorders>
            <w:noWrap w:val="0"/>
            <w:vAlign w:val="center"/>
          </w:tcPr>
          <w:p w14:paraId="7392A31A">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考核</w:t>
            </w:r>
          </w:p>
          <w:p w14:paraId="3545F20C">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情况</w:t>
            </w:r>
          </w:p>
        </w:tc>
        <w:tc>
          <w:tcPr>
            <w:tcW w:w="850" w:type="dxa"/>
            <w:tcBorders>
              <w:tl2br w:val="nil"/>
              <w:tr2bl w:val="nil"/>
            </w:tcBorders>
            <w:noWrap w:val="0"/>
            <w:vAlign w:val="center"/>
          </w:tcPr>
          <w:p w14:paraId="0D84980E">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得分</w:t>
            </w:r>
          </w:p>
        </w:tc>
      </w:tr>
      <w:tr w14:paraId="3069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restart"/>
            <w:tcBorders>
              <w:tl2br w:val="nil"/>
              <w:tr2bl w:val="nil"/>
            </w:tcBorders>
            <w:noWrap w:val="0"/>
            <w:vAlign w:val="center"/>
          </w:tcPr>
          <w:p w14:paraId="6A6A9EC9">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182" w:type="dxa"/>
            <w:vMerge w:val="restart"/>
            <w:tcBorders>
              <w:tl2br w:val="nil"/>
              <w:tr2bl w:val="nil"/>
            </w:tcBorders>
            <w:noWrap w:val="0"/>
            <w:vAlign w:val="center"/>
          </w:tcPr>
          <w:p w14:paraId="25AC34E3">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供货质量（</w:t>
            </w:r>
            <w:r>
              <w:rPr>
                <w:rFonts w:hint="eastAsia" w:ascii="仿宋" w:hAnsi="仿宋" w:eastAsia="仿宋" w:cs="仿宋"/>
                <w:bCs/>
                <w:color w:val="auto"/>
                <w:kern w:val="0"/>
                <w:sz w:val="24"/>
                <w:szCs w:val="24"/>
                <w:highlight w:val="none"/>
                <w:lang w:val="en-US" w:eastAsia="zh-CN"/>
              </w:rPr>
              <w:t>65</w:t>
            </w:r>
            <w:r>
              <w:rPr>
                <w:rFonts w:hint="eastAsia" w:ascii="仿宋" w:hAnsi="仿宋" w:eastAsia="仿宋" w:cs="仿宋"/>
                <w:bCs/>
                <w:color w:val="auto"/>
                <w:kern w:val="0"/>
                <w:sz w:val="24"/>
                <w:szCs w:val="24"/>
                <w:highlight w:val="none"/>
              </w:rPr>
              <w:t>分）</w:t>
            </w:r>
          </w:p>
        </w:tc>
        <w:tc>
          <w:tcPr>
            <w:tcW w:w="3216" w:type="dxa"/>
            <w:tcBorders>
              <w:tl2br w:val="nil"/>
              <w:tr2bl w:val="nil"/>
            </w:tcBorders>
            <w:noWrap w:val="0"/>
            <w:vAlign w:val="center"/>
          </w:tcPr>
          <w:p w14:paraId="57CE3255">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包装产品有QS标志</w:t>
            </w:r>
          </w:p>
        </w:tc>
        <w:tc>
          <w:tcPr>
            <w:tcW w:w="735" w:type="dxa"/>
            <w:tcBorders>
              <w:tl2br w:val="nil"/>
              <w:tr2bl w:val="nil"/>
            </w:tcBorders>
            <w:noWrap w:val="0"/>
            <w:vAlign w:val="center"/>
          </w:tcPr>
          <w:p w14:paraId="1DF3A395">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491" w:type="dxa"/>
            <w:tcBorders>
              <w:tl2br w:val="nil"/>
              <w:tr2bl w:val="nil"/>
            </w:tcBorders>
            <w:noWrap w:val="0"/>
            <w:vAlign w:val="center"/>
          </w:tcPr>
          <w:p w14:paraId="62A42B62">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缺一项扣1分</w:t>
            </w:r>
          </w:p>
        </w:tc>
        <w:tc>
          <w:tcPr>
            <w:tcW w:w="948" w:type="dxa"/>
            <w:tcBorders>
              <w:tl2br w:val="nil"/>
              <w:tr2bl w:val="nil"/>
            </w:tcBorders>
            <w:noWrap w:val="0"/>
            <w:vAlign w:val="center"/>
          </w:tcPr>
          <w:p w14:paraId="56F71844">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537B3B04">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16BF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00B7F80D">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08D02F22">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3400F84E">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散装产品有质量合格证明、检疫证、检测报告</w:t>
            </w:r>
          </w:p>
        </w:tc>
        <w:tc>
          <w:tcPr>
            <w:tcW w:w="735" w:type="dxa"/>
            <w:tcBorders>
              <w:tl2br w:val="nil"/>
              <w:tr2bl w:val="nil"/>
            </w:tcBorders>
            <w:noWrap w:val="0"/>
            <w:vAlign w:val="center"/>
          </w:tcPr>
          <w:p w14:paraId="6DF7411A">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491" w:type="dxa"/>
            <w:tcBorders>
              <w:tl2br w:val="nil"/>
              <w:tr2bl w:val="nil"/>
            </w:tcBorders>
            <w:noWrap w:val="0"/>
            <w:vAlign w:val="center"/>
          </w:tcPr>
          <w:p w14:paraId="1F88E022">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缺一项扣1分</w:t>
            </w:r>
          </w:p>
        </w:tc>
        <w:tc>
          <w:tcPr>
            <w:tcW w:w="948" w:type="dxa"/>
            <w:tcBorders>
              <w:tl2br w:val="nil"/>
              <w:tr2bl w:val="nil"/>
            </w:tcBorders>
            <w:noWrap w:val="0"/>
            <w:vAlign w:val="center"/>
          </w:tcPr>
          <w:p w14:paraId="46FDBF06">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168A305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355B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083FE51F">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4BD3F2B7">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4E1515A9">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规范建账，财会人员与</w:t>
            </w:r>
            <w:r>
              <w:rPr>
                <w:rFonts w:hint="eastAsia" w:ascii="仿宋" w:hAnsi="仿宋" w:eastAsia="仿宋" w:cs="仿宋"/>
                <w:color w:val="auto"/>
                <w:kern w:val="0"/>
                <w:sz w:val="24"/>
                <w:szCs w:val="24"/>
                <w:highlight w:val="none"/>
                <w:lang w:eastAsia="zh-CN"/>
              </w:rPr>
              <w:t>企业</w:t>
            </w:r>
            <w:r>
              <w:rPr>
                <w:rFonts w:hint="eastAsia" w:ascii="仿宋" w:hAnsi="仿宋" w:eastAsia="仿宋" w:cs="仿宋"/>
                <w:color w:val="auto"/>
                <w:kern w:val="0"/>
                <w:sz w:val="24"/>
                <w:szCs w:val="24"/>
                <w:highlight w:val="none"/>
              </w:rPr>
              <w:t>及时</w:t>
            </w:r>
            <w:r>
              <w:rPr>
                <w:rFonts w:hint="eastAsia" w:ascii="仿宋" w:hAnsi="仿宋" w:eastAsia="仿宋" w:cs="仿宋"/>
                <w:color w:val="auto"/>
                <w:kern w:val="0"/>
                <w:sz w:val="24"/>
                <w:szCs w:val="24"/>
                <w:highlight w:val="none"/>
                <w:lang w:eastAsia="zh-CN"/>
              </w:rPr>
              <w:t>对账</w:t>
            </w:r>
            <w:r>
              <w:rPr>
                <w:rFonts w:hint="eastAsia" w:ascii="仿宋" w:hAnsi="仿宋" w:eastAsia="仿宋" w:cs="仿宋"/>
                <w:color w:val="auto"/>
                <w:kern w:val="0"/>
                <w:sz w:val="24"/>
                <w:szCs w:val="24"/>
                <w:highlight w:val="none"/>
              </w:rPr>
              <w:t>，票据规范</w:t>
            </w:r>
          </w:p>
        </w:tc>
        <w:tc>
          <w:tcPr>
            <w:tcW w:w="735" w:type="dxa"/>
            <w:tcBorders>
              <w:tl2br w:val="nil"/>
              <w:tr2bl w:val="nil"/>
            </w:tcBorders>
            <w:noWrap w:val="0"/>
            <w:vAlign w:val="center"/>
          </w:tcPr>
          <w:p w14:paraId="43232C85">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491" w:type="dxa"/>
            <w:tcBorders>
              <w:tl2br w:val="nil"/>
              <w:tr2bl w:val="nil"/>
            </w:tcBorders>
            <w:noWrap w:val="0"/>
            <w:vAlign w:val="center"/>
          </w:tcPr>
          <w:p w14:paraId="048E9EE5">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不及时扣1分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3352B631">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2BF9B40D">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5E00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66283E9C">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53351AF8">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1EE9FC76">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食品离保质期时间较长</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产品感观上存在质量问题时做到退换货及时</w:t>
            </w:r>
          </w:p>
        </w:tc>
        <w:tc>
          <w:tcPr>
            <w:tcW w:w="735" w:type="dxa"/>
            <w:tcBorders>
              <w:tl2br w:val="nil"/>
              <w:tr2bl w:val="nil"/>
            </w:tcBorders>
            <w:noWrap w:val="0"/>
            <w:vAlign w:val="center"/>
          </w:tcPr>
          <w:p w14:paraId="6C7949E5">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2491" w:type="dxa"/>
            <w:tcBorders>
              <w:tl2br w:val="nil"/>
              <w:tr2bl w:val="nil"/>
            </w:tcBorders>
            <w:noWrap w:val="0"/>
            <w:vAlign w:val="center"/>
          </w:tcPr>
          <w:p w14:paraId="6DC3E422">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不符要求扣1分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493335B2">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30826992">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3B2E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07E83D08">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12358E99">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2D6F56B3">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车辆统一标识、车况整洁</w:t>
            </w:r>
          </w:p>
        </w:tc>
        <w:tc>
          <w:tcPr>
            <w:tcW w:w="735" w:type="dxa"/>
            <w:tcBorders>
              <w:tl2br w:val="nil"/>
              <w:tr2bl w:val="nil"/>
            </w:tcBorders>
            <w:noWrap w:val="0"/>
            <w:vAlign w:val="center"/>
          </w:tcPr>
          <w:p w14:paraId="0F3C585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2491" w:type="dxa"/>
            <w:tcBorders>
              <w:tl2br w:val="nil"/>
              <w:tr2bl w:val="nil"/>
            </w:tcBorders>
            <w:noWrap w:val="0"/>
            <w:vAlign w:val="center"/>
          </w:tcPr>
          <w:p w14:paraId="4CC3A4FB">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不符要求扣1分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4A29A009">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27D00B2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0FED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7480B7B7">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3FF5AB57">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6E05EECC">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大米、面粉等主食与其他副食品分车配送，专用配送筐等配送用具干净卫生</w:t>
            </w:r>
          </w:p>
        </w:tc>
        <w:tc>
          <w:tcPr>
            <w:tcW w:w="735" w:type="dxa"/>
            <w:tcBorders>
              <w:tl2br w:val="nil"/>
              <w:tr2bl w:val="nil"/>
            </w:tcBorders>
            <w:noWrap w:val="0"/>
            <w:vAlign w:val="center"/>
          </w:tcPr>
          <w:p w14:paraId="67265B66">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491" w:type="dxa"/>
            <w:tcBorders>
              <w:tl2br w:val="nil"/>
              <w:tr2bl w:val="nil"/>
            </w:tcBorders>
            <w:noWrap w:val="0"/>
            <w:vAlign w:val="center"/>
          </w:tcPr>
          <w:p w14:paraId="75DD886F">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不符要求扣1分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11DE50C7">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1421CE6A">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69F4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605E9D88">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29C7127A">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66F699E0">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配送人员统一服装</w:t>
            </w:r>
          </w:p>
        </w:tc>
        <w:tc>
          <w:tcPr>
            <w:tcW w:w="735" w:type="dxa"/>
            <w:tcBorders>
              <w:tl2br w:val="nil"/>
              <w:tr2bl w:val="nil"/>
            </w:tcBorders>
            <w:noWrap w:val="0"/>
            <w:vAlign w:val="center"/>
          </w:tcPr>
          <w:p w14:paraId="3921AF32">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2491" w:type="dxa"/>
            <w:tcBorders>
              <w:tl2br w:val="nil"/>
              <w:tr2bl w:val="nil"/>
            </w:tcBorders>
            <w:noWrap w:val="0"/>
            <w:vAlign w:val="center"/>
          </w:tcPr>
          <w:p w14:paraId="4663FD93">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不符要求扣1分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7C0B0B09">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46983BB0">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3B93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277ECF11">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4DA70B15">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307D5750">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拖延或拒绝退货和换货服务、拖延或拒绝来人处理品质异常</w:t>
            </w:r>
          </w:p>
        </w:tc>
        <w:tc>
          <w:tcPr>
            <w:tcW w:w="735" w:type="dxa"/>
            <w:tcBorders>
              <w:tl2br w:val="nil"/>
              <w:tr2bl w:val="nil"/>
            </w:tcBorders>
            <w:noWrap w:val="0"/>
            <w:vAlign w:val="center"/>
          </w:tcPr>
          <w:p w14:paraId="4B0FD209">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491" w:type="dxa"/>
            <w:tcBorders>
              <w:tl2br w:val="nil"/>
              <w:tr2bl w:val="nil"/>
            </w:tcBorders>
            <w:noWrap w:val="0"/>
            <w:vAlign w:val="center"/>
          </w:tcPr>
          <w:p w14:paraId="6C8BD5EC">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发生</w:t>
            </w:r>
            <w:r>
              <w:rPr>
                <w:rFonts w:hint="eastAsia" w:ascii="仿宋" w:hAnsi="仿宋" w:eastAsia="仿宋" w:cs="仿宋"/>
                <w:color w:val="auto"/>
                <w:kern w:val="0"/>
                <w:sz w:val="24"/>
                <w:szCs w:val="24"/>
                <w:highlight w:val="none"/>
              </w:rPr>
              <w:t>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6211718B">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412CF7E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1A20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7CFDBC25">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65361BE3">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79199E51">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所提供的货物被</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或第三方检测出相关指标超标</w:t>
            </w:r>
          </w:p>
        </w:tc>
        <w:tc>
          <w:tcPr>
            <w:tcW w:w="735" w:type="dxa"/>
            <w:tcBorders>
              <w:tl2br w:val="nil"/>
              <w:tr2bl w:val="nil"/>
            </w:tcBorders>
            <w:noWrap w:val="0"/>
            <w:vAlign w:val="center"/>
          </w:tcPr>
          <w:p w14:paraId="1982D8D1">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2491" w:type="dxa"/>
            <w:tcBorders>
              <w:tl2br w:val="nil"/>
              <w:tr2bl w:val="nil"/>
            </w:tcBorders>
            <w:noWrap w:val="0"/>
            <w:vAlign w:val="center"/>
          </w:tcPr>
          <w:p w14:paraId="02A9A59F">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发生</w:t>
            </w:r>
            <w:r>
              <w:rPr>
                <w:rFonts w:hint="eastAsia" w:ascii="仿宋" w:hAnsi="仿宋" w:eastAsia="仿宋" w:cs="仿宋"/>
                <w:color w:val="auto"/>
                <w:kern w:val="0"/>
                <w:sz w:val="24"/>
                <w:szCs w:val="24"/>
                <w:highlight w:val="none"/>
              </w:rPr>
              <w:t>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5BCD3B1B">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451334D5">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0F44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63F6E6FF">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3C893650">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29F23EB9">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提供虚假检验报告等相关票证</w:t>
            </w:r>
          </w:p>
        </w:tc>
        <w:tc>
          <w:tcPr>
            <w:tcW w:w="735" w:type="dxa"/>
            <w:tcBorders>
              <w:tl2br w:val="nil"/>
              <w:tr2bl w:val="nil"/>
            </w:tcBorders>
            <w:noWrap w:val="0"/>
            <w:vAlign w:val="center"/>
          </w:tcPr>
          <w:p w14:paraId="7BEE3756">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2491" w:type="dxa"/>
            <w:tcBorders>
              <w:tl2br w:val="nil"/>
              <w:tr2bl w:val="nil"/>
            </w:tcBorders>
            <w:noWrap w:val="0"/>
            <w:vAlign w:val="center"/>
          </w:tcPr>
          <w:p w14:paraId="05C1FE1A">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违反规定</w:t>
            </w:r>
            <w:r>
              <w:rPr>
                <w:rFonts w:hint="eastAsia" w:ascii="仿宋" w:hAnsi="仿宋" w:eastAsia="仿宋" w:cs="仿宋"/>
                <w:color w:val="auto"/>
                <w:kern w:val="0"/>
                <w:sz w:val="24"/>
                <w:szCs w:val="24"/>
                <w:highlight w:val="none"/>
              </w:rPr>
              <w:t>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2EB82FF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16116E79">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0AF7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701F543C">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5D347AC4">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2714BA7E">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提供的商品是假冒伪劣、“三无”(无生产日期、无质量合格证以及无生产厂家)商品</w:t>
            </w:r>
          </w:p>
        </w:tc>
        <w:tc>
          <w:tcPr>
            <w:tcW w:w="735" w:type="dxa"/>
            <w:tcBorders>
              <w:tl2br w:val="nil"/>
              <w:tr2bl w:val="nil"/>
            </w:tcBorders>
            <w:noWrap w:val="0"/>
            <w:vAlign w:val="center"/>
          </w:tcPr>
          <w:p w14:paraId="4E44FCB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2491" w:type="dxa"/>
            <w:tcBorders>
              <w:tl2br w:val="nil"/>
              <w:tr2bl w:val="nil"/>
            </w:tcBorders>
            <w:noWrap w:val="0"/>
            <w:vAlign w:val="center"/>
          </w:tcPr>
          <w:p w14:paraId="0B362F66">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违反规定</w:t>
            </w:r>
            <w:r>
              <w:rPr>
                <w:rFonts w:hint="eastAsia" w:ascii="仿宋" w:hAnsi="仿宋" w:eastAsia="仿宋" w:cs="仿宋"/>
                <w:color w:val="auto"/>
                <w:kern w:val="0"/>
                <w:sz w:val="24"/>
                <w:szCs w:val="24"/>
                <w:highlight w:val="none"/>
              </w:rPr>
              <w:t>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0F133037">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0538E09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77D1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restart"/>
            <w:tcBorders>
              <w:tl2br w:val="nil"/>
              <w:tr2bl w:val="nil"/>
            </w:tcBorders>
            <w:noWrap w:val="0"/>
            <w:vAlign w:val="center"/>
          </w:tcPr>
          <w:p w14:paraId="655DE37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182" w:type="dxa"/>
            <w:vMerge w:val="restart"/>
            <w:tcBorders>
              <w:tl2br w:val="nil"/>
              <w:tr2bl w:val="nil"/>
            </w:tcBorders>
            <w:noWrap w:val="0"/>
            <w:vAlign w:val="center"/>
          </w:tcPr>
          <w:p w14:paraId="0A5974F6">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服务质量（25分）</w:t>
            </w:r>
          </w:p>
        </w:tc>
        <w:tc>
          <w:tcPr>
            <w:tcW w:w="3216" w:type="dxa"/>
            <w:tcBorders>
              <w:tl2br w:val="nil"/>
              <w:tr2bl w:val="nil"/>
            </w:tcBorders>
            <w:noWrap w:val="0"/>
            <w:vAlign w:val="center"/>
          </w:tcPr>
          <w:p w14:paraId="68165D84">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按需要配送，保质保量</w:t>
            </w:r>
          </w:p>
        </w:tc>
        <w:tc>
          <w:tcPr>
            <w:tcW w:w="735" w:type="dxa"/>
            <w:tcBorders>
              <w:tl2br w:val="nil"/>
              <w:tr2bl w:val="nil"/>
            </w:tcBorders>
            <w:noWrap w:val="0"/>
            <w:vAlign w:val="center"/>
          </w:tcPr>
          <w:p w14:paraId="02525D7E">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491" w:type="dxa"/>
            <w:tcBorders>
              <w:tl2br w:val="nil"/>
              <w:tr2bl w:val="nil"/>
            </w:tcBorders>
            <w:noWrap w:val="0"/>
            <w:vAlign w:val="center"/>
          </w:tcPr>
          <w:p w14:paraId="66D330C4">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质量不符要求扣1分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4A29A560">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68EC7D92">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1940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173E6855">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4DE452BD">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1D5DA4D3">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按指定品牌食品或协商食品采购配送</w:t>
            </w:r>
          </w:p>
        </w:tc>
        <w:tc>
          <w:tcPr>
            <w:tcW w:w="735" w:type="dxa"/>
            <w:tcBorders>
              <w:tl2br w:val="nil"/>
              <w:tr2bl w:val="nil"/>
            </w:tcBorders>
            <w:noWrap w:val="0"/>
            <w:vAlign w:val="center"/>
          </w:tcPr>
          <w:p w14:paraId="6127A101">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491" w:type="dxa"/>
            <w:tcBorders>
              <w:tl2br w:val="nil"/>
              <w:tr2bl w:val="nil"/>
            </w:tcBorders>
            <w:noWrap w:val="0"/>
            <w:vAlign w:val="center"/>
          </w:tcPr>
          <w:p w14:paraId="3B75FEF4">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不属指定或协商品牌的扣1分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774B4456">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649C57E1">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3D9D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7B75EC0B">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2D4ED3B4">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7EE5D365">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按时到位，有专用配送筐</w:t>
            </w:r>
          </w:p>
        </w:tc>
        <w:tc>
          <w:tcPr>
            <w:tcW w:w="735" w:type="dxa"/>
            <w:tcBorders>
              <w:tl2br w:val="nil"/>
              <w:tr2bl w:val="nil"/>
            </w:tcBorders>
            <w:noWrap w:val="0"/>
            <w:vAlign w:val="center"/>
          </w:tcPr>
          <w:p w14:paraId="601A97B1">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491" w:type="dxa"/>
            <w:tcBorders>
              <w:tl2br w:val="nil"/>
              <w:tr2bl w:val="nil"/>
            </w:tcBorders>
            <w:noWrap w:val="0"/>
            <w:vAlign w:val="center"/>
          </w:tcPr>
          <w:p w14:paraId="23F2F961">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一次不及时，无专用配送筐扣1分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0F3EB0D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67B15277">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2BFC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Merge w:val="continue"/>
            <w:tcBorders>
              <w:tl2br w:val="nil"/>
              <w:tr2bl w:val="nil"/>
            </w:tcBorders>
            <w:noWrap w:val="0"/>
            <w:vAlign w:val="center"/>
          </w:tcPr>
          <w:p w14:paraId="40DA4CF1">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1182" w:type="dxa"/>
            <w:vMerge w:val="continue"/>
            <w:tcBorders>
              <w:tl2br w:val="nil"/>
              <w:tr2bl w:val="nil"/>
            </w:tcBorders>
            <w:noWrap w:val="0"/>
            <w:vAlign w:val="center"/>
          </w:tcPr>
          <w:p w14:paraId="19268E52">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bCs/>
                <w:color w:val="auto"/>
                <w:kern w:val="0"/>
                <w:sz w:val="24"/>
                <w:szCs w:val="24"/>
                <w:highlight w:val="none"/>
              </w:rPr>
            </w:pPr>
          </w:p>
        </w:tc>
        <w:tc>
          <w:tcPr>
            <w:tcW w:w="3216" w:type="dxa"/>
            <w:tcBorders>
              <w:tl2br w:val="nil"/>
              <w:tr2bl w:val="nil"/>
            </w:tcBorders>
            <w:noWrap w:val="0"/>
            <w:vAlign w:val="center"/>
          </w:tcPr>
          <w:p w14:paraId="5723F5A5">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配送人员服务态度</w:t>
            </w:r>
          </w:p>
        </w:tc>
        <w:tc>
          <w:tcPr>
            <w:tcW w:w="735" w:type="dxa"/>
            <w:tcBorders>
              <w:tl2br w:val="nil"/>
              <w:tr2bl w:val="nil"/>
            </w:tcBorders>
            <w:noWrap w:val="0"/>
            <w:vAlign w:val="center"/>
          </w:tcPr>
          <w:p w14:paraId="696E2DF8">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491" w:type="dxa"/>
            <w:tcBorders>
              <w:tl2br w:val="nil"/>
              <w:tr2bl w:val="nil"/>
            </w:tcBorders>
            <w:noWrap w:val="0"/>
            <w:vAlign w:val="center"/>
          </w:tcPr>
          <w:p w14:paraId="58A3493A">
            <w:pPr>
              <w:keepNext w:val="0"/>
              <w:keepLines w:val="0"/>
              <w:pageBreakBefore w:val="0"/>
              <w:widowControl/>
              <w:kinsoku/>
              <w:wordWrap/>
              <w:overflowPunct/>
              <w:topLinePunct w:val="0"/>
              <w:autoSpaceDE w:val="0"/>
              <w:autoSpaceDN w:val="0"/>
              <w:bidi w:val="0"/>
              <w:adjustRightInd w:val="0"/>
              <w:snapToGrid w:val="0"/>
              <w:spacing w:line="276"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好5分、较好4分、一般2分、差0分</w:t>
            </w:r>
          </w:p>
        </w:tc>
        <w:tc>
          <w:tcPr>
            <w:tcW w:w="948" w:type="dxa"/>
            <w:tcBorders>
              <w:tl2br w:val="nil"/>
              <w:tr2bl w:val="nil"/>
            </w:tcBorders>
            <w:noWrap w:val="0"/>
            <w:vAlign w:val="center"/>
          </w:tcPr>
          <w:p w14:paraId="24026945">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6605A267">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0447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l2br w:val="nil"/>
              <w:tr2bl w:val="nil"/>
            </w:tcBorders>
            <w:noWrap w:val="0"/>
            <w:vAlign w:val="center"/>
          </w:tcPr>
          <w:p w14:paraId="150430C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p>
        </w:tc>
        <w:tc>
          <w:tcPr>
            <w:tcW w:w="1182" w:type="dxa"/>
            <w:tcBorders>
              <w:tl2br w:val="nil"/>
              <w:tr2bl w:val="nil"/>
            </w:tcBorders>
            <w:noWrap w:val="0"/>
            <w:vAlign w:val="center"/>
          </w:tcPr>
          <w:p w14:paraId="25736462">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价格执行（10分）</w:t>
            </w:r>
          </w:p>
        </w:tc>
        <w:tc>
          <w:tcPr>
            <w:tcW w:w="3216" w:type="dxa"/>
            <w:tcBorders>
              <w:tl2br w:val="nil"/>
              <w:tr2bl w:val="nil"/>
            </w:tcBorders>
            <w:noWrap w:val="0"/>
            <w:vAlign w:val="center"/>
          </w:tcPr>
          <w:p w14:paraId="5DBF3FF2">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①不超过每周诸暨市发改局发布的《民生商品价格监测信息》</w:t>
            </w: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HYPERLINK "http://jgjg.sx.gov.cn/shops_nm2.aspx?id=79&amp;page_number=0"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诸暨东湖菜场</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lang w:eastAsia="zh-CN"/>
              </w:rPr>
              <w:t>菜</w:t>
            </w:r>
            <w:r>
              <w:rPr>
                <w:rFonts w:hint="eastAsia" w:ascii="仿宋" w:hAnsi="仿宋" w:eastAsia="仿宋" w:cs="仿宋"/>
                <w:color w:val="auto"/>
                <w:kern w:val="0"/>
                <w:sz w:val="24"/>
                <w:szCs w:val="24"/>
                <w:highlight w:val="none"/>
                <w:lang w:val="en-US" w:eastAsia="zh-CN"/>
              </w:rPr>
              <w:t>类</w:t>
            </w:r>
            <w:r>
              <w:rPr>
                <w:rFonts w:hint="eastAsia" w:ascii="仿宋" w:hAnsi="仿宋" w:eastAsia="仿宋" w:cs="仿宋"/>
                <w:color w:val="auto"/>
                <w:kern w:val="0"/>
                <w:sz w:val="24"/>
                <w:szCs w:val="24"/>
                <w:highlight w:val="none"/>
              </w:rPr>
              <w:t>价格</w:t>
            </w:r>
            <w:r>
              <w:rPr>
                <w:rFonts w:hint="eastAsia" w:ascii="仿宋" w:hAnsi="仿宋" w:eastAsia="仿宋" w:cs="仿宋"/>
                <w:color w:val="auto"/>
                <w:kern w:val="0"/>
                <w:sz w:val="24"/>
                <w:szCs w:val="24"/>
                <w:highlight w:val="none"/>
                <w:lang w:val="en-US" w:eastAsia="zh-CN"/>
              </w:rPr>
              <w:t>；②《民生商品价格监测信息》中没有的按诸暨市大润发超市、一百超市或市场调研价格为准（由中标人提供）</w:t>
            </w:r>
          </w:p>
        </w:tc>
        <w:tc>
          <w:tcPr>
            <w:tcW w:w="735" w:type="dxa"/>
            <w:tcBorders>
              <w:tl2br w:val="nil"/>
              <w:tr2bl w:val="nil"/>
            </w:tcBorders>
            <w:noWrap w:val="0"/>
            <w:vAlign w:val="center"/>
          </w:tcPr>
          <w:p w14:paraId="26190A0F">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491" w:type="dxa"/>
            <w:tcBorders>
              <w:tl2br w:val="nil"/>
              <w:tr2bl w:val="nil"/>
            </w:tcBorders>
            <w:noWrap w:val="0"/>
            <w:vAlign w:val="center"/>
          </w:tcPr>
          <w:p w14:paraId="771CFB2C">
            <w:pPr>
              <w:keepNext w:val="0"/>
              <w:keepLines w:val="0"/>
              <w:pageBreakBefore w:val="0"/>
              <w:widowControl/>
              <w:kinsoku/>
              <w:wordWrap/>
              <w:overflowPunct/>
              <w:topLinePunct w:val="0"/>
              <w:autoSpaceDE w:val="0"/>
              <w:autoSpaceDN w:val="0"/>
              <w:bidi w:val="0"/>
              <w:adjustRightInd w:val="0"/>
              <w:snapToGrid w:val="0"/>
              <w:spacing w:line="276"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不按</w:t>
            </w:r>
            <w:r>
              <w:rPr>
                <w:rFonts w:hint="eastAsia" w:ascii="仿宋" w:hAnsi="仿宋" w:eastAsia="仿宋" w:cs="仿宋"/>
                <w:color w:val="auto"/>
                <w:kern w:val="0"/>
                <w:sz w:val="24"/>
                <w:szCs w:val="24"/>
                <w:highlight w:val="none"/>
                <w:lang w:eastAsia="zh-CN"/>
              </w:rPr>
              <w:t>上述</w:t>
            </w:r>
            <w:r>
              <w:rPr>
                <w:rFonts w:hint="eastAsia" w:ascii="仿宋" w:hAnsi="仿宋" w:eastAsia="仿宋" w:cs="仿宋"/>
                <w:color w:val="auto"/>
                <w:kern w:val="0"/>
                <w:sz w:val="24"/>
                <w:szCs w:val="24"/>
                <w:highlight w:val="none"/>
              </w:rPr>
              <w:t>价格执行扣2分</w:t>
            </w:r>
            <w:r>
              <w:rPr>
                <w:rFonts w:hint="eastAsia" w:ascii="仿宋" w:hAnsi="仿宋" w:eastAsia="仿宋" w:cs="仿宋"/>
                <w:color w:val="auto"/>
                <w:kern w:val="0"/>
                <w:sz w:val="24"/>
                <w:szCs w:val="24"/>
                <w:highlight w:val="none"/>
                <w:lang w:val="en-US" w:eastAsia="zh-CN"/>
              </w:rPr>
              <w:t>/次</w:t>
            </w:r>
          </w:p>
        </w:tc>
        <w:tc>
          <w:tcPr>
            <w:tcW w:w="948" w:type="dxa"/>
            <w:tcBorders>
              <w:tl2br w:val="nil"/>
              <w:tr2bl w:val="nil"/>
            </w:tcBorders>
            <w:noWrap w:val="0"/>
            <w:vAlign w:val="center"/>
          </w:tcPr>
          <w:p w14:paraId="44BF06D7">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c>
          <w:tcPr>
            <w:tcW w:w="850" w:type="dxa"/>
            <w:tcBorders>
              <w:tl2br w:val="nil"/>
              <w:tr2bl w:val="nil"/>
            </w:tcBorders>
            <w:noWrap w:val="0"/>
            <w:vAlign w:val="center"/>
          </w:tcPr>
          <w:p w14:paraId="0712635C">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r w14:paraId="33C4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4" w:type="dxa"/>
            <w:gridSpan w:val="5"/>
            <w:tcBorders>
              <w:tl2br w:val="nil"/>
              <w:tr2bl w:val="nil"/>
            </w:tcBorders>
            <w:noWrap w:val="0"/>
            <w:vAlign w:val="center"/>
          </w:tcPr>
          <w:p w14:paraId="09B95FEA">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总分（100分）</w:t>
            </w:r>
          </w:p>
        </w:tc>
        <w:tc>
          <w:tcPr>
            <w:tcW w:w="948" w:type="dxa"/>
            <w:tcBorders>
              <w:tl2br w:val="nil"/>
              <w:tr2bl w:val="nil"/>
            </w:tcBorders>
            <w:noWrap w:val="0"/>
            <w:vAlign w:val="center"/>
          </w:tcPr>
          <w:p w14:paraId="6165BC7A">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总得分</w:t>
            </w:r>
          </w:p>
        </w:tc>
        <w:tc>
          <w:tcPr>
            <w:tcW w:w="850" w:type="dxa"/>
            <w:tcBorders>
              <w:tl2br w:val="nil"/>
              <w:tr2bl w:val="nil"/>
            </w:tcBorders>
            <w:noWrap w:val="0"/>
            <w:vAlign w:val="center"/>
          </w:tcPr>
          <w:p w14:paraId="5A43D3F4">
            <w:pPr>
              <w:keepNext w:val="0"/>
              <w:keepLines w:val="0"/>
              <w:pageBreakBefore w:val="0"/>
              <w:widowControl/>
              <w:kinsoku/>
              <w:wordWrap/>
              <w:overflowPunct/>
              <w:topLinePunct w:val="0"/>
              <w:autoSpaceDE w:val="0"/>
              <w:autoSpaceDN w:val="0"/>
              <w:bidi w:val="0"/>
              <w:adjustRightInd w:val="0"/>
              <w:snapToGrid w:val="0"/>
              <w:spacing w:line="276" w:lineRule="auto"/>
              <w:jc w:val="center"/>
              <w:textAlignment w:val="auto"/>
              <w:rPr>
                <w:rFonts w:hint="eastAsia" w:ascii="仿宋" w:hAnsi="仿宋" w:eastAsia="仿宋" w:cs="仿宋"/>
                <w:color w:val="auto"/>
                <w:kern w:val="0"/>
                <w:sz w:val="24"/>
                <w:szCs w:val="24"/>
                <w:highlight w:val="none"/>
              </w:rPr>
            </w:pPr>
          </w:p>
        </w:tc>
      </w:tr>
    </w:tbl>
    <w:p w14:paraId="0566C694">
      <w:pPr>
        <w:pStyle w:val="979"/>
        <w:keepNext w:val="0"/>
        <w:keepLines w:val="0"/>
        <w:pageBreakBefore w:val="0"/>
        <w:kinsoku/>
        <w:wordWrap/>
        <w:overflowPunct/>
        <w:topLinePunct w:val="0"/>
        <w:bidi w:val="0"/>
        <w:snapToGrid/>
        <w:spacing w:after="0" w:afterLines="0" w:line="420" w:lineRule="exact"/>
        <w:ind w:left="0" w:leftChars="0" w:firstLine="482" w:firstLineChars="200"/>
        <w:textAlignment w:val="auto"/>
        <w:rPr>
          <w:rFonts w:hint="default" w:ascii="仿宋" w:hAnsi="仿宋" w:eastAsia="仿宋" w:cs="仿宋"/>
          <w:b/>
          <w:bCs w:val="0"/>
          <w:color w:val="auto"/>
          <w:sz w:val="24"/>
          <w:szCs w:val="24"/>
          <w:highlight w:val="none"/>
          <w:u w:val="none"/>
          <w:lang w:val="en-US" w:eastAsia="zh-CN"/>
        </w:rPr>
      </w:pPr>
      <w:r>
        <w:rPr>
          <w:rFonts w:hint="eastAsia" w:ascii="仿宋" w:hAnsi="仿宋" w:eastAsia="仿宋" w:cs="仿宋"/>
          <w:b/>
          <w:bCs/>
          <w:color w:val="auto"/>
          <w:kern w:val="0"/>
          <w:sz w:val="24"/>
          <w:szCs w:val="24"/>
          <w:highlight w:val="none"/>
          <w:lang w:val="en-US" w:eastAsia="zh-CN"/>
        </w:rPr>
        <w:t>注：中标人要无条件接受采购人定期或不定期检查监督,本考核细则按月进行打分考核，满分为100分。若考核总分高于90分(含)，视为本月考核合格；低于90分为不合格，单月考核不合格的扣款3000元(从该月款项中扣除)并进行整改；月考核不合格3次的视为年度考核不合格，采购人有权扣除中标人全部履约保证金并终止合同，由此造成的一切相关损失全部由中标人承担。</w:t>
      </w:r>
    </w:p>
    <w:p w14:paraId="2292571A">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3" w:type="first"/>
          <w:headerReference r:id="rId12" w:type="default"/>
          <w:footerReference r:id="rId14"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4479"/>
      <w:bookmarkEnd w:id="25"/>
      <w:bookmarkStart w:id="26" w:name="_Toc184308104"/>
      <w:bookmarkEnd w:id="26"/>
      <w:bookmarkStart w:id="27" w:name="_Toc184314410"/>
      <w:bookmarkEnd w:id="27"/>
      <w:bookmarkStart w:id="28" w:name="_Toc184313291"/>
      <w:bookmarkEnd w:id="28"/>
      <w:bookmarkStart w:id="29" w:name="_Toc184312093"/>
      <w:bookmarkEnd w:id="29"/>
      <w:bookmarkStart w:id="30" w:name="_Toc184308044"/>
      <w:bookmarkEnd w:id="30"/>
      <w:bookmarkStart w:id="31" w:name="_Toc184312096"/>
      <w:bookmarkEnd w:id="31"/>
      <w:bookmarkStart w:id="32" w:name="_Toc184312107"/>
      <w:bookmarkEnd w:id="32"/>
      <w:bookmarkStart w:id="33" w:name="_Toc184310305"/>
      <w:bookmarkEnd w:id="33"/>
      <w:bookmarkStart w:id="34" w:name="_Toc184314473"/>
      <w:bookmarkEnd w:id="34"/>
      <w:bookmarkStart w:id="35" w:name="_Toc184310327"/>
      <w:bookmarkEnd w:id="35"/>
      <w:bookmarkStart w:id="36" w:name="_Toc184312097"/>
      <w:bookmarkEnd w:id="36"/>
      <w:bookmarkStart w:id="37" w:name="_Toc184314440"/>
      <w:bookmarkEnd w:id="37"/>
      <w:bookmarkStart w:id="38" w:name="_Toc184314442"/>
      <w:bookmarkEnd w:id="38"/>
      <w:bookmarkStart w:id="39" w:name="_Toc184312112"/>
      <w:bookmarkEnd w:id="39"/>
      <w:bookmarkStart w:id="40" w:name="_Toc184313277"/>
      <w:bookmarkEnd w:id="40"/>
      <w:bookmarkStart w:id="41" w:name="_Toc184310340"/>
      <w:bookmarkEnd w:id="41"/>
      <w:bookmarkStart w:id="42" w:name="_Toc184312110"/>
      <w:bookmarkEnd w:id="42"/>
      <w:bookmarkStart w:id="43" w:name="_Toc184308043"/>
      <w:bookmarkEnd w:id="43"/>
      <w:bookmarkStart w:id="44" w:name="_Toc184313255"/>
      <w:bookmarkEnd w:id="44"/>
      <w:bookmarkStart w:id="45" w:name="_Toc184313259"/>
      <w:bookmarkEnd w:id="45"/>
      <w:bookmarkStart w:id="46" w:name="_Toc184308097"/>
      <w:bookmarkEnd w:id="46"/>
      <w:bookmarkStart w:id="47" w:name="_Toc184310284"/>
      <w:bookmarkEnd w:id="47"/>
      <w:bookmarkStart w:id="48" w:name="_Toc184313304"/>
      <w:bookmarkEnd w:id="48"/>
      <w:bookmarkStart w:id="49" w:name="_Toc184312129"/>
      <w:bookmarkEnd w:id="49"/>
      <w:bookmarkStart w:id="50" w:name="_Toc184312131"/>
      <w:bookmarkEnd w:id="50"/>
      <w:bookmarkStart w:id="51" w:name="_Toc184313303"/>
      <w:bookmarkEnd w:id="51"/>
      <w:bookmarkStart w:id="52" w:name="_Toc184314451"/>
      <w:bookmarkEnd w:id="52"/>
      <w:bookmarkStart w:id="53" w:name="_Toc184314445"/>
      <w:bookmarkEnd w:id="53"/>
      <w:bookmarkStart w:id="54" w:name="_Toc184313286"/>
      <w:bookmarkEnd w:id="54"/>
      <w:bookmarkStart w:id="55" w:name="_Toc184313252"/>
      <w:bookmarkEnd w:id="55"/>
      <w:bookmarkStart w:id="56" w:name="_Toc184310309"/>
      <w:bookmarkEnd w:id="56"/>
      <w:bookmarkStart w:id="57" w:name="_Toc184312069"/>
      <w:bookmarkEnd w:id="57"/>
      <w:bookmarkStart w:id="58" w:name="_Toc184312089"/>
      <w:bookmarkEnd w:id="58"/>
      <w:bookmarkStart w:id="59" w:name="_Toc184308102"/>
      <w:bookmarkEnd w:id="59"/>
      <w:bookmarkStart w:id="60" w:name="_Toc184313292"/>
      <w:bookmarkEnd w:id="60"/>
      <w:bookmarkStart w:id="61" w:name="_Toc184308037"/>
      <w:bookmarkEnd w:id="61"/>
      <w:bookmarkStart w:id="62" w:name="_Toc184314414"/>
      <w:bookmarkEnd w:id="62"/>
      <w:bookmarkStart w:id="63" w:name="_Toc184312082"/>
      <w:bookmarkEnd w:id="63"/>
      <w:bookmarkStart w:id="64" w:name="_Toc184314476"/>
      <w:bookmarkEnd w:id="64"/>
      <w:bookmarkStart w:id="65" w:name="_Toc184313253"/>
      <w:bookmarkEnd w:id="65"/>
      <w:bookmarkStart w:id="66" w:name="_Toc184313248"/>
      <w:bookmarkEnd w:id="66"/>
      <w:bookmarkStart w:id="67" w:name="_Toc184314435"/>
      <w:bookmarkEnd w:id="67"/>
      <w:bookmarkStart w:id="68" w:name="_Toc184310316"/>
      <w:bookmarkEnd w:id="68"/>
      <w:bookmarkStart w:id="69" w:name="_Toc184312078"/>
      <w:bookmarkEnd w:id="69"/>
      <w:bookmarkStart w:id="70" w:name="_Toc184313238"/>
      <w:bookmarkEnd w:id="70"/>
      <w:bookmarkStart w:id="71" w:name="_Toc184312074"/>
      <w:bookmarkEnd w:id="71"/>
      <w:bookmarkStart w:id="72" w:name="_Toc184314432"/>
      <w:bookmarkEnd w:id="72"/>
      <w:bookmarkStart w:id="73" w:name="_Toc184312119"/>
      <w:bookmarkEnd w:id="73"/>
      <w:bookmarkStart w:id="74" w:name="_Toc184308080"/>
      <w:bookmarkEnd w:id="74"/>
      <w:bookmarkStart w:id="75" w:name="_Toc184310279"/>
      <w:bookmarkEnd w:id="75"/>
      <w:bookmarkStart w:id="76" w:name="_Toc184313272"/>
      <w:bookmarkEnd w:id="76"/>
      <w:bookmarkStart w:id="77" w:name="_Toc184313265"/>
      <w:bookmarkEnd w:id="77"/>
      <w:bookmarkStart w:id="78" w:name="_Toc184308041"/>
      <w:bookmarkEnd w:id="78"/>
      <w:bookmarkStart w:id="79" w:name="_Toc184313254"/>
      <w:bookmarkEnd w:id="79"/>
      <w:bookmarkStart w:id="80" w:name="_Toc184313269"/>
      <w:bookmarkEnd w:id="80"/>
      <w:bookmarkStart w:id="81" w:name="_Toc184313266"/>
      <w:bookmarkEnd w:id="81"/>
      <w:bookmarkStart w:id="82" w:name="_Toc184308050"/>
      <w:bookmarkEnd w:id="82"/>
      <w:bookmarkStart w:id="83" w:name="_Toc184312126"/>
      <w:bookmarkEnd w:id="83"/>
      <w:bookmarkStart w:id="84" w:name="_Toc184310325"/>
      <w:bookmarkEnd w:id="84"/>
      <w:bookmarkStart w:id="85" w:name="_Toc184314467"/>
      <w:bookmarkEnd w:id="85"/>
      <w:bookmarkStart w:id="86" w:name="_Toc184312133"/>
      <w:bookmarkEnd w:id="86"/>
      <w:bookmarkStart w:id="87" w:name="_Toc184312092"/>
      <w:bookmarkEnd w:id="87"/>
      <w:bookmarkStart w:id="88" w:name="_Toc184310283"/>
      <w:bookmarkEnd w:id="88"/>
      <w:bookmarkStart w:id="89" w:name="_Toc184313295"/>
      <w:bookmarkEnd w:id="89"/>
      <w:bookmarkStart w:id="90" w:name="_Toc184312136"/>
      <w:bookmarkEnd w:id="90"/>
      <w:bookmarkStart w:id="91" w:name="_Toc184310311"/>
      <w:bookmarkEnd w:id="91"/>
      <w:bookmarkStart w:id="92" w:name="_Toc184313249"/>
      <w:bookmarkEnd w:id="92"/>
      <w:bookmarkStart w:id="93" w:name="_Toc184312098"/>
      <w:bookmarkEnd w:id="93"/>
      <w:bookmarkStart w:id="94" w:name="_Toc184312127"/>
      <w:bookmarkEnd w:id="94"/>
      <w:bookmarkStart w:id="95" w:name="_Toc184310339"/>
      <w:bookmarkEnd w:id="95"/>
      <w:bookmarkStart w:id="96" w:name="_Toc184314429"/>
      <w:bookmarkEnd w:id="96"/>
      <w:bookmarkStart w:id="97" w:name="_Toc184308081"/>
      <w:bookmarkEnd w:id="97"/>
      <w:bookmarkStart w:id="98" w:name="_Toc184314424"/>
      <w:bookmarkEnd w:id="98"/>
      <w:bookmarkStart w:id="99" w:name="_Toc184308067"/>
      <w:bookmarkEnd w:id="99"/>
      <w:bookmarkStart w:id="100" w:name="_Toc184313261"/>
      <w:bookmarkEnd w:id="100"/>
      <w:bookmarkStart w:id="101" w:name="_Toc184313308"/>
      <w:bookmarkEnd w:id="101"/>
      <w:bookmarkStart w:id="102" w:name="_Toc184308060"/>
      <w:bookmarkEnd w:id="102"/>
      <w:bookmarkStart w:id="103" w:name="_Toc184312105"/>
      <w:bookmarkEnd w:id="103"/>
      <w:bookmarkStart w:id="104" w:name="_Toc184308090"/>
      <w:bookmarkEnd w:id="104"/>
      <w:bookmarkStart w:id="105" w:name="_Toc184312081"/>
      <w:bookmarkEnd w:id="105"/>
      <w:bookmarkStart w:id="106" w:name="_Toc184310303"/>
      <w:bookmarkEnd w:id="106"/>
      <w:bookmarkStart w:id="107" w:name="_Toc184312103"/>
      <w:bookmarkEnd w:id="107"/>
      <w:bookmarkStart w:id="108" w:name="_Toc184313281"/>
      <w:bookmarkEnd w:id="108"/>
      <w:bookmarkStart w:id="109" w:name="_Toc184313276"/>
      <w:bookmarkEnd w:id="109"/>
      <w:bookmarkStart w:id="110" w:name="_Toc184310317"/>
      <w:bookmarkEnd w:id="110"/>
      <w:bookmarkStart w:id="111" w:name="_Toc184313239"/>
      <w:bookmarkEnd w:id="111"/>
      <w:bookmarkStart w:id="112" w:name="_Toc184310333"/>
      <w:bookmarkEnd w:id="112"/>
      <w:bookmarkStart w:id="113" w:name="_Toc184313309"/>
      <w:bookmarkEnd w:id="113"/>
      <w:bookmarkStart w:id="114" w:name="_Toc184314468"/>
      <w:bookmarkEnd w:id="114"/>
      <w:bookmarkStart w:id="115" w:name="_Toc184308105"/>
      <w:bookmarkEnd w:id="115"/>
      <w:bookmarkStart w:id="116" w:name="_Toc184314437"/>
      <w:bookmarkEnd w:id="116"/>
      <w:bookmarkStart w:id="117" w:name="_Toc184308058"/>
      <w:bookmarkEnd w:id="117"/>
      <w:bookmarkStart w:id="118" w:name="_Toc184310281"/>
      <w:bookmarkEnd w:id="118"/>
      <w:bookmarkStart w:id="119" w:name="_Toc184313274"/>
      <w:bookmarkEnd w:id="119"/>
      <w:bookmarkStart w:id="120" w:name="_Toc184314475"/>
      <w:bookmarkEnd w:id="120"/>
      <w:bookmarkStart w:id="121" w:name="_Toc184312116"/>
      <w:bookmarkEnd w:id="121"/>
      <w:bookmarkStart w:id="122" w:name="_Toc184313306"/>
      <w:bookmarkEnd w:id="122"/>
      <w:bookmarkStart w:id="123" w:name="_Toc184312111"/>
      <w:bookmarkEnd w:id="123"/>
      <w:bookmarkStart w:id="124" w:name="_Toc184313250"/>
      <w:bookmarkEnd w:id="124"/>
      <w:bookmarkStart w:id="125" w:name="_Toc184313257"/>
      <w:bookmarkEnd w:id="125"/>
      <w:bookmarkStart w:id="126" w:name="_Toc184314462"/>
      <w:bookmarkEnd w:id="126"/>
      <w:bookmarkStart w:id="127" w:name="_Toc184308039"/>
      <w:bookmarkEnd w:id="127"/>
      <w:bookmarkStart w:id="128" w:name="_Toc184313282"/>
      <w:bookmarkEnd w:id="128"/>
      <w:bookmarkStart w:id="129" w:name="_Toc184308047"/>
      <w:bookmarkEnd w:id="129"/>
      <w:bookmarkStart w:id="130" w:name="_Toc184308078"/>
      <w:bookmarkEnd w:id="130"/>
      <w:bookmarkStart w:id="131" w:name="_Toc184312090"/>
      <w:bookmarkEnd w:id="131"/>
      <w:bookmarkStart w:id="132" w:name="_Toc184310319"/>
      <w:bookmarkEnd w:id="132"/>
      <w:bookmarkStart w:id="133" w:name="_Toc184313256"/>
      <w:bookmarkEnd w:id="133"/>
      <w:bookmarkStart w:id="134" w:name="_Toc184314441"/>
      <w:bookmarkEnd w:id="134"/>
      <w:bookmarkStart w:id="135" w:name="_Toc184313290"/>
      <w:bookmarkEnd w:id="135"/>
      <w:bookmarkStart w:id="136" w:name="_Toc184314459"/>
      <w:bookmarkEnd w:id="136"/>
      <w:bookmarkStart w:id="137" w:name="_Toc184310328"/>
      <w:bookmarkEnd w:id="137"/>
      <w:bookmarkStart w:id="138" w:name="_Toc184312132"/>
      <w:bookmarkEnd w:id="138"/>
      <w:bookmarkStart w:id="139" w:name="_Toc184308092"/>
      <w:bookmarkEnd w:id="139"/>
      <w:bookmarkStart w:id="140" w:name="_Toc184313275"/>
      <w:bookmarkEnd w:id="140"/>
      <w:bookmarkStart w:id="141" w:name="_Toc184308054"/>
      <w:bookmarkEnd w:id="141"/>
      <w:bookmarkStart w:id="142" w:name="_Toc184310314"/>
      <w:bookmarkEnd w:id="142"/>
      <w:bookmarkStart w:id="143" w:name="_Toc184313289"/>
      <w:bookmarkEnd w:id="143"/>
      <w:bookmarkStart w:id="144" w:name="_Toc184313288"/>
      <w:bookmarkEnd w:id="144"/>
      <w:bookmarkStart w:id="145" w:name="_Toc184312088"/>
      <w:bookmarkEnd w:id="145"/>
      <w:bookmarkStart w:id="146" w:name="_Toc184310276"/>
      <w:bookmarkEnd w:id="146"/>
      <w:bookmarkStart w:id="147" w:name="_Toc184308099"/>
      <w:bookmarkEnd w:id="147"/>
      <w:bookmarkStart w:id="148" w:name="_Toc184313245"/>
      <w:bookmarkEnd w:id="148"/>
      <w:bookmarkStart w:id="149" w:name="_Toc184308075"/>
      <w:bookmarkEnd w:id="149"/>
      <w:bookmarkStart w:id="150" w:name="_Toc184310312"/>
      <w:bookmarkEnd w:id="150"/>
      <w:bookmarkStart w:id="151" w:name="_Toc184308107"/>
      <w:bookmarkEnd w:id="151"/>
      <w:bookmarkStart w:id="152" w:name="_Toc184310280"/>
      <w:bookmarkEnd w:id="152"/>
      <w:bookmarkStart w:id="153" w:name="_Toc184312118"/>
      <w:bookmarkEnd w:id="153"/>
      <w:bookmarkStart w:id="154" w:name="_Toc184314416"/>
      <w:bookmarkEnd w:id="154"/>
      <w:bookmarkStart w:id="155" w:name="_Toc184314465"/>
      <w:bookmarkEnd w:id="155"/>
      <w:bookmarkStart w:id="156" w:name="_Toc184310331"/>
      <w:bookmarkEnd w:id="156"/>
      <w:bookmarkStart w:id="157" w:name="_Toc184308062"/>
      <w:bookmarkEnd w:id="157"/>
      <w:bookmarkStart w:id="158" w:name="_Toc184312139"/>
      <w:bookmarkEnd w:id="158"/>
      <w:bookmarkStart w:id="159" w:name="_Toc184314457"/>
      <w:bookmarkEnd w:id="159"/>
      <w:bookmarkStart w:id="160" w:name="_Toc184312128"/>
      <w:bookmarkEnd w:id="160"/>
      <w:bookmarkStart w:id="161" w:name="_Toc184313284"/>
      <w:bookmarkEnd w:id="161"/>
      <w:bookmarkStart w:id="162" w:name="_Toc184312076"/>
      <w:bookmarkEnd w:id="162"/>
      <w:bookmarkStart w:id="163" w:name="_Toc184314411"/>
      <w:bookmarkEnd w:id="163"/>
      <w:bookmarkStart w:id="164" w:name="_Toc184312137"/>
      <w:bookmarkEnd w:id="164"/>
      <w:bookmarkStart w:id="165" w:name="_Toc184313300"/>
      <w:bookmarkEnd w:id="165"/>
      <w:bookmarkStart w:id="166" w:name="_Toc184310334"/>
      <w:bookmarkEnd w:id="166"/>
      <w:bookmarkStart w:id="167" w:name="_Toc184312083"/>
      <w:bookmarkEnd w:id="167"/>
      <w:bookmarkStart w:id="168" w:name="_Toc184313247"/>
      <w:bookmarkEnd w:id="168"/>
      <w:bookmarkStart w:id="169" w:name="_Toc184314423"/>
      <w:bookmarkEnd w:id="169"/>
      <w:bookmarkStart w:id="170" w:name="_Toc184310300"/>
      <w:bookmarkEnd w:id="170"/>
      <w:bookmarkStart w:id="171" w:name="_Toc184310324"/>
      <w:bookmarkEnd w:id="171"/>
      <w:bookmarkStart w:id="172" w:name="_Toc184312134"/>
      <w:bookmarkEnd w:id="172"/>
      <w:bookmarkStart w:id="173" w:name="_Toc184312091"/>
      <w:bookmarkEnd w:id="173"/>
      <w:bookmarkStart w:id="174" w:name="_Toc184312102"/>
      <w:bookmarkEnd w:id="174"/>
      <w:bookmarkStart w:id="175" w:name="_Toc184312106"/>
      <w:bookmarkEnd w:id="175"/>
      <w:bookmarkStart w:id="176" w:name="_Toc184310285"/>
      <w:bookmarkEnd w:id="176"/>
      <w:bookmarkStart w:id="177" w:name="_Toc184308059"/>
      <w:bookmarkEnd w:id="177"/>
      <w:bookmarkStart w:id="178" w:name="_Toc184312077"/>
      <w:bookmarkEnd w:id="178"/>
      <w:bookmarkStart w:id="179" w:name="_Toc184308084"/>
      <w:bookmarkEnd w:id="179"/>
      <w:bookmarkStart w:id="180" w:name="_Toc184308077"/>
      <w:bookmarkEnd w:id="180"/>
      <w:bookmarkStart w:id="181" w:name="_Toc184312095"/>
      <w:bookmarkEnd w:id="181"/>
      <w:bookmarkStart w:id="182" w:name="_Toc184312124"/>
      <w:bookmarkEnd w:id="182"/>
      <w:bookmarkStart w:id="183" w:name="_Toc184314422"/>
      <w:bookmarkEnd w:id="183"/>
      <w:bookmarkStart w:id="184" w:name="_Toc184314420"/>
      <w:bookmarkEnd w:id="184"/>
      <w:bookmarkStart w:id="185" w:name="_Toc184308095"/>
      <w:bookmarkEnd w:id="185"/>
      <w:bookmarkStart w:id="186" w:name="_Toc184312108"/>
      <w:bookmarkEnd w:id="186"/>
      <w:bookmarkStart w:id="187" w:name="_Toc184308094"/>
      <w:bookmarkEnd w:id="187"/>
      <w:bookmarkStart w:id="188" w:name="_Toc184310287"/>
      <w:bookmarkEnd w:id="188"/>
      <w:bookmarkStart w:id="189" w:name="_Toc184310291"/>
      <w:bookmarkEnd w:id="189"/>
      <w:bookmarkStart w:id="190" w:name="_Toc184310313"/>
      <w:bookmarkEnd w:id="190"/>
      <w:bookmarkStart w:id="191" w:name="_Toc184310341"/>
      <w:bookmarkEnd w:id="191"/>
      <w:bookmarkStart w:id="192" w:name="_Toc184308101"/>
      <w:bookmarkEnd w:id="192"/>
      <w:bookmarkStart w:id="193" w:name="_Toc184314446"/>
      <w:bookmarkEnd w:id="193"/>
      <w:bookmarkStart w:id="194" w:name="_Toc184308051"/>
      <w:bookmarkEnd w:id="194"/>
      <w:bookmarkStart w:id="195" w:name="_Toc184308065"/>
      <w:bookmarkEnd w:id="195"/>
      <w:bookmarkStart w:id="196" w:name="_Toc184312086"/>
      <w:bookmarkEnd w:id="196"/>
      <w:bookmarkStart w:id="197" w:name="_Toc184314466"/>
      <w:bookmarkEnd w:id="197"/>
      <w:bookmarkStart w:id="198" w:name="_Toc184308082"/>
      <w:bookmarkEnd w:id="198"/>
      <w:bookmarkStart w:id="199" w:name="_Toc184313285"/>
      <w:bookmarkEnd w:id="199"/>
      <w:bookmarkStart w:id="200" w:name="_Toc184310302"/>
      <w:bookmarkEnd w:id="200"/>
      <w:bookmarkStart w:id="201" w:name="_Toc184312122"/>
      <w:bookmarkEnd w:id="201"/>
      <w:bookmarkStart w:id="202" w:name="_Toc184314415"/>
      <w:bookmarkEnd w:id="202"/>
      <w:bookmarkStart w:id="203" w:name="_Toc184314438"/>
      <w:bookmarkEnd w:id="203"/>
      <w:bookmarkStart w:id="204" w:name="_Toc184314421"/>
      <w:bookmarkEnd w:id="204"/>
      <w:bookmarkStart w:id="205" w:name="_Toc184310320"/>
      <w:bookmarkEnd w:id="205"/>
      <w:bookmarkStart w:id="206" w:name="_Toc184308052"/>
      <w:bookmarkEnd w:id="206"/>
      <w:bookmarkStart w:id="207" w:name="_Toc184310330"/>
      <w:bookmarkEnd w:id="207"/>
      <w:bookmarkStart w:id="208" w:name="_Toc184312084"/>
      <w:bookmarkEnd w:id="208"/>
      <w:bookmarkStart w:id="209" w:name="_Toc184313267"/>
      <w:bookmarkEnd w:id="209"/>
      <w:bookmarkStart w:id="210" w:name="_Toc184313297"/>
      <w:bookmarkEnd w:id="210"/>
      <w:bookmarkStart w:id="211" w:name="_Toc184312079"/>
      <w:bookmarkEnd w:id="211"/>
      <w:bookmarkStart w:id="212" w:name="_Toc184310335"/>
      <w:bookmarkEnd w:id="212"/>
      <w:bookmarkStart w:id="213" w:name="_Toc184312113"/>
      <w:bookmarkEnd w:id="213"/>
      <w:bookmarkStart w:id="214" w:name="_Toc184312123"/>
      <w:bookmarkEnd w:id="214"/>
      <w:bookmarkStart w:id="215" w:name="_Toc184313273"/>
      <w:bookmarkEnd w:id="215"/>
      <w:bookmarkStart w:id="216" w:name="_Toc184310282"/>
      <w:bookmarkEnd w:id="216"/>
      <w:bookmarkStart w:id="217" w:name="_Toc184308046"/>
      <w:bookmarkEnd w:id="217"/>
      <w:bookmarkStart w:id="218" w:name="_Toc184312135"/>
      <w:bookmarkEnd w:id="218"/>
      <w:bookmarkStart w:id="219" w:name="_Toc184310286"/>
      <w:bookmarkEnd w:id="219"/>
      <w:bookmarkStart w:id="220" w:name="_Toc184312094"/>
      <w:bookmarkEnd w:id="220"/>
      <w:bookmarkStart w:id="221" w:name="_Toc184314439"/>
      <w:bookmarkEnd w:id="221"/>
      <w:bookmarkStart w:id="222" w:name="_Toc184310278"/>
      <w:bookmarkEnd w:id="222"/>
      <w:bookmarkStart w:id="223" w:name="_Toc184313307"/>
      <w:bookmarkEnd w:id="223"/>
      <w:bookmarkStart w:id="224" w:name="_Toc184312071"/>
      <w:bookmarkEnd w:id="224"/>
      <w:bookmarkStart w:id="225" w:name="_Toc184313241"/>
      <w:bookmarkEnd w:id="225"/>
      <w:bookmarkStart w:id="226" w:name="_Toc184308100"/>
      <w:bookmarkEnd w:id="226"/>
      <w:bookmarkStart w:id="227" w:name="_Toc184310304"/>
      <w:bookmarkEnd w:id="227"/>
      <w:bookmarkStart w:id="228" w:name="_Toc184308076"/>
      <w:bookmarkEnd w:id="228"/>
      <w:bookmarkStart w:id="229" w:name="_Toc184313283"/>
      <w:bookmarkEnd w:id="229"/>
      <w:bookmarkStart w:id="230" w:name="_Toc184314436"/>
      <w:bookmarkEnd w:id="230"/>
      <w:bookmarkStart w:id="231" w:name="_Toc184314471"/>
      <w:bookmarkEnd w:id="231"/>
      <w:bookmarkStart w:id="232" w:name="_Toc184312120"/>
      <w:bookmarkEnd w:id="232"/>
      <w:bookmarkStart w:id="233" w:name="_Toc184310307"/>
      <w:bookmarkEnd w:id="233"/>
      <w:bookmarkStart w:id="234" w:name="_Toc184308098"/>
      <w:bookmarkEnd w:id="234"/>
      <w:bookmarkStart w:id="235" w:name="_Toc184308085"/>
      <w:bookmarkEnd w:id="235"/>
      <w:bookmarkStart w:id="236" w:name="_Toc184314427"/>
      <w:bookmarkEnd w:id="236"/>
      <w:bookmarkStart w:id="237" w:name="_Toc184313296"/>
      <w:bookmarkEnd w:id="237"/>
      <w:bookmarkStart w:id="238" w:name="_Toc184314447"/>
      <w:bookmarkEnd w:id="238"/>
      <w:bookmarkStart w:id="239" w:name="_Toc184314433"/>
      <w:bookmarkEnd w:id="239"/>
      <w:bookmarkStart w:id="240" w:name="_Toc184310299"/>
      <w:bookmarkEnd w:id="240"/>
      <w:bookmarkStart w:id="241" w:name="_Toc184314482"/>
      <w:bookmarkEnd w:id="241"/>
      <w:bookmarkStart w:id="242" w:name="_Toc184312067"/>
      <w:bookmarkEnd w:id="242"/>
      <w:bookmarkStart w:id="243" w:name="_Toc184314426"/>
      <w:bookmarkEnd w:id="243"/>
      <w:bookmarkStart w:id="244" w:name="_Toc184310294"/>
      <w:bookmarkEnd w:id="244"/>
      <w:bookmarkStart w:id="245" w:name="_Toc184314455"/>
      <w:bookmarkEnd w:id="245"/>
      <w:bookmarkStart w:id="246" w:name="_Toc184314417"/>
      <w:bookmarkEnd w:id="246"/>
      <w:bookmarkStart w:id="247" w:name="_Toc184308055"/>
      <w:bookmarkEnd w:id="247"/>
      <w:bookmarkStart w:id="248" w:name="_Toc184314443"/>
      <w:bookmarkEnd w:id="248"/>
      <w:bookmarkStart w:id="249" w:name="_Toc184308088"/>
      <w:bookmarkEnd w:id="249"/>
      <w:bookmarkStart w:id="250" w:name="_Toc184313240"/>
      <w:bookmarkEnd w:id="250"/>
      <w:bookmarkStart w:id="251" w:name="_Toc184314480"/>
      <w:bookmarkEnd w:id="251"/>
      <w:bookmarkStart w:id="252" w:name="_Toc184314478"/>
      <w:bookmarkEnd w:id="252"/>
      <w:bookmarkStart w:id="253" w:name="_Toc184310336"/>
      <w:bookmarkEnd w:id="253"/>
      <w:bookmarkStart w:id="254" w:name="_Toc184308087"/>
      <w:bookmarkEnd w:id="254"/>
      <w:bookmarkStart w:id="255" w:name="_Toc184310288"/>
      <w:bookmarkEnd w:id="255"/>
      <w:bookmarkStart w:id="256" w:name="_Toc184312075"/>
      <w:bookmarkEnd w:id="256"/>
      <w:bookmarkStart w:id="257" w:name="_Toc184310343"/>
      <w:bookmarkEnd w:id="257"/>
      <w:bookmarkStart w:id="258" w:name="_Toc184308036"/>
      <w:bookmarkEnd w:id="258"/>
      <w:bookmarkStart w:id="259" w:name="_Toc184308061"/>
      <w:bookmarkEnd w:id="259"/>
      <w:bookmarkStart w:id="260" w:name="_Toc184308108"/>
      <w:bookmarkEnd w:id="260"/>
      <w:bookmarkStart w:id="261" w:name="_Toc184313251"/>
      <w:bookmarkEnd w:id="261"/>
      <w:bookmarkStart w:id="262" w:name="_Toc184310273"/>
      <w:bookmarkEnd w:id="262"/>
      <w:bookmarkStart w:id="263" w:name="_Toc184308048"/>
      <w:bookmarkEnd w:id="263"/>
      <w:bookmarkStart w:id="264" w:name="_Toc184308083"/>
      <w:bookmarkEnd w:id="264"/>
      <w:bookmarkStart w:id="265" w:name="_Toc184314419"/>
      <w:bookmarkEnd w:id="265"/>
      <w:bookmarkStart w:id="266" w:name="_Toc184314463"/>
      <w:bookmarkEnd w:id="266"/>
      <w:bookmarkStart w:id="267" w:name="_Toc184313260"/>
      <w:bookmarkEnd w:id="267"/>
      <w:bookmarkStart w:id="268" w:name="_Toc184314481"/>
      <w:bookmarkEnd w:id="268"/>
      <w:bookmarkStart w:id="269" w:name="_Toc184313294"/>
      <w:bookmarkEnd w:id="269"/>
      <w:bookmarkStart w:id="270" w:name="_Toc184310277"/>
      <w:bookmarkEnd w:id="270"/>
      <w:bookmarkStart w:id="271" w:name="_Toc184310301"/>
      <w:bookmarkEnd w:id="271"/>
      <w:bookmarkStart w:id="272" w:name="_Toc184313244"/>
      <w:bookmarkEnd w:id="272"/>
      <w:bookmarkStart w:id="273" w:name="_Toc184314454"/>
      <w:bookmarkEnd w:id="273"/>
      <w:bookmarkStart w:id="274" w:name="_Toc184313310"/>
      <w:bookmarkEnd w:id="274"/>
      <w:bookmarkStart w:id="275" w:name="_Toc184310295"/>
      <w:bookmarkEnd w:id="275"/>
      <w:bookmarkStart w:id="276" w:name="_Toc184310332"/>
      <w:bookmarkEnd w:id="276"/>
      <w:bookmarkStart w:id="277" w:name="_Toc184313264"/>
      <w:bookmarkEnd w:id="277"/>
      <w:bookmarkStart w:id="278" w:name="_Toc184310342"/>
      <w:bookmarkEnd w:id="278"/>
      <w:bookmarkStart w:id="279" w:name="_Toc184310322"/>
      <w:bookmarkEnd w:id="279"/>
      <w:bookmarkStart w:id="280" w:name="_Toc184312101"/>
      <w:bookmarkEnd w:id="280"/>
      <w:bookmarkStart w:id="281" w:name="_Toc184310308"/>
      <w:bookmarkEnd w:id="281"/>
      <w:bookmarkStart w:id="282" w:name="_Toc184310321"/>
      <w:bookmarkEnd w:id="282"/>
      <w:bookmarkStart w:id="283" w:name="_Toc184312117"/>
      <w:bookmarkEnd w:id="283"/>
      <w:bookmarkStart w:id="284" w:name="_Toc184308091"/>
      <w:bookmarkEnd w:id="284"/>
      <w:bookmarkStart w:id="285" w:name="_Toc184313268"/>
      <w:bookmarkEnd w:id="285"/>
      <w:bookmarkStart w:id="286" w:name="_Toc184310297"/>
      <w:bookmarkEnd w:id="286"/>
      <w:bookmarkStart w:id="287" w:name="_Toc184313287"/>
      <w:bookmarkEnd w:id="287"/>
      <w:bookmarkStart w:id="288" w:name="_Toc184308073"/>
      <w:bookmarkEnd w:id="288"/>
      <w:bookmarkStart w:id="289" w:name="_Toc184314469"/>
      <w:bookmarkEnd w:id="289"/>
      <w:bookmarkStart w:id="290" w:name="_Toc184314434"/>
      <w:bookmarkEnd w:id="290"/>
      <w:bookmarkStart w:id="291" w:name="_Toc184314458"/>
      <w:bookmarkEnd w:id="291"/>
      <w:bookmarkStart w:id="292" w:name="_Toc184314413"/>
      <w:bookmarkEnd w:id="292"/>
      <w:bookmarkStart w:id="293" w:name="_Toc184310323"/>
      <w:bookmarkEnd w:id="293"/>
      <w:bookmarkStart w:id="294" w:name="_Toc184313280"/>
      <w:bookmarkEnd w:id="294"/>
      <w:bookmarkStart w:id="295" w:name="_Toc184313301"/>
      <w:bookmarkEnd w:id="295"/>
      <w:bookmarkStart w:id="296" w:name="_Toc184314449"/>
      <w:bookmarkEnd w:id="296"/>
      <w:bookmarkStart w:id="297" w:name="_Toc184312130"/>
      <w:bookmarkEnd w:id="297"/>
      <w:bookmarkStart w:id="298" w:name="_Toc184314431"/>
      <w:bookmarkEnd w:id="298"/>
      <w:bookmarkStart w:id="299" w:name="_Toc184308071"/>
      <w:bookmarkEnd w:id="299"/>
      <w:bookmarkStart w:id="300" w:name="_Toc184312068"/>
      <w:bookmarkEnd w:id="300"/>
      <w:bookmarkStart w:id="301" w:name="_Toc184310338"/>
      <w:bookmarkEnd w:id="301"/>
      <w:bookmarkStart w:id="302" w:name="_Toc184313243"/>
      <w:bookmarkEnd w:id="302"/>
      <w:bookmarkStart w:id="303" w:name="_Toc184312080"/>
      <w:bookmarkEnd w:id="303"/>
      <w:bookmarkStart w:id="304" w:name="_Toc184313258"/>
      <w:bookmarkEnd w:id="304"/>
      <w:bookmarkStart w:id="305" w:name="_Toc184310274"/>
      <w:bookmarkEnd w:id="305"/>
      <w:bookmarkStart w:id="306" w:name="_Toc184308089"/>
      <w:bookmarkEnd w:id="306"/>
      <w:bookmarkStart w:id="307" w:name="_Toc184308038"/>
      <w:bookmarkEnd w:id="307"/>
      <w:bookmarkStart w:id="308" w:name="_Toc184314450"/>
      <w:bookmarkEnd w:id="308"/>
      <w:bookmarkStart w:id="309" w:name="_Toc184312121"/>
      <w:bookmarkEnd w:id="309"/>
      <w:bookmarkStart w:id="310" w:name="_Toc184314448"/>
      <w:bookmarkEnd w:id="310"/>
      <w:bookmarkStart w:id="311" w:name="_Toc184313279"/>
      <w:bookmarkEnd w:id="311"/>
      <w:bookmarkStart w:id="312" w:name="_Toc184308103"/>
      <w:bookmarkEnd w:id="312"/>
      <w:bookmarkStart w:id="313" w:name="_Toc184312087"/>
      <w:bookmarkEnd w:id="313"/>
      <w:bookmarkStart w:id="314" w:name="_Toc184314428"/>
      <w:bookmarkEnd w:id="314"/>
      <w:bookmarkStart w:id="315" w:name="_Toc184314412"/>
      <w:bookmarkEnd w:id="315"/>
      <w:bookmarkStart w:id="316" w:name="_Toc184314470"/>
      <w:bookmarkEnd w:id="316"/>
      <w:bookmarkStart w:id="317" w:name="_Toc184308053"/>
      <w:bookmarkEnd w:id="317"/>
      <w:bookmarkStart w:id="318" w:name="_Toc184314444"/>
      <w:bookmarkEnd w:id="318"/>
      <w:bookmarkStart w:id="319" w:name="_Toc184312100"/>
      <w:bookmarkEnd w:id="319"/>
      <w:bookmarkStart w:id="320" w:name="_Toc184310326"/>
      <w:bookmarkEnd w:id="320"/>
      <w:bookmarkStart w:id="321" w:name="_Toc184310290"/>
      <w:bookmarkEnd w:id="321"/>
      <w:bookmarkStart w:id="322" w:name="_Toc184313302"/>
      <w:bookmarkEnd w:id="322"/>
      <w:bookmarkStart w:id="323" w:name="_Toc184308057"/>
      <w:bookmarkEnd w:id="323"/>
      <w:bookmarkStart w:id="324" w:name="_Toc184312114"/>
      <w:bookmarkEnd w:id="324"/>
      <w:bookmarkStart w:id="325" w:name="_Toc184308096"/>
      <w:bookmarkEnd w:id="325"/>
      <w:bookmarkStart w:id="326" w:name="_Toc184308042"/>
      <w:bookmarkEnd w:id="326"/>
      <w:bookmarkStart w:id="327" w:name="_Toc184314452"/>
      <w:bookmarkEnd w:id="327"/>
      <w:bookmarkStart w:id="328" w:name="_Toc184310272"/>
      <w:bookmarkEnd w:id="328"/>
      <w:bookmarkStart w:id="329" w:name="_Toc184314430"/>
      <w:bookmarkEnd w:id="329"/>
      <w:bookmarkStart w:id="330" w:name="_Toc184308068"/>
      <w:bookmarkEnd w:id="330"/>
      <w:bookmarkStart w:id="331" w:name="_Toc184308070"/>
      <w:bookmarkEnd w:id="331"/>
      <w:bookmarkStart w:id="332" w:name="_Toc184308093"/>
      <w:bookmarkEnd w:id="332"/>
      <w:bookmarkStart w:id="333" w:name="_Toc184310306"/>
      <w:bookmarkEnd w:id="333"/>
      <w:bookmarkStart w:id="334" w:name="_Toc184312125"/>
      <w:bookmarkEnd w:id="334"/>
      <w:bookmarkStart w:id="335" w:name="_Toc184308079"/>
      <w:bookmarkEnd w:id="335"/>
      <w:bookmarkStart w:id="336" w:name="_Toc184308064"/>
      <w:bookmarkEnd w:id="336"/>
      <w:bookmarkStart w:id="337" w:name="_Toc184310289"/>
      <w:bookmarkEnd w:id="337"/>
      <w:bookmarkStart w:id="338" w:name="_Toc184314453"/>
      <w:bookmarkEnd w:id="338"/>
      <w:bookmarkStart w:id="339" w:name="_Toc184313270"/>
      <w:bookmarkEnd w:id="339"/>
      <w:bookmarkStart w:id="340" w:name="_Toc184308069"/>
      <w:bookmarkEnd w:id="340"/>
      <w:bookmarkStart w:id="341" w:name="_Toc184313242"/>
      <w:bookmarkEnd w:id="341"/>
      <w:bookmarkStart w:id="342" w:name="_Toc184313262"/>
      <w:bookmarkEnd w:id="342"/>
      <w:bookmarkStart w:id="343" w:name="_Toc184314456"/>
      <w:bookmarkEnd w:id="343"/>
      <w:bookmarkStart w:id="344" w:name="_Toc184308086"/>
      <w:bookmarkEnd w:id="344"/>
      <w:bookmarkStart w:id="345" w:name="_Toc184312099"/>
      <w:bookmarkEnd w:id="345"/>
      <w:bookmarkStart w:id="346" w:name="_Toc184308049"/>
      <w:bookmarkEnd w:id="346"/>
      <w:bookmarkStart w:id="347" w:name="_Toc184312070"/>
      <w:bookmarkEnd w:id="347"/>
      <w:bookmarkStart w:id="348" w:name="_Toc184314460"/>
      <w:bookmarkEnd w:id="348"/>
      <w:bookmarkStart w:id="349" w:name="_Toc184314477"/>
      <w:bookmarkEnd w:id="349"/>
      <w:bookmarkStart w:id="350" w:name="_Toc184312104"/>
      <w:bookmarkEnd w:id="350"/>
      <w:bookmarkStart w:id="351" w:name="_Toc184310296"/>
      <w:bookmarkEnd w:id="351"/>
      <w:bookmarkStart w:id="352" w:name="_Toc184308063"/>
      <w:bookmarkEnd w:id="352"/>
      <w:bookmarkStart w:id="353" w:name="_Toc184310337"/>
      <w:bookmarkEnd w:id="353"/>
      <w:bookmarkStart w:id="354" w:name="_Toc184313278"/>
      <w:bookmarkEnd w:id="354"/>
      <w:bookmarkStart w:id="355" w:name="_Toc184314461"/>
      <w:bookmarkEnd w:id="355"/>
      <w:bookmarkStart w:id="356" w:name="_Toc184313271"/>
      <w:bookmarkEnd w:id="356"/>
      <w:bookmarkStart w:id="357" w:name="_Toc184314472"/>
      <w:bookmarkEnd w:id="357"/>
      <w:bookmarkStart w:id="358" w:name="_Toc184310344"/>
      <w:bookmarkEnd w:id="358"/>
      <w:bookmarkStart w:id="359" w:name="_Toc184308074"/>
      <w:bookmarkEnd w:id="359"/>
      <w:bookmarkStart w:id="360" w:name="_Toc184313293"/>
      <w:bookmarkEnd w:id="360"/>
      <w:bookmarkStart w:id="361" w:name="_Toc184310318"/>
      <w:bookmarkEnd w:id="361"/>
      <w:bookmarkStart w:id="362" w:name="_Toc184314474"/>
      <w:bookmarkEnd w:id="362"/>
      <w:bookmarkStart w:id="363" w:name="_Toc184310293"/>
      <w:bookmarkEnd w:id="363"/>
      <w:bookmarkStart w:id="364" w:name="_Toc184312072"/>
      <w:bookmarkEnd w:id="364"/>
      <w:bookmarkStart w:id="365" w:name="_Toc184313298"/>
      <w:bookmarkEnd w:id="365"/>
      <w:bookmarkStart w:id="366" w:name="_Toc184312073"/>
      <w:bookmarkEnd w:id="366"/>
      <w:bookmarkStart w:id="367" w:name="_Toc184314418"/>
      <w:bookmarkEnd w:id="367"/>
      <w:bookmarkStart w:id="368" w:name="_Toc184308106"/>
      <w:bookmarkEnd w:id="368"/>
      <w:bookmarkStart w:id="369" w:name="_Toc184310329"/>
      <w:bookmarkEnd w:id="369"/>
      <w:bookmarkStart w:id="370" w:name="_Toc184310310"/>
      <w:bookmarkEnd w:id="370"/>
      <w:bookmarkStart w:id="371" w:name="_Toc184310298"/>
      <w:bookmarkEnd w:id="371"/>
      <w:bookmarkStart w:id="372" w:name="_Toc184313246"/>
      <w:bookmarkEnd w:id="372"/>
      <w:bookmarkStart w:id="373" w:name="_Toc184312115"/>
      <w:bookmarkEnd w:id="373"/>
      <w:bookmarkStart w:id="374" w:name="_Toc184308056"/>
      <w:bookmarkEnd w:id="374"/>
      <w:bookmarkStart w:id="375" w:name="_Toc184313299"/>
      <w:bookmarkEnd w:id="375"/>
      <w:bookmarkStart w:id="376" w:name="_Toc184310292"/>
      <w:bookmarkEnd w:id="376"/>
      <w:bookmarkStart w:id="377" w:name="_Toc184308066"/>
      <w:bookmarkEnd w:id="377"/>
      <w:bookmarkStart w:id="378" w:name="_Toc184314425"/>
      <w:bookmarkEnd w:id="378"/>
      <w:bookmarkStart w:id="379" w:name="_Toc184310275"/>
      <w:bookmarkEnd w:id="379"/>
      <w:bookmarkStart w:id="380" w:name="_Toc184308040"/>
      <w:bookmarkEnd w:id="380"/>
      <w:bookmarkStart w:id="381" w:name="_Toc184308045"/>
      <w:bookmarkEnd w:id="381"/>
      <w:bookmarkStart w:id="382" w:name="_Toc184312085"/>
      <w:bookmarkEnd w:id="382"/>
      <w:bookmarkStart w:id="383" w:name="_Toc184308072"/>
      <w:bookmarkEnd w:id="383"/>
      <w:bookmarkStart w:id="384" w:name="_Toc184313263"/>
      <w:bookmarkEnd w:id="384"/>
      <w:bookmarkStart w:id="385" w:name="_Toc184313305"/>
      <w:bookmarkEnd w:id="385"/>
      <w:bookmarkStart w:id="386" w:name="_Toc184312138"/>
      <w:bookmarkEnd w:id="386"/>
      <w:bookmarkStart w:id="387" w:name="_Toc184312109"/>
      <w:bookmarkEnd w:id="387"/>
      <w:bookmarkStart w:id="388" w:name="_Toc184310315"/>
      <w:bookmarkEnd w:id="388"/>
      <w:bookmarkStart w:id="389" w:name="_Toc184314464"/>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69C6AA6">
      <w:pPr>
        <w:keepNext w:val="0"/>
        <w:keepLines w:val="0"/>
        <w:pageBreakBefore w:val="0"/>
        <w:widowControl w:val="0"/>
        <w:kinsoku/>
        <w:wordWrap/>
        <w:overflowPunct/>
        <w:topLinePunct w:val="0"/>
        <w:autoSpaceDE w:val="0"/>
        <w:autoSpaceDN w:val="0"/>
        <w:bidi w:val="0"/>
        <w:adjustRightInd w:val="0"/>
        <w:snapToGrid/>
        <w:spacing w:line="320" w:lineRule="exact"/>
        <w:ind w:left="0" w:right="0" w:firstLine="480" w:firstLineChars="200"/>
        <w:textAlignment w:val="auto"/>
        <w:rPr>
          <w:rFonts w:hint="eastAsia" w:ascii="Times New Roman" w:hAnsi="Times New Roman" w:eastAsia="仿宋" w:cs="Times New Roman"/>
          <w:sz w:val="24"/>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eastAsia="仿宋" w:cs="Times New Roman"/>
          <w:sz w:val="24"/>
          <w:lang w:val="en-US" w:eastAsia="zh-CN"/>
        </w:rPr>
        <w:t>8</w:t>
      </w:r>
      <w:r>
        <w:rPr>
          <w:rFonts w:ascii="Times New Roman" w:hAnsi="Times New Roman" w:eastAsia="仿宋" w:cs="Times New Roman"/>
          <w:sz w:val="24"/>
        </w:rPr>
        <w:t>0分）</w:t>
      </w:r>
    </w:p>
    <w:tbl>
      <w:tblPr>
        <w:tblStyle w:val="66"/>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39"/>
        <w:gridCol w:w="6848"/>
        <w:gridCol w:w="1076"/>
      </w:tblGrid>
      <w:tr w14:paraId="24C4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590D1A7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序号</w:t>
            </w:r>
          </w:p>
        </w:tc>
        <w:tc>
          <w:tcPr>
            <w:tcW w:w="1439" w:type="dxa"/>
            <w:noWrap w:val="0"/>
            <w:vAlign w:val="center"/>
          </w:tcPr>
          <w:p w14:paraId="5739A8F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评分</w:t>
            </w:r>
            <w:r>
              <w:rPr>
                <w:rFonts w:hint="eastAsia" w:ascii="仿宋" w:hAnsi="仿宋" w:eastAsia="仿宋" w:cs="仿宋"/>
                <w:b/>
                <w:bCs/>
                <w:color w:val="auto"/>
                <w:sz w:val="24"/>
                <w:highlight w:val="none"/>
              </w:rPr>
              <w:t>项目</w:t>
            </w:r>
          </w:p>
        </w:tc>
        <w:tc>
          <w:tcPr>
            <w:tcW w:w="6848" w:type="dxa"/>
            <w:noWrap w:val="0"/>
            <w:vAlign w:val="center"/>
          </w:tcPr>
          <w:p w14:paraId="31CD97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1076" w:type="dxa"/>
            <w:noWrap w:val="0"/>
            <w:vAlign w:val="center"/>
          </w:tcPr>
          <w:p w14:paraId="44A51AA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p w14:paraId="52B517B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范围</w:t>
            </w:r>
          </w:p>
        </w:tc>
      </w:tr>
      <w:tr w14:paraId="34DD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noWrap w:val="0"/>
            <w:vAlign w:val="center"/>
          </w:tcPr>
          <w:p w14:paraId="79A09FCB">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仿宋" w:hAnsi="仿宋" w:eastAsia="仿宋" w:cs="仿宋"/>
                <w:b/>
                <w:bCs w:val="0"/>
                <w:color w:val="auto"/>
                <w:sz w:val="24"/>
                <w:highlight w:val="none"/>
                <w:lang w:val="en-US" w:eastAsia="zh-CN"/>
              </w:rPr>
            </w:pPr>
          </w:p>
        </w:tc>
        <w:tc>
          <w:tcPr>
            <w:tcW w:w="1439" w:type="dxa"/>
            <w:vMerge w:val="restart"/>
            <w:noWrap w:val="0"/>
            <w:vAlign w:val="center"/>
          </w:tcPr>
          <w:p w14:paraId="7B66AEA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企业资信</w:t>
            </w:r>
          </w:p>
        </w:tc>
        <w:tc>
          <w:tcPr>
            <w:tcW w:w="6848" w:type="dxa"/>
            <w:noWrap w:val="0"/>
            <w:vAlign w:val="center"/>
          </w:tcPr>
          <w:p w14:paraId="507C002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投标人具有</w:t>
            </w:r>
            <w:r>
              <w:rPr>
                <w:rFonts w:hint="eastAsia" w:ascii="仿宋" w:hAnsi="仿宋" w:eastAsia="仿宋" w:cs="仿宋"/>
                <w:bCs/>
                <w:color w:val="auto"/>
                <w:sz w:val="24"/>
                <w:highlight w:val="none"/>
                <w:lang w:val="en-US" w:eastAsia="zh-CN"/>
              </w:rPr>
              <w:t>有效期内的</w:t>
            </w:r>
            <w:r>
              <w:rPr>
                <w:rFonts w:hint="eastAsia" w:ascii="仿宋" w:hAnsi="仿宋" w:eastAsia="仿宋" w:cs="仿宋"/>
                <w:bCs/>
                <w:color w:val="auto"/>
                <w:sz w:val="24"/>
                <w:highlight w:val="none"/>
              </w:rPr>
              <w:t>质量管理体系认证</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、环境管理体系认证</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、职业健康安全管理体</w:t>
            </w:r>
            <w:r>
              <w:rPr>
                <w:rFonts w:hint="eastAsia" w:ascii="仿宋" w:hAnsi="仿宋" w:eastAsia="仿宋" w:cs="仿宋"/>
                <w:bCs/>
                <w:color w:val="auto"/>
                <w:sz w:val="24"/>
                <w:highlight w:val="none"/>
                <w:lang w:val="en-US" w:eastAsia="zh-CN"/>
              </w:rPr>
              <w:t>系认证证书、食品安全管理体系认证证书的，每提供一个得2分，本项最高得8分。</w:t>
            </w:r>
          </w:p>
          <w:p w14:paraId="2C4B552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注：商务技术文件中</w:t>
            </w:r>
            <w:r>
              <w:rPr>
                <w:rFonts w:hint="eastAsia" w:ascii="仿宋" w:hAnsi="仿宋" w:eastAsia="仿宋" w:cs="仿宋"/>
                <w:b w:val="0"/>
                <w:bCs/>
                <w:color w:val="auto"/>
                <w:sz w:val="24"/>
                <w:highlight w:val="none"/>
                <w:lang w:val="en-US" w:eastAsia="zh-CN"/>
              </w:rPr>
              <w:t>需</w:t>
            </w:r>
            <w:r>
              <w:rPr>
                <w:rFonts w:hint="eastAsia" w:ascii="仿宋" w:hAnsi="仿宋" w:eastAsia="仿宋" w:cs="仿宋"/>
                <w:b w:val="0"/>
                <w:bCs/>
                <w:color w:val="auto"/>
                <w:sz w:val="24"/>
                <w:highlight w:val="none"/>
              </w:rPr>
              <w:t>提供</w:t>
            </w:r>
            <w:r>
              <w:rPr>
                <w:rFonts w:hint="eastAsia" w:ascii="仿宋" w:hAnsi="仿宋" w:eastAsia="仿宋" w:cs="仿宋"/>
                <w:b w:val="0"/>
                <w:bCs/>
                <w:color w:val="auto"/>
                <w:sz w:val="24"/>
                <w:highlight w:val="none"/>
                <w:lang w:val="en-US" w:eastAsia="zh-CN"/>
              </w:rPr>
              <w:t>相关</w:t>
            </w:r>
            <w:r>
              <w:rPr>
                <w:rFonts w:hint="eastAsia" w:ascii="仿宋" w:hAnsi="仿宋" w:eastAsia="仿宋" w:cs="仿宋"/>
                <w:b w:val="0"/>
                <w:bCs/>
                <w:color w:val="auto"/>
                <w:sz w:val="24"/>
                <w:highlight w:val="none"/>
              </w:rPr>
              <w:t>证书复印件</w:t>
            </w:r>
            <w:r>
              <w:rPr>
                <w:rFonts w:hint="eastAsia" w:ascii="仿宋" w:hAnsi="仿宋" w:eastAsia="仿宋" w:cs="仿宋"/>
                <w:b w:val="0"/>
                <w:bCs/>
                <w:color w:val="auto"/>
                <w:sz w:val="24"/>
                <w:highlight w:val="none"/>
                <w:lang w:val="en-US" w:eastAsia="zh-CN"/>
              </w:rPr>
              <w:t>及国家认证认可监督管理委员会官网截图</w:t>
            </w:r>
            <w:r>
              <w:rPr>
                <w:rFonts w:hint="eastAsia" w:ascii="仿宋" w:hAnsi="仿宋" w:eastAsia="仿宋" w:cs="仿宋"/>
                <w:b w:val="0"/>
                <w:bCs/>
                <w:color w:val="auto"/>
                <w:sz w:val="24"/>
                <w:highlight w:val="none"/>
              </w:rPr>
              <w:t>并加盖投标人CA签章，</w:t>
            </w:r>
            <w:r>
              <w:rPr>
                <w:rFonts w:hint="eastAsia" w:ascii="仿宋" w:hAnsi="仿宋" w:eastAsia="仿宋" w:cs="仿宋"/>
                <w:b w:val="0"/>
                <w:bCs/>
                <w:color w:val="auto"/>
                <w:kern w:val="21"/>
                <w:sz w:val="24"/>
                <w:highlight w:val="none"/>
                <w:lang w:val="en-US" w:eastAsia="zh-CN"/>
              </w:rPr>
              <w:t>不提供或缺一</w:t>
            </w:r>
            <w:r>
              <w:rPr>
                <w:rFonts w:hint="eastAsia" w:ascii="仿宋" w:hAnsi="仿宋" w:eastAsia="仿宋" w:cs="仿宋"/>
                <w:b w:val="0"/>
                <w:bCs/>
                <w:color w:val="auto"/>
                <w:sz w:val="24"/>
                <w:highlight w:val="none"/>
              </w:rPr>
              <w:t>不得分</w:t>
            </w:r>
            <w:r>
              <w:rPr>
                <w:rFonts w:hint="eastAsia" w:ascii="仿宋" w:hAnsi="仿宋" w:eastAsia="仿宋" w:cs="仿宋"/>
                <w:b w:val="0"/>
                <w:bCs/>
                <w:color w:val="auto"/>
                <w:sz w:val="24"/>
                <w:highlight w:val="none"/>
                <w:lang w:eastAsia="zh-CN"/>
              </w:rPr>
              <w:t>。</w:t>
            </w:r>
          </w:p>
        </w:tc>
        <w:tc>
          <w:tcPr>
            <w:tcW w:w="1076" w:type="dxa"/>
            <w:noWrap w:val="0"/>
            <w:vAlign w:val="center"/>
          </w:tcPr>
          <w:p w14:paraId="4B4AAB2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8</w:t>
            </w:r>
            <w:r>
              <w:rPr>
                <w:rFonts w:hint="eastAsia" w:ascii="仿宋" w:hAnsi="仿宋" w:eastAsia="仿宋" w:cs="仿宋"/>
                <w:b/>
                <w:bCs w:val="0"/>
                <w:color w:val="auto"/>
                <w:sz w:val="24"/>
                <w:highlight w:val="none"/>
              </w:rPr>
              <w:t>分</w:t>
            </w:r>
          </w:p>
        </w:tc>
      </w:tr>
      <w:tr w14:paraId="7080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14:paraId="2F9F93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1439" w:type="dxa"/>
            <w:vMerge w:val="continue"/>
            <w:noWrap w:val="0"/>
            <w:vAlign w:val="center"/>
          </w:tcPr>
          <w:p w14:paraId="4D3FF21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6848" w:type="dxa"/>
            <w:noWrap w:val="0"/>
            <w:vAlign w:val="center"/>
          </w:tcPr>
          <w:p w14:paraId="5C537E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投标人自2022年1月1日以来（以颁发时间为准），获得过县市级项目相关荣誉或奖项证书的得1分，地市级项目相关荣誉或奖项证书的得2分，省级及以上项目相关荣誉或奖项证书的得3分。</w:t>
            </w:r>
          </w:p>
          <w:p w14:paraId="1339DF2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注：商务技术文件中</w:t>
            </w:r>
            <w:r>
              <w:rPr>
                <w:rFonts w:hint="eastAsia" w:ascii="仿宋" w:hAnsi="仿宋" w:eastAsia="仿宋" w:cs="仿宋"/>
                <w:b w:val="0"/>
                <w:bCs/>
                <w:color w:val="auto"/>
                <w:sz w:val="24"/>
                <w:highlight w:val="none"/>
                <w:lang w:val="en-US" w:eastAsia="zh-CN"/>
              </w:rPr>
              <w:t>需</w:t>
            </w:r>
            <w:r>
              <w:rPr>
                <w:rFonts w:hint="eastAsia" w:ascii="仿宋" w:hAnsi="仿宋" w:eastAsia="仿宋" w:cs="仿宋"/>
                <w:b w:val="0"/>
                <w:bCs/>
                <w:color w:val="auto"/>
                <w:sz w:val="24"/>
                <w:highlight w:val="none"/>
              </w:rPr>
              <w:t>提供相关证明材料并加盖投标人CA签章，</w:t>
            </w:r>
            <w:r>
              <w:rPr>
                <w:rFonts w:hint="eastAsia" w:ascii="仿宋" w:hAnsi="仿宋" w:eastAsia="仿宋" w:cs="仿宋"/>
                <w:bCs/>
                <w:color w:val="auto"/>
                <w:sz w:val="24"/>
                <w:szCs w:val="24"/>
                <w:highlight w:val="none"/>
                <w:lang w:val="en-US" w:eastAsia="zh-CN"/>
              </w:rPr>
              <w:t>否则不得分</w:t>
            </w:r>
            <w:r>
              <w:rPr>
                <w:rFonts w:hint="eastAsia" w:ascii="仿宋" w:hAnsi="仿宋" w:eastAsia="仿宋" w:cs="仿宋"/>
                <w:b w:val="0"/>
                <w:bCs/>
                <w:color w:val="auto"/>
                <w:sz w:val="24"/>
                <w:highlight w:val="none"/>
              </w:rPr>
              <w:t>。</w:t>
            </w:r>
          </w:p>
        </w:tc>
        <w:tc>
          <w:tcPr>
            <w:tcW w:w="1076" w:type="dxa"/>
            <w:noWrap w:val="0"/>
            <w:vAlign w:val="center"/>
          </w:tcPr>
          <w:p w14:paraId="4B56BE9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3</w:t>
            </w:r>
            <w:r>
              <w:rPr>
                <w:rFonts w:hint="eastAsia" w:ascii="仿宋" w:hAnsi="仿宋" w:eastAsia="仿宋" w:cs="仿宋"/>
                <w:b/>
                <w:bCs w:val="0"/>
                <w:color w:val="auto"/>
                <w:sz w:val="24"/>
                <w:highlight w:val="none"/>
              </w:rPr>
              <w:t>分</w:t>
            </w:r>
          </w:p>
        </w:tc>
      </w:tr>
      <w:tr w14:paraId="75F6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6" w:type="dxa"/>
            <w:noWrap w:val="0"/>
            <w:vAlign w:val="center"/>
          </w:tcPr>
          <w:p w14:paraId="48C546DF">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仿宋" w:hAnsi="仿宋" w:eastAsia="仿宋" w:cs="仿宋"/>
                <w:b/>
                <w:bCs w:val="0"/>
                <w:color w:val="auto"/>
                <w:sz w:val="24"/>
                <w:highlight w:val="none"/>
                <w:lang w:val="en-US" w:eastAsia="zh-CN"/>
              </w:rPr>
            </w:pPr>
          </w:p>
        </w:tc>
        <w:tc>
          <w:tcPr>
            <w:tcW w:w="1439" w:type="dxa"/>
            <w:noWrap w:val="0"/>
            <w:vAlign w:val="center"/>
          </w:tcPr>
          <w:p w14:paraId="4743B5F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项目业绩</w:t>
            </w:r>
          </w:p>
        </w:tc>
        <w:tc>
          <w:tcPr>
            <w:tcW w:w="6848" w:type="dxa"/>
            <w:noWrap w:val="0"/>
            <w:vAlign w:val="center"/>
          </w:tcPr>
          <w:p w14:paraId="3830E2C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2022</w:t>
            </w:r>
            <w:r>
              <w:rPr>
                <w:rFonts w:hint="eastAsia" w:ascii="仿宋" w:hAnsi="仿宋" w:eastAsia="仿宋" w:cs="仿宋"/>
                <w:bCs/>
                <w:color w:val="auto"/>
                <w:sz w:val="24"/>
                <w:highlight w:val="none"/>
              </w:rPr>
              <w:t>年1月1日以来</w:t>
            </w:r>
            <w:r>
              <w:rPr>
                <w:rFonts w:hint="eastAsia" w:ascii="仿宋" w:hAnsi="仿宋" w:eastAsia="仿宋" w:cs="仿宋"/>
                <w:color w:val="auto"/>
                <w:kern w:val="0"/>
                <w:sz w:val="24"/>
                <w:szCs w:val="24"/>
                <w:highlight w:val="none"/>
              </w:rPr>
              <w:t>（以合同签订</w:t>
            </w:r>
            <w:r>
              <w:rPr>
                <w:rFonts w:hint="eastAsia" w:ascii="仿宋" w:hAnsi="仿宋" w:eastAsia="仿宋" w:cs="仿宋"/>
                <w:color w:val="auto"/>
                <w:kern w:val="0"/>
                <w:sz w:val="24"/>
                <w:szCs w:val="24"/>
                <w:highlight w:val="none"/>
                <w:lang w:val="en-US" w:eastAsia="zh-CN"/>
              </w:rPr>
              <w:t>日期</w:t>
            </w:r>
            <w:r>
              <w:rPr>
                <w:rFonts w:hint="eastAsia" w:ascii="仿宋" w:hAnsi="仿宋" w:eastAsia="仿宋" w:cs="仿宋"/>
                <w:color w:val="auto"/>
                <w:kern w:val="0"/>
                <w:sz w:val="24"/>
                <w:szCs w:val="24"/>
                <w:highlight w:val="none"/>
              </w:rPr>
              <w:t>为准）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具有同类</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rPr>
              <w:t>业绩的，</w:t>
            </w:r>
            <w:r>
              <w:rPr>
                <w:rFonts w:hint="eastAsia" w:ascii="仿宋" w:hAnsi="仿宋" w:eastAsia="仿宋" w:cs="仿宋"/>
                <w:bCs/>
                <w:color w:val="auto"/>
                <w:sz w:val="24"/>
                <w:highlight w:val="none"/>
              </w:rPr>
              <w:t>每提供一个</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bCs/>
                <w:color w:val="auto"/>
                <w:sz w:val="24"/>
                <w:highlight w:val="none"/>
                <w:lang w:val="en-US" w:eastAsia="zh-CN"/>
              </w:rPr>
              <w:t>本项</w:t>
            </w:r>
            <w:r>
              <w:rPr>
                <w:rFonts w:hint="eastAsia" w:ascii="仿宋" w:hAnsi="仿宋" w:eastAsia="仿宋" w:cs="仿宋"/>
                <w:color w:val="auto"/>
                <w:kern w:val="0"/>
                <w:sz w:val="24"/>
                <w:szCs w:val="24"/>
                <w:highlight w:val="none"/>
              </w:rPr>
              <w:t>最高得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1AE778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rPr>
              <w:t>注：商务技术文件中</w:t>
            </w:r>
            <w:r>
              <w:rPr>
                <w:rFonts w:hint="eastAsia" w:ascii="仿宋" w:hAnsi="仿宋" w:eastAsia="仿宋" w:cs="仿宋"/>
                <w:b w:val="0"/>
                <w:bCs w:val="0"/>
                <w:color w:val="auto"/>
                <w:sz w:val="24"/>
                <w:highlight w:val="none"/>
                <w:lang w:val="en-US" w:eastAsia="zh-CN"/>
              </w:rPr>
              <w:t>需</w:t>
            </w:r>
            <w:r>
              <w:rPr>
                <w:rFonts w:hint="eastAsia" w:ascii="仿宋" w:hAnsi="仿宋" w:eastAsia="仿宋" w:cs="仿宋"/>
                <w:b w:val="0"/>
                <w:bCs w:val="0"/>
                <w:color w:val="auto"/>
                <w:kern w:val="0"/>
                <w:sz w:val="24"/>
                <w:szCs w:val="24"/>
                <w:highlight w:val="none"/>
              </w:rPr>
              <w:t>提供</w:t>
            </w:r>
            <w:r>
              <w:rPr>
                <w:rFonts w:hint="eastAsia" w:ascii="仿宋" w:hAnsi="仿宋" w:eastAsia="仿宋" w:cs="仿宋"/>
                <w:b w:val="0"/>
                <w:bCs w:val="0"/>
                <w:color w:val="auto"/>
                <w:kern w:val="0"/>
                <w:sz w:val="24"/>
                <w:szCs w:val="24"/>
                <w:highlight w:val="none"/>
                <w:lang w:val="en-US" w:eastAsia="zh-CN"/>
              </w:rPr>
              <w:t>相关</w:t>
            </w:r>
            <w:r>
              <w:rPr>
                <w:rFonts w:hint="eastAsia" w:ascii="仿宋" w:hAnsi="仿宋" w:eastAsia="仿宋" w:cs="仿宋"/>
                <w:b w:val="0"/>
                <w:bCs w:val="0"/>
                <w:color w:val="auto"/>
                <w:kern w:val="0"/>
                <w:sz w:val="24"/>
                <w:szCs w:val="24"/>
                <w:highlight w:val="none"/>
              </w:rPr>
              <w:t>合同复印件</w:t>
            </w:r>
            <w:r>
              <w:rPr>
                <w:rFonts w:hint="eastAsia" w:ascii="仿宋" w:hAnsi="仿宋" w:eastAsia="仿宋" w:cs="仿宋"/>
                <w:b w:val="0"/>
                <w:bCs w:val="0"/>
                <w:color w:val="auto"/>
                <w:kern w:val="0"/>
                <w:sz w:val="24"/>
                <w:szCs w:val="24"/>
                <w:highlight w:val="none"/>
                <w:lang w:val="en-US" w:eastAsia="zh-CN"/>
              </w:rPr>
              <w:t>及相应证明材料(必须有业主单位联系人、联系方式及业主单位盖章)</w:t>
            </w:r>
            <w:r>
              <w:rPr>
                <w:rFonts w:hint="eastAsia" w:ascii="仿宋" w:hAnsi="仿宋" w:eastAsia="仿宋" w:cs="仿宋"/>
                <w:b w:val="0"/>
                <w:bCs w:val="0"/>
                <w:color w:val="auto"/>
                <w:kern w:val="0"/>
                <w:sz w:val="24"/>
                <w:szCs w:val="24"/>
                <w:highlight w:val="none"/>
              </w:rPr>
              <w:t>并加盖投标人CA签章，</w:t>
            </w:r>
            <w:r>
              <w:rPr>
                <w:rFonts w:hint="eastAsia" w:ascii="仿宋" w:hAnsi="仿宋" w:eastAsia="仿宋" w:cs="仿宋"/>
                <w:bCs/>
                <w:color w:val="auto"/>
                <w:sz w:val="24"/>
                <w:szCs w:val="24"/>
                <w:highlight w:val="none"/>
                <w:lang w:val="en-US" w:eastAsia="zh-CN"/>
              </w:rPr>
              <w:t>否则不得分</w:t>
            </w:r>
            <w:r>
              <w:rPr>
                <w:rFonts w:hint="eastAsia" w:ascii="仿宋" w:hAnsi="仿宋" w:eastAsia="仿宋" w:cs="仿宋"/>
                <w:b w:val="0"/>
                <w:bCs w:val="0"/>
                <w:color w:val="auto"/>
                <w:kern w:val="0"/>
                <w:sz w:val="24"/>
                <w:szCs w:val="24"/>
                <w:highlight w:val="none"/>
              </w:rPr>
              <w:t>。</w:t>
            </w:r>
          </w:p>
        </w:tc>
        <w:tc>
          <w:tcPr>
            <w:tcW w:w="1076" w:type="dxa"/>
            <w:noWrap w:val="0"/>
            <w:vAlign w:val="center"/>
          </w:tcPr>
          <w:p w14:paraId="05D3817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2</w:t>
            </w:r>
            <w:r>
              <w:rPr>
                <w:rFonts w:hint="eastAsia" w:ascii="仿宋" w:hAnsi="仿宋" w:eastAsia="仿宋" w:cs="仿宋"/>
                <w:b/>
                <w:bCs w:val="0"/>
                <w:color w:val="auto"/>
                <w:sz w:val="24"/>
                <w:highlight w:val="none"/>
              </w:rPr>
              <w:t>分</w:t>
            </w:r>
          </w:p>
        </w:tc>
      </w:tr>
      <w:tr w14:paraId="350E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06" w:type="dxa"/>
            <w:vMerge w:val="restart"/>
            <w:noWrap w:val="0"/>
            <w:vAlign w:val="center"/>
          </w:tcPr>
          <w:p w14:paraId="3FF2CFD5">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vMerge w:val="restart"/>
            <w:noWrap w:val="0"/>
            <w:vAlign w:val="center"/>
          </w:tcPr>
          <w:p w14:paraId="7F94920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设施设备</w:t>
            </w:r>
          </w:p>
        </w:tc>
        <w:tc>
          <w:tcPr>
            <w:tcW w:w="6848" w:type="dxa"/>
            <w:noWrap w:val="0"/>
            <w:vAlign w:val="center"/>
          </w:tcPr>
          <w:p w14:paraId="68D5F507">
            <w:pPr>
              <w:keepNext w:val="0"/>
              <w:keepLines w:val="0"/>
              <w:pageBreakBefore w:val="0"/>
              <w:widowControl w:val="0"/>
              <w:numPr>
                <w:ilvl w:val="0"/>
                <w:numId w:val="17"/>
              </w:numPr>
              <w:kinsoku/>
              <w:wordWrap/>
              <w:overflowPunct/>
              <w:topLinePunct w:val="0"/>
              <w:autoSpaceDE/>
              <w:autoSpaceDN/>
              <w:bidi w:val="0"/>
              <w:adjustRightInd/>
              <w:snapToGrid/>
              <w:spacing w:line="288" w:lineRule="auto"/>
              <w:textAlignment w:val="auto"/>
              <w:rPr>
                <w:rFonts w:hint="eastAsia" w:ascii="仿宋" w:hAnsi="仿宋" w:eastAsia="仿宋" w:cs="仿宋_GB2312"/>
                <w:sz w:val="24"/>
              </w:rPr>
            </w:pPr>
            <w:r>
              <w:rPr>
                <w:rFonts w:hint="eastAsia" w:ascii="仿宋" w:hAnsi="仿宋" w:eastAsia="仿宋" w:cs="仿宋_GB2312"/>
                <w:sz w:val="24"/>
                <w:lang w:val="en-US" w:eastAsia="zh-CN"/>
              </w:rPr>
              <w:t>投标人</w:t>
            </w:r>
            <w:r>
              <w:rPr>
                <w:rFonts w:hint="eastAsia" w:ascii="仿宋" w:hAnsi="仿宋" w:eastAsia="仿宋" w:cs="仿宋_GB2312"/>
                <w:sz w:val="24"/>
              </w:rPr>
              <w:t>配送场所</w:t>
            </w:r>
            <w:r>
              <w:rPr>
                <w:rFonts w:hint="eastAsia" w:ascii="仿宋" w:hAnsi="仿宋" w:eastAsia="仿宋" w:cs="仿宋"/>
                <w:bCs/>
                <w:color w:val="auto"/>
                <w:sz w:val="24"/>
                <w:szCs w:val="24"/>
                <w:highlight w:val="none"/>
                <w:lang w:val="en-US" w:eastAsia="zh-CN"/>
              </w:rPr>
              <w:t>有主副食品功能仓库的且独立分割区域（粮油仓库、干调堆放区、猪肉分割车间、果蔬分拣车间）的得8分，每少一个扣2分。</w:t>
            </w:r>
          </w:p>
          <w:p w14:paraId="0648B923">
            <w:pPr>
              <w:keepNext w:val="0"/>
              <w:keepLines w:val="0"/>
              <w:pageBreakBefore w:val="0"/>
              <w:widowControl w:val="0"/>
              <w:numPr>
                <w:ilvl w:val="0"/>
                <w:numId w:val="17"/>
              </w:numPr>
              <w:kinsoku/>
              <w:wordWrap/>
              <w:overflowPunct/>
              <w:topLinePunct w:val="0"/>
              <w:autoSpaceDE/>
              <w:autoSpaceDN/>
              <w:bidi w:val="0"/>
              <w:adjustRightInd/>
              <w:snapToGrid/>
              <w:spacing w:line="288" w:lineRule="auto"/>
              <w:textAlignment w:val="auto"/>
              <w:rPr>
                <w:rFonts w:hint="eastAsia" w:ascii="仿宋" w:hAnsi="仿宋" w:eastAsia="仿宋" w:cs="仿宋_GB2312"/>
                <w:sz w:val="24"/>
              </w:rPr>
            </w:pPr>
            <w:r>
              <w:rPr>
                <w:rFonts w:hint="eastAsia" w:ascii="仿宋" w:hAnsi="仿宋" w:eastAsia="仿宋" w:cs="仿宋_GB2312"/>
                <w:sz w:val="24"/>
                <w:lang w:val="en-US" w:eastAsia="zh-CN"/>
              </w:rPr>
              <w:t>投标人</w:t>
            </w:r>
            <w:r>
              <w:rPr>
                <w:rFonts w:hint="eastAsia" w:ascii="仿宋" w:hAnsi="仿宋" w:eastAsia="仿宋" w:cs="仿宋_GB2312"/>
                <w:sz w:val="24"/>
              </w:rPr>
              <w:t>配送场所配备有保鲜冷库的，得</w:t>
            </w:r>
            <w:r>
              <w:rPr>
                <w:rFonts w:hint="eastAsia" w:ascii="仿宋" w:hAnsi="仿宋" w:eastAsia="仿宋" w:cs="仿宋_GB2312"/>
                <w:sz w:val="24"/>
                <w:lang w:val="en-US" w:eastAsia="zh-CN"/>
              </w:rPr>
              <w:t>2</w:t>
            </w:r>
            <w:r>
              <w:rPr>
                <w:rFonts w:hint="eastAsia" w:ascii="仿宋" w:hAnsi="仿宋" w:eastAsia="仿宋" w:cs="仿宋_GB2312"/>
                <w:sz w:val="24"/>
              </w:rPr>
              <w:t>分。</w:t>
            </w:r>
          </w:p>
          <w:p w14:paraId="74272639">
            <w:pPr>
              <w:keepNext w:val="0"/>
              <w:keepLines w:val="0"/>
              <w:pageBreakBefore w:val="0"/>
              <w:widowControl w:val="0"/>
              <w:numPr>
                <w:ilvl w:val="0"/>
                <w:numId w:val="17"/>
              </w:numPr>
              <w:kinsoku/>
              <w:wordWrap/>
              <w:overflowPunct/>
              <w:topLinePunct w:val="0"/>
              <w:autoSpaceDE/>
              <w:autoSpaceDN/>
              <w:bidi w:val="0"/>
              <w:adjustRightInd/>
              <w:snapToGrid/>
              <w:spacing w:line="288" w:lineRule="auto"/>
              <w:textAlignment w:val="auto"/>
              <w:rPr>
                <w:rFonts w:hint="eastAsia" w:ascii="仿宋" w:hAnsi="仿宋" w:eastAsia="仿宋" w:cs="仿宋_GB2312"/>
                <w:sz w:val="24"/>
              </w:rPr>
            </w:pPr>
            <w:r>
              <w:rPr>
                <w:rFonts w:hint="eastAsia" w:ascii="仿宋" w:hAnsi="仿宋" w:eastAsia="仿宋" w:cs="仿宋_GB2312"/>
                <w:sz w:val="24"/>
                <w:lang w:val="en-US" w:eastAsia="zh-CN"/>
              </w:rPr>
              <w:t>投标人</w:t>
            </w:r>
            <w:r>
              <w:rPr>
                <w:rFonts w:hint="eastAsia" w:ascii="仿宋" w:hAnsi="仿宋" w:eastAsia="仿宋" w:cs="仿宋_GB2312"/>
                <w:sz w:val="24"/>
              </w:rPr>
              <w:t>配送场所配备有冷冻冷库的，得</w:t>
            </w:r>
            <w:r>
              <w:rPr>
                <w:rFonts w:hint="eastAsia" w:ascii="仿宋" w:hAnsi="仿宋" w:eastAsia="仿宋" w:cs="仿宋_GB2312"/>
                <w:sz w:val="24"/>
                <w:lang w:val="en-US" w:eastAsia="zh-CN"/>
              </w:rPr>
              <w:t>2</w:t>
            </w:r>
            <w:r>
              <w:rPr>
                <w:rFonts w:hint="eastAsia" w:ascii="仿宋" w:hAnsi="仿宋" w:eastAsia="仿宋" w:cs="仿宋_GB2312"/>
                <w:sz w:val="24"/>
              </w:rPr>
              <w:t>分。</w:t>
            </w:r>
          </w:p>
          <w:p w14:paraId="71D5BBD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_GB2312"/>
                <w:sz w:val="24"/>
              </w:rPr>
              <w:t>注：配送场所可投标人自有或租赁，商务技术文件中需提供投标人房产权证（或租赁合同）复印件以及相匹配的功能区域场所现场照片并加盖投标人CA签章，未按要求提供的不得分。</w:t>
            </w:r>
          </w:p>
        </w:tc>
        <w:tc>
          <w:tcPr>
            <w:tcW w:w="1076" w:type="dxa"/>
            <w:noWrap w:val="0"/>
            <w:vAlign w:val="center"/>
          </w:tcPr>
          <w:p w14:paraId="47DC986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12</w:t>
            </w:r>
            <w:r>
              <w:rPr>
                <w:rFonts w:hint="eastAsia" w:ascii="仿宋" w:hAnsi="仿宋" w:eastAsia="仿宋" w:cs="仿宋"/>
                <w:b/>
                <w:bCs w:val="0"/>
                <w:color w:val="auto"/>
                <w:sz w:val="24"/>
                <w:highlight w:val="none"/>
              </w:rPr>
              <w:t>分</w:t>
            </w:r>
          </w:p>
        </w:tc>
      </w:tr>
      <w:tr w14:paraId="34AC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806" w:type="dxa"/>
            <w:vMerge w:val="continue"/>
            <w:noWrap w:val="0"/>
            <w:vAlign w:val="center"/>
          </w:tcPr>
          <w:p w14:paraId="68E31E5A">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仿宋" w:hAnsi="仿宋" w:eastAsia="仿宋" w:cs="仿宋"/>
                <w:b/>
                <w:bCs w:val="0"/>
                <w:color w:val="auto"/>
                <w:sz w:val="24"/>
                <w:highlight w:val="none"/>
                <w:lang w:val="en-US" w:eastAsia="zh-CN"/>
              </w:rPr>
            </w:pPr>
          </w:p>
        </w:tc>
        <w:tc>
          <w:tcPr>
            <w:tcW w:w="1439" w:type="dxa"/>
            <w:vMerge w:val="continue"/>
            <w:noWrap w:val="0"/>
            <w:vAlign w:val="center"/>
          </w:tcPr>
          <w:p w14:paraId="4FDD150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6848" w:type="dxa"/>
            <w:noWrap w:val="0"/>
            <w:vAlign w:val="center"/>
          </w:tcPr>
          <w:p w14:paraId="0C4F44F3">
            <w:pPr>
              <w:keepNext w:val="0"/>
              <w:keepLines w:val="0"/>
              <w:pageBreakBefore w:val="0"/>
              <w:widowControl w:val="0"/>
              <w:numPr>
                <w:ilvl w:val="0"/>
                <w:numId w:val="18"/>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投标人配送场所设有独立的检测室、留样室的得2分。</w:t>
            </w:r>
          </w:p>
          <w:p w14:paraId="7CA232BC">
            <w:pPr>
              <w:keepNext w:val="0"/>
              <w:keepLines w:val="0"/>
              <w:pageBreakBefore w:val="0"/>
              <w:widowControl w:val="0"/>
              <w:numPr>
                <w:ilvl w:val="0"/>
                <w:numId w:val="18"/>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投标人拥有食品综合分析仪、农药残留速测仪、食品安全检测仪、兽药残留检测试剂、食品重金属检测试剂、甲醛检测试剂的，每提供一个得1分，最高6分。</w:t>
            </w:r>
          </w:p>
          <w:p w14:paraId="015579B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注：商务技术文件中需提供投标人有房产权证（或租赁合同）复印件和检测室现场照片以及设备购置发票（或租赁合同）复印件并加盖投标人CA签章，否则不得分。</w:t>
            </w:r>
          </w:p>
          <w:p w14:paraId="7B9ADE4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（2）投标人检测人员具有食品检测员证书的，每提供1人得2分，最高得4分。</w:t>
            </w:r>
          </w:p>
          <w:p w14:paraId="7DB8FE2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注：商务技术文件中需提供食品检测员证书、健康证复印件及投标人为其缴纳的近3个月社保证明材料并加盖投标人CA签章，否则不得分。</w:t>
            </w:r>
          </w:p>
        </w:tc>
        <w:tc>
          <w:tcPr>
            <w:tcW w:w="1076" w:type="dxa"/>
            <w:noWrap w:val="0"/>
            <w:vAlign w:val="center"/>
          </w:tcPr>
          <w:p w14:paraId="16F056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0-12分</w:t>
            </w:r>
          </w:p>
        </w:tc>
      </w:tr>
      <w:tr w14:paraId="430F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0DF9C208">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72F984AA">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default" w:ascii="仿宋" w:hAnsi="仿宋" w:eastAsia="仿宋" w:cs="仿宋"/>
                <w:b/>
                <w:bCs w:val="0"/>
                <w:color w:val="auto"/>
                <w:sz w:val="24"/>
                <w:highlight w:val="none"/>
                <w:lang w:val="en-US"/>
              </w:rPr>
            </w:pPr>
            <w:r>
              <w:rPr>
                <w:rFonts w:hint="eastAsia" w:ascii="仿宋" w:hAnsi="仿宋" w:eastAsia="仿宋" w:cs="仿宋"/>
                <w:b/>
                <w:bCs w:val="0"/>
                <w:color w:val="auto"/>
                <w:sz w:val="24"/>
                <w:highlight w:val="none"/>
                <w:lang w:val="en-US" w:eastAsia="zh-CN"/>
              </w:rPr>
              <w:t>配送车辆</w:t>
            </w:r>
          </w:p>
        </w:tc>
        <w:tc>
          <w:tcPr>
            <w:tcW w:w="6848" w:type="dxa"/>
            <w:noWrap w:val="0"/>
            <w:vAlign w:val="center"/>
          </w:tcPr>
          <w:p w14:paraId="12C685FF">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_GB2312"/>
                <w:sz w:val="24"/>
              </w:rPr>
            </w:pPr>
            <w:r>
              <w:rPr>
                <w:rFonts w:hint="eastAsia" w:ascii="仿宋" w:hAnsi="仿宋" w:eastAsia="仿宋" w:cs="仿宋_GB2312"/>
                <w:sz w:val="24"/>
              </w:rPr>
              <w:t>车辆类型为冷藏箱式车辆，冷藏箱式车辆每辆得1分，最高得</w:t>
            </w:r>
            <w:r>
              <w:rPr>
                <w:rFonts w:hint="eastAsia" w:ascii="仿宋" w:hAnsi="仿宋" w:eastAsia="仿宋" w:cs="仿宋_GB2312"/>
                <w:sz w:val="24"/>
                <w:lang w:val="en-US" w:eastAsia="zh-CN"/>
              </w:rPr>
              <w:t>2</w:t>
            </w:r>
            <w:r>
              <w:rPr>
                <w:rFonts w:hint="eastAsia" w:ascii="仿宋" w:hAnsi="仿宋" w:eastAsia="仿宋" w:cs="仿宋_GB2312"/>
                <w:sz w:val="24"/>
              </w:rPr>
              <w:t>分。</w:t>
            </w:r>
          </w:p>
          <w:p w14:paraId="74C2C545">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color w:val="auto"/>
                <w:sz w:val="24"/>
                <w:highlight w:val="none"/>
                <w:lang w:val="en-US"/>
              </w:rPr>
            </w:pPr>
            <w:r>
              <w:rPr>
                <w:rFonts w:hint="eastAsia" w:ascii="仿宋" w:hAnsi="仿宋" w:eastAsia="仿宋" w:cs="仿宋"/>
                <w:b w:val="0"/>
                <w:bCs/>
                <w:color w:val="auto"/>
                <w:sz w:val="24"/>
                <w:szCs w:val="24"/>
                <w:highlight w:val="none"/>
                <w:lang w:val="en-US" w:eastAsia="zh-CN"/>
              </w:rPr>
              <w:t>注：商务技术文件中需提供购置发票或租赁合同复印件、有效期内的行驶证复印件、机动车登记证复印件并加盖投标人CA签章，</w:t>
            </w:r>
            <w:r>
              <w:rPr>
                <w:rFonts w:hint="eastAsia" w:ascii="仿宋" w:hAnsi="仿宋" w:eastAsia="仿宋" w:cs="仿宋"/>
                <w:bCs/>
                <w:color w:val="auto"/>
                <w:sz w:val="24"/>
                <w:szCs w:val="24"/>
                <w:highlight w:val="none"/>
                <w:lang w:val="en-US" w:eastAsia="zh-CN"/>
              </w:rPr>
              <w:t>否则不得分。</w:t>
            </w:r>
          </w:p>
        </w:tc>
        <w:tc>
          <w:tcPr>
            <w:tcW w:w="1076" w:type="dxa"/>
            <w:noWrap w:val="0"/>
            <w:vAlign w:val="center"/>
          </w:tcPr>
          <w:p w14:paraId="1780C58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0-2分</w:t>
            </w:r>
          </w:p>
        </w:tc>
      </w:tr>
      <w:tr w14:paraId="1D0A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6" w:type="dxa"/>
            <w:noWrap w:val="0"/>
            <w:vAlign w:val="center"/>
          </w:tcPr>
          <w:p w14:paraId="2D3754EE">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6A07EC9A">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宋体" w:hAnsi="宋体" w:eastAsia="宋体" w:cs="宋体"/>
                <w:color w:val="auto"/>
                <w:kern w:val="21"/>
                <w:sz w:val="24"/>
                <w:szCs w:val="24"/>
                <w:highlight w:val="none"/>
                <w:lang w:val="en-US" w:eastAsia="zh-CN" w:bidi="ar"/>
              </w:rPr>
            </w:pPr>
            <w:r>
              <w:rPr>
                <w:rFonts w:hint="eastAsia" w:ascii="仿宋" w:hAnsi="仿宋" w:eastAsia="仿宋" w:cs="仿宋"/>
                <w:b/>
                <w:bCs w:val="0"/>
                <w:color w:val="auto"/>
                <w:sz w:val="24"/>
                <w:highlight w:val="none"/>
                <w:lang w:val="en-US" w:eastAsia="zh-CN"/>
              </w:rPr>
              <w:t>安全保障</w:t>
            </w:r>
          </w:p>
        </w:tc>
        <w:tc>
          <w:tcPr>
            <w:tcW w:w="6848" w:type="dxa"/>
            <w:noWrap w:val="0"/>
            <w:vAlign w:val="center"/>
          </w:tcPr>
          <w:p w14:paraId="19E8BB0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投标人已缴纳食品安全责任险的得2分。</w:t>
            </w:r>
          </w:p>
          <w:p w14:paraId="76DCBE1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val="0"/>
                <w:bCs/>
                <w:color w:val="auto"/>
                <w:sz w:val="24"/>
                <w:highlight w:val="none"/>
                <w:lang w:val="en-US" w:eastAsia="zh-CN"/>
              </w:rPr>
              <w:t>注：商务技术文件中需提供相关证明材料并加盖投标人CA签章，</w:t>
            </w:r>
            <w:r>
              <w:rPr>
                <w:rFonts w:hint="eastAsia" w:ascii="仿宋" w:hAnsi="仿宋" w:eastAsia="仿宋" w:cs="仿宋"/>
                <w:bCs/>
                <w:color w:val="auto"/>
                <w:sz w:val="24"/>
                <w:szCs w:val="24"/>
                <w:highlight w:val="none"/>
                <w:lang w:val="en-US" w:eastAsia="zh-CN"/>
              </w:rPr>
              <w:t>否则不得分。</w:t>
            </w:r>
          </w:p>
        </w:tc>
        <w:tc>
          <w:tcPr>
            <w:tcW w:w="1076" w:type="dxa"/>
            <w:noWrap w:val="0"/>
            <w:vAlign w:val="center"/>
          </w:tcPr>
          <w:p w14:paraId="7426498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0-2分</w:t>
            </w:r>
          </w:p>
        </w:tc>
      </w:tr>
      <w:tr w14:paraId="6537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04837CAB">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3116A6AB">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配送方案</w:t>
            </w:r>
          </w:p>
        </w:tc>
        <w:tc>
          <w:tcPr>
            <w:tcW w:w="6848" w:type="dxa"/>
            <w:noWrap w:val="0"/>
            <w:vAlign w:val="center"/>
          </w:tcPr>
          <w:p w14:paraId="5B5D8C30">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投标人在接到订货通知后能按要求时间送到，根据投标人提供针对本项目的食材配供方案（包括供货进度计划、供货流程、人员与设备调配等）进行综合评价。</w:t>
            </w:r>
          </w:p>
          <w:p w14:paraId="2AFB3C07">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①内容完整全面、科学合理、可行性强的得（6,9］分；</w:t>
            </w:r>
          </w:p>
          <w:p w14:paraId="5B0700F7">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②内容略有欠缺，基本合理可行的得（3,6］分；</w:t>
            </w:r>
          </w:p>
          <w:p w14:paraId="3FDD220D">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③内容粗略、层次模糊、可行性较差的得（0,3］分；</w:t>
            </w:r>
          </w:p>
          <w:p w14:paraId="1EB2AF6D">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④无相关内容不得分。</w:t>
            </w:r>
          </w:p>
        </w:tc>
        <w:tc>
          <w:tcPr>
            <w:tcW w:w="1076" w:type="dxa"/>
            <w:noWrap w:val="0"/>
            <w:vAlign w:val="center"/>
          </w:tcPr>
          <w:p w14:paraId="35751E18">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1"/>
                <w:sz w:val="24"/>
                <w:highlight w:val="none"/>
                <w:lang w:val="en-US" w:eastAsia="zh-CN" w:bidi="ar"/>
              </w:rPr>
              <w:t>0-9</w:t>
            </w:r>
            <w:r>
              <w:rPr>
                <w:rFonts w:hint="eastAsia" w:ascii="仿宋" w:hAnsi="仿宋" w:eastAsia="仿宋" w:cs="仿宋"/>
                <w:b/>
                <w:bCs/>
                <w:color w:val="auto"/>
                <w:kern w:val="21"/>
                <w:sz w:val="24"/>
                <w:highlight w:val="none"/>
                <w:lang w:bidi="ar"/>
              </w:rPr>
              <w:t>分</w:t>
            </w:r>
          </w:p>
        </w:tc>
      </w:tr>
      <w:tr w14:paraId="0996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603C47B5">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3B9DA244">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配送保障</w:t>
            </w:r>
          </w:p>
        </w:tc>
        <w:tc>
          <w:tcPr>
            <w:tcW w:w="6848" w:type="dxa"/>
            <w:noWrap w:val="0"/>
            <w:vAlign w:val="center"/>
          </w:tcPr>
          <w:p w14:paraId="606817F6">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根据投标单位对食堂的食品食材的质量、价格、品种等方面的保障措施的全面性、合理可行性进行综合评价。</w:t>
            </w:r>
          </w:p>
          <w:p w14:paraId="19A11EDF">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①内容完整全面、科学合理、可行性强的得（6,9］分；</w:t>
            </w:r>
          </w:p>
          <w:p w14:paraId="0222DEBA">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②内容略有欠缺，基本合理可行的得（3,6］分；</w:t>
            </w:r>
          </w:p>
          <w:p w14:paraId="3264A89E">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③内容粗略、层次模糊、可行性较差的得（0,3］分；</w:t>
            </w:r>
          </w:p>
          <w:p w14:paraId="7DEF86FB">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④无相关内容不得分。</w:t>
            </w:r>
          </w:p>
        </w:tc>
        <w:tc>
          <w:tcPr>
            <w:tcW w:w="1076" w:type="dxa"/>
            <w:noWrap w:val="0"/>
            <w:vAlign w:val="center"/>
          </w:tcPr>
          <w:p w14:paraId="4FDF50F1">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1"/>
                <w:sz w:val="24"/>
                <w:highlight w:val="none"/>
                <w:lang w:val="en-US" w:eastAsia="zh-CN" w:bidi="ar"/>
              </w:rPr>
              <w:t>0-9</w:t>
            </w:r>
            <w:r>
              <w:rPr>
                <w:rFonts w:hint="eastAsia" w:ascii="仿宋" w:hAnsi="仿宋" w:eastAsia="仿宋" w:cs="仿宋"/>
                <w:b/>
                <w:bCs/>
                <w:color w:val="auto"/>
                <w:kern w:val="21"/>
                <w:sz w:val="24"/>
                <w:highlight w:val="none"/>
                <w:lang w:bidi="ar"/>
              </w:rPr>
              <w:t>分</w:t>
            </w:r>
          </w:p>
        </w:tc>
      </w:tr>
      <w:tr w14:paraId="59F4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6BB74FAB">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02626A58">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内控管理</w:t>
            </w:r>
          </w:p>
          <w:p w14:paraId="44CC3ECD">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方案</w:t>
            </w:r>
          </w:p>
        </w:tc>
        <w:tc>
          <w:tcPr>
            <w:tcW w:w="6848" w:type="dxa"/>
            <w:noWrap w:val="0"/>
            <w:vAlign w:val="center"/>
          </w:tcPr>
          <w:p w14:paraId="0E2734EA">
            <w:pPr>
              <w:keepNext w:val="0"/>
              <w:keepLines w:val="0"/>
              <w:pageBreakBefore w:val="0"/>
              <w:widowControl/>
              <w:suppressLineNumbers w:val="0"/>
              <w:kinsoku/>
              <w:wordWrap/>
              <w:overflowPunct/>
              <w:topLinePunct w:val="0"/>
              <w:autoSpaceDE/>
              <w:autoSpaceDN/>
              <w:bidi w:val="0"/>
              <w:snapToGrid/>
              <w:spacing w:line="380" w:lineRule="exact"/>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根据投标人提供的内控管理方案，包括食品安全管理、环境卫生管理、人员稳定管理及到位率保障、纠纷协调处置措施等进行</w:t>
            </w:r>
            <w:r>
              <w:rPr>
                <w:rFonts w:hint="eastAsia" w:ascii="仿宋" w:hAnsi="仿宋" w:eastAsia="仿宋" w:cs="宋体"/>
                <w:bCs/>
                <w:sz w:val="24"/>
                <w:szCs w:val="24"/>
              </w:rPr>
              <w:t>综合评价</w:t>
            </w:r>
            <w:r>
              <w:rPr>
                <w:rFonts w:hint="eastAsia" w:ascii="仿宋" w:hAnsi="仿宋" w:eastAsia="仿宋" w:cs="仿宋"/>
                <w:b w:val="0"/>
                <w:bCs/>
                <w:color w:val="auto"/>
                <w:sz w:val="24"/>
                <w:szCs w:val="24"/>
                <w:highlight w:val="none"/>
                <w:lang w:val="en-US" w:eastAsia="zh-CN"/>
              </w:rPr>
              <w:t>：</w:t>
            </w:r>
          </w:p>
          <w:p w14:paraId="2D6053A8">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①内容完整全面、科学合理、可行性强的得（6,9］分；</w:t>
            </w:r>
          </w:p>
          <w:p w14:paraId="2EC15E32">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②内容略有欠缺，基本合理可行的得（3,6］分；</w:t>
            </w:r>
          </w:p>
          <w:p w14:paraId="5DD5EF04">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③内容粗</w:t>
            </w:r>
            <w:bookmarkStart w:id="394" w:name="_GoBack"/>
            <w:bookmarkEnd w:id="394"/>
            <w:r>
              <w:rPr>
                <w:rFonts w:hint="eastAsia" w:ascii="仿宋" w:hAnsi="仿宋" w:eastAsia="仿宋" w:cs="仿宋"/>
                <w:b w:val="0"/>
                <w:bCs/>
                <w:color w:val="auto"/>
                <w:sz w:val="24"/>
                <w:szCs w:val="24"/>
                <w:highlight w:val="none"/>
                <w:lang w:val="en-US" w:eastAsia="zh-CN"/>
              </w:rPr>
              <w:t>略、层次模糊、可行性较差的得（0,3］分；</w:t>
            </w:r>
          </w:p>
          <w:p w14:paraId="45300A4E">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④无相关内容不得分。</w:t>
            </w:r>
          </w:p>
        </w:tc>
        <w:tc>
          <w:tcPr>
            <w:tcW w:w="1076" w:type="dxa"/>
            <w:noWrap w:val="0"/>
            <w:vAlign w:val="center"/>
          </w:tcPr>
          <w:p w14:paraId="4D36880C">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default" w:ascii="仿宋" w:hAnsi="仿宋" w:eastAsia="仿宋" w:cs="仿宋"/>
                <w:b/>
                <w:bCs/>
                <w:color w:val="auto"/>
                <w:kern w:val="21"/>
                <w:sz w:val="24"/>
                <w:highlight w:val="none"/>
                <w:lang w:val="en-US" w:eastAsia="zh-CN" w:bidi="ar"/>
              </w:rPr>
            </w:pPr>
            <w:r>
              <w:rPr>
                <w:rFonts w:hint="eastAsia" w:ascii="仿宋" w:hAnsi="仿宋" w:eastAsia="仿宋" w:cs="仿宋"/>
                <w:b/>
                <w:bCs/>
                <w:color w:val="auto"/>
                <w:kern w:val="21"/>
                <w:sz w:val="24"/>
                <w:highlight w:val="none"/>
                <w:lang w:val="en-US" w:eastAsia="zh-CN" w:bidi="ar"/>
              </w:rPr>
              <w:t>0-9分</w:t>
            </w:r>
          </w:p>
        </w:tc>
      </w:tr>
      <w:tr w14:paraId="04D2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680ED2CC">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00F1E701">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应急方案</w:t>
            </w:r>
          </w:p>
        </w:tc>
        <w:tc>
          <w:tcPr>
            <w:tcW w:w="6848" w:type="dxa"/>
            <w:noWrap w:val="0"/>
            <w:vAlign w:val="center"/>
          </w:tcPr>
          <w:p w14:paraId="5E3EC66B">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Cs/>
                <w:sz w:val="24"/>
                <w:szCs w:val="24"/>
              </w:rPr>
              <w:t>根据投标人针对货品质量安全问题、</w:t>
            </w:r>
            <w:r>
              <w:rPr>
                <w:rFonts w:hint="eastAsia" w:ascii="仿宋" w:hAnsi="仿宋" w:eastAsia="仿宋" w:cs="宋体"/>
                <w:bCs/>
                <w:sz w:val="24"/>
                <w:szCs w:val="24"/>
                <w:lang w:eastAsia="zh-CN"/>
              </w:rPr>
              <w:t>采购人</w:t>
            </w:r>
            <w:r>
              <w:rPr>
                <w:rFonts w:hint="eastAsia" w:ascii="仿宋" w:hAnsi="仿宋" w:eastAsia="仿宋" w:cs="宋体"/>
                <w:bCs/>
                <w:sz w:val="24"/>
                <w:szCs w:val="24"/>
              </w:rPr>
              <w:t>临时增加配送任务、灾害性天气等不可抗力影响按时配送等突发事件所提出的应急预案，根据应急预案的完备性、合理可行性进行综合评价</w:t>
            </w:r>
            <w:r>
              <w:rPr>
                <w:rFonts w:hint="eastAsia" w:ascii="仿宋" w:hAnsi="仿宋" w:eastAsia="仿宋" w:cs="仿宋"/>
                <w:b w:val="0"/>
                <w:bCs/>
                <w:color w:val="auto"/>
                <w:sz w:val="24"/>
                <w:szCs w:val="24"/>
                <w:highlight w:val="none"/>
                <w:lang w:val="en-US" w:eastAsia="zh-CN"/>
              </w:rPr>
              <w:t>：</w:t>
            </w:r>
          </w:p>
          <w:p w14:paraId="09D45BA4">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①内容完整全面、科学合理、可行性强的得（6,9］分；</w:t>
            </w:r>
          </w:p>
          <w:p w14:paraId="3D787F3B">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②内容略有欠缺，基本合理可行的得（3,6］分；</w:t>
            </w:r>
          </w:p>
          <w:p w14:paraId="04232C60">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③内容粗略、层次模糊、可行性较差的得（0,3］分；</w:t>
            </w:r>
          </w:p>
          <w:p w14:paraId="16264FE5">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④无相关内容不得分。</w:t>
            </w:r>
          </w:p>
        </w:tc>
        <w:tc>
          <w:tcPr>
            <w:tcW w:w="1076" w:type="dxa"/>
            <w:noWrap w:val="0"/>
            <w:vAlign w:val="center"/>
          </w:tcPr>
          <w:p w14:paraId="63947D29">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1"/>
                <w:sz w:val="24"/>
                <w:highlight w:val="none"/>
                <w:lang w:val="en-US" w:eastAsia="zh-CN" w:bidi="ar"/>
              </w:rPr>
              <w:t>0-9</w:t>
            </w:r>
            <w:r>
              <w:rPr>
                <w:rFonts w:hint="eastAsia" w:ascii="仿宋" w:hAnsi="仿宋" w:eastAsia="仿宋" w:cs="仿宋"/>
                <w:b/>
                <w:bCs/>
                <w:color w:val="auto"/>
                <w:kern w:val="21"/>
                <w:sz w:val="24"/>
                <w:highlight w:val="none"/>
                <w:lang w:bidi="ar"/>
              </w:rPr>
              <w:t>分</w:t>
            </w:r>
          </w:p>
        </w:tc>
      </w:tr>
      <w:tr w14:paraId="487D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4F73CA8A">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664FBAD2">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服务承诺</w:t>
            </w:r>
          </w:p>
        </w:tc>
        <w:tc>
          <w:tcPr>
            <w:tcW w:w="6848" w:type="dxa"/>
            <w:noWrap w:val="0"/>
            <w:vAlign w:val="center"/>
          </w:tcPr>
          <w:p w14:paraId="76A56ED7">
            <w:pPr>
              <w:numPr>
                <w:ilvl w:val="0"/>
                <w:numId w:val="0"/>
              </w:numPr>
              <w:spacing w:line="276" w:lineRule="auto"/>
              <w:rPr>
                <w:rFonts w:hint="eastAsia" w:ascii="仿宋" w:hAnsi="仿宋" w:eastAsia="仿宋" w:cs="宋体"/>
                <w:bCs/>
                <w:sz w:val="24"/>
                <w:szCs w:val="24"/>
              </w:rPr>
            </w:pPr>
            <w:r>
              <w:rPr>
                <w:rFonts w:hint="eastAsia" w:ascii="仿宋" w:hAnsi="仿宋" w:eastAsia="仿宋" w:cs="宋体"/>
                <w:bCs/>
                <w:sz w:val="24"/>
                <w:szCs w:val="24"/>
              </w:rPr>
              <w:t>投标人承诺遇到退、换货在2小时内响应的得3分；在4小时内响应得2分；在6小时内响应得1分；超过6小时响应不得分。</w:t>
            </w:r>
          </w:p>
          <w:p w14:paraId="70482131">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firstLine="0" w:firstLine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highlight w:val="none"/>
                <w:lang w:val="en-US" w:eastAsia="zh-CN"/>
              </w:rPr>
              <w:t>注：商务技术文件中需提供承诺函（格式自拟），否则不得分。</w:t>
            </w:r>
          </w:p>
        </w:tc>
        <w:tc>
          <w:tcPr>
            <w:tcW w:w="1076" w:type="dxa"/>
            <w:noWrap w:val="0"/>
            <w:vAlign w:val="center"/>
          </w:tcPr>
          <w:p w14:paraId="7E9FC5F8">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1"/>
                <w:sz w:val="24"/>
                <w:highlight w:val="none"/>
                <w:lang w:val="en-US" w:eastAsia="zh-CN" w:bidi="ar"/>
              </w:rPr>
              <w:t>0-3分</w:t>
            </w:r>
          </w:p>
        </w:tc>
      </w:tr>
    </w:tbl>
    <w:p w14:paraId="7249E84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w:t>
      </w:r>
      <w:r>
        <w:rPr>
          <w:rFonts w:hint="eastAsia" w:ascii="仿宋" w:hAnsi="仿宋" w:eastAsia="仿宋" w:cs="仿宋"/>
          <w:sz w:val="24"/>
          <w:lang w:val="en-US" w:eastAsia="zh-CN"/>
        </w:rPr>
        <w:t>报价</w:t>
      </w:r>
      <w:r>
        <w:rPr>
          <w:rFonts w:hint="eastAsia" w:ascii="仿宋" w:hAnsi="仿宋" w:eastAsia="仿宋" w:cs="仿宋"/>
          <w:sz w:val="24"/>
        </w:rPr>
        <w:t>评审。</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38C7D79">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3"/>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24"/>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F6B4156">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w:t>
      </w:r>
      <w:r>
        <w:rPr>
          <w:rFonts w:hint="eastAsia" w:ascii="仿宋" w:hAnsi="仿宋" w:eastAsia="仿宋" w:cs="仿宋"/>
          <w:sz w:val="21"/>
          <w:szCs w:val="21"/>
          <w:lang w:val="en-US" w:eastAsia="zh-CN"/>
        </w:rPr>
        <w:t>前</w:t>
      </w:r>
      <w:r>
        <w:rPr>
          <w:rFonts w:hint="eastAsia" w:ascii="仿宋" w:hAnsi="仿宋" w:eastAsia="仿宋" w:cs="仿宋"/>
          <w:sz w:val="21"/>
          <w:szCs w:val="21"/>
        </w:rPr>
        <w:t>，</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合同期满后</w:t>
      </w:r>
      <w:r>
        <w:rPr>
          <w:rFonts w:hint="eastAsia" w:ascii="仿宋" w:hAnsi="仿宋" w:eastAsia="仿宋" w:cs="仿宋"/>
          <w:sz w:val="21"/>
          <w:szCs w:val="21"/>
        </w:rPr>
        <w:t>结束。</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合同履行完成无异议</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十个工作日</w:t>
      </w:r>
      <w:r>
        <w:rPr>
          <w:rFonts w:hint="eastAsia" w:ascii="仿宋" w:hAnsi="仿宋" w:eastAsia="仿宋" w:cs="仿宋"/>
          <w:sz w:val="21"/>
          <w:szCs w:val="21"/>
        </w:rPr>
        <w:t>退</w:t>
      </w:r>
      <w:r>
        <w:rPr>
          <w:rFonts w:hint="eastAsia" w:ascii="仿宋" w:hAnsi="仿宋" w:eastAsia="仿宋" w:cs="仿宋"/>
          <w:sz w:val="21"/>
          <w:szCs w:val="21"/>
          <w:lang w:val="en-US" w:eastAsia="zh-CN"/>
        </w:rPr>
        <w:t>回（不计息）</w:t>
      </w:r>
      <w:r>
        <w:rPr>
          <w:rFonts w:hint="eastAsia" w:ascii="仿宋" w:hAnsi="仿宋" w:eastAsia="仿宋" w:cs="仿宋"/>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37043A32">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keepNext w:val="0"/>
        <w:keepLines w:val="0"/>
        <w:pageBreakBefore w:val="0"/>
        <w:widowControl w:val="0"/>
        <w:kinsoku/>
        <w:wordWrap/>
        <w:overflowPunct/>
        <w:topLinePunct w:val="0"/>
        <w:autoSpaceDE/>
        <w:autoSpaceDN/>
        <w:bidi w:val="0"/>
        <w:adjustRightInd w:val="0"/>
        <w:snapToGrid w:val="0"/>
        <w:spacing w:line="360" w:lineRule="auto"/>
        <w:ind w:firstLine="5280" w:firstLineChars="2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6FAE1731">
      <w:pPr>
        <w:keepNext w:val="0"/>
        <w:keepLines w:val="0"/>
        <w:pageBreakBefore w:val="0"/>
        <w:widowControl w:val="0"/>
        <w:kinsoku/>
        <w:wordWrap/>
        <w:overflowPunct/>
        <w:topLinePunct w:val="0"/>
        <w:autoSpaceDE/>
        <w:autoSpaceDN/>
        <w:bidi w:val="0"/>
        <w:adjustRightInd w:val="0"/>
        <w:snapToGrid w:val="0"/>
        <w:spacing w:line="360" w:lineRule="auto"/>
        <w:ind w:firstLine="5280" w:firstLineChars="2200"/>
        <w:textAlignment w:val="auto"/>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D43F736">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19"/>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598E5D">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7D92E908">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F5CC1ED">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1A89EF7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5"/>
        <w:ind w:left="0" w:leftChars="0" w:firstLine="0" w:firstLineChars="0"/>
        <w:rPr>
          <w:rFonts w:hint="eastAsia" w:ascii="仿宋" w:hAnsi="仿宋" w:eastAsia="仿宋" w:cs="仿宋"/>
          <w:kern w:val="0"/>
          <w:sz w:val="24"/>
          <w:lang w:val="zh-CN"/>
        </w:rPr>
      </w:pPr>
    </w:p>
    <w:p w14:paraId="6B84A9A6">
      <w:pPr>
        <w:pStyle w:val="23"/>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1C778259">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5A1B18F6">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2"/>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05D3D3">
      <w:pPr>
        <w:jc w:val="center"/>
        <w:rPr>
          <w:rFonts w:hint="eastAsia" w:ascii="仿宋" w:hAnsi="仿宋" w:eastAsia="仿宋" w:cs="仿宋"/>
          <w:b/>
          <w:kern w:val="0"/>
          <w:sz w:val="32"/>
          <w:szCs w:val="32"/>
        </w:rPr>
        <w:sectPr>
          <w:headerReference r:id="rId16" w:type="first"/>
          <w:footerReference r:id="rId18" w:type="first"/>
          <w:headerReference r:id="rId15" w:type="default"/>
          <w:footerReference r:id="rId17"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E66C8B6">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05BDB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20" w:type="first"/>
          <w:footerReference r:id="rId22" w:type="first"/>
          <w:headerReference r:id="rId19" w:type="default"/>
          <w:footerReference r:id="rId2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125126E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4CE51F3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EBFC60E">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BC3BD1">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360FBE1">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20"/>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69407D2">
      <w:pPr>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b/>
          <w:bCs/>
          <w:sz w:val="28"/>
          <w:szCs w:val="28"/>
          <w:lang w:eastAsia="zh-CN"/>
        </w:rPr>
      </w:pPr>
      <w:r>
        <w:rPr>
          <w:rFonts w:hint="eastAsia" w:ascii="仿宋" w:hAnsi="仿宋" w:eastAsia="仿宋"/>
          <w:b/>
          <w:sz w:val="28"/>
          <w:szCs w:val="28"/>
        </w:rPr>
        <w:t>项目名称：</w:t>
      </w:r>
      <w:r>
        <w:rPr>
          <w:rFonts w:hint="eastAsia" w:ascii="仿宋" w:hAnsi="仿宋" w:eastAsia="仿宋"/>
          <w:b/>
          <w:sz w:val="28"/>
          <w:szCs w:val="28"/>
          <w:lang w:val="en-US" w:eastAsia="zh-CN"/>
        </w:rPr>
        <w:t>诸暨市浬浦镇2025年食堂配送采购项目</w:t>
      </w:r>
    </w:p>
    <w:p w14:paraId="47FCBD6F">
      <w:pPr>
        <w:keepNext w:val="0"/>
        <w:keepLines w:val="0"/>
        <w:pageBreakBefore w:val="0"/>
        <w:widowControl w:val="0"/>
        <w:kinsoku/>
        <w:wordWrap/>
        <w:overflowPunct/>
        <w:topLinePunct w:val="0"/>
        <w:autoSpaceDE/>
        <w:autoSpaceDN/>
        <w:bidi w:val="0"/>
        <w:adjustRightInd w:val="0"/>
        <w:snapToGrid/>
        <w:spacing w:line="360" w:lineRule="auto"/>
        <w:ind w:right="0" w:firstLine="562" w:firstLineChars="200"/>
        <w:textAlignment w:val="auto"/>
        <w:rPr>
          <w:rFonts w:hint="eastAsia" w:ascii="仿宋" w:hAnsi="仿宋" w:eastAsia="仿宋"/>
          <w:b/>
          <w:sz w:val="28"/>
          <w:szCs w:val="28"/>
          <w:lang w:val="en-US" w:eastAsia="zh-CN"/>
        </w:rPr>
      </w:pPr>
      <w:r>
        <w:rPr>
          <w:rFonts w:hint="eastAsia" w:ascii="仿宋" w:hAnsi="仿宋" w:eastAsia="仿宋"/>
          <w:b/>
          <w:sz w:val="28"/>
          <w:szCs w:val="28"/>
        </w:rPr>
        <w:t>项目编号：</w:t>
      </w:r>
      <w:r>
        <w:rPr>
          <w:rFonts w:hint="eastAsia" w:ascii="仿宋" w:hAnsi="仿宋" w:eastAsia="仿宋"/>
          <w:b/>
          <w:sz w:val="28"/>
          <w:szCs w:val="28"/>
          <w:lang w:eastAsia="zh-CN"/>
        </w:rPr>
        <w:t>诸宸佳2025-02-02</w:t>
      </w:r>
    </w:p>
    <w:tbl>
      <w:tblPr>
        <w:tblStyle w:val="6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40"/>
        <w:gridCol w:w="1657"/>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82" w:type="dxa"/>
            <w:vMerge w:val="restart"/>
            <w:noWrap w:val="0"/>
            <w:vAlign w:val="center"/>
          </w:tcPr>
          <w:p w14:paraId="7C346206">
            <w:pPr>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w:t>
            </w:r>
          </w:p>
        </w:tc>
        <w:tc>
          <w:tcPr>
            <w:tcW w:w="1540" w:type="dxa"/>
            <w:vMerge w:val="restart"/>
            <w:noWrap w:val="0"/>
            <w:vAlign w:val="center"/>
          </w:tcPr>
          <w:p w14:paraId="7C049FB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标的内容</w:t>
            </w:r>
          </w:p>
        </w:tc>
        <w:tc>
          <w:tcPr>
            <w:tcW w:w="1657" w:type="dxa"/>
            <w:vMerge w:val="restart"/>
            <w:noWrap w:val="0"/>
            <w:vAlign w:val="center"/>
          </w:tcPr>
          <w:p w14:paraId="26EFB8DF">
            <w:pPr>
              <w:jc w:val="center"/>
              <w:rPr>
                <w:rFonts w:hint="eastAsia" w:ascii="仿宋" w:hAnsi="仿宋" w:eastAsia="仿宋" w:cs="仿宋"/>
                <w:b/>
                <w:color w:val="auto"/>
                <w:sz w:val="28"/>
                <w:szCs w:val="28"/>
                <w:highlight w:val="none"/>
                <w:lang w:val="zh-CN" w:eastAsia="zh-CN"/>
              </w:rPr>
            </w:pPr>
            <w:r>
              <w:rPr>
                <w:rFonts w:hint="eastAsia" w:ascii="仿宋" w:hAnsi="仿宋" w:eastAsia="仿宋" w:cs="仿宋"/>
                <w:b/>
                <w:color w:val="auto"/>
                <w:sz w:val="28"/>
                <w:szCs w:val="28"/>
                <w:highlight w:val="none"/>
                <w:lang w:val="zh-CN" w:eastAsia="zh-CN"/>
              </w:rPr>
              <w:t>具体服务</w:t>
            </w:r>
          </w:p>
        </w:tc>
        <w:tc>
          <w:tcPr>
            <w:tcW w:w="4979" w:type="dxa"/>
            <w:gridSpan w:val="2"/>
            <w:noWrap w:val="0"/>
            <w:vAlign w:val="center"/>
          </w:tcPr>
          <w:p w14:paraId="7B24A1DC">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折扣报价（%）</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82" w:type="dxa"/>
            <w:vMerge w:val="continue"/>
            <w:noWrap w:val="0"/>
            <w:vAlign w:val="center"/>
          </w:tcPr>
          <w:p w14:paraId="62B5125D">
            <w:pPr>
              <w:jc w:val="center"/>
              <w:rPr>
                <w:rFonts w:hint="eastAsia" w:ascii="仿宋" w:hAnsi="仿宋" w:eastAsia="仿宋" w:cs="仿宋"/>
                <w:b/>
                <w:color w:val="auto"/>
                <w:sz w:val="28"/>
                <w:szCs w:val="28"/>
                <w:highlight w:val="none"/>
              </w:rPr>
            </w:pPr>
          </w:p>
        </w:tc>
        <w:tc>
          <w:tcPr>
            <w:tcW w:w="1540" w:type="dxa"/>
            <w:vMerge w:val="continue"/>
            <w:noWrap w:val="0"/>
            <w:vAlign w:val="center"/>
          </w:tcPr>
          <w:p w14:paraId="44B05CFA">
            <w:pPr>
              <w:jc w:val="center"/>
              <w:rPr>
                <w:rFonts w:hint="eastAsia" w:ascii="仿宋" w:hAnsi="仿宋" w:eastAsia="仿宋" w:cs="仿宋"/>
                <w:b/>
                <w:color w:val="auto"/>
                <w:sz w:val="28"/>
                <w:szCs w:val="28"/>
                <w:highlight w:val="none"/>
              </w:rPr>
            </w:pPr>
          </w:p>
        </w:tc>
        <w:tc>
          <w:tcPr>
            <w:tcW w:w="1657" w:type="dxa"/>
            <w:vMerge w:val="continue"/>
            <w:noWrap w:val="0"/>
            <w:vAlign w:val="center"/>
          </w:tcPr>
          <w:p w14:paraId="565FA465">
            <w:pPr>
              <w:jc w:val="center"/>
              <w:rPr>
                <w:rFonts w:hint="eastAsia" w:ascii="仿宋" w:hAnsi="仿宋" w:eastAsia="仿宋" w:cs="仿宋"/>
                <w:b/>
                <w:color w:val="auto"/>
                <w:sz w:val="28"/>
                <w:szCs w:val="28"/>
                <w:highlight w:val="none"/>
              </w:rPr>
            </w:pPr>
          </w:p>
        </w:tc>
        <w:tc>
          <w:tcPr>
            <w:tcW w:w="2289" w:type="dxa"/>
            <w:noWrap w:val="0"/>
            <w:vAlign w:val="center"/>
          </w:tcPr>
          <w:p w14:paraId="068BFEDA">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90" w:type="dxa"/>
            <w:noWrap w:val="0"/>
            <w:vAlign w:val="center"/>
          </w:tcPr>
          <w:p w14:paraId="476D0938">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82" w:type="dxa"/>
            <w:noWrap w:val="0"/>
            <w:vAlign w:val="center"/>
          </w:tcPr>
          <w:p w14:paraId="0213FF59">
            <w:pPr>
              <w:jc w:val="center"/>
              <w:rPr>
                <w:rFonts w:hint="eastAsia" w:ascii="仿宋" w:hAnsi="仿宋" w:eastAsia="仿宋" w:cs="仿宋"/>
                <w:bCs/>
                <w:color w:val="auto"/>
                <w:sz w:val="28"/>
                <w:szCs w:val="28"/>
                <w:highlight w:val="none"/>
              </w:rPr>
            </w:pPr>
          </w:p>
        </w:tc>
        <w:tc>
          <w:tcPr>
            <w:tcW w:w="1540" w:type="dxa"/>
            <w:noWrap w:val="0"/>
            <w:vAlign w:val="center"/>
          </w:tcPr>
          <w:p w14:paraId="71466C69">
            <w:pPr>
              <w:jc w:val="center"/>
              <w:rPr>
                <w:rFonts w:hint="eastAsia" w:ascii="仿宋" w:hAnsi="仿宋" w:eastAsia="仿宋" w:cs="仿宋"/>
                <w:bCs/>
                <w:color w:val="auto"/>
                <w:sz w:val="28"/>
                <w:szCs w:val="28"/>
                <w:highlight w:val="none"/>
              </w:rPr>
            </w:pPr>
          </w:p>
        </w:tc>
        <w:tc>
          <w:tcPr>
            <w:tcW w:w="1657" w:type="dxa"/>
            <w:noWrap w:val="0"/>
            <w:vAlign w:val="center"/>
          </w:tcPr>
          <w:p w14:paraId="1C66B6BE">
            <w:pPr>
              <w:jc w:val="center"/>
              <w:rPr>
                <w:rFonts w:hint="eastAsia" w:ascii="仿宋" w:hAnsi="仿宋" w:eastAsia="仿宋" w:cs="仿宋"/>
                <w:bCs/>
                <w:color w:val="auto"/>
                <w:sz w:val="28"/>
                <w:szCs w:val="28"/>
                <w:highlight w:val="none"/>
              </w:rPr>
            </w:pPr>
          </w:p>
        </w:tc>
        <w:tc>
          <w:tcPr>
            <w:tcW w:w="2289" w:type="dxa"/>
            <w:noWrap w:val="0"/>
            <w:vAlign w:val="center"/>
          </w:tcPr>
          <w:p w14:paraId="2F21357C">
            <w:pPr>
              <w:spacing w:line="700" w:lineRule="exact"/>
              <w:ind w:firstLine="720" w:firstLineChars="300"/>
              <w:rPr>
                <w:rFonts w:hint="eastAsia" w:ascii="仿宋" w:hAnsi="仿宋" w:eastAsia="仿宋" w:cs="仿宋"/>
                <w:color w:val="auto"/>
                <w:sz w:val="28"/>
                <w:szCs w:val="28"/>
                <w:highlight w:val="none"/>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2690" w:type="dxa"/>
            <w:noWrap w:val="0"/>
            <w:vAlign w:val="center"/>
          </w:tcPr>
          <w:p w14:paraId="41FB4EB6">
            <w:pPr>
              <w:spacing w:line="700" w:lineRule="exact"/>
              <w:ind w:firstLine="480" w:firstLineChars="200"/>
              <w:rPr>
                <w:rFonts w:hint="eastAsia" w:ascii="仿宋" w:hAnsi="仿宋" w:eastAsia="仿宋" w:cs="仿宋"/>
                <w:color w:val="auto"/>
                <w:sz w:val="28"/>
                <w:szCs w:val="28"/>
                <w:highlight w:val="none"/>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14:paraId="0331C943">
      <w:pPr>
        <w:keepNext w:val="0"/>
        <w:keepLines w:val="0"/>
        <w:pageBreakBefore w:val="0"/>
        <w:widowControl w:val="0"/>
        <w:kinsoku/>
        <w:wordWrap/>
        <w:overflowPunct/>
        <w:topLinePunct w:val="0"/>
        <w:autoSpaceDE/>
        <w:autoSpaceDN/>
        <w:bidi w:val="0"/>
        <w:adjustRightInd w:val="0"/>
        <w:snapToGrid w:val="0"/>
        <w:spacing w:before="313" w:beforeLines="100" w:line="480" w:lineRule="auto"/>
        <w:ind w:firstLine="5622" w:firstLineChars="2000"/>
        <w:jc w:val="both"/>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5622" w:firstLineChars="2000"/>
        <w:jc w:val="left"/>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日  期：</w:t>
      </w:r>
    </w:p>
    <w:p w14:paraId="62A9D479">
      <w:pPr>
        <w:pStyle w:val="23"/>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w:t>
      </w:r>
      <w:r>
        <w:rPr>
          <w:rFonts w:hint="eastAsia" w:ascii="仿宋" w:hAnsi="仿宋" w:eastAsia="仿宋" w:cs="仿宋"/>
          <w:bCs/>
          <w:kern w:val="0"/>
          <w:sz w:val="24"/>
          <w:szCs w:val="21"/>
          <w:lang w:val="en-US" w:eastAsia="zh-CN" w:bidi="ar-SA"/>
        </w:rPr>
        <w:t>%</w:t>
      </w:r>
      <w:r>
        <w:rPr>
          <w:rFonts w:hint="eastAsia" w:ascii="仿宋" w:hAnsi="仿宋" w:eastAsia="仿宋" w:cs="仿宋"/>
          <w:bCs/>
          <w:kern w:val="0"/>
          <w:sz w:val="24"/>
          <w:szCs w:val="21"/>
          <w:lang w:val="zh-CN" w:eastAsia="zh-CN" w:bidi="ar-SA"/>
        </w:rPr>
        <w:t>。</w:t>
      </w:r>
    </w:p>
    <w:p w14:paraId="252C5B07">
      <w:pPr>
        <w:pStyle w:val="23"/>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3FAB77A6">
      <w:pPr>
        <w:pStyle w:val="23"/>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E6FBABC">
      <w:pPr>
        <w:tabs>
          <w:tab w:val="left" w:pos="8085"/>
        </w:tabs>
        <w:spacing w:line="360" w:lineRule="auto"/>
        <w:ind w:firstLine="1285" w:firstLineChars="400"/>
        <w:jc w:val="left"/>
        <w:rPr>
          <w:rFonts w:hint="eastAsia" w:ascii="仿宋" w:hAnsi="仿宋" w:eastAsia="仿宋" w:cs="仿宋"/>
          <w:b/>
          <w:sz w:val="32"/>
          <w:szCs w:val="32"/>
        </w:rPr>
        <w:sectPr>
          <w:headerReference r:id="rId23" w:type="default"/>
          <w:footerReference r:id="rId24"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D768BA8">
      <w:pPr>
        <w:pStyle w:val="3"/>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3"/>
        <w:keepNext/>
        <w:keepLines/>
        <w:pageBreakBefore w:val="0"/>
        <w:widowControl w:val="0"/>
        <w:kinsoku/>
        <w:wordWrap/>
        <w:overflowPunct/>
        <w:topLinePunct w:val="0"/>
        <w:autoSpaceDE/>
        <w:autoSpaceDN/>
        <w:bidi w:val="0"/>
        <w:adjustRightInd w:val="0"/>
        <w:snapToGrid/>
        <w:spacing w:before="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8662338">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0"/>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3FAA524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2EAE0">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E2EAE0">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66F182B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5B665">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FF5B665">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0FC36">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30FC36">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017F">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AD60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7EAD60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59B1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D08F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55D08F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0"/>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11B27">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FC11B27">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7F50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B7F50B">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69B04">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169B04">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14:paraId="3BC285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8458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7C8458D">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4980CC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2"/>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2"/>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F7DEB">
    <w:pPr>
      <w:pStyle w:val="42"/>
    </w:pPr>
    <w:r>
      <w:rPr>
        <w:rFonts w:hint="eastAsia" w:eastAsia="宋体"/>
        <w:sz w:val="21"/>
        <w:szCs w:val="21"/>
      </w:rPr>
      <w:t>诸暨市宸佳工程管理有限公司采购要素文件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2"/>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2"/>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2"/>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BE745"/>
    <w:multiLevelType w:val="singleLevel"/>
    <w:tmpl w:val="AAABE745"/>
    <w:lvl w:ilvl="0" w:tentative="0">
      <w:start w:val="1"/>
      <w:numFmt w:val="decimal"/>
      <w:suff w:val="nothing"/>
      <w:lvlText w:val="（%1）"/>
      <w:lvlJc w:val="left"/>
      <w:pPr>
        <w:tabs>
          <w:tab w:val="left" w:pos="0"/>
        </w:tabs>
        <w:ind w:left="0" w:firstLine="0"/>
      </w:pPr>
      <w:rPr>
        <w:rFonts w:hint="default"/>
      </w:rPr>
    </w:lvl>
  </w:abstractNum>
  <w:abstractNum w:abstractNumId="1">
    <w:nsid w:val="B0035A4C"/>
    <w:multiLevelType w:val="singleLevel"/>
    <w:tmpl w:val="B0035A4C"/>
    <w:lvl w:ilvl="0" w:tentative="0">
      <w:start w:val="1"/>
      <w:numFmt w:val="decimal"/>
      <w:suff w:val="nothing"/>
      <w:lvlText w:val="（%1）"/>
      <w:lvlJc w:val="left"/>
      <w:pPr>
        <w:ind w:left="0" w:leftChars="0" w:firstLine="0" w:firstLineChars="0"/>
      </w:pPr>
      <w:rPr>
        <w:rFonts w:hint="default"/>
      </w:rPr>
    </w:lvl>
  </w:abstractNum>
  <w:abstractNum w:abstractNumId="2">
    <w:nsid w:val="D97A9EEC"/>
    <w:multiLevelType w:val="singleLevel"/>
    <w:tmpl w:val="D97A9EEC"/>
    <w:lvl w:ilvl="0" w:tentative="0">
      <w:start w:val="1"/>
      <w:numFmt w:val="chineseCounting"/>
      <w:suff w:val="nothing"/>
      <w:lvlText w:val="（%1）"/>
      <w:lvlJc w:val="left"/>
      <w:pPr>
        <w:ind w:left="0" w:firstLine="0"/>
      </w:pPr>
      <w:rPr>
        <w:rFonts w:hint="eastAsia"/>
        <w:b/>
        <w:bCs/>
      </w:rPr>
    </w:lvl>
  </w:abstractNum>
  <w:abstractNum w:abstractNumId="3">
    <w:nsid w:val="F5F55F8E"/>
    <w:multiLevelType w:val="singleLevel"/>
    <w:tmpl w:val="F5F55F8E"/>
    <w:lvl w:ilvl="0" w:tentative="0">
      <w:start w:val="1"/>
      <w:numFmt w:val="decimal"/>
      <w:suff w:val="nothing"/>
      <w:lvlText w:val="%1、"/>
      <w:lvlJc w:val="left"/>
      <w:pPr>
        <w:ind w:left="0" w:leftChars="0" w:firstLine="0" w:firstLineChars="0"/>
      </w:pPr>
      <w:rPr>
        <w:rFonts w:hint="default"/>
      </w:rPr>
    </w:lvl>
  </w:abstractNum>
  <w:abstractNum w:abstractNumId="4">
    <w:nsid w:val="FD2BA054"/>
    <w:multiLevelType w:val="singleLevel"/>
    <w:tmpl w:val="FD2BA054"/>
    <w:lvl w:ilvl="0" w:tentative="0">
      <w:start w:val="1"/>
      <w:numFmt w:val="decimal"/>
      <w:suff w:val="nothing"/>
      <w:lvlText w:val="%1、"/>
      <w:lvlJc w:val="left"/>
      <w:pPr>
        <w:ind w:left="0" w:leftChars="0" w:firstLine="0" w:firstLineChars="0"/>
      </w:pPr>
      <w:rPr>
        <w:rFonts w:hint="default"/>
      </w:r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6EBE7EB"/>
    <w:multiLevelType w:val="singleLevel"/>
    <w:tmpl w:val="16EBE7EB"/>
    <w:lvl w:ilvl="0" w:tentative="0">
      <w:start w:val="1"/>
      <w:numFmt w:val="decimal"/>
      <w:suff w:val="nothing"/>
      <w:lvlText w:val="（%1）"/>
      <w:lvlJc w:val="left"/>
    </w:lvl>
  </w:abstractNum>
  <w:abstractNum w:abstractNumId="7">
    <w:nsid w:val="188CB19B"/>
    <w:multiLevelType w:val="singleLevel"/>
    <w:tmpl w:val="188CB19B"/>
    <w:lvl w:ilvl="0" w:tentative="0">
      <w:start w:val="4"/>
      <w:numFmt w:val="chineseCounting"/>
      <w:suff w:val="nothing"/>
      <w:lvlText w:val="%1、"/>
      <w:lvlJc w:val="left"/>
      <w:rPr>
        <w:rFonts w:hint="eastAsia"/>
      </w:rPr>
    </w:lvl>
  </w:abstractNum>
  <w:abstractNum w:abstractNumId="8">
    <w:nsid w:val="3858460B"/>
    <w:multiLevelType w:val="singleLevel"/>
    <w:tmpl w:val="3858460B"/>
    <w:lvl w:ilvl="0" w:tentative="0">
      <w:start w:val="1"/>
      <w:numFmt w:val="decimal"/>
      <w:suff w:val="nothing"/>
      <w:lvlText w:val="（%1）"/>
      <w:lvlJc w:val="left"/>
      <w:pPr>
        <w:tabs>
          <w:tab w:val="left" w:pos="0"/>
        </w:tabs>
        <w:ind w:left="0" w:firstLine="0"/>
      </w:pPr>
      <w:rPr>
        <w:rFonts w:hint="default"/>
      </w:rPr>
    </w:lvl>
  </w:abstractNum>
  <w:abstractNum w:abstractNumId="9">
    <w:nsid w:val="3EBC5388"/>
    <w:multiLevelType w:val="singleLevel"/>
    <w:tmpl w:val="3EBC5388"/>
    <w:lvl w:ilvl="0" w:tentative="0">
      <w:start w:val="1"/>
      <w:numFmt w:val="decimal"/>
      <w:suff w:val="nothing"/>
      <w:lvlText w:val="%1、"/>
      <w:lvlJc w:val="left"/>
      <w:pPr>
        <w:ind w:left="0" w:leftChars="0" w:firstLine="0" w:firstLineChars="0"/>
      </w:pPr>
      <w:rPr>
        <w:rFonts w:hint="default"/>
      </w:rPr>
    </w:lvl>
  </w:abstractNum>
  <w:abstractNum w:abstractNumId="10">
    <w:nsid w:val="41462D12"/>
    <w:multiLevelType w:val="singleLevel"/>
    <w:tmpl w:val="41462D12"/>
    <w:lvl w:ilvl="0" w:tentative="0">
      <w:start w:val="1"/>
      <w:numFmt w:val="decimal"/>
      <w:suff w:val="nothing"/>
      <w:lvlText w:val="%1、"/>
      <w:lvlJc w:val="left"/>
      <w:pPr>
        <w:ind w:left="0" w:leftChars="0" w:firstLine="0" w:firstLineChars="0"/>
      </w:pPr>
      <w:rPr>
        <w:rFonts w:hint="default"/>
        <w:b/>
        <w:bCs/>
      </w:rPr>
    </w:lvl>
  </w:abstractNum>
  <w:abstractNum w:abstractNumId="1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9FED6BB"/>
    <w:multiLevelType w:val="singleLevel"/>
    <w:tmpl w:val="49FED6BB"/>
    <w:lvl w:ilvl="0" w:tentative="0">
      <w:start w:val="1"/>
      <w:numFmt w:val="decimal"/>
      <w:suff w:val="nothing"/>
      <w:lvlText w:val="%1"/>
      <w:lvlJc w:val="left"/>
      <w:pPr>
        <w:ind w:left="425" w:leftChars="0" w:hanging="425" w:firstLineChars="0"/>
      </w:pPr>
      <w:rPr>
        <w:rFonts w:hint="default"/>
      </w:rPr>
    </w:lvl>
  </w:abstractNum>
  <w:abstractNum w:abstractNumId="1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1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5">
    <w:nsid w:val="4F63B0E9"/>
    <w:multiLevelType w:val="singleLevel"/>
    <w:tmpl w:val="4F63B0E9"/>
    <w:lvl w:ilvl="0" w:tentative="0">
      <w:start w:val="1"/>
      <w:numFmt w:val="decimal"/>
      <w:suff w:val="nothing"/>
      <w:lvlText w:val="%1、"/>
      <w:lvlJc w:val="left"/>
      <w:pPr>
        <w:ind w:left="0" w:leftChars="0" w:firstLine="0" w:firstLineChars="0"/>
      </w:pPr>
      <w:rPr>
        <w:rFonts w:hint="default"/>
        <w:b/>
        <w:bCs/>
      </w:rPr>
    </w:lvl>
  </w:abstractNum>
  <w:abstractNum w:abstractNumId="16">
    <w:nsid w:val="512D933D"/>
    <w:multiLevelType w:val="singleLevel"/>
    <w:tmpl w:val="512D933D"/>
    <w:lvl w:ilvl="0" w:tentative="0">
      <w:start w:val="1"/>
      <w:numFmt w:val="decimal"/>
      <w:suff w:val="nothing"/>
      <w:lvlText w:val="（%1）"/>
      <w:lvlJc w:val="left"/>
    </w:lvl>
  </w:abstractNum>
  <w:abstractNum w:abstractNumId="1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6A77A017"/>
    <w:multiLevelType w:val="singleLevel"/>
    <w:tmpl w:val="6A77A017"/>
    <w:lvl w:ilvl="0" w:tentative="0">
      <w:start w:val="1"/>
      <w:numFmt w:val="decimal"/>
      <w:suff w:val="nothing"/>
      <w:lvlText w:val="%1、"/>
      <w:lvlJc w:val="left"/>
      <w:pPr>
        <w:ind w:left="0" w:leftChars="0" w:firstLine="0" w:firstLineChars="0"/>
      </w:pPr>
      <w:rPr>
        <w:rFonts w:hint="default"/>
      </w:rPr>
    </w:lvl>
  </w:abstractNum>
  <w:abstractNum w:abstractNumId="19">
    <w:nsid w:val="7A99D030"/>
    <w:multiLevelType w:val="singleLevel"/>
    <w:tmpl w:val="7A99D030"/>
    <w:lvl w:ilvl="0" w:tentative="0">
      <w:start w:val="1"/>
      <w:numFmt w:val="decimal"/>
      <w:suff w:val="nothing"/>
      <w:lvlText w:val="（%1）"/>
      <w:lvlJc w:val="left"/>
    </w:lvl>
  </w:abstractNum>
  <w:num w:numId="1">
    <w:abstractNumId w:val="14"/>
  </w:num>
  <w:num w:numId="2">
    <w:abstractNumId w:val="17"/>
  </w:num>
  <w:num w:numId="3">
    <w:abstractNumId w:val="5"/>
  </w:num>
  <w:num w:numId="4">
    <w:abstractNumId w:val="11"/>
  </w:num>
  <w:num w:numId="5">
    <w:abstractNumId w:val="2"/>
  </w:num>
  <w:num w:numId="6">
    <w:abstractNumId w:val="3"/>
  </w:num>
  <w:num w:numId="7">
    <w:abstractNumId w:val="9"/>
  </w:num>
  <w:num w:numId="8">
    <w:abstractNumId w:val="1"/>
  </w:num>
  <w:num w:numId="9">
    <w:abstractNumId w:val="6"/>
  </w:num>
  <w:num w:numId="10">
    <w:abstractNumId w:val="10"/>
  </w:num>
  <w:num w:numId="11">
    <w:abstractNumId w:val="8"/>
  </w:num>
  <w:num w:numId="12">
    <w:abstractNumId w:val="0"/>
  </w:num>
  <w:num w:numId="13">
    <w:abstractNumId w:val="18"/>
  </w:num>
  <w:num w:numId="14">
    <w:abstractNumId w:val="4"/>
  </w:num>
  <w:num w:numId="15">
    <w:abstractNumId w:val="15"/>
  </w:num>
  <w:num w:numId="16">
    <w:abstractNumId w:val="12"/>
  </w:num>
  <w:num w:numId="17">
    <w:abstractNumId w:val="16"/>
  </w:num>
  <w:num w:numId="18">
    <w:abstractNumId w:val="19"/>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1281A"/>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F543F"/>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56120"/>
    <w:rsid w:val="0DD63300"/>
    <w:rsid w:val="0DE432B3"/>
    <w:rsid w:val="0DF50604"/>
    <w:rsid w:val="0DF702FE"/>
    <w:rsid w:val="0E060E51"/>
    <w:rsid w:val="0E5604B2"/>
    <w:rsid w:val="0E6D5D79"/>
    <w:rsid w:val="0E7F503E"/>
    <w:rsid w:val="0E9D0089"/>
    <w:rsid w:val="0EAD0A9E"/>
    <w:rsid w:val="0EB803EE"/>
    <w:rsid w:val="0EF94D4B"/>
    <w:rsid w:val="0F135898"/>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D53609"/>
    <w:rsid w:val="10F33360"/>
    <w:rsid w:val="10FC16EA"/>
    <w:rsid w:val="110F1D40"/>
    <w:rsid w:val="11266F33"/>
    <w:rsid w:val="114E57CE"/>
    <w:rsid w:val="11653A92"/>
    <w:rsid w:val="118963A1"/>
    <w:rsid w:val="11C6522A"/>
    <w:rsid w:val="11CB3254"/>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D72656"/>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6EC4D7E"/>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684463"/>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4C6782"/>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3F180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D03632"/>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39045E"/>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93BDA"/>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643CB"/>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97158E"/>
    <w:rsid w:val="53A20483"/>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101C81"/>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1F561C"/>
    <w:rsid w:val="64240056"/>
    <w:rsid w:val="643E143A"/>
    <w:rsid w:val="647C6435"/>
    <w:rsid w:val="648B6EEF"/>
    <w:rsid w:val="64B43C8F"/>
    <w:rsid w:val="64C158BF"/>
    <w:rsid w:val="64CE2EAA"/>
    <w:rsid w:val="653C3090"/>
    <w:rsid w:val="6541662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438D8"/>
    <w:rsid w:val="6DAA3FEF"/>
    <w:rsid w:val="6DC0172B"/>
    <w:rsid w:val="6DCB690C"/>
    <w:rsid w:val="6DD41A5B"/>
    <w:rsid w:val="6DE3508D"/>
    <w:rsid w:val="6DE71794"/>
    <w:rsid w:val="6DED5165"/>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DC3286"/>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5"/>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autoRedefine/>
    <w:unhideWhenUsed/>
    <w:qFormat/>
    <w:uiPriority w:val="99"/>
    <w:pPr>
      <w:spacing w:after="120"/>
    </w:pPr>
    <w:rPr>
      <w:sz w:val="16"/>
      <w:szCs w:val="16"/>
    </w:rPr>
  </w:style>
  <w:style w:type="paragraph" w:styleId="5">
    <w:name w:val="Normal Indent"/>
    <w:basedOn w:val="1"/>
    <w:link w:val="222"/>
    <w:autoRedefine/>
    <w:qFormat/>
    <w:uiPriority w:val="99"/>
    <w:pPr>
      <w:widowControl/>
      <w:snapToGrid w:val="0"/>
      <w:spacing w:line="480" w:lineRule="exact"/>
      <w:ind w:firstLine="567"/>
    </w:pPr>
    <w:rPr>
      <w:rFonts w:ascii="宋体"/>
      <w:color w:val="000000"/>
      <w:kern w:val="28"/>
      <w:sz w:val="28"/>
      <w:szCs w:val="20"/>
    </w:r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56"/>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31"/>
    <w:autoRedefine/>
    <w:qFormat/>
    <w:uiPriority w:val="99"/>
    <w:pPr>
      <w:shd w:val="clear" w:color="auto" w:fill="000080"/>
    </w:pPr>
    <w:rPr>
      <w:sz w:val="24"/>
      <w:szCs w:val="20"/>
    </w:rPr>
  </w:style>
  <w:style w:type="paragraph" w:styleId="20">
    <w:name w:val="annotation text"/>
    <w:basedOn w:val="1"/>
    <w:link w:val="359"/>
    <w:autoRedefine/>
    <w:qFormat/>
    <w:uiPriority w:val="99"/>
    <w:pPr>
      <w:jc w:val="left"/>
    </w:pPr>
    <w:rPr>
      <w:sz w:val="24"/>
      <w:szCs w:val="20"/>
    </w:rPr>
  </w:style>
  <w:style w:type="paragraph" w:styleId="21">
    <w:name w:val="Salutation"/>
    <w:basedOn w:val="1"/>
    <w:next w:val="1"/>
    <w:link w:val="103"/>
    <w:autoRedefine/>
    <w:qFormat/>
    <w:uiPriority w:val="99"/>
    <w:rPr>
      <w:rFonts w:ascii="仿宋_GB2312" w:eastAsia="仿宋_GB2312"/>
      <w:sz w:val="28"/>
      <w:szCs w:val="20"/>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9"/>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25"/>
    <w:link w:val="105"/>
    <w:autoRedefine/>
    <w:qFormat/>
    <w:uiPriority w:val="99"/>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
    <w:link w:val="107"/>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8"/>
    <w:autoRedefine/>
    <w:qFormat/>
    <w:uiPriority w:val="99"/>
    <w:pPr>
      <w:ind w:left="100" w:leftChars="2500"/>
    </w:pPr>
    <w:rPr>
      <w:rFonts w:ascii="宋体"/>
      <w:sz w:val="24"/>
      <w:szCs w:val="21"/>
      <w:lang w:val="zh-CN"/>
    </w:rPr>
  </w:style>
  <w:style w:type="paragraph" w:styleId="37">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10"/>
    <w:autoRedefine/>
    <w:qFormat/>
    <w:uiPriority w:val="99"/>
    <w:rPr>
      <w:lang w:val="zh-CN"/>
    </w:rPr>
  </w:style>
  <w:style w:type="paragraph" w:styleId="39">
    <w:name w:val="Balloon Text"/>
    <w:basedOn w:val="1"/>
    <w:link w:val="217"/>
    <w:autoRedefine/>
    <w:qFormat/>
    <w:uiPriority w:val="99"/>
    <w:rPr>
      <w:sz w:val="18"/>
      <w:szCs w:val="20"/>
    </w:rPr>
  </w:style>
  <w:style w:type="paragraph" w:styleId="40">
    <w:name w:val="footer"/>
    <w:basedOn w:val="1"/>
    <w:link w:val="395"/>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7"/>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8"/>
    <w:autoRedefine/>
    <w:qFormat/>
    <w:uiPriority w:val="99"/>
    <w:pPr>
      <w:spacing w:after="120" w:line="480" w:lineRule="auto"/>
    </w:pPr>
  </w:style>
  <w:style w:type="paragraph" w:styleId="59">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21"/>
    <w:autoRedefine/>
    <w:qFormat/>
    <w:uiPriority w:val="99"/>
    <w:rPr>
      <w:b/>
      <w:bCs/>
    </w:rPr>
  </w:style>
  <w:style w:type="paragraph" w:styleId="63">
    <w:name w:val="Body Text First Indent"/>
    <w:basedOn w:val="23"/>
    <w:next w:val="52"/>
    <w:link w:val="100"/>
    <w:autoRedefine/>
    <w:qFormat/>
    <w:uiPriority w:val="99"/>
    <w:pPr>
      <w:ind w:firstLine="420"/>
    </w:pPr>
    <w:rPr>
      <w:rFonts w:hAnsi="Times New Roman" w:cs="Times New Roman"/>
      <w:szCs w:val="20"/>
    </w:rPr>
  </w:style>
  <w:style w:type="paragraph" w:styleId="64">
    <w:name w:val="Body Text First Indent 2"/>
    <w:basedOn w:val="24"/>
    <w:next w:val="65"/>
    <w:link w:val="122"/>
    <w:autoRedefine/>
    <w:qFormat/>
    <w:uiPriority w:val="99"/>
    <w:pPr>
      <w:adjustRightInd/>
      <w:spacing w:after="120" w:line="240" w:lineRule="auto"/>
      <w:ind w:left="420" w:leftChars="200" w:firstLine="210"/>
    </w:pPr>
    <w:rPr>
      <w:sz w:val="21"/>
    </w:rPr>
  </w:style>
  <w:style w:type="paragraph" w:customStyle="1" w:styleId="6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3"/>
    <w:link w:val="3"/>
    <w:autoRedefine/>
    <w:qFormat/>
    <w:locked/>
    <w:uiPriority w:val="99"/>
    <w:rPr>
      <w:rFonts w:ascii="Times New Roman" w:hAnsi="Times New Roman" w:eastAsia="黑体" w:cs="Times New Roman"/>
      <w:b/>
      <w:kern w:val="0"/>
      <w:sz w:val="24"/>
    </w:rPr>
  </w:style>
  <w:style w:type="character" w:customStyle="1" w:styleId="91">
    <w:name w:val="Heading 2 Char"/>
    <w:basedOn w:val="73"/>
    <w:link w:val="4"/>
    <w:autoRedefine/>
    <w:semiHidden/>
    <w:qFormat/>
    <w:locked/>
    <w:uiPriority w:val="99"/>
    <w:rPr>
      <w:rFonts w:ascii="Cambria" w:hAnsi="Cambria" w:eastAsia="宋体" w:cs="Times New Roman"/>
      <w:b/>
      <w:bCs/>
      <w:sz w:val="32"/>
      <w:szCs w:val="32"/>
    </w:rPr>
  </w:style>
  <w:style w:type="character" w:customStyle="1" w:styleId="92">
    <w:name w:val="Heading 3 Char"/>
    <w:basedOn w:val="73"/>
    <w:link w:val="6"/>
    <w:autoRedefine/>
    <w:semiHidden/>
    <w:qFormat/>
    <w:locked/>
    <w:uiPriority w:val="99"/>
    <w:rPr>
      <w:rFonts w:cs="Times New Roman"/>
      <w:b/>
      <w:bCs/>
      <w:sz w:val="32"/>
      <w:szCs w:val="32"/>
    </w:rPr>
  </w:style>
  <w:style w:type="character" w:customStyle="1" w:styleId="93">
    <w:name w:val="Heading 4 Char"/>
    <w:basedOn w:val="73"/>
    <w:link w:val="7"/>
    <w:autoRedefine/>
    <w:qFormat/>
    <w:locked/>
    <w:uiPriority w:val="99"/>
    <w:rPr>
      <w:rFonts w:ascii="Arial" w:hAnsi="Arial" w:eastAsia="黑体" w:cs="Times New Roman"/>
      <w:b/>
      <w:kern w:val="2"/>
      <w:sz w:val="28"/>
      <w:lang w:val="zh-CN"/>
    </w:rPr>
  </w:style>
  <w:style w:type="character" w:customStyle="1" w:styleId="94">
    <w:name w:val="Heading 5 Char"/>
    <w:basedOn w:val="73"/>
    <w:link w:val="8"/>
    <w:autoRedefine/>
    <w:qFormat/>
    <w:locked/>
    <w:uiPriority w:val="99"/>
    <w:rPr>
      <w:rFonts w:cs="Times New Roman"/>
      <w:b/>
      <w:kern w:val="2"/>
      <w:sz w:val="28"/>
    </w:rPr>
  </w:style>
  <w:style w:type="character" w:customStyle="1" w:styleId="95">
    <w:name w:val="Heading 6 Char"/>
    <w:basedOn w:val="73"/>
    <w:link w:val="9"/>
    <w:autoRedefine/>
    <w:qFormat/>
    <w:locked/>
    <w:uiPriority w:val="99"/>
    <w:rPr>
      <w:rFonts w:ascii="Arial" w:hAnsi="Arial" w:eastAsia="黑体" w:cs="Times New Roman"/>
      <w:b/>
      <w:kern w:val="2"/>
      <w:sz w:val="24"/>
    </w:rPr>
  </w:style>
  <w:style w:type="character" w:customStyle="1" w:styleId="96">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7">
    <w:name w:val="Heading 8 Char"/>
    <w:basedOn w:val="73"/>
    <w:link w:val="11"/>
    <w:autoRedefine/>
    <w:qFormat/>
    <w:locked/>
    <w:uiPriority w:val="99"/>
    <w:rPr>
      <w:rFonts w:ascii="Arial" w:hAnsi="Arial" w:eastAsia="黑体" w:cs="Times New Roman"/>
      <w:kern w:val="2"/>
      <w:sz w:val="24"/>
    </w:rPr>
  </w:style>
  <w:style w:type="character" w:customStyle="1" w:styleId="98">
    <w:name w:val="Heading 9 Char"/>
    <w:basedOn w:val="73"/>
    <w:link w:val="12"/>
    <w:autoRedefine/>
    <w:qFormat/>
    <w:locked/>
    <w:uiPriority w:val="99"/>
    <w:rPr>
      <w:rFonts w:ascii="Arial" w:hAnsi="Arial" w:eastAsia="黑体" w:cs="Times New Roman"/>
      <w:kern w:val="2"/>
      <w:sz w:val="21"/>
    </w:rPr>
  </w:style>
  <w:style w:type="character" w:customStyle="1" w:styleId="99">
    <w:name w:val="Body Text Char"/>
    <w:basedOn w:val="73"/>
    <w:link w:val="23"/>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63"/>
    <w:autoRedefine/>
    <w:qFormat/>
    <w:locked/>
    <w:uiPriority w:val="99"/>
    <w:rPr>
      <w:sz w:val="24"/>
    </w:rPr>
  </w:style>
  <w:style w:type="character" w:customStyle="1" w:styleId="101">
    <w:name w:val="Document Map Char"/>
    <w:basedOn w:val="73"/>
    <w:link w:val="19"/>
    <w:autoRedefine/>
    <w:qFormat/>
    <w:locked/>
    <w:uiPriority w:val="99"/>
    <w:rPr>
      <w:rFonts w:eastAsia="宋体" w:cs="Times New Roman"/>
      <w:kern w:val="2"/>
      <w:sz w:val="24"/>
      <w:lang w:val="en-US" w:eastAsia="zh-CN"/>
    </w:rPr>
  </w:style>
  <w:style w:type="character" w:customStyle="1" w:styleId="102">
    <w:name w:val="Comment Text Char"/>
    <w:basedOn w:val="73"/>
    <w:link w:val="20"/>
    <w:autoRedefine/>
    <w:qFormat/>
    <w:locked/>
    <w:uiPriority w:val="99"/>
    <w:rPr>
      <w:rFonts w:ascii="宋体" w:hAnsi="宋体" w:eastAsia="宋体" w:cs="Times New Roman"/>
      <w:kern w:val="2"/>
      <w:sz w:val="24"/>
      <w:lang w:val="en-US" w:eastAsia="zh-CN"/>
    </w:rPr>
  </w:style>
  <w:style w:type="character" w:customStyle="1" w:styleId="103">
    <w:name w:val="Salutation Char"/>
    <w:basedOn w:val="73"/>
    <w:link w:val="21"/>
    <w:autoRedefine/>
    <w:qFormat/>
    <w:locked/>
    <w:uiPriority w:val="99"/>
    <w:rPr>
      <w:rFonts w:ascii="仿宋_GB2312" w:eastAsia="仿宋_GB2312" w:cs="Times New Roman"/>
      <w:kern w:val="2"/>
      <w:sz w:val="28"/>
    </w:rPr>
  </w:style>
  <w:style w:type="character" w:customStyle="1" w:styleId="104">
    <w:name w:val="Body Text 3 Char"/>
    <w:basedOn w:val="73"/>
    <w:autoRedefine/>
    <w:qFormat/>
    <w:locked/>
    <w:uiPriority w:val="99"/>
    <w:rPr>
      <w:rFonts w:cs="Times New Roman"/>
      <w:kern w:val="2"/>
      <w:sz w:val="21"/>
    </w:rPr>
  </w:style>
  <w:style w:type="character" w:customStyle="1" w:styleId="105">
    <w:name w:val="Body Text Indent Char"/>
    <w:basedOn w:val="73"/>
    <w:link w:val="24"/>
    <w:autoRedefine/>
    <w:qFormat/>
    <w:locked/>
    <w:uiPriority w:val="99"/>
    <w:rPr>
      <w:rFonts w:ascii="宋体" w:eastAsia="宋体" w:cs="Times New Roman"/>
      <w:kern w:val="2"/>
      <w:sz w:val="24"/>
    </w:rPr>
  </w:style>
  <w:style w:type="character" w:customStyle="1" w:styleId="106">
    <w:name w:val="HTML Address Char"/>
    <w:basedOn w:val="73"/>
    <w:link w:val="30"/>
    <w:autoRedefine/>
    <w:qFormat/>
    <w:locked/>
    <w:uiPriority w:val="99"/>
    <w:rPr>
      <w:rFonts w:ascii="宋体" w:eastAsia="宋体" w:cs="Times New Roman"/>
      <w:i/>
      <w:sz w:val="24"/>
    </w:rPr>
  </w:style>
  <w:style w:type="character" w:customStyle="1" w:styleId="107">
    <w:name w:val="Plain Text Char"/>
    <w:basedOn w:val="73"/>
    <w:link w:val="33"/>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3"/>
    <w:link w:val="36"/>
    <w:autoRedefine/>
    <w:qFormat/>
    <w:locked/>
    <w:uiPriority w:val="99"/>
    <w:rPr>
      <w:rFonts w:ascii="宋体" w:cs="Times New Roman"/>
      <w:kern w:val="2"/>
      <w:sz w:val="21"/>
      <w:lang w:val="zh-CN"/>
    </w:rPr>
  </w:style>
  <w:style w:type="character" w:customStyle="1" w:styleId="109">
    <w:name w:val="Body Text Indent 2 Char"/>
    <w:basedOn w:val="73"/>
    <w:link w:val="37"/>
    <w:autoRedefine/>
    <w:qFormat/>
    <w:locked/>
    <w:uiPriority w:val="99"/>
    <w:rPr>
      <w:rFonts w:ascii="宋体" w:cs="Times New Roman"/>
      <w:sz w:val="28"/>
    </w:rPr>
  </w:style>
  <w:style w:type="character" w:customStyle="1" w:styleId="110">
    <w:name w:val="Endnote Text Char"/>
    <w:basedOn w:val="73"/>
    <w:link w:val="38"/>
    <w:autoRedefine/>
    <w:qFormat/>
    <w:locked/>
    <w:uiPriority w:val="99"/>
    <w:rPr>
      <w:rFonts w:cs="Times New Roman"/>
      <w:kern w:val="2"/>
      <w:sz w:val="24"/>
      <w:lang w:val="zh-CN"/>
    </w:rPr>
  </w:style>
  <w:style w:type="character" w:customStyle="1" w:styleId="111">
    <w:name w:val="Balloon Text Char"/>
    <w:basedOn w:val="73"/>
    <w:link w:val="39"/>
    <w:autoRedefine/>
    <w:qFormat/>
    <w:locked/>
    <w:uiPriority w:val="99"/>
    <w:rPr>
      <w:rFonts w:eastAsia="宋体" w:cs="Times New Roman"/>
      <w:kern w:val="2"/>
      <w:sz w:val="18"/>
      <w:lang w:val="en-US" w:eastAsia="zh-CN"/>
    </w:rPr>
  </w:style>
  <w:style w:type="character" w:customStyle="1" w:styleId="112">
    <w:name w:val="Footer Char"/>
    <w:basedOn w:val="73"/>
    <w:link w:val="40"/>
    <w:autoRedefine/>
    <w:qFormat/>
    <w:locked/>
    <w:uiPriority w:val="99"/>
    <w:rPr>
      <w:rFonts w:eastAsia="宋体" w:cs="Times New Roman"/>
      <w:kern w:val="2"/>
      <w:sz w:val="18"/>
      <w:lang w:val="en-US" w:eastAsia="zh-CN"/>
    </w:rPr>
  </w:style>
  <w:style w:type="character" w:customStyle="1" w:styleId="113">
    <w:name w:val="Header Char"/>
    <w:basedOn w:val="73"/>
    <w:link w:val="42"/>
    <w:autoRedefine/>
    <w:qFormat/>
    <w:locked/>
    <w:uiPriority w:val="99"/>
    <w:rPr>
      <w:rFonts w:eastAsia="宋体" w:cs="Times New Roman"/>
      <w:kern w:val="2"/>
      <w:sz w:val="18"/>
      <w:lang w:val="en-US" w:eastAsia="zh-CN"/>
    </w:rPr>
  </w:style>
  <w:style w:type="character" w:customStyle="1" w:styleId="114">
    <w:name w:val="Signature Char"/>
    <w:basedOn w:val="73"/>
    <w:link w:val="43"/>
    <w:autoRedefine/>
    <w:qFormat/>
    <w:locked/>
    <w:uiPriority w:val="99"/>
    <w:rPr>
      <w:rFonts w:eastAsia="仿宋_GB2312" w:cs="Times New Roman"/>
      <w:sz w:val="24"/>
    </w:rPr>
  </w:style>
  <w:style w:type="character" w:customStyle="1" w:styleId="115">
    <w:name w:val="Subtitle Char"/>
    <w:basedOn w:val="73"/>
    <w:link w:val="48"/>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3"/>
    <w:link w:val="51"/>
    <w:autoRedefine/>
    <w:qFormat/>
    <w:locked/>
    <w:uiPriority w:val="99"/>
    <w:rPr>
      <w:rFonts w:cs="Times New Roman"/>
      <w:color w:val="0000FF"/>
      <w:sz w:val="21"/>
    </w:rPr>
  </w:style>
  <w:style w:type="character" w:customStyle="1" w:styleId="117">
    <w:name w:val="Body Text Indent 3 Char"/>
    <w:basedOn w:val="73"/>
    <w:link w:val="54"/>
    <w:autoRedefine/>
    <w:qFormat/>
    <w:locked/>
    <w:uiPriority w:val="99"/>
    <w:rPr>
      <w:rFonts w:cs="Times New Roman"/>
      <w:kern w:val="2"/>
      <w:sz w:val="24"/>
    </w:rPr>
  </w:style>
  <w:style w:type="character" w:customStyle="1" w:styleId="118">
    <w:name w:val="Body Text 2 Char"/>
    <w:basedOn w:val="73"/>
    <w:link w:val="58"/>
    <w:autoRedefine/>
    <w:qFormat/>
    <w:locked/>
    <w:uiPriority w:val="99"/>
    <w:rPr>
      <w:rFonts w:cs="Times New Roman"/>
      <w:kern w:val="2"/>
      <w:sz w:val="24"/>
    </w:rPr>
  </w:style>
  <w:style w:type="character" w:customStyle="1" w:styleId="119">
    <w:name w:val="HTML Preformatted Char"/>
    <w:basedOn w:val="73"/>
    <w:link w:val="59"/>
    <w:autoRedefine/>
    <w:qFormat/>
    <w:locked/>
    <w:uiPriority w:val="99"/>
    <w:rPr>
      <w:rFonts w:ascii="黑体" w:hAnsi="Courier New" w:eastAsia="黑体" w:cs="Times New Roman"/>
    </w:rPr>
  </w:style>
  <w:style w:type="character" w:customStyle="1" w:styleId="120">
    <w:name w:val="Title Char"/>
    <w:basedOn w:val="73"/>
    <w:link w:val="61"/>
    <w:autoRedefine/>
    <w:qFormat/>
    <w:locked/>
    <w:uiPriority w:val="99"/>
    <w:rPr>
      <w:rFonts w:cs="Times New Roman"/>
      <w:b/>
      <w:sz w:val="24"/>
      <w:lang w:val="en-GB"/>
    </w:rPr>
  </w:style>
  <w:style w:type="character" w:customStyle="1" w:styleId="121">
    <w:name w:val="Comment Subject Char"/>
    <w:basedOn w:val="102"/>
    <w:link w:val="62"/>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basedOn w:val="73"/>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3"/>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basedOn w:val="73"/>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4"/>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39"/>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19"/>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3"/>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7"/>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7"/>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3"/>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3"/>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7"/>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10"/>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basedOn w:val="73"/>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3"/>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0"/>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basedOn w:val="73"/>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0"/>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2"/>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8"/>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3"/>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3"/>
    <w:autoRedefine/>
    <w:qFormat/>
    <w:uiPriority w:val="99"/>
    <w:rPr>
      <w:rFonts w:ascii="Arial" w:hAnsi="Arial" w:eastAsia="黑体" w:cs="Arial"/>
      <w:snapToGrid w:val="0"/>
      <w:kern w:val="0"/>
      <w:sz w:val="21"/>
      <w:szCs w:val="21"/>
    </w:rPr>
  </w:style>
  <w:style w:type="character" w:customStyle="1" w:styleId="443">
    <w:name w:val="hui"/>
    <w:basedOn w:val="73"/>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4"/>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6"/>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8"/>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6"/>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8"/>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3"/>
    <w:autoRedefine/>
    <w:qFormat/>
    <w:uiPriority w:val="99"/>
    <w:pPr>
      <w:tabs>
        <w:tab w:val="left" w:pos="840"/>
      </w:tabs>
      <w:adjustRightInd/>
      <w:ind w:left="840" w:hanging="420"/>
    </w:pPr>
  </w:style>
  <w:style w:type="paragraph" w:customStyle="1" w:styleId="635">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7"/>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next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6"/>
    <w:next w:val="54"/>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2"/>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19"/>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autoRedefine/>
    <w:qFormat/>
    <w:uiPriority w:val="99"/>
    <w:pPr>
      <w:tabs>
        <w:tab w:val="left" w:pos="1080"/>
      </w:tabs>
      <w:ind w:left="1080" w:hanging="1080"/>
    </w:pPr>
  </w:style>
  <w:style w:type="paragraph" w:customStyle="1" w:styleId="905">
    <w:name w:val="数字标题1"/>
    <w:basedOn w:val="3"/>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4"/>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4"/>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5"/>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3"/>
    <w:autoRedefine/>
    <w:qFormat/>
    <w:uiPriority w:val="0"/>
  </w:style>
  <w:style w:type="paragraph" w:customStyle="1" w:styleId="989">
    <w:name w:val="正文文字2"/>
    <w:basedOn w:val="23"/>
    <w:next w:val="1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图片格式"/>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63</Pages>
  <Words>19439</Words>
  <Characters>20738</Characters>
  <Lines>0</Lines>
  <Paragraphs>0</Paragraphs>
  <TotalTime>4</TotalTime>
  <ScaleCrop>false</ScaleCrop>
  <LinksUpToDate>false</LinksUpToDate>
  <CharactersWithSpaces>20925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2025-02-12T08:24:52Z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B7BB6B33A5024FECB50EFAD3F919F83B_13</vt:lpwstr>
  </property>
  <property fmtid="{D5CDD505-2E9C-101B-9397-08002B2CF9AE}" pid="5" name="KSOTemplateDocerSaveRecord">
    <vt:lpwstr>eyJoZGlkIjoiYmQ2NDg4MjJjZTM1NzY1MTYwMjk4YWI4YzI4ZWNmMzYiLCJ1c2VySWQiOiIzMTk5MDMwNDgifQ==</vt:lpwstr>
  </property>
</Properties>
</file>