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489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次坞镇2025年度建设项目（水利水电除外）招标代理服务采购项目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诸宸佳2025-01-13</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4"/>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F021D46">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w:t>
            </w:r>
            <w:r>
              <w:rPr>
                <w:rFonts w:hint="eastAsia" w:ascii="仿宋" w:hAnsi="仿宋" w:eastAsia="仿宋" w:cs="仿宋"/>
                <w:b/>
                <w:color w:val="auto"/>
                <w:sz w:val="32"/>
                <w:szCs w:val="32"/>
                <w:lang w:val="en-US" w:eastAsia="zh-CN"/>
              </w:rPr>
              <w:t>诸暨市次坞镇人民政府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63836813">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1B3CAB1B">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次坞镇2025年度建设项目（水利水电除外）招标代理服务采购项目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2"/>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诸宸佳2025-01-13</w:t>
      </w:r>
    </w:p>
    <w:p w14:paraId="12EB84CE">
      <w:pPr>
        <w:pStyle w:val="32"/>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次坞镇2025年度建设项目（水利水电除外）招标代理服务采购项目</w:t>
      </w:r>
    </w:p>
    <w:p w14:paraId="68A38FC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宋体"/>
          <w:bCs/>
          <w:sz w:val="24"/>
          <w:szCs w:val="24"/>
          <w:highlight w:val="none"/>
          <w:lang w:val="en-US" w:eastAsia="zh-CN"/>
        </w:rPr>
        <w:t>700000</w:t>
      </w:r>
    </w:p>
    <w:p w14:paraId="0AD0FC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宋体"/>
          <w:bCs/>
          <w:sz w:val="24"/>
          <w:szCs w:val="24"/>
          <w:highlight w:val="none"/>
          <w:lang w:val="en-US" w:eastAsia="zh-CN"/>
        </w:rPr>
        <w:t>/、/</w:t>
      </w:r>
    </w:p>
    <w:p w14:paraId="19F62A16">
      <w:pPr>
        <w:pStyle w:val="60"/>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仿宋" w:hAnsi="仿宋" w:eastAsia="仿宋" w:cs="仿宋"/>
          <w:sz w:val="24"/>
          <w:szCs w:val="24"/>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rPr>
        <w:t>次坞镇范围内水利水电项目除外需要招标代理的镇级(含集体资产经营公司)、村级建设项目和其它委托镇政府实施的建设项目</w:t>
      </w:r>
      <w:r>
        <w:rPr>
          <w:rFonts w:hint="eastAsia" w:ascii="仿宋" w:hAnsi="仿宋" w:eastAsia="仿宋" w:cs="仿宋"/>
          <w:b w:val="0"/>
          <w:bCs/>
          <w:color w:val="auto"/>
          <w:sz w:val="24"/>
          <w:lang w:eastAsia="zh-CN"/>
        </w:rPr>
        <w:t>，</w:t>
      </w:r>
      <w:r>
        <w:rPr>
          <w:rFonts w:hint="eastAsia" w:ascii="仿宋" w:hAnsi="仿宋" w:eastAsia="仿宋" w:cs="仿宋"/>
          <w:sz w:val="24"/>
          <w:szCs w:val="24"/>
        </w:rPr>
        <w:t>采购预算</w:t>
      </w:r>
      <w:r>
        <w:rPr>
          <w:rFonts w:hint="eastAsia" w:ascii="仿宋" w:hAnsi="仿宋" w:eastAsia="仿宋" w:cs="仿宋"/>
          <w:sz w:val="24"/>
          <w:szCs w:val="24"/>
          <w:lang w:val="en-US" w:eastAsia="zh-CN"/>
        </w:rPr>
        <w:t>总</w:t>
      </w:r>
      <w:r>
        <w:rPr>
          <w:rFonts w:hint="eastAsia" w:ascii="仿宋" w:hAnsi="仿宋" w:eastAsia="仿宋" w:cs="仿宋"/>
          <w:sz w:val="24"/>
          <w:szCs w:val="24"/>
        </w:rPr>
        <w:t>金额为</w:t>
      </w:r>
      <w:r>
        <w:rPr>
          <w:rFonts w:hint="eastAsia" w:ascii="仿宋" w:hAnsi="仿宋" w:eastAsia="仿宋" w:cs="仿宋"/>
          <w:sz w:val="24"/>
          <w:szCs w:val="24"/>
          <w:highlight w:val="none"/>
        </w:rPr>
        <w:t>人民币</w:t>
      </w:r>
      <w:r>
        <w:rPr>
          <w:rFonts w:hint="eastAsia" w:ascii="仿宋" w:hAnsi="仿宋" w:eastAsia="仿宋" w:cs="宋体"/>
          <w:sz w:val="24"/>
          <w:szCs w:val="24"/>
          <w:highlight w:val="none"/>
          <w:lang w:val="en-US" w:eastAsia="zh-CN"/>
        </w:rPr>
        <w:t>柒拾万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700000</w:t>
      </w:r>
      <w:r>
        <w:rPr>
          <w:rFonts w:hint="eastAsia" w:ascii="仿宋" w:hAnsi="仿宋" w:eastAsia="仿宋" w:cs="宋体"/>
          <w:bCs/>
          <w:sz w:val="24"/>
          <w:szCs w:val="24"/>
          <w:highlight w:val="none"/>
        </w:rPr>
        <w:t>.00）</w:t>
      </w:r>
      <w:r>
        <w:rPr>
          <w:rFonts w:hint="eastAsia" w:ascii="仿宋" w:hAnsi="仿宋" w:eastAsia="仿宋" w:cs="宋体"/>
          <w:sz w:val="24"/>
          <w:szCs w:val="24"/>
          <w:highlight w:val="none"/>
        </w:rPr>
        <w:t>，本项目共分</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个标项</w:t>
      </w:r>
      <w:r>
        <w:rPr>
          <w:rFonts w:hint="eastAsia" w:ascii="仿宋" w:hAnsi="仿宋" w:eastAsia="仿宋" w:cs="宋体"/>
          <w:sz w:val="24"/>
          <w:szCs w:val="24"/>
          <w:highlight w:val="none"/>
          <w:lang w:eastAsia="zh-CN"/>
        </w:rPr>
        <w:t>，每个标项内容和预算金额见下表，按折扣招标，数量按实结算，具体内容详见采购需求。</w:t>
      </w:r>
    </w:p>
    <w:tbl>
      <w:tblPr>
        <w:tblStyle w:val="66"/>
        <w:tblW w:w="85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908"/>
        <w:gridCol w:w="2962"/>
      </w:tblGrid>
      <w:tr w14:paraId="0C4BC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213E59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标</w:t>
            </w:r>
            <w:r>
              <w:rPr>
                <w:rFonts w:hint="eastAsia" w:ascii="仿宋" w:hAnsi="仿宋" w:eastAsia="仿宋" w:cs="仿宋"/>
                <w:b/>
                <w:sz w:val="24"/>
                <w:szCs w:val="24"/>
                <w:lang w:val="en-US" w:eastAsia="zh-CN"/>
              </w:rPr>
              <w:t>项</w:t>
            </w:r>
          </w:p>
        </w:tc>
        <w:tc>
          <w:tcPr>
            <w:tcW w:w="3908" w:type="dxa"/>
            <w:tcBorders>
              <w:tl2br w:val="nil"/>
              <w:tr2bl w:val="nil"/>
            </w:tcBorders>
            <w:noWrap w:val="0"/>
            <w:vAlign w:val="center"/>
          </w:tcPr>
          <w:p w14:paraId="011655C4">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sz w:val="24"/>
                <w:szCs w:val="24"/>
              </w:rPr>
            </w:pPr>
            <w:r>
              <w:rPr>
                <w:rFonts w:hint="eastAsia" w:ascii="仿宋" w:hAnsi="仿宋" w:eastAsia="仿宋" w:cs="仿宋"/>
                <w:b/>
                <w:sz w:val="24"/>
                <w:szCs w:val="24"/>
              </w:rPr>
              <w:t>采购内容</w:t>
            </w:r>
          </w:p>
        </w:tc>
        <w:tc>
          <w:tcPr>
            <w:tcW w:w="2962" w:type="dxa"/>
            <w:tcBorders>
              <w:tl2br w:val="nil"/>
              <w:tr2bl w:val="nil"/>
            </w:tcBorders>
            <w:noWrap w:val="0"/>
            <w:vAlign w:val="center"/>
          </w:tcPr>
          <w:p w14:paraId="0E7E08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采购预算金额</w:t>
            </w:r>
          </w:p>
        </w:tc>
      </w:tr>
      <w:tr w14:paraId="6D9E8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551007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标</w:t>
            </w:r>
            <w:r>
              <w:rPr>
                <w:rFonts w:hint="eastAsia" w:ascii="仿宋" w:hAnsi="仿宋" w:eastAsia="仿宋" w:cs="仿宋"/>
                <w:sz w:val="24"/>
                <w:szCs w:val="24"/>
                <w:lang w:val="en-US" w:eastAsia="zh-CN"/>
              </w:rPr>
              <w:t>项</w:t>
            </w:r>
            <w:r>
              <w:rPr>
                <w:rFonts w:hint="eastAsia" w:ascii="仿宋" w:hAnsi="仿宋" w:eastAsia="仿宋" w:cs="仿宋"/>
                <w:bCs/>
                <w:sz w:val="24"/>
                <w:szCs w:val="24"/>
                <w:lang w:val="en-US" w:eastAsia="zh-CN"/>
              </w:rPr>
              <w:t>1</w:t>
            </w:r>
          </w:p>
        </w:tc>
        <w:tc>
          <w:tcPr>
            <w:tcW w:w="3908" w:type="dxa"/>
            <w:tcBorders>
              <w:tl2br w:val="nil"/>
              <w:tr2bl w:val="nil"/>
            </w:tcBorders>
            <w:noWrap w:val="0"/>
            <w:vAlign w:val="center"/>
          </w:tcPr>
          <w:p w14:paraId="5B827ABC">
            <w:pPr>
              <w:pStyle w:val="6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sz w:val="24"/>
                <w:szCs w:val="24"/>
              </w:rPr>
            </w:pPr>
            <w:r>
              <w:rPr>
                <w:rFonts w:hint="default" w:ascii="仿宋" w:hAnsi="仿宋" w:eastAsia="仿宋" w:cs="仿宋"/>
                <w:bCs/>
                <w:highlight w:val="none"/>
                <w:vertAlign w:val="baseline"/>
                <w:lang w:val="en-US" w:eastAsia="zh-CN"/>
              </w:rPr>
              <w:t>上峰片区</w:t>
            </w:r>
          </w:p>
        </w:tc>
        <w:tc>
          <w:tcPr>
            <w:tcW w:w="2962" w:type="dxa"/>
            <w:tcBorders>
              <w:tl2br w:val="nil"/>
              <w:tr2bl w:val="nil"/>
            </w:tcBorders>
            <w:noWrap w:val="0"/>
            <w:vAlign w:val="center"/>
          </w:tcPr>
          <w:p w14:paraId="798D681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35</w:t>
            </w:r>
            <w:r>
              <w:rPr>
                <w:rFonts w:hint="eastAsia" w:ascii="仿宋" w:hAnsi="仿宋" w:eastAsia="仿宋" w:cs="仿宋"/>
                <w:bCs/>
                <w:sz w:val="24"/>
                <w:szCs w:val="24"/>
                <w:highlight w:val="none"/>
              </w:rPr>
              <w:t>万元</w:t>
            </w:r>
          </w:p>
        </w:tc>
      </w:tr>
      <w:tr w14:paraId="77043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3BC4E00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标</w:t>
            </w:r>
            <w:r>
              <w:rPr>
                <w:rFonts w:hint="eastAsia" w:ascii="仿宋" w:hAnsi="仿宋" w:eastAsia="仿宋" w:cs="仿宋"/>
                <w:sz w:val="24"/>
                <w:szCs w:val="24"/>
                <w:lang w:val="en-US" w:eastAsia="zh-CN"/>
              </w:rPr>
              <w:t>项</w:t>
            </w:r>
            <w:r>
              <w:rPr>
                <w:rFonts w:hint="eastAsia" w:ascii="仿宋" w:hAnsi="仿宋" w:eastAsia="仿宋" w:cs="仿宋"/>
                <w:bCs/>
                <w:sz w:val="24"/>
                <w:szCs w:val="24"/>
                <w:lang w:val="en-US" w:eastAsia="zh-CN"/>
              </w:rPr>
              <w:t>2</w:t>
            </w:r>
          </w:p>
        </w:tc>
        <w:tc>
          <w:tcPr>
            <w:tcW w:w="3908" w:type="dxa"/>
            <w:tcBorders>
              <w:tl2br w:val="nil"/>
              <w:tr2bl w:val="nil"/>
            </w:tcBorders>
            <w:noWrap w:val="0"/>
            <w:vAlign w:val="center"/>
          </w:tcPr>
          <w:p w14:paraId="1BBD338E">
            <w:pPr>
              <w:pStyle w:val="6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sz w:val="24"/>
                <w:szCs w:val="24"/>
              </w:rPr>
            </w:pPr>
            <w:r>
              <w:rPr>
                <w:rFonts w:hint="eastAsia" w:ascii="仿宋" w:hAnsi="仿宋" w:eastAsia="仿宋" w:cs="仿宋"/>
                <w:bCs/>
                <w:highlight w:val="none"/>
                <w:vertAlign w:val="baseline"/>
                <w:lang w:val="en-US" w:eastAsia="zh-CN"/>
              </w:rPr>
              <w:t>大桥片区、思安片区</w:t>
            </w:r>
          </w:p>
        </w:tc>
        <w:tc>
          <w:tcPr>
            <w:tcW w:w="2962" w:type="dxa"/>
            <w:tcBorders>
              <w:tl2br w:val="nil"/>
              <w:tr2bl w:val="nil"/>
            </w:tcBorders>
            <w:noWrap w:val="0"/>
            <w:vAlign w:val="center"/>
          </w:tcPr>
          <w:p w14:paraId="21E272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35</w:t>
            </w:r>
            <w:r>
              <w:rPr>
                <w:rFonts w:hint="eastAsia" w:ascii="仿宋" w:hAnsi="仿宋" w:eastAsia="仿宋" w:cs="仿宋"/>
                <w:bCs/>
                <w:sz w:val="24"/>
                <w:szCs w:val="24"/>
                <w:highlight w:val="none"/>
              </w:rPr>
              <w:t>万元</w:t>
            </w:r>
          </w:p>
        </w:tc>
      </w:tr>
    </w:tbl>
    <w:p w14:paraId="5F81E5C7">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sz w:val="24"/>
          <w:szCs w:val="24"/>
          <w:highlight w:val="none"/>
          <w:u w:val="none"/>
          <w:lang w:val="en-US" w:eastAsia="zh-CN"/>
        </w:rPr>
        <w:t>按招标文件要求执行</w:t>
      </w:r>
      <w:r>
        <w:rPr>
          <w:rFonts w:hint="eastAsia" w:ascii="仿宋" w:hAnsi="仿宋" w:eastAsia="仿宋" w:cs="宋体"/>
          <w:color w:val="auto"/>
          <w:kern w:val="0"/>
          <w:sz w:val="24"/>
          <w:szCs w:val="24"/>
          <w:highlight w:val="none"/>
          <w:lang w:val="en-US" w:eastAsia="zh-CN" w:bidi="ar-SA"/>
        </w:rPr>
        <w:t>。</w:t>
      </w:r>
    </w:p>
    <w:p w14:paraId="36414DAA">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108E3B7F">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w:t>
      </w:r>
      <w:r>
        <w:rPr>
          <w:rFonts w:hint="eastAsia" w:ascii="仿宋" w:hAnsi="仿宋" w:eastAsia="仿宋" w:cs="仿宋"/>
          <w:bCs/>
          <w:sz w:val="24"/>
          <w:szCs w:val="24"/>
          <w:highlight w:val="none"/>
        </w:rPr>
        <w:t>无</w:t>
      </w:r>
      <w:r>
        <w:rPr>
          <w:rFonts w:hint="eastAsia" w:eastAsia="仿宋" w:cs="Times New Roman"/>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0521445">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14：00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highlight w:val="none"/>
        </w:rPr>
        <w:t>（https://www.zcygov.cn/）</w:t>
      </w:r>
      <w:r>
        <w:rPr>
          <w:rFonts w:hint="eastAsia" w:ascii="仿宋" w:hAnsi="仿宋" w:eastAsia="仿宋"/>
          <w:highlight w:val="none"/>
          <w:lang w:eastAsia="zh-CN"/>
        </w:rPr>
        <w:t>。</w:t>
      </w:r>
      <w:r>
        <w:rPr>
          <w:rFonts w:hint="eastAsia" w:ascii="仿宋" w:hAnsi="仿宋" w:eastAsia="仿宋"/>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五、公告期限</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诸暨市次坞镇人民政府</w:t>
      </w:r>
    </w:p>
    <w:p w14:paraId="152B706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址：诸暨市次坞镇育才路1号</w:t>
      </w:r>
    </w:p>
    <w:p w14:paraId="528681B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项目联系人（询问）：何柏元</w:t>
      </w:r>
    </w:p>
    <w:p w14:paraId="2D4EC44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项目联系方式（询问）：0575-87858317</w:t>
      </w:r>
    </w:p>
    <w:p w14:paraId="4474F08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质疑联系人：何柏元</w:t>
      </w:r>
    </w:p>
    <w:p w14:paraId="5658900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质疑联系方式：0575-87858317</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w:t>
            </w:r>
            <w:r>
              <w:rPr>
                <w:rFonts w:hint="eastAsia" w:ascii="仿宋" w:hAnsi="仿宋" w:eastAsia="仿宋" w:cs="仿宋"/>
                <w:kern w:val="0"/>
                <w:sz w:val="24"/>
                <w:lang w:val="en-US" w:eastAsia="zh-CN"/>
              </w:rPr>
              <w:t>折扣</w:t>
            </w:r>
            <w:r>
              <w:rPr>
                <w:rFonts w:hint="eastAsia" w:ascii="仿宋" w:hAnsi="仿宋" w:eastAsia="仿宋" w:cs="仿宋"/>
                <w:kern w:val="0"/>
                <w:sz w:val="24"/>
                <w:lang w:val="zh-CN"/>
              </w:rPr>
              <w:t>百分比</w:t>
            </w:r>
            <w:r>
              <w:rPr>
                <w:rFonts w:hint="eastAsia" w:ascii="仿宋" w:hAnsi="仿宋" w:eastAsia="仿宋" w:cs="仿宋"/>
                <w:bCs/>
                <w:kern w:val="0"/>
                <w:sz w:val="24"/>
                <w:szCs w:val="21"/>
                <w:lang w:val="zh-CN" w:eastAsia="zh-CN" w:bidi="ar-SA"/>
              </w:rPr>
              <w:t>（%）</w:t>
            </w:r>
            <w:r>
              <w:rPr>
                <w:rFonts w:hint="eastAsia" w:ascii="仿宋" w:hAnsi="仿宋" w:eastAsia="仿宋" w:cs="仿宋"/>
                <w:kern w:val="0"/>
                <w:sz w:val="24"/>
                <w:lang w:val="zh-CN"/>
              </w:rPr>
              <w:t>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44E60823">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项目实施前，中标人须向采购单位缴纳预算金额1%的履约保证金，项目完成后30天内退回，不计息。</w:t>
            </w:r>
          </w:p>
          <w:p w14:paraId="04252E6F">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注：中标人通过基本账户银行转账或电汇方式缴纳履约保证金，凭银行缴款凭证至次坞镇人民政府财政办办公室开具履约保证金收据。</w:t>
            </w:r>
          </w:p>
          <w:p w14:paraId="329A9084">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收款单位：诸暨市次坞镇人民政府</w:t>
            </w:r>
          </w:p>
          <w:p w14:paraId="35F98373">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开户银行：诸暨农商银行次坞支行</w:t>
            </w:r>
          </w:p>
          <w:p w14:paraId="39D225C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lang w:val="en-US" w:eastAsia="zh-CN"/>
              </w:rPr>
              <w:t>银行帐号：201000032686130</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次坞镇2025年度建设项目（水利水电除外）招标代理服务采购项目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2"/>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2"/>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宋体"/>
                <w:color w:val="auto"/>
                <w:kern w:val="2"/>
                <w:sz w:val="24"/>
                <w:szCs w:val="24"/>
                <w:lang w:val="en-US" w:eastAsia="zh-CN"/>
              </w:rPr>
              <w:t>各标项</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4BCEAD3">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16D6D17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BEE98D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74707468"/>
      <w:bookmarkEnd w:id="12"/>
      <w:bookmarkStart w:id="13" w:name="_Hlt75236290"/>
      <w:bookmarkEnd w:id="13"/>
      <w:bookmarkStart w:id="14" w:name="_Hlt74730295"/>
      <w:bookmarkEnd w:id="14"/>
      <w:bookmarkStart w:id="15" w:name="_Hlt68073093"/>
      <w:bookmarkEnd w:id="15"/>
      <w:bookmarkStart w:id="16" w:name="_Hlt68072990"/>
      <w:bookmarkEnd w:id="16"/>
      <w:bookmarkStart w:id="17" w:name="_Hlt68057669"/>
      <w:bookmarkEnd w:id="17"/>
      <w:bookmarkStart w:id="18" w:name="_Hlt68403820"/>
      <w:bookmarkEnd w:id="18"/>
      <w:bookmarkStart w:id="19" w:name="_Hlt75236011"/>
      <w:bookmarkEnd w:id="19"/>
      <w:bookmarkStart w:id="20" w:name="_Hlt74729768"/>
      <w:bookmarkEnd w:id="20"/>
      <w:bookmarkStart w:id="21" w:name="_Hlt74714665"/>
      <w:bookmarkEnd w:id="21"/>
      <w:bookmarkStart w:id="22" w:name="_Hlt68072998"/>
      <w:bookmarkEnd w:id="22"/>
      <w:bookmarkStart w:id="23" w:name="_Hlt75236101"/>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026F5413">
      <w:pPr>
        <w:pStyle w:val="85"/>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baseline"/>
        <w:rPr>
          <w:rFonts w:hint="eastAsia" w:ascii="仿宋" w:hAnsi="仿宋" w:eastAsia="仿宋" w:cs="仿宋"/>
          <w:b/>
          <w:bCs w:val="0"/>
          <w:snapToGrid w:val="0"/>
          <w:color w:val="auto"/>
          <w:kern w:val="2"/>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33CED9BA">
      <w:pPr>
        <w:pStyle w:val="1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次坞镇2025年度建设项目（水利水电除外）招标代理服务采购项目，采购预算总金额为人民币柒拾万元整（¥700000.00），本项目共分2个标项，每个标项内容和预算金额见下表，按折扣招标，数量按实结算，年度服务期限内，中标人代理费累计结算金额不超过本项目各标项预算金额。</w:t>
      </w:r>
    </w:p>
    <w:tbl>
      <w:tblPr>
        <w:tblStyle w:val="66"/>
        <w:tblW w:w="85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908"/>
        <w:gridCol w:w="2962"/>
      </w:tblGrid>
      <w:tr w14:paraId="2D9DD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075613F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标</w:t>
            </w:r>
            <w:r>
              <w:rPr>
                <w:rFonts w:hint="eastAsia" w:ascii="仿宋" w:hAnsi="仿宋" w:eastAsia="仿宋" w:cs="仿宋"/>
                <w:b/>
                <w:sz w:val="24"/>
                <w:szCs w:val="24"/>
                <w:lang w:val="en-US" w:eastAsia="zh-CN"/>
              </w:rPr>
              <w:t>项</w:t>
            </w:r>
          </w:p>
        </w:tc>
        <w:tc>
          <w:tcPr>
            <w:tcW w:w="3908" w:type="dxa"/>
            <w:tcBorders>
              <w:tl2br w:val="nil"/>
              <w:tr2bl w:val="nil"/>
            </w:tcBorders>
            <w:noWrap w:val="0"/>
            <w:vAlign w:val="center"/>
          </w:tcPr>
          <w:p w14:paraId="58881F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采购内容</w:t>
            </w:r>
          </w:p>
        </w:tc>
        <w:tc>
          <w:tcPr>
            <w:tcW w:w="2962" w:type="dxa"/>
            <w:tcBorders>
              <w:tl2br w:val="nil"/>
              <w:tr2bl w:val="nil"/>
            </w:tcBorders>
            <w:noWrap w:val="0"/>
            <w:vAlign w:val="center"/>
          </w:tcPr>
          <w:p w14:paraId="1D0B204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采购预算金额</w:t>
            </w:r>
          </w:p>
        </w:tc>
      </w:tr>
      <w:tr w14:paraId="12E94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14B47D2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标</w:t>
            </w:r>
            <w:r>
              <w:rPr>
                <w:rFonts w:hint="eastAsia" w:ascii="仿宋" w:hAnsi="仿宋" w:eastAsia="仿宋" w:cs="仿宋"/>
                <w:sz w:val="24"/>
                <w:szCs w:val="24"/>
                <w:highlight w:val="none"/>
                <w:lang w:val="en-US" w:eastAsia="zh-CN"/>
              </w:rPr>
              <w:t>项</w:t>
            </w:r>
            <w:r>
              <w:rPr>
                <w:rFonts w:hint="eastAsia" w:ascii="仿宋" w:hAnsi="仿宋" w:eastAsia="仿宋" w:cs="仿宋"/>
                <w:bCs/>
                <w:sz w:val="24"/>
                <w:szCs w:val="24"/>
                <w:highlight w:val="none"/>
                <w:lang w:val="en-US" w:eastAsia="zh-CN"/>
              </w:rPr>
              <w:t>1</w:t>
            </w:r>
          </w:p>
        </w:tc>
        <w:tc>
          <w:tcPr>
            <w:tcW w:w="3908" w:type="dxa"/>
            <w:tcBorders>
              <w:tl2br w:val="nil"/>
              <w:tr2bl w:val="nil"/>
            </w:tcBorders>
            <w:noWrap w:val="0"/>
            <w:vAlign w:val="center"/>
          </w:tcPr>
          <w:p w14:paraId="47B20446">
            <w:pPr>
              <w:pStyle w:val="6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sz w:val="24"/>
                <w:szCs w:val="24"/>
                <w:highlight w:val="none"/>
              </w:rPr>
            </w:pPr>
            <w:r>
              <w:rPr>
                <w:rFonts w:hint="default" w:ascii="仿宋" w:hAnsi="仿宋" w:eastAsia="仿宋" w:cs="仿宋"/>
                <w:bCs/>
                <w:highlight w:val="none"/>
                <w:vertAlign w:val="baseline"/>
                <w:lang w:val="en-US" w:eastAsia="zh-CN"/>
              </w:rPr>
              <w:t>上峰片区</w:t>
            </w:r>
          </w:p>
        </w:tc>
        <w:tc>
          <w:tcPr>
            <w:tcW w:w="2962" w:type="dxa"/>
            <w:tcBorders>
              <w:tl2br w:val="nil"/>
              <w:tr2bl w:val="nil"/>
            </w:tcBorders>
            <w:noWrap w:val="0"/>
            <w:vAlign w:val="center"/>
          </w:tcPr>
          <w:p w14:paraId="32E4C08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35</w:t>
            </w:r>
            <w:r>
              <w:rPr>
                <w:rFonts w:hint="eastAsia" w:ascii="仿宋" w:hAnsi="仿宋" w:eastAsia="仿宋" w:cs="仿宋"/>
                <w:bCs/>
                <w:sz w:val="24"/>
                <w:szCs w:val="24"/>
                <w:highlight w:val="none"/>
              </w:rPr>
              <w:t>万元</w:t>
            </w:r>
          </w:p>
        </w:tc>
      </w:tr>
      <w:tr w14:paraId="01083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2" w:type="dxa"/>
            <w:tcBorders>
              <w:tl2br w:val="nil"/>
              <w:tr2bl w:val="nil"/>
            </w:tcBorders>
            <w:noWrap w:val="0"/>
            <w:vAlign w:val="center"/>
          </w:tcPr>
          <w:p w14:paraId="7661C9D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标</w:t>
            </w:r>
            <w:r>
              <w:rPr>
                <w:rFonts w:hint="eastAsia" w:ascii="仿宋" w:hAnsi="仿宋" w:eastAsia="仿宋" w:cs="仿宋"/>
                <w:sz w:val="24"/>
                <w:szCs w:val="24"/>
                <w:highlight w:val="none"/>
                <w:lang w:val="en-US" w:eastAsia="zh-CN"/>
              </w:rPr>
              <w:t>项</w:t>
            </w:r>
            <w:r>
              <w:rPr>
                <w:rFonts w:hint="eastAsia" w:ascii="仿宋" w:hAnsi="仿宋" w:eastAsia="仿宋" w:cs="仿宋"/>
                <w:bCs/>
                <w:sz w:val="24"/>
                <w:szCs w:val="24"/>
                <w:highlight w:val="none"/>
                <w:lang w:val="en-US" w:eastAsia="zh-CN"/>
              </w:rPr>
              <w:t>2</w:t>
            </w:r>
          </w:p>
        </w:tc>
        <w:tc>
          <w:tcPr>
            <w:tcW w:w="3908" w:type="dxa"/>
            <w:tcBorders>
              <w:tl2br w:val="nil"/>
              <w:tr2bl w:val="nil"/>
            </w:tcBorders>
            <w:noWrap w:val="0"/>
            <w:vAlign w:val="center"/>
          </w:tcPr>
          <w:p w14:paraId="19A81DDF">
            <w:pPr>
              <w:pStyle w:val="6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highlight w:val="none"/>
                <w:vertAlign w:val="baseline"/>
                <w:lang w:val="en-US" w:eastAsia="zh-CN"/>
              </w:rPr>
              <w:t>大桥片区、思安片区</w:t>
            </w:r>
          </w:p>
        </w:tc>
        <w:tc>
          <w:tcPr>
            <w:tcW w:w="2962" w:type="dxa"/>
            <w:tcBorders>
              <w:tl2br w:val="nil"/>
              <w:tr2bl w:val="nil"/>
            </w:tcBorders>
            <w:noWrap w:val="0"/>
            <w:vAlign w:val="center"/>
          </w:tcPr>
          <w:p w14:paraId="4F5F1A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35</w:t>
            </w:r>
            <w:r>
              <w:rPr>
                <w:rFonts w:hint="eastAsia" w:ascii="仿宋" w:hAnsi="仿宋" w:eastAsia="仿宋" w:cs="仿宋"/>
                <w:bCs/>
                <w:sz w:val="24"/>
                <w:szCs w:val="24"/>
                <w:highlight w:val="none"/>
              </w:rPr>
              <w:t>万元</w:t>
            </w:r>
          </w:p>
        </w:tc>
      </w:tr>
    </w:tbl>
    <w:p w14:paraId="28300F83">
      <w:pPr>
        <w:pStyle w:val="1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2、服务期限：标项1、2自合同签订之日起至2025年12月31日止或各标项采购预算金额满止（以先到为准）</w:t>
      </w:r>
    </w:p>
    <w:p w14:paraId="7AEC4CA1">
      <w:pPr>
        <w:pStyle w:val="1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★3、人员要求：标项1、2至少要有建筑、安装专业的造价工程师各1人。（须提供相关人员名单、相关证书复印件及投标人为其缴纳的近6个月社保证明加盖投标人公章）</w:t>
      </w:r>
    </w:p>
    <w:p w14:paraId="62396580">
      <w:pPr>
        <w:pStyle w:val="15"/>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4、收费标准：</w:t>
      </w:r>
    </w:p>
    <w:p w14:paraId="5D088B4B">
      <w:pPr>
        <w:pStyle w:val="15"/>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①单个项目工程造价咨询费按实计算，结合分区段定价支付：20万以下项目，每只500元；20万（含）以上，按实计算，每只保底800元。</w:t>
      </w:r>
    </w:p>
    <w:p w14:paraId="16634857">
      <w:pPr>
        <w:pStyle w:val="1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kern w:val="0"/>
          <w:sz w:val="24"/>
          <w:szCs w:val="24"/>
          <w:highlight w:val="cyan"/>
          <w:lang w:val="en-US" w:eastAsia="zh-CN" w:bidi="ar"/>
        </w:rPr>
      </w:pPr>
      <w:r>
        <w:rPr>
          <w:rFonts w:hint="eastAsia" w:ascii="仿宋" w:hAnsi="仿宋" w:eastAsia="仿宋" w:cs="仿宋"/>
          <w:color w:val="auto"/>
          <w:kern w:val="0"/>
          <w:sz w:val="24"/>
          <w:szCs w:val="24"/>
          <w:highlight w:val="none"/>
          <w:lang w:val="en-US" w:eastAsia="zh-CN" w:bidi="ar"/>
        </w:rPr>
        <w:t>②零星工程招标代理费500元/只；对于工程量无法事先确定的项目，代理费800元/只；招年度入围单位3家（含）以上项目，代理费2000元/只。</w:t>
      </w:r>
    </w:p>
    <w:p w14:paraId="18A9ED5B">
      <w:pPr>
        <w:pStyle w:val="15"/>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招标代理服务费＝（施工招标代理服务收费额＋工程造价咨询服务收费额）×中标折扣。（按标的结算，单只项目均按中标折扣计算）。</w:t>
      </w:r>
    </w:p>
    <w:tbl>
      <w:tblPr>
        <w:tblStyle w:val="65"/>
        <w:tblW w:w="92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5"/>
        <w:gridCol w:w="855"/>
        <w:gridCol w:w="810"/>
        <w:gridCol w:w="840"/>
        <w:gridCol w:w="945"/>
        <w:gridCol w:w="945"/>
        <w:gridCol w:w="1050"/>
        <w:gridCol w:w="1170"/>
        <w:gridCol w:w="975"/>
      </w:tblGrid>
      <w:tr w14:paraId="59D74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255" w:type="dxa"/>
            <w:gridSpan w:val="9"/>
            <w:tcBorders>
              <w:tl2br w:val="nil"/>
              <w:tr2bl w:val="nil"/>
            </w:tcBorders>
            <w:noWrap w:val="0"/>
            <w:vAlign w:val="center"/>
          </w:tcPr>
          <w:p w14:paraId="221288F4">
            <w:pPr>
              <w:pStyle w:val="963"/>
              <w:keepNext w:val="0"/>
              <w:keepLines w:val="0"/>
              <w:pageBreakBefore w:val="0"/>
              <w:kinsoku/>
              <w:wordWrap/>
              <w:overflowPunct/>
              <w:topLinePunct w:val="0"/>
              <w:autoSpaceDE/>
              <w:autoSpaceDN/>
              <w:bidi w:val="0"/>
              <w:adjustRightInd/>
              <w:snapToGrid/>
              <w:spacing w:line="240" w:lineRule="auto"/>
              <w:ind w:left="991"/>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浙江省建设工程造价咨询服务基准收费标准（浙价服〔2009〕84 号）</w:t>
            </w:r>
          </w:p>
        </w:tc>
      </w:tr>
      <w:tr w14:paraId="0984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665" w:type="dxa"/>
            <w:vMerge w:val="restart"/>
            <w:tcBorders>
              <w:tl2br w:val="nil"/>
              <w:tr2bl w:val="nil"/>
            </w:tcBorders>
            <w:noWrap w:val="0"/>
            <w:vAlign w:val="center"/>
          </w:tcPr>
          <w:p w14:paraId="341B5A76">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收费项目</w:t>
            </w:r>
          </w:p>
        </w:tc>
        <w:tc>
          <w:tcPr>
            <w:tcW w:w="855" w:type="dxa"/>
            <w:vMerge w:val="restart"/>
            <w:tcBorders>
              <w:tl2br w:val="nil"/>
              <w:tr2bl w:val="nil"/>
            </w:tcBorders>
            <w:noWrap w:val="0"/>
            <w:vAlign w:val="center"/>
          </w:tcPr>
          <w:p w14:paraId="5D12CD20">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收费</w:t>
            </w:r>
          </w:p>
          <w:p w14:paraId="0F9AFE23">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基数</w:t>
            </w:r>
          </w:p>
        </w:tc>
        <w:tc>
          <w:tcPr>
            <w:tcW w:w="6735" w:type="dxa"/>
            <w:gridSpan w:val="7"/>
            <w:tcBorders>
              <w:tl2br w:val="nil"/>
              <w:tr2bl w:val="nil"/>
            </w:tcBorders>
            <w:noWrap w:val="0"/>
            <w:vAlign w:val="top"/>
          </w:tcPr>
          <w:p w14:paraId="109F27DC">
            <w:pPr>
              <w:pStyle w:val="963"/>
              <w:keepNext w:val="0"/>
              <w:keepLines w:val="0"/>
              <w:pageBreakBefore w:val="0"/>
              <w:kinsoku/>
              <w:wordWrap/>
              <w:overflowPunct/>
              <w:topLinePunct w:val="0"/>
              <w:autoSpaceDE/>
              <w:autoSpaceDN/>
              <w:bidi w:val="0"/>
              <w:adjustRightInd/>
              <w:snapToGrid/>
              <w:spacing w:line="240" w:lineRule="auto"/>
              <w:ind w:right="243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分档累进计费标准</w:t>
            </w:r>
          </w:p>
        </w:tc>
      </w:tr>
      <w:tr w14:paraId="186A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665" w:type="dxa"/>
            <w:vMerge w:val="continue"/>
            <w:tcBorders>
              <w:tl2br w:val="nil"/>
              <w:tr2bl w:val="nil"/>
            </w:tcBorders>
            <w:noWrap w:val="0"/>
            <w:vAlign w:val="top"/>
          </w:tcPr>
          <w:p w14:paraId="4E17A02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855" w:type="dxa"/>
            <w:vMerge w:val="continue"/>
            <w:tcBorders>
              <w:tl2br w:val="nil"/>
              <w:tr2bl w:val="nil"/>
            </w:tcBorders>
            <w:noWrap w:val="0"/>
            <w:vAlign w:val="top"/>
          </w:tcPr>
          <w:p w14:paraId="3F3758B0">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810" w:type="dxa"/>
            <w:tcBorders>
              <w:tl2br w:val="nil"/>
              <w:tr2bl w:val="nil"/>
            </w:tcBorders>
            <w:noWrap w:val="0"/>
            <w:vAlign w:val="top"/>
          </w:tcPr>
          <w:p w14:paraId="4CB829A7">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100万元</w:t>
            </w:r>
          </w:p>
          <w:p w14:paraId="121DCF36">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以内</w:t>
            </w:r>
          </w:p>
        </w:tc>
        <w:tc>
          <w:tcPr>
            <w:tcW w:w="840" w:type="dxa"/>
            <w:tcBorders>
              <w:tl2br w:val="nil"/>
              <w:tr2bl w:val="nil"/>
            </w:tcBorders>
            <w:noWrap w:val="0"/>
            <w:vAlign w:val="top"/>
          </w:tcPr>
          <w:p w14:paraId="4AAC282D">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101-50</w:t>
            </w:r>
            <w:r>
              <w:rPr>
                <w:rFonts w:hint="eastAsia" w:ascii="仿宋" w:hAnsi="仿宋" w:eastAsia="仿宋" w:cs="仿宋"/>
                <w:color w:val="auto"/>
                <w:sz w:val="24"/>
                <w:szCs w:val="24"/>
                <w:lang w:val="en-US" w:eastAsia="zh-CN"/>
              </w:rPr>
              <w:t>0</w:t>
            </w:r>
          </w:p>
          <w:p w14:paraId="614A66E7">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945" w:type="dxa"/>
            <w:tcBorders>
              <w:tl2br w:val="nil"/>
              <w:tr2bl w:val="nil"/>
            </w:tcBorders>
            <w:noWrap w:val="0"/>
            <w:vAlign w:val="top"/>
          </w:tcPr>
          <w:p w14:paraId="3251AFBF">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501-1000</w:t>
            </w:r>
          </w:p>
          <w:p w14:paraId="70D168C1">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945" w:type="dxa"/>
            <w:tcBorders>
              <w:tl2br w:val="nil"/>
              <w:tr2bl w:val="nil"/>
            </w:tcBorders>
            <w:noWrap w:val="0"/>
            <w:vAlign w:val="top"/>
          </w:tcPr>
          <w:p w14:paraId="310181D4">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1001-2000</w:t>
            </w:r>
          </w:p>
          <w:p w14:paraId="67521A47">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050" w:type="dxa"/>
            <w:tcBorders>
              <w:tl2br w:val="nil"/>
              <w:tr2bl w:val="nil"/>
            </w:tcBorders>
            <w:noWrap w:val="0"/>
            <w:vAlign w:val="top"/>
          </w:tcPr>
          <w:p w14:paraId="5BB92704">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2001-5000</w:t>
            </w:r>
          </w:p>
          <w:p w14:paraId="07DD1CEA">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170" w:type="dxa"/>
            <w:tcBorders>
              <w:tl2br w:val="nil"/>
              <w:tr2bl w:val="nil"/>
            </w:tcBorders>
            <w:noWrap w:val="0"/>
            <w:vAlign w:val="top"/>
          </w:tcPr>
          <w:p w14:paraId="2BD1025E">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5001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10000</w:t>
            </w:r>
          </w:p>
          <w:p w14:paraId="70091510">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975" w:type="dxa"/>
            <w:tcBorders>
              <w:tl2br w:val="nil"/>
              <w:tr2bl w:val="nil"/>
            </w:tcBorders>
            <w:noWrap w:val="0"/>
            <w:vAlign w:val="center"/>
          </w:tcPr>
          <w:p w14:paraId="3263D185">
            <w:pPr>
              <w:pStyle w:val="963"/>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10000万元以上</w:t>
            </w:r>
          </w:p>
        </w:tc>
      </w:tr>
      <w:tr w14:paraId="65E7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 w:hRule="atLeast"/>
        </w:trPr>
        <w:tc>
          <w:tcPr>
            <w:tcW w:w="1665" w:type="dxa"/>
            <w:tcBorders>
              <w:tl2br w:val="nil"/>
              <w:tr2bl w:val="nil"/>
            </w:tcBorders>
            <w:noWrap w:val="0"/>
            <w:vAlign w:val="top"/>
          </w:tcPr>
          <w:p w14:paraId="6FA8B1E3">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清单计价法工程量清单及预算、招标控制价的编制或审核</w:t>
            </w:r>
          </w:p>
        </w:tc>
        <w:tc>
          <w:tcPr>
            <w:tcW w:w="855" w:type="dxa"/>
            <w:tcBorders>
              <w:tl2br w:val="nil"/>
              <w:tr2bl w:val="nil"/>
            </w:tcBorders>
            <w:noWrap w:val="0"/>
            <w:vAlign w:val="top"/>
          </w:tcPr>
          <w:p w14:paraId="2D6E2131">
            <w:pPr>
              <w:pStyle w:val="963"/>
              <w:keepNext w:val="0"/>
              <w:keepLines w:val="0"/>
              <w:pageBreakBefore w:val="0"/>
              <w:kinsoku/>
              <w:wordWrap/>
              <w:overflowPunct/>
              <w:topLinePunct w:val="0"/>
              <w:autoSpaceDE/>
              <w:autoSpaceDN/>
              <w:bidi w:val="0"/>
              <w:adjustRightInd/>
              <w:snapToGrid/>
              <w:spacing w:line="240" w:lineRule="auto"/>
              <w:ind w:right="-44"/>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招标控制价-暂列金额-暂估价</w:t>
            </w:r>
          </w:p>
        </w:tc>
        <w:tc>
          <w:tcPr>
            <w:tcW w:w="810" w:type="dxa"/>
            <w:tcBorders>
              <w:tl2br w:val="nil"/>
              <w:tr2bl w:val="nil"/>
            </w:tcBorders>
            <w:noWrap w:val="0"/>
            <w:vAlign w:val="center"/>
          </w:tcPr>
          <w:p w14:paraId="7AAB6D50">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840" w:type="dxa"/>
            <w:tcBorders>
              <w:tl2br w:val="nil"/>
              <w:tr2bl w:val="nil"/>
            </w:tcBorders>
            <w:noWrap w:val="0"/>
            <w:vAlign w:val="center"/>
          </w:tcPr>
          <w:p w14:paraId="06E288E9">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945" w:type="dxa"/>
            <w:tcBorders>
              <w:tl2br w:val="nil"/>
              <w:tr2bl w:val="nil"/>
            </w:tcBorders>
            <w:noWrap w:val="0"/>
            <w:vAlign w:val="center"/>
          </w:tcPr>
          <w:p w14:paraId="0C1DB692">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945" w:type="dxa"/>
            <w:tcBorders>
              <w:tl2br w:val="nil"/>
              <w:tr2bl w:val="nil"/>
            </w:tcBorders>
            <w:noWrap w:val="0"/>
            <w:vAlign w:val="center"/>
          </w:tcPr>
          <w:p w14:paraId="732AA19C">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1050" w:type="dxa"/>
            <w:tcBorders>
              <w:tl2br w:val="nil"/>
              <w:tr2bl w:val="nil"/>
            </w:tcBorders>
            <w:noWrap w:val="0"/>
            <w:vAlign w:val="center"/>
          </w:tcPr>
          <w:p w14:paraId="2C060284">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170" w:type="dxa"/>
            <w:tcBorders>
              <w:tl2br w:val="nil"/>
              <w:tr2bl w:val="nil"/>
            </w:tcBorders>
            <w:noWrap w:val="0"/>
            <w:vAlign w:val="center"/>
          </w:tcPr>
          <w:p w14:paraId="1EE3241D">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975" w:type="dxa"/>
            <w:tcBorders>
              <w:tl2br w:val="nil"/>
              <w:tr2bl w:val="nil"/>
            </w:tcBorders>
            <w:noWrap w:val="0"/>
            <w:vAlign w:val="center"/>
          </w:tcPr>
          <w:p w14:paraId="7178E980">
            <w:pPr>
              <w:pStyle w:val="963"/>
              <w:keepNext w:val="0"/>
              <w:keepLines w:val="0"/>
              <w:pageBreakBefore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w:t>
            </w:r>
          </w:p>
        </w:tc>
      </w:tr>
    </w:tbl>
    <w:p w14:paraId="13868666">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val="0"/>
          <w:color w:val="auto"/>
          <w:kern w:val="2"/>
          <w:sz w:val="24"/>
          <w:szCs w:val="20"/>
          <w:highlight w:val="none"/>
          <w:lang w:val="en-US" w:eastAsia="zh-CN" w:bidi="ar-SA"/>
        </w:rPr>
      </w:pPr>
    </w:p>
    <w:tbl>
      <w:tblPr>
        <w:tblStyle w:val="65"/>
        <w:tblW w:w="92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735"/>
        <w:gridCol w:w="783"/>
        <w:gridCol w:w="783"/>
        <w:gridCol w:w="783"/>
        <w:gridCol w:w="783"/>
        <w:gridCol w:w="783"/>
        <w:gridCol w:w="783"/>
        <w:gridCol w:w="783"/>
        <w:gridCol w:w="783"/>
        <w:gridCol w:w="783"/>
        <w:gridCol w:w="783"/>
      </w:tblGrid>
      <w:tr w14:paraId="2ED1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255" w:type="dxa"/>
            <w:gridSpan w:val="12"/>
            <w:tcBorders>
              <w:tl2br w:val="nil"/>
              <w:tr2bl w:val="nil"/>
            </w:tcBorders>
            <w:noWrap w:val="0"/>
            <w:vAlign w:val="center"/>
          </w:tcPr>
          <w:p w14:paraId="01FBAFD3">
            <w:pPr>
              <w:pStyle w:val="963"/>
              <w:keepNext w:val="0"/>
              <w:keepLines w:val="0"/>
              <w:pageBreakBefore w:val="0"/>
              <w:widowControl w:val="0"/>
              <w:kinsoku/>
              <w:wordWrap/>
              <w:overflowPunct/>
              <w:topLinePunct w:val="0"/>
              <w:autoSpaceDE/>
              <w:autoSpaceDN/>
              <w:bidi w:val="0"/>
              <w:adjustRightInd/>
              <w:snapToGrid/>
              <w:spacing w:line="240" w:lineRule="auto"/>
              <w:ind w:left="3332" w:right="3263"/>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发改价格〔2011〕534 号</w:t>
            </w:r>
          </w:p>
        </w:tc>
      </w:tr>
      <w:tr w14:paraId="16AAC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90" w:type="dxa"/>
            <w:vMerge w:val="restart"/>
            <w:tcBorders>
              <w:tl2br w:val="nil"/>
              <w:tr2bl w:val="nil"/>
            </w:tcBorders>
            <w:noWrap w:val="0"/>
            <w:vAlign w:val="top"/>
          </w:tcPr>
          <w:p w14:paraId="693A62B6">
            <w:pPr>
              <w:pStyle w:val="96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5B95AD2E">
            <w:pPr>
              <w:pStyle w:val="963"/>
              <w:keepNext w:val="0"/>
              <w:keepLines w:val="0"/>
              <w:pageBreakBefore w:val="0"/>
              <w:widowControl w:val="0"/>
              <w:kinsoku/>
              <w:wordWrap/>
              <w:overflowPunct/>
              <w:topLinePunct w:val="0"/>
              <w:autoSpaceDE/>
              <w:autoSpaceDN/>
              <w:bidi w:val="0"/>
              <w:adjustRightInd/>
              <w:snapToGrid/>
              <w:spacing w:line="240" w:lineRule="auto"/>
              <w:ind w:left="120" w:right="2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收费项目</w:t>
            </w:r>
          </w:p>
        </w:tc>
        <w:tc>
          <w:tcPr>
            <w:tcW w:w="735" w:type="dxa"/>
            <w:vMerge w:val="restart"/>
            <w:tcBorders>
              <w:tl2br w:val="nil"/>
              <w:tr2bl w:val="nil"/>
            </w:tcBorders>
            <w:noWrap w:val="0"/>
            <w:vAlign w:val="top"/>
          </w:tcPr>
          <w:p w14:paraId="4706FD17">
            <w:pPr>
              <w:pStyle w:val="96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p w14:paraId="4F349FDE">
            <w:pPr>
              <w:pStyle w:val="963"/>
              <w:keepNext w:val="0"/>
              <w:keepLines w:val="0"/>
              <w:pageBreakBefore w:val="0"/>
              <w:widowControl w:val="0"/>
              <w:kinsoku/>
              <w:wordWrap/>
              <w:overflowPunct/>
              <w:topLinePunct w:val="0"/>
              <w:autoSpaceDE/>
              <w:autoSpaceDN/>
              <w:bidi w:val="0"/>
              <w:adjustRightInd/>
              <w:snapToGrid/>
              <w:spacing w:line="240" w:lineRule="auto"/>
              <w:ind w:left="149" w:right="73"/>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收费基数</w:t>
            </w:r>
          </w:p>
        </w:tc>
        <w:tc>
          <w:tcPr>
            <w:tcW w:w="7830" w:type="dxa"/>
            <w:gridSpan w:val="10"/>
            <w:tcBorders>
              <w:tl2br w:val="nil"/>
              <w:tr2bl w:val="nil"/>
            </w:tcBorders>
            <w:noWrap w:val="0"/>
            <w:vAlign w:val="top"/>
          </w:tcPr>
          <w:p w14:paraId="0675B121">
            <w:pPr>
              <w:pStyle w:val="963"/>
              <w:keepNext w:val="0"/>
              <w:keepLines w:val="0"/>
              <w:pageBreakBefore w:val="0"/>
              <w:widowControl w:val="0"/>
              <w:kinsoku/>
              <w:wordWrap/>
              <w:overflowPunct/>
              <w:topLinePunct w:val="0"/>
              <w:autoSpaceDE/>
              <w:autoSpaceDN/>
              <w:bidi w:val="0"/>
              <w:adjustRightInd/>
              <w:snapToGrid/>
              <w:spacing w:line="240" w:lineRule="auto"/>
              <w:ind w:left="2986" w:right="2901"/>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分档累进计费标准</w:t>
            </w:r>
          </w:p>
        </w:tc>
      </w:tr>
      <w:tr w14:paraId="2A0A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90" w:type="dxa"/>
            <w:vMerge w:val="continue"/>
            <w:tcBorders>
              <w:tl2br w:val="nil"/>
              <w:tr2bl w:val="nil"/>
            </w:tcBorders>
            <w:noWrap w:val="0"/>
            <w:vAlign w:val="top"/>
          </w:tcPr>
          <w:p w14:paraId="63B024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735" w:type="dxa"/>
            <w:vMerge w:val="continue"/>
            <w:tcBorders>
              <w:tl2br w:val="nil"/>
              <w:tr2bl w:val="nil"/>
            </w:tcBorders>
            <w:noWrap w:val="0"/>
            <w:vAlign w:val="top"/>
          </w:tcPr>
          <w:p w14:paraId="3AB84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p>
        </w:tc>
        <w:tc>
          <w:tcPr>
            <w:tcW w:w="783" w:type="dxa"/>
            <w:tcBorders>
              <w:tl2br w:val="nil"/>
              <w:tr2bl w:val="nil"/>
            </w:tcBorders>
            <w:noWrap w:val="0"/>
            <w:vAlign w:val="top"/>
          </w:tcPr>
          <w:p w14:paraId="29929607">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p w14:paraId="4BBF8F19">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p w14:paraId="35CC24A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以下</w:t>
            </w:r>
          </w:p>
        </w:tc>
        <w:tc>
          <w:tcPr>
            <w:tcW w:w="783" w:type="dxa"/>
            <w:tcBorders>
              <w:tl2br w:val="nil"/>
              <w:tr2bl w:val="nil"/>
            </w:tcBorders>
            <w:noWrap w:val="0"/>
            <w:vAlign w:val="top"/>
          </w:tcPr>
          <w:p w14:paraId="5D7DFB4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p w14:paraId="0316F5EE">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500</w:t>
            </w:r>
          </w:p>
          <w:p w14:paraId="1BD36ED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783" w:type="dxa"/>
            <w:tcBorders>
              <w:tl2br w:val="nil"/>
              <w:tr2bl w:val="nil"/>
            </w:tcBorders>
            <w:noWrap w:val="0"/>
            <w:vAlign w:val="top"/>
          </w:tcPr>
          <w:p w14:paraId="5F607C72">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500～</w:t>
            </w:r>
          </w:p>
          <w:p w14:paraId="6213327A">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100</w:t>
            </w:r>
            <w:r>
              <w:rPr>
                <w:rFonts w:hint="eastAsia" w:ascii="仿宋" w:hAnsi="仿宋" w:eastAsia="仿宋" w:cs="仿宋"/>
                <w:color w:val="auto"/>
                <w:sz w:val="24"/>
                <w:szCs w:val="24"/>
                <w:lang w:val="en-US" w:eastAsia="zh-CN"/>
              </w:rPr>
              <w:t>0</w:t>
            </w:r>
          </w:p>
          <w:p w14:paraId="17FA9435">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783" w:type="dxa"/>
            <w:tcBorders>
              <w:tl2br w:val="nil"/>
              <w:tr2bl w:val="nil"/>
            </w:tcBorders>
            <w:noWrap w:val="0"/>
            <w:vAlign w:val="top"/>
          </w:tcPr>
          <w:p w14:paraId="6A7F6B23">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1000～</w:t>
            </w:r>
          </w:p>
          <w:p w14:paraId="12251C9D">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5000</w:t>
            </w:r>
          </w:p>
          <w:p w14:paraId="20A167CC">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783" w:type="dxa"/>
            <w:tcBorders>
              <w:tl2br w:val="nil"/>
              <w:tr2bl w:val="nil"/>
            </w:tcBorders>
            <w:noWrap w:val="0"/>
            <w:vAlign w:val="top"/>
          </w:tcPr>
          <w:p w14:paraId="12831F49">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5000</w:t>
            </w:r>
          </w:p>
          <w:p w14:paraId="14F76E6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万元～</w:t>
            </w:r>
          </w:p>
          <w:p w14:paraId="7707C54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1亿元</w:t>
            </w:r>
          </w:p>
        </w:tc>
        <w:tc>
          <w:tcPr>
            <w:tcW w:w="783" w:type="dxa"/>
            <w:tcBorders>
              <w:tl2br w:val="nil"/>
              <w:tr2bl w:val="nil"/>
            </w:tcBorders>
            <w:noWrap w:val="0"/>
            <w:vAlign w:val="top"/>
          </w:tcPr>
          <w:p w14:paraId="0507DDF5">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p w14:paraId="278EEBD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亿元</w:t>
            </w:r>
          </w:p>
        </w:tc>
        <w:tc>
          <w:tcPr>
            <w:tcW w:w="783" w:type="dxa"/>
            <w:tcBorders>
              <w:tl2br w:val="nil"/>
              <w:tr2bl w:val="nil"/>
            </w:tcBorders>
            <w:noWrap w:val="0"/>
            <w:vAlign w:val="top"/>
          </w:tcPr>
          <w:p w14:paraId="1887AF9B">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5～10</w:t>
            </w:r>
          </w:p>
          <w:p w14:paraId="41DA04C3">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亿元</w:t>
            </w:r>
          </w:p>
        </w:tc>
        <w:tc>
          <w:tcPr>
            <w:tcW w:w="783" w:type="dxa"/>
            <w:tcBorders>
              <w:tl2br w:val="nil"/>
              <w:tr2bl w:val="nil"/>
            </w:tcBorders>
            <w:noWrap w:val="0"/>
            <w:vAlign w:val="top"/>
          </w:tcPr>
          <w:p w14:paraId="1B92219F">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10～50</w:t>
            </w:r>
          </w:p>
          <w:p w14:paraId="620901F9">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亿元</w:t>
            </w:r>
          </w:p>
        </w:tc>
        <w:tc>
          <w:tcPr>
            <w:tcW w:w="783" w:type="dxa"/>
            <w:tcBorders>
              <w:tl2br w:val="nil"/>
              <w:tr2bl w:val="nil"/>
            </w:tcBorders>
            <w:noWrap w:val="0"/>
            <w:vAlign w:val="top"/>
          </w:tcPr>
          <w:p w14:paraId="667ECC7A">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50～100</w:t>
            </w:r>
          </w:p>
          <w:p w14:paraId="08A1497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亿元</w:t>
            </w:r>
          </w:p>
        </w:tc>
        <w:tc>
          <w:tcPr>
            <w:tcW w:w="783" w:type="dxa"/>
            <w:tcBorders>
              <w:tl2br w:val="nil"/>
              <w:tr2bl w:val="nil"/>
            </w:tcBorders>
            <w:noWrap w:val="0"/>
            <w:vAlign w:val="top"/>
          </w:tcPr>
          <w:p w14:paraId="3ACAD880">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100</w:t>
            </w:r>
          </w:p>
          <w:p w14:paraId="4363A163">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亿元</w:t>
            </w:r>
          </w:p>
          <w:p w14:paraId="5E64482C">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以</w:t>
            </w:r>
            <w:r>
              <w:rPr>
                <w:rFonts w:hint="eastAsia" w:ascii="仿宋" w:hAnsi="仿宋" w:eastAsia="仿宋" w:cs="仿宋"/>
                <w:color w:val="auto"/>
                <w:sz w:val="24"/>
                <w:szCs w:val="24"/>
              </w:rPr>
              <w:t>上</w:t>
            </w:r>
          </w:p>
        </w:tc>
      </w:tr>
      <w:tr w14:paraId="33246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690" w:type="dxa"/>
            <w:tcBorders>
              <w:tl2br w:val="nil"/>
              <w:tr2bl w:val="nil"/>
            </w:tcBorders>
            <w:noWrap w:val="0"/>
            <w:vAlign w:val="top"/>
          </w:tcPr>
          <w:p w14:paraId="01CC1EA7">
            <w:pPr>
              <w:pStyle w:val="963"/>
              <w:keepNext w:val="0"/>
              <w:keepLines w:val="0"/>
              <w:pageBreakBefore w:val="0"/>
              <w:widowControl w:val="0"/>
              <w:kinsoku/>
              <w:wordWrap/>
              <w:overflowPunct/>
              <w:topLinePunct w:val="0"/>
              <w:autoSpaceDE/>
              <w:autoSpaceDN/>
              <w:bidi w:val="0"/>
              <w:adjustRightInd/>
              <w:snapToGrid/>
              <w:spacing w:line="240" w:lineRule="auto"/>
              <w:ind w:left="120" w:right="27"/>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施工招标代理</w:t>
            </w:r>
          </w:p>
        </w:tc>
        <w:tc>
          <w:tcPr>
            <w:tcW w:w="735" w:type="dxa"/>
            <w:tcBorders>
              <w:tl2br w:val="nil"/>
              <w:tr2bl w:val="nil"/>
            </w:tcBorders>
            <w:noWrap w:val="0"/>
            <w:vAlign w:val="top"/>
          </w:tcPr>
          <w:p w14:paraId="4A8341DD">
            <w:pPr>
              <w:pStyle w:val="963"/>
              <w:keepNext w:val="0"/>
              <w:keepLines w:val="0"/>
              <w:pageBreakBefore w:val="0"/>
              <w:widowControl w:val="0"/>
              <w:kinsoku/>
              <w:wordWrap/>
              <w:overflowPunct/>
              <w:topLinePunct w:val="0"/>
              <w:autoSpaceDE/>
              <w:autoSpaceDN/>
              <w:bidi w:val="0"/>
              <w:adjustRightInd/>
              <w:snapToGrid/>
              <w:spacing w:line="240" w:lineRule="auto"/>
              <w:ind w:left="149" w:right="73"/>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施工中标金额</w:t>
            </w:r>
          </w:p>
        </w:tc>
        <w:tc>
          <w:tcPr>
            <w:tcW w:w="783" w:type="dxa"/>
            <w:tcBorders>
              <w:tl2br w:val="nil"/>
              <w:tr2bl w:val="nil"/>
            </w:tcBorders>
            <w:noWrap w:val="0"/>
            <w:vAlign w:val="top"/>
          </w:tcPr>
          <w:p w14:paraId="31AB4A16">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3DE1EC0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83" w:type="dxa"/>
            <w:tcBorders>
              <w:tl2br w:val="nil"/>
              <w:tr2bl w:val="nil"/>
            </w:tcBorders>
            <w:noWrap w:val="0"/>
            <w:vAlign w:val="top"/>
          </w:tcPr>
          <w:p w14:paraId="34DBE70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3686332F">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0.7%</w:t>
            </w:r>
          </w:p>
        </w:tc>
        <w:tc>
          <w:tcPr>
            <w:tcW w:w="783" w:type="dxa"/>
            <w:tcBorders>
              <w:tl2br w:val="nil"/>
              <w:tr2bl w:val="nil"/>
            </w:tcBorders>
            <w:noWrap w:val="0"/>
            <w:vAlign w:val="top"/>
          </w:tcPr>
          <w:p w14:paraId="55B07A9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07738AF2">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0.55%</w:t>
            </w:r>
          </w:p>
        </w:tc>
        <w:tc>
          <w:tcPr>
            <w:tcW w:w="783" w:type="dxa"/>
            <w:tcBorders>
              <w:tl2br w:val="nil"/>
              <w:tr2bl w:val="nil"/>
            </w:tcBorders>
            <w:noWrap w:val="0"/>
            <w:vAlign w:val="top"/>
          </w:tcPr>
          <w:p w14:paraId="03A266E2">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1395E3EF">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0.35%</w:t>
            </w:r>
          </w:p>
        </w:tc>
        <w:tc>
          <w:tcPr>
            <w:tcW w:w="783" w:type="dxa"/>
            <w:tcBorders>
              <w:tl2br w:val="nil"/>
              <w:tr2bl w:val="nil"/>
            </w:tcBorders>
            <w:noWrap w:val="0"/>
            <w:vAlign w:val="top"/>
          </w:tcPr>
          <w:p w14:paraId="1E96E01E">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2A9AE6E3">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783" w:type="dxa"/>
            <w:tcBorders>
              <w:tl2br w:val="nil"/>
              <w:tr2bl w:val="nil"/>
            </w:tcBorders>
            <w:noWrap w:val="0"/>
            <w:vAlign w:val="top"/>
          </w:tcPr>
          <w:p w14:paraId="18052E6A">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02C19032">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0.05%</w:t>
            </w:r>
          </w:p>
        </w:tc>
        <w:tc>
          <w:tcPr>
            <w:tcW w:w="783" w:type="dxa"/>
            <w:tcBorders>
              <w:tl2br w:val="nil"/>
              <w:tr2bl w:val="nil"/>
            </w:tcBorders>
            <w:noWrap w:val="0"/>
            <w:vAlign w:val="top"/>
          </w:tcPr>
          <w:p w14:paraId="6AAAA231">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154A0724">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0.035%</w:t>
            </w:r>
          </w:p>
        </w:tc>
        <w:tc>
          <w:tcPr>
            <w:tcW w:w="783" w:type="dxa"/>
            <w:tcBorders>
              <w:tl2br w:val="nil"/>
              <w:tr2bl w:val="nil"/>
            </w:tcBorders>
            <w:noWrap w:val="0"/>
            <w:vAlign w:val="top"/>
          </w:tcPr>
          <w:p w14:paraId="22BB6F6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6D9CB07B">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0.008%</w:t>
            </w:r>
          </w:p>
        </w:tc>
        <w:tc>
          <w:tcPr>
            <w:tcW w:w="783" w:type="dxa"/>
            <w:tcBorders>
              <w:tl2br w:val="nil"/>
              <w:tr2bl w:val="nil"/>
            </w:tcBorders>
            <w:noWrap w:val="0"/>
            <w:vAlign w:val="top"/>
          </w:tcPr>
          <w:p w14:paraId="1509C558">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143A1D14">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0.006%</w:t>
            </w:r>
          </w:p>
        </w:tc>
        <w:tc>
          <w:tcPr>
            <w:tcW w:w="783" w:type="dxa"/>
            <w:tcBorders>
              <w:tl2br w:val="nil"/>
              <w:tr2bl w:val="nil"/>
            </w:tcBorders>
            <w:noWrap w:val="0"/>
            <w:vAlign w:val="top"/>
          </w:tcPr>
          <w:p w14:paraId="504B9B75">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p>
          <w:p w14:paraId="6DE938C4">
            <w:pPr>
              <w:pStyle w:val="963"/>
              <w:keepNext w:val="0"/>
              <w:keepLines w:val="0"/>
              <w:pageBreakBefore w:val="0"/>
              <w:widowControl w:val="0"/>
              <w:kinsoku/>
              <w:wordWrap/>
              <w:overflowPunct/>
              <w:topLinePunct w:val="0"/>
              <w:autoSpaceDE/>
              <w:autoSpaceDN/>
              <w:bidi w:val="0"/>
              <w:adjustRightInd/>
              <w:snapToGrid/>
              <w:spacing w:line="240" w:lineRule="auto"/>
              <w:ind w:right="-44"/>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0.004%</w:t>
            </w:r>
          </w:p>
        </w:tc>
      </w:tr>
    </w:tbl>
    <w:p w14:paraId="79D5F339">
      <w:pPr>
        <w:pStyle w:val="85"/>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baseline"/>
        <w:rPr>
          <w:rFonts w:hint="default"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（二）代理内容</w:t>
      </w:r>
    </w:p>
    <w:p w14:paraId="13F6F1D9">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负责招标项目施工等全过程代理，协同采购人承担招标项目所涉资格确认、疑异处置、组织开标、定标等主体责任。</w:t>
      </w:r>
    </w:p>
    <w:p w14:paraId="6E9178A9">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1、拟定招标方案；</w:t>
      </w:r>
    </w:p>
    <w:p w14:paraId="7D533B3A">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2、编制招标文件；</w:t>
      </w:r>
    </w:p>
    <w:p w14:paraId="2FF51292">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3、编制工程量清单及招标控制价，并送审；</w:t>
      </w:r>
    </w:p>
    <w:p w14:paraId="04D39C12">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4、提出招标申请；</w:t>
      </w:r>
    </w:p>
    <w:p w14:paraId="0D0B275F">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5、发布招标信息；</w:t>
      </w:r>
    </w:p>
    <w:p w14:paraId="035946A5">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6、组织并接收投标申请人报名；</w:t>
      </w:r>
    </w:p>
    <w:p w14:paraId="18EE7357">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7、会同采购人审查投标人资格；</w:t>
      </w:r>
    </w:p>
    <w:p w14:paraId="7F224A44">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8、组织确定投标人会议；</w:t>
      </w:r>
    </w:p>
    <w:p w14:paraId="671D5C39">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9、组织投标人踏勘现场和答疑；</w:t>
      </w:r>
    </w:p>
    <w:p w14:paraId="723A4728">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10、组织开标、评标和协助采购人定标；</w:t>
      </w:r>
    </w:p>
    <w:p w14:paraId="1E44BC86">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11、提交招投标情况书面报告；</w:t>
      </w:r>
    </w:p>
    <w:p w14:paraId="51F078E2">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12、草拟工程施工合同，并在合同签订后送招投标监督管理部门备案；</w:t>
      </w:r>
    </w:p>
    <w:p w14:paraId="3BD1272C">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13、代理与工程招标有关的其它事项。</w:t>
      </w:r>
    </w:p>
    <w:p w14:paraId="1541414B">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注：采购人不得要求招标代理机构只代理某一环节或某一部分的工作。 </w:t>
      </w:r>
    </w:p>
    <w:p w14:paraId="65AB89C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rPr>
      </w:pPr>
      <w:r>
        <w:rPr>
          <w:rFonts w:hint="eastAsia" w:ascii="仿宋" w:hAnsi="仿宋" w:eastAsia="仿宋" w:cs="仿宋"/>
          <w:b/>
          <w:bCs w:val="0"/>
          <w:snapToGrid w:val="0"/>
          <w:color w:val="auto"/>
          <w:kern w:val="2"/>
          <w:sz w:val="24"/>
          <w:szCs w:val="24"/>
          <w:highlight w:val="none"/>
          <w:lang w:val="en-US" w:eastAsia="zh-CN" w:bidi="ar"/>
        </w:rPr>
        <w:t>（三）</w:t>
      </w:r>
      <w:r>
        <w:rPr>
          <w:rFonts w:hint="eastAsia" w:ascii="仿宋" w:hAnsi="仿宋" w:eastAsia="仿宋" w:cs="仿宋"/>
          <w:b/>
          <w:bCs/>
          <w:color w:val="auto"/>
          <w:kern w:val="0"/>
          <w:sz w:val="24"/>
          <w:szCs w:val="24"/>
          <w:lang w:val="en-US" w:eastAsia="zh-CN" w:bidi="ar"/>
        </w:rPr>
        <w:t xml:space="preserve">特别约定 </w:t>
      </w:r>
    </w:p>
    <w:p w14:paraId="55B20DF2">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b/>
          <w:bCs w:val="0"/>
          <w:snapToGrid w:val="0"/>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sz w:val="24"/>
          <w:highlight w:val="none"/>
        </w:rPr>
        <w:t>诸暨市</w:t>
      </w:r>
      <w:r>
        <w:rPr>
          <w:rFonts w:hint="eastAsia" w:ascii="仿宋" w:hAnsi="仿宋" w:eastAsia="仿宋" w:cs="仿宋"/>
          <w:sz w:val="24"/>
          <w:highlight w:val="none"/>
          <w:lang w:eastAsia="zh-CN"/>
        </w:rPr>
        <w:t>次坞</w:t>
      </w:r>
      <w:r>
        <w:rPr>
          <w:rFonts w:hint="eastAsia" w:ascii="仿宋" w:hAnsi="仿宋" w:eastAsia="仿宋" w:cs="仿宋"/>
          <w:sz w:val="24"/>
          <w:highlight w:val="none"/>
        </w:rPr>
        <w:t>镇</w:t>
      </w:r>
      <w:r>
        <w:rPr>
          <w:rFonts w:hint="eastAsia" w:ascii="仿宋" w:hAnsi="仿宋" w:eastAsia="仿宋" w:cs="仿宋"/>
          <w:sz w:val="24"/>
          <w:highlight w:val="none"/>
          <w:lang w:val="en-US" w:eastAsia="zh-CN"/>
        </w:rPr>
        <w:t>2024</w:t>
      </w:r>
      <w:r>
        <w:rPr>
          <w:rFonts w:hint="eastAsia" w:ascii="仿宋" w:hAnsi="仿宋" w:eastAsia="仿宋" w:cs="仿宋"/>
          <w:sz w:val="24"/>
          <w:highlight w:val="none"/>
          <w:lang w:eastAsia="zh-CN"/>
        </w:rPr>
        <w:t>年度水利</w:t>
      </w:r>
      <w:r>
        <w:rPr>
          <w:rFonts w:hint="eastAsia" w:ascii="仿宋" w:hAnsi="仿宋" w:eastAsia="仿宋" w:cs="仿宋"/>
          <w:sz w:val="24"/>
          <w:highlight w:val="none"/>
        </w:rPr>
        <w:t>工程代理机构</w:t>
      </w:r>
      <w:r>
        <w:rPr>
          <w:rFonts w:hint="eastAsia" w:ascii="仿宋" w:hAnsi="仿宋" w:eastAsia="仿宋" w:cs="仿宋"/>
          <w:color w:val="auto"/>
          <w:sz w:val="24"/>
          <w:highlight w:val="none"/>
          <w:lang w:val="en-US" w:eastAsia="zh-CN"/>
        </w:rPr>
        <w:t>，不得参加本次投标。（提供相关承诺，格式自拟）</w:t>
      </w:r>
    </w:p>
    <w:p w14:paraId="1FF2A4FB">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仿宋" w:hAnsi="仿宋" w:eastAsia="仿宋" w:cs="仿宋"/>
          <w:b/>
          <w:bCs w:val="0"/>
          <w:snapToGrid w:val="0"/>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w:t>
      </w:r>
      <w:r>
        <w:rPr>
          <w:rFonts w:hint="eastAsia" w:ascii="仿宋" w:hAnsi="仿宋" w:eastAsia="仿宋" w:cs="仿宋"/>
          <w:color w:val="auto"/>
          <w:sz w:val="24"/>
          <w:highlight w:val="none"/>
          <w:lang w:val="en-US" w:eastAsia="zh-CN"/>
        </w:rPr>
        <w:t>2、2025年度镇乡（街道）、部门（国企）等年度代理项目中标3只（含）以上的，不得参加本次投标。（提供相关承诺，格式自拟）</w:t>
      </w:r>
    </w:p>
    <w:p w14:paraId="4BD2D690">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3、如中标人不具备编制工程量清单、招标控制价的能力，应委托具备相应编制能力的企业编制工程量清单、招标控制价； </w:t>
      </w:r>
    </w:p>
    <w:p w14:paraId="15C40EB5">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4、工程量清单、招标控制价按诸建管发〔2010〕34 号、诸建管发〔2010〕 74 号文件要求编制； </w:t>
      </w:r>
    </w:p>
    <w:p w14:paraId="5A0186AE">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中标人应在采购人提供完整图纸后5个工作日内将招标控制价送至相关协审单位审计，送审前（含初稿、终稿）须先送镇招标办由采购人审核，审计过程中的修改应及时与采购人联系，审计部门出具可以进入招投标程序的函后应及时将相关资料送交给采购人及招标办备案审查。</w:t>
      </w:r>
    </w:p>
    <w:p w14:paraId="48304CE2">
      <w:pPr>
        <w:keepNext w:val="0"/>
        <w:keepLines w:val="0"/>
        <w:pageBreakBefore w:val="0"/>
        <w:widowControl w:val="0"/>
        <w:suppressLineNumbers w:val="0"/>
        <w:kinsoku w:val="0"/>
        <w:wordWrap/>
        <w:overflowPunct w:val="0"/>
        <w:topLinePunct w:val="0"/>
        <w:autoSpaceDE w:val="0"/>
        <w:autoSpaceDN w:val="0"/>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6、在工程施工实施过程或结算时，如发现工程量清单与计价有疑问时，招标代理单位有义务及时配合核对；</w:t>
      </w:r>
    </w:p>
    <w:p w14:paraId="3FDF0EF3">
      <w:pPr>
        <w:keepNext w:val="0"/>
        <w:keepLines w:val="0"/>
        <w:pageBreakBefore w:val="0"/>
        <w:widowControl w:val="0"/>
        <w:suppressLineNumbers w:val="0"/>
        <w:kinsoku w:val="0"/>
        <w:wordWrap/>
        <w:overflowPunct w:val="0"/>
        <w:topLinePunct w:val="0"/>
        <w:autoSpaceDE w:val="0"/>
        <w:autoSpaceDN w:val="0"/>
        <w:bidi w:val="0"/>
        <w:adjustRightInd/>
        <w:snapToGrid/>
        <w:spacing w:line="42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7、标底编制费的收取与标底编制质量挂钩，标底编制误差范围小于等于±5%的，标底编制费可按规定金额收取；标底编制误差范围在±5%至±10%（含±10%）的，标底编制费收取不得多于规定金额的50%；标底编制误差范围在±10%以上的，不得收取标底编制费。</w:t>
      </w:r>
    </w:p>
    <w:p w14:paraId="03DD57A0">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8、因不负责任或业务不精导致标底预算编制出现重大失误；在代理服务过程中存在损害采购人利益或造成负面影响的，将不予支付该工程一切代理费用，并没收履约保证金，中止合同，同时采购人有权对代理单位作出相应经济处罚和通报批评等措施，并把情况上报市主管部门。 </w:t>
      </w:r>
    </w:p>
    <w:p w14:paraId="233F84F6">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9、涉及招投标项目应归档资料不能及时、完整提供给采购人的，不得收取招标代理费用，且按违约处理； </w:t>
      </w:r>
    </w:p>
    <w:p w14:paraId="30D6114E">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10、招标代理单位应保质按时完成招标代理工作，不得以单项工程量大小及其它各种理由为借口拒绝或推迟代理，如出现违约情况，则解除合同并没收合同履约保证金，取消代理单位在</w:t>
      </w:r>
      <w:r>
        <w:rPr>
          <w:rFonts w:hint="eastAsia" w:ascii="仿宋" w:hAnsi="仿宋" w:eastAsia="仿宋" w:cs="仿宋"/>
          <w:b w:val="0"/>
          <w:bCs w:val="0"/>
          <w:color w:val="auto"/>
          <w:sz w:val="24"/>
          <w:highlight w:val="none"/>
          <w:lang w:val="en-US" w:eastAsia="zh-CN"/>
        </w:rPr>
        <w:t>诸暨市次坞镇人民政府</w:t>
      </w:r>
      <w:r>
        <w:rPr>
          <w:rFonts w:hint="eastAsia" w:ascii="仿宋" w:hAnsi="仿宋" w:eastAsia="仿宋" w:cs="仿宋"/>
          <w:color w:val="auto"/>
          <w:kern w:val="0"/>
          <w:sz w:val="24"/>
          <w:szCs w:val="24"/>
          <w:lang w:val="en-US" w:eastAsia="zh-CN" w:bidi="ar"/>
        </w:rPr>
        <w:t>的招标代理资格，并致函给诸暨市公共资源交易中心。</w:t>
      </w:r>
    </w:p>
    <w:p w14:paraId="7E12A2A2">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kern w:val="0"/>
          <w:sz w:val="24"/>
          <w:szCs w:val="24"/>
          <w:highlight w:val="none"/>
          <w:lang w:val="en-US" w:eastAsia="zh-CN" w:bidi="ar"/>
        </w:rPr>
        <w:t>11、</w:t>
      </w:r>
      <w:r>
        <w:rPr>
          <w:rFonts w:hint="eastAsia" w:ascii="仿宋" w:hAnsi="仿宋" w:eastAsia="仿宋" w:cs="仿宋"/>
          <w:sz w:val="24"/>
          <w:highlight w:val="none"/>
        </w:rPr>
        <w:t>村级工程的代理服务费由村</w:t>
      </w:r>
      <w:r>
        <w:rPr>
          <w:rFonts w:hint="eastAsia" w:ascii="仿宋" w:hAnsi="仿宋" w:eastAsia="仿宋" w:cs="仿宋"/>
          <w:sz w:val="24"/>
          <w:highlight w:val="none"/>
          <w:lang w:val="en-US" w:eastAsia="zh-CN"/>
        </w:rPr>
        <w:t>自行支付</w:t>
      </w:r>
      <w:r>
        <w:rPr>
          <w:rFonts w:hint="eastAsia" w:ascii="仿宋" w:hAnsi="仿宋" w:eastAsia="仿宋" w:cs="仿宋"/>
          <w:sz w:val="24"/>
          <w:highlight w:val="none"/>
        </w:rPr>
        <w:t>，由代理公司在每只工程代理前自行与村签订代理协议并向村结算费用。</w:t>
      </w:r>
    </w:p>
    <w:p w14:paraId="53E434B0">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代理公司</w:t>
      </w:r>
      <w:r>
        <w:rPr>
          <w:rFonts w:hint="eastAsia" w:ascii="仿宋" w:hAnsi="仿宋" w:eastAsia="仿宋" w:cs="仿宋"/>
          <w:color w:val="auto"/>
          <w:sz w:val="24"/>
          <w:highlight w:val="none"/>
          <w:lang w:val="en-US" w:eastAsia="zh-CN"/>
        </w:rPr>
        <w:t>每月考核一次，考核内容包括工程档案资料归档、代理服务、标底编制误差等，由采购人负责实施，</w:t>
      </w:r>
      <w:r>
        <w:rPr>
          <w:rFonts w:hint="eastAsia" w:ascii="仿宋" w:hAnsi="仿宋" w:eastAsia="仿宋" w:cs="仿宋"/>
          <w:sz w:val="24"/>
          <w:highlight w:val="none"/>
        </w:rPr>
        <w:t>代理公司</w:t>
      </w:r>
      <w:r>
        <w:rPr>
          <w:rFonts w:hint="eastAsia" w:ascii="仿宋" w:hAnsi="仿宋" w:eastAsia="仿宋" w:cs="仿宋"/>
          <w:color w:val="auto"/>
          <w:sz w:val="24"/>
          <w:highlight w:val="none"/>
          <w:lang w:val="en-US" w:eastAsia="zh-CN"/>
        </w:rPr>
        <w:t>需在每月28日前完成考核任务，累计考核不合格两次以上直接解除合同并没收合同履约保证金，合同解除后一年内不得参与次坞镇任何工程代理活动，并上报相关单位直至追究相关责任。</w:t>
      </w:r>
    </w:p>
    <w:p w14:paraId="05BA69E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bCs w:val="0"/>
          <w:color w:val="auto"/>
          <w:kern w:val="2"/>
          <w:sz w:val="24"/>
          <w:szCs w:val="20"/>
          <w:highlight w:val="none"/>
          <w:lang w:val="en-US" w:eastAsia="zh-CN" w:bidi="ar-SA"/>
        </w:rPr>
      </w:pPr>
      <w:r>
        <w:rPr>
          <w:rFonts w:hint="eastAsia" w:ascii="仿宋" w:hAnsi="仿宋" w:eastAsia="仿宋" w:cs="仿宋"/>
          <w:b/>
          <w:bCs w:val="0"/>
          <w:snapToGrid w:val="0"/>
          <w:color w:val="auto"/>
          <w:kern w:val="2"/>
          <w:sz w:val="24"/>
          <w:szCs w:val="24"/>
          <w:highlight w:val="none"/>
          <w:lang w:val="en-US" w:eastAsia="zh-CN" w:bidi="ar"/>
        </w:rPr>
        <w:t>（四）</w:t>
      </w:r>
      <w:r>
        <w:rPr>
          <w:rFonts w:hint="eastAsia" w:ascii="仿宋" w:hAnsi="仿宋" w:eastAsia="仿宋" w:cs="仿宋"/>
          <w:b/>
          <w:bCs w:val="0"/>
          <w:color w:val="auto"/>
          <w:kern w:val="2"/>
          <w:sz w:val="24"/>
          <w:szCs w:val="20"/>
          <w:highlight w:val="none"/>
          <w:lang w:val="en-US" w:eastAsia="zh-CN" w:bidi="ar-SA"/>
        </w:rPr>
        <w:t>履约保证金及付款方式</w:t>
      </w:r>
    </w:p>
    <w:p w14:paraId="5CB8D49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r>
        <w:rPr>
          <w:rFonts w:hint="eastAsia" w:ascii="仿宋" w:hAnsi="仿宋" w:eastAsia="仿宋" w:cs="仿宋"/>
          <w:color w:val="auto"/>
          <w:sz w:val="24"/>
          <w:szCs w:val="24"/>
          <w:highlight w:val="none"/>
          <w:lang w:val="en-US" w:eastAsia="zh-CN"/>
        </w:rPr>
        <w:t>项目实施前，中标人须向采购单位缴纳预算金额1%的履约保证金，项目完成后30天内退回，不计息。</w:t>
      </w:r>
    </w:p>
    <w:p w14:paraId="605C5303">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中标单位通过基本账户银行转账或电汇方式缴纳履约保证金，凭银行缴款凭证至次坞镇人民政府财政办办公室开具履约保证金收据。</w:t>
      </w:r>
    </w:p>
    <w:p w14:paraId="4F91818A">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收款单位：诸暨市次坞镇人民政府</w:t>
      </w:r>
    </w:p>
    <w:p w14:paraId="33C7C25B">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开户银行：</w:t>
      </w:r>
      <w:r>
        <w:rPr>
          <w:rFonts w:hint="eastAsia" w:ascii="仿宋" w:hAnsi="仿宋" w:eastAsia="仿宋" w:cs="仿宋"/>
          <w:sz w:val="24"/>
          <w:szCs w:val="32"/>
          <w:vertAlign w:val="baseline"/>
          <w:lang w:val="en-US" w:eastAsia="zh-CN"/>
        </w:rPr>
        <w:t>诸暨农商银行次坞支行</w:t>
      </w:r>
    </w:p>
    <w:p w14:paraId="46CE8C88">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银行帐号：</w:t>
      </w:r>
      <w:r>
        <w:rPr>
          <w:rFonts w:hint="eastAsia" w:ascii="仿宋" w:hAnsi="仿宋" w:eastAsia="仿宋" w:cs="仿宋"/>
          <w:sz w:val="24"/>
          <w:szCs w:val="32"/>
          <w:vertAlign w:val="baseline"/>
          <w:lang w:val="en-US" w:eastAsia="zh-CN"/>
        </w:rPr>
        <w:t>201000032686130</w:t>
      </w:r>
    </w:p>
    <w:p w14:paraId="14EC0CC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付款方式：</w:t>
      </w:r>
      <w:r>
        <w:rPr>
          <w:rFonts w:hint="eastAsia" w:ascii="仿宋" w:hAnsi="仿宋" w:eastAsia="仿宋" w:cs="仿宋"/>
          <w:color w:val="auto"/>
          <w:kern w:val="2"/>
          <w:sz w:val="24"/>
          <w:szCs w:val="24"/>
          <w:highlight w:val="none"/>
          <w:lang w:val="en-US" w:eastAsia="zh-CN"/>
        </w:rPr>
        <w:t>本项目为年度服务项目，工程量按实结算，合同金额无法预估，故本项目无预付款项。</w:t>
      </w:r>
      <w:r>
        <w:rPr>
          <w:rFonts w:hint="eastAsia" w:ascii="仿宋" w:hAnsi="仿宋" w:eastAsia="仿宋" w:cs="仿宋"/>
          <w:b w:val="0"/>
          <w:bCs w:val="0"/>
          <w:color w:val="000000"/>
          <w:sz w:val="24"/>
          <w:szCs w:val="24"/>
          <w:highlight w:val="none"/>
          <w:lang w:val="en-US" w:eastAsia="zh-CN"/>
        </w:rPr>
        <w:t>镇级工程总代理服务费按月度申报，年中、年底分两次结算；村级工程总代理服务费由村承担，代理公司在每只工程代理结束后自行向村结算。</w:t>
      </w:r>
      <w:r>
        <w:rPr>
          <w:rFonts w:hint="eastAsia" w:ascii="仿宋" w:hAnsi="仿宋" w:eastAsia="仿宋" w:cs="仿宋"/>
          <w:b w:val="0"/>
          <w:bCs w:val="0"/>
          <w:color w:val="000000"/>
          <w:sz w:val="24"/>
          <w:szCs w:val="24"/>
          <w:highlight w:val="none"/>
          <w:lang w:eastAsia="zh-CN"/>
        </w:rPr>
        <w:t>（付款前</w:t>
      </w:r>
      <w:r>
        <w:rPr>
          <w:rFonts w:hint="eastAsia" w:ascii="仿宋" w:hAnsi="仿宋" w:eastAsia="仿宋" w:cs="仿宋"/>
          <w:b w:val="0"/>
          <w:bCs w:val="0"/>
          <w:color w:val="000000"/>
          <w:sz w:val="24"/>
          <w:szCs w:val="24"/>
          <w:highlight w:val="none"/>
          <w:lang w:val="en-US" w:eastAsia="zh-CN"/>
        </w:rPr>
        <w:t>中标人</w:t>
      </w:r>
      <w:r>
        <w:rPr>
          <w:rFonts w:hint="eastAsia" w:ascii="仿宋" w:hAnsi="仿宋" w:eastAsia="仿宋" w:cs="仿宋"/>
          <w:b w:val="0"/>
          <w:bCs w:val="0"/>
          <w:color w:val="000000"/>
          <w:sz w:val="24"/>
          <w:szCs w:val="24"/>
          <w:highlight w:val="none"/>
          <w:lang w:eastAsia="zh-CN"/>
        </w:rPr>
        <w:t>应向</w:t>
      </w:r>
      <w:r>
        <w:rPr>
          <w:rFonts w:hint="eastAsia" w:ascii="仿宋" w:hAnsi="仿宋" w:eastAsia="仿宋" w:cs="仿宋"/>
          <w:b w:val="0"/>
          <w:bCs w:val="0"/>
          <w:color w:val="000000"/>
          <w:sz w:val="24"/>
          <w:szCs w:val="24"/>
          <w:highlight w:val="none"/>
          <w:lang w:val="en-US" w:eastAsia="zh-CN"/>
        </w:rPr>
        <w:t>采购人</w:t>
      </w:r>
      <w:r>
        <w:rPr>
          <w:rFonts w:hint="eastAsia" w:ascii="仿宋" w:hAnsi="仿宋" w:eastAsia="仿宋" w:cs="仿宋"/>
          <w:b w:val="0"/>
          <w:bCs w:val="0"/>
          <w:color w:val="000000"/>
          <w:sz w:val="24"/>
          <w:szCs w:val="24"/>
          <w:highlight w:val="none"/>
          <w:lang w:eastAsia="zh-CN"/>
        </w:rPr>
        <w:t>提供相应的发票，如因</w:t>
      </w:r>
      <w:r>
        <w:rPr>
          <w:rFonts w:hint="eastAsia" w:ascii="仿宋" w:hAnsi="仿宋" w:eastAsia="仿宋" w:cs="仿宋"/>
          <w:b w:val="0"/>
          <w:bCs w:val="0"/>
          <w:color w:val="000000"/>
          <w:sz w:val="24"/>
          <w:szCs w:val="24"/>
          <w:highlight w:val="none"/>
          <w:lang w:val="en-US" w:eastAsia="zh-CN"/>
        </w:rPr>
        <w:t>中标人</w:t>
      </w:r>
      <w:r>
        <w:rPr>
          <w:rFonts w:hint="eastAsia" w:ascii="仿宋" w:hAnsi="仿宋" w:eastAsia="仿宋" w:cs="仿宋"/>
          <w:b w:val="0"/>
          <w:bCs w:val="0"/>
          <w:color w:val="000000"/>
          <w:sz w:val="24"/>
          <w:szCs w:val="24"/>
          <w:highlight w:val="none"/>
          <w:lang w:eastAsia="zh-CN"/>
        </w:rPr>
        <w:t>迟延提供发票导致</w:t>
      </w:r>
      <w:r>
        <w:rPr>
          <w:rFonts w:hint="eastAsia" w:ascii="仿宋" w:hAnsi="仿宋" w:eastAsia="仿宋" w:cs="仿宋"/>
          <w:b w:val="0"/>
          <w:bCs w:val="0"/>
          <w:color w:val="000000"/>
          <w:sz w:val="24"/>
          <w:szCs w:val="24"/>
          <w:highlight w:val="none"/>
          <w:lang w:val="en-US" w:eastAsia="zh-CN"/>
        </w:rPr>
        <w:t>采购人</w:t>
      </w:r>
      <w:r>
        <w:rPr>
          <w:rFonts w:hint="eastAsia" w:ascii="仿宋" w:hAnsi="仿宋" w:eastAsia="仿宋" w:cs="仿宋"/>
          <w:b w:val="0"/>
          <w:bCs w:val="0"/>
          <w:color w:val="000000"/>
          <w:sz w:val="24"/>
          <w:szCs w:val="24"/>
          <w:highlight w:val="none"/>
          <w:lang w:eastAsia="zh-CN"/>
        </w:rPr>
        <w:t>逾期付款的，不视为</w:t>
      </w:r>
      <w:r>
        <w:rPr>
          <w:rFonts w:hint="eastAsia" w:ascii="仿宋" w:hAnsi="仿宋" w:eastAsia="仿宋" w:cs="仿宋"/>
          <w:b w:val="0"/>
          <w:bCs w:val="0"/>
          <w:color w:val="000000"/>
          <w:sz w:val="24"/>
          <w:szCs w:val="24"/>
          <w:highlight w:val="none"/>
          <w:lang w:val="en-US" w:eastAsia="zh-CN"/>
        </w:rPr>
        <w:t>采购人</w:t>
      </w:r>
      <w:r>
        <w:rPr>
          <w:rFonts w:hint="eastAsia" w:ascii="仿宋" w:hAnsi="仿宋" w:eastAsia="仿宋" w:cs="仿宋"/>
          <w:b w:val="0"/>
          <w:bCs w:val="0"/>
          <w:color w:val="000000"/>
          <w:sz w:val="24"/>
          <w:szCs w:val="24"/>
          <w:highlight w:val="none"/>
          <w:lang w:eastAsia="zh-CN"/>
        </w:rPr>
        <w:t>违约）</w:t>
      </w:r>
      <w:r>
        <w:rPr>
          <w:rFonts w:hint="eastAsia" w:ascii="仿宋" w:hAnsi="仿宋" w:eastAsia="仿宋" w:cs="仿宋"/>
          <w:b w:val="0"/>
          <w:bCs w:val="0"/>
          <w:color w:val="000000"/>
          <w:sz w:val="24"/>
          <w:szCs w:val="24"/>
          <w:highlight w:val="none"/>
        </w:rPr>
        <w:t>。</w:t>
      </w:r>
    </w:p>
    <w:p w14:paraId="08391B6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Times New Roman"/>
          <w:b/>
          <w:bCs/>
          <w:color w:val="auto"/>
          <w:sz w:val="24"/>
          <w:szCs w:val="24"/>
          <w:highlight w:val="none"/>
          <w:u w:val="none"/>
          <w:lang w:val="en-US" w:eastAsia="zh-CN"/>
        </w:rPr>
        <w:t>（五）</w:t>
      </w:r>
      <w:r>
        <w:rPr>
          <w:rFonts w:hint="eastAsia" w:ascii="仿宋" w:hAnsi="仿宋" w:eastAsia="仿宋" w:cs="仿宋"/>
          <w:b/>
          <w:color w:val="auto"/>
          <w:sz w:val="24"/>
          <w:szCs w:val="24"/>
          <w:highlight w:val="none"/>
          <w:lang w:val="en-US" w:eastAsia="zh-CN"/>
        </w:rPr>
        <w:t>最高限价</w:t>
      </w:r>
    </w:p>
    <w:p w14:paraId="1A52E552">
      <w:pPr>
        <w:widowControl/>
        <w:autoSpaceDE/>
        <w:autoSpaceDN/>
        <w:adjustRightInd/>
        <w:spacing w:line="420" w:lineRule="exact"/>
        <w:ind w:firstLine="482" w:firstLineChars="20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本项目采用折扣报价招标，工程量按实结算，最高报价折扣为70.00%，任何超过最高折扣的报价为无效报价（报价包含与本项目代理服务相关的一切费用）。</w:t>
      </w:r>
    </w:p>
    <w:p w14:paraId="41A60E33">
      <w:pPr>
        <w:widowControl/>
        <w:autoSpaceDE/>
        <w:autoSpaceDN/>
        <w:adjustRightInd/>
        <w:spacing w:line="420" w:lineRule="exact"/>
        <w:ind w:firstLine="482" w:firstLineChars="200"/>
        <w:jc w:val="left"/>
        <w:rPr>
          <w:rFonts w:hint="eastAsia" w:ascii="仿宋" w:hAnsi="仿宋" w:eastAsia="仿宋" w:cs="仿宋"/>
          <w:b/>
          <w:bCs/>
          <w:sz w:val="24"/>
        </w:rPr>
      </w:pPr>
      <w:r>
        <w:rPr>
          <w:rFonts w:hint="eastAsia" w:ascii="仿宋" w:hAnsi="仿宋" w:eastAsia="仿宋" w:cs="仿宋"/>
          <w:b/>
          <w:bCs/>
          <w:sz w:val="24"/>
          <w:u w:val="single"/>
          <w:lang w:val="en-US" w:eastAsia="zh-CN"/>
        </w:rPr>
        <w:t>标项 1 最高合同金额为人民币叁拾伍万元整（</w:t>
      </w:r>
      <w:r>
        <w:rPr>
          <w:rFonts w:hint="default" w:ascii="仿宋" w:hAnsi="仿宋" w:eastAsia="仿宋" w:cs="仿宋"/>
          <w:b/>
          <w:bCs/>
          <w:sz w:val="24"/>
          <w:u w:val="single"/>
          <w:lang w:val="en-US" w:eastAsia="zh-CN"/>
        </w:rPr>
        <w:t>¥</w:t>
      </w:r>
      <w:r>
        <w:rPr>
          <w:rFonts w:hint="eastAsia" w:ascii="仿宋" w:hAnsi="仿宋" w:eastAsia="仿宋" w:cs="仿宋"/>
          <w:b/>
          <w:bCs/>
          <w:sz w:val="24"/>
          <w:u w:val="single"/>
          <w:lang w:val="en-US" w:eastAsia="zh-CN"/>
        </w:rPr>
        <w:t>350000.00）</w:t>
      </w:r>
      <w:r>
        <w:rPr>
          <w:rFonts w:hint="eastAsia" w:ascii="仿宋" w:hAnsi="仿宋" w:eastAsia="仿宋" w:cs="仿宋"/>
          <w:b/>
          <w:bCs/>
          <w:sz w:val="24"/>
          <w:lang w:val="en-US" w:eastAsia="zh-CN"/>
        </w:rPr>
        <w:t xml:space="preserve">； </w:t>
      </w:r>
    </w:p>
    <w:p w14:paraId="08DF7872">
      <w:pPr>
        <w:widowControl/>
        <w:autoSpaceDE/>
        <w:autoSpaceDN/>
        <w:adjustRightInd/>
        <w:spacing w:line="420" w:lineRule="exact"/>
        <w:ind w:firstLine="482" w:firstLineChars="200"/>
        <w:jc w:val="left"/>
        <w:rPr>
          <w:rFonts w:hint="eastAsia" w:ascii="仿宋" w:hAnsi="仿宋" w:eastAsia="仿宋" w:cs="宋体"/>
          <w:b/>
          <w:bCs/>
          <w:color w:val="auto"/>
          <w:sz w:val="24"/>
          <w:szCs w:val="24"/>
          <w:highlight w:val="none"/>
          <w:u w:val="none"/>
          <w:lang w:eastAsia="zh-CN"/>
        </w:rPr>
      </w:pPr>
      <w:r>
        <w:rPr>
          <w:rFonts w:hint="eastAsia" w:ascii="仿宋" w:hAnsi="仿宋" w:eastAsia="仿宋" w:cs="仿宋"/>
          <w:b/>
          <w:bCs/>
          <w:sz w:val="24"/>
          <w:u w:val="single"/>
          <w:lang w:val="en-US" w:eastAsia="zh-CN"/>
        </w:rPr>
        <w:t>标项 2 最高合同金额为人民币叁拾伍万元整（</w:t>
      </w:r>
      <w:r>
        <w:rPr>
          <w:rFonts w:hint="default" w:ascii="仿宋" w:hAnsi="仿宋" w:eastAsia="仿宋" w:cs="仿宋"/>
          <w:b/>
          <w:bCs/>
          <w:sz w:val="24"/>
          <w:u w:val="single"/>
          <w:lang w:val="en-US" w:eastAsia="zh-CN"/>
        </w:rPr>
        <w:t>¥</w:t>
      </w:r>
      <w:r>
        <w:rPr>
          <w:rFonts w:hint="eastAsia" w:ascii="仿宋" w:hAnsi="仿宋" w:eastAsia="仿宋" w:cs="仿宋"/>
          <w:b/>
          <w:bCs/>
          <w:sz w:val="24"/>
          <w:u w:val="single"/>
          <w:lang w:val="en-US" w:eastAsia="zh-CN"/>
        </w:rPr>
        <w:t>350000.00）</w:t>
      </w:r>
      <w:r>
        <w:rPr>
          <w:rFonts w:hint="eastAsia" w:ascii="仿宋" w:hAnsi="仿宋" w:eastAsia="仿宋" w:cs="仿宋"/>
          <w:b/>
          <w:bCs/>
          <w:sz w:val="24"/>
          <w:lang w:val="en-US" w:eastAsia="zh-CN"/>
        </w:rPr>
        <w:t>。</w:t>
      </w:r>
    </w:p>
    <w:p w14:paraId="1EA723FE">
      <w:pPr>
        <w:keepNext w:val="0"/>
        <w:keepLines w:val="0"/>
        <w:pageBreakBefore w:val="0"/>
        <w:widowControl w:val="0"/>
        <w:kinsoku/>
        <w:wordWrap/>
        <w:overflowPunct/>
        <w:topLinePunct w:val="0"/>
        <w:bidi w:val="0"/>
        <w:adjustRightInd w:val="0"/>
        <w:snapToGrid/>
        <w:spacing w:beforeAutospacing="0" w:afterAutospacing="0" w:line="420" w:lineRule="exact"/>
        <w:textAlignment w:val="auto"/>
        <w:rPr>
          <w:rFonts w:hint="eastAsia" w:ascii="仿宋" w:hAnsi="仿宋" w:eastAsia="仿宋" w:cs="宋体"/>
          <w:b/>
          <w:bCs/>
          <w:kern w:val="0"/>
          <w:sz w:val="24"/>
          <w:szCs w:val="24"/>
          <w:lang w:val="en-US" w:eastAsia="zh-CN" w:bidi="ar-SA"/>
        </w:rPr>
      </w:pPr>
      <w:r>
        <w:rPr>
          <w:rFonts w:hint="eastAsia" w:ascii="仿宋" w:hAnsi="仿宋" w:eastAsia="仿宋" w:cs="Times New Roman"/>
          <w:b/>
          <w:bCs/>
          <w:color w:val="auto"/>
          <w:sz w:val="24"/>
          <w:szCs w:val="24"/>
          <w:highlight w:val="none"/>
          <w:u w:val="none"/>
          <w:lang w:val="en-US" w:eastAsia="zh-CN"/>
        </w:rPr>
        <w:t>（六）</w:t>
      </w:r>
      <w:r>
        <w:rPr>
          <w:rFonts w:hint="eastAsia" w:ascii="仿宋" w:hAnsi="仿宋" w:eastAsia="仿宋" w:cs="宋体"/>
          <w:b/>
          <w:bCs/>
          <w:kern w:val="0"/>
          <w:sz w:val="24"/>
          <w:szCs w:val="24"/>
          <w:lang w:val="en-US" w:eastAsia="zh-CN" w:bidi="ar-SA"/>
        </w:rPr>
        <w:t>特别说明</w:t>
      </w:r>
    </w:p>
    <w:p w14:paraId="5843EEE1">
      <w:pPr>
        <w:widowControl/>
        <w:autoSpaceDE/>
        <w:autoSpaceDN/>
        <w:adjustRightInd/>
        <w:spacing w:line="420" w:lineRule="exact"/>
        <w:ind w:firstLine="482" w:firstLineChars="200"/>
        <w:jc w:val="left"/>
        <w:rPr>
          <w:rFonts w:hint="default"/>
          <w:color w:val="auto"/>
          <w:lang w:val="en-US" w:eastAsia="zh-CN"/>
        </w:rPr>
      </w:pPr>
      <w:r>
        <w:rPr>
          <w:rFonts w:hint="eastAsia" w:ascii="仿宋" w:hAnsi="仿宋" w:eastAsia="仿宋" w:cs="仿宋"/>
          <w:b/>
          <w:bCs/>
          <w:sz w:val="24"/>
        </w:rPr>
        <w:t>本采购需求中标注“★”项为实质性要求条款，必须作出实质性响应。若其中任意一条打“★”的条款不满足（或出现“负偏离”）则投标无效。</w:t>
      </w:r>
    </w:p>
    <w:p w14:paraId="3227492B">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p>
    <w:p w14:paraId="05C1AAEC">
      <w:pPr>
        <w:rPr>
          <w:rFonts w:hint="eastAsia" w:ascii="仿宋" w:hAnsi="仿宋" w:eastAsia="仿宋" w:cs="仿宋"/>
          <w:b/>
          <w:bCs/>
          <w:color w:val="auto"/>
          <w:sz w:val="24"/>
          <w:szCs w:val="24"/>
        </w:rPr>
        <w:sectPr>
          <w:headerReference r:id="rId10" w:type="default"/>
          <w:footerReference r:id="rId11" w:type="default"/>
          <w:pgSz w:w="11906" w:h="16838"/>
          <w:pgMar w:top="1236" w:right="1247" w:bottom="1236"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24"/>
          <w:szCs w:val="24"/>
        </w:rPr>
        <w:br w:type="page"/>
      </w:r>
    </w:p>
    <w:p w14:paraId="458E056F">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0318"/>
      <w:bookmarkEnd w:id="25"/>
      <w:bookmarkStart w:id="26" w:name="_Toc184312079"/>
      <w:bookmarkEnd w:id="26"/>
      <w:bookmarkStart w:id="27" w:name="_Toc184310329"/>
      <w:bookmarkEnd w:id="27"/>
      <w:bookmarkStart w:id="28" w:name="_Toc184312091"/>
      <w:bookmarkEnd w:id="28"/>
      <w:bookmarkStart w:id="29" w:name="_Toc184313260"/>
      <w:bookmarkEnd w:id="29"/>
      <w:bookmarkStart w:id="30" w:name="_Toc184310292"/>
      <w:bookmarkEnd w:id="30"/>
      <w:bookmarkStart w:id="31" w:name="_Toc184314423"/>
      <w:bookmarkEnd w:id="31"/>
      <w:bookmarkStart w:id="32" w:name="_Toc184313303"/>
      <w:bookmarkEnd w:id="32"/>
      <w:bookmarkStart w:id="33" w:name="_Toc184308088"/>
      <w:bookmarkEnd w:id="33"/>
      <w:bookmarkStart w:id="34" w:name="_Toc184308038"/>
      <w:bookmarkEnd w:id="34"/>
      <w:bookmarkStart w:id="35" w:name="_Toc184312098"/>
      <w:bookmarkEnd w:id="35"/>
      <w:bookmarkStart w:id="36" w:name="_Toc184312137"/>
      <w:bookmarkEnd w:id="36"/>
      <w:bookmarkStart w:id="37" w:name="_Toc184308048"/>
      <w:bookmarkEnd w:id="37"/>
      <w:bookmarkStart w:id="38" w:name="_Toc184308105"/>
      <w:bookmarkEnd w:id="38"/>
      <w:bookmarkStart w:id="39" w:name="_Toc184314446"/>
      <w:bookmarkEnd w:id="39"/>
      <w:bookmarkStart w:id="40" w:name="_Toc184313269"/>
      <w:bookmarkEnd w:id="40"/>
      <w:bookmarkStart w:id="41" w:name="_Toc184313307"/>
      <w:bookmarkEnd w:id="41"/>
      <w:bookmarkStart w:id="42" w:name="_Toc184313297"/>
      <w:bookmarkEnd w:id="42"/>
      <w:bookmarkStart w:id="43" w:name="_Toc184312119"/>
      <w:bookmarkEnd w:id="43"/>
      <w:bookmarkStart w:id="44" w:name="_Toc184310337"/>
      <w:bookmarkEnd w:id="44"/>
      <w:bookmarkStart w:id="45" w:name="_Toc184310335"/>
      <w:bookmarkEnd w:id="45"/>
      <w:bookmarkStart w:id="46" w:name="_Toc184310308"/>
      <w:bookmarkEnd w:id="46"/>
      <w:bookmarkStart w:id="47" w:name="_Toc184314435"/>
      <w:bookmarkEnd w:id="47"/>
      <w:bookmarkStart w:id="48" w:name="_Toc184313256"/>
      <w:bookmarkEnd w:id="48"/>
      <w:bookmarkStart w:id="49" w:name="_Toc184312112"/>
      <w:bookmarkEnd w:id="49"/>
      <w:bookmarkStart w:id="50" w:name="_Toc184314466"/>
      <w:bookmarkEnd w:id="50"/>
      <w:bookmarkStart w:id="51" w:name="_Toc184310312"/>
      <w:bookmarkEnd w:id="51"/>
      <w:bookmarkStart w:id="52" w:name="_Toc184313310"/>
      <w:bookmarkEnd w:id="52"/>
      <w:bookmarkStart w:id="53" w:name="_Toc184314432"/>
      <w:bookmarkEnd w:id="53"/>
      <w:bookmarkStart w:id="54" w:name="_Toc184308087"/>
      <w:bookmarkEnd w:id="54"/>
      <w:bookmarkStart w:id="55" w:name="_Toc184312071"/>
      <w:bookmarkEnd w:id="55"/>
      <w:bookmarkStart w:id="56" w:name="_Toc184313258"/>
      <w:bookmarkEnd w:id="56"/>
      <w:bookmarkStart w:id="57" w:name="_Toc184308037"/>
      <w:bookmarkEnd w:id="57"/>
      <w:bookmarkStart w:id="58" w:name="_Toc184313285"/>
      <w:bookmarkEnd w:id="58"/>
      <w:bookmarkStart w:id="59" w:name="_Toc184312118"/>
      <w:bookmarkEnd w:id="59"/>
      <w:bookmarkStart w:id="60" w:name="_Toc184308067"/>
      <w:bookmarkEnd w:id="60"/>
      <w:bookmarkStart w:id="61" w:name="_Toc184314468"/>
      <w:bookmarkEnd w:id="61"/>
      <w:bookmarkStart w:id="62" w:name="_Toc184313279"/>
      <w:bookmarkEnd w:id="62"/>
      <w:bookmarkStart w:id="63" w:name="_Toc184313248"/>
      <w:bookmarkEnd w:id="63"/>
      <w:bookmarkStart w:id="64" w:name="_Toc184308086"/>
      <w:bookmarkEnd w:id="64"/>
      <w:bookmarkStart w:id="65" w:name="_Toc184313276"/>
      <w:bookmarkEnd w:id="65"/>
      <w:bookmarkStart w:id="66" w:name="_Toc184314451"/>
      <w:bookmarkEnd w:id="66"/>
      <w:bookmarkStart w:id="67" w:name="_Toc184310314"/>
      <w:bookmarkEnd w:id="67"/>
      <w:bookmarkStart w:id="68" w:name="_Toc184310299"/>
      <w:bookmarkEnd w:id="68"/>
      <w:bookmarkStart w:id="69" w:name="_Toc184314472"/>
      <w:bookmarkEnd w:id="69"/>
      <w:bookmarkStart w:id="70" w:name="_Toc184312108"/>
      <w:bookmarkEnd w:id="70"/>
      <w:bookmarkStart w:id="71" w:name="_Toc184312125"/>
      <w:bookmarkEnd w:id="71"/>
      <w:bookmarkStart w:id="72" w:name="_Toc184313265"/>
      <w:bookmarkEnd w:id="72"/>
      <w:bookmarkStart w:id="73" w:name="_Toc184308044"/>
      <w:bookmarkEnd w:id="73"/>
      <w:bookmarkStart w:id="74" w:name="_Toc184312082"/>
      <w:bookmarkEnd w:id="74"/>
      <w:bookmarkStart w:id="75" w:name="_Toc184308091"/>
      <w:bookmarkEnd w:id="75"/>
      <w:bookmarkStart w:id="76" w:name="_Toc184312130"/>
      <w:bookmarkEnd w:id="76"/>
      <w:bookmarkStart w:id="77" w:name="_Toc184310284"/>
      <w:bookmarkEnd w:id="77"/>
      <w:bookmarkStart w:id="78" w:name="_Toc184310287"/>
      <w:bookmarkEnd w:id="78"/>
      <w:bookmarkStart w:id="79" w:name="_Toc184314437"/>
      <w:bookmarkEnd w:id="79"/>
      <w:bookmarkStart w:id="80" w:name="_Toc184314476"/>
      <w:bookmarkEnd w:id="80"/>
      <w:bookmarkStart w:id="81" w:name="_Toc184313293"/>
      <w:bookmarkEnd w:id="81"/>
      <w:bookmarkStart w:id="82" w:name="_Toc184310326"/>
      <w:bookmarkEnd w:id="82"/>
      <w:bookmarkStart w:id="83" w:name="_Toc184308057"/>
      <w:bookmarkEnd w:id="83"/>
      <w:bookmarkStart w:id="84" w:name="_Toc184310290"/>
      <w:bookmarkEnd w:id="84"/>
      <w:bookmarkStart w:id="85" w:name="_Toc184310280"/>
      <w:bookmarkEnd w:id="85"/>
      <w:bookmarkStart w:id="86" w:name="_Toc184310286"/>
      <w:bookmarkEnd w:id="86"/>
      <w:bookmarkStart w:id="87" w:name="_Toc184310276"/>
      <w:bookmarkEnd w:id="87"/>
      <w:bookmarkStart w:id="88" w:name="_Toc184310281"/>
      <w:bookmarkEnd w:id="88"/>
      <w:bookmarkStart w:id="89" w:name="_Toc184314442"/>
      <w:bookmarkEnd w:id="89"/>
      <w:bookmarkStart w:id="90" w:name="_Toc184308084"/>
      <w:bookmarkEnd w:id="90"/>
      <w:bookmarkStart w:id="91" w:name="_Toc184313271"/>
      <w:bookmarkEnd w:id="91"/>
      <w:bookmarkStart w:id="92" w:name="_Toc184308081"/>
      <w:bookmarkEnd w:id="92"/>
      <w:bookmarkStart w:id="93" w:name="_Toc184313302"/>
      <w:bookmarkEnd w:id="93"/>
      <w:bookmarkStart w:id="94" w:name="_Toc184312139"/>
      <w:bookmarkEnd w:id="94"/>
      <w:bookmarkStart w:id="95" w:name="_Toc184310338"/>
      <w:bookmarkEnd w:id="95"/>
      <w:bookmarkStart w:id="96" w:name="_Toc184312110"/>
      <w:bookmarkEnd w:id="96"/>
      <w:bookmarkStart w:id="97" w:name="_Toc184313263"/>
      <w:bookmarkEnd w:id="97"/>
      <w:bookmarkStart w:id="98" w:name="_Toc184314462"/>
      <w:bookmarkEnd w:id="98"/>
      <w:bookmarkStart w:id="99" w:name="_Toc184314445"/>
      <w:bookmarkEnd w:id="99"/>
      <w:bookmarkStart w:id="100" w:name="_Toc184308093"/>
      <w:bookmarkEnd w:id="100"/>
      <w:bookmarkStart w:id="101" w:name="_Toc184310301"/>
      <w:bookmarkEnd w:id="101"/>
      <w:bookmarkStart w:id="102" w:name="_Toc184310305"/>
      <w:bookmarkEnd w:id="102"/>
      <w:bookmarkStart w:id="103" w:name="_Toc184310289"/>
      <w:bookmarkEnd w:id="103"/>
      <w:bookmarkStart w:id="104" w:name="_Toc184312084"/>
      <w:bookmarkEnd w:id="104"/>
      <w:bookmarkStart w:id="105" w:name="_Toc184308061"/>
      <w:bookmarkEnd w:id="105"/>
      <w:bookmarkStart w:id="106" w:name="_Toc184313274"/>
      <w:bookmarkEnd w:id="106"/>
      <w:bookmarkStart w:id="107" w:name="_Toc184310306"/>
      <w:bookmarkEnd w:id="107"/>
      <w:bookmarkStart w:id="108" w:name="_Toc184310339"/>
      <w:bookmarkEnd w:id="108"/>
      <w:bookmarkStart w:id="109" w:name="_Toc184310307"/>
      <w:bookmarkEnd w:id="109"/>
      <w:bookmarkStart w:id="110" w:name="_Toc184312072"/>
      <w:bookmarkEnd w:id="110"/>
      <w:bookmarkStart w:id="111" w:name="_Toc184312081"/>
      <w:bookmarkEnd w:id="111"/>
      <w:bookmarkStart w:id="112" w:name="_Toc184308078"/>
      <w:bookmarkEnd w:id="112"/>
      <w:bookmarkStart w:id="113" w:name="_Toc184312136"/>
      <w:bookmarkEnd w:id="113"/>
      <w:bookmarkStart w:id="114" w:name="_Toc184314415"/>
      <w:bookmarkEnd w:id="114"/>
      <w:bookmarkStart w:id="115" w:name="_Toc184310313"/>
      <w:bookmarkEnd w:id="115"/>
      <w:bookmarkStart w:id="116" w:name="_Toc184313304"/>
      <w:bookmarkEnd w:id="116"/>
      <w:bookmarkStart w:id="117" w:name="_Toc184312078"/>
      <w:bookmarkEnd w:id="117"/>
      <w:bookmarkStart w:id="118" w:name="_Toc184314429"/>
      <w:bookmarkEnd w:id="118"/>
      <w:bookmarkStart w:id="119" w:name="_Toc184310300"/>
      <w:bookmarkEnd w:id="119"/>
      <w:bookmarkStart w:id="120" w:name="_Toc184312113"/>
      <w:bookmarkEnd w:id="120"/>
      <w:bookmarkStart w:id="121" w:name="_Toc184310298"/>
      <w:bookmarkEnd w:id="121"/>
      <w:bookmarkStart w:id="122" w:name="_Toc184308064"/>
      <w:bookmarkEnd w:id="122"/>
      <w:bookmarkStart w:id="123" w:name="_Toc184314480"/>
      <w:bookmarkEnd w:id="123"/>
      <w:bookmarkStart w:id="124" w:name="_Toc184308041"/>
      <w:bookmarkEnd w:id="124"/>
      <w:bookmarkStart w:id="125" w:name="_Toc184310315"/>
      <w:bookmarkEnd w:id="125"/>
      <w:bookmarkStart w:id="126" w:name="_Toc184310343"/>
      <w:bookmarkEnd w:id="126"/>
      <w:bookmarkStart w:id="127" w:name="_Toc184314474"/>
      <w:bookmarkEnd w:id="127"/>
      <w:bookmarkStart w:id="128" w:name="_Toc184313272"/>
      <w:bookmarkEnd w:id="128"/>
      <w:bookmarkStart w:id="129" w:name="_Toc184310317"/>
      <w:bookmarkEnd w:id="129"/>
      <w:bookmarkStart w:id="130" w:name="_Toc184310334"/>
      <w:bookmarkEnd w:id="130"/>
      <w:bookmarkStart w:id="131" w:name="_Toc184313240"/>
      <w:bookmarkEnd w:id="131"/>
      <w:bookmarkStart w:id="132" w:name="_Toc184310309"/>
      <w:bookmarkEnd w:id="132"/>
      <w:bookmarkStart w:id="133" w:name="_Toc184314482"/>
      <w:bookmarkEnd w:id="133"/>
      <w:bookmarkStart w:id="134" w:name="_Toc184313252"/>
      <w:bookmarkEnd w:id="134"/>
      <w:bookmarkStart w:id="135" w:name="_Toc184312090"/>
      <w:bookmarkEnd w:id="135"/>
      <w:bookmarkStart w:id="136" w:name="_Toc184310321"/>
      <w:bookmarkEnd w:id="136"/>
      <w:bookmarkStart w:id="137" w:name="_Toc184313275"/>
      <w:bookmarkEnd w:id="137"/>
      <w:bookmarkStart w:id="138" w:name="_Toc184314425"/>
      <w:bookmarkEnd w:id="138"/>
      <w:bookmarkStart w:id="139" w:name="_Toc184308108"/>
      <w:bookmarkEnd w:id="139"/>
      <w:bookmarkStart w:id="140" w:name="_Toc184313270"/>
      <w:bookmarkEnd w:id="140"/>
      <w:bookmarkStart w:id="141" w:name="_Toc184308054"/>
      <w:bookmarkEnd w:id="141"/>
      <w:bookmarkStart w:id="142" w:name="_Toc184312100"/>
      <w:bookmarkEnd w:id="142"/>
      <w:bookmarkStart w:id="143" w:name="_Toc184308069"/>
      <w:bookmarkEnd w:id="143"/>
      <w:bookmarkStart w:id="144" w:name="_Toc184308079"/>
      <w:bookmarkEnd w:id="144"/>
      <w:bookmarkStart w:id="145" w:name="_Toc184314449"/>
      <w:bookmarkEnd w:id="145"/>
      <w:bookmarkStart w:id="146" w:name="_Toc184314473"/>
      <w:bookmarkEnd w:id="146"/>
      <w:bookmarkStart w:id="147" w:name="_Toc184310333"/>
      <w:bookmarkEnd w:id="147"/>
      <w:bookmarkStart w:id="148" w:name="_Toc184312120"/>
      <w:bookmarkEnd w:id="148"/>
      <w:bookmarkStart w:id="149" w:name="_Toc184313242"/>
      <w:bookmarkEnd w:id="149"/>
      <w:bookmarkStart w:id="150" w:name="_Toc184308053"/>
      <w:bookmarkEnd w:id="150"/>
      <w:bookmarkStart w:id="151" w:name="_Toc184308052"/>
      <w:bookmarkEnd w:id="151"/>
      <w:bookmarkStart w:id="152" w:name="_Toc184312104"/>
      <w:bookmarkEnd w:id="152"/>
      <w:bookmarkStart w:id="153" w:name="_Toc184310272"/>
      <w:bookmarkEnd w:id="153"/>
      <w:bookmarkStart w:id="154" w:name="_Toc184308056"/>
      <w:bookmarkEnd w:id="154"/>
      <w:bookmarkStart w:id="155" w:name="_Toc184312068"/>
      <w:bookmarkEnd w:id="155"/>
      <w:bookmarkStart w:id="156" w:name="_Toc184314448"/>
      <w:bookmarkEnd w:id="156"/>
      <w:bookmarkStart w:id="157" w:name="_Toc184308042"/>
      <w:bookmarkEnd w:id="157"/>
      <w:bookmarkStart w:id="158" w:name="_Toc184310320"/>
      <w:bookmarkEnd w:id="158"/>
      <w:bookmarkStart w:id="159" w:name="_Toc184312134"/>
      <w:bookmarkEnd w:id="159"/>
      <w:bookmarkStart w:id="160" w:name="_Toc184308085"/>
      <w:bookmarkEnd w:id="160"/>
      <w:bookmarkStart w:id="161" w:name="_Toc184308090"/>
      <w:bookmarkEnd w:id="161"/>
      <w:bookmarkStart w:id="162" w:name="_Toc184312073"/>
      <w:bookmarkEnd w:id="162"/>
      <w:bookmarkStart w:id="163" w:name="_Toc184312133"/>
      <w:bookmarkEnd w:id="163"/>
      <w:bookmarkStart w:id="164" w:name="_Toc184312099"/>
      <w:bookmarkEnd w:id="164"/>
      <w:bookmarkStart w:id="165" w:name="_Toc184312086"/>
      <w:bookmarkEnd w:id="165"/>
      <w:bookmarkStart w:id="166" w:name="_Toc184310323"/>
      <w:bookmarkEnd w:id="166"/>
      <w:bookmarkStart w:id="167" w:name="_Toc184310325"/>
      <w:bookmarkEnd w:id="167"/>
      <w:bookmarkStart w:id="168" w:name="_Toc184314412"/>
      <w:bookmarkEnd w:id="168"/>
      <w:bookmarkStart w:id="169" w:name="_Toc184308043"/>
      <w:bookmarkEnd w:id="169"/>
      <w:bookmarkStart w:id="170" w:name="_Toc184308082"/>
      <w:bookmarkEnd w:id="170"/>
      <w:bookmarkStart w:id="171" w:name="_Toc184313249"/>
      <w:bookmarkEnd w:id="171"/>
      <w:bookmarkStart w:id="172" w:name="_Toc184308062"/>
      <w:bookmarkEnd w:id="172"/>
      <w:bookmarkStart w:id="173" w:name="_Toc184308039"/>
      <w:bookmarkEnd w:id="173"/>
      <w:bookmarkStart w:id="174" w:name="_Toc184312122"/>
      <w:bookmarkEnd w:id="174"/>
      <w:bookmarkStart w:id="175" w:name="_Toc184313282"/>
      <w:bookmarkEnd w:id="175"/>
      <w:bookmarkStart w:id="176" w:name="_Toc184312092"/>
      <w:bookmarkEnd w:id="176"/>
      <w:bookmarkStart w:id="177" w:name="_Toc184314411"/>
      <w:bookmarkEnd w:id="177"/>
      <w:bookmarkStart w:id="178" w:name="_Toc184314481"/>
      <w:bookmarkEnd w:id="178"/>
      <w:bookmarkStart w:id="179" w:name="_Toc184308107"/>
      <w:bookmarkEnd w:id="179"/>
      <w:bookmarkStart w:id="180" w:name="_Toc184312106"/>
      <w:bookmarkEnd w:id="180"/>
      <w:bookmarkStart w:id="181" w:name="_Toc184314416"/>
      <w:bookmarkEnd w:id="181"/>
      <w:bookmarkStart w:id="182" w:name="_Toc184313308"/>
      <w:bookmarkEnd w:id="182"/>
      <w:bookmarkStart w:id="183" w:name="_Toc184314426"/>
      <w:bookmarkEnd w:id="183"/>
      <w:bookmarkStart w:id="184" w:name="_Toc184313268"/>
      <w:bookmarkEnd w:id="184"/>
      <w:bookmarkStart w:id="185" w:name="_Toc184313264"/>
      <w:bookmarkEnd w:id="185"/>
      <w:bookmarkStart w:id="186" w:name="_Toc184308083"/>
      <w:bookmarkEnd w:id="186"/>
      <w:bookmarkStart w:id="187" w:name="_Toc184308089"/>
      <w:bookmarkEnd w:id="187"/>
      <w:bookmarkStart w:id="188" w:name="_Toc184313280"/>
      <w:bookmarkEnd w:id="188"/>
      <w:bookmarkStart w:id="189" w:name="_Toc184310278"/>
      <w:bookmarkEnd w:id="189"/>
      <w:bookmarkStart w:id="190" w:name="_Toc184310319"/>
      <w:bookmarkEnd w:id="190"/>
      <w:bookmarkStart w:id="191" w:name="_Toc184308050"/>
      <w:bookmarkEnd w:id="191"/>
      <w:bookmarkStart w:id="192" w:name="_Toc184310296"/>
      <w:bookmarkEnd w:id="192"/>
      <w:bookmarkStart w:id="193" w:name="_Toc184308045"/>
      <w:bookmarkEnd w:id="193"/>
      <w:bookmarkStart w:id="194" w:name="_Toc184310274"/>
      <w:bookmarkEnd w:id="194"/>
      <w:bookmarkStart w:id="195" w:name="_Toc184314447"/>
      <w:bookmarkEnd w:id="195"/>
      <w:bookmarkStart w:id="196" w:name="_Toc184308106"/>
      <w:bookmarkEnd w:id="196"/>
      <w:bookmarkStart w:id="197" w:name="_Toc184314443"/>
      <w:bookmarkEnd w:id="197"/>
      <w:bookmarkStart w:id="198" w:name="_Toc184310273"/>
      <w:bookmarkEnd w:id="198"/>
      <w:bookmarkStart w:id="199" w:name="_Toc184310302"/>
      <w:bookmarkEnd w:id="199"/>
      <w:bookmarkStart w:id="200" w:name="_Toc184310330"/>
      <w:bookmarkEnd w:id="200"/>
      <w:bookmarkStart w:id="201" w:name="_Toc184314427"/>
      <w:bookmarkEnd w:id="201"/>
      <w:bookmarkStart w:id="202" w:name="_Toc184313259"/>
      <w:bookmarkEnd w:id="202"/>
      <w:bookmarkStart w:id="203" w:name="_Toc184310291"/>
      <w:bookmarkEnd w:id="203"/>
      <w:bookmarkStart w:id="204" w:name="_Toc184312124"/>
      <w:bookmarkEnd w:id="204"/>
      <w:bookmarkStart w:id="205" w:name="_Toc184314441"/>
      <w:bookmarkEnd w:id="205"/>
      <w:bookmarkStart w:id="206" w:name="_Toc184312067"/>
      <w:bookmarkEnd w:id="206"/>
      <w:bookmarkStart w:id="207" w:name="_Toc184313286"/>
      <w:bookmarkEnd w:id="207"/>
      <w:bookmarkStart w:id="208" w:name="_Toc184314418"/>
      <w:bookmarkEnd w:id="208"/>
      <w:bookmarkStart w:id="209" w:name="_Toc184310327"/>
      <w:bookmarkEnd w:id="209"/>
      <w:bookmarkStart w:id="210" w:name="_Toc184314475"/>
      <w:bookmarkEnd w:id="210"/>
      <w:bookmarkStart w:id="211" w:name="_Toc184313283"/>
      <w:bookmarkEnd w:id="211"/>
      <w:bookmarkStart w:id="212" w:name="_Toc184308055"/>
      <w:bookmarkEnd w:id="212"/>
      <w:bookmarkStart w:id="213" w:name="_Toc184314417"/>
      <w:bookmarkEnd w:id="213"/>
      <w:bookmarkStart w:id="214" w:name="_Toc184314455"/>
      <w:bookmarkEnd w:id="214"/>
      <w:bookmarkStart w:id="215" w:name="_Toc184314434"/>
      <w:bookmarkEnd w:id="215"/>
      <w:bookmarkStart w:id="216" w:name="_Toc184314470"/>
      <w:bookmarkEnd w:id="216"/>
      <w:bookmarkStart w:id="217" w:name="_Toc184312080"/>
      <w:bookmarkEnd w:id="217"/>
      <w:bookmarkStart w:id="218" w:name="_Toc184312096"/>
      <w:bookmarkEnd w:id="218"/>
      <w:bookmarkStart w:id="219" w:name="_Toc184314424"/>
      <w:bookmarkEnd w:id="219"/>
      <w:bookmarkStart w:id="220" w:name="_Toc184310282"/>
      <w:bookmarkEnd w:id="220"/>
      <w:bookmarkStart w:id="221" w:name="_Toc184312093"/>
      <w:bookmarkEnd w:id="221"/>
      <w:bookmarkStart w:id="222" w:name="_Toc184308049"/>
      <w:bookmarkEnd w:id="222"/>
      <w:bookmarkStart w:id="223" w:name="_Toc184312075"/>
      <w:bookmarkEnd w:id="223"/>
      <w:bookmarkStart w:id="224" w:name="_Toc184312101"/>
      <w:bookmarkEnd w:id="224"/>
      <w:bookmarkStart w:id="225" w:name="_Toc184312088"/>
      <w:bookmarkEnd w:id="225"/>
      <w:bookmarkStart w:id="226" w:name="_Toc184313251"/>
      <w:bookmarkEnd w:id="226"/>
      <w:bookmarkStart w:id="227" w:name="_Toc184310288"/>
      <w:bookmarkEnd w:id="227"/>
      <w:bookmarkStart w:id="228" w:name="_Toc184314478"/>
      <w:bookmarkEnd w:id="228"/>
      <w:bookmarkStart w:id="229" w:name="_Toc184308046"/>
      <w:bookmarkEnd w:id="229"/>
      <w:bookmarkStart w:id="230" w:name="_Toc184308101"/>
      <w:bookmarkEnd w:id="230"/>
      <w:bookmarkStart w:id="231" w:name="_Toc184312115"/>
      <w:bookmarkEnd w:id="231"/>
      <w:bookmarkStart w:id="232" w:name="_Toc184308072"/>
      <w:bookmarkEnd w:id="232"/>
      <w:bookmarkStart w:id="233" w:name="_Toc184310344"/>
      <w:bookmarkEnd w:id="233"/>
      <w:bookmarkStart w:id="234" w:name="_Toc184312127"/>
      <w:bookmarkEnd w:id="234"/>
      <w:bookmarkStart w:id="235" w:name="_Toc184310303"/>
      <w:bookmarkEnd w:id="235"/>
      <w:bookmarkStart w:id="236" w:name="_Toc184312085"/>
      <w:bookmarkEnd w:id="236"/>
      <w:bookmarkStart w:id="237" w:name="_Toc184314421"/>
      <w:bookmarkEnd w:id="237"/>
      <w:bookmarkStart w:id="238" w:name="_Toc184313300"/>
      <w:bookmarkEnd w:id="238"/>
      <w:bookmarkStart w:id="239" w:name="_Toc184308068"/>
      <w:bookmarkEnd w:id="239"/>
      <w:bookmarkStart w:id="240" w:name="_Toc184313284"/>
      <w:bookmarkEnd w:id="240"/>
      <w:bookmarkStart w:id="241" w:name="_Toc184308094"/>
      <w:bookmarkEnd w:id="241"/>
      <w:bookmarkStart w:id="242" w:name="_Toc184308060"/>
      <w:bookmarkEnd w:id="242"/>
      <w:bookmarkStart w:id="243" w:name="_Toc184312097"/>
      <w:bookmarkEnd w:id="243"/>
      <w:bookmarkStart w:id="244" w:name="_Toc184314467"/>
      <w:bookmarkEnd w:id="244"/>
      <w:bookmarkStart w:id="245" w:name="_Toc184314452"/>
      <w:bookmarkEnd w:id="245"/>
      <w:bookmarkStart w:id="246" w:name="_Toc184313238"/>
      <w:bookmarkEnd w:id="246"/>
      <w:bookmarkStart w:id="247" w:name="_Toc184308077"/>
      <w:bookmarkEnd w:id="247"/>
      <w:bookmarkStart w:id="248" w:name="_Toc184312121"/>
      <w:bookmarkEnd w:id="248"/>
      <w:bookmarkStart w:id="249" w:name="_Toc184313277"/>
      <w:bookmarkEnd w:id="249"/>
      <w:bookmarkStart w:id="250" w:name="_Toc184313241"/>
      <w:bookmarkEnd w:id="250"/>
      <w:bookmarkStart w:id="251" w:name="_Toc184310332"/>
      <w:bookmarkEnd w:id="251"/>
      <w:bookmarkStart w:id="252" w:name="_Toc184310310"/>
      <w:bookmarkEnd w:id="252"/>
      <w:bookmarkStart w:id="253" w:name="_Toc184313291"/>
      <w:bookmarkEnd w:id="253"/>
      <w:bookmarkStart w:id="254" w:name="_Toc184314439"/>
      <w:bookmarkEnd w:id="254"/>
      <w:bookmarkStart w:id="255" w:name="_Toc184314428"/>
      <w:bookmarkEnd w:id="255"/>
      <w:bookmarkStart w:id="256" w:name="_Toc184308099"/>
      <w:bookmarkEnd w:id="256"/>
      <w:bookmarkStart w:id="257" w:name="_Toc184314456"/>
      <w:bookmarkEnd w:id="257"/>
      <w:bookmarkStart w:id="258" w:name="_Toc184313239"/>
      <w:bookmarkEnd w:id="258"/>
      <w:bookmarkStart w:id="259" w:name="_Toc184310340"/>
      <w:bookmarkEnd w:id="259"/>
      <w:bookmarkStart w:id="260" w:name="_Toc184314422"/>
      <w:bookmarkEnd w:id="260"/>
      <w:bookmarkStart w:id="261" w:name="_Toc184308097"/>
      <w:bookmarkEnd w:id="261"/>
      <w:bookmarkStart w:id="262" w:name="_Toc184313253"/>
      <w:bookmarkEnd w:id="262"/>
      <w:bookmarkStart w:id="263" w:name="_Toc184310304"/>
      <w:bookmarkEnd w:id="263"/>
      <w:bookmarkStart w:id="264" w:name="_Toc184308100"/>
      <w:bookmarkEnd w:id="264"/>
      <w:bookmarkStart w:id="265" w:name="_Toc184310316"/>
      <w:bookmarkEnd w:id="265"/>
      <w:bookmarkStart w:id="266" w:name="_Toc184310331"/>
      <w:bookmarkEnd w:id="266"/>
      <w:bookmarkStart w:id="267" w:name="_Toc184310279"/>
      <w:bookmarkEnd w:id="267"/>
      <w:bookmarkStart w:id="268" w:name="_Toc184313267"/>
      <w:bookmarkEnd w:id="268"/>
      <w:bookmarkStart w:id="269" w:name="_Toc184312109"/>
      <w:bookmarkEnd w:id="269"/>
      <w:bookmarkStart w:id="270" w:name="_Toc184310324"/>
      <w:bookmarkEnd w:id="270"/>
      <w:bookmarkStart w:id="271" w:name="_Toc184310277"/>
      <w:bookmarkEnd w:id="271"/>
      <w:bookmarkStart w:id="272" w:name="_Toc184308096"/>
      <w:bookmarkEnd w:id="272"/>
      <w:bookmarkStart w:id="273" w:name="_Toc184314436"/>
      <w:bookmarkEnd w:id="273"/>
      <w:bookmarkStart w:id="274" w:name="_Toc184313299"/>
      <w:bookmarkEnd w:id="274"/>
      <w:bookmarkStart w:id="275" w:name="_Toc184314464"/>
      <w:bookmarkEnd w:id="275"/>
      <w:bookmarkStart w:id="276" w:name="_Toc184314420"/>
      <w:bookmarkEnd w:id="276"/>
      <w:bookmarkStart w:id="277" w:name="_Toc184313294"/>
      <w:bookmarkEnd w:id="277"/>
      <w:bookmarkStart w:id="278" w:name="_Toc184312103"/>
      <w:bookmarkEnd w:id="278"/>
      <w:bookmarkStart w:id="279" w:name="_Toc184312135"/>
      <w:bookmarkEnd w:id="279"/>
      <w:bookmarkStart w:id="280" w:name="_Toc184313257"/>
      <w:bookmarkEnd w:id="280"/>
      <w:bookmarkStart w:id="281" w:name="_Toc184313290"/>
      <w:bookmarkEnd w:id="281"/>
      <w:bookmarkStart w:id="282" w:name="_Toc184308070"/>
      <w:bookmarkEnd w:id="282"/>
      <w:bookmarkStart w:id="283" w:name="_Toc184312095"/>
      <w:bookmarkEnd w:id="283"/>
      <w:bookmarkStart w:id="284" w:name="_Toc184312102"/>
      <w:bookmarkEnd w:id="284"/>
      <w:bookmarkStart w:id="285" w:name="_Toc184308075"/>
      <w:bookmarkEnd w:id="285"/>
      <w:bookmarkStart w:id="286" w:name="_Toc184308076"/>
      <w:bookmarkEnd w:id="286"/>
      <w:bookmarkStart w:id="287" w:name="_Toc184313281"/>
      <w:bookmarkEnd w:id="287"/>
      <w:bookmarkStart w:id="288" w:name="_Toc184313247"/>
      <w:bookmarkEnd w:id="288"/>
      <w:bookmarkStart w:id="289" w:name="_Toc184314460"/>
      <w:bookmarkEnd w:id="289"/>
      <w:bookmarkStart w:id="290" w:name="_Toc184314458"/>
      <w:bookmarkEnd w:id="290"/>
      <w:bookmarkStart w:id="291" w:name="_Toc184308098"/>
      <w:bookmarkEnd w:id="291"/>
      <w:bookmarkStart w:id="292" w:name="_Toc184314461"/>
      <w:bookmarkEnd w:id="292"/>
      <w:bookmarkStart w:id="293" w:name="_Toc184313262"/>
      <w:bookmarkEnd w:id="293"/>
      <w:bookmarkStart w:id="294" w:name="_Toc184312111"/>
      <w:bookmarkEnd w:id="294"/>
      <w:bookmarkStart w:id="295" w:name="_Toc184308080"/>
      <w:bookmarkEnd w:id="295"/>
      <w:bookmarkStart w:id="296" w:name="_Toc184313287"/>
      <w:bookmarkEnd w:id="296"/>
      <w:bookmarkStart w:id="297" w:name="_Toc184312116"/>
      <w:bookmarkEnd w:id="297"/>
      <w:bookmarkStart w:id="298" w:name="_Toc184312132"/>
      <w:bookmarkEnd w:id="298"/>
      <w:bookmarkStart w:id="299" w:name="_Toc184313261"/>
      <w:bookmarkEnd w:id="299"/>
      <w:bookmarkStart w:id="300" w:name="_Toc184314457"/>
      <w:bookmarkEnd w:id="300"/>
      <w:bookmarkStart w:id="301" w:name="_Toc184308092"/>
      <w:bookmarkEnd w:id="301"/>
      <w:bookmarkStart w:id="302" w:name="_Toc184310311"/>
      <w:bookmarkEnd w:id="302"/>
      <w:bookmarkStart w:id="303" w:name="_Toc184314459"/>
      <w:bookmarkEnd w:id="303"/>
      <w:bookmarkStart w:id="304" w:name="_Toc184308058"/>
      <w:bookmarkEnd w:id="304"/>
      <w:bookmarkStart w:id="305" w:name="_Toc184312131"/>
      <w:bookmarkEnd w:id="305"/>
      <w:bookmarkStart w:id="306" w:name="_Toc184313309"/>
      <w:bookmarkEnd w:id="306"/>
      <w:bookmarkStart w:id="307" w:name="_Toc184313289"/>
      <w:bookmarkEnd w:id="307"/>
      <w:bookmarkStart w:id="308" w:name="_Toc184313298"/>
      <w:bookmarkEnd w:id="308"/>
      <w:bookmarkStart w:id="309" w:name="_Toc184310294"/>
      <w:bookmarkEnd w:id="309"/>
      <w:bookmarkStart w:id="310" w:name="_Toc184310336"/>
      <w:bookmarkEnd w:id="310"/>
      <w:bookmarkStart w:id="311" w:name="_Toc184313245"/>
      <w:bookmarkEnd w:id="311"/>
      <w:bookmarkStart w:id="312" w:name="_Toc184313305"/>
      <w:bookmarkEnd w:id="312"/>
      <w:bookmarkStart w:id="313" w:name="_Toc184313278"/>
      <w:bookmarkEnd w:id="313"/>
      <w:bookmarkStart w:id="314" w:name="_Toc184308073"/>
      <w:bookmarkEnd w:id="314"/>
      <w:bookmarkStart w:id="315" w:name="_Toc184308104"/>
      <w:bookmarkEnd w:id="315"/>
      <w:bookmarkStart w:id="316" w:name="_Toc184312089"/>
      <w:bookmarkEnd w:id="316"/>
      <w:bookmarkStart w:id="317" w:name="_Toc184313243"/>
      <w:bookmarkEnd w:id="317"/>
      <w:bookmarkStart w:id="318" w:name="_Toc184314450"/>
      <w:bookmarkEnd w:id="318"/>
      <w:bookmarkStart w:id="319" w:name="_Toc184312128"/>
      <w:bookmarkEnd w:id="319"/>
      <w:bookmarkStart w:id="320" w:name="_Toc184308066"/>
      <w:bookmarkEnd w:id="320"/>
      <w:bookmarkStart w:id="321" w:name="_Toc184310275"/>
      <w:bookmarkEnd w:id="321"/>
      <w:bookmarkStart w:id="322" w:name="_Toc184310342"/>
      <w:bookmarkEnd w:id="322"/>
      <w:bookmarkStart w:id="323" w:name="_Toc184314413"/>
      <w:bookmarkEnd w:id="323"/>
      <w:bookmarkStart w:id="324" w:name="_Toc184312074"/>
      <w:bookmarkEnd w:id="324"/>
      <w:bookmarkStart w:id="325" w:name="_Toc184308047"/>
      <w:bookmarkEnd w:id="325"/>
      <w:bookmarkStart w:id="326" w:name="_Toc184314440"/>
      <w:bookmarkEnd w:id="326"/>
      <w:bookmarkStart w:id="327" w:name="_Toc184313255"/>
      <w:bookmarkEnd w:id="327"/>
      <w:bookmarkStart w:id="328" w:name="_Toc184308040"/>
      <w:bookmarkEnd w:id="328"/>
      <w:bookmarkStart w:id="329" w:name="_Toc184312070"/>
      <w:bookmarkEnd w:id="329"/>
      <w:bookmarkStart w:id="330" w:name="_Toc184308095"/>
      <w:bookmarkEnd w:id="330"/>
      <w:bookmarkStart w:id="331" w:name="_Toc184313295"/>
      <w:bookmarkEnd w:id="331"/>
      <w:bookmarkStart w:id="332" w:name="_Toc184308071"/>
      <w:bookmarkEnd w:id="332"/>
      <w:bookmarkStart w:id="333" w:name="_Toc184308063"/>
      <w:bookmarkEnd w:id="333"/>
      <w:bookmarkStart w:id="334" w:name="_Toc184310328"/>
      <w:bookmarkEnd w:id="334"/>
      <w:bookmarkStart w:id="335" w:name="_Toc184308102"/>
      <w:bookmarkEnd w:id="335"/>
      <w:bookmarkStart w:id="336" w:name="_Toc184312114"/>
      <w:bookmarkEnd w:id="336"/>
      <w:bookmarkStart w:id="337" w:name="_Toc184312138"/>
      <w:bookmarkEnd w:id="337"/>
      <w:bookmarkStart w:id="338" w:name="_Toc184313288"/>
      <w:bookmarkEnd w:id="338"/>
      <w:bookmarkStart w:id="339" w:name="_Toc184310295"/>
      <w:bookmarkEnd w:id="339"/>
      <w:bookmarkStart w:id="340" w:name="_Toc184312126"/>
      <w:bookmarkEnd w:id="340"/>
      <w:bookmarkStart w:id="341" w:name="_Toc184313296"/>
      <w:bookmarkEnd w:id="341"/>
      <w:bookmarkStart w:id="342" w:name="_Toc184312087"/>
      <w:bookmarkEnd w:id="342"/>
      <w:bookmarkStart w:id="343" w:name="_Toc184313266"/>
      <w:bookmarkEnd w:id="343"/>
      <w:bookmarkStart w:id="344" w:name="_Toc184314438"/>
      <w:bookmarkEnd w:id="344"/>
      <w:bookmarkStart w:id="345" w:name="_Toc184308051"/>
      <w:bookmarkEnd w:id="345"/>
      <w:bookmarkStart w:id="346" w:name="_Toc184314433"/>
      <w:bookmarkEnd w:id="346"/>
      <w:bookmarkStart w:id="347" w:name="_Toc184312069"/>
      <w:bookmarkEnd w:id="347"/>
      <w:bookmarkStart w:id="348" w:name="_Toc184313306"/>
      <w:bookmarkEnd w:id="348"/>
      <w:bookmarkStart w:id="349" w:name="_Toc184314431"/>
      <w:bookmarkEnd w:id="349"/>
      <w:bookmarkStart w:id="350" w:name="_Toc184314430"/>
      <w:bookmarkEnd w:id="350"/>
      <w:bookmarkStart w:id="351" w:name="_Toc184313301"/>
      <w:bookmarkEnd w:id="351"/>
      <w:bookmarkStart w:id="352" w:name="_Toc184312117"/>
      <w:bookmarkEnd w:id="352"/>
      <w:bookmarkStart w:id="353" w:name="_Toc184313250"/>
      <w:bookmarkEnd w:id="353"/>
      <w:bookmarkStart w:id="354" w:name="_Toc184310297"/>
      <w:bookmarkEnd w:id="354"/>
      <w:bookmarkStart w:id="355" w:name="_Toc184314453"/>
      <w:bookmarkEnd w:id="355"/>
      <w:bookmarkStart w:id="356" w:name="_Toc184312083"/>
      <w:bookmarkEnd w:id="356"/>
      <w:bookmarkStart w:id="357" w:name="_Toc184308065"/>
      <w:bookmarkEnd w:id="357"/>
      <w:bookmarkStart w:id="358" w:name="_Toc184314419"/>
      <w:bookmarkEnd w:id="358"/>
      <w:bookmarkStart w:id="359" w:name="_Toc184312105"/>
      <w:bookmarkEnd w:id="359"/>
      <w:bookmarkStart w:id="360" w:name="_Toc184308059"/>
      <w:bookmarkEnd w:id="360"/>
      <w:bookmarkStart w:id="361" w:name="_Toc184314469"/>
      <w:bookmarkEnd w:id="361"/>
      <w:bookmarkStart w:id="362" w:name="_Toc184314477"/>
      <w:bookmarkEnd w:id="362"/>
      <w:bookmarkStart w:id="363" w:name="_Toc184314463"/>
      <w:bookmarkEnd w:id="363"/>
      <w:bookmarkStart w:id="364" w:name="_Toc184310283"/>
      <w:bookmarkEnd w:id="364"/>
      <w:bookmarkStart w:id="365" w:name="_Toc184314479"/>
      <w:bookmarkEnd w:id="365"/>
      <w:bookmarkStart w:id="366" w:name="_Toc184312077"/>
      <w:bookmarkEnd w:id="366"/>
      <w:bookmarkStart w:id="367" w:name="_Toc184308036"/>
      <w:bookmarkEnd w:id="367"/>
      <w:bookmarkStart w:id="368" w:name="_Toc184314471"/>
      <w:bookmarkEnd w:id="368"/>
      <w:bookmarkStart w:id="369" w:name="_Toc184308103"/>
      <w:bookmarkEnd w:id="369"/>
      <w:bookmarkStart w:id="370" w:name="_Toc184313246"/>
      <w:bookmarkEnd w:id="370"/>
      <w:bookmarkStart w:id="371" w:name="_Toc184310322"/>
      <w:bookmarkEnd w:id="371"/>
      <w:bookmarkStart w:id="372" w:name="_Toc184312094"/>
      <w:bookmarkEnd w:id="372"/>
      <w:bookmarkStart w:id="373" w:name="_Toc184312123"/>
      <w:bookmarkEnd w:id="373"/>
      <w:bookmarkStart w:id="374" w:name="_Toc184314465"/>
      <w:bookmarkEnd w:id="374"/>
      <w:bookmarkStart w:id="375" w:name="_Toc184314454"/>
      <w:bookmarkEnd w:id="375"/>
      <w:bookmarkStart w:id="376" w:name="_Toc184313273"/>
      <w:bookmarkEnd w:id="376"/>
      <w:bookmarkStart w:id="377" w:name="_Toc184312107"/>
      <w:bookmarkEnd w:id="377"/>
      <w:bookmarkStart w:id="378" w:name="_Toc184314410"/>
      <w:bookmarkEnd w:id="378"/>
      <w:bookmarkStart w:id="379" w:name="_Toc184308074"/>
      <w:bookmarkEnd w:id="379"/>
      <w:bookmarkStart w:id="380" w:name="_Toc184312076"/>
      <w:bookmarkEnd w:id="380"/>
      <w:bookmarkStart w:id="381" w:name="_Toc184310285"/>
      <w:bookmarkEnd w:id="381"/>
      <w:bookmarkStart w:id="382" w:name="_Toc184313292"/>
      <w:bookmarkEnd w:id="382"/>
      <w:bookmarkStart w:id="383" w:name="_Toc184314414"/>
      <w:bookmarkEnd w:id="383"/>
      <w:bookmarkStart w:id="384" w:name="_Toc184313254"/>
      <w:bookmarkEnd w:id="384"/>
      <w:bookmarkStart w:id="385" w:name="_Toc184314444"/>
      <w:bookmarkEnd w:id="385"/>
      <w:bookmarkStart w:id="386" w:name="_Toc184310293"/>
      <w:bookmarkEnd w:id="386"/>
      <w:bookmarkStart w:id="387" w:name="_Toc184310341"/>
      <w:bookmarkEnd w:id="387"/>
      <w:bookmarkStart w:id="388" w:name="_Toc184312129"/>
      <w:bookmarkEnd w:id="388"/>
      <w:bookmarkStart w:id="389" w:name="_Toc184313244"/>
      <w:bookmarkEnd w:id="389"/>
      <w:r>
        <w:rPr>
          <w:rFonts w:hint="eastAsia" w:ascii="华文中宋" w:hAnsi="华文中宋" w:eastAsia="华文中宋" w:cs="Times New Roman"/>
          <w:b/>
          <w:color w:val="auto"/>
          <w:kern w:val="44"/>
          <w:sz w:val="36"/>
          <w:szCs w:val="36"/>
          <w:lang w:val="en-US" w:eastAsia="zh-CN" w:bidi="ar-SA"/>
        </w:rPr>
        <w:t>评标办法</w:t>
      </w:r>
    </w:p>
    <w:p w14:paraId="2E7AF26E">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7FFC70E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6468D47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1E524D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2F8BB446">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65"/>
        <w:tblW w:w="10294" w:type="dxa"/>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5"/>
        <w:gridCol w:w="1190"/>
        <w:gridCol w:w="6905"/>
        <w:gridCol w:w="1054"/>
      </w:tblGrid>
      <w:tr w14:paraId="5D7C6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1145" w:type="dxa"/>
            <w:noWrap w:val="0"/>
            <w:vAlign w:val="center"/>
          </w:tcPr>
          <w:p w14:paraId="72A7084C">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90" w:type="dxa"/>
            <w:noWrap w:val="0"/>
            <w:vAlign w:val="center"/>
          </w:tcPr>
          <w:p w14:paraId="48B9BC1E">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905" w:type="dxa"/>
            <w:noWrap w:val="0"/>
            <w:vAlign w:val="center"/>
          </w:tcPr>
          <w:p w14:paraId="4F95C4C1">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1054" w:type="dxa"/>
            <w:noWrap w:val="0"/>
            <w:vAlign w:val="center"/>
          </w:tcPr>
          <w:p w14:paraId="195B51C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5F0377B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范围</w:t>
            </w:r>
          </w:p>
        </w:tc>
      </w:tr>
      <w:tr w14:paraId="40301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1386E57E">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190" w:type="dxa"/>
            <w:noWrap w:val="0"/>
            <w:vAlign w:val="center"/>
          </w:tcPr>
          <w:p w14:paraId="7FD3DA6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企业资信</w:t>
            </w:r>
          </w:p>
        </w:tc>
        <w:tc>
          <w:tcPr>
            <w:tcW w:w="6905" w:type="dxa"/>
            <w:noWrap w:val="0"/>
            <w:vAlign w:val="center"/>
          </w:tcPr>
          <w:p w14:paraId="087558E6">
            <w:pPr>
              <w:keepNext w:val="0"/>
              <w:keepLines w:val="0"/>
              <w:pageBreakBefore w:val="0"/>
              <w:widowControl w:val="0"/>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有效期内</w:t>
            </w:r>
            <w:r>
              <w:rPr>
                <w:rFonts w:hint="eastAsia" w:ascii="仿宋" w:hAnsi="仿宋" w:eastAsia="仿宋" w:cs="仿宋"/>
                <w:color w:val="auto"/>
                <w:sz w:val="24"/>
                <w:szCs w:val="24"/>
                <w:highlight w:val="none"/>
              </w:rPr>
              <w:t>质量管理体系认证、环境管理体系认证、职业健康安全管理体系认证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17506FAF">
            <w:pPr>
              <w:keepNext w:val="0"/>
              <w:keepLines w:val="0"/>
              <w:pageBreakBefore w:val="0"/>
              <w:widowControl w:val="0"/>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需提供相关体系认证证书复印件</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加盖投标人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否则不得分。</w:t>
            </w:r>
          </w:p>
        </w:tc>
        <w:tc>
          <w:tcPr>
            <w:tcW w:w="1054" w:type="dxa"/>
            <w:noWrap w:val="0"/>
            <w:vAlign w:val="center"/>
          </w:tcPr>
          <w:p w14:paraId="6BBF705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分</w:t>
            </w:r>
          </w:p>
        </w:tc>
      </w:tr>
      <w:tr w14:paraId="7581B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5A4F367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190" w:type="dxa"/>
            <w:noWrap w:val="0"/>
            <w:vAlign w:val="center"/>
          </w:tcPr>
          <w:p w14:paraId="5DD254F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业绩经验</w:t>
            </w:r>
          </w:p>
        </w:tc>
        <w:tc>
          <w:tcPr>
            <w:tcW w:w="6905" w:type="dxa"/>
            <w:noWrap w:val="0"/>
            <w:vAlign w:val="center"/>
          </w:tcPr>
          <w:p w14:paraId="471E916C">
            <w:pPr>
              <w:keepNext w:val="0"/>
              <w:keepLines w:val="0"/>
              <w:pageBreakBefore w:val="0"/>
              <w:widowControl w:val="0"/>
              <w:numPr>
                <w:ilvl w:val="0"/>
                <w:numId w:val="0"/>
              </w:numPr>
              <w:tabs>
                <w:tab w:val="left" w:pos="1376"/>
              </w:tabs>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投标人自2022年1月1日至今（以合同签订时间为准），具有工程招标代理项目经验的，每提供1个业绩合同得1分，最高得2分。</w:t>
            </w:r>
          </w:p>
          <w:p w14:paraId="057665C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注：需提供代理合同复印件、中标通知书复印件并加盖投标人</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，否则不得分。</w:t>
            </w:r>
          </w:p>
        </w:tc>
        <w:tc>
          <w:tcPr>
            <w:tcW w:w="1054" w:type="dxa"/>
            <w:noWrap w:val="0"/>
            <w:vAlign w:val="center"/>
          </w:tcPr>
          <w:p w14:paraId="41DA3E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0-2</w:t>
            </w:r>
            <w:r>
              <w:rPr>
                <w:rFonts w:hint="eastAsia" w:ascii="仿宋" w:hAnsi="仿宋" w:eastAsia="仿宋" w:cs="仿宋"/>
                <w:b/>
                <w:bCs/>
                <w:color w:val="auto"/>
                <w:sz w:val="24"/>
                <w:szCs w:val="24"/>
                <w:highlight w:val="none"/>
              </w:rPr>
              <w:t>分</w:t>
            </w:r>
          </w:p>
        </w:tc>
      </w:tr>
      <w:tr w14:paraId="53D86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01F0792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190" w:type="dxa"/>
            <w:noWrap w:val="0"/>
            <w:vAlign w:val="center"/>
          </w:tcPr>
          <w:p w14:paraId="7B7655CE">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拟派项目组人员情况</w:t>
            </w:r>
          </w:p>
        </w:tc>
        <w:tc>
          <w:tcPr>
            <w:tcW w:w="6905" w:type="dxa"/>
            <w:noWrap w:val="0"/>
            <w:vAlign w:val="center"/>
          </w:tcPr>
          <w:p w14:paraId="0C5B1629">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default" w:ascii="仿宋" w:hAnsi="仿宋" w:eastAsia="仿宋" w:cs="仿宋"/>
                <w:color w:val="000000"/>
                <w:kern w:val="0"/>
                <w:sz w:val="24"/>
                <w:lang w:val="en-US" w:eastAsia="zh-CN"/>
              </w:rPr>
            </w:pPr>
            <w:bookmarkStart w:id="394" w:name="_GoBack"/>
            <w:r>
              <w:rPr>
                <w:rFonts w:hint="eastAsia" w:ascii="仿宋" w:hAnsi="仿宋" w:eastAsia="仿宋" w:cs="仿宋"/>
                <w:color w:val="000000"/>
                <w:kern w:val="0"/>
                <w:sz w:val="24"/>
                <w:lang w:val="en-US" w:eastAsia="zh-CN"/>
              </w:rPr>
              <w:t>投标人在具有</w:t>
            </w:r>
            <w:r>
              <w:rPr>
                <w:rFonts w:hint="eastAsia" w:ascii="仿宋" w:hAnsi="仿宋" w:eastAsia="仿宋" w:cs="仿宋"/>
                <w:color w:val="000000"/>
                <w:kern w:val="0"/>
                <w:sz w:val="24"/>
              </w:rPr>
              <w:t>建筑</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安装的造价工程师各1人的基础上：</w:t>
            </w:r>
          </w:p>
          <w:p w14:paraId="525AE2B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1、</w:t>
            </w:r>
            <w:r>
              <w:rPr>
                <w:rFonts w:hint="eastAsia" w:ascii="仿宋" w:hAnsi="仿宋" w:eastAsia="仿宋" w:cs="仿宋"/>
                <w:b/>
                <w:bCs/>
                <w:color w:val="000000"/>
                <w:kern w:val="0"/>
                <w:sz w:val="24"/>
              </w:rPr>
              <w:t>拟派项目负责人：</w:t>
            </w:r>
          </w:p>
          <w:p w14:paraId="2543D17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val="en-US" w:eastAsia="zh-CN"/>
              </w:rPr>
              <w:t>拟派项目负责人具有以上相符专业注册一级造价工程师执业资格的得4分，在此基础上具有高级及以上工程师职称的再得3分，本项最高得7分。</w:t>
            </w:r>
          </w:p>
          <w:p w14:paraId="3E9BA4F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lang w:val="en-US" w:eastAsia="zh-CN"/>
              </w:rPr>
              <w:t>2、</w:t>
            </w:r>
            <w:r>
              <w:rPr>
                <w:rFonts w:hint="eastAsia" w:ascii="仿宋" w:hAnsi="仿宋" w:eastAsia="仿宋" w:cs="仿宋"/>
                <w:b/>
                <w:bCs/>
                <w:color w:val="000000"/>
                <w:kern w:val="0"/>
                <w:sz w:val="24"/>
                <w:highlight w:val="none"/>
              </w:rPr>
              <w:t>拟派项目组人员（不含项目负责人）：</w:t>
            </w:r>
          </w:p>
          <w:p w14:paraId="72E2A146">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Cs/>
                <w:color w:val="000000"/>
                <w:kern w:val="0"/>
                <w:sz w:val="24"/>
                <w:highlight w:val="none"/>
                <w:lang w:eastAsia="zh-CN"/>
              </w:rPr>
            </w:pPr>
            <w:r>
              <w:rPr>
                <w:rFonts w:hint="eastAsia" w:ascii="仿宋" w:hAnsi="仿宋" w:eastAsia="仿宋" w:cs="仿宋"/>
                <w:color w:val="000000"/>
                <w:kern w:val="0"/>
                <w:sz w:val="24"/>
                <w:highlight w:val="none"/>
                <w:lang w:eastAsia="zh-CN"/>
              </w:rPr>
              <w:t>在要求的基础上具有标的相符专业的二级造价师资格的，每提供1人得2分；具有一级造价师资格的，每提供1人得</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highlight w:val="none"/>
                <w:lang w:eastAsia="zh-CN"/>
              </w:rPr>
              <w:t>分，本项最高得</w:t>
            </w:r>
            <w:r>
              <w:rPr>
                <w:rFonts w:hint="eastAsia" w:ascii="仿宋" w:hAnsi="仿宋" w:eastAsia="仿宋" w:cs="仿宋"/>
                <w:color w:val="000000"/>
                <w:kern w:val="0"/>
                <w:sz w:val="24"/>
                <w:highlight w:val="none"/>
                <w:lang w:val="en-US" w:eastAsia="zh-CN"/>
              </w:rPr>
              <w:t>15</w:t>
            </w:r>
            <w:r>
              <w:rPr>
                <w:rFonts w:hint="eastAsia" w:ascii="仿宋" w:hAnsi="仿宋" w:eastAsia="仿宋" w:cs="仿宋"/>
                <w:color w:val="000000"/>
                <w:kern w:val="0"/>
                <w:sz w:val="24"/>
                <w:highlight w:val="none"/>
                <w:lang w:eastAsia="zh-CN"/>
              </w:rPr>
              <w:t>分（同一人按最高资质得分，不得累加计分）。</w:t>
            </w:r>
          </w:p>
          <w:p w14:paraId="00266D33">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注：</w:t>
            </w:r>
            <w:r>
              <w:rPr>
                <w:rFonts w:hint="eastAsia" w:ascii="仿宋" w:hAnsi="仿宋" w:eastAsia="仿宋" w:cs="仿宋"/>
                <w:color w:val="000000"/>
                <w:kern w:val="0"/>
                <w:sz w:val="24"/>
                <w:highlight w:val="none"/>
                <w:lang w:val="en-US" w:eastAsia="zh-CN"/>
              </w:rPr>
              <w:t>需</w:t>
            </w:r>
            <w:r>
              <w:rPr>
                <w:rFonts w:hint="eastAsia" w:ascii="仿宋" w:hAnsi="仿宋" w:eastAsia="仿宋" w:cs="仿宋"/>
                <w:color w:val="000000"/>
                <w:kern w:val="0"/>
                <w:sz w:val="24"/>
                <w:highlight w:val="none"/>
              </w:rPr>
              <w:t>提供以下证明材料并加盖投标人CA签章，不提供或提供不全不得分：</w:t>
            </w:r>
          </w:p>
          <w:p w14:paraId="51D46E0A">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①</w:t>
            </w:r>
            <w:r>
              <w:rPr>
                <w:rFonts w:hint="eastAsia" w:ascii="仿宋" w:hAnsi="仿宋" w:eastAsia="仿宋" w:cs="仿宋"/>
                <w:color w:val="000000"/>
                <w:kern w:val="0"/>
                <w:sz w:val="24"/>
                <w:highlight w:val="none"/>
                <w:lang w:val="en-US" w:eastAsia="zh-CN"/>
              </w:rPr>
              <w:t>相关人员名单</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相关证书复印件以及在投标人</w:t>
            </w:r>
            <w:r>
              <w:rPr>
                <w:rFonts w:hint="eastAsia" w:ascii="仿宋" w:hAnsi="仿宋" w:eastAsia="仿宋" w:cs="仿宋"/>
                <w:color w:val="000000"/>
                <w:kern w:val="0"/>
                <w:sz w:val="24"/>
                <w:highlight w:val="none"/>
                <w:lang w:val="en-US" w:eastAsia="zh-CN"/>
              </w:rPr>
              <w:t>为其缴纳的近6</w:t>
            </w:r>
            <w:r>
              <w:rPr>
                <w:rFonts w:hint="eastAsia" w:ascii="仿宋" w:hAnsi="仿宋" w:eastAsia="仿宋" w:cs="仿宋"/>
                <w:color w:val="000000"/>
                <w:kern w:val="0"/>
                <w:sz w:val="24"/>
                <w:highlight w:val="none"/>
              </w:rPr>
              <w:t>个月社保证明</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不提供或提供不全的不得分。</w:t>
            </w:r>
          </w:p>
          <w:p w14:paraId="58E1D5CD">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②一级</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二级</w:t>
            </w:r>
            <w:r>
              <w:rPr>
                <w:rFonts w:hint="eastAsia" w:ascii="仿宋" w:hAnsi="仿宋" w:eastAsia="仿宋" w:cs="仿宋"/>
                <w:color w:val="000000"/>
                <w:kern w:val="0"/>
                <w:sz w:val="24"/>
                <w:highlight w:val="none"/>
              </w:rPr>
              <w:t>造价工程师（土建、安装）提供注册证书。原造价员证书不得分。</w:t>
            </w:r>
          </w:p>
          <w:p w14:paraId="07973FAC">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highlight w:val="none"/>
              </w:rPr>
              <w:t>③如资格证书中不能体现投标人信息，需提供相关证明材料并加盖单位公章。</w:t>
            </w:r>
            <w:bookmarkEnd w:id="394"/>
          </w:p>
        </w:tc>
        <w:tc>
          <w:tcPr>
            <w:tcW w:w="1054" w:type="dxa"/>
            <w:noWrap w:val="0"/>
            <w:vAlign w:val="center"/>
          </w:tcPr>
          <w:p w14:paraId="5768FC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0-22分</w:t>
            </w:r>
          </w:p>
        </w:tc>
      </w:tr>
      <w:tr w14:paraId="3EC8D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restart"/>
            <w:noWrap w:val="0"/>
            <w:vAlign w:val="center"/>
          </w:tcPr>
          <w:p w14:paraId="0F3E172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1190" w:type="dxa"/>
            <w:vMerge w:val="restart"/>
            <w:noWrap w:val="0"/>
            <w:vAlign w:val="center"/>
          </w:tcPr>
          <w:p w14:paraId="07F724C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w:t>
            </w:r>
          </w:p>
        </w:tc>
        <w:tc>
          <w:tcPr>
            <w:tcW w:w="6905" w:type="dxa"/>
            <w:noWrap w:val="0"/>
            <w:vAlign w:val="top"/>
          </w:tcPr>
          <w:p w14:paraId="5353191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w:t>
            </w:r>
            <w:r>
              <w:rPr>
                <w:rFonts w:hint="eastAsia" w:ascii="仿宋" w:hAnsi="仿宋" w:eastAsia="仿宋" w:cs="仿宋"/>
                <w:b w:val="0"/>
                <w:bCs w:val="0"/>
                <w:color w:val="auto"/>
                <w:spacing w:val="0"/>
                <w:sz w:val="24"/>
                <w:szCs w:val="24"/>
              </w:rPr>
              <w:t>招标代理全过程综合描述 (如招标代理工作的范围、服务方案、优势分析</w:t>
            </w:r>
            <w:r>
              <w:rPr>
                <w:rFonts w:hint="eastAsia" w:ascii="仿宋" w:hAnsi="仿宋" w:eastAsia="仿宋" w:cs="仿宋"/>
                <w:b w:val="0"/>
                <w:bCs w:val="0"/>
                <w:color w:val="auto"/>
                <w:spacing w:val="0"/>
                <w:sz w:val="24"/>
                <w:szCs w:val="24"/>
                <w:lang w:val="en-US" w:eastAsia="zh-CN"/>
              </w:rPr>
              <w:t>等</w:t>
            </w:r>
            <w:r>
              <w:rPr>
                <w:rFonts w:hint="eastAsia" w:ascii="仿宋" w:hAnsi="仿宋" w:eastAsia="仿宋" w:cs="仿宋"/>
                <w:b w:val="0"/>
                <w:bCs w:val="0"/>
                <w:color w:val="auto"/>
                <w:spacing w:val="0"/>
                <w:sz w:val="24"/>
                <w:szCs w:val="24"/>
              </w:rPr>
              <w:t>)</w:t>
            </w:r>
            <w:r>
              <w:rPr>
                <w:rFonts w:hint="eastAsia" w:ascii="仿宋" w:hAnsi="仿宋" w:eastAsia="仿宋" w:cs="仿宋"/>
                <w:color w:val="auto"/>
                <w:sz w:val="24"/>
                <w:szCs w:val="24"/>
                <w:highlight w:val="none"/>
                <w:lang w:val="en-US" w:eastAsia="zh-CN"/>
              </w:rPr>
              <w:t>，由评审专家进行综合打分。</w:t>
            </w:r>
          </w:p>
          <w:p w14:paraId="07DCB205">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1" w:firstLine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14BF4837">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7A5E0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07150792">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4523439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22DA275D">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w:t>
            </w:r>
            <w:r>
              <w:rPr>
                <w:rFonts w:hint="eastAsia" w:ascii="仿宋" w:hAnsi="仿宋" w:eastAsia="仿宋" w:cs="仿宋"/>
                <w:b w:val="0"/>
                <w:bCs w:val="0"/>
                <w:color w:val="auto"/>
                <w:spacing w:val="0"/>
                <w:sz w:val="24"/>
                <w:szCs w:val="24"/>
              </w:rPr>
              <w:t>招标代理项目进度、质量的保证措施和承诺、招标资料规范性和完整性的保证措施</w:t>
            </w:r>
            <w:r>
              <w:rPr>
                <w:rFonts w:hint="eastAsia" w:ascii="仿宋" w:hAnsi="仿宋" w:eastAsia="仿宋" w:cs="仿宋"/>
                <w:b w:val="0"/>
                <w:bCs w:val="0"/>
                <w:color w:val="auto"/>
                <w:spacing w:val="0"/>
                <w:sz w:val="24"/>
                <w:szCs w:val="24"/>
                <w:lang w:val="en-US" w:eastAsia="zh-CN"/>
              </w:rPr>
              <w:t>等</w:t>
            </w:r>
            <w:r>
              <w:rPr>
                <w:rFonts w:hint="eastAsia" w:ascii="仿宋" w:hAnsi="仿宋" w:eastAsia="仿宋" w:cs="仿宋"/>
                <w:color w:val="auto"/>
                <w:sz w:val="24"/>
                <w:szCs w:val="24"/>
                <w:highlight w:val="none"/>
                <w:lang w:val="en-US" w:eastAsia="zh-CN"/>
              </w:rPr>
              <w:t>，由评审专家进行综合打分。</w:t>
            </w:r>
          </w:p>
          <w:p w14:paraId="08A75036">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336D748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3B802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474EC682">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53CACA0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1392479A">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w:t>
            </w:r>
            <w:r>
              <w:rPr>
                <w:rFonts w:hint="eastAsia" w:ascii="仿宋" w:hAnsi="仿宋" w:eastAsia="仿宋" w:cs="仿宋"/>
                <w:b w:val="0"/>
                <w:bCs w:val="0"/>
                <w:color w:val="auto"/>
                <w:spacing w:val="0"/>
                <w:sz w:val="24"/>
                <w:szCs w:val="24"/>
              </w:rPr>
              <w:t>工程量清单、预算、招标控制价的编制方案</w:t>
            </w:r>
            <w:r>
              <w:rPr>
                <w:rFonts w:hint="eastAsia" w:ascii="仿宋" w:hAnsi="仿宋" w:eastAsia="仿宋" w:cs="仿宋"/>
                <w:b w:val="0"/>
                <w:bCs w:val="0"/>
                <w:color w:val="auto"/>
                <w:spacing w:val="0"/>
                <w:sz w:val="24"/>
                <w:szCs w:val="24"/>
                <w:lang w:eastAsia="zh-CN"/>
              </w:rPr>
              <w:t>、</w:t>
            </w:r>
            <w:r>
              <w:rPr>
                <w:rFonts w:hint="eastAsia" w:ascii="仿宋" w:hAnsi="仿宋" w:eastAsia="仿宋" w:cs="仿宋"/>
                <w:b w:val="0"/>
                <w:bCs w:val="0"/>
                <w:color w:val="auto"/>
                <w:spacing w:val="0"/>
                <w:sz w:val="24"/>
                <w:szCs w:val="24"/>
              </w:rPr>
              <w:t>保证措施等</w:t>
            </w:r>
            <w:r>
              <w:rPr>
                <w:rFonts w:hint="eastAsia" w:ascii="仿宋" w:hAnsi="仿宋" w:eastAsia="仿宋" w:cs="仿宋"/>
                <w:color w:val="auto"/>
                <w:sz w:val="24"/>
                <w:szCs w:val="24"/>
                <w:highlight w:val="none"/>
                <w:lang w:val="en-US" w:eastAsia="zh-CN"/>
              </w:rPr>
              <w:t>，由评审专家进行综合打分。</w:t>
            </w:r>
          </w:p>
          <w:p w14:paraId="24AA6D4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4" w:firstLine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73AF957B">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7A39C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1E444E64">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4DA4EC0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0890C08E">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w:t>
            </w:r>
            <w:r>
              <w:rPr>
                <w:rFonts w:hint="eastAsia" w:ascii="仿宋" w:hAnsi="仿宋" w:eastAsia="仿宋" w:cs="仿宋"/>
                <w:b w:val="0"/>
                <w:bCs w:val="0"/>
                <w:color w:val="auto"/>
                <w:spacing w:val="0"/>
                <w:sz w:val="24"/>
                <w:szCs w:val="24"/>
              </w:rPr>
              <w:t>招标代理过程重</w:t>
            </w:r>
            <w:r>
              <w:rPr>
                <w:rFonts w:hint="eastAsia" w:ascii="仿宋" w:hAnsi="仿宋" w:eastAsia="仿宋" w:cs="仿宋"/>
                <w:b w:val="0"/>
                <w:bCs w:val="0"/>
                <w:color w:val="auto"/>
                <w:spacing w:val="0"/>
                <w:sz w:val="24"/>
                <w:szCs w:val="24"/>
                <w:lang w:val="en-US" w:eastAsia="zh-CN"/>
              </w:rPr>
              <w:t>点</w:t>
            </w:r>
            <w:r>
              <w:rPr>
                <w:rFonts w:hint="eastAsia" w:ascii="仿宋" w:hAnsi="仿宋" w:eastAsia="仿宋" w:cs="仿宋"/>
                <w:b w:val="0"/>
                <w:bCs w:val="0"/>
                <w:color w:val="auto"/>
                <w:spacing w:val="0"/>
                <w:sz w:val="24"/>
                <w:szCs w:val="24"/>
              </w:rPr>
              <w:t>难点分析和解决方法 (包括如何防止</w:t>
            </w:r>
            <w:r>
              <w:rPr>
                <w:rFonts w:hint="eastAsia" w:ascii="仿宋" w:hAnsi="仿宋" w:eastAsia="仿宋" w:cs="仿宋"/>
                <w:b w:val="0"/>
                <w:bCs w:val="0"/>
                <w:color w:val="auto"/>
                <w:spacing w:val="0"/>
                <w:sz w:val="24"/>
                <w:szCs w:val="24"/>
                <w:lang w:val="en-US" w:eastAsia="zh-CN"/>
              </w:rPr>
              <w:t>招</w:t>
            </w:r>
            <w:r>
              <w:rPr>
                <w:rFonts w:hint="eastAsia" w:ascii="仿宋" w:hAnsi="仿宋" w:eastAsia="仿宋" w:cs="仿宋"/>
                <w:b w:val="0"/>
                <w:bCs w:val="0"/>
                <w:color w:val="auto"/>
                <w:spacing w:val="0"/>
                <w:sz w:val="24"/>
                <w:szCs w:val="24"/>
              </w:rPr>
              <w:t>标失败，防止串标等)</w:t>
            </w:r>
            <w:r>
              <w:rPr>
                <w:rFonts w:hint="eastAsia" w:ascii="仿宋" w:hAnsi="仿宋" w:eastAsia="仿宋" w:cs="仿宋"/>
                <w:color w:val="auto"/>
                <w:sz w:val="24"/>
                <w:szCs w:val="24"/>
                <w:highlight w:val="none"/>
                <w:lang w:val="en-US" w:eastAsia="zh-CN"/>
              </w:rPr>
              <w:t>，由评审专家进行综合打分。</w:t>
            </w:r>
          </w:p>
          <w:p w14:paraId="40FCDCD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69C1CDA7">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117E7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6DDDCC39">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2489D4F8">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3947D5C5">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w:t>
            </w:r>
            <w:r>
              <w:rPr>
                <w:rFonts w:hint="eastAsia" w:ascii="仿宋" w:hAnsi="仿宋" w:eastAsia="仿宋" w:cs="仿宋"/>
                <w:b w:val="0"/>
                <w:bCs w:val="0"/>
                <w:color w:val="auto"/>
                <w:spacing w:val="0"/>
                <w:sz w:val="24"/>
                <w:szCs w:val="24"/>
              </w:rPr>
              <w:t>保护</w:t>
            </w:r>
            <w:r>
              <w:rPr>
                <w:rFonts w:hint="eastAsia" w:ascii="仿宋" w:hAnsi="仿宋" w:eastAsia="仿宋" w:cs="仿宋"/>
                <w:b w:val="0"/>
                <w:bCs w:val="0"/>
                <w:color w:val="auto"/>
                <w:spacing w:val="0"/>
                <w:sz w:val="24"/>
                <w:szCs w:val="24"/>
                <w:lang w:eastAsia="zh-CN"/>
              </w:rPr>
              <w:t>采购人</w:t>
            </w:r>
            <w:r>
              <w:rPr>
                <w:rFonts w:hint="eastAsia" w:ascii="仿宋" w:hAnsi="仿宋" w:eastAsia="仿宋" w:cs="仿宋"/>
                <w:b w:val="0"/>
                <w:bCs w:val="0"/>
                <w:color w:val="auto"/>
                <w:spacing w:val="0"/>
                <w:sz w:val="24"/>
                <w:szCs w:val="24"/>
              </w:rPr>
              <w:t>权益的主要措施及保密措施、防止及处理投诉等情况</w:t>
            </w:r>
            <w:r>
              <w:rPr>
                <w:rFonts w:hint="eastAsia" w:ascii="仿宋" w:hAnsi="仿宋" w:eastAsia="仿宋" w:cs="仿宋"/>
                <w:color w:val="auto"/>
                <w:sz w:val="24"/>
                <w:szCs w:val="24"/>
                <w:highlight w:val="none"/>
                <w:lang w:val="en-US" w:eastAsia="zh-CN"/>
              </w:rPr>
              <w:t>，由评审专家进行综合打分。</w:t>
            </w:r>
          </w:p>
          <w:p w14:paraId="1437CB5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6893C643">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5C497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vMerge w:val="continue"/>
            <w:noWrap w:val="0"/>
            <w:vAlign w:val="center"/>
          </w:tcPr>
          <w:p w14:paraId="7AE428BE">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1190" w:type="dxa"/>
            <w:vMerge w:val="continue"/>
            <w:noWrap w:val="0"/>
            <w:vAlign w:val="center"/>
          </w:tcPr>
          <w:p w14:paraId="35C23225">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p>
        </w:tc>
        <w:tc>
          <w:tcPr>
            <w:tcW w:w="6905" w:type="dxa"/>
            <w:noWrap w:val="0"/>
            <w:vAlign w:val="top"/>
          </w:tcPr>
          <w:p w14:paraId="56A1460E">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val="0"/>
                <w:bCs w:val="0"/>
                <w:color w:val="auto"/>
                <w:spacing w:val="0"/>
                <w:sz w:val="24"/>
                <w:szCs w:val="24"/>
                <w:lang w:val="en-US" w:eastAsia="zh-CN"/>
              </w:rPr>
              <w:t>根据投标人提供的公司内部及拟派人员管理制度的合理性及完整性</w:t>
            </w:r>
            <w:r>
              <w:rPr>
                <w:rFonts w:hint="eastAsia" w:ascii="仿宋" w:hAnsi="仿宋" w:eastAsia="仿宋" w:cs="仿宋"/>
                <w:b w:val="0"/>
                <w:bCs w:val="0"/>
                <w:color w:val="auto"/>
                <w:spacing w:val="0"/>
                <w:sz w:val="24"/>
                <w:szCs w:val="24"/>
              </w:rPr>
              <w:t>等</w:t>
            </w:r>
            <w:r>
              <w:rPr>
                <w:rFonts w:hint="eastAsia" w:ascii="仿宋" w:hAnsi="仿宋" w:eastAsia="仿宋" w:cs="仿宋"/>
                <w:color w:val="auto"/>
                <w:sz w:val="24"/>
                <w:szCs w:val="24"/>
                <w:highlight w:val="none"/>
                <w:lang w:val="en-US" w:eastAsia="zh-CN"/>
              </w:rPr>
              <w:t>，由评审专家进行综合打分。</w:t>
            </w:r>
          </w:p>
          <w:p w14:paraId="65D6FBF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注：内容完整全面、科学合理、针对性强的得8</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内容略有欠缺，但基本合理可行的得5</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分；未提供方案的不得分。</w:t>
            </w:r>
          </w:p>
        </w:tc>
        <w:tc>
          <w:tcPr>
            <w:tcW w:w="1054" w:type="dxa"/>
            <w:noWrap w:val="0"/>
            <w:vAlign w:val="center"/>
          </w:tcPr>
          <w:p w14:paraId="4099903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分</w:t>
            </w:r>
          </w:p>
        </w:tc>
      </w:tr>
      <w:tr w14:paraId="1898A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45" w:type="dxa"/>
            <w:noWrap w:val="0"/>
            <w:vAlign w:val="center"/>
          </w:tcPr>
          <w:p w14:paraId="76E725DF">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p>
        </w:tc>
        <w:tc>
          <w:tcPr>
            <w:tcW w:w="1190" w:type="dxa"/>
            <w:noWrap w:val="0"/>
            <w:vAlign w:val="center"/>
          </w:tcPr>
          <w:p w14:paraId="46C63779">
            <w:pPr>
              <w:keepNext w:val="0"/>
              <w:keepLines w:val="0"/>
              <w:pageBreakBefore w:val="0"/>
              <w:widowControl w:val="0"/>
              <w:kinsoku/>
              <w:wordWrap/>
              <w:overflowPunct/>
              <w:topLinePunct w:val="0"/>
              <w:bidi w:val="0"/>
              <w:adjustRightInd/>
              <w:snapToGrid/>
              <w:spacing w:line="360" w:lineRule="exact"/>
              <w:ind w:firstLine="0"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服务承诺</w:t>
            </w:r>
          </w:p>
        </w:tc>
        <w:tc>
          <w:tcPr>
            <w:tcW w:w="6905" w:type="dxa"/>
            <w:noWrap w:val="0"/>
            <w:vAlign w:val="center"/>
          </w:tcPr>
          <w:p w14:paraId="18C3C51E">
            <w:pPr>
              <w:keepNext w:val="0"/>
              <w:keepLines w:val="0"/>
              <w:pageBreakBefore w:val="0"/>
              <w:widowControl w:val="0"/>
              <w:kinsoku/>
              <w:wordWrap/>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根据投标人承诺在接到采购单位服务要求（通知）响应并安排相关专业技术人员到达现场提供服务的速度、保障措施等内容</w:t>
            </w:r>
            <w:r>
              <w:rPr>
                <w:rFonts w:hint="eastAsia" w:ascii="仿宋" w:hAnsi="仿宋" w:eastAsia="仿宋" w:cs="仿宋"/>
                <w:color w:val="auto"/>
                <w:sz w:val="24"/>
                <w:szCs w:val="24"/>
                <w:highlight w:val="none"/>
                <w:lang w:val="en-US" w:eastAsia="zh-CN"/>
              </w:rPr>
              <w:t>，由评审专家进行综合打分。</w:t>
            </w:r>
          </w:p>
          <w:p w14:paraId="696B4437">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注：内容完整全面、科学合理、针对性强的得</w:t>
            </w:r>
            <w:r>
              <w:rPr>
                <w:rFonts w:hint="eastAsia" w:ascii="仿宋" w:hAnsi="仿宋" w:eastAsia="仿宋" w:cs="仿宋"/>
                <w:bCs/>
                <w:color w:val="auto"/>
                <w:sz w:val="24"/>
                <w:szCs w:val="24"/>
                <w:highlight w:val="none"/>
              </w:rPr>
              <w:t>5分；</w:t>
            </w:r>
            <w:r>
              <w:rPr>
                <w:rFonts w:hint="eastAsia" w:ascii="仿宋" w:hAnsi="仿宋" w:eastAsia="仿宋" w:cs="仿宋"/>
                <w:bCs/>
                <w:color w:val="auto"/>
                <w:sz w:val="24"/>
                <w:szCs w:val="24"/>
                <w:highlight w:val="none"/>
                <w:lang w:val="en-US" w:eastAsia="zh-CN"/>
              </w:rPr>
              <w:t>内容略有欠缺，但基本合理可行的得3</w:t>
            </w:r>
            <w:r>
              <w:rPr>
                <w:rFonts w:hint="eastAsia" w:ascii="仿宋" w:hAnsi="仿宋" w:eastAsia="仿宋" w:cs="仿宋"/>
                <w:bCs/>
                <w:color w:val="auto"/>
                <w:sz w:val="24"/>
                <w:szCs w:val="24"/>
                <w:highlight w:val="none"/>
              </w:rPr>
              <w:t>分；内容粗略、层次模糊、针对性较差的得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分；未提供方案的不得分。</w:t>
            </w:r>
            <w:r>
              <w:rPr>
                <w:rFonts w:hint="eastAsia" w:ascii="仿宋" w:hAnsi="仿宋" w:eastAsia="仿宋" w:cs="仿宋"/>
                <w:b/>
                <w:bCs w:val="0"/>
                <w:color w:val="auto"/>
                <w:sz w:val="24"/>
                <w:szCs w:val="24"/>
                <w:highlight w:val="none"/>
              </w:rPr>
              <w:t>需提供承诺函（格式自拟）并加盖投标人CA签章，</w:t>
            </w:r>
            <w:r>
              <w:rPr>
                <w:rFonts w:hint="eastAsia" w:ascii="仿宋" w:hAnsi="仿宋" w:eastAsia="仿宋" w:cs="仿宋"/>
                <w:b/>
                <w:bCs w:val="0"/>
                <w:color w:val="auto"/>
                <w:sz w:val="24"/>
                <w:highlight w:val="none"/>
                <w:lang w:val="en-US" w:eastAsia="zh-CN"/>
              </w:rPr>
              <w:t>不提供</w:t>
            </w:r>
            <w:r>
              <w:rPr>
                <w:rFonts w:hint="eastAsia" w:ascii="仿宋" w:hAnsi="仿宋" w:eastAsia="仿宋" w:cs="仿宋"/>
                <w:b/>
                <w:bCs w:val="0"/>
                <w:color w:val="auto"/>
                <w:sz w:val="24"/>
                <w:highlight w:val="none"/>
              </w:rPr>
              <w:t>不得分。</w:t>
            </w:r>
          </w:p>
        </w:tc>
        <w:tc>
          <w:tcPr>
            <w:tcW w:w="1054" w:type="dxa"/>
            <w:noWrap w:val="0"/>
            <w:vAlign w:val="center"/>
          </w:tcPr>
          <w:p w14:paraId="5452DBEA">
            <w:pPr>
              <w:keepNext w:val="0"/>
              <w:keepLines w:val="0"/>
              <w:pageBreakBefore w:val="0"/>
              <w:widowControl w:val="0"/>
              <w:kinsoku/>
              <w:wordWrap/>
              <w:overflowPunct/>
              <w:topLinePunct w:val="0"/>
              <w:bidi w:val="0"/>
              <w:adjustRightInd/>
              <w:snapToGrid/>
              <w:spacing w:line="36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rPr>
              <w:t>分</w:t>
            </w:r>
          </w:p>
        </w:tc>
      </w:tr>
    </w:tbl>
    <w:p w14:paraId="078EEED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宋体"/>
          <w:b/>
          <w:bCs w:val="0"/>
          <w:sz w:val="24"/>
          <w:szCs w:val="24"/>
          <w:lang w:eastAsia="zh-CN"/>
        </w:rPr>
        <w:t>（</w:t>
      </w:r>
      <w:r>
        <w:rPr>
          <w:rFonts w:hint="eastAsia" w:ascii="仿宋" w:hAnsi="仿宋" w:eastAsia="仿宋" w:cs="宋体"/>
          <w:b/>
          <w:bCs w:val="0"/>
          <w:sz w:val="24"/>
          <w:szCs w:val="24"/>
          <w:lang w:val="en-US" w:eastAsia="zh-CN"/>
        </w:rPr>
        <w:t>5</w:t>
      </w:r>
      <w:r>
        <w:rPr>
          <w:rFonts w:hint="eastAsia" w:ascii="仿宋" w:hAnsi="仿宋" w:eastAsia="仿宋" w:cs="宋体"/>
          <w:b/>
          <w:bCs w:val="0"/>
          <w:sz w:val="24"/>
          <w:szCs w:val="24"/>
          <w:lang w:eastAsia="zh-CN"/>
        </w:rPr>
        <w:t>）</w:t>
      </w:r>
      <w:r>
        <w:rPr>
          <w:rFonts w:hint="eastAsia" w:ascii="仿宋" w:hAnsi="仿宋" w:eastAsia="仿宋" w:cs="宋体"/>
          <w:b/>
          <w:bCs w:val="0"/>
          <w:sz w:val="24"/>
          <w:szCs w:val="24"/>
        </w:rPr>
        <w:t>本项目</w:t>
      </w:r>
      <w:r>
        <w:rPr>
          <w:rFonts w:hint="eastAsia" w:ascii="仿宋" w:hAnsi="仿宋" w:eastAsia="仿宋" w:cs="宋体"/>
          <w:b/>
          <w:bCs w:val="0"/>
          <w:sz w:val="24"/>
          <w:szCs w:val="24"/>
          <w:lang w:eastAsia="zh-CN"/>
        </w:rPr>
        <w:t>标项</w:t>
      </w:r>
      <w:r>
        <w:rPr>
          <w:rFonts w:hint="eastAsia" w:ascii="仿宋" w:hAnsi="仿宋" w:eastAsia="仿宋" w:cs="宋体"/>
          <w:b/>
          <w:bCs w:val="0"/>
          <w:sz w:val="24"/>
          <w:szCs w:val="24"/>
        </w:rPr>
        <w:t>1、2</w:t>
      </w:r>
      <w:r>
        <w:rPr>
          <w:rFonts w:hint="eastAsia" w:ascii="仿宋" w:hAnsi="仿宋" w:eastAsia="仿宋" w:cs="宋体"/>
          <w:b/>
          <w:bCs w:val="0"/>
          <w:sz w:val="24"/>
          <w:szCs w:val="24"/>
          <w:lang w:val="en-US" w:eastAsia="zh-CN"/>
        </w:rPr>
        <w:t>均</w:t>
      </w:r>
      <w:r>
        <w:rPr>
          <w:rFonts w:hint="eastAsia" w:ascii="仿宋" w:hAnsi="仿宋" w:eastAsia="仿宋" w:cs="宋体"/>
          <w:b/>
          <w:bCs w:val="0"/>
          <w:sz w:val="24"/>
          <w:szCs w:val="24"/>
        </w:rPr>
        <w:t>采用同一商务技术评分细则</w:t>
      </w:r>
      <w:r>
        <w:rPr>
          <w:rFonts w:hint="eastAsia" w:ascii="仿宋" w:hAnsi="仿宋" w:eastAsia="仿宋" w:cs="宋体"/>
          <w:b/>
          <w:bCs w:val="0"/>
          <w:sz w:val="24"/>
          <w:szCs w:val="24"/>
          <w:lang w:val="en-US" w:eastAsia="zh-CN"/>
        </w:rPr>
        <w:t>，</w:t>
      </w:r>
      <w:r>
        <w:rPr>
          <w:rFonts w:hint="eastAsia" w:ascii="仿宋" w:hAnsi="仿宋" w:eastAsia="仿宋" w:cs="宋体"/>
          <w:b/>
          <w:bCs w:val="0"/>
          <w:sz w:val="24"/>
          <w:szCs w:val="24"/>
        </w:rPr>
        <w:t>按标项1到标项</w:t>
      </w:r>
      <w:r>
        <w:rPr>
          <w:rFonts w:hint="eastAsia" w:ascii="仿宋" w:hAnsi="仿宋" w:eastAsia="仿宋" w:cs="宋体"/>
          <w:b/>
          <w:bCs w:val="0"/>
          <w:sz w:val="24"/>
          <w:szCs w:val="24"/>
          <w:lang w:val="en-US" w:eastAsia="zh-CN"/>
        </w:rPr>
        <w:t>2</w:t>
      </w:r>
      <w:r>
        <w:rPr>
          <w:rFonts w:hint="eastAsia" w:ascii="仿宋" w:hAnsi="仿宋" w:eastAsia="仿宋" w:cs="宋体"/>
          <w:b/>
          <w:bCs w:val="0"/>
          <w:sz w:val="24"/>
          <w:szCs w:val="24"/>
        </w:rPr>
        <w:t>的先后顺序依次进行开评标，通过资格审查和符合性评审的投标人全部入围进行报价评审。</w:t>
      </w:r>
    </w:p>
    <w:p w14:paraId="7844022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特别说明：</w:t>
      </w:r>
    </w:p>
    <w:p w14:paraId="7E70DC3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①本项目共</w:t>
      </w:r>
      <w:r>
        <w:rPr>
          <w:rFonts w:hint="eastAsia" w:ascii="仿宋" w:hAnsi="仿宋" w:eastAsia="仿宋" w:cs="仿宋"/>
          <w:b/>
          <w:sz w:val="24"/>
          <w:szCs w:val="24"/>
          <w:lang w:val="en-US" w:eastAsia="zh-CN"/>
        </w:rPr>
        <w:t>2</w:t>
      </w:r>
      <w:r>
        <w:rPr>
          <w:rFonts w:hint="eastAsia" w:ascii="仿宋" w:hAnsi="仿宋" w:eastAsia="仿宋" w:cs="仿宋"/>
          <w:b/>
          <w:sz w:val="24"/>
          <w:szCs w:val="24"/>
        </w:rPr>
        <w:t>个</w:t>
      </w:r>
      <w:r>
        <w:rPr>
          <w:rFonts w:hint="eastAsia" w:ascii="仿宋" w:hAnsi="仿宋" w:eastAsia="仿宋" w:cs="仿宋"/>
          <w:b/>
          <w:sz w:val="24"/>
          <w:szCs w:val="24"/>
          <w:lang w:eastAsia="zh-CN"/>
        </w:rPr>
        <w:t>标项</w:t>
      </w:r>
      <w:r>
        <w:rPr>
          <w:rFonts w:hint="eastAsia" w:ascii="仿宋" w:hAnsi="仿宋" w:eastAsia="仿宋" w:cs="仿宋"/>
          <w:b/>
          <w:sz w:val="24"/>
          <w:szCs w:val="24"/>
        </w:rPr>
        <w:t>，投标人可以选择单个或多个</w:t>
      </w:r>
      <w:r>
        <w:rPr>
          <w:rFonts w:hint="eastAsia" w:ascii="仿宋" w:hAnsi="仿宋" w:eastAsia="仿宋" w:cs="仿宋"/>
          <w:b/>
          <w:sz w:val="24"/>
          <w:szCs w:val="24"/>
          <w:lang w:eastAsia="zh-CN"/>
        </w:rPr>
        <w:t>标项</w:t>
      </w:r>
      <w:r>
        <w:rPr>
          <w:rFonts w:hint="eastAsia" w:ascii="仿宋" w:hAnsi="仿宋" w:eastAsia="仿宋" w:cs="仿宋"/>
          <w:b/>
          <w:sz w:val="24"/>
          <w:szCs w:val="24"/>
        </w:rPr>
        <w:t>投标，技术商务评分汇总从</w:t>
      </w:r>
      <w:r>
        <w:rPr>
          <w:rFonts w:hint="eastAsia" w:ascii="仿宋" w:hAnsi="仿宋" w:eastAsia="仿宋" w:cs="仿宋"/>
          <w:b/>
          <w:sz w:val="24"/>
          <w:szCs w:val="24"/>
          <w:lang w:eastAsia="zh-CN"/>
        </w:rPr>
        <w:t>标项</w:t>
      </w:r>
      <w:r>
        <w:rPr>
          <w:rFonts w:hint="eastAsia" w:ascii="仿宋" w:hAnsi="仿宋" w:eastAsia="仿宋" w:cs="仿宋"/>
          <w:b/>
          <w:sz w:val="24"/>
          <w:szCs w:val="24"/>
        </w:rPr>
        <w:t>1到</w:t>
      </w:r>
      <w:r>
        <w:rPr>
          <w:rFonts w:hint="eastAsia" w:ascii="仿宋" w:hAnsi="仿宋" w:eastAsia="仿宋" w:cs="仿宋"/>
          <w:b/>
          <w:sz w:val="24"/>
          <w:szCs w:val="24"/>
          <w:lang w:eastAsia="zh-CN"/>
        </w:rPr>
        <w:t>标项</w:t>
      </w:r>
      <w:r>
        <w:rPr>
          <w:rFonts w:hint="eastAsia" w:ascii="仿宋" w:hAnsi="仿宋" w:eastAsia="仿宋" w:cs="仿宋"/>
          <w:b/>
          <w:sz w:val="24"/>
          <w:szCs w:val="24"/>
          <w:lang w:val="en-US" w:eastAsia="zh-CN"/>
        </w:rPr>
        <w:t>2</w:t>
      </w:r>
      <w:r>
        <w:rPr>
          <w:rFonts w:hint="eastAsia" w:ascii="仿宋" w:hAnsi="仿宋" w:eastAsia="仿宋" w:cs="仿宋"/>
          <w:b/>
          <w:sz w:val="24"/>
          <w:szCs w:val="24"/>
        </w:rPr>
        <w:t>的顺序进行；</w:t>
      </w:r>
    </w:p>
    <w:p w14:paraId="0ED1779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②各</w:t>
      </w:r>
      <w:r>
        <w:rPr>
          <w:rFonts w:hint="eastAsia" w:ascii="仿宋" w:hAnsi="仿宋" w:eastAsia="仿宋" w:cs="仿宋"/>
          <w:b/>
          <w:sz w:val="24"/>
          <w:szCs w:val="24"/>
          <w:lang w:eastAsia="zh-CN"/>
        </w:rPr>
        <w:t>标项</w:t>
      </w:r>
      <w:r>
        <w:rPr>
          <w:rFonts w:hint="eastAsia" w:ascii="仿宋" w:hAnsi="仿宋" w:eastAsia="仿宋" w:cs="仿宋"/>
          <w:b/>
          <w:sz w:val="24"/>
          <w:szCs w:val="24"/>
        </w:rPr>
        <w:t>有效投标人三家及以上时，每个投标人只能中一个</w:t>
      </w:r>
      <w:r>
        <w:rPr>
          <w:rFonts w:hint="eastAsia" w:ascii="仿宋" w:hAnsi="仿宋" w:eastAsia="仿宋" w:cs="仿宋"/>
          <w:b/>
          <w:sz w:val="24"/>
          <w:szCs w:val="24"/>
          <w:lang w:eastAsia="zh-CN"/>
        </w:rPr>
        <w:t>标项</w:t>
      </w:r>
      <w:r>
        <w:rPr>
          <w:rFonts w:hint="eastAsia" w:ascii="仿宋" w:hAnsi="仿宋" w:eastAsia="仿宋" w:cs="仿宋"/>
          <w:b/>
          <w:sz w:val="24"/>
          <w:szCs w:val="24"/>
        </w:rPr>
        <w:t>，中标后自动退出后续</w:t>
      </w:r>
      <w:r>
        <w:rPr>
          <w:rFonts w:hint="eastAsia" w:ascii="仿宋" w:hAnsi="仿宋" w:eastAsia="仿宋" w:cs="仿宋"/>
          <w:b/>
          <w:sz w:val="24"/>
          <w:szCs w:val="24"/>
          <w:lang w:eastAsia="zh-CN"/>
        </w:rPr>
        <w:t>标项</w:t>
      </w:r>
      <w:r>
        <w:rPr>
          <w:rFonts w:hint="eastAsia" w:ascii="仿宋" w:hAnsi="仿宋" w:eastAsia="仿宋" w:cs="仿宋"/>
          <w:b/>
          <w:sz w:val="24"/>
          <w:szCs w:val="24"/>
        </w:rPr>
        <w:t>评审；</w:t>
      </w:r>
    </w:p>
    <w:p w14:paraId="46DBFEDC">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bCs/>
          <w:color w:val="auto"/>
          <w:sz w:val="24"/>
        </w:rPr>
      </w:pPr>
      <w:r>
        <w:rPr>
          <w:rFonts w:hint="eastAsia" w:ascii="仿宋" w:hAnsi="仿宋" w:eastAsia="仿宋" w:cs="仿宋"/>
          <w:b/>
          <w:sz w:val="24"/>
          <w:szCs w:val="24"/>
        </w:rPr>
        <w:t>③若后续</w:t>
      </w:r>
      <w:r>
        <w:rPr>
          <w:rFonts w:hint="eastAsia" w:ascii="仿宋" w:hAnsi="仿宋" w:eastAsia="仿宋" w:cs="仿宋"/>
          <w:b/>
          <w:sz w:val="24"/>
          <w:szCs w:val="24"/>
          <w:lang w:eastAsia="zh-CN"/>
        </w:rPr>
        <w:t>标项</w:t>
      </w:r>
      <w:r>
        <w:rPr>
          <w:rFonts w:hint="eastAsia" w:ascii="仿宋" w:hAnsi="仿宋" w:eastAsia="仿宋" w:cs="仿宋"/>
          <w:b/>
          <w:sz w:val="24"/>
          <w:szCs w:val="24"/>
        </w:rPr>
        <w:t>有效投标人不足三家时，允许上述</w:t>
      </w:r>
      <w:r>
        <w:rPr>
          <w:rFonts w:hint="eastAsia" w:ascii="仿宋" w:hAnsi="仿宋" w:eastAsia="仿宋" w:cs="仿宋"/>
          <w:b/>
          <w:sz w:val="24"/>
          <w:szCs w:val="24"/>
          <w:lang w:eastAsia="zh-CN"/>
        </w:rPr>
        <w:t>标项</w:t>
      </w:r>
      <w:r>
        <w:rPr>
          <w:rFonts w:hint="eastAsia" w:ascii="仿宋" w:hAnsi="仿宋" w:eastAsia="仿宋" w:cs="仿宋"/>
          <w:b/>
          <w:sz w:val="24"/>
          <w:szCs w:val="24"/>
        </w:rPr>
        <w:t>中标人继续参加后续</w:t>
      </w:r>
      <w:r>
        <w:rPr>
          <w:rFonts w:hint="eastAsia" w:ascii="仿宋" w:hAnsi="仿宋" w:eastAsia="仿宋" w:cs="仿宋"/>
          <w:b/>
          <w:sz w:val="24"/>
          <w:szCs w:val="24"/>
          <w:lang w:eastAsia="zh-CN"/>
        </w:rPr>
        <w:t>标项</w:t>
      </w:r>
      <w:r>
        <w:rPr>
          <w:rFonts w:hint="eastAsia" w:ascii="仿宋" w:hAnsi="仿宋" w:eastAsia="仿宋" w:cs="仿宋"/>
          <w:b/>
          <w:sz w:val="24"/>
          <w:szCs w:val="24"/>
        </w:rPr>
        <w:t>的评审，按标</w:t>
      </w:r>
      <w:r>
        <w:rPr>
          <w:rFonts w:hint="eastAsia" w:ascii="仿宋" w:hAnsi="仿宋" w:eastAsia="仿宋" w:cs="仿宋"/>
          <w:b/>
          <w:sz w:val="24"/>
          <w:szCs w:val="24"/>
          <w:lang w:val="en-US" w:eastAsia="zh-CN"/>
        </w:rPr>
        <w:t>1</w:t>
      </w:r>
      <w:r>
        <w:rPr>
          <w:rFonts w:hint="eastAsia" w:ascii="仿宋" w:hAnsi="仿宋" w:eastAsia="仿宋" w:cs="仿宋"/>
          <w:b/>
          <w:sz w:val="24"/>
          <w:szCs w:val="24"/>
        </w:rPr>
        <w:t>到标</w:t>
      </w:r>
      <w:r>
        <w:rPr>
          <w:rFonts w:hint="eastAsia" w:ascii="仿宋" w:hAnsi="仿宋" w:eastAsia="仿宋" w:cs="仿宋"/>
          <w:b/>
          <w:sz w:val="24"/>
          <w:szCs w:val="24"/>
          <w:lang w:val="en-US" w:eastAsia="zh-CN"/>
        </w:rPr>
        <w:t>2</w:t>
      </w:r>
      <w:r>
        <w:rPr>
          <w:rFonts w:hint="eastAsia" w:ascii="仿宋" w:hAnsi="仿宋" w:eastAsia="仿宋" w:cs="仿宋"/>
          <w:b/>
          <w:sz w:val="24"/>
          <w:szCs w:val="24"/>
        </w:rPr>
        <w:t>的顺序补足有效投标人满三家为止，此时一个投标人最多能中标</w:t>
      </w:r>
      <w:r>
        <w:rPr>
          <w:rFonts w:hint="eastAsia" w:ascii="仿宋" w:hAnsi="仿宋" w:eastAsia="仿宋" w:cs="仿宋"/>
          <w:b/>
          <w:sz w:val="24"/>
          <w:szCs w:val="24"/>
          <w:lang w:val="en-US" w:eastAsia="zh-CN"/>
        </w:rPr>
        <w:t>2</w:t>
      </w:r>
      <w:r>
        <w:rPr>
          <w:rFonts w:hint="eastAsia" w:ascii="仿宋" w:hAnsi="仿宋" w:eastAsia="仿宋" w:cs="仿宋"/>
          <w:b/>
          <w:sz w:val="24"/>
          <w:szCs w:val="24"/>
        </w:rPr>
        <w:t>个</w:t>
      </w:r>
      <w:r>
        <w:rPr>
          <w:rFonts w:hint="eastAsia" w:ascii="仿宋" w:hAnsi="仿宋" w:eastAsia="仿宋" w:cs="仿宋"/>
          <w:b/>
          <w:sz w:val="24"/>
          <w:szCs w:val="24"/>
          <w:lang w:eastAsia="zh-CN"/>
        </w:rPr>
        <w:t>标项</w:t>
      </w:r>
      <w:r>
        <w:rPr>
          <w:rFonts w:hint="eastAsia" w:ascii="仿宋" w:hAnsi="仿宋" w:eastAsia="仿宋" w:cs="仿宋"/>
          <w:b/>
          <w:sz w:val="24"/>
          <w:szCs w:val="24"/>
        </w:rPr>
        <w:t>。</w:t>
      </w:r>
    </w:p>
    <w:p w14:paraId="2D76F8E9">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color w:val="auto"/>
          <w:sz w:val="24"/>
        </w:rPr>
        <w:t>注：</w:t>
      </w:r>
      <w:r>
        <w:rPr>
          <w:rFonts w:hint="eastAsia" w:ascii="仿宋" w:hAnsi="仿宋" w:eastAsia="仿宋" w:cs="仿宋"/>
          <w:color w:val="auto"/>
          <w:sz w:val="24"/>
        </w:rPr>
        <w:t>投标人编制投标文件（商务技术文件部分）时，建议按此目录（序号和内容）提供评标标准相应的商务技术资料。</w:t>
      </w:r>
    </w:p>
    <w:p w14:paraId="35192B4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664097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0B67B3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14259C2">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6CDA9D57">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36561D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2518AE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063BB4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179626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D392B82">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C1906AA">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7041FC1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56BEEECD">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454EC00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60D0E0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7DE009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9883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5512146">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266B28">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3E7747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7C04C1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31A14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018037">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1BB5E1A">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F22CD6">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1AEF65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54CDA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17BFEA2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7BA215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58CDB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296363B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0BD7581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5DA15B3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526CA9D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6CAEAB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3F1BCEC">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7766889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765D8FF3">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705E62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6BB8E5E">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273A5B1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44976BA">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E2E22BA">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A8DC213">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210052B0">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189E5D2F">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5F983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6AF2598C">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271DF23">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2B9F416">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0D8DA1C">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05CC3F6F">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Start w:id="390" w:name="第五部分"/>
      <w:bookmarkStart w:id="391" w:name="_Toc86217003"/>
    </w:p>
    <w:p w14:paraId="3EF8231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1EC9C13">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4AA2CE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9252BD3">
      <w:pPr>
        <w:rPr>
          <w:rFonts w:hint="eastAsia" w:ascii="仿宋" w:hAnsi="仿宋" w:eastAsia="仿宋" w:cs="仿宋"/>
          <w:sz w:val="24"/>
        </w:rPr>
      </w:pPr>
    </w:p>
    <w:p w14:paraId="544D2ECD">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5430C1C">
      <w:pPr>
        <w:spacing w:line="480" w:lineRule="auto"/>
        <w:jc w:val="both"/>
        <w:rPr>
          <w:rFonts w:hint="eastAsia" w:ascii="仿宋" w:hAnsi="仿宋" w:eastAsia="仿宋" w:cs="仿宋"/>
          <w:b/>
          <w:sz w:val="36"/>
          <w:szCs w:val="36"/>
        </w:rPr>
      </w:pPr>
    </w:p>
    <w:p w14:paraId="298E3687">
      <w:pPr>
        <w:pStyle w:val="23"/>
        <w:rPr>
          <w:rFonts w:hint="eastAsia" w:ascii="仿宋" w:hAnsi="仿宋" w:eastAsia="仿宋" w:cs="仿宋"/>
        </w:rPr>
      </w:pPr>
    </w:p>
    <w:p w14:paraId="6D69C2E1">
      <w:pPr>
        <w:pStyle w:val="709"/>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795AEC9B">
      <w:pPr>
        <w:pStyle w:val="24"/>
        <w:ind w:left="0" w:leftChars="0" w:firstLine="0" w:firstLineChars="0"/>
        <w:rPr>
          <w:rFonts w:hint="eastAsia" w:ascii="仿宋" w:hAnsi="仿宋" w:eastAsia="仿宋" w:cs="仿宋"/>
        </w:rPr>
      </w:pPr>
    </w:p>
    <w:p w14:paraId="47C17EC5">
      <w:pPr>
        <w:spacing w:before="120" w:line="22" w:lineRule="atLeast"/>
        <w:rPr>
          <w:rFonts w:hint="eastAsia" w:ascii="仿宋" w:hAnsi="仿宋" w:eastAsia="仿宋" w:cs="仿宋"/>
          <w:sz w:val="24"/>
        </w:rPr>
      </w:pPr>
    </w:p>
    <w:p w14:paraId="7179FF6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D9F14B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754B69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238084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D4A3ACD">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48D5E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E46E0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0AE1B9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5D6FCCE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59E98D8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A912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FBC04A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355A9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02274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532135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6B77017">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05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3106871">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316BC88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6650CECC">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6ACCB34D">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64B5FD3F">
            <w:pPr>
              <w:jc w:val="center"/>
              <w:rPr>
                <w:rFonts w:ascii="仿宋" w:hAnsi="仿宋" w:eastAsia="仿宋" w:cs="仿宋"/>
                <w:sz w:val="21"/>
                <w:szCs w:val="21"/>
              </w:rPr>
            </w:pPr>
            <w:r>
              <w:rPr>
                <w:rFonts w:hint="eastAsia" w:ascii="仿宋" w:hAnsi="仿宋" w:eastAsia="仿宋" w:cs="仿宋"/>
                <w:sz w:val="21"/>
                <w:szCs w:val="21"/>
              </w:rPr>
              <w:t>合价（元）</w:t>
            </w:r>
          </w:p>
        </w:tc>
      </w:tr>
      <w:tr w14:paraId="08C1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F208943">
            <w:pPr>
              <w:jc w:val="center"/>
              <w:rPr>
                <w:rFonts w:ascii="仿宋" w:hAnsi="仿宋" w:eastAsia="仿宋" w:cs="仿宋"/>
                <w:sz w:val="21"/>
                <w:szCs w:val="21"/>
              </w:rPr>
            </w:pPr>
          </w:p>
        </w:tc>
        <w:tc>
          <w:tcPr>
            <w:tcW w:w="3960" w:type="dxa"/>
          </w:tcPr>
          <w:p w14:paraId="29A3CEF5">
            <w:pPr>
              <w:jc w:val="center"/>
              <w:rPr>
                <w:rFonts w:ascii="仿宋" w:hAnsi="仿宋" w:eastAsia="仿宋" w:cs="仿宋"/>
                <w:sz w:val="21"/>
                <w:szCs w:val="21"/>
              </w:rPr>
            </w:pPr>
          </w:p>
        </w:tc>
        <w:tc>
          <w:tcPr>
            <w:tcW w:w="1080" w:type="dxa"/>
          </w:tcPr>
          <w:p w14:paraId="679608B0">
            <w:pPr>
              <w:jc w:val="center"/>
              <w:rPr>
                <w:rFonts w:ascii="仿宋" w:hAnsi="仿宋" w:eastAsia="仿宋" w:cs="仿宋"/>
                <w:sz w:val="21"/>
                <w:szCs w:val="21"/>
              </w:rPr>
            </w:pPr>
          </w:p>
        </w:tc>
        <w:tc>
          <w:tcPr>
            <w:tcW w:w="1260" w:type="dxa"/>
          </w:tcPr>
          <w:p w14:paraId="6605F719">
            <w:pPr>
              <w:jc w:val="center"/>
              <w:rPr>
                <w:rFonts w:ascii="仿宋" w:hAnsi="仿宋" w:eastAsia="仿宋" w:cs="仿宋"/>
                <w:sz w:val="21"/>
                <w:szCs w:val="21"/>
              </w:rPr>
            </w:pPr>
          </w:p>
        </w:tc>
        <w:tc>
          <w:tcPr>
            <w:tcW w:w="1440" w:type="dxa"/>
          </w:tcPr>
          <w:p w14:paraId="5940106E">
            <w:pPr>
              <w:jc w:val="center"/>
              <w:rPr>
                <w:rFonts w:ascii="仿宋" w:hAnsi="仿宋" w:eastAsia="仿宋" w:cs="仿宋"/>
                <w:sz w:val="21"/>
                <w:szCs w:val="21"/>
              </w:rPr>
            </w:pPr>
          </w:p>
        </w:tc>
      </w:tr>
      <w:tr w14:paraId="499F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8543014">
            <w:pPr>
              <w:jc w:val="center"/>
              <w:rPr>
                <w:rFonts w:ascii="仿宋" w:hAnsi="仿宋" w:eastAsia="仿宋" w:cs="仿宋"/>
                <w:sz w:val="21"/>
                <w:szCs w:val="21"/>
              </w:rPr>
            </w:pPr>
          </w:p>
        </w:tc>
        <w:tc>
          <w:tcPr>
            <w:tcW w:w="3960" w:type="dxa"/>
          </w:tcPr>
          <w:p w14:paraId="0BC87FD9">
            <w:pPr>
              <w:jc w:val="center"/>
              <w:rPr>
                <w:rFonts w:ascii="仿宋" w:hAnsi="仿宋" w:eastAsia="仿宋" w:cs="仿宋"/>
                <w:sz w:val="21"/>
                <w:szCs w:val="21"/>
              </w:rPr>
            </w:pPr>
          </w:p>
        </w:tc>
        <w:tc>
          <w:tcPr>
            <w:tcW w:w="1080" w:type="dxa"/>
          </w:tcPr>
          <w:p w14:paraId="5F9789AA">
            <w:pPr>
              <w:jc w:val="center"/>
              <w:rPr>
                <w:rFonts w:ascii="仿宋" w:hAnsi="仿宋" w:eastAsia="仿宋" w:cs="仿宋"/>
                <w:sz w:val="21"/>
                <w:szCs w:val="21"/>
              </w:rPr>
            </w:pPr>
          </w:p>
        </w:tc>
        <w:tc>
          <w:tcPr>
            <w:tcW w:w="1260" w:type="dxa"/>
          </w:tcPr>
          <w:p w14:paraId="1C5D5AA5">
            <w:pPr>
              <w:jc w:val="center"/>
              <w:rPr>
                <w:rFonts w:ascii="仿宋" w:hAnsi="仿宋" w:eastAsia="仿宋" w:cs="仿宋"/>
                <w:sz w:val="21"/>
                <w:szCs w:val="21"/>
              </w:rPr>
            </w:pPr>
          </w:p>
        </w:tc>
        <w:tc>
          <w:tcPr>
            <w:tcW w:w="1440" w:type="dxa"/>
          </w:tcPr>
          <w:p w14:paraId="5011C9AC">
            <w:pPr>
              <w:jc w:val="center"/>
              <w:rPr>
                <w:rFonts w:ascii="仿宋" w:hAnsi="仿宋" w:eastAsia="仿宋" w:cs="仿宋"/>
                <w:sz w:val="21"/>
                <w:szCs w:val="21"/>
              </w:rPr>
            </w:pPr>
          </w:p>
        </w:tc>
      </w:tr>
      <w:tr w14:paraId="2BB0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7946097">
            <w:pPr>
              <w:jc w:val="center"/>
              <w:rPr>
                <w:rFonts w:ascii="仿宋" w:hAnsi="仿宋" w:eastAsia="仿宋" w:cs="仿宋"/>
                <w:sz w:val="21"/>
                <w:szCs w:val="21"/>
              </w:rPr>
            </w:pPr>
          </w:p>
        </w:tc>
        <w:tc>
          <w:tcPr>
            <w:tcW w:w="3960" w:type="dxa"/>
          </w:tcPr>
          <w:p w14:paraId="27364CA4">
            <w:pPr>
              <w:jc w:val="center"/>
              <w:rPr>
                <w:rFonts w:ascii="仿宋" w:hAnsi="仿宋" w:eastAsia="仿宋" w:cs="仿宋"/>
                <w:sz w:val="21"/>
                <w:szCs w:val="21"/>
              </w:rPr>
            </w:pPr>
          </w:p>
        </w:tc>
        <w:tc>
          <w:tcPr>
            <w:tcW w:w="1080" w:type="dxa"/>
          </w:tcPr>
          <w:p w14:paraId="4505A773">
            <w:pPr>
              <w:jc w:val="center"/>
              <w:rPr>
                <w:rFonts w:ascii="仿宋" w:hAnsi="仿宋" w:eastAsia="仿宋" w:cs="仿宋"/>
                <w:sz w:val="21"/>
                <w:szCs w:val="21"/>
              </w:rPr>
            </w:pPr>
          </w:p>
        </w:tc>
        <w:tc>
          <w:tcPr>
            <w:tcW w:w="1260" w:type="dxa"/>
          </w:tcPr>
          <w:p w14:paraId="3A4BDD79">
            <w:pPr>
              <w:jc w:val="center"/>
              <w:rPr>
                <w:rFonts w:ascii="仿宋" w:hAnsi="仿宋" w:eastAsia="仿宋" w:cs="仿宋"/>
                <w:sz w:val="21"/>
                <w:szCs w:val="21"/>
              </w:rPr>
            </w:pPr>
          </w:p>
        </w:tc>
        <w:tc>
          <w:tcPr>
            <w:tcW w:w="1440" w:type="dxa"/>
          </w:tcPr>
          <w:p w14:paraId="5E2A0D37">
            <w:pPr>
              <w:jc w:val="center"/>
              <w:rPr>
                <w:rFonts w:ascii="仿宋" w:hAnsi="仿宋" w:eastAsia="仿宋" w:cs="仿宋"/>
                <w:sz w:val="21"/>
                <w:szCs w:val="21"/>
              </w:rPr>
            </w:pPr>
          </w:p>
        </w:tc>
      </w:tr>
    </w:tbl>
    <w:p w14:paraId="3CC6D79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6CD80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3873D7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8EEB6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634F9B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7E2276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64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402149C0">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351304E8">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B292432">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767F0B12">
            <w:pPr>
              <w:jc w:val="center"/>
              <w:rPr>
                <w:rFonts w:ascii="仿宋" w:hAnsi="仿宋" w:eastAsia="仿宋" w:cs="仿宋"/>
                <w:sz w:val="21"/>
                <w:szCs w:val="21"/>
              </w:rPr>
            </w:pPr>
            <w:r>
              <w:rPr>
                <w:rFonts w:hint="eastAsia" w:ascii="仿宋" w:hAnsi="仿宋" w:eastAsia="仿宋" w:cs="仿宋"/>
                <w:sz w:val="21"/>
                <w:szCs w:val="21"/>
              </w:rPr>
              <w:t>金额（元）</w:t>
            </w:r>
          </w:p>
        </w:tc>
      </w:tr>
      <w:tr w14:paraId="618E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F715D8C">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0F43024">
            <w:pPr>
              <w:jc w:val="center"/>
              <w:rPr>
                <w:rFonts w:hint="eastAsia" w:ascii="仿宋" w:hAnsi="仿宋" w:eastAsia="仿宋" w:cs="仿宋"/>
                <w:sz w:val="21"/>
                <w:szCs w:val="21"/>
              </w:rPr>
            </w:pPr>
          </w:p>
        </w:tc>
        <w:tc>
          <w:tcPr>
            <w:tcW w:w="4394" w:type="dxa"/>
            <w:vAlign w:val="center"/>
          </w:tcPr>
          <w:p w14:paraId="301ACC3A">
            <w:pPr>
              <w:jc w:val="center"/>
              <w:rPr>
                <w:rFonts w:hint="eastAsia" w:ascii="仿宋" w:hAnsi="仿宋" w:eastAsia="仿宋" w:cs="仿宋"/>
                <w:sz w:val="21"/>
                <w:szCs w:val="21"/>
              </w:rPr>
            </w:pPr>
          </w:p>
        </w:tc>
        <w:tc>
          <w:tcPr>
            <w:tcW w:w="1501" w:type="dxa"/>
            <w:vAlign w:val="center"/>
          </w:tcPr>
          <w:p w14:paraId="4286C4B9">
            <w:pPr>
              <w:jc w:val="center"/>
              <w:rPr>
                <w:rFonts w:hint="eastAsia" w:ascii="仿宋" w:hAnsi="仿宋" w:eastAsia="仿宋" w:cs="仿宋"/>
                <w:sz w:val="21"/>
                <w:szCs w:val="21"/>
              </w:rPr>
            </w:pPr>
          </w:p>
        </w:tc>
      </w:tr>
      <w:tr w14:paraId="4796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1A057E">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C298E09">
            <w:pPr>
              <w:jc w:val="center"/>
              <w:rPr>
                <w:rFonts w:hint="eastAsia" w:ascii="仿宋" w:hAnsi="仿宋" w:eastAsia="仿宋" w:cs="仿宋"/>
                <w:sz w:val="21"/>
                <w:szCs w:val="21"/>
              </w:rPr>
            </w:pPr>
          </w:p>
        </w:tc>
        <w:tc>
          <w:tcPr>
            <w:tcW w:w="4394" w:type="dxa"/>
            <w:vAlign w:val="center"/>
          </w:tcPr>
          <w:p w14:paraId="4A5AFF6A">
            <w:pPr>
              <w:jc w:val="center"/>
              <w:rPr>
                <w:rFonts w:hint="eastAsia" w:ascii="仿宋" w:hAnsi="仿宋" w:eastAsia="仿宋" w:cs="仿宋"/>
                <w:sz w:val="21"/>
                <w:szCs w:val="21"/>
              </w:rPr>
            </w:pPr>
          </w:p>
        </w:tc>
        <w:tc>
          <w:tcPr>
            <w:tcW w:w="1501" w:type="dxa"/>
            <w:vAlign w:val="center"/>
          </w:tcPr>
          <w:p w14:paraId="7514F258">
            <w:pPr>
              <w:jc w:val="center"/>
              <w:rPr>
                <w:rFonts w:hint="eastAsia" w:ascii="仿宋" w:hAnsi="仿宋" w:eastAsia="仿宋" w:cs="仿宋"/>
                <w:sz w:val="21"/>
                <w:szCs w:val="21"/>
              </w:rPr>
            </w:pPr>
          </w:p>
        </w:tc>
      </w:tr>
    </w:tbl>
    <w:p w14:paraId="101276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D2727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0B055CC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F6705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7C9A2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406AB2B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0573D5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6511126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35AD366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4B5846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245A5C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22AF0A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74DFB86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65915B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185692C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175B5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9A8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1B693AB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390C1F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F8E8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1F15ECD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463306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14CE0D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937F2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285D4B8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E79C01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29D83E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4EAD4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62696D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4965B6F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76BE11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8E16A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25994BA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652710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6827506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586E41D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8D3D5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A5801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59A788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67C2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0E8BA57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00D4E0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02487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7198048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0D34700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133DF3B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3BED1B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0915B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0CA9892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2B010E2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2E004F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3AB26E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642AC9B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CCD424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E24BE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7328FC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F4468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B3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3576C6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232E8E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6C1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2A6907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F8EFC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152D5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07F318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7AC03C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30CF84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3D2DC8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1BB6A80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424FD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709BD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81192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0A9B2B2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2DD2E7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80144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F8F6F7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EA2ED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344659F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456C84D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AD8AE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3F2DB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DB3B6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67D33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3014B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942882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382AA96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CED08D8">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4C3CD4D9">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686C0973">
      <w:pPr>
        <w:spacing w:line="360" w:lineRule="auto"/>
        <w:jc w:val="center"/>
        <w:outlineLvl w:val="0"/>
        <w:rPr>
          <w:rFonts w:hint="eastAsia" w:ascii="仿宋" w:hAnsi="仿宋" w:eastAsia="仿宋" w:cs="仿宋"/>
          <w:b/>
          <w:kern w:val="0"/>
          <w:sz w:val="36"/>
          <w:szCs w:val="36"/>
        </w:rPr>
      </w:pPr>
    </w:p>
    <w:p w14:paraId="73FB888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EA3F20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950CF56">
      <w:pPr>
        <w:snapToGrid w:val="0"/>
        <w:spacing w:line="360" w:lineRule="auto"/>
        <w:rPr>
          <w:rFonts w:hint="eastAsia" w:ascii="仿宋" w:hAnsi="仿宋" w:eastAsia="仿宋" w:cs="仿宋"/>
          <w:sz w:val="24"/>
        </w:rPr>
      </w:pPr>
    </w:p>
    <w:p w14:paraId="52C4BDA9">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DC5B38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48E28A69">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1EE0AC6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46A9423F">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39B05995">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48A8BD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5C899C2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B8CD9B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2D83EAD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4EA90F6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4F7156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5B471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749B43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B9AD68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93E369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57FED1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552A723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72C326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51FD69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705BD4F">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CE0168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46EBB0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CA9C459">
      <w:pPr>
        <w:rPr>
          <w:rFonts w:hint="eastAsia" w:ascii="仿宋" w:hAnsi="仿宋" w:eastAsia="仿宋" w:cs="仿宋"/>
        </w:rPr>
      </w:pPr>
    </w:p>
    <w:p w14:paraId="41805CB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E1DB1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30B35CA">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76BB8E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CB8CEC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BA0FA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377AE07">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2F3BB9">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6C77D0B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9A4D3F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84DAE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1D0A86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A062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719A2F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579F15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D4EA43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02CF6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EEAE7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60AC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E9B3B1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C152DA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17B040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1336351">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1F0A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B89669F">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D4FEC6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C089AF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E5BBA0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52466A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7D01768">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6035EA5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45D84E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C3BFC3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F8B5E2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76C9B6D">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0F4F52B1">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0EB4609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DC1CE6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F0AD25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9FBFAD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5C3B8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12060B0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7ACA8B7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5F13AF1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367E18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11F954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2348C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3C2BC00">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5FEE3A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3790CB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39B85B3">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EE0C09B">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601B3601">
      <w:pPr>
        <w:spacing w:line="360" w:lineRule="auto"/>
        <w:jc w:val="center"/>
        <w:outlineLvl w:val="0"/>
        <w:rPr>
          <w:rFonts w:hint="eastAsia" w:ascii="仿宋" w:hAnsi="仿宋" w:eastAsia="仿宋" w:cs="仿宋"/>
          <w:b/>
          <w:kern w:val="0"/>
          <w:sz w:val="24"/>
        </w:rPr>
      </w:pPr>
    </w:p>
    <w:p w14:paraId="4EDD169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99CE32D">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79D20A56">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AF8DF9">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4B26176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4F7E86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42F4DDE4">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61D63A0">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8956420">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84533AF">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DFE14A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CF49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2DB84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AB6042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ECE638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5AFBF41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267CBD0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444CD5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33FC9C4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4539DFC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852CF9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E00762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3B971F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A49F4D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50E5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144591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3EE97A5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0A3BA05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616E18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6DBF8F2">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32C922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5FF44A6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C8685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C21A4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6732B6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96A484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45918DB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2B4A5D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17FD2B5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8511C7F">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0F1A6933">
      <w:pPr>
        <w:spacing w:line="360" w:lineRule="auto"/>
        <w:jc w:val="center"/>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3A658D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25F0DD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6ACED8F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1E06E7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2205C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428A25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9E6E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6802777">
      <w:pPr>
        <w:pStyle w:val="85"/>
        <w:ind w:left="0" w:leftChars="0" w:firstLine="0" w:firstLineChars="0"/>
        <w:rPr>
          <w:rFonts w:hint="eastAsia" w:ascii="仿宋" w:hAnsi="仿宋" w:eastAsia="仿宋" w:cs="仿宋"/>
          <w:kern w:val="0"/>
          <w:sz w:val="24"/>
          <w:lang w:val="zh-CN"/>
        </w:rPr>
      </w:pPr>
    </w:p>
    <w:p w14:paraId="399B61F0">
      <w:pPr>
        <w:pStyle w:val="23"/>
        <w:rPr>
          <w:rFonts w:hint="eastAsia" w:ascii="仿宋" w:hAnsi="仿宋" w:eastAsia="仿宋" w:cs="仿宋"/>
          <w:kern w:val="0"/>
          <w:sz w:val="24"/>
          <w:lang w:val="zh-CN"/>
        </w:rPr>
      </w:pPr>
    </w:p>
    <w:p w14:paraId="3991C14A">
      <w:pPr>
        <w:rPr>
          <w:rFonts w:hint="eastAsia"/>
          <w:lang w:val="zh-CN"/>
        </w:rPr>
      </w:pPr>
    </w:p>
    <w:p w14:paraId="167C2C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CBB5DF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B5120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43D401C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7CFF03F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3D7BF36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7D1ED50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E61188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3286C4C7">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5AC81EA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3726D86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98F40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A5CAD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48643C7">
      <w:pPr>
        <w:snapToGrid w:val="0"/>
        <w:spacing w:line="360" w:lineRule="auto"/>
        <w:rPr>
          <w:rFonts w:hint="eastAsia" w:ascii="仿宋" w:hAnsi="仿宋" w:eastAsia="仿宋" w:cs="仿宋"/>
          <w:kern w:val="0"/>
          <w:sz w:val="24"/>
          <w:lang w:val="zh-CN"/>
        </w:rPr>
      </w:pPr>
    </w:p>
    <w:p w14:paraId="2F37C707">
      <w:pPr>
        <w:snapToGrid w:val="0"/>
        <w:spacing w:line="360" w:lineRule="auto"/>
        <w:rPr>
          <w:rFonts w:hint="eastAsia" w:ascii="仿宋" w:hAnsi="仿宋" w:eastAsia="仿宋" w:cs="仿宋"/>
          <w:kern w:val="0"/>
          <w:sz w:val="24"/>
          <w:lang w:val="zh-CN"/>
        </w:rPr>
      </w:pPr>
    </w:p>
    <w:p w14:paraId="45CEE5D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F103456">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767C092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9C49DA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4F00F9C">
      <w:pPr>
        <w:snapToGrid w:val="0"/>
        <w:spacing w:line="360" w:lineRule="auto"/>
        <w:jc w:val="right"/>
        <w:rPr>
          <w:rFonts w:hint="eastAsia" w:ascii="仿宋" w:hAnsi="仿宋" w:eastAsia="仿宋" w:cs="仿宋"/>
          <w:kern w:val="0"/>
          <w:sz w:val="24"/>
          <w:lang w:val="zh-CN"/>
        </w:rPr>
      </w:pPr>
    </w:p>
    <w:p w14:paraId="4EE9ECEA">
      <w:pPr>
        <w:snapToGrid w:val="0"/>
        <w:spacing w:line="360" w:lineRule="auto"/>
        <w:rPr>
          <w:rFonts w:hint="eastAsia" w:ascii="仿宋" w:hAnsi="仿宋" w:eastAsia="仿宋" w:cs="仿宋"/>
          <w:sz w:val="24"/>
        </w:rPr>
      </w:pPr>
    </w:p>
    <w:p w14:paraId="4D5206A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696FA8F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501AB2C8">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070521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4AE7B59">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1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26D5D9">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74F2429">
            <w:pPr>
              <w:pStyle w:val="182"/>
              <w:adjustRightInd w:val="0"/>
              <w:spacing w:line="360" w:lineRule="auto"/>
              <w:rPr>
                <w:rFonts w:hint="eastAsia" w:ascii="仿宋" w:hAnsi="仿宋" w:eastAsia="仿宋" w:cs="仿宋"/>
                <w:bCs/>
                <w:sz w:val="24"/>
                <w:szCs w:val="21"/>
              </w:rPr>
            </w:pPr>
          </w:p>
        </w:tc>
      </w:tr>
    </w:tbl>
    <w:p w14:paraId="72B2BC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B2BF25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55961A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F2FA72A">
      <w:pPr>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6F9729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6A349E08">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FED511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E9D49C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AD9759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1DC0B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E11B5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18AE670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60495F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84BFCE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6835129">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59AE1C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94F7E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4892DF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E1A509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D2CBEEC">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D483AD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4C219A9">
      <w:pPr>
        <w:keepNext w:val="0"/>
        <w:keepLines w:val="0"/>
        <w:pageBreakBefore w:val="0"/>
        <w:widowControl/>
        <w:kinsoku/>
        <w:wordWrap/>
        <w:overflowPunct/>
        <w:topLinePunct w:val="0"/>
        <w:autoSpaceDE/>
        <w:autoSpaceDN/>
        <w:bidi w:val="0"/>
        <w:adjustRightInd w:val="0"/>
        <w:spacing w:line="420" w:lineRule="exact"/>
        <w:ind w:firstLine="600" w:firstLineChars="2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BB3C42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A070B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95F30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CC027B4">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3E2160E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8DC90B6">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735D7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41C7D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87DED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27F2F2">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58EA65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8DB6E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6B5B3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8F621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03193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3C7A3B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2E2B10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020DC0CB">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6EB21A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5409E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E34F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7B38B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711F6C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F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8DCDB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0F1B81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3F8BD8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4FA1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45002B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7044CCA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5CCB26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4DF5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35ADC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C8684C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6483F9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B7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0BE1AB7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CC7FE7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35F3A5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16E1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0EE0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B1F5E8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072907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6353F3F3">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94E19E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4A6C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D1CCC6C">
      <w:pPr>
        <w:jc w:val="center"/>
        <w:rPr>
          <w:rFonts w:hint="eastAsia" w:ascii="仿宋" w:hAnsi="仿宋" w:eastAsia="仿宋" w:cs="仿宋"/>
          <w:b/>
          <w:kern w:val="0"/>
          <w:sz w:val="32"/>
          <w:szCs w:val="32"/>
        </w:rPr>
      </w:pPr>
    </w:p>
    <w:p w14:paraId="5B02675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3F2DBF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78E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80D68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19B19E0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059AF7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3FF915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356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4D59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5DDC55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23E9B5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6761B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51A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38EB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D9E25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C06DF1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35597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B8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F3F3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0E36B4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4465692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1E7739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5F25E202">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8DE3F0D">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A89C2BF">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3E46D07">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105D6CDF">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085F14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8FBB330">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3F4B329">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27C06954">
      <w:pPr>
        <w:snapToGrid w:val="0"/>
        <w:spacing w:line="360" w:lineRule="auto"/>
        <w:rPr>
          <w:rFonts w:hint="eastAsia" w:ascii="仿宋" w:hAnsi="仿宋" w:eastAsia="仿宋" w:cs="仿宋"/>
          <w:sz w:val="24"/>
        </w:rPr>
      </w:pPr>
    </w:p>
    <w:p w14:paraId="50E4DFE5">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12D1CB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3343C3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26CD0F4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347CCC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E4127A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07A6E0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1D4381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ECA9AE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9BE05CA">
      <w:pPr>
        <w:autoSpaceDE w:val="0"/>
        <w:autoSpaceDN w:val="0"/>
        <w:spacing w:line="360" w:lineRule="auto"/>
        <w:ind w:left="2"/>
        <w:jc w:val="left"/>
        <w:rPr>
          <w:rFonts w:hint="eastAsia" w:ascii="仿宋" w:hAnsi="仿宋" w:eastAsia="仿宋" w:cs="仿宋"/>
          <w:kern w:val="0"/>
          <w:sz w:val="24"/>
          <w:lang w:val="zh-CN"/>
        </w:rPr>
      </w:pPr>
    </w:p>
    <w:p w14:paraId="43B0D158">
      <w:pPr>
        <w:autoSpaceDE w:val="0"/>
        <w:autoSpaceDN w:val="0"/>
        <w:spacing w:line="360" w:lineRule="auto"/>
        <w:ind w:left="2"/>
        <w:jc w:val="left"/>
        <w:rPr>
          <w:rFonts w:hint="eastAsia" w:ascii="仿宋" w:hAnsi="仿宋" w:eastAsia="仿宋" w:cs="仿宋"/>
          <w:kern w:val="0"/>
          <w:sz w:val="24"/>
          <w:lang w:val="zh-CN"/>
        </w:rPr>
      </w:pPr>
    </w:p>
    <w:p w14:paraId="15780174">
      <w:pPr>
        <w:autoSpaceDE w:val="0"/>
        <w:autoSpaceDN w:val="0"/>
        <w:spacing w:line="360" w:lineRule="auto"/>
        <w:ind w:left="2"/>
        <w:jc w:val="left"/>
        <w:rPr>
          <w:rFonts w:hint="eastAsia" w:ascii="仿宋" w:hAnsi="仿宋" w:eastAsia="仿宋" w:cs="仿宋"/>
          <w:kern w:val="0"/>
          <w:sz w:val="24"/>
          <w:lang w:val="zh-CN"/>
        </w:rPr>
      </w:pPr>
    </w:p>
    <w:p w14:paraId="5907A91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6B2CE49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F4BDAC0">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4AEB14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F6CF6A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AA4A898">
      <w:pPr>
        <w:spacing w:line="360" w:lineRule="auto"/>
        <w:jc w:val="center"/>
        <w:outlineLvl w:val="0"/>
        <w:rPr>
          <w:rFonts w:hint="eastAsia" w:ascii="仿宋" w:hAnsi="仿宋" w:eastAsia="仿宋" w:cs="仿宋"/>
          <w:b/>
          <w:kern w:val="0"/>
          <w:sz w:val="36"/>
          <w:szCs w:val="36"/>
        </w:rPr>
      </w:pPr>
    </w:p>
    <w:p w14:paraId="5EFD5C5F">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F2802EF">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8A740C">
      <w:pPr>
        <w:pStyle w:val="700"/>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0D9B20E">
      <w:pPr>
        <w:pStyle w:val="700"/>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DE81E8E">
      <w:pPr>
        <w:pStyle w:val="700"/>
        <w:keepNext w:val="0"/>
        <w:pageBreakBefore w:val="0"/>
        <w:numPr>
          <w:ilvl w:val="0"/>
          <w:numId w:val="6"/>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0E982C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
          <w:bCs w:val="0"/>
          <w:sz w:val="28"/>
          <w:szCs w:val="28"/>
          <w:lang w:val="en-US" w:eastAsia="zh-CN"/>
        </w:rPr>
      </w:pPr>
      <w:r>
        <w:rPr>
          <w:rFonts w:hint="eastAsia" w:ascii="仿宋" w:hAnsi="仿宋" w:eastAsia="仿宋"/>
          <w:b/>
          <w:bCs w:val="0"/>
          <w:sz w:val="28"/>
          <w:szCs w:val="28"/>
        </w:rPr>
        <w:t>项目名称：</w:t>
      </w:r>
      <w:r>
        <w:rPr>
          <w:rFonts w:hint="eastAsia" w:ascii="仿宋" w:hAnsi="仿宋" w:eastAsia="仿宋"/>
          <w:b/>
          <w:bCs w:val="0"/>
          <w:sz w:val="28"/>
          <w:szCs w:val="28"/>
          <w:lang w:val="en-US" w:eastAsia="zh-CN"/>
        </w:rPr>
        <w:t>次坞镇2025年度建设项目（水利水电除外）招标代理服务采购项目</w:t>
      </w:r>
    </w:p>
    <w:p w14:paraId="7289A0F4">
      <w:pPr>
        <w:shd w:val="clear" w:color="auto" w:fill="auto"/>
        <w:bidi w:val="0"/>
        <w:jc w:val="both"/>
        <w:rPr>
          <w:rFonts w:hint="eastAsia" w:ascii="仿宋" w:hAnsi="仿宋" w:eastAsia="仿宋"/>
          <w:b/>
          <w:bCs w:val="0"/>
          <w:sz w:val="28"/>
          <w:szCs w:val="28"/>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诸宸佳2025-**-**</w:t>
      </w:r>
    </w:p>
    <w:p w14:paraId="583CC846">
      <w:pPr>
        <w:shd w:val="clear" w:color="auto" w:fill="auto"/>
        <w:bidi w:val="0"/>
        <w:jc w:val="right"/>
        <w:rPr>
          <w:rFonts w:hint="eastAsia" w:ascii="仿宋" w:hAnsi="仿宋" w:eastAsia="仿宋" w:cs="仿宋"/>
          <w:b/>
          <w:color w:val="auto"/>
          <w:sz w:val="24"/>
          <w:szCs w:val="24"/>
          <w:highlight w:val="none"/>
        </w:rPr>
      </w:pPr>
    </w:p>
    <w:p w14:paraId="2B076245">
      <w:pPr>
        <w:shd w:val="clear" w:color="auto" w:fill="auto"/>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p>
    <w:tbl>
      <w:tblPr>
        <w:tblStyle w:val="65"/>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85"/>
        <w:gridCol w:w="2318"/>
        <w:gridCol w:w="2045"/>
        <w:gridCol w:w="2359"/>
      </w:tblGrid>
      <w:tr w14:paraId="67EF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23EF6573">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2385" w:type="dxa"/>
            <w:vMerge w:val="restart"/>
            <w:noWrap w:val="0"/>
            <w:vAlign w:val="center"/>
          </w:tcPr>
          <w:p w14:paraId="7FF49479">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2318" w:type="dxa"/>
            <w:vMerge w:val="restart"/>
            <w:noWrap w:val="0"/>
            <w:vAlign w:val="center"/>
          </w:tcPr>
          <w:p w14:paraId="45E5D35E">
            <w:pPr>
              <w:shd w:val="clear" w:color="auto" w:fill="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zh-CN" w:eastAsia="zh-CN"/>
              </w:rPr>
              <w:t>具体服务</w:t>
            </w:r>
          </w:p>
        </w:tc>
        <w:tc>
          <w:tcPr>
            <w:tcW w:w="4404" w:type="dxa"/>
            <w:gridSpan w:val="2"/>
            <w:noWrap w:val="0"/>
            <w:vAlign w:val="center"/>
          </w:tcPr>
          <w:p w14:paraId="48967AA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折扣（百分比）</w:t>
            </w:r>
          </w:p>
        </w:tc>
      </w:tr>
      <w:tr w14:paraId="59D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114539FD">
            <w:pPr>
              <w:shd w:val="clear" w:color="auto" w:fill="auto"/>
              <w:jc w:val="center"/>
              <w:rPr>
                <w:rFonts w:hint="eastAsia" w:ascii="仿宋" w:hAnsi="仿宋" w:eastAsia="仿宋" w:cs="仿宋"/>
                <w:color w:val="auto"/>
                <w:sz w:val="24"/>
                <w:szCs w:val="24"/>
                <w:highlight w:val="none"/>
              </w:rPr>
            </w:pPr>
          </w:p>
        </w:tc>
        <w:tc>
          <w:tcPr>
            <w:tcW w:w="2385" w:type="dxa"/>
            <w:vMerge w:val="continue"/>
            <w:noWrap w:val="0"/>
            <w:vAlign w:val="center"/>
          </w:tcPr>
          <w:p w14:paraId="1F685128">
            <w:pPr>
              <w:shd w:val="clear" w:color="auto" w:fill="auto"/>
              <w:jc w:val="center"/>
              <w:rPr>
                <w:rFonts w:hint="eastAsia" w:ascii="仿宋" w:hAnsi="仿宋" w:eastAsia="仿宋" w:cs="仿宋"/>
                <w:color w:val="auto"/>
                <w:sz w:val="24"/>
                <w:szCs w:val="24"/>
                <w:highlight w:val="none"/>
              </w:rPr>
            </w:pPr>
          </w:p>
        </w:tc>
        <w:tc>
          <w:tcPr>
            <w:tcW w:w="2318" w:type="dxa"/>
            <w:vMerge w:val="continue"/>
            <w:noWrap w:val="0"/>
            <w:vAlign w:val="center"/>
          </w:tcPr>
          <w:p w14:paraId="0A539574">
            <w:pPr>
              <w:shd w:val="clear" w:color="auto" w:fill="auto"/>
              <w:jc w:val="center"/>
              <w:rPr>
                <w:rFonts w:hint="eastAsia" w:ascii="仿宋" w:hAnsi="仿宋" w:eastAsia="仿宋" w:cs="仿宋"/>
                <w:b/>
                <w:color w:val="auto"/>
                <w:sz w:val="24"/>
                <w:szCs w:val="24"/>
                <w:highlight w:val="none"/>
              </w:rPr>
            </w:pPr>
          </w:p>
        </w:tc>
        <w:tc>
          <w:tcPr>
            <w:tcW w:w="2045" w:type="dxa"/>
            <w:noWrap w:val="0"/>
            <w:vAlign w:val="center"/>
          </w:tcPr>
          <w:p w14:paraId="387F6AF1">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359" w:type="dxa"/>
            <w:noWrap w:val="0"/>
            <w:vAlign w:val="center"/>
          </w:tcPr>
          <w:p w14:paraId="241D33F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7C80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1D478A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2385" w:type="dxa"/>
            <w:noWrap w:val="0"/>
            <w:vAlign w:val="center"/>
          </w:tcPr>
          <w:p w14:paraId="659A9889">
            <w:pPr>
              <w:shd w:val="clear" w:color="auto" w:fill="auto"/>
              <w:jc w:val="center"/>
              <w:rPr>
                <w:rFonts w:hint="eastAsia" w:ascii="仿宋" w:hAnsi="仿宋" w:eastAsia="仿宋" w:cs="仿宋"/>
                <w:color w:val="auto"/>
                <w:sz w:val="24"/>
                <w:szCs w:val="24"/>
                <w:highlight w:val="none"/>
                <w:lang w:eastAsia="zh-CN"/>
              </w:rPr>
            </w:pPr>
          </w:p>
        </w:tc>
        <w:tc>
          <w:tcPr>
            <w:tcW w:w="2318" w:type="dxa"/>
            <w:noWrap w:val="0"/>
            <w:vAlign w:val="center"/>
          </w:tcPr>
          <w:p w14:paraId="2C54F87F">
            <w:pPr>
              <w:shd w:val="clear" w:color="auto" w:fill="auto"/>
              <w:spacing w:line="700" w:lineRule="exact"/>
              <w:jc w:val="center"/>
              <w:rPr>
                <w:rFonts w:hint="eastAsia" w:ascii="仿宋" w:hAnsi="仿宋" w:eastAsia="仿宋" w:cs="仿宋"/>
                <w:color w:val="auto"/>
                <w:sz w:val="24"/>
                <w:szCs w:val="24"/>
                <w:highlight w:val="none"/>
                <w:u w:val="single"/>
                <w:lang w:val="en-US" w:eastAsia="zh-CN"/>
              </w:rPr>
            </w:pPr>
          </w:p>
        </w:tc>
        <w:tc>
          <w:tcPr>
            <w:tcW w:w="2045" w:type="dxa"/>
            <w:noWrap w:val="0"/>
            <w:vAlign w:val="center"/>
          </w:tcPr>
          <w:p w14:paraId="585B7653">
            <w:pPr>
              <w:shd w:val="clear" w:color="auto" w:fill="auto"/>
              <w:spacing w:line="700" w:lineRule="exact"/>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tc>
        <w:tc>
          <w:tcPr>
            <w:tcW w:w="2359" w:type="dxa"/>
            <w:noWrap w:val="0"/>
            <w:vAlign w:val="center"/>
          </w:tcPr>
          <w:p w14:paraId="679CC6AC">
            <w:pPr>
              <w:shd w:val="clear" w:color="auto" w:fill="auto"/>
              <w:spacing w:line="7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p>
        </w:tc>
      </w:tr>
    </w:tbl>
    <w:p w14:paraId="665F3711">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216C0A38">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E010F6C">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6A85E758">
      <w:pPr>
        <w:pStyle w:val="23"/>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630D1C6B">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1、投标人需按本表格式填写，单位统一均为</w:t>
      </w:r>
      <w:r>
        <w:rPr>
          <w:rFonts w:hint="eastAsia" w:ascii="仿宋" w:hAnsi="仿宋" w:eastAsia="仿宋" w:cs="仿宋"/>
          <w:bCs/>
          <w:kern w:val="0"/>
          <w:sz w:val="24"/>
          <w:szCs w:val="21"/>
          <w:lang w:val="en-US" w:eastAsia="zh-CN" w:bidi="ar-SA"/>
        </w:rPr>
        <w:t>折扣</w:t>
      </w:r>
      <w:r>
        <w:rPr>
          <w:rFonts w:hint="eastAsia" w:ascii="仿宋" w:hAnsi="仿宋" w:eastAsia="仿宋" w:cs="仿宋"/>
          <w:bCs/>
          <w:kern w:val="0"/>
          <w:sz w:val="24"/>
          <w:szCs w:val="21"/>
          <w:lang w:val="zh-CN" w:eastAsia="zh-CN" w:bidi="ar-SA"/>
        </w:rPr>
        <w:t>百分比（%）。</w:t>
      </w:r>
    </w:p>
    <w:p w14:paraId="6D9E02B9">
      <w:pPr>
        <w:pStyle w:val="23"/>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07229B3F">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70C719C0">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3A12A8E8">
      <w:pPr>
        <w:pStyle w:val="23"/>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1BD933">
      <w:pPr>
        <w:pStyle w:val="700"/>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02C235BB">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FAA4908">
      <w:pPr>
        <w:tabs>
          <w:tab w:val="left" w:pos="8085"/>
        </w:tabs>
        <w:spacing w:line="360" w:lineRule="auto"/>
        <w:ind w:firstLine="1285" w:firstLineChars="400"/>
        <w:jc w:val="left"/>
        <w:rPr>
          <w:rFonts w:hint="eastAsia" w:ascii="仿宋" w:hAnsi="仿宋" w:eastAsia="仿宋" w:cs="仿宋"/>
          <w:b/>
          <w:sz w:val="32"/>
          <w:szCs w:val="32"/>
        </w:rPr>
        <w:sectPr>
          <w:headerReference r:id="rId20" w:type="default"/>
          <w:footerReference r:id="rId2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A66AEA1">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36E8F6C9">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8271394">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C7BA55">
      <w:pPr>
        <w:pStyle w:val="2"/>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426F16A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40823D5">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4A45D1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298E3F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37150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6DA37E3">
      <w:pPr>
        <w:spacing w:line="360" w:lineRule="auto"/>
        <w:ind w:firstLine="480" w:firstLineChars="200"/>
        <w:rPr>
          <w:rFonts w:hint="eastAsia" w:ascii="仿宋" w:hAnsi="仿宋" w:eastAsia="仿宋" w:cs="仿宋"/>
          <w:sz w:val="24"/>
        </w:rPr>
      </w:pPr>
    </w:p>
    <w:p w14:paraId="52DA4C50">
      <w:pPr>
        <w:spacing w:line="360" w:lineRule="auto"/>
        <w:ind w:firstLine="480" w:firstLineChars="200"/>
        <w:rPr>
          <w:rFonts w:hint="eastAsia" w:ascii="仿宋" w:hAnsi="仿宋" w:eastAsia="仿宋" w:cs="仿宋"/>
          <w:sz w:val="24"/>
        </w:rPr>
      </w:pPr>
    </w:p>
    <w:p w14:paraId="414E7FB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561593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D6043CD">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D57068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496D0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12B80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DC4B23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1C1411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BCDAF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2728A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31B717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AD6EC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26B4E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9695FD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8EDAA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99701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8716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59CF79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B2771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09DCC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34956FA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8C73D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D9BB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127B95A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2C6B6EE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6CC680B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4AD623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44EAC5DD">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D2E0A0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6B13C2D5">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3233AF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3A9D43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2F44C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B8F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3DB2F1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2788D75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383D5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41791E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B4C19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8A29C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1CAF3CA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9419C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155FAE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2AC426B">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FF3A4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D025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9D19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590A0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AD43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7B61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19A8B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564F7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669A52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539DB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AE63E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01EB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02A25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26DE8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356D2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C82B12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365E3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6C490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45C525B5">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66B8AE9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3C79213">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4E07C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B8206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4B5F63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DE1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8A58B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AB12B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DDCB86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16873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4C0356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E193E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3A207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3B1A59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2E1811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04EC9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F2D6B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93ADDB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FFDBF96">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16793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D5378A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44A765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7FF34E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9D0FFE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06738FB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6A4BD2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AF08F33">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D3F3E23">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6BF2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60CDF9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73CAB6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D9A68D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277766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AA976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0BAA21C">
      <w:pPr>
        <w:ind w:right="420" w:firstLine="5880" w:firstLineChars="2450"/>
        <w:jc w:val="left"/>
        <w:rPr>
          <w:rFonts w:hint="eastAsia" w:ascii="仿宋" w:hAnsi="仿宋" w:eastAsia="仿宋" w:cs="仿宋"/>
          <w:color w:val="auto"/>
          <w:sz w:val="24"/>
          <w:highlight w:val="none"/>
        </w:rPr>
      </w:pPr>
    </w:p>
    <w:p w14:paraId="322EBDEA">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7EFC463F">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0DE19C7A">
      <w:pPr>
        <w:rPr>
          <w:rFonts w:hint="eastAsia" w:ascii="仿宋" w:hAnsi="仿宋" w:eastAsia="仿宋" w:cs="仿宋"/>
          <w:b/>
          <w:bCs/>
          <w:color w:val="auto"/>
          <w:sz w:val="24"/>
        </w:rPr>
      </w:pPr>
    </w:p>
    <w:p w14:paraId="61634E7A">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13A67AA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1DBC315E">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bookmarkEnd w:id="24"/>
    <w:p w14:paraId="124AD431">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p>
    <w:sectPr>
      <w:headerReference r:id="rId22" w:type="default"/>
      <w:footerReference r:id="rId23"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41DA">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DF531">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FDF531">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9468">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BE9468">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450">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39"/>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13E6">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13E6">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9FB8">
    <w:pPr>
      <w:pStyle w:val="39"/>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06108">
                          <w:pPr>
                            <w:pStyle w:val="3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8FHOt0BAAC+AwAADgAAAGRycy9lMm9Eb2MueG1srVPNjtMwEL4j8Q6W&#10;7zTZroS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vBRzrdAQAAvgMAAA4AAAAAAAAA&#10;AQAgAAAAHgEAAGRycy9lMm9Eb2MueG1sUEsFBgAAAAAGAAYAWQEAAG0FAAAAAA==&#10;">
              <v:fill on="f" focussize="0,0"/>
              <v:stroke on="f"/>
              <v:imagedata o:title=""/>
              <o:lock v:ext="edit" aspectratio="f"/>
              <v:textbox inset="0mm,0mm,0mm,0mm" style="mso-fit-shape-to-text:t;">
                <w:txbxContent>
                  <w:p w14:paraId="6E106108">
                    <w:pPr>
                      <w:pStyle w:val="3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9D95">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79C7">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B79C7">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11B2D97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7E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3216F">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03216F">
                    <w:pPr>
                      <w:pStyle w:val="39"/>
                    </w:pPr>
                    <w:r>
                      <w:fldChar w:fldCharType="begin"/>
                    </w:r>
                    <w:r>
                      <w:instrText xml:space="preserve"> PAGE  \* MERGEFORMAT </w:instrText>
                    </w:r>
                    <w:r>
                      <w:fldChar w:fldCharType="separate"/>
                    </w:r>
                    <w:r>
                      <w:t>42</w:t>
                    </w:r>
                    <w:r>
                      <w:fldChar w:fldCharType="end"/>
                    </w:r>
                  </w:p>
                </w:txbxContent>
              </v:textbox>
            </v:shape>
          </w:pict>
        </mc:Fallback>
      </mc:AlternateContent>
    </w:r>
  </w:p>
  <w:p w14:paraId="1A741E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0C8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304A6">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1304A6">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54BAED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B7A4">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AB72A">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AB72A">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66BEA0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1"/>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1"/>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1"/>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1"/>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F18E">
    <w:pPr>
      <w:pStyle w:val="41"/>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p w14:paraId="1DF73AEB">
    <w:pPr>
      <w:pStyle w:val="41"/>
      <w:pBdr>
        <w:bottom w:val="none" w:color="auto" w:sz="0" w:space="0"/>
      </w:pBdr>
      <w:rPr>
        <w:rFonts w:hint="eastAsia" w:ascii="宋体" w:hAnsi="宋体" w:eastAsia="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CB22">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569817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E5FC">
    <w:pPr>
      <w:pStyle w:val="41"/>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3805">
    <w:pPr>
      <w:pStyle w:val="41"/>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3194">
    <w:pPr>
      <w:pStyle w:val="41"/>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8865">
    <w:pPr>
      <w:pStyle w:val="41"/>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707"/>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353B06"/>
    <w:rsid w:val="036634D2"/>
    <w:rsid w:val="03727229"/>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4FB4DD3"/>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93CEF"/>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253B3C"/>
    <w:rsid w:val="0A3E7710"/>
    <w:rsid w:val="0A4E07C6"/>
    <w:rsid w:val="0A5B7E63"/>
    <w:rsid w:val="0A7A3815"/>
    <w:rsid w:val="0AA374A5"/>
    <w:rsid w:val="0AA464C8"/>
    <w:rsid w:val="0AAB7649"/>
    <w:rsid w:val="0ABC5606"/>
    <w:rsid w:val="0B0125E2"/>
    <w:rsid w:val="0B1F543F"/>
    <w:rsid w:val="0B30404E"/>
    <w:rsid w:val="0B36793D"/>
    <w:rsid w:val="0B4C6C14"/>
    <w:rsid w:val="0B4F72C7"/>
    <w:rsid w:val="0B631A88"/>
    <w:rsid w:val="0B683D45"/>
    <w:rsid w:val="0B7F3F11"/>
    <w:rsid w:val="0B884417"/>
    <w:rsid w:val="0B9223F8"/>
    <w:rsid w:val="0BC31A7A"/>
    <w:rsid w:val="0BED360C"/>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56A7A"/>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05026"/>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0F1347"/>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581B"/>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5646C4"/>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26A72"/>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8EE7D7E"/>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91112"/>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8933CD"/>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0F6011"/>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610F57"/>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8847ED"/>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32112"/>
    <w:rsid w:val="57CD20C2"/>
    <w:rsid w:val="57CD248A"/>
    <w:rsid w:val="57D675AB"/>
    <w:rsid w:val="57D95FDD"/>
    <w:rsid w:val="58150BC0"/>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9086E"/>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4E09EE"/>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C11FBF"/>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3D66E19"/>
    <w:rsid w:val="73DA33E9"/>
    <w:rsid w:val="7414117C"/>
    <w:rsid w:val="742222F5"/>
    <w:rsid w:val="742E4611"/>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55585"/>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87A97"/>
    <w:rsid w:val="7B5A2978"/>
    <w:rsid w:val="7B5A7E4C"/>
    <w:rsid w:val="7B667AF9"/>
    <w:rsid w:val="7B7468F8"/>
    <w:rsid w:val="7BA81073"/>
    <w:rsid w:val="7BEE0103"/>
    <w:rsid w:val="7C0A0FE4"/>
    <w:rsid w:val="7C254906"/>
    <w:rsid w:val="7C421432"/>
    <w:rsid w:val="7C590818"/>
    <w:rsid w:val="7C7C10F6"/>
    <w:rsid w:val="7C853BEA"/>
    <w:rsid w:val="7C881368"/>
    <w:rsid w:val="7C9E6B26"/>
    <w:rsid w:val="7CAA102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664E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iPriority="99" w:semiHidden="0"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6"/>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1"/>
    <w:autoRedefine/>
    <w:qFormat/>
    <w:uiPriority w:val="99"/>
    <w:pPr>
      <w:shd w:val="clear" w:color="auto" w:fill="000080"/>
    </w:pPr>
    <w:rPr>
      <w:sz w:val="24"/>
      <w:szCs w:val="20"/>
    </w:rPr>
  </w:style>
  <w:style w:type="paragraph" w:styleId="19">
    <w:name w:val="annotation text"/>
    <w:basedOn w:val="1"/>
    <w:link w:val="359"/>
    <w:autoRedefine/>
    <w:qFormat/>
    <w:uiPriority w:val="99"/>
    <w:pPr>
      <w:jc w:val="left"/>
    </w:pPr>
    <w:rPr>
      <w:sz w:val="24"/>
      <w:szCs w:val="20"/>
    </w:rPr>
  </w:style>
  <w:style w:type="paragraph" w:styleId="20">
    <w:name w:val="Salutation"/>
    <w:basedOn w:val="1"/>
    <w:next w:val="1"/>
    <w:link w:val="103"/>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link w:val="99"/>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5"/>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23"/>
    <w:link w:val="107"/>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8"/>
    <w:autoRedefine/>
    <w:qFormat/>
    <w:uiPriority w:val="99"/>
    <w:pPr>
      <w:ind w:left="100" w:leftChars="2500"/>
    </w:pPr>
    <w:rPr>
      <w:rFonts w:ascii="宋体"/>
      <w:sz w:val="24"/>
      <w:szCs w:val="21"/>
      <w:lang w:val="zh-CN"/>
    </w:rPr>
  </w:style>
  <w:style w:type="paragraph" w:styleId="36">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10"/>
    <w:autoRedefine/>
    <w:qFormat/>
    <w:uiPriority w:val="99"/>
    <w:rPr>
      <w:lang w:val="zh-CN"/>
    </w:rPr>
  </w:style>
  <w:style w:type="paragraph" w:styleId="38">
    <w:name w:val="Balloon Text"/>
    <w:basedOn w:val="1"/>
    <w:link w:val="217"/>
    <w:autoRedefine/>
    <w:qFormat/>
    <w:uiPriority w:val="99"/>
    <w:rPr>
      <w:sz w:val="18"/>
      <w:szCs w:val="20"/>
    </w:rPr>
  </w:style>
  <w:style w:type="paragraph" w:styleId="39">
    <w:name w:val="footer"/>
    <w:basedOn w:val="1"/>
    <w:link w:val="395"/>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7"/>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able of figures"/>
    <w:basedOn w:val="1"/>
    <w:next w:val="1"/>
    <w:unhideWhenUsed/>
    <w:qFormat/>
    <w:locked/>
    <w:uiPriority w:val="99"/>
    <w:pPr>
      <w:tabs>
        <w:tab w:val="left" w:pos="1270"/>
      </w:tabs>
      <w:spacing w:line="360" w:lineRule="auto"/>
      <w:ind w:left="1270" w:hanging="420"/>
      <w:jc w:val="left"/>
    </w:pPr>
    <w:rPr>
      <w:smallCaps/>
      <w:sz w:val="20"/>
      <w:szCs w:val="20"/>
    </w:r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8"/>
    <w:autoRedefine/>
    <w:qFormat/>
    <w:uiPriority w:val="99"/>
    <w:pPr>
      <w:spacing w:after="120" w:line="480" w:lineRule="auto"/>
    </w:pPr>
  </w:style>
  <w:style w:type="paragraph" w:styleId="59">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21"/>
    <w:autoRedefine/>
    <w:qFormat/>
    <w:uiPriority w:val="99"/>
    <w:rPr>
      <w:b/>
      <w:bCs/>
    </w:rPr>
  </w:style>
  <w:style w:type="paragraph" w:styleId="63">
    <w:name w:val="Body Text First Indent"/>
    <w:basedOn w:val="23"/>
    <w:next w:val="51"/>
    <w:link w:val="100"/>
    <w:autoRedefine/>
    <w:qFormat/>
    <w:uiPriority w:val="99"/>
    <w:pPr>
      <w:ind w:firstLine="420"/>
    </w:pPr>
    <w:rPr>
      <w:rFonts w:hAnsi="Times New Roman" w:cs="Times New Roman"/>
      <w:szCs w:val="20"/>
    </w:rPr>
  </w:style>
  <w:style w:type="paragraph" w:styleId="64">
    <w:name w:val="Body Text First Indent 2"/>
    <w:basedOn w:val="24"/>
    <w:link w:val="122"/>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2"/>
    <w:link w:val="2"/>
    <w:autoRedefine/>
    <w:qFormat/>
    <w:locked/>
    <w:uiPriority w:val="99"/>
    <w:rPr>
      <w:rFonts w:ascii="Times New Roman" w:hAnsi="Times New Roman" w:eastAsia="黑体" w:cs="Times New Roman"/>
      <w:b/>
      <w:kern w:val="0"/>
      <w:sz w:val="24"/>
    </w:rPr>
  </w:style>
  <w:style w:type="character" w:customStyle="1" w:styleId="91">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2"/>
    <w:link w:val="4"/>
    <w:autoRedefine/>
    <w:semiHidden/>
    <w:qFormat/>
    <w:locked/>
    <w:uiPriority w:val="99"/>
    <w:rPr>
      <w:rFonts w:cs="Times New Roman"/>
      <w:b/>
      <w:bCs/>
      <w:sz w:val="32"/>
      <w:szCs w:val="32"/>
    </w:rPr>
  </w:style>
  <w:style w:type="character" w:customStyle="1" w:styleId="93">
    <w:name w:val="Heading 4 Char"/>
    <w:basedOn w:val="72"/>
    <w:link w:val="5"/>
    <w:autoRedefine/>
    <w:qFormat/>
    <w:locked/>
    <w:uiPriority w:val="99"/>
    <w:rPr>
      <w:rFonts w:ascii="Arial" w:hAnsi="Arial" w:eastAsia="黑体" w:cs="Times New Roman"/>
      <w:b/>
      <w:kern w:val="2"/>
      <w:sz w:val="28"/>
      <w:lang w:val="zh-CN"/>
    </w:rPr>
  </w:style>
  <w:style w:type="character" w:customStyle="1" w:styleId="94">
    <w:name w:val="Heading 5 Char"/>
    <w:basedOn w:val="72"/>
    <w:link w:val="6"/>
    <w:autoRedefine/>
    <w:qFormat/>
    <w:locked/>
    <w:uiPriority w:val="99"/>
    <w:rPr>
      <w:rFonts w:cs="Times New Roman"/>
      <w:b/>
      <w:kern w:val="2"/>
      <w:sz w:val="28"/>
    </w:rPr>
  </w:style>
  <w:style w:type="character" w:customStyle="1" w:styleId="95">
    <w:name w:val="Heading 6 Char"/>
    <w:basedOn w:val="72"/>
    <w:link w:val="7"/>
    <w:autoRedefine/>
    <w:qFormat/>
    <w:locked/>
    <w:uiPriority w:val="99"/>
    <w:rPr>
      <w:rFonts w:ascii="Arial" w:hAnsi="Arial" w:eastAsia="黑体" w:cs="Times New Roman"/>
      <w:b/>
      <w:kern w:val="2"/>
      <w:sz w:val="24"/>
    </w:rPr>
  </w:style>
  <w:style w:type="character" w:customStyle="1" w:styleId="96">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2"/>
    <w:link w:val="9"/>
    <w:autoRedefine/>
    <w:qFormat/>
    <w:locked/>
    <w:uiPriority w:val="99"/>
    <w:rPr>
      <w:rFonts w:ascii="Arial" w:hAnsi="Arial" w:eastAsia="黑体" w:cs="Times New Roman"/>
      <w:kern w:val="2"/>
      <w:sz w:val="24"/>
    </w:rPr>
  </w:style>
  <w:style w:type="character" w:customStyle="1" w:styleId="98">
    <w:name w:val="Heading 9 Char"/>
    <w:basedOn w:val="72"/>
    <w:link w:val="10"/>
    <w:autoRedefine/>
    <w:qFormat/>
    <w:locked/>
    <w:uiPriority w:val="99"/>
    <w:rPr>
      <w:rFonts w:ascii="Arial" w:hAnsi="Arial" w:eastAsia="黑体" w:cs="Times New Roman"/>
      <w:kern w:val="2"/>
      <w:sz w:val="21"/>
    </w:rPr>
  </w:style>
  <w:style w:type="character" w:customStyle="1" w:styleId="99">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63"/>
    <w:autoRedefine/>
    <w:qFormat/>
    <w:locked/>
    <w:uiPriority w:val="99"/>
    <w:rPr>
      <w:sz w:val="24"/>
    </w:rPr>
  </w:style>
  <w:style w:type="character" w:customStyle="1" w:styleId="101">
    <w:name w:val="Document Map Char"/>
    <w:basedOn w:val="72"/>
    <w:link w:val="18"/>
    <w:autoRedefine/>
    <w:qFormat/>
    <w:locked/>
    <w:uiPriority w:val="99"/>
    <w:rPr>
      <w:rFonts w:eastAsia="宋体" w:cs="Times New Roman"/>
      <w:kern w:val="2"/>
      <w:sz w:val="24"/>
      <w:lang w:val="en-US" w:eastAsia="zh-CN"/>
    </w:rPr>
  </w:style>
  <w:style w:type="character" w:customStyle="1" w:styleId="102">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3">
    <w:name w:val="Salutation Char"/>
    <w:basedOn w:val="72"/>
    <w:link w:val="20"/>
    <w:autoRedefine/>
    <w:qFormat/>
    <w:locked/>
    <w:uiPriority w:val="99"/>
    <w:rPr>
      <w:rFonts w:ascii="仿宋_GB2312" w:eastAsia="仿宋_GB2312" w:cs="Times New Roman"/>
      <w:kern w:val="2"/>
      <w:sz w:val="28"/>
    </w:rPr>
  </w:style>
  <w:style w:type="character" w:customStyle="1" w:styleId="104">
    <w:name w:val="Body Text 3 Char"/>
    <w:basedOn w:val="72"/>
    <w:autoRedefine/>
    <w:qFormat/>
    <w:locked/>
    <w:uiPriority w:val="99"/>
    <w:rPr>
      <w:rFonts w:cs="Times New Roman"/>
      <w:kern w:val="2"/>
      <w:sz w:val="21"/>
    </w:rPr>
  </w:style>
  <w:style w:type="character" w:customStyle="1" w:styleId="105">
    <w:name w:val="Body Text Indent Char"/>
    <w:basedOn w:val="72"/>
    <w:link w:val="24"/>
    <w:autoRedefine/>
    <w:qFormat/>
    <w:locked/>
    <w:uiPriority w:val="99"/>
    <w:rPr>
      <w:rFonts w:ascii="宋体" w:eastAsia="宋体" w:cs="Times New Roman"/>
      <w:kern w:val="2"/>
      <w:sz w:val="24"/>
    </w:rPr>
  </w:style>
  <w:style w:type="character" w:customStyle="1" w:styleId="106">
    <w:name w:val="HTML Address Char"/>
    <w:basedOn w:val="72"/>
    <w:link w:val="29"/>
    <w:autoRedefine/>
    <w:qFormat/>
    <w:locked/>
    <w:uiPriority w:val="99"/>
    <w:rPr>
      <w:rFonts w:ascii="宋体" w:eastAsia="宋体" w:cs="Times New Roman"/>
      <w:i/>
      <w:sz w:val="24"/>
    </w:rPr>
  </w:style>
  <w:style w:type="character" w:customStyle="1" w:styleId="107">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2"/>
    <w:link w:val="35"/>
    <w:autoRedefine/>
    <w:qFormat/>
    <w:locked/>
    <w:uiPriority w:val="99"/>
    <w:rPr>
      <w:rFonts w:ascii="宋体" w:cs="Times New Roman"/>
      <w:kern w:val="2"/>
      <w:sz w:val="21"/>
      <w:lang w:val="zh-CN"/>
    </w:rPr>
  </w:style>
  <w:style w:type="character" w:customStyle="1" w:styleId="109">
    <w:name w:val="Body Text Indent 2 Char"/>
    <w:basedOn w:val="72"/>
    <w:link w:val="36"/>
    <w:autoRedefine/>
    <w:qFormat/>
    <w:locked/>
    <w:uiPriority w:val="99"/>
    <w:rPr>
      <w:rFonts w:ascii="宋体" w:cs="Times New Roman"/>
      <w:sz w:val="28"/>
    </w:rPr>
  </w:style>
  <w:style w:type="character" w:customStyle="1" w:styleId="110">
    <w:name w:val="Endnote Text Char"/>
    <w:basedOn w:val="72"/>
    <w:link w:val="37"/>
    <w:autoRedefine/>
    <w:qFormat/>
    <w:locked/>
    <w:uiPriority w:val="99"/>
    <w:rPr>
      <w:rFonts w:cs="Times New Roman"/>
      <w:kern w:val="2"/>
      <w:sz w:val="24"/>
      <w:lang w:val="zh-CN"/>
    </w:rPr>
  </w:style>
  <w:style w:type="character" w:customStyle="1" w:styleId="111">
    <w:name w:val="Balloon Text Char"/>
    <w:basedOn w:val="72"/>
    <w:link w:val="38"/>
    <w:autoRedefine/>
    <w:qFormat/>
    <w:locked/>
    <w:uiPriority w:val="99"/>
    <w:rPr>
      <w:rFonts w:eastAsia="宋体" w:cs="Times New Roman"/>
      <w:kern w:val="2"/>
      <w:sz w:val="18"/>
      <w:lang w:val="en-US" w:eastAsia="zh-CN"/>
    </w:rPr>
  </w:style>
  <w:style w:type="character" w:customStyle="1" w:styleId="112">
    <w:name w:val="Footer Char"/>
    <w:basedOn w:val="72"/>
    <w:link w:val="39"/>
    <w:autoRedefine/>
    <w:qFormat/>
    <w:locked/>
    <w:uiPriority w:val="99"/>
    <w:rPr>
      <w:rFonts w:eastAsia="宋体" w:cs="Times New Roman"/>
      <w:kern w:val="2"/>
      <w:sz w:val="18"/>
      <w:lang w:val="en-US" w:eastAsia="zh-CN"/>
    </w:rPr>
  </w:style>
  <w:style w:type="character" w:customStyle="1" w:styleId="113">
    <w:name w:val="Header Char"/>
    <w:basedOn w:val="72"/>
    <w:link w:val="41"/>
    <w:autoRedefine/>
    <w:qFormat/>
    <w:locked/>
    <w:uiPriority w:val="99"/>
    <w:rPr>
      <w:rFonts w:eastAsia="宋体" w:cs="Times New Roman"/>
      <w:kern w:val="2"/>
      <w:sz w:val="18"/>
      <w:lang w:val="en-US" w:eastAsia="zh-CN"/>
    </w:rPr>
  </w:style>
  <w:style w:type="character" w:customStyle="1" w:styleId="114">
    <w:name w:val="Signature Char"/>
    <w:basedOn w:val="72"/>
    <w:link w:val="42"/>
    <w:autoRedefine/>
    <w:qFormat/>
    <w:locked/>
    <w:uiPriority w:val="99"/>
    <w:rPr>
      <w:rFonts w:eastAsia="仿宋_GB2312" w:cs="Times New Roman"/>
      <w:sz w:val="24"/>
    </w:rPr>
  </w:style>
  <w:style w:type="character" w:customStyle="1" w:styleId="115">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2"/>
    <w:link w:val="50"/>
    <w:autoRedefine/>
    <w:qFormat/>
    <w:locked/>
    <w:uiPriority w:val="99"/>
    <w:rPr>
      <w:rFonts w:cs="Times New Roman"/>
      <w:color w:val="0000FF"/>
      <w:sz w:val="21"/>
    </w:rPr>
  </w:style>
  <w:style w:type="character" w:customStyle="1" w:styleId="117">
    <w:name w:val="Body Text Indent 3 Char"/>
    <w:basedOn w:val="72"/>
    <w:link w:val="53"/>
    <w:autoRedefine/>
    <w:qFormat/>
    <w:locked/>
    <w:uiPriority w:val="99"/>
    <w:rPr>
      <w:rFonts w:cs="Times New Roman"/>
      <w:kern w:val="2"/>
      <w:sz w:val="24"/>
    </w:rPr>
  </w:style>
  <w:style w:type="character" w:customStyle="1" w:styleId="118">
    <w:name w:val="Body Text 2 Char"/>
    <w:basedOn w:val="72"/>
    <w:link w:val="58"/>
    <w:autoRedefine/>
    <w:qFormat/>
    <w:locked/>
    <w:uiPriority w:val="99"/>
    <w:rPr>
      <w:rFonts w:cs="Times New Roman"/>
      <w:kern w:val="2"/>
      <w:sz w:val="24"/>
    </w:rPr>
  </w:style>
  <w:style w:type="character" w:customStyle="1" w:styleId="119">
    <w:name w:val="HTML Preformatted Char"/>
    <w:basedOn w:val="72"/>
    <w:link w:val="59"/>
    <w:autoRedefine/>
    <w:qFormat/>
    <w:locked/>
    <w:uiPriority w:val="99"/>
    <w:rPr>
      <w:rFonts w:ascii="黑体" w:hAnsi="Courier New" w:eastAsia="黑体" w:cs="Times New Roman"/>
    </w:rPr>
  </w:style>
  <w:style w:type="character" w:customStyle="1" w:styleId="120">
    <w:name w:val="Title Char"/>
    <w:basedOn w:val="72"/>
    <w:link w:val="61"/>
    <w:autoRedefine/>
    <w:qFormat/>
    <w:locked/>
    <w:uiPriority w:val="99"/>
    <w:rPr>
      <w:rFonts w:cs="Times New Roman"/>
      <w:b/>
      <w:sz w:val="24"/>
      <w:lang w:val="en-GB"/>
    </w:rPr>
  </w:style>
  <w:style w:type="character" w:customStyle="1" w:styleId="121">
    <w:name w:val="Comment Subject Char"/>
    <w:basedOn w:val="102"/>
    <w:link w:val="62"/>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2"/>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38"/>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18"/>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basedOn w:val="72"/>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2"/>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6"/>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2"/>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basedOn w:val="72"/>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2"/>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19"/>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39"/>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1"/>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7"/>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2"/>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2"/>
    <w:autoRedefine/>
    <w:qFormat/>
    <w:uiPriority w:val="99"/>
    <w:rPr>
      <w:rFonts w:ascii="Arial" w:hAnsi="Arial" w:eastAsia="黑体" w:cs="Arial"/>
      <w:snapToGrid w:val="0"/>
      <w:kern w:val="0"/>
      <w:sz w:val="21"/>
      <w:szCs w:val="21"/>
    </w:rPr>
  </w:style>
  <w:style w:type="character" w:customStyle="1" w:styleId="443">
    <w:name w:val="hui"/>
    <w:basedOn w:val="72"/>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39"/>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83"/>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9">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0">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autoRedefine/>
    <w:qFormat/>
    <w:uiPriority w:val="99"/>
    <w:rPr>
      <w:rFonts w:ascii="仿宋_GB2312" w:eastAsia="仿宋_GB2312"/>
      <w:b/>
      <w:sz w:val="32"/>
      <w:szCs w:val="20"/>
    </w:rPr>
  </w:style>
  <w:style w:type="paragraph" w:customStyle="1" w:styleId="652">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3">
    <w:name w:val="Char1 Char Char Char1"/>
    <w:basedOn w:val="1"/>
    <w:autoRedefine/>
    <w:qFormat/>
    <w:uiPriority w:val="99"/>
    <w:pPr>
      <w:adjustRightInd/>
      <w:ind w:firstLine="200" w:firstLineChars="200"/>
    </w:pPr>
    <w:rPr>
      <w:rFonts w:ascii="Tahoma" w:hAnsi="Tahoma"/>
      <w:sz w:val="24"/>
      <w:szCs w:val="20"/>
    </w:rPr>
  </w:style>
  <w:style w:type="paragraph" w:customStyle="1" w:styleId="654">
    <w:name w:val="a1"/>
    <w:basedOn w:val="1"/>
    <w:autoRedefine/>
    <w:qFormat/>
    <w:uiPriority w:val="99"/>
    <w:pPr>
      <w:widowControl/>
      <w:spacing w:line="300" w:lineRule="atLeast"/>
      <w:jc w:val="left"/>
    </w:pPr>
    <w:rPr>
      <w:rFonts w:ascii="宋体" w:hAnsi="宋体"/>
      <w:kern w:val="0"/>
      <w:sz w:val="18"/>
      <w:szCs w:val="20"/>
    </w:rPr>
  </w:style>
  <w:style w:type="paragraph" w:customStyle="1" w:styleId="655">
    <w:name w:val="样式7"/>
    <w:basedOn w:val="656"/>
    <w:next w:val="1"/>
    <w:autoRedefine/>
    <w:qFormat/>
    <w:uiPriority w:val="99"/>
    <w:pPr>
      <w:spacing w:afterLines="50"/>
      <w:jc w:val="left"/>
      <w:outlineLvl w:val="3"/>
    </w:pPr>
    <w:rPr>
      <w:sz w:val="24"/>
      <w:szCs w:val="24"/>
    </w:rPr>
  </w:style>
  <w:style w:type="paragraph" w:customStyle="1" w:styleId="656">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8">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9">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autoRedefine/>
    <w:qFormat/>
    <w:uiPriority w:val="99"/>
    <w:pPr>
      <w:adjustRightInd/>
    </w:pPr>
    <w:rPr>
      <w:rFonts w:ascii="Tahoma" w:hAnsi="Tahoma"/>
      <w:sz w:val="24"/>
      <w:szCs w:val="20"/>
    </w:rPr>
  </w:style>
  <w:style w:type="paragraph" w:customStyle="1" w:styleId="661">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83"/>
    <w:autoRedefine/>
    <w:qFormat/>
    <w:uiPriority w:val="99"/>
    <w:pPr>
      <w:tabs>
        <w:tab w:val="left" w:pos="1260"/>
        <w:tab w:val="left" w:pos="1680"/>
        <w:tab w:val="left" w:pos="2100"/>
        <w:tab w:val="left" w:pos="2520"/>
      </w:tabs>
      <w:ind w:left="2520"/>
      <w:outlineLvl w:val="4"/>
    </w:pPr>
  </w:style>
  <w:style w:type="paragraph" w:customStyle="1" w:styleId="663">
    <w:name w:val="二级条标题"/>
    <w:basedOn w:val="664"/>
    <w:next w:val="83"/>
    <w:autoRedefine/>
    <w:qFormat/>
    <w:uiPriority w:val="99"/>
    <w:pPr>
      <w:tabs>
        <w:tab w:val="left" w:pos="1260"/>
        <w:tab w:val="left" w:pos="1680"/>
        <w:tab w:val="left" w:pos="2100"/>
      </w:tabs>
      <w:ind w:left="0"/>
      <w:outlineLvl w:val="3"/>
    </w:pPr>
  </w:style>
  <w:style w:type="paragraph" w:customStyle="1" w:styleId="664">
    <w:name w:val="一级条标题"/>
    <w:basedOn w:val="665"/>
    <w:next w:val="83"/>
    <w:autoRedefine/>
    <w:qFormat/>
    <w:uiPriority w:val="99"/>
    <w:pPr>
      <w:tabs>
        <w:tab w:val="left" w:pos="1260"/>
        <w:tab w:val="left" w:pos="1680"/>
      </w:tabs>
      <w:spacing w:beforeLines="0" w:afterLines="0"/>
      <w:ind w:left="1680"/>
      <w:outlineLvl w:val="2"/>
    </w:pPr>
  </w:style>
  <w:style w:type="paragraph" w:customStyle="1" w:styleId="665">
    <w:name w:val="章标题"/>
    <w:next w:val="83"/>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6">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9">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2">
    <w:name w:val="正文 项目2"/>
    <w:basedOn w:val="673"/>
    <w:autoRedefine/>
    <w:qFormat/>
    <w:uiPriority w:val="99"/>
    <w:pPr>
      <w:tabs>
        <w:tab w:val="left" w:pos="840"/>
      </w:tabs>
      <w:spacing w:after="0"/>
      <w:ind w:left="900"/>
    </w:pPr>
  </w:style>
  <w:style w:type="paragraph" w:customStyle="1" w:styleId="673">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99"/>
    <w:pPr>
      <w:widowControl/>
      <w:adjustRightInd/>
      <w:ind w:left="720" w:hanging="720"/>
    </w:pPr>
    <w:rPr>
      <w:color w:val="000000"/>
      <w:kern w:val="0"/>
      <w:sz w:val="24"/>
      <w:szCs w:val="20"/>
      <w:lang w:val="en-GB"/>
    </w:rPr>
  </w:style>
  <w:style w:type="paragraph" w:customStyle="1" w:styleId="675">
    <w:name w:val="表1"/>
    <w:basedOn w:val="1"/>
    <w:autoRedefine/>
    <w:qFormat/>
    <w:uiPriority w:val="99"/>
    <w:pPr>
      <w:tabs>
        <w:tab w:val="left" w:pos="703"/>
      </w:tabs>
      <w:adjustRightInd/>
      <w:spacing w:line="360" w:lineRule="auto"/>
      <w:ind w:left="703"/>
      <w:jc w:val="center"/>
    </w:pPr>
  </w:style>
  <w:style w:type="paragraph" w:customStyle="1" w:styleId="676">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7">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99"/>
    <w:pPr>
      <w:jc w:val="left"/>
      <w:outlineLvl w:val="1"/>
    </w:pPr>
    <w:rPr>
      <w:rFonts w:ascii="Times New Roman" w:hAnsi="Times New Roman" w:eastAsia="仿宋"/>
      <w:sz w:val="30"/>
    </w:rPr>
  </w:style>
  <w:style w:type="paragraph" w:customStyle="1" w:styleId="680">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2">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99"/>
    <w:pPr>
      <w:tabs>
        <w:tab w:val="left" w:pos="840"/>
      </w:tabs>
      <w:adjustRightInd/>
      <w:ind w:left="840" w:hanging="420"/>
    </w:pPr>
  </w:style>
  <w:style w:type="paragraph" w:customStyle="1" w:styleId="686">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1">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2">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99"/>
    <w:pPr>
      <w:tabs>
        <w:tab w:val="left" w:pos="2100"/>
      </w:tabs>
      <w:adjustRightInd/>
      <w:ind w:left="2100" w:hanging="420"/>
    </w:pPr>
    <w:rPr>
      <w:lang w:val="en-US"/>
    </w:rPr>
  </w:style>
  <w:style w:type="paragraph" w:customStyle="1" w:styleId="694">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99"/>
    <w:pPr>
      <w:spacing w:line="360" w:lineRule="auto"/>
    </w:pPr>
    <w:rPr>
      <w:szCs w:val="20"/>
    </w:rPr>
  </w:style>
  <w:style w:type="paragraph" w:customStyle="1" w:styleId="697">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autoRedefine/>
    <w:qFormat/>
    <w:uiPriority w:val="99"/>
    <w:pPr>
      <w:adjustRightInd/>
      <w:spacing w:line="360" w:lineRule="auto"/>
      <w:jc w:val="center"/>
    </w:pPr>
    <w:rPr>
      <w:sz w:val="24"/>
    </w:rPr>
  </w:style>
  <w:style w:type="paragraph" w:customStyle="1" w:styleId="707">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99"/>
    <w:rPr>
      <w:rFonts w:ascii="仿宋_GB2312" w:eastAsia="仿宋_GB2312"/>
      <w:b/>
      <w:sz w:val="32"/>
      <w:szCs w:val="32"/>
    </w:rPr>
  </w:style>
  <w:style w:type="paragraph" w:customStyle="1" w:styleId="709">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0">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autoRedefine/>
    <w:qFormat/>
    <w:uiPriority w:val="99"/>
    <w:pPr>
      <w:widowControl/>
      <w:adjustRightInd/>
      <w:spacing w:after="160" w:line="240" w:lineRule="exact"/>
      <w:jc w:val="left"/>
    </w:pPr>
    <w:rPr>
      <w:szCs w:val="20"/>
    </w:rPr>
  </w:style>
  <w:style w:type="paragraph" w:customStyle="1" w:styleId="712">
    <w:name w:val="Char Char1121"/>
    <w:basedOn w:val="1"/>
    <w:autoRedefine/>
    <w:qFormat/>
    <w:uiPriority w:val="99"/>
    <w:pPr>
      <w:spacing w:line="360" w:lineRule="auto"/>
    </w:pPr>
    <w:rPr>
      <w:szCs w:val="20"/>
    </w:rPr>
  </w:style>
  <w:style w:type="paragraph" w:customStyle="1" w:styleId="713">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0">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autoRedefine/>
    <w:qFormat/>
    <w:uiPriority w:val="99"/>
    <w:pPr>
      <w:spacing w:line="240" w:lineRule="atLeast"/>
      <w:ind w:left="420" w:firstLine="420"/>
    </w:pPr>
    <w:rPr>
      <w:sz w:val="24"/>
    </w:rPr>
  </w:style>
  <w:style w:type="paragraph" w:customStyle="1" w:styleId="723">
    <w:name w:val="WW-正文文字缩进 2"/>
    <w:basedOn w:val="1"/>
    <w:autoRedefine/>
    <w:qFormat/>
    <w:uiPriority w:val="99"/>
    <w:pPr>
      <w:suppressAutoHyphens/>
      <w:adjustRightInd/>
      <w:ind w:firstLine="420"/>
    </w:pPr>
    <w:rPr>
      <w:kern w:val="1"/>
      <w:szCs w:val="20"/>
    </w:rPr>
  </w:style>
  <w:style w:type="paragraph" w:customStyle="1" w:styleId="724">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99"/>
    <w:pPr>
      <w:adjustRightInd/>
      <w:spacing w:line="400" w:lineRule="exact"/>
      <w:ind w:firstLine="200" w:firstLineChars="200"/>
    </w:pPr>
    <w:rPr>
      <w:rFonts w:ascii="Arial" w:hAnsi="Arial"/>
    </w:rPr>
  </w:style>
  <w:style w:type="paragraph" w:customStyle="1" w:styleId="727">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autoRedefine/>
    <w:qFormat/>
    <w:uiPriority w:val="99"/>
    <w:pPr>
      <w:spacing w:after="120" w:line="480" w:lineRule="auto"/>
      <w:ind w:left="420" w:leftChars="200"/>
    </w:pPr>
    <w:rPr>
      <w:sz w:val="24"/>
      <w:szCs w:val="20"/>
    </w:rPr>
  </w:style>
  <w:style w:type="paragraph" w:customStyle="1" w:styleId="730">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4">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99"/>
    <w:rPr>
      <w:rFonts w:ascii="仿宋_GB2312" w:eastAsia="仿宋_GB2312"/>
      <w:b/>
      <w:sz w:val="32"/>
      <w:szCs w:val="20"/>
    </w:rPr>
  </w:style>
  <w:style w:type="paragraph" w:customStyle="1" w:styleId="739">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1">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99"/>
    <w:rPr>
      <w:rFonts w:ascii="仿宋_GB2312" w:eastAsia="仿宋_GB2312"/>
      <w:b/>
      <w:sz w:val="32"/>
      <w:szCs w:val="32"/>
    </w:rPr>
  </w:style>
  <w:style w:type="paragraph" w:customStyle="1" w:styleId="743">
    <w:name w:val="Char3 Char Char Char1"/>
    <w:basedOn w:val="1"/>
    <w:autoRedefine/>
    <w:qFormat/>
    <w:uiPriority w:val="99"/>
    <w:pPr>
      <w:widowControl/>
      <w:adjustRightInd/>
      <w:spacing w:after="160" w:line="240" w:lineRule="exact"/>
      <w:jc w:val="left"/>
    </w:pPr>
    <w:rPr>
      <w:szCs w:val="20"/>
    </w:rPr>
  </w:style>
  <w:style w:type="paragraph" w:customStyle="1" w:styleId="744">
    <w:name w:val="Char1 Char Char Char21"/>
    <w:basedOn w:val="1"/>
    <w:autoRedefine/>
    <w:qFormat/>
    <w:uiPriority w:val="99"/>
    <w:rPr>
      <w:rFonts w:ascii="Tahoma" w:hAnsi="Tahoma"/>
      <w:sz w:val="24"/>
      <w:szCs w:val="20"/>
    </w:rPr>
  </w:style>
  <w:style w:type="paragraph" w:customStyle="1" w:styleId="745">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6">
    <w:name w:val="正文（标题三）"/>
    <w:basedOn w:val="1"/>
    <w:autoRedefine/>
    <w:qFormat/>
    <w:uiPriority w:val="99"/>
    <w:pPr>
      <w:spacing w:line="360" w:lineRule="auto"/>
      <w:ind w:firstLine="200" w:firstLineChars="200"/>
    </w:pPr>
    <w:rPr>
      <w:sz w:val="24"/>
    </w:rPr>
  </w:style>
  <w:style w:type="paragraph" w:customStyle="1" w:styleId="747">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99"/>
    <w:pPr>
      <w:adjustRightInd/>
      <w:ind w:firstLine="200" w:firstLineChars="200"/>
    </w:pPr>
    <w:rPr>
      <w:rFonts w:ascii="Tahoma" w:hAnsi="Tahoma"/>
      <w:sz w:val="24"/>
      <w:szCs w:val="20"/>
    </w:rPr>
  </w:style>
  <w:style w:type="paragraph" w:customStyle="1" w:styleId="753">
    <w:name w:val="_标题2"/>
    <w:basedOn w:val="720"/>
    <w:next w:val="720"/>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autoRedefine/>
    <w:qFormat/>
    <w:uiPriority w:val="99"/>
    <w:pPr>
      <w:adjustRightInd/>
      <w:spacing w:line="360" w:lineRule="auto"/>
    </w:pPr>
    <w:rPr>
      <w:rFonts w:ascii="宋体" w:hAnsi="宋体"/>
      <w:szCs w:val="20"/>
    </w:rPr>
  </w:style>
  <w:style w:type="paragraph" w:customStyle="1" w:styleId="759">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99"/>
    <w:pPr>
      <w:adjustRightInd/>
    </w:pPr>
    <w:rPr>
      <w:rFonts w:ascii="Tahoma" w:hAnsi="Tahoma"/>
      <w:sz w:val="24"/>
    </w:rPr>
  </w:style>
  <w:style w:type="paragraph" w:customStyle="1" w:styleId="761">
    <w:name w:val="Char Char Char Char11"/>
    <w:basedOn w:val="1"/>
    <w:autoRedefine/>
    <w:qFormat/>
    <w:uiPriority w:val="99"/>
    <w:rPr>
      <w:rFonts w:ascii="Tahoma" w:hAnsi="Tahoma"/>
      <w:sz w:val="24"/>
      <w:szCs w:val="20"/>
    </w:rPr>
  </w:style>
  <w:style w:type="paragraph" w:customStyle="1" w:styleId="762">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autoRedefine/>
    <w:qFormat/>
    <w:uiPriority w:val="99"/>
    <w:rPr>
      <w:rFonts w:ascii="Tahoma" w:hAnsi="Tahoma"/>
      <w:sz w:val="24"/>
      <w:szCs w:val="20"/>
    </w:rPr>
  </w:style>
  <w:style w:type="paragraph" w:customStyle="1" w:styleId="764">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99"/>
    <w:pPr>
      <w:adjustRightInd/>
    </w:pPr>
    <w:rPr>
      <w:szCs w:val="20"/>
    </w:rPr>
  </w:style>
  <w:style w:type="paragraph" w:customStyle="1" w:styleId="766">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99"/>
    <w:pPr>
      <w:adjustRightInd/>
      <w:ind w:firstLine="420" w:firstLineChars="200"/>
    </w:pPr>
    <w:rPr>
      <w:rFonts w:eastAsia="仿宋_GB2312"/>
      <w:sz w:val="28"/>
    </w:rPr>
  </w:style>
  <w:style w:type="paragraph" w:customStyle="1" w:styleId="769">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7">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autoRedefine/>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99"/>
    <w:pPr>
      <w:tabs>
        <w:tab w:val="left" w:pos="360"/>
      </w:tabs>
    </w:pPr>
    <w:rPr>
      <w:sz w:val="24"/>
      <w:szCs w:val="20"/>
    </w:rPr>
  </w:style>
  <w:style w:type="paragraph" w:customStyle="1" w:styleId="783">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0">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autoRedefine/>
    <w:qFormat/>
    <w:uiPriority w:val="99"/>
    <w:pPr>
      <w:widowControl/>
      <w:adjustRightInd/>
    </w:pPr>
    <w:rPr>
      <w:kern w:val="0"/>
      <w:szCs w:val="21"/>
    </w:rPr>
  </w:style>
  <w:style w:type="paragraph" w:customStyle="1" w:styleId="792">
    <w:name w:val="Char6"/>
    <w:basedOn w:val="1"/>
    <w:autoRedefine/>
    <w:qFormat/>
    <w:uiPriority w:val="99"/>
    <w:rPr>
      <w:rFonts w:ascii="仿宋_GB2312" w:eastAsia="仿宋_GB2312"/>
      <w:b/>
      <w:sz w:val="32"/>
      <w:szCs w:val="32"/>
    </w:rPr>
  </w:style>
  <w:style w:type="paragraph" w:customStyle="1" w:styleId="793">
    <w:name w:val="Char111"/>
    <w:basedOn w:val="1"/>
    <w:autoRedefine/>
    <w:qFormat/>
    <w:uiPriority w:val="99"/>
    <w:rPr>
      <w:rFonts w:ascii="仿宋_GB2312" w:eastAsia="仿宋_GB2312"/>
      <w:b/>
      <w:sz w:val="32"/>
      <w:szCs w:val="32"/>
    </w:rPr>
  </w:style>
  <w:style w:type="paragraph" w:customStyle="1" w:styleId="794">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5">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99"/>
    <w:pPr>
      <w:adjustRightInd/>
      <w:ind w:firstLine="200" w:firstLineChars="200"/>
    </w:pPr>
    <w:rPr>
      <w:rFonts w:ascii="Tahoma" w:hAnsi="Tahoma"/>
      <w:sz w:val="24"/>
      <w:szCs w:val="20"/>
    </w:rPr>
  </w:style>
  <w:style w:type="paragraph" w:customStyle="1" w:styleId="798">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autoRedefine/>
    <w:qFormat/>
    <w:uiPriority w:val="99"/>
    <w:rPr>
      <w:rFonts w:ascii="仿宋_GB2312" w:eastAsia="仿宋_GB2312"/>
      <w:b/>
      <w:sz w:val="32"/>
      <w:szCs w:val="32"/>
    </w:rPr>
  </w:style>
  <w:style w:type="paragraph" w:customStyle="1" w:styleId="801">
    <w:name w:val="五级条标题"/>
    <w:basedOn w:val="802"/>
    <w:next w:val="83"/>
    <w:autoRedefine/>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2"/>
    <w:next w:val="83"/>
    <w:autoRedefine/>
    <w:qFormat/>
    <w:uiPriority w:val="99"/>
    <w:pPr>
      <w:tabs>
        <w:tab w:val="left" w:pos="2940"/>
        <w:tab w:val="clear" w:pos="2520"/>
      </w:tabs>
      <w:ind w:left="2940"/>
      <w:outlineLvl w:val="5"/>
    </w:pPr>
  </w:style>
  <w:style w:type="paragraph" w:customStyle="1" w:styleId="803">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autoRedefine/>
    <w:qFormat/>
    <w:uiPriority w:val="99"/>
    <w:rPr>
      <w:rFonts w:ascii="仿宋_GB2312" w:eastAsia="仿宋_GB2312"/>
      <w:b/>
      <w:sz w:val="32"/>
      <w:szCs w:val="32"/>
    </w:rPr>
  </w:style>
  <w:style w:type="paragraph" w:customStyle="1" w:styleId="805">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autoRedefine/>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9">
    <w:name w:val="单元格左对齐"/>
    <w:basedOn w:val="1"/>
    <w:autoRedefine/>
    <w:qFormat/>
    <w:uiPriority w:val="99"/>
    <w:pPr>
      <w:adjustRightInd/>
      <w:spacing w:line="360" w:lineRule="auto"/>
    </w:pPr>
    <w:rPr>
      <w:sz w:val="24"/>
    </w:rPr>
  </w:style>
  <w:style w:type="paragraph" w:customStyle="1" w:styleId="810">
    <w:name w:val="正文主体"/>
    <w:basedOn w:val="633"/>
    <w:autoRedefine/>
    <w:qFormat/>
    <w:uiPriority w:val="99"/>
  </w:style>
  <w:style w:type="paragraph" w:customStyle="1" w:styleId="811">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autoRedefine/>
    <w:qFormat/>
    <w:uiPriority w:val="99"/>
    <w:pPr>
      <w:adjustRightInd/>
      <w:spacing w:line="360" w:lineRule="auto"/>
      <w:ind w:firstLine="480" w:firstLineChars="200"/>
    </w:pPr>
    <w:rPr>
      <w:sz w:val="24"/>
      <w:szCs w:val="20"/>
    </w:rPr>
  </w:style>
  <w:style w:type="paragraph" w:customStyle="1" w:styleId="815">
    <w:name w:val="P1"/>
    <w:basedOn w:val="1"/>
    <w:autoRedefine/>
    <w:qFormat/>
    <w:uiPriority w:val="99"/>
    <w:pPr>
      <w:adjustRightInd/>
      <w:spacing w:line="288" w:lineRule="auto"/>
      <w:ind w:firstLine="425" w:firstLineChars="200"/>
    </w:pPr>
  </w:style>
  <w:style w:type="paragraph" w:customStyle="1" w:styleId="816">
    <w:name w:val="列表内容"/>
    <w:basedOn w:val="1"/>
    <w:next w:val="1"/>
    <w:autoRedefine/>
    <w:qFormat/>
    <w:uiPriority w:val="99"/>
    <w:pPr>
      <w:widowControl/>
      <w:tabs>
        <w:tab w:val="left" w:pos="840"/>
      </w:tabs>
      <w:ind w:left="840" w:hanging="420"/>
      <w:jc w:val="left"/>
    </w:pPr>
    <w:rPr>
      <w:kern w:val="0"/>
      <w:sz w:val="18"/>
    </w:rPr>
  </w:style>
  <w:style w:type="paragraph" w:customStyle="1" w:styleId="817">
    <w:name w:val="Char Char11 Char Char Char1"/>
    <w:basedOn w:val="1"/>
    <w:autoRedefine/>
    <w:qFormat/>
    <w:uiPriority w:val="99"/>
    <w:pPr>
      <w:spacing w:line="360" w:lineRule="auto"/>
    </w:pPr>
    <w:rPr>
      <w:szCs w:val="20"/>
    </w:rPr>
  </w:style>
  <w:style w:type="paragraph" w:customStyle="1" w:styleId="818">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9">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autoRedefine/>
    <w:qFormat/>
    <w:uiPriority w:val="99"/>
    <w:pPr>
      <w:spacing w:line="360" w:lineRule="auto"/>
    </w:pPr>
    <w:rPr>
      <w:szCs w:val="20"/>
    </w:rPr>
  </w:style>
  <w:style w:type="paragraph" w:customStyle="1" w:styleId="824">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99"/>
    <w:rPr>
      <w:rFonts w:ascii="仿宋_GB2312" w:eastAsia="仿宋_GB2312"/>
      <w:b/>
      <w:sz w:val="32"/>
      <w:szCs w:val="32"/>
    </w:rPr>
  </w:style>
  <w:style w:type="paragraph" w:customStyle="1" w:styleId="827">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0">
    <w:name w:val="Char Char4 Char Char"/>
    <w:basedOn w:val="1"/>
    <w:autoRedefine/>
    <w:qFormat/>
    <w:uiPriority w:val="99"/>
    <w:pPr>
      <w:widowControl/>
      <w:adjustRightInd/>
      <w:spacing w:after="160" w:line="240" w:lineRule="exact"/>
      <w:jc w:val="left"/>
    </w:pPr>
  </w:style>
  <w:style w:type="paragraph" w:customStyle="1" w:styleId="831">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autoRedefine/>
    <w:qFormat/>
    <w:uiPriority w:val="99"/>
    <w:pPr>
      <w:spacing w:line="360" w:lineRule="auto"/>
    </w:pPr>
    <w:rPr>
      <w:szCs w:val="20"/>
    </w:rPr>
  </w:style>
  <w:style w:type="paragraph" w:customStyle="1" w:styleId="833">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autoRedefine/>
    <w:qFormat/>
    <w:uiPriority w:val="99"/>
    <w:pPr>
      <w:adjustRightInd/>
      <w:ind w:firstLine="200" w:firstLineChars="200"/>
    </w:pPr>
    <w:rPr>
      <w:rFonts w:ascii="Tahoma" w:hAnsi="Tahoma"/>
      <w:sz w:val="24"/>
      <w:szCs w:val="20"/>
    </w:rPr>
  </w:style>
  <w:style w:type="paragraph" w:customStyle="1" w:styleId="840">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autoRedefine/>
    <w:qFormat/>
    <w:uiPriority w:val="99"/>
    <w:pPr>
      <w:tabs>
        <w:tab w:val="left" w:pos="0"/>
      </w:tabs>
      <w:ind w:left="900" w:firstLine="0" w:firstLineChars="0"/>
    </w:pPr>
  </w:style>
  <w:style w:type="paragraph" w:customStyle="1" w:styleId="843">
    <w:name w:val="Bulleted List"/>
    <w:basedOn w:val="1"/>
    <w:autoRedefine/>
    <w:qFormat/>
    <w:uiPriority w:val="99"/>
    <w:pPr>
      <w:tabs>
        <w:tab w:val="left" w:pos="1260"/>
      </w:tabs>
      <w:adjustRightInd/>
      <w:ind w:left="1260" w:hanging="420"/>
    </w:pPr>
  </w:style>
  <w:style w:type="paragraph" w:customStyle="1" w:styleId="844">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autoRedefine/>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autoRedefine/>
    <w:qFormat/>
    <w:uiPriority w:val="99"/>
    <w:rPr>
      <w:rFonts w:ascii="Tahoma" w:hAnsi="Tahoma" w:cs="仿宋_GB2312"/>
      <w:sz w:val="24"/>
      <w:szCs w:val="20"/>
    </w:rPr>
  </w:style>
  <w:style w:type="paragraph" w:customStyle="1" w:styleId="847">
    <w:name w:val="正文1"/>
    <w:basedOn w:val="31"/>
    <w:next w:val="1"/>
    <w:autoRedefine/>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9">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autoRedefine/>
    <w:qFormat/>
    <w:uiPriority w:val="99"/>
    <w:rPr>
      <w:rFonts w:ascii="仿宋_GB2312" w:eastAsia="仿宋_GB2312"/>
      <w:b/>
      <w:sz w:val="32"/>
      <w:szCs w:val="20"/>
    </w:rPr>
  </w:style>
  <w:style w:type="paragraph" w:customStyle="1" w:styleId="852">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99"/>
    <w:rPr>
      <w:rFonts w:ascii="仿宋_GB2312" w:eastAsia="仿宋_GB2312"/>
      <w:b/>
      <w:sz w:val="32"/>
      <w:szCs w:val="20"/>
    </w:rPr>
  </w:style>
  <w:style w:type="paragraph" w:customStyle="1" w:styleId="854">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6">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1">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autoRedefine/>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99"/>
    <w:pPr>
      <w:widowControl/>
      <w:spacing w:after="160" w:line="240" w:lineRule="exact"/>
      <w:jc w:val="left"/>
    </w:pPr>
    <w:rPr>
      <w:rFonts w:eastAsia="仿宋_GB2312"/>
      <w:sz w:val="28"/>
    </w:rPr>
  </w:style>
  <w:style w:type="paragraph" w:customStyle="1" w:styleId="868">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9">
    <w:name w:val="列表段落1"/>
    <w:basedOn w:val="1"/>
    <w:autoRedefine/>
    <w:qFormat/>
    <w:uiPriority w:val="99"/>
    <w:pPr>
      <w:adjustRightInd/>
      <w:ind w:right="238" w:firstLine="420"/>
    </w:pPr>
    <w:rPr>
      <w:rFonts w:ascii="Calibri" w:hAnsi="Calibri"/>
      <w:sz w:val="24"/>
    </w:rPr>
  </w:style>
  <w:style w:type="paragraph" w:customStyle="1" w:styleId="870">
    <w:name w:val="Char Char110"/>
    <w:basedOn w:val="1"/>
    <w:autoRedefine/>
    <w:qFormat/>
    <w:uiPriority w:val="99"/>
    <w:pPr>
      <w:spacing w:line="360" w:lineRule="auto"/>
    </w:pPr>
    <w:rPr>
      <w:rFonts w:ascii="Tahoma" w:hAnsi="Tahoma"/>
      <w:sz w:val="24"/>
      <w:szCs w:val="20"/>
    </w:rPr>
  </w:style>
  <w:style w:type="paragraph" w:customStyle="1" w:styleId="871">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3">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99"/>
    <w:rPr>
      <w:rFonts w:ascii="Tahoma" w:hAnsi="Tahoma" w:cs="仿宋_GB2312"/>
      <w:sz w:val="24"/>
      <w:szCs w:val="20"/>
    </w:rPr>
  </w:style>
  <w:style w:type="paragraph" w:customStyle="1" w:styleId="876">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0">
    <w:name w:val="_Style 12"/>
    <w:basedOn w:val="18"/>
    <w:autoRedefine/>
    <w:qFormat/>
    <w:uiPriority w:val="99"/>
    <w:pPr>
      <w:snapToGrid w:val="0"/>
      <w:spacing w:line="360" w:lineRule="auto"/>
    </w:pPr>
  </w:style>
  <w:style w:type="paragraph" w:customStyle="1" w:styleId="881">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99"/>
    <w:pPr>
      <w:outlineLvl w:val="2"/>
    </w:pPr>
  </w:style>
  <w:style w:type="paragraph" w:customStyle="1" w:styleId="888">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99"/>
    <w:pPr>
      <w:adjustRightInd/>
      <w:ind w:firstLine="200" w:firstLineChars="200"/>
    </w:pPr>
    <w:rPr>
      <w:rFonts w:ascii="Tahoma" w:hAnsi="Tahoma"/>
      <w:sz w:val="24"/>
      <w:szCs w:val="20"/>
    </w:rPr>
  </w:style>
  <w:style w:type="paragraph" w:customStyle="1" w:styleId="890">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99"/>
    <w:pPr>
      <w:adjustRightInd/>
    </w:pPr>
  </w:style>
  <w:style w:type="paragraph" w:customStyle="1" w:styleId="892">
    <w:name w:val="Char24"/>
    <w:basedOn w:val="1"/>
    <w:autoRedefine/>
    <w:qFormat/>
    <w:uiPriority w:val="99"/>
    <w:rPr>
      <w:rFonts w:ascii="仿宋_GB2312" w:eastAsia="仿宋_GB2312"/>
      <w:b/>
      <w:sz w:val="32"/>
      <w:szCs w:val="32"/>
    </w:rPr>
  </w:style>
  <w:style w:type="paragraph" w:customStyle="1" w:styleId="893">
    <w:name w:val="正文箭头"/>
    <w:basedOn w:val="547"/>
    <w:autoRedefine/>
    <w:qFormat/>
    <w:uiPriority w:val="99"/>
  </w:style>
  <w:style w:type="paragraph" w:customStyle="1" w:styleId="894">
    <w:name w:val="U_编号2"/>
    <w:basedOn w:val="1"/>
    <w:autoRedefine/>
    <w:qFormat/>
    <w:uiPriority w:val="99"/>
    <w:pPr>
      <w:tabs>
        <w:tab w:val="left" w:pos="785"/>
      </w:tabs>
      <w:adjustRightInd/>
      <w:spacing w:beforeLines="10" w:afterLines="10" w:line="300" w:lineRule="auto"/>
    </w:pPr>
    <w:rPr>
      <w:sz w:val="24"/>
    </w:rPr>
  </w:style>
  <w:style w:type="paragraph" w:customStyle="1" w:styleId="895">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99"/>
    <w:pPr>
      <w:adjustRightInd/>
      <w:ind w:firstLine="420" w:firstLineChars="200"/>
    </w:pPr>
    <w:rPr>
      <w:rFonts w:eastAsia="仿宋_GB2312"/>
      <w:sz w:val="28"/>
    </w:rPr>
  </w:style>
  <w:style w:type="paragraph" w:customStyle="1" w:styleId="900">
    <w:name w:val="表格 内容"/>
    <w:basedOn w:val="736"/>
    <w:autoRedefine/>
    <w:qFormat/>
    <w:uiPriority w:val="99"/>
    <w:rPr>
      <w:b w:val="0"/>
      <w:sz w:val="20"/>
    </w:rPr>
  </w:style>
  <w:style w:type="paragraph" w:customStyle="1" w:styleId="901">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6"/>
    <w:next w:val="1"/>
    <w:autoRedefine/>
    <w:qFormat/>
    <w:uiPriority w:val="99"/>
    <w:pPr>
      <w:tabs>
        <w:tab w:val="left" w:pos="1080"/>
      </w:tabs>
      <w:ind w:left="1080" w:hanging="1080"/>
    </w:pPr>
  </w:style>
  <w:style w:type="paragraph" w:customStyle="1" w:styleId="904">
    <w:name w:val="数字标题1"/>
    <w:basedOn w:val="2"/>
    <w:next w:val="1"/>
    <w:autoRedefine/>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autoRedefine/>
    <w:qFormat/>
    <w:uiPriority w:val="99"/>
    <w:pPr>
      <w:widowControl/>
    </w:pPr>
    <w:rPr>
      <w:kern w:val="0"/>
      <w:sz w:val="24"/>
      <w:szCs w:val="20"/>
    </w:rPr>
  </w:style>
  <w:style w:type="paragraph" w:customStyle="1" w:styleId="912">
    <w:name w:val="Char Char113"/>
    <w:basedOn w:val="1"/>
    <w:autoRedefine/>
    <w:qFormat/>
    <w:uiPriority w:val="99"/>
    <w:pPr>
      <w:widowControl/>
      <w:spacing w:after="160" w:line="240" w:lineRule="exact"/>
      <w:jc w:val="left"/>
    </w:pPr>
    <w:rPr>
      <w:rFonts w:eastAsia="仿宋_GB2312"/>
      <w:sz w:val="28"/>
    </w:rPr>
  </w:style>
  <w:style w:type="paragraph" w:customStyle="1" w:styleId="913">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autoRedefine/>
    <w:qFormat/>
    <w:uiPriority w:val="99"/>
    <w:pPr>
      <w:adjustRightInd/>
      <w:ind w:firstLine="420" w:firstLineChars="200"/>
    </w:pPr>
    <w:rPr>
      <w:rFonts w:eastAsia="仿宋_GB2312"/>
      <w:sz w:val="28"/>
    </w:rPr>
  </w:style>
  <w:style w:type="paragraph" w:customStyle="1" w:styleId="915">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7">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autoRedefine/>
    <w:qFormat/>
    <w:uiPriority w:val="99"/>
    <w:pPr>
      <w:widowControl/>
      <w:spacing w:after="160" w:line="240" w:lineRule="exact"/>
      <w:jc w:val="left"/>
    </w:pPr>
    <w:rPr>
      <w:rFonts w:eastAsia="仿宋_GB2312"/>
      <w:sz w:val="28"/>
    </w:rPr>
  </w:style>
  <w:style w:type="paragraph" w:customStyle="1" w:styleId="921">
    <w:name w:val="正文 图"/>
    <w:basedOn w:val="454"/>
    <w:autoRedefine/>
    <w:qFormat/>
    <w:uiPriority w:val="99"/>
    <w:pPr>
      <w:adjustRightInd/>
      <w:spacing w:before="0"/>
      <w:ind w:firstLine="0"/>
      <w:jc w:val="center"/>
    </w:pPr>
    <w:rPr>
      <w:rFonts w:ascii="微软雅黑" w:hAnsi="微软雅黑"/>
    </w:rPr>
  </w:style>
  <w:style w:type="paragraph" w:customStyle="1" w:styleId="922">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autoRedefine/>
    <w:qFormat/>
    <w:uiPriority w:val="99"/>
    <w:pPr>
      <w:ind w:left="0"/>
    </w:pPr>
  </w:style>
  <w:style w:type="paragraph" w:customStyle="1" w:styleId="925">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autoRedefine/>
    <w:qFormat/>
    <w:uiPriority w:val="99"/>
    <w:pPr>
      <w:adjustRightInd/>
      <w:spacing w:line="360" w:lineRule="auto"/>
      <w:ind w:firstLine="480"/>
    </w:pPr>
    <w:rPr>
      <w:sz w:val="24"/>
    </w:rPr>
  </w:style>
  <w:style w:type="table" w:customStyle="1" w:styleId="928">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autoRedefine/>
    <w:qFormat/>
    <w:uiPriority w:val="99"/>
    <w:pPr>
      <w:ind w:firstLine="420" w:firstLineChars="200"/>
    </w:pPr>
  </w:style>
  <w:style w:type="character" w:customStyle="1" w:styleId="935">
    <w:name w:val="交叉引用"/>
    <w:autoRedefine/>
    <w:qFormat/>
    <w:uiPriority w:val="99"/>
    <w:rPr>
      <w:rFonts w:ascii="Arial" w:hAnsi="Arial" w:eastAsia="黑体"/>
      <w:snapToGrid w:val="0"/>
      <w:color w:val="0000FF"/>
      <w:kern w:val="0"/>
      <w:sz w:val="21"/>
      <w:u w:val="single"/>
      <w:lang w:val="en-US" w:eastAsia="zh-CN"/>
    </w:rPr>
  </w:style>
  <w:style w:type="character" w:customStyle="1" w:styleId="936">
    <w:name w:val="正文缩进 字符1"/>
    <w:autoRedefine/>
    <w:qFormat/>
    <w:uiPriority w:val="99"/>
    <w:rPr>
      <w:rFonts w:ascii="宋体" w:eastAsia="宋体"/>
      <w:snapToGrid w:val="0"/>
      <w:color w:val="000000"/>
      <w:kern w:val="28"/>
      <w:sz w:val="28"/>
      <w:lang w:val="en-US" w:eastAsia="zh-CN"/>
    </w:rPr>
  </w:style>
  <w:style w:type="character" w:customStyle="1" w:styleId="937">
    <w:name w:val="页脚 字符1"/>
    <w:autoRedefine/>
    <w:qFormat/>
    <w:locked/>
    <w:uiPriority w:val="99"/>
    <w:rPr>
      <w:kern w:val="2"/>
      <w:sz w:val="18"/>
    </w:rPr>
  </w:style>
  <w:style w:type="character" w:customStyle="1" w:styleId="938">
    <w:name w:val="页眉 字符1"/>
    <w:autoRedefine/>
    <w:qFormat/>
    <w:uiPriority w:val="99"/>
    <w:rPr>
      <w:kern w:val="2"/>
      <w:sz w:val="18"/>
    </w:rPr>
  </w:style>
  <w:style w:type="character" w:customStyle="1" w:styleId="939">
    <w:name w:val="No Spacing Char1"/>
    <w:link w:val="494"/>
    <w:autoRedefine/>
    <w:qFormat/>
    <w:locked/>
    <w:uiPriority w:val="99"/>
    <w:rPr>
      <w:kern w:val="2"/>
      <w:sz w:val="22"/>
    </w:rPr>
  </w:style>
  <w:style w:type="character" w:customStyle="1" w:styleId="940">
    <w:name w:val="标准文本 Char Char"/>
    <w:link w:val="941"/>
    <w:autoRedefine/>
    <w:qFormat/>
    <w:locked/>
    <w:uiPriority w:val="99"/>
    <w:rPr>
      <w:kern w:val="2"/>
      <w:sz w:val="24"/>
    </w:rPr>
  </w:style>
  <w:style w:type="paragraph" w:customStyle="1" w:styleId="941">
    <w:name w:val="标准文本"/>
    <w:basedOn w:val="1"/>
    <w:link w:val="940"/>
    <w:autoRedefine/>
    <w:qFormat/>
    <w:uiPriority w:val="99"/>
    <w:pPr>
      <w:adjustRightInd/>
      <w:spacing w:line="360" w:lineRule="auto"/>
      <w:ind w:firstLine="480" w:firstLineChars="200"/>
    </w:pPr>
    <w:rPr>
      <w:sz w:val="24"/>
      <w:szCs w:val="20"/>
    </w:rPr>
  </w:style>
  <w:style w:type="character" w:customStyle="1" w:styleId="942">
    <w:name w:val="Char Char213"/>
    <w:autoRedefine/>
    <w:qFormat/>
    <w:uiPriority w:val="99"/>
    <w:rPr>
      <w:rFonts w:eastAsia="Times New Roman"/>
      <w:b/>
      <w:kern w:val="44"/>
      <w:sz w:val="44"/>
      <w:lang w:val="en-US" w:eastAsia="zh-CN"/>
    </w:rPr>
  </w:style>
  <w:style w:type="character" w:customStyle="1" w:styleId="943">
    <w:name w:val="apple-style-span"/>
    <w:autoRedefine/>
    <w:qFormat/>
    <w:uiPriority w:val="99"/>
    <w:rPr>
      <w:rFonts w:ascii="Arial" w:hAnsi="Arial" w:eastAsia="黑体"/>
      <w:snapToGrid w:val="0"/>
      <w:kern w:val="0"/>
      <w:sz w:val="21"/>
    </w:rPr>
  </w:style>
  <w:style w:type="character" w:customStyle="1" w:styleId="944">
    <w:name w:val="15"/>
    <w:autoRedefine/>
    <w:qFormat/>
    <w:uiPriority w:val="99"/>
    <w:rPr>
      <w:rFonts w:ascii="Calibri" w:hAnsi="Calibri"/>
      <w:color w:val="0000FF"/>
      <w:u w:val="single"/>
    </w:rPr>
  </w:style>
  <w:style w:type="character" w:customStyle="1" w:styleId="945">
    <w:name w:val="16"/>
    <w:autoRedefine/>
    <w:qFormat/>
    <w:uiPriority w:val="99"/>
    <w:rPr>
      <w:rFonts w:ascii="宋体" w:hAnsi="宋体" w:eastAsia="宋体"/>
      <w:color w:val="000000"/>
      <w:sz w:val="20"/>
    </w:rPr>
  </w:style>
  <w:style w:type="character" w:customStyle="1" w:styleId="946">
    <w:name w:val="edui-unclickable"/>
    <w:autoRedefine/>
    <w:qFormat/>
    <w:uiPriority w:val="99"/>
    <w:rPr>
      <w:color w:val="808080"/>
    </w:rPr>
  </w:style>
  <w:style w:type="character" w:customStyle="1" w:styleId="947">
    <w:name w:val="tpc_content1"/>
    <w:autoRedefine/>
    <w:qFormat/>
    <w:uiPriority w:val="99"/>
    <w:rPr>
      <w:sz w:val="20"/>
    </w:rPr>
  </w:style>
  <w:style w:type="character" w:customStyle="1" w:styleId="948">
    <w:name w:val="正文文本缩进 字符"/>
    <w:autoRedefine/>
    <w:qFormat/>
    <w:uiPriority w:val="99"/>
    <w:rPr>
      <w:rFonts w:ascii="Century Gothic" w:hAnsi="Century Gothic"/>
      <w:kern w:val="2"/>
      <w:sz w:val="24"/>
      <w:lang w:val="en-US" w:eastAsia="zh-CN"/>
    </w:rPr>
  </w:style>
  <w:style w:type="character" w:customStyle="1" w:styleId="949">
    <w:name w:val="正文文本 2 字符"/>
    <w:autoRedefine/>
    <w:qFormat/>
    <w:uiPriority w:val="99"/>
    <w:rPr>
      <w:rFonts w:ascii="Arial" w:hAnsi="Arial" w:eastAsia="宋体"/>
      <w:kern w:val="2"/>
      <w:sz w:val="24"/>
      <w:lang w:val="en-US" w:eastAsia="zh-CN"/>
    </w:rPr>
  </w:style>
  <w:style w:type="character" w:customStyle="1" w:styleId="950">
    <w:name w:val="edui-clickable2"/>
    <w:autoRedefine/>
    <w:qFormat/>
    <w:uiPriority w:val="99"/>
    <w:rPr>
      <w:color w:val="0000FF"/>
      <w:u w:val="single"/>
    </w:rPr>
  </w:style>
  <w:style w:type="character" w:customStyle="1" w:styleId="951">
    <w:name w:val="style1"/>
    <w:autoRedefine/>
    <w:qFormat/>
    <w:uiPriority w:val="99"/>
    <w:rPr>
      <w:rFonts w:ascii="Arial" w:hAnsi="Arial" w:eastAsia="黑体"/>
      <w:snapToGrid w:val="0"/>
      <w:kern w:val="0"/>
      <w:sz w:val="21"/>
    </w:rPr>
  </w:style>
  <w:style w:type="character" w:customStyle="1" w:styleId="952">
    <w:name w:val="zbggtop11 style5"/>
    <w:autoRedefine/>
    <w:qFormat/>
    <w:uiPriority w:val="99"/>
    <w:rPr>
      <w:rFonts w:ascii="Arial" w:hAnsi="Arial" w:eastAsia="黑体"/>
      <w:snapToGrid w:val="0"/>
      <w:kern w:val="0"/>
      <w:sz w:val="21"/>
    </w:rPr>
  </w:style>
  <w:style w:type="character" w:customStyle="1" w:styleId="953">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4">
    <w:name w:val="bulletintext1"/>
    <w:autoRedefine/>
    <w:qFormat/>
    <w:uiPriority w:val="99"/>
    <w:rPr>
      <w:color w:val="000000"/>
      <w:sz w:val="18"/>
    </w:rPr>
  </w:style>
  <w:style w:type="paragraph" w:customStyle="1" w:styleId="955">
    <w:name w:val="_Style 947"/>
    <w:basedOn w:val="1"/>
    <w:next w:val="285"/>
    <w:autoRedefine/>
    <w:qFormat/>
    <w:uiPriority w:val="99"/>
    <w:pPr>
      <w:adjustRightInd/>
      <w:ind w:firstLine="420" w:firstLineChars="200"/>
    </w:pPr>
  </w:style>
  <w:style w:type="paragraph" w:customStyle="1" w:styleId="956">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8">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99"/>
    <w:pPr>
      <w:adjustRightInd/>
      <w:jc w:val="left"/>
    </w:pPr>
    <w:rPr>
      <w:rFonts w:ascii="Calibri" w:hAnsi="Calibri"/>
      <w:kern w:val="0"/>
      <w:sz w:val="22"/>
      <w:szCs w:val="22"/>
      <w:lang w:eastAsia="en-US"/>
    </w:rPr>
  </w:style>
  <w:style w:type="paragraph" w:customStyle="1" w:styleId="96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autoRedefine/>
    <w:qFormat/>
    <w:uiPriority w:val="99"/>
    <w:rPr>
      <w:rFonts w:cs="Times New Roman"/>
      <w:color w:val="000000"/>
      <w:shd w:val="clear" w:color="auto" w:fill="EFD200"/>
    </w:rPr>
  </w:style>
  <w:style w:type="character" w:customStyle="1" w:styleId="968">
    <w:name w:val="font71"/>
    <w:autoRedefine/>
    <w:qFormat/>
    <w:uiPriority w:val="99"/>
    <w:rPr>
      <w:rFonts w:ascii="宋体" w:hAnsi="宋体" w:eastAsia="宋体"/>
      <w:color w:val="000000"/>
      <w:sz w:val="22"/>
      <w:u w:val="none"/>
    </w:rPr>
  </w:style>
  <w:style w:type="character" w:customStyle="1" w:styleId="969">
    <w:name w:val="font91"/>
    <w:basedOn w:val="72"/>
    <w:autoRedefine/>
    <w:qFormat/>
    <w:uiPriority w:val="99"/>
    <w:rPr>
      <w:rFonts w:ascii="仿宋" w:hAnsi="仿宋" w:eastAsia="仿宋"/>
      <w:color w:val="000000"/>
      <w:sz w:val="22"/>
      <w:u w:val="none"/>
    </w:rPr>
  </w:style>
  <w:style w:type="character" w:customStyle="1" w:styleId="970">
    <w:name w:val="Unresolved Mention"/>
    <w:basedOn w:val="72"/>
    <w:autoRedefine/>
    <w:semiHidden/>
    <w:qFormat/>
    <w:uiPriority w:val="99"/>
    <w:rPr>
      <w:rFonts w:cs="Times New Roman"/>
      <w:color w:val="605E5C"/>
      <w:shd w:val="clear" w:color="auto" w:fill="E1DFDD"/>
    </w:rPr>
  </w:style>
  <w:style w:type="character" w:customStyle="1" w:styleId="971">
    <w:name w:val="页码11"/>
    <w:basedOn w:val="972"/>
    <w:autoRedefine/>
    <w:qFormat/>
    <w:uiPriority w:val="99"/>
    <w:rPr>
      <w:rFonts w:cs="Times New Roman"/>
      <w:lang w:val="zh-TW" w:eastAsia="zh-TW"/>
    </w:rPr>
  </w:style>
  <w:style w:type="character" w:customStyle="1" w:styleId="972">
    <w:name w:val="无 A"/>
    <w:autoRedefine/>
    <w:qFormat/>
    <w:uiPriority w:val="99"/>
    <w:rPr>
      <w:lang w:val="en-US"/>
    </w:rPr>
  </w:style>
  <w:style w:type="character" w:customStyle="1" w:styleId="973">
    <w:name w:val="无"/>
    <w:autoRedefine/>
    <w:qFormat/>
    <w:uiPriority w:val="99"/>
  </w:style>
  <w:style w:type="paragraph" w:customStyle="1" w:styleId="974">
    <w:name w:val="正文首行缩进 21"/>
    <w:basedOn w:val="975"/>
    <w:autoRedefine/>
    <w:qFormat/>
    <w:uiPriority w:val="0"/>
    <w:pPr>
      <w:ind w:firstLine="420"/>
    </w:pPr>
    <w:rPr>
      <w:rFonts w:ascii="Times New Roman" w:hAnsi="Times New Roman" w:eastAsia="宋体" w:cs="宋体"/>
    </w:rPr>
  </w:style>
  <w:style w:type="paragraph" w:customStyle="1" w:styleId="975">
    <w:name w:val="正文文本缩进1"/>
    <w:basedOn w:val="1"/>
    <w:next w:val="1"/>
    <w:autoRedefine/>
    <w:qFormat/>
    <w:uiPriority w:val="0"/>
    <w:pPr>
      <w:spacing w:after="120"/>
      <w:ind w:left="420" w:leftChars="200"/>
    </w:pPr>
  </w:style>
  <w:style w:type="paragraph" w:customStyle="1" w:styleId="976">
    <w:name w:val="Body Text First Indent 21"/>
    <w:basedOn w:val="977"/>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7">
    <w:name w:val="Body Text Indent1"/>
    <w:basedOn w:val="1"/>
    <w:next w:val="1"/>
    <w:autoRedefine/>
    <w:qFormat/>
    <w:uiPriority w:val="0"/>
    <w:pPr>
      <w:ind w:left="420" w:leftChars="200"/>
    </w:pPr>
  </w:style>
  <w:style w:type="paragraph" w:customStyle="1" w:styleId="978">
    <w:name w:val="Body Text First Indent 2"/>
    <w:basedOn w:val="979"/>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9">
    <w:name w:val="Body Text Indent"/>
    <w:basedOn w:val="1"/>
    <w:next w:val="1"/>
    <w:autoRedefine/>
    <w:qFormat/>
    <w:uiPriority w:val="0"/>
    <w:pPr>
      <w:spacing w:after="120" w:afterLines="0"/>
      <w:ind w:left="420" w:leftChars="200"/>
    </w:pPr>
    <w:rPr>
      <w:color w:val="000000"/>
      <w:sz w:val="21"/>
      <w:szCs w:val="21"/>
    </w:rPr>
  </w:style>
  <w:style w:type="paragraph" w:customStyle="1" w:styleId="980">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1">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2">
    <w:name w:val="报告正文"/>
    <w:basedOn w:val="1"/>
    <w:autoRedefine/>
    <w:qFormat/>
    <w:uiPriority w:val="99"/>
    <w:pPr>
      <w:spacing w:line="360" w:lineRule="auto"/>
      <w:ind w:firstLine="200" w:firstLineChars="200"/>
    </w:pPr>
    <w:rPr>
      <w:spacing w:val="14"/>
      <w:kern w:val="0"/>
      <w:sz w:val="20"/>
      <w:szCs w:val="20"/>
    </w:rPr>
  </w:style>
  <w:style w:type="paragraph" w:customStyle="1" w:styleId="983">
    <w:name w:val=" Char3 Char Char Char"/>
    <w:basedOn w:val="1"/>
    <w:autoRedefine/>
    <w:qFormat/>
    <w:uiPriority w:val="0"/>
    <w:rPr>
      <w:rFonts w:ascii="Tahoma" w:hAnsi="Tahoma" w:eastAsia="宋体" w:cs="Times New Roman"/>
      <w:color w:val="auto"/>
      <w:kern w:val="2"/>
      <w:sz w:val="24"/>
      <w:szCs w:val="20"/>
    </w:rPr>
  </w:style>
  <w:style w:type="paragraph" w:customStyle="1" w:styleId="984">
    <w:name w:val="正文文本首行缩进11"/>
    <w:basedOn w:val="23"/>
    <w:autoRedefine/>
    <w:qFormat/>
    <w:uiPriority w:val="0"/>
    <w:pPr>
      <w:ind w:firstLine="420" w:firstLineChars="100"/>
    </w:pPr>
  </w:style>
  <w:style w:type="paragraph" w:customStyle="1" w:styleId="985">
    <w:name w:val="index 5"/>
    <w:basedOn w:val="1"/>
    <w:next w:val="1"/>
    <w:autoRedefine/>
    <w:qFormat/>
    <w:uiPriority w:val="0"/>
    <w:pPr>
      <w:ind w:left="800" w:leftChars="800"/>
    </w:pPr>
  </w:style>
  <w:style w:type="paragraph" w:customStyle="1" w:styleId="98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2"/>
    <w:autoRedefine/>
    <w:qFormat/>
    <w:uiPriority w:val="0"/>
  </w:style>
  <w:style w:type="paragraph" w:customStyle="1" w:styleId="989">
    <w:name w:val="正文文字2"/>
    <w:basedOn w:val="23"/>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正文文本首行缩进 2"/>
    <w:basedOn w:val="24"/>
    <w:qFormat/>
    <w:uiPriority w:val="99"/>
    <w:pPr>
      <w:spacing w:line="200" w:lineRule="atLeast"/>
      <w:ind w:firstLine="420"/>
    </w:pPr>
    <w:rPr>
      <w:rFonts w:ascii="宋体" w:hAnsi="Courier New"/>
      <w:spacing w:val="-4"/>
      <w:sz w:val="18"/>
    </w:rPr>
  </w:style>
  <w:style w:type="character" w:customStyle="1" w:styleId="992">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60</Pages>
  <Words>15051</Words>
  <Characters>16413</Characters>
  <Lines>0</Lines>
  <Paragraphs>0</Paragraphs>
  <TotalTime>7</TotalTime>
  <ScaleCrop>false</ScaleCrop>
  <LinksUpToDate>false</LinksUpToDate>
  <CharactersWithSpaces>16603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2025-01-26T09:38:15Z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F783B229AB3F4BD3A00E5470D2CC33AF_13</vt:lpwstr>
  </property>
  <property fmtid="{D5CDD505-2E9C-101B-9397-08002B2CF9AE}" pid="5" name="KSOTemplateDocerSaveRecord">
    <vt:lpwstr>eyJoZGlkIjoiY2ZiOTQwM2Q1MWJhZmQ3MzFmZTU4OTNhNDBlM2Y0MDYiLCJ1c2VySWQiOiIzMTk5MDMwNDgifQ==</vt:lpwstr>
  </property>
</Properties>
</file>