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489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璜山镇2025-2026年残疾人之家运营服务采购项目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诸宸佳2024-12-06</w:t>
      </w:r>
      <w:r>
        <w:rPr>
          <w:rFonts w:hint="eastAsia" w:ascii="仿宋" w:hAnsi="仿宋" w:eastAsia="仿宋" w:cs="仿宋"/>
          <w:b/>
          <w:bCs/>
          <w:sz w:val="32"/>
          <w:szCs w:val="32"/>
          <w:lang w:val="en-US" w:eastAsia="zh-CN"/>
        </w:rPr>
        <w:t>-01</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Lines="75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3"/>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5"/>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w:t>
            </w:r>
            <w:r>
              <w:rPr>
                <w:rFonts w:hint="eastAsia" w:ascii="仿宋" w:hAnsi="仿宋" w:eastAsia="仿宋" w:cs="仿宋"/>
                <w:b/>
                <w:color w:val="auto"/>
                <w:sz w:val="32"/>
                <w:szCs w:val="32"/>
                <w:lang w:val="en-US" w:eastAsia="zh-CN"/>
              </w:rPr>
              <w:t>诸暨市璜山镇人民政府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五年一</w:t>
      </w:r>
      <w:r>
        <w:rPr>
          <w:rFonts w:hint="eastAsia" w:ascii="仿宋" w:hAnsi="仿宋" w:eastAsia="仿宋" w:cs="仿宋"/>
          <w:b/>
          <w:bCs/>
          <w:sz w:val="32"/>
          <w:szCs w:val="32"/>
        </w:rPr>
        <w:t>月</w:t>
      </w:r>
    </w:p>
    <w:p w14:paraId="2A27890D">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4D4680FC">
      <w:pPr>
        <w:adjustRightInd/>
        <w:spacing w:line="360" w:lineRule="auto"/>
        <w:jc w:val="center"/>
        <w:outlineLvl w:val="0"/>
        <w:rPr>
          <w:rFonts w:hint="eastAsia" w:ascii="仿宋" w:hAnsi="仿宋" w:eastAsia="仿宋" w:cs="仿宋"/>
          <w:b/>
          <w:sz w:val="36"/>
          <w:szCs w:val="20"/>
        </w:rPr>
        <w:sectPr>
          <w:footerReference r:id="rId7"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璜山镇2025-2026年残疾人之家运营服务采购项目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b w:val="0"/>
          <w:bCs/>
          <w:color w:val="auto"/>
          <w:sz w:val="24"/>
          <w:highlight w:val="none"/>
          <w:u w:val="single"/>
          <w:lang w:val="en-US" w:eastAsia="zh-CN"/>
        </w:rPr>
        <w:t>月22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0115D95">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诸宸佳2024-12-06-01</w:t>
      </w:r>
    </w:p>
    <w:p w14:paraId="12EB84CE">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璜山镇2025-2026年残疾人之家运营服务采购项目</w:t>
      </w:r>
    </w:p>
    <w:p w14:paraId="68A38FC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宋体"/>
          <w:bCs/>
          <w:color w:val="auto"/>
          <w:sz w:val="24"/>
          <w:szCs w:val="24"/>
          <w:highlight w:val="none"/>
          <w:lang w:val="en-US" w:eastAsia="zh-CN"/>
        </w:rPr>
        <w:t>70</w:t>
      </w:r>
      <w:r>
        <w:rPr>
          <w:rFonts w:hint="eastAsia" w:ascii="仿宋" w:hAnsi="仿宋" w:eastAsia="仿宋" w:cs="宋体"/>
          <w:bCs/>
          <w:color w:val="auto"/>
          <w:sz w:val="24"/>
          <w:szCs w:val="24"/>
          <w:highlight w:val="none"/>
        </w:rPr>
        <w:t>0000</w:t>
      </w:r>
    </w:p>
    <w:p w14:paraId="0AD0FC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宋体"/>
          <w:bCs/>
          <w:color w:val="auto"/>
          <w:sz w:val="24"/>
          <w:szCs w:val="24"/>
          <w:highlight w:val="none"/>
          <w:lang w:val="en-US" w:eastAsia="zh-CN"/>
        </w:rPr>
        <w:t>70</w:t>
      </w:r>
      <w:r>
        <w:rPr>
          <w:rFonts w:hint="eastAsia" w:ascii="仿宋" w:hAnsi="仿宋" w:eastAsia="仿宋" w:cs="宋体"/>
          <w:bCs/>
          <w:color w:val="auto"/>
          <w:sz w:val="24"/>
          <w:szCs w:val="24"/>
          <w:highlight w:val="none"/>
        </w:rPr>
        <w:t>0000</w:t>
      </w:r>
    </w:p>
    <w:p w14:paraId="3D4B70A9">
      <w:pPr>
        <w:pStyle w:val="6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val="en-US" w:eastAsia="zh-CN"/>
        </w:rPr>
        <w:t>璜山镇2025-2026年残疾人之家运营服务采购项目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柒拾万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70</w:t>
      </w:r>
      <w:r>
        <w:rPr>
          <w:rFonts w:hint="eastAsia" w:ascii="仿宋" w:hAnsi="仿宋" w:eastAsia="仿宋" w:cs="宋体"/>
          <w:bCs/>
          <w:color w:val="auto"/>
          <w:sz w:val="24"/>
          <w:szCs w:val="24"/>
          <w:highlight w:val="none"/>
        </w:rPr>
        <w:t>0000.00）</w:t>
      </w:r>
      <w:r>
        <w:rPr>
          <w:rFonts w:hint="eastAsia" w:ascii="仿宋" w:hAnsi="仿宋" w:eastAsia="仿宋" w:cs="宋体"/>
          <w:color w:val="auto"/>
          <w:sz w:val="24"/>
          <w:szCs w:val="24"/>
          <w:highlight w:val="none"/>
        </w:rPr>
        <w:t>，具体内容详见采购需求</w:t>
      </w:r>
      <w:r>
        <w:rPr>
          <w:rFonts w:hint="eastAsia" w:ascii="仿宋" w:hAnsi="仿宋" w:eastAsia="仿宋" w:cs="宋体"/>
          <w:color w:val="auto"/>
          <w:sz w:val="24"/>
          <w:szCs w:val="24"/>
          <w:highlight w:val="none"/>
          <w:lang w:eastAsia="zh-CN"/>
        </w:rPr>
        <w:t>。</w:t>
      </w:r>
    </w:p>
    <w:p w14:paraId="5F81E5C7">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自合同签订之日起两年</w:t>
      </w:r>
      <w:r>
        <w:rPr>
          <w:rFonts w:hint="eastAsia" w:ascii="仿宋" w:hAnsi="仿宋" w:eastAsia="仿宋" w:cs="宋体"/>
          <w:color w:val="auto"/>
          <w:kern w:val="0"/>
          <w:sz w:val="24"/>
          <w:szCs w:val="24"/>
          <w:highlight w:val="none"/>
          <w:lang w:val="en-US" w:eastAsia="zh-CN" w:bidi="ar-SA"/>
        </w:rPr>
        <w:t>。</w:t>
      </w:r>
    </w:p>
    <w:p w14:paraId="36414DAA">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108E3B7F">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w:t>
      </w:r>
      <w:r>
        <w:rPr>
          <w:rFonts w:hint="eastAsia" w:ascii="仿宋" w:hAnsi="仿宋" w:eastAsia="仿宋" w:cs="仿宋"/>
          <w:bCs/>
          <w:sz w:val="24"/>
          <w:szCs w:val="24"/>
          <w:highlight w:val="none"/>
        </w:rPr>
        <w:t>无</w:t>
      </w:r>
      <w:r>
        <w:rPr>
          <w:rFonts w:hint="eastAsia" w:eastAsia="仿宋" w:cs="Times New Roman"/>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60521445">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b w:val="0"/>
          <w:bCs/>
          <w:color w:val="auto"/>
          <w:sz w:val="24"/>
          <w:highlight w:val="none"/>
          <w:u w:val="single"/>
          <w:lang w:val="en-US" w:eastAsia="zh-CN"/>
        </w:rPr>
        <w:t>月22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b w:val="0"/>
          <w:bCs/>
          <w:color w:val="auto"/>
          <w:sz w:val="24"/>
          <w:highlight w:val="none"/>
          <w:u w:val="single"/>
          <w:lang w:val="en-US" w:eastAsia="zh-CN"/>
        </w:rPr>
        <w:t>月22</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582449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2FC5F6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b w:val="0"/>
          <w:bCs/>
          <w:color w:val="auto"/>
          <w:sz w:val="24"/>
          <w:highlight w:val="none"/>
          <w:u w:val="single"/>
          <w:lang w:val="en-US" w:eastAsia="zh-CN"/>
        </w:rPr>
        <w:t>月22</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9F98127">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highlight w:val="none"/>
        </w:rPr>
        <w:t>（https://www.zcygov.cn/）</w:t>
      </w:r>
      <w:r>
        <w:rPr>
          <w:rFonts w:hint="eastAsia" w:ascii="仿宋" w:hAnsi="仿宋" w:eastAsia="仿宋"/>
          <w:highlight w:val="none"/>
          <w:lang w:eastAsia="zh-CN"/>
        </w:rPr>
        <w:t>。</w:t>
      </w:r>
      <w:r>
        <w:rPr>
          <w:rFonts w:hint="eastAsia" w:ascii="仿宋" w:hAnsi="仿宋" w:eastAsia="仿宋"/>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五、公告期限</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highlight w:val="none"/>
          <w:lang w:val="en-US" w:eastAsia="zh-CN" w:bidi="ar-SA"/>
        </w:rPr>
        <w:t>诸暨市璜山镇人民政府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地    址：诸暨市璜山镇为民路2号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项目联系人（询问）：葛彩玲</w:t>
      </w:r>
    </w:p>
    <w:p w14:paraId="77CE8EE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项目联系方式（询问）：13989597670</w:t>
      </w:r>
      <w:r>
        <w:rPr>
          <w:rFonts w:hint="eastAsia" w:ascii="仿宋" w:hAnsi="仿宋" w:eastAsia="仿宋" w:cs="仿宋"/>
          <w:sz w:val="24"/>
          <w:highlight w:val="none"/>
          <w:lang w:val="en-US" w:eastAsia="zh-CN"/>
        </w:rPr>
        <w:t>（工作电话）</w:t>
      </w:r>
    </w:p>
    <w:p w14:paraId="1571729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质疑联系人：斯巧云</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质疑联系方式：13567587106</w:t>
      </w:r>
      <w:r>
        <w:rPr>
          <w:rFonts w:hint="eastAsia" w:ascii="仿宋" w:hAnsi="仿宋" w:eastAsia="仿宋" w:cs="仿宋"/>
          <w:sz w:val="24"/>
          <w:highlight w:val="none"/>
          <w:lang w:val="en-US" w:eastAsia="zh-CN"/>
        </w:rPr>
        <w:t>（工作电话）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bookmarkStart w:id="394" w:name="_GoBack"/>
      <w:bookmarkEnd w:id="394"/>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4"/>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4"/>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r>
              <w:rPr>
                <w:rFonts w:hint="eastAsia" w:ascii="仿宋" w:hAnsi="仿宋" w:eastAsia="仿宋" w:cs="仿宋"/>
                <w:color w:val="auto"/>
                <w:sz w:val="24"/>
                <w:szCs w:val="24"/>
                <w:highlight w:val="none"/>
                <w:lang w:eastAsia="zh-CN"/>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A82A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璜山镇2025-2026年残疾人之家运营服务采购项目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5"/>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54BCEAD3">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131BA0E7">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8" w:type="default"/>
          <w:footerReference r:id="rId9"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7"/>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704BD1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68073093"/>
      <w:bookmarkEnd w:id="12"/>
      <w:bookmarkStart w:id="13" w:name="_Hlt75236101"/>
      <w:bookmarkEnd w:id="13"/>
      <w:bookmarkStart w:id="14" w:name="_Hlt68072990"/>
      <w:bookmarkEnd w:id="14"/>
      <w:bookmarkStart w:id="15" w:name="_Hlt74730295"/>
      <w:bookmarkEnd w:id="15"/>
      <w:bookmarkStart w:id="16" w:name="_Hlt75236290"/>
      <w:bookmarkEnd w:id="16"/>
      <w:bookmarkStart w:id="17" w:name="_Hlt75236011"/>
      <w:bookmarkEnd w:id="17"/>
      <w:bookmarkStart w:id="18" w:name="_Hlt74714665"/>
      <w:bookmarkEnd w:id="18"/>
      <w:bookmarkStart w:id="19" w:name="_Hlt74729768"/>
      <w:bookmarkEnd w:id="19"/>
      <w:bookmarkStart w:id="20" w:name="_Hlt68072998"/>
      <w:bookmarkEnd w:id="20"/>
      <w:bookmarkStart w:id="21" w:name="_Hlt68403820"/>
      <w:bookmarkEnd w:id="21"/>
      <w:bookmarkStart w:id="22" w:name="_Hlt68057669"/>
      <w:bookmarkEnd w:id="22"/>
      <w:bookmarkStart w:id="23" w:name="_Hlt74707468"/>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3BE3B16F">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kern w:val="2"/>
          <w:sz w:val="24"/>
          <w:szCs w:val="24"/>
          <w:highlight w:val="none"/>
          <w:lang w:val="en-US" w:eastAsia="zh-CN"/>
        </w:rPr>
        <w:t>（一）</w:t>
      </w:r>
      <w:r>
        <w:rPr>
          <w:rFonts w:hint="eastAsia" w:ascii="仿宋" w:hAnsi="仿宋" w:eastAsia="仿宋" w:cs="仿宋"/>
          <w:b/>
          <w:bCs w:val="0"/>
          <w:color w:val="auto"/>
          <w:sz w:val="24"/>
          <w:szCs w:val="24"/>
          <w:highlight w:val="none"/>
        </w:rPr>
        <w:t>项目概况</w:t>
      </w:r>
    </w:p>
    <w:p w14:paraId="4B5EA8F5">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color w:val="auto"/>
          <w:sz w:val="24"/>
          <w:highlight w:val="none"/>
          <w:lang w:val="en-US" w:eastAsia="zh-CN"/>
        </w:rPr>
        <w:t>诸暨市璜山镇残疾人之家</w:t>
      </w:r>
      <w:r>
        <w:rPr>
          <w:rFonts w:hint="eastAsia" w:ascii="仿宋" w:hAnsi="仿宋" w:eastAsia="仿宋" w:cs="仿宋"/>
          <w:bCs/>
          <w:color w:val="auto"/>
          <w:sz w:val="24"/>
          <w:szCs w:val="24"/>
          <w:highlight w:val="none"/>
          <w:lang w:val="en-US" w:eastAsia="zh-CN"/>
        </w:rPr>
        <w:t>设立在璜山镇居家养老服务中心的二楼，面积约300㎡，独立运营。</w:t>
      </w:r>
      <w:r>
        <w:rPr>
          <w:rFonts w:hint="eastAsia" w:ascii="仿宋" w:hAnsi="仿宋" w:eastAsia="仿宋" w:cs="仿宋"/>
          <w:bCs/>
          <w:color w:val="auto"/>
          <w:sz w:val="24"/>
          <w:szCs w:val="24"/>
          <w:highlight w:val="none"/>
        </w:rPr>
        <w:t>经政府研究决定通过公开招标方式，委托第三方对</w:t>
      </w:r>
      <w:r>
        <w:rPr>
          <w:rFonts w:hint="eastAsia" w:ascii="仿宋" w:hAnsi="仿宋" w:eastAsia="仿宋" w:cs="仿宋"/>
          <w:color w:val="auto"/>
          <w:sz w:val="24"/>
          <w:highlight w:val="none"/>
          <w:lang w:val="en-US" w:eastAsia="zh-CN"/>
        </w:rPr>
        <w:t>诸暨市璜山镇残疾人之家</w:t>
      </w:r>
      <w:r>
        <w:rPr>
          <w:rFonts w:hint="eastAsia" w:ascii="仿宋" w:hAnsi="仿宋" w:eastAsia="仿宋" w:cs="仿宋"/>
          <w:bCs/>
          <w:color w:val="auto"/>
          <w:sz w:val="24"/>
          <w:szCs w:val="24"/>
          <w:highlight w:val="none"/>
        </w:rPr>
        <w:t>进行运行管理，本次招标服务期为</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w:t>
      </w:r>
    </w:p>
    <w:p w14:paraId="30594FF8">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（二）</w:t>
      </w:r>
      <w:r>
        <w:rPr>
          <w:rFonts w:hint="eastAsia" w:ascii="仿宋" w:hAnsi="仿宋" w:eastAsia="仿宋" w:cs="仿宋"/>
          <w:b/>
          <w:bCs w:val="0"/>
          <w:color w:val="auto"/>
          <w:sz w:val="24"/>
          <w:szCs w:val="24"/>
          <w:highlight w:val="none"/>
        </w:rPr>
        <w:t>服务要求、服务范围</w:t>
      </w:r>
    </w:p>
    <w:p w14:paraId="2C51A0AB">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highlight w:val="none"/>
          <w:lang w:val="en-US" w:eastAsia="zh-CN"/>
        </w:rPr>
        <w:t>诸暨市璜山镇残疾人之家</w:t>
      </w:r>
      <w:r>
        <w:rPr>
          <w:rFonts w:hint="eastAsia" w:ascii="仿宋" w:hAnsi="仿宋" w:eastAsia="仿宋" w:cs="仿宋"/>
          <w:bCs/>
          <w:color w:val="auto"/>
          <w:sz w:val="24"/>
          <w:szCs w:val="24"/>
          <w:highlight w:val="none"/>
        </w:rPr>
        <w:t>，为部分精神智力和其他重度残疾人提供日间照料、技能培训、康复服务、文体服务和辅助性就业等服务</w:t>
      </w:r>
      <w:r>
        <w:rPr>
          <w:rFonts w:hint="eastAsia" w:ascii="仿宋" w:hAnsi="仿宋" w:eastAsia="仿宋" w:cs="仿宋"/>
          <w:bCs/>
          <w:color w:val="auto"/>
          <w:kern w:val="2"/>
          <w:sz w:val="24"/>
          <w:szCs w:val="24"/>
          <w:highlight w:val="none"/>
        </w:rPr>
        <w:t>。</w:t>
      </w:r>
    </w:p>
    <w:p w14:paraId="21B680E8">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托管经营招标期限：</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年，经采购人综合验收完成并与</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办理正式移交手续之日起计算。考核内容依据附件</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《残疾人之家运营管理考核细则》规定执行。</w:t>
      </w:r>
    </w:p>
    <w:p w14:paraId="32B0CD6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（三）</w:t>
      </w:r>
      <w:r>
        <w:rPr>
          <w:rFonts w:hint="eastAsia" w:ascii="仿宋" w:hAnsi="仿宋" w:eastAsia="仿宋" w:cs="仿宋"/>
          <w:b/>
          <w:bCs w:val="0"/>
          <w:color w:val="auto"/>
          <w:sz w:val="24"/>
          <w:szCs w:val="24"/>
          <w:highlight w:val="none"/>
          <w:lang w:val="en-US" w:eastAsia="zh-CN"/>
        </w:rPr>
        <w:t>采购</w:t>
      </w:r>
      <w:r>
        <w:rPr>
          <w:rFonts w:hint="eastAsia" w:ascii="仿宋" w:hAnsi="仿宋" w:eastAsia="仿宋" w:cs="仿宋"/>
          <w:b/>
          <w:bCs w:val="0"/>
          <w:color w:val="auto"/>
          <w:sz w:val="24"/>
          <w:szCs w:val="24"/>
          <w:highlight w:val="none"/>
        </w:rPr>
        <w:t>人对本项目的扶持及考核制度</w:t>
      </w:r>
    </w:p>
    <w:p w14:paraId="2197E4D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委托管理期间，</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实行月度服务质量评估和年度考核制度。具体参照附件</w:t>
      </w:r>
      <w:r>
        <w:rPr>
          <w:rFonts w:hint="eastAsia" w:ascii="仿宋" w:hAnsi="仿宋" w:eastAsia="仿宋" w:cs="仿宋"/>
          <w:bCs/>
          <w:color w:val="auto"/>
          <w:sz w:val="24"/>
          <w:szCs w:val="24"/>
          <w:highlight w:val="none"/>
          <w:lang w:val="en-US" w:eastAsia="zh-CN"/>
        </w:rPr>
        <w:t>1的</w:t>
      </w:r>
      <w:r>
        <w:rPr>
          <w:rFonts w:hint="eastAsia" w:ascii="仿宋" w:hAnsi="仿宋" w:eastAsia="仿宋" w:cs="仿宋"/>
          <w:bCs/>
          <w:color w:val="auto"/>
          <w:sz w:val="24"/>
          <w:szCs w:val="24"/>
          <w:highlight w:val="none"/>
        </w:rPr>
        <w:t>考核细则</w:t>
      </w:r>
      <w:r>
        <w:rPr>
          <w:rFonts w:hint="eastAsia" w:ascii="仿宋" w:hAnsi="仿宋" w:eastAsia="仿宋" w:cs="仿宋"/>
          <w:bCs/>
          <w:color w:val="auto"/>
          <w:sz w:val="24"/>
          <w:szCs w:val="24"/>
          <w:highlight w:val="none"/>
          <w:lang w:eastAsia="zh-CN"/>
        </w:rPr>
        <w:t>和民政部门有关规定</w:t>
      </w:r>
      <w:r>
        <w:rPr>
          <w:rFonts w:hint="eastAsia" w:ascii="仿宋" w:hAnsi="仿宋" w:eastAsia="仿宋" w:cs="仿宋"/>
          <w:bCs/>
          <w:color w:val="auto"/>
          <w:sz w:val="24"/>
          <w:szCs w:val="24"/>
          <w:highlight w:val="none"/>
        </w:rPr>
        <w:t>执行。</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实行每月一次的服务质量评估，评估中发现的问题，</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需在15日内整改到位，未整改到位的每次在履约保证金中扣除2000元。</w:t>
      </w:r>
      <w:r>
        <w:rPr>
          <w:rFonts w:hint="eastAsia" w:ascii="仿宋" w:hAnsi="仿宋" w:eastAsia="仿宋" w:cs="仿宋"/>
          <w:bCs/>
          <w:color w:val="auto"/>
          <w:sz w:val="24"/>
          <w:szCs w:val="24"/>
          <w:highlight w:val="none"/>
          <w:lang w:eastAsia="zh-CN"/>
        </w:rPr>
        <w:t>一个月内未整改到位的，采购人</w:t>
      </w:r>
      <w:r>
        <w:rPr>
          <w:rFonts w:hint="eastAsia" w:ascii="仿宋" w:hAnsi="仿宋" w:eastAsia="仿宋" w:cs="仿宋"/>
          <w:bCs/>
          <w:color w:val="auto"/>
          <w:sz w:val="24"/>
          <w:szCs w:val="24"/>
          <w:highlight w:val="none"/>
        </w:rPr>
        <w:t>有权解除合同，</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无条件退出经营。</w:t>
      </w:r>
    </w:p>
    <w:p w14:paraId="57E689C6">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残疾人之家：按市残联拨付为准，包括每季度的运营经费（每月按实结算）、年度星级奖励经费（按市残联考评结果拨付）、星级提升创建和奖励经费由运营单位和</w:t>
      </w:r>
      <w:r>
        <w:rPr>
          <w:rFonts w:hint="eastAsia" w:ascii="仿宋" w:hAnsi="仿宋" w:eastAsia="仿宋" w:cs="仿宋"/>
          <w:bCs/>
          <w:color w:val="auto"/>
          <w:sz w:val="24"/>
          <w:szCs w:val="24"/>
          <w:highlight w:val="none"/>
          <w:lang w:eastAsia="zh-CN"/>
        </w:rPr>
        <w:t>璜山镇</w:t>
      </w:r>
      <w:r>
        <w:rPr>
          <w:rFonts w:hint="eastAsia" w:ascii="仿宋" w:hAnsi="仿宋" w:eastAsia="仿宋" w:cs="仿宋"/>
          <w:bCs/>
          <w:color w:val="auto"/>
          <w:sz w:val="24"/>
          <w:szCs w:val="24"/>
          <w:highlight w:val="none"/>
        </w:rPr>
        <w:t>人民政府协商确定。</w:t>
      </w:r>
    </w:p>
    <w:p w14:paraId="26170E3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（四）</w:t>
      </w:r>
      <w:r>
        <w:rPr>
          <w:rFonts w:hint="eastAsia" w:ascii="仿宋" w:hAnsi="仿宋" w:eastAsia="仿宋" w:cs="仿宋"/>
          <w:b/>
          <w:bCs w:val="0"/>
          <w:color w:val="auto"/>
          <w:sz w:val="24"/>
          <w:szCs w:val="24"/>
          <w:highlight w:val="none"/>
        </w:rPr>
        <w:t>运营要求</w:t>
      </w:r>
    </w:p>
    <w:p w14:paraId="2720A0BD">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1、安置法定就业年龄段的智力、精神残疾人不少于15人。</w:t>
      </w:r>
    </w:p>
    <w:p w14:paraId="015D26E0">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2、与安置的残疾人或其监护人签订不少于6个月的劳动合同或相关协议，为残疾人提供有报酬的劳动。</w:t>
      </w:r>
    </w:p>
    <w:p w14:paraId="08C737E8">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3、生活照料、技能培训、康复服务、问题服务和辅助性就业等服务功能齐全，为机构中的残疾人提供免费的工作日午餐和午休服务。</w:t>
      </w:r>
    </w:p>
    <w:p w14:paraId="0C3C83C6">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4、受照顾残疾人每周在机构接受服务时间时间不少于20小时（每周不少于5天）。</w:t>
      </w:r>
    </w:p>
    <w:p w14:paraId="14CEC76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根据规模配备管理和服务人员，管理服务人员与残疾人的比例按照不低于1：8配备，专职和兼职不少于2人，并配备有专（兼）职医护人员。机构负责人、管理服务人员需经过专业培训并取得合格证书，熟悉残疾人相关法规和专业服务知识。相关人员原则上60周岁以下，身体健康。</w:t>
      </w:r>
    </w:p>
    <w:p w14:paraId="3498C2DD">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建立健全开展服务所必需的服务规范和管理制度，包括基础管理制度、服务管理制度和安全管理制度，实行个人实名制信息管理，数字化考勤，做到“一人一档”。推行日常服务台账管理，做到“一日一志”。</w:t>
      </w:r>
    </w:p>
    <w:p w14:paraId="14E65A44">
      <w:pPr>
        <w:keepNext w:val="0"/>
        <w:keepLines w:val="0"/>
        <w:pageBreakBefore w:val="0"/>
        <w:widowControl w:val="0"/>
        <w:kinsoku/>
        <w:wordWrap/>
        <w:overflowPunct/>
        <w:topLinePunct w:val="0"/>
        <w:bidi w:val="0"/>
        <w:spacing w:line="420" w:lineRule="exact"/>
        <w:ind w:firstLine="480" w:firstLineChars="200"/>
        <w:textAlignment w:val="auto"/>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sz w:val="24"/>
          <w:szCs w:val="24"/>
          <w:highlight w:val="none"/>
        </w:rPr>
        <w:t>7、</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需按照</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星级残疾人之家的标准规范化运行，年底复评分数不得低于1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0分，如发生降低或取消机构星级等情况，</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w:t>
      </w:r>
      <w:r>
        <w:rPr>
          <w:rFonts w:hint="eastAsia" w:ascii="仿宋" w:hAnsi="仿宋" w:eastAsia="仿宋" w:cs="仿宋"/>
          <w:bCs/>
          <w:color w:val="auto"/>
          <w:sz w:val="24"/>
          <w:szCs w:val="24"/>
          <w:highlight w:val="none"/>
          <w:lang w:eastAsia="zh-CN"/>
        </w:rPr>
        <w:t>将全额保证金</w:t>
      </w:r>
      <w:r>
        <w:rPr>
          <w:rFonts w:hint="eastAsia" w:ascii="仿宋" w:hAnsi="仿宋" w:eastAsia="仿宋" w:cs="仿宋"/>
          <w:bCs/>
          <w:color w:val="auto"/>
          <w:sz w:val="24"/>
          <w:szCs w:val="24"/>
          <w:highlight w:val="none"/>
        </w:rPr>
        <w:t>赔偿</w:t>
      </w:r>
      <w:r>
        <w:rPr>
          <w:rFonts w:hint="eastAsia" w:ascii="仿宋" w:hAnsi="仿宋" w:eastAsia="仿宋" w:cs="仿宋"/>
          <w:bCs/>
          <w:color w:val="auto"/>
          <w:sz w:val="24"/>
          <w:szCs w:val="24"/>
          <w:highlight w:val="none"/>
          <w:lang w:eastAsia="zh-CN"/>
        </w:rPr>
        <w:t>给采购人，作为</w:t>
      </w:r>
      <w:r>
        <w:rPr>
          <w:rFonts w:hint="eastAsia" w:ascii="仿宋" w:hAnsi="仿宋" w:eastAsia="仿宋" w:cs="仿宋"/>
          <w:bCs/>
          <w:color w:val="auto"/>
          <w:sz w:val="24"/>
          <w:szCs w:val="24"/>
          <w:highlight w:val="none"/>
        </w:rPr>
        <w:t>由此带来的各项损失</w:t>
      </w:r>
      <w:r>
        <w:rPr>
          <w:rFonts w:hint="eastAsia" w:ascii="仿宋" w:hAnsi="仿宋" w:eastAsia="仿宋" w:cs="仿宋"/>
          <w:bCs/>
          <w:color w:val="auto"/>
          <w:kern w:val="2"/>
          <w:sz w:val="24"/>
          <w:szCs w:val="24"/>
          <w:highlight w:val="none"/>
          <w:lang w:val="en-US" w:eastAsia="zh-CN"/>
        </w:rPr>
        <w:t>。</w:t>
      </w:r>
    </w:p>
    <w:p w14:paraId="6517F5B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）其它要求</w:t>
      </w:r>
    </w:p>
    <w:p w14:paraId="48067FD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1、运营过程中所涉及的相关收费项目应按照相关部门核定的标准执行，并接受</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的指导、监督和检查。</w:t>
      </w:r>
    </w:p>
    <w:p w14:paraId="3B88F956">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不得改变建筑物结构。若因运营需要改变装修的，应报采购人同意后方可实施。</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不得违法违章搭（建）建筑物。</w:t>
      </w:r>
    </w:p>
    <w:p w14:paraId="69D8FB52">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、自觉遵守和执行国家的各项法律法规，并承担运营过程中所发生的一切经济和法律责任。</w:t>
      </w:r>
    </w:p>
    <w:p w14:paraId="618991B3">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、运营场所要符合公安、消防、卫生及食品安全等有关要求，落实各项安全管理主体责任，并承担相应的法律责任。</w:t>
      </w:r>
    </w:p>
    <w:p w14:paraId="3968758F">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、不得从事与残疾人服务、医疗服务无关的经营活动，不得利用</w:t>
      </w:r>
      <w:r>
        <w:rPr>
          <w:rFonts w:hint="eastAsia" w:ascii="仿宋" w:hAnsi="仿宋" w:eastAsia="仿宋" w:cs="仿宋"/>
          <w:color w:val="auto"/>
          <w:sz w:val="24"/>
          <w:highlight w:val="none"/>
          <w:lang w:val="en-US" w:eastAsia="zh-CN"/>
        </w:rPr>
        <w:t>诸暨市璜山镇残疾人运营之家</w:t>
      </w:r>
      <w:r>
        <w:rPr>
          <w:rFonts w:hint="eastAsia" w:ascii="仿宋" w:hAnsi="仿宋" w:eastAsia="仿宋" w:cs="仿宋"/>
          <w:bCs/>
          <w:color w:val="auto"/>
          <w:sz w:val="24"/>
          <w:szCs w:val="24"/>
          <w:highlight w:val="none"/>
        </w:rPr>
        <w:t>项目场地从事生产、销售、经营国家规定的违禁品，不得从事任何违法活动。</w:t>
      </w:r>
    </w:p>
    <w:p w14:paraId="2ED2B027">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、不得以</w:t>
      </w:r>
      <w:r>
        <w:rPr>
          <w:rFonts w:hint="eastAsia" w:ascii="仿宋" w:hAnsi="仿宋" w:eastAsia="仿宋" w:cs="仿宋"/>
          <w:color w:val="auto"/>
          <w:sz w:val="24"/>
          <w:highlight w:val="none"/>
          <w:lang w:val="en-US" w:eastAsia="zh-CN"/>
        </w:rPr>
        <w:t>诸暨市璜山镇残疾人之家运营</w:t>
      </w:r>
      <w:r>
        <w:rPr>
          <w:rFonts w:hint="eastAsia" w:ascii="仿宋" w:hAnsi="仿宋" w:eastAsia="仿宋" w:cs="仿宋"/>
          <w:bCs/>
          <w:color w:val="auto"/>
          <w:sz w:val="24"/>
          <w:szCs w:val="24"/>
          <w:highlight w:val="none"/>
        </w:rPr>
        <w:t>项目的运营权向第三方进行转包、担保、保证、抵押或其他有损害</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权益的行为，由此引起的一切责任由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w:t>
      </w:r>
    </w:p>
    <w:p w14:paraId="68F531EA">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必须按规定程序和安全文明服务有关要求进行实施，承担服务过程中的各种意外，其责任由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承担，采购人不承担任何责任。</w:t>
      </w:r>
    </w:p>
    <w:p w14:paraId="5586CFE3">
      <w:pPr>
        <w:keepNext w:val="0"/>
        <w:keepLines w:val="0"/>
        <w:pageBreakBefore w:val="0"/>
        <w:widowControl w:val="0"/>
        <w:kinsoku/>
        <w:wordWrap/>
        <w:overflowPunct/>
        <w:topLinePunct w:val="0"/>
        <w:bidi w:val="0"/>
        <w:spacing w:line="420" w:lineRule="exact"/>
        <w:ind w:right="1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）提供服务的时间</w:t>
      </w:r>
    </w:p>
    <w:p w14:paraId="67F0E57C">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托管经营招标期限：本次招标服务期为自合同签订之日起</w:t>
      </w:r>
      <w:r>
        <w:rPr>
          <w:rFonts w:hint="eastAsia" w:ascii="仿宋" w:hAnsi="仿宋" w:eastAsia="仿宋" w:cs="仿宋"/>
          <w:b/>
          <w:bCs/>
          <w:color w:val="auto"/>
          <w:sz w:val="24"/>
          <w:szCs w:val="24"/>
          <w:highlight w:val="none"/>
          <w:lang w:val="en-US" w:eastAsia="zh-CN"/>
        </w:rPr>
        <w:t>两</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经采购人综合验收完成并与</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办理正式移交手续之日起接管并提供服务，如若延期接管的按 1000元/天进行经济赔偿</w:t>
      </w:r>
      <w:r>
        <w:rPr>
          <w:rFonts w:hint="eastAsia" w:ascii="仿宋" w:hAnsi="仿宋" w:eastAsia="仿宋" w:cs="仿宋"/>
          <w:b/>
          <w:bCs/>
          <w:color w:val="auto"/>
          <w:sz w:val="24"/>
          <w:szCs w:val="24"/>
          <w:highlight w:val="none"/>
          <w:lang w:eastAsia="zh-CN"/>
        </w:rPr>
        <w:t>，赔偿费用从保证金内扣除</w:t>
      </w:r>
      <w:r>
        <w:rPr>
          <w:rFonts w:hint="eastAsia" w:ascii="仿宋" w:hAnsi="仿宋" w:eastAsia="仿宋" w:cs="仿宋"/>
          <w:b/>
          <w:bCs/>
          <w:color w:val="auto"/>
          <w:sz w:val="24"/>
          <w:szCs w:val="24"/>
          <w:highlight w:val="none"/>
        </w:rPr>
        <w:t>，采购人由于某种原因需延期接管时，延期赔偿金可不计，</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也不作任何</w:t>
      </w:r>
      <w:r>
        <w:rPr>
          <w:rFonts w:hint="eastAsia" w:ascii="仿宋" w:hAnsi="仿宋" w:eastAsia="仿宋" w:cs="仿宋"/>
          <w:b/>
          <w:bCs/>
          <w:color w:val="auto"/>
          <w:sz w:val="24"/>
          <w:szCs w:val="24"/>
          <w:highlight w:val="none"/>
          <w:lang w:eastAsia="zh-CN"/>
        </w:rPr>
        <w:t>索赔</w:t>
      </w:r>
      <w:r>
        <w:rPr>
          <w:rFonts w:hint="eastAsia" w:ascii="仿宋" w:hAnsi="仿宋" w:eastAsia="仿宋" w:cs="仿宋"/>
          <w:b/>
          <w:bCs/>
          <w:color w:val="auto"/>
          <w:sz w:val="24"/>
          <w:szCs w:val="24"/>
          <w:highlight w:val="none"/>
        </w:rPr>
        <w:t>。</w:t>
      </w:r>
    </w:p>
    <w:p w14:paraId="030A9DD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default"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（七）履约保证金和付款方式</w:t>
      </w:r>
    </w:p>
    <w:p w14:paraId="16C36DC4">
      <w:pPr>
        <w:keepNext w:val="0"/>
        <w:keepLines w:val="0"/>
        <w:pageBreakBefore w:val="0"/>
        <w:widowControl w:val="0"/>
        <w:shd w:val="clear" w:color="auto" w:fill="auto"/>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1、履约保证金：</w:t>
      </w: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p>
    <w:p w14:paraId="2A2A4D46">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2、付款方式：</w:t>
      </w:r>
      <w:r>
        <w:rPr>
          <w:rFonts w:hint="eastAsia" w:ascii="仿宋" w:hAnsi="仿宋" w:eastAsia="仿宋" w:cs="仿宋"/>
          <w:b/>
          <w:bCs/>
          <w:color w:val="auto"/>
          <w:sz w:val="24"/>
          <w:szCs w:val="24"/>
          <w:highlight w:val="none"/>
        </w:rPr>
        <w:t>按</w:t>
      </w:r>
      <w:r>
        <w:rPr>
          <w:rFonts w:hint="eastAsia" w:ascii="仿宋" w:hAnsi="仿宋" w:eastAsia="仿宋" w:cs="仿宋"/>
          <w:b/>
          <w:bCs/>
          <w:color w:val="auto"/>
          <w:sz w:val="24"/>
          <w:szCs w:val="24"/>
          <w:highlight w:val="none"/>
          <w:lang w:val="en-US" w:eastAsia="zh-CN"/>
        </w:rPr>
        <w:t>季度</w:t>
      </w:r>
      <w:r>
        <w:rPr>
          <w:rFonts w:hint="eastAsia" w:ascii="仿宋" w:hAnsi="仿宋" w:eastAsia="仿宋" w:cs="仿宋"/>
          <w:b/>
          <w:bCs/>
          <w:color w:val="auto"/>
          <w:sz w:val="24"/>
          <w:szCs w:val="24"/>
          <w:highlight w:val="none"/>
        </w:rPr>
        <w:t>发放，每</w:t>
      </w:r>
      <w:r>
        <w:rPr>
          <w:rFonts w:hint="eastAsia" w:ascii="仿宋" w:hAnsi="仿宋" w:eastAsia="仿宋" w:cs="仿宋"/>
          <w:b/>
          <w:bCs/>
          <w:color w:val="auto"/>
          <w:sz w:val="24"/>
          <w:szCs w:val="24"/>
          <w:highlight w:val="none"/>
          <w:lang w:val="en-US" w:eastAsia="zh-CN"/>
        </w:rPr>
        <w:t>季度服务</w:t>
      </w:r>
      <w:r>
        <w:rPr>
          <w:rFonts w:hint="eastAsia" w:ascii="仿宋" w:hAnsi="仿宋" w:eastAsia="仿宋" w:cs="仿宋"/>
          <w:b/>
          <w:bCs/>
          <w:color w:val="auto"/>
          <w:sz w:val="24"/>
          <w:szCs w:val="24"/>
          <w:highlight w:val="none"/>
        </w:rPr>
        <w:t>费依据考核结果，扣除应扣款项后的金额，采购人</w:t>
      </w:r>
      <w:r>
        <w:rPr>
          <w:rFonts w:hint="eastAsia" w:ascii="仿宋" w:hAnsi="仿宋" w:eastAsia="仿宋" w:cs="仿宋"/>
          <w:b/>
          <w:bCs/>
          <w:color w:val="auto"/>
          <w:sz w:val="24"/>
          <w:szCs w:val="24"/>
          <w:highlight w:val="none"/>
          <w:lang w:val="en-US" w:eastAsia="zh-CN"/>
        </w:rPr>
        <w:t>在每季度考核结束次月20日前</w:t>
      </w:r>
      <w:r>
        <w:rPr>
          <w:rFonts w:hint="eastAsia" w:ascii="仿宋" w:hAnsi="仿宋" w:eastAsia="仿宋" w:cs="仿宋"/>
          <w:b/>
          <w:bCs/>
          <w:color w:val="auto"/>
          <w:sz w:val="24"/>
          <w:szCs w:val="24"/>
          <w:highlight w:val="none"/>
        </w:rPr>
        <w:t>将</w:t>
      </w:r>
      <w:r>
        <w:rPr>
          <w:rFonts w:hint="eastAsia" w:ascii="仿宋" w:hAnsi="仿宋" w:eastAsia="仿宋" w:cs="仿宋"/>
          <w:b/>
          <w:bCs/>
          <w:color w:val="auto"/>
          <w:sz w:val="24"/>
          <w:szCs w:val="24"/>
          <w:highlight w:val="none"/>
          <w:lang w:val="en-US" w:eastAsia="zh-CN"/>
        </w:rPr>
        <w:t>上一季度服务</w:t>
      </w:r>
      <w:r>
        <w:rPr>
          <w:rFonts w:hint="eastAsia" w:ascii="仿宋" w:hAnsi="仿宋" w:eastAsia="仿宋" w:cs="仿宋"/>
          <w:b/>
          <w:bCs/>
          <w:color w:val="auto"/>
          <w:sz w:val="24"/>
          <w:szCs w:val="24"/>
          <w:highlight w:val="none"/>
        </w:rPr>
        <w:t>费用拨付给中标单位。</w:t>
      </w:r>
    </w:p>
    <w:p w14:paraId="334F6557">
      <w:pPr>
        <w:pStyle w:val="677"/>
        <w:keepNext w:val="0"/>
        <w:keepLines w:val="0"/>
        <w:pageBreakBefore w:val="0"/>
        <w:widowControl w:val="0"/>
        <w:kinsoku/>
        <w:wordWrap/>
        <w:overflowPunct/>
        <w:topLinePunct w:val="0"/>
        <w:bidi w:val="0"/>
        <w:spacing w:beforeLines="0" w:after="0" w:line="420" w:lineRule="exact"/>
        <w:textAlignment w:val="auto"/>
        <w:rPr>
          <w:rFonts w:hint="default" w:eastAsia="仿宋"/>
          <w:color w:val="auto"/>
          <w:highlight w:val="none"/>
          <w:lang w:val="en-US" w:eastAsia="zh-CN"/>
        </w:rPr>
      </w:pPr>
      <w:r>
        <w:rPr>
          <w:rFonts w:hint="eastAsia" w:ascii="仿宋" w:hAnsi="仿宋" w:eastAsia="仿宋" w:cs="仿宋"/>
          <w:b/>
          <w:bCs/>
          <w:color w:val="auto"/>
          <w:sz w:val="24"/>
          <w:szCs w:val="24"/>
          <w:highlight w:val="none"/>
          <w:lang w:val="en-US" w:eastAsia="zh-CN"/>
        </w:rPr>
        <w:t>注：人数不达标、考核结果不达标，季度运营经费不予拨付。</w:t>
      </w:r>
    </w:p>
    <w:p w14:paraId="33482A3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rPr>
        <w:t>八</w:t>
      </w:r>
      <w:r>
        <w:rPr>
          <w:rFonts w:hint="eastAsia" w:ascii="仿宋" w:hAnsi="仿宋" w:eastAsia="仿宋" w:cs="仿宋"/>
          <w:b/>
          <w:bCs/>
          <w:color w:val="auto"/>
          <w:sz w:val="24"/>
          <w:szCs w:val="24"/>
          <w:highlight w:val="none"/>
          <w:lang w:val="en-US" w:eastAsia="zh-CN"/>
        </w:rPr>
        <w:t>）最高限价</w:t>
      </w:r>
    </w:p>
    <w:p w14:paraId="183214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val="0"/>
          <w:color w:val="auto"/>
          <w:sz w:val="24"/>
          <w:szCs w:val="24"/>
          <w:highlight w:val="none"/>
        </w:rPr>
        <w:t>本次采购最高限价为人民币</w:t>
      </w:r>
      <w:r>
        <w:rPr>
          <w:rFonts w:hint="eastAsia" w:ascii="仿宋" w:hAnsi="仿宋" w:eastAsia="仿宋" w:cs="仿宋"/>
          <w:b/>
          <w:bCs w:val="0"/>
          <w:color w:val="auto"/>
          <w:sz w:val="24"/>
          <w:szCs w:val="24"/>
          <w:highlight w:val="none"/>
          <w:lang w:val="en-US" w:eastAsia="zh-CN"/>
        </w:rPr>
        <w:t>柒拾万</w:t>
      </w:r>
      <w:r>
        <w:rPr>
          <w:rFonts w:hint="eastAsia" w:ascii="仿宋" w:hAnsi="仿宋" w:eastAsia="仿宋" w:cs="仿宋"/>
          <w:b/>
          <w:bCs w:val="0"/>
          <w:color w:val="auto"/>
          <w:sz w:val="24"/>
          <w:szCs w:val="24"/>
          <w:highlight w:val="none"/>
        </w:rPr>
        <w:t>元整（¥</w:t>
      </w:r>
      <w:r>
        <w:rPr>
          <w:rFonts w:hint="eastAsia" w:ascii="仿宋" w:hAnsi="仿宋" w:eastAsia="仿宋" w:cs="仿宋"/>
          <w:b/>
          <w:bCs w:val="0"/>
          <w:color w:val="auto"/>
          <w:sz w:val="24"/>
          <w:szCs w:val="24"/>
          <w:highlight w:val="none"/>
          <w:lang w:val="en-US" w:eastAsia="zh-CN"/>
        </w:rPr>
        <w:t>700000</w:t>
      </w:r>
      <w:r>
        <w:rPr>
          <w:rFonts w:hint="eastAsia" w:ascii="仿宋" w:hAnsi="仿宋" w:eastAsia="仿宋" w:cs="仿宋"/>
          <w:b/>
          <w:bCs w:val="0"/>
          <w:color w:val="auto"/>
          <w:sz w:val="24"/>
          <w:szCs w:val="24"/>
          <w:highlight w:val="none"/>
        </w:rPr>
        <w:t>.00），任何超过最高限价的报价将被认定为无效报价</w:t>
      </w:r>
      <w:r>
        <w:rPr>
          <w:rFonts w:hint="eastAsia" w:ascii="仿宋" w:hAnsi="仿宋" w:eastAsia="仿宋" w:cs="仿宋"/>
          <w:b/>
          <w:bCs/>
          <w:color w:val="auto"/>
          <w:sz w:val="24"/>
          <w:szCs w:val="24"/>
          <w:highlight w:val="none"/>
          <w:lang w:val="en-US" w:eastAsia="zh-CN"/>
        </w:rPr>
        <w:t>，报价包含了与本项目相关的一切费用。</w:t>
      </w:r>
    </w:p>
    <w:p w14:paraId="2950F492">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color w:val="auto"/>
          <w:sz w:val="24"/>
          <w:highlight w:val="none"/>
          <w:lang w:val="en-US" w:eastAsia="zh-CN"/>
        </w:rPr>
        <w:t>特别说明</w:t>
      </w:r>
    </w:p>
    <w:p w14:paraId="549D184D">
      <w:pPr>
        <w:pStyle w:val="25"/>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highlight w:val="none"/>
        </w:rPr>
        <w:t>本采购需求中标注“★”项为实质性要求条款，必须作出实质性响应。若其中任意一条打“★”的条款不满足（或出现“负偏离”）则投标无效。</w:t>
      </w:r>
    </w:p>
    <w:p w14:paraId="5F2E4FCA">
      <w:pPr>
        <w:rPr>
          <w:color w:val="auto"/>
          <w:highlight w:val="none"/>
        </w:rPr>
      </w:pPr>
    </w:p>
    <w:p w14:paraId="4DA812DE">
      <w:pPr>
        <w:pStyle w:val="975"/>
        <w:ind w:left="0" w:leftChars="0" w:firstLine="0" w:firstLineChars="0"/>
        <w:rPr>
          <w:rFonts w:hint="default" w:ascii="仿宋" w:hAnsi="仿宋" w:eastAsia="仿宋" w:cs="仿宋"/>
          <w:b/>
          <w:bCs/>
          <w:color w:val="auto"/>
          <w:kern w:val="2"/>
          <w:sz w:val="24"/>
          <w:szCs w:val="24"/>
          <w:highlight w:val="none"/>
          <w:lang w:val="en-US" w:eastAsia="zh-CN" w:bidi="ar-SA"/>
        </w:rPr>
      </w:pPr>
    </w:p>
    <w:p w14:paraId="4659F78F">
      <w:pP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br w:type="page"/>
      </w:r>
    </w:p>
    <w:p w14:paraId="4E9107C1">
      <w:pPr>
        <w:spacing w:after="0" w:afterLines="50" w:afterAutospacing="0"/>
        <w:rPr>
          <w:rFonts w:hint="eastAsia" w:ascii="仿宋" w:hAnsi="仿宋" w:eastAsia="仿宋" w:cs="仿宋"/>
          <w:b/>
          <w:bCs/>
          <w:color w:val="auto"/>
          <w:sz w:val="24"/>
          <w:szCs w:val="24"/>
          <w:lang w:val="en-US" w:eastAsia="zh-CN"/>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2A4AC0B">
      <w:pPr>
        <w:spacing w:after="0" w:afterLines="50" w:afterAutospacing="0"/>
        <w:rPr>
          <w:rFonts w:hint="eastAsia" w:ascii="仿宋" w:hAnsi="仿宋" w:eastAsia="仿宋" w:cs="仿宋"/>
          <w:color w:val="auto"/>
          <w:lang w:val="en-US" w:eastAsia="zh-CN"/>
        </w:rPr>
      </w:pPr>
      <w:r>
        <w:rPr>
          <w:rFonts w:hint="eastAsia" w:ascii="仿宋" w:hAnsi="仿宋" w:eastAsia="仿宋" w:cs="仿宋"/>
          <w:b/>
          <w:bCs/>
          <w:color w:val="auto"/>
          <w:sz w:val="24"/>
          <w:szCs w:val="24"/>
          <w:lang w:val="en-US" w:eastAsia="zh-CN"/>
        </w:rPr>
        <w:t>附件1</w:t>
      </w:r>
      <w:r>
        <w:rPr>
          <w:rFonts w:hint="eastAsia" w:ascii="仿宋" w:hAnsi="仿宋" w:eastAsia="仿宋" w:cs="仿宋"/>
          <w:b/>
          <w:bCs/>
          <w:color w:val="auto"/>
          <w:sz w:val="24"/>
          <w:szCs w:val="24"/>
        </w:rPr>
        <w:t>残疾人之家运营管理考核细则:</w:t>
      </w:r>
    </w:p>
    <w:tbl>
      <w:tblPr>
        <w:tblStyle w:val="65"/>
        <w:tblW w:w="14850" w:type="dxa"/>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4"/>
        <w:gridCol w:w="902"/>
        <w:gridCol w:w="909"/>
        <w:gridCol w:w="660"/>
        <w:gridCol w:w="570"/>
        <w:gridCol w:w="1380"/>
        <w:gridCol w:w="3825"/>
        <w:gridCol w:w="3315"/>
        <w:gridCol w:w="2625"/>
      </w:tblGrid>
      <w:tr w14:paraId="12E68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64" w:type="dxa"/>
            <w:vMerge w:val="restart"/>
            <w:tcBorders>
              <w:tl2br w:val="nil"/>
              <w:tr2bl w:val="nil"/>
            </w:tcBorders>
            <w:noWrap w:val="0"/>
            <w:tcMar>
              <w:top w:w="15" w:type="dxa"/>
              <w:left w:w="15" w:type="dxa"/>
              <w:right w:w="15" w:type="dxa"/>
            </w:tcMar>
            <w:vAlign w:val="center"/>
          </w:tcPr>
          <w:p w14:paraId="50523149">
            <w:pPr>
              <w:widowControl/>
              <w:spacing w:beforeAutospacing="0"/>
              <w:jc w:val="center"/>
              <w:textAlignment w:val="center"/>
              <w:rPr>
                <w:rFonts w:hint="eastAsia" w:ascii="仿宋" w:hAnsi="仿宋" w:eastAsia="仿宋" w:cs="仿宋"/>
                <w:color w:val="auto"/>
              </w:rPr>
            </w:pPr>
            <w:r>
              <w:rPr>
                <w:rFonts w:hint="eastAsia" w:ascii="仿宋" w:hAnsi="仿宋" w:eastAsia="仿宋" w:cs="仿宋"/>
                <w:color w:val="auto"/>
              </w:rPr>
              <w:t>序号</w:t>
            </w:r>
          </w:p>
        </w:tc>
        <w:tc>
          <w:tcPr>
            <w:tcW w:w="902" w:type="dxa"/>
            <w:vMerge w:val="restart"/>
            <w:tcBorders>
              <w:tl2br w:val="nil"/>
              <w:tr2bl w:val="nil"/>
            </w:tcBorders>
            <w:noWrap w:val="0"/>
            <w:tcMar>
              <w:top w:w="15" w:type="dxa"/>
              <w:left w:w="15" w:type="dxa"/>
              <w:right w:w="15" w:type="dxa"/>
            </w:tcMar>
            <w:vAlign w:val="center"/>
          </w:tcPr>
          <w:p w14:paraId="76386BDF">
            <w:pPr>
              <w:widowControl/>
              <w:jc w:val="center"/>
              <w:textAlignment w:val="center"/>
              <w:rPr>
                <w:rFonts w:hint="eastAsia" w:ascii="仿宋" w:hAnsi="仿宋" w:eastAsia="仿宋" w:cs="仿宋"/>
                <w:color w:val="auto"/>
              </w:rPr>
            </w:pPr>
            <w:r>
              <w:rPr>
                <w:rFonts w:hint="eastAsia" w:ascii="仿宋" w:hAnsi="仿宋" w:eastAsia="仿宋" w:cs="仿宋"/>
                <w:color w:val="auto"/>
              </w:rPr>
              <w:t>项目</w:t>
            </w:r>
          </w:p>
        </w:tc>
        <w:tc>
          <w:tcPr>
            <w:tcW w:w="909" w:type="dxa"/>
            <w:vMerge w:val="restart"/>
            <w:tcBorders>
              <w:tl2br w:val="nil"/>
              <w:tr2bl w:val="nil"/>
            </w:tcBorders>
            <w:noWrap w:val="0"/>
            <w:tcMar>
              <w:top w:w="15" w:type="dxa"/>
              <w:left w:w="15" w:type="dxa"/>
              <w:right w:w="15" w:type="dxa"/>
            </w:tcMar>
            <w:vAlign w:val="center"/>
          </w:tcPr>
          <w:p w14:paraId="34CDC872">
            <w:pPr>
              <w:widowControl/>
              <w:jc w:val="center"/>
              <w:textAlignment w:val="center"/>
              <w:rPr>
                <w:rFonts w:hint="eastAsia" w:ascii="仿宋" w:hAnsi="仿宋" w:eastAsia="仿宋" w:cs="仿宋"/>
                <w:color w:val="auto"/>
              </w:rPr>
            </w:pPr>
            <w:r>
              <w:rPr>
                <w:rFonts w:hint="eastAsia" w:ascii="仿宋" w:hAnsi="仿宋" w:eastAsia="仿宋" w:cs="仿宋"/>
                <w:color w:val="auto"/>
              </w:rPr>
              <w:t>指标</w:t>
            </w:r>
          </w:p>
        </w:tc>
        <w:tc>
          <w:tcPr>
            <w:tcW w:w="660" w:type="dxa"/>
            <w:vMerge w:val="restart"/>
            <w:tcBorders>
              <w:tl2br w:val="nil"/>
              <w:tr2bl w:val="nil"/>
            </w:tcBorders>
            <w:noWrap w:val="0"/>
            <w:tcMar>
              <w:top w:w="15" w:type="dxa"/>
              <w:left w:w="15" w:type="dxa"/>
              <w:right w:w="15" w:type="dxa"/>
            </w:tcMar>
            <w:vAlign w:val="center"/>
          </w:tcPr>
          <w:p w14:paraId="2818588B">
            <w:pPr>
              <w:widowControl/>
              <w:jc w:val="center"/>
              <w:textAlignment w:val="center"/>
              <w:rPr>
                <w:rFonts w:hint="eastAsia" w:ascii="仿宋" w:hAnsi="仿宋" w:eastAsia="仿宋" w:cs="仿宋"/>
                <w:color w:val="auto"/>
              </w:rPr>
            </w:pPr>
            <w:r>
              <w:rPr>
                <w:rFonts w:hint="eastAsia" w:ascii="仿宋" w:hAnsi="仿宋" w:eastAsia="仿宋" w:cs="仿宋"/>
                <w:color w:val="auto"/>
              </w:rPr>
              <w:t>分值（分）</w:t>
            </w:r>
          </w:p>
        </w:tc>
        <w:tc>
          <w:tcPr>
            <w:tcW w:w="570" w:type="dxa"/>
            <w:vMerge w:val="restart"/>
            <w:tcBorders>
              <w:tl2br w:val="nil"/>
              <w:tr2bl w:val="nil"/>
            </w:tcBorders>
            <w:noWrap w:val="0"/>
            <w:tcMar>
              <w:top w:w="15" w:type="dxa"/>
              <w:left w:w="15" w:type="dxa"/>
              <w:right w:w="15" w:type="dxa"/>
            </w:tcMar>
            <w:vAlign w:val="center"/>
          </w:tcPr>
          <w:p w14:paraId="17A37B4C">
            <w:pPr>
              <w:widowControl/>
              <w:jc w:val="center"/>
              <w:textAlignment w:val="center"/>
              <w:rPr>
                <w:rFonts w:hint="eastAsia" w:ascii="仿宋" w:hAnsi="仿宋" w:eastAsia="仿宋" w:cs="仿宋"/>
                <w:color w:val="auto"/>
              </w:rPr>
            </w:pPr>
            <w:r>
              <w:rPr>
                <w:rFonts w:hint="eastAsia" w:ascii="仿宋" w:hAnsi="仿宋" w:eastAsia="仿宋" w:cs="仿宋"/>
                <w:color w:val="auto"/>
              </w:rPr>
              <w:t>评分</w:t>
            </w:r>
          </w:p>
        </w:tc>
        <w:tc>
          <w:tcPr>
            <w:tcW w:w="1380" w:type="dxa"/>
            <w:vMerge w:val="restart"/>
            <w:tcBorders>
              <w:tl2br w:val="nil"/>
              <w:tr2bl w:val="nil"/>
            </w:tcBorders>
            <w:noWrap w:val="0"/>
            <w:tcMar>
              <w:top w:w="15" w:type="dxa"/>
              <w:left w:w="15" w:type="dxa"/>
              <w:right w:w="15" w:type="dxa"/>
            </w:tcMar>
            <w:vAlign w:val="center"/>
          </w:tcPr>
          <w:p w14:paraId="0A504A89">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rPr>
              <w:t>要求</w:t>
            </w:r>
          </w:p>
          <w:p w14:paraId="0753924D">
            <w:pPr>
              <w:widowControl/>
              <w:jc w:val="center"/>
              <w:textAlignment w:val="center"/>
              <w:rPr>
                <w:rFonts w:hint="eastAsia" w:ascii="仿宋" w:hAnsi="仿宋" w:eastAsia="仿宋" w:cs="仿宋"/>
                <w:color w:val="auto"/>
              </w:rPr>
            </w:pPr>
            <w:r>
              <w:rPr>
                <w:rFonts w:hint="eastAsia" w:ascii="仿宋" w:hAnsi="仿宋" w:eastAsia="仿宋" w:cs="仿宋"/>
                <w:color w:val="auto"/>
              </w:rPr>
              <w:t>（用于文件表述）</w:t>
            </w:r>
          </w:p>
        </w:tc>
        <w:tc>
          <w:tcPr>
            <w:tcW w:w="9765" w:type="dxa"/>
            <w:gridSpan w:val="3"/>
            <w:tcBorders>
              <w:tl2br w:val="nil"/>
              <w:tr2bl w:val="nil"/>
            </w:tcBorders>
            <w:noWrap w:val="0"/>
            <w:tcMar>
              <w:top w:w="15" w:type="dxa"/>
              <w:left w:w="15" w:type="dxa"/>
              <w:right w:w="15" w:type="dxa"/>
            </w:tcMar>
            <w:vAlign w:val="center"/>
          </w:tcPr>
          <w:p w14:paraId="5E195213">
            <w:pPr>
              <w:widowControl/>
              <w:jc w:val="center"/>
              <w:textAlignment w:val="center"/>
              <w:rPr>
                <w:rFonts w:hint="eastAsia" w:ascii="仿宋" w:hAnsi="仿宋" w:eastAsia="仿宋" w:cs="仿宋"/>
                <w:color w:val="auto"/>
              </w:rPr>
            </w:pPr>
            <w:r>
              <w:rPr>
                <w:rFonts w:hint="eastAsia" w:ascii="仿宋" w:hAnsi="仿宋" w:eastAsia="仿宋" w:cs="仿宋"/>
                <w:color w:val="auto"/>
              </w:rPr>
              <w:t>具体要求（用于操作指南表述）</w:t>
            </w:r>
          </w:p>
        </w:tc>
      </w:tr>
      <w:tr w14:paraId="6A7DF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664" w:type="dxa"/>
            <w:vMerge w:val="continue"/>
            <w:tcBorders>
              <w:tl2br w:val="nil"/>
              <w:tr2bl w:val="nil"/>
            </w:tcBorders>
            <w:noWrap w:val="0"/>
            <w:tcMar>
              <w:top w:w="15" w:type="dxa"/>
              <w:left w:w="15" w:type="dxa"/>
              <w:right w:w="15" w:type="dxa"/>
            </w:tcMar>
            <w:vAlign w:val="center"/>
          </w:tcPr>
          <w:p w14:paraId="21870300">
            <w:pPr>
              <w:jc w:val="center"/>
              <w:rPr>
                <w:rFonts w:hint="eastAsia" w:ascii="仿宋" w:hAnsi="仿宋" w:eastAsia="仿宋" w:cs="仿宋"/>
                <w:color w:val="auto"/>
              </w:rPr>
            </w:pPr>
          </w:p>
        </w:tc>
        <w:tc>
          <w:tcPr>
            <w:tcW w:w="902" w:type="dxa"/>
            <w:vMerge w:val="continue"/>
            <w:tcBorders>
              <w:tl2br w:val="nil"/>
              <w:tr2bl w:val="nil"/>
            </w:tcBorders>
            <w:noWrap w:val="0"/>
            <w:tcMar>
              <w:top w:w="15" w:type="dxa"/>
              <w:left w:w="15" w:type="dxa"/>
              <w:right w:w="15" w:type="dxa"/>
            </w:tcMar>
            <w:vAlign w:val="center"/>
          </w:tcPr>
          <w:p w14:paraId="2E8FD3B1">
            <w:pPr>
              <w:jc w:val="center"/>
              <w:rPr>
                <w:rFonts w:hint="eastAsia" w:ascii="仿宋" w:hAnsi="仿宋" w:eastAsia="仿宋" w:cs="仿宋"/>
                <w:color w:val="auto"/>
              </w:rPr>
            </w:pPr>
          </w:p>
        </w:tc>
        <w:tc>
          <w:tcPr>
            <w:tcW w:w="909" w:type="dxa"/>
            <w:vMerge w:val="continue"/>
            <w:tcBorders>
              <w:tl2br w:val="nil"/>
              <w:tr2bl w:val="nil"/>
            </w:tcBorders>
            <w:noWrap w:val="0"/>
            <w:tcMar>
              <w:top w:w="15" w:type="dxa"/>
              <w:left w:w="15" w:type="dxa"/>
              <w:right w:w="15" w:type="dxa"/>
            </w:tcMar>
            <w:vAlign w:val="center"/>
          </w:tcPr>
          <w:p w14:paraId="422A46E5">
            <w:pPr>
              <w:jc w:val="center"/>
              <w:rPr>
                <w:rFonts w:hint="eastAsia" w:ascii="仿宋" w:hAnsi="仿宋" w:eastAsia="仿宋" w:cs="仿宋"/>
                <w:color w:val="auto"/>
              </w:rPr>
            </w:pPr>
          </w:p>
        </w:tc>
        <w:tc>
          <w:tcPr>
            <w:tcW w:w="660" w:type="dxa"/>
            <w:vMerge w:val="continue"/>
            <w:tcBorders>
              <w:tl2br w:val="nil"/>
              <w:tr2bl w:val="nil"/>
            </w:tcBorders>
            <w:noWrap w:val="0"/>
            <w:tcMar>
              <w:top w:w="15" w:type="dxa"/>
              <w:left w:w="15" w:type="dxa"/>
              <w:right w:w="15" w:type="dxa"/>
            </w:tcMar>
            <w:vAlign w:val="center"/>
          </w:tcPr>
          <w:p w14:paraId="08B3F216">
            <w:pPr>
              <w:jc w:val="center"/>
              <w:rPr>
                <w:rFonts w:hint="eastAsia" w:ascii="仿宋" w:hAnsi="仿宋" w:eastAsia="仿宋" w:cs="仿宋"/>
                <w:color w:val="auto"/>
              </w:rPr>
            </w:pPr>
          </w:p>
        </w:tc>
        <w:tc>
          <w:tcPr>
            <w:tcW w:w="570" w:type="dxa"/>
            <w:vMerge w:val="continue"/>
            <w:tcBorders>
              <w:tl2br w:val="nil"/>
              <w:tr2bl w:val="nil"/>
            </w:tcBorders>
            <w:noWrap w:val="0"/>
            <w:tcMar>
              <w:top w:w="15" w:type="dxa"/>
              <w:left w:w="15" w:type="dxa"/>
              <w:right w:w="15" w:type="dxa"/>
            </w:tcMar>
            <w:vAlign w:val="center"/>
          </w:tcPr>
          <w:p w14:paraId="3CBE9702">
            <w:pPr>
              <w:jc w:val="center"/>
              <w:rPr>
                <w:rFonts w:hint="eastAsia" w:ascii="仿宋" w:hAnsi="仿宋" w:eastAsia="仿宋" w:cs="仿宋"/>
                <w:color w:val="auto"/>
              </w:rPr>
            </w:pPr>
          </w:p>
        </w:tc>
        <w:tc>
          <w:tcPr>
            <w:tcW w:w="1380" w:type="dxa"/>
            <w:vMerge w:val="continue"/>
            <w:tcBorders>
              <w:tl2br w:val="nil"/>
              <w:tr2bl w:val="nil"/>
            </w:tcBorders>
            <w:noWrap w:val="0"/>
            <w:tcMar>
              <w:top w:w="15" w:type="dxa"/>
              <w:left w:w="15" w:type="dxa"/>
              <w:right w:w="15" w:type="dxa"/>
            </w:tcMar>
            <w:vAlign w:val="center"/>
          </w:tcPr>
          <w:p w14:paraId="6139E239">
            <w:pPr>
              <w:jc w:val="center"/>
              <w:rPr>
                <w:rFonts w:hint="eastAsia" w:ascii="仿宋" w:hAnsi="仿宋" w:eastAsia="仿宋" w:cs="仿宋"/>
                <w:color w:val="auto"/>
              </w:rPr>
            </w:pPr>
          </w:p>
        </w:tc>
        <w:tc>
          <w:tcPr>
            <w:tcW w:w="3825" w:type="dxa"/>
            <w:tcBorders>
              <w:tl2br w:val="nil"/>
              <w:tr2bl w:val="nil"/>
            </w:tcBorders>
            <w:noWrap w:val="0"/>
            <w:tcMar>
              <w:top w:w="15" w:type="dxa"/>
              <w:left w:w="15" w:type="dxa"/>
              <w:right w:w="15" w:type="dxa"/>
            </w:tcMar>
            <w:vAlign w:val="center"/>
          </w:tcPr>
          <w:p w14:paraId="32AA0F44">
            <w:pPr>
              <w:widowControl/>
              <w:jc w:val="center"/>
              <w:textAlignment w:val="center"/>
              <w:rPr>
                <w:rFonts w:hint="eastAsia" w:ascii="仿宋" w:hAnsi="仿宋" w:eastAsia="仿宋" w:cs="仿宋"/>
                <w:color w:val="auto"/>
              </w:rPr>
            </w:pPr>
            <w:r>
              <w:rPr>
                <w:rFonts w:hint="eastAsia" w:ascii="仿宋" w:hAnsi="仿宋" w:eastAsia="仿宋" w:cs="仿宋"/>
                <w:color w:val="auto"/>
              </w:rPr>
              <w:t>目标要求</w:t>
            </w:r>
          </w:p>
        </w:tc>
        <w:tc>
          <w:tcPr>
            <w:tcW w:w="3315" w:type="dxa"/>
            <w:tcBorders>
              <w:tl2br w:val="nil"/>
              <w:tr2bl w:val="nil"/>
            </w:tcBorders>
            <w:noWrap w:val="0"/>
            <w:tcMar>
              <w:top w:w="15" w:type="dxa"/>
              <w:left w:w="15" w:type="dxa"/>
              <w:right w:w="15" w:type="dxa"/>
            </w:tcMar>
            <w:vAlign w:val="center"/>
          </w:tcPr>
          <w:p w14:paraId="0DB8FAEB">
            <w:pPr>
              <w:widowControl/>
              <w:jc w:val="center"/>
              <w:textAlignment w:val="center"/>
              <w:rPr>
                <w:rFonts w:hint="eastAsia" w:ascii="仿宋" w:hAnsi="仿宋" w:eastAsia="仿宋" w:cs="仿宋"/>
                <w:color w:val="auto"/>
              </w:rPr>
            </w:pPr>
            <w:r>
              <w:rPr>
                <w:rFonts w:hint="eastAsia" w:ascii="仿宋" w:hAnsi="仿宋" w:eastAsia="仿宋" w:cs="仿宋"/>
                <w:color w:val="auto"/>
              </w:rPr>
              <w:t>评分尺度</w:t>
            </w:r>
          </w:p>
        </w:tc>
        <w:tc>
          <w:tcPr>
            <w:tcW w:w="2625" w:type="dxa"/>
            <w:tcBorders>
              <w:tl2br w:val="nil"/>
              <w:tr2bl w:val="nil"/>
            </w:tcBorders>
            <w:noWrap w:val="0"/>
            <w:tcMar>
              <w:top w:w="15" w:type="dxa"/>
              <w:left w:w="15" w:type="dxa"/>
              <w:right w:w="15" w:type="dxa"/>
            </w:tcMar>
            <w:vAlign w:val="center"/>
          </w:tcPr>
          <w:p w14:paraId="0CD14F08">
            <w:pPr>
              <w:widowControl/>
              <w:jc w:val="center"/>
              <w:textAlignment w:val="center"/>
              <w:rPr>
                <w:rFonts w:hint="eastAsia" w:ascii="仿宋" w:hAnsi="仿宋" w:eastAsia="仿宋" w:cs="仿宋"/>
                <w:color w:val="auto"/>
              </w:rPr>
            </w:pPr>
            <w:r>
              <w:rPr>
                <w:rFonts w:hint="eastAsia" w:ascii="仿宋" w:hAnsi="仿宋" w:eastAsia="仿宋" w:cs="仿宋"/>
                <w:color w:val="auto"/>
              </w:rPr>
              <w:t>备注（概念）</w:t>
            </w:r>
          </w:p>
        </w:tc>
      </w:tr>
      <w:tr w14:paraId="4CB5E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4F5635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902" w:type="dxa"/>
            <w:tcBorders>
              <w:tl2br w:val="nil"/>
              <w:tr2bl w:val="nil"/>
            </w:tcBorders>
            <w:noWrap/>
            <w:tcMar>
              <w:top w:w="15" w:type="dxa"/>
              <w:left w:w="15" w:type="dxa"/>
              <w:right w:w="15" w:type="dxa"/>
            </w:tcMar>
            <w:vAlign w:val="center"/>
          </w:tcPr>
          <w:p w14:paraId="03531B22">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2C4AFAAF">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名称标识</w:t>
            </w:r>
          </w:p>
        </w:tc>
        <w:tc>
          <w:tcPr>
            <w:tcW w:w="660" w:type="dxa"/>
            <w:tcBorders>
              <w:tl2br w:val="nil"/>
              <w:tr2bl w:val="nil"/>
            </w:tcBorders>
            <w:noWrap w:val="0"/>
            <w:tcMar>
              <w:top w:w="15" w:type="dxa"/>
              <w:left w:w="15" w:type="dxa"/>
              <w:right w:w="15" w:type="dxa"/>
            </w:tcMar>
            <w:vAlign w:val="center"/>
          </w:tcPr>
          <w:p w14:paraId="67A1C437">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71FB05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EA559FA">
            <w:pPr>
              <w:widowControl/>
              <w:jc w:val="center"/>
              <w:textAlignment w:val="center"/>
              <w:rPr>
                <w:rFonts w:hint="eastAsia" w:ascii="仿宋" w:hAnsi="仿宋" w:eastAsia="仿宋" w:cs="仿宋"/>
                <w:color w:val="auto"/>
              </w:rPr>
            </w:pPr>
            <w:r>
              <w:rPr>
                <w:rFonts w:hint="eastAsia" w:ascii="仿宋" w:hAnsi="仿宋" w:eastAsia="仿宋" w:cs="仿宋"/>
                <w:color w:val="auto"/>
              </w:rPr>
              <w:t>机构的名称和标识醒目，易辨识。</w:t>
            </w:r>
          </w:p>
        </w:tc>
        <w:tc>
          <w:tcPr>
            <w:tcW w:w="3825" w:type="dxa"/>
            <w:tcBorders>
              <w:tl2br w:val="nil"/>
              <w:tr2bl w:val="nil"/>
            </w:tcBorders>
            <w:noWrap w:val="0"/>
            <w:tcMar>
              <w:top w:w="15" w:type="dxa"/>
              <w:left w:w="15" w:type="dxa"/>
              <w:right w:w="15" w:type="dxa"/>
            </w:tcMar>
            <w:vAlign w:val="center"/>
          </w:tcPr>
          <w:p w14:paraId="0D713B96">
            <w:pPr>
              <w:widowControl/>
              <w:jc w:val="left"/>
              <w:textAlignment w:val="center"/>
              <w:rPr>
                <w:rFonts w:hint="eastAsia" w:ascii="仿宋" w:hAnsi="仿宋" w:eastAsia="仿宋" w:cs="仿宋"/>
                <w:color w:val="auto"/>
              </w:rPr>
            </w:pPr>
            <w:r>
              <w:rPr>
                <w:rFonts w:hint="eastAsia" w:ascii="仿宋" w:hAnsi="仿宋" w:eastAsia="仿宋" w:cs="仿宋"/>
                <w:color w:val="auto"/>
              </w:rPr>
              <w:t>机构主要入口或建筑主体（外立面）有机构名称及浙江省“残疾人之家”统一的标识（LOGO），名称及标识清晰醒目。</w:t>
            </w:r>
          </w:p>
        </w:tc>
        <w:tc>
          <w:tcPr>
            <w:tcW w:w="3315" w:type="dxa"/>
            <w:tcBorders>
              <w:tl2br w:val="nil"/>
              <w:tr2bl w:val="nil"/>
            </w:tcBorders>
            <w:noWrap w:val="0"/>
            <w:tcMar>
              <w:top w:w="15" w:type="dxa"/>
              <w:left w:w="15" w:type="dxa"/>
              <w:right w:w="15" w:type="dxa"/>
            </w:tcMar>
            <w:vAlign w:val="center"/>
          </w:tcPr>
          <w:p w14:paraId="35463EA3">
            <w:pPr>
              <w:widowControl/>
              <w:textAlignment w:val="center"/>
              <w:rPr>
                <w:rFonts w:hint="eastAsia" w:ascii="仿宋" w:hAnsi="仿宋" w:eastAsia="仿宋" w:cs="仿宋"/>
                <w:color w:val="auto"/>
              </w:rPr>
            </w:pPr>
            <w:r>
              <w:rPr>
                <w:rFonts w:hint="eastAsia" w:ascii="仿宋" w:hAnsi="仿宋" w:eastAsia="仿宋" w:cs="仿宋"/>
                <w:color w:val="auto"/>
              </w:rPr>
              <w:t>符合可评定得2分，一项不符扣1分,扣完为止。</w:t>
            </w:r>
          </w:p>
        </w:tc>
        <w:tc>
          <w:tcPr>
            <w:tcW w:w="2625" w:type="dxa"/>
            <w:tcBorders>
              <w:tl2br w:val="nil"/>
              <w:tr2bl w:val="nil"/>
            </w:tcBorders>
            <w:noWrap w:val="0"/>
            <w:tcMar>
              <w:top w:w="15" w:type="dxa"/>
              <w:left w:w="15" w:type="dxa"/>
              <w:right w:w="15" w:type="dxa"/>
            </w:tcMar>
            <w:vAlign w:val="center"/>
          </w:tcPr>
          <w:p w14:paraId="7E987A64">
            <w:pPr>
              <w:widowControl/>
              <w:jc w:val="left"/>
              <w:textAlignment w:val="center"/>
              <w:rPr>
                <w:rFonts w:hint="eastAsia" w:ascii="仿宋" w:hAnsi="仿宋" w:eastAsia="仿宋" w:cs="仿宋"/>
                <w:color w:val="auto"/>
              </w:rPr>
            </w:pPr>
            <w:r>
              <w:rPr>
                <w:rFonts w:hint="eastAsia" w:ascii="仿宋" w:hAnsi="仿宋" w:eastAsia="仿宋" w:cs="仿宋"/>
                <w:color w:val="auto"/>
              </w:rPr>
              <w:t>注：名称标识位置合理，名称使用的字体、大小及颜色与环境有所区别，易于辨识。</w:t>
            </w:r>
          </w:p>
        </w:tc>
      </w:tr>
      <w:tr w14:paraId="31E5D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775405D">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902" w:type="dxa"/>
            <w:tcBorders>
              <w:tl2br w:val="nil"/>
              <w:tr2bl w:val="nil"/>
            </w:tcBorders>
            <w:noWrap/>
            <w:tcMar>
              <w:top w:w="15" w:type="dxa"/>
              <w:left w:w="15" w:type="dxa"/>
              <w:right w:w="15" w:type="dxa"/>
            </w:tcMar>
            <w:vAlign w:val="center"/>
          </w:tcPr>
          <w:p w14:paraId="4BBA3060">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D2DC68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环境氛围</w:t>
            </w:r>
          </w:p>
        </w:tc>
        <w:tc>
          <w:tcPr>
            <w:tcW w:w="660" w:type="dxa"/>
            <w:tcBorders>
              <w:tl2br w:val="nil"/>
              <w:tr2bl w:val="nil"/>
            </w:tcBorders>
            <w:noWrap w:val="0"/>
            <w:tcMar>
              <w:top w:w="15" w:type="dxa"/>
              <w:left w:w="15" w:type="dxa"/>
              <w:right w:w="15" w:type="dxa"/>
            </w:tcMar>
            <w:vAlign w:val="center"/>
          </w:tcPr>
          <w:p w14:paraId="66711DA0">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15C8F6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3B272CB">
            <w:pPr>
              <w:widowControl/>
              <w:jc w:val="center"/>
              <w:textAlignment w:val="center"/>
              <w:rPr>
                <w:rFonts w:hint="eastAsia" w:ascii="仿宋" w:hAnsi="仿宋" w:eastAsia="仿宋" w:cs="仿宋"/>
                <w:color w:val="auto"/>
              </w:rPr>
            </w:pPr>
            <w:r>
              <w:rPr>
                <w:rFonts w:hint="eastAsia" w:ascii="仿宋" w:hAnsi="仿宋" w:eastAsia="仿宋" w:cs="仿宋"/>
                <w:color w:val="auto"/>
              </w:rPr>
              <w:t>环境整洁温馨，无病媒生物。</w:t>
            </w:r>
          </w:p>
        </w:tc>
        <w:tc>
          <w:tcPr>
            <w:tcW w:w="3825" w:type="dxa"/>
            <w:tcBorders>
              <w:tl2br w:val="nil"/>
              <w:tr2bl w:val="nil"/>
            </w:tcBorders>
            <w:noWrap w:val="0"/>
            <w:tcMar>
              <w:top w:w="15" w:type="dxa"/>
              <w:left w:w="15" w:type="dxa"/>
              <w:right w:w="15" w:type="dxa"/>
            </w:tcMar>
            <w:vAlign w:val="center"/>
          </w:tcPr>
          <w:p w14:paraId="683AC781">
            <w:pPr>
              <w:widowControl/>
              <w:jc w:val="left"/>
              <w:textAlignment w:val="center"/>
              <w:rPr>
                <w:rFonts w:hint="eastAsia" w:ascii="仿宋" w:hAnsi="仿宋" w:eastAsia="仿宋" w:cs="仿宋"/>
                <w:color w:val="auto"/>
              </w:rPr>
            </w:pPr>
            <w:r>
              <w:rPr>
                <w:rFonts w:hint="eastAsia" w:ascii="仿宋" w:hAnsi="仿宋" w:eastAsia="仿宋" w:cs="仿宋"/>
                <w:color w:val="auto"/>
              </w:rPr>
              <w:t>有环境卫生规范并有效落实，室内外环境整洁有序，墙体无明显起皮脱落，无蛛网和积灰，无鼠蚊蝇蟑等病媒生物，无明显异味，配有绿植。</w:t>
            </w:r>
          </w:p>
        </w:tc>
        <w:tc>
          <w:tcPr>
            <w:tcW w:w="3315" w:type="dxa"/>
            <w:tcBorders>
              <w:tl2br w:val="nil"/>
              <w:tr2bl w:val="nil"/>
            </w:tcBorders>
            <w:noWrap w:val="0"/>
            <w:tcMar>
              <w:top w:w="15" w:type="dxa"/>
              <w:left w:w="15" w:type="dxa"/>
              <w:right w:w="15" w:type="dxa"/>
            </w:tcMar>
            <w:vAlign w:val="center"/>
          </w:tcPr>
          <w:p w14:paraId="66A50213">
            <w:pPr>
              <w:widowControl/>
              <w:jc w:val="left"/>
              <w:textAlignment w:val="center"/>
              <w:rPr>
                <w:rFonts w:hint="eastAsia" w:ascii="仿宋" w:hAnsi="仿宋" w:eastAsia="仿宋" w:cs="仿宋"/>
                <w:color w:val="auto"/>
              </w:rPr>
            </w:pPr>
            <w:r>
              <w:rPr>
                <w:rFonts w:hint="eastAsia" w:ascii="仿宋" w:hAnsi="仿宋" w:eastAsia="仿宋" w:cs="仿宋"/>
                <w:color w:val="auto"/>
              </w:rPr>
              <w:t>室内外环境整洁有序，墙体无明显起皮脱落，得2分，发现一处扣0.5分，扣完为止。</w:t>
            </w:r>
          </w:p>
        </w:tc>
        <w:tc>
          <w:tcPr>
            <w:tcW w:w="2625" w:type="dxa"/>
            <w:tcBorders>
              <w:tl2br w:val="nil"/>
              <w:tr2bl w:val="nil"/>
            </w:tcBorders>
            <w:noWrap w:val="0"/>
            <w:tcMar>
              <w:top w:w="15" w:type="dxa"/>
              <w:left w:w="15" w:type="dxa"/>
              <w:right w:w="15" w:type="dxa"/>
            </w:tcMar>
            <w:vAlign w:val="center"/>
          </w:tcPr>
          <w:p w14:paraId="748A5F60">
            <w:pPr>
              <w:rPr>
                <w:rFonts w:hint="eastAsia" w:ascii="仿宋" w:hAnsi="仿宋" w:eastAsia="仿宋" w:cs="仿宋"/>
                <w:color w:val="auto"/>
              </w:rPr>
            </w:pPr>
          </w:p>
        </w:tc>
      </w:tr>
      <w:tr w14:paraId="15119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6D225798">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902" w:type="dxa"/>
            <w:tcBorders>
              <w:tl2br w:val="nil"/>
              <w:tr2bl w:val="nil"/>
            </w:tcBorders>
            <w:noWrap/>
            <w:tcMar>
              <w:top w:w="15" w:type="dxa"/>
              <w:left w:w="15" w:type="dxa"/>
              <w:right w:w="15" w:type="dxa"/>
            </w:tcMar>
            <w:vAlign w:val="center"/>
          </w:tcPr>
          <w:p w14:paraId="50D31757">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22568FE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场地位置</w:t>
            </w:r>
          </w:p>
        </w:tc>
        <w:tc>
          <w:tcPr>
            <w:tcW w:w="660" w:type="dxa"/>
            <w:tcBorders>
              <w:tl2br w:val="nil"/>
              <w:tr2bl w:val="nil"/>
            </w:tcBorders>
            <w:noWrap w:val="0"/>
            <w:tcMar>
              <w:top w:w="15" w:type="dxa"/>
              <w:left w:w="15" w:type="dxa"/>
              <w:right w:w="15" w:type="dxa"/>
            </w:tcMar>
            <w:vAlign w:val="center"/>
          </w:tcPr>
          <w:p w14:paraId="2085190D">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772B5A3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F789BDA">
            <w:pPr>
              <w:widowControl/>
              <w:jc w:val="center"/>
              <w:textAlignment w:val="center"/>
              <w:rPr>
                <w:rFonts w:hint="eastAsia" w:ascii="仿宋" w:hAnsi="仿宋" w:eastAsia="仿宋" w:cs="仿宋"/>
                <w:color w:val="auto"/>
              </w:rPr>
            </w:pPr>
            <w:r>
              <w:rPr>
                <w:rFonts w:hint="eastAsia" w:ascii="仿宋" w:hAnsi="仿宋" w:eastAsia="仿宋" w:cs="仿宋"/>
                <w:color w:val="auto"/>
              </w:rPr>
              <w:t>有适宜的场地。</w:t>
            </w:r>
          </w:p>
        </w:tc>
        <w:tc>
          <w:tcPr>
            <w:tcW w:w="3825" w:type="dxa"/>
            <w:tcBorders>
              <w:tl2br w:val="nil"/>
              <w:tr2bl w:val="nil"/>
            </w:tcBorders>
            <w:noWrap w:val="0"/>
            <w:tcMar>
              <w:top w:w="15" w:type="dxa"/>
              <w:left w:w="15" w:type="dxa"/>
              <w:right w:w="15" w:type="dxa"/>
            </w:tcMar>
            <w:vAlign w:val="center"/>
          </w:tcPr>
          <w:p w14:paraId="4111DE45">
            <w:pPr>
              <w:widowControl/>
              <w:jc w:val="left"/>
              <w:textAlignment w:val="center"/>
              <w:rPr>
                <w:rFonts w:hint="eastAsia" w:ascii="仿宋" w:hAnsi="仿宋" w:eastAsia="仿宋" w:cs="仿宋"/>
                <w:color w:val="auto"/>
              </w:rPr>
            </w:pPr>
            <w:r>
              <w:rPr>
                <w:rStyle w:val="310"/>
                <w:rFonts w:hint="eastAsia" w:ascii="仿宋" w:hAnsi="仿宋" w:eastAsia="仿宋" w:cs="仿宋"/>
                <w:color w:val="auto"/>
                <w:sz w:val="21"/>
                <w:szCs w:val="21"/>
              </w:rPr>
              <w:t>各功能区域（非共享）合计人均建筑面积是否达到10</w:t>
            </w:r>
            <w:r>
              <w:rPr>
                <w:rStyle w:val="991"/>
                <w:rFonts w:hint="eastAsia" w:ascii="仿宋" w:hAnsi="仿宋" w:eastAsia="仿宋" w:cs="仿宋"/>
                <w:color w:val="auto"/>
                <w:sz w:val="21"/>
                <w:szCs w:val="21"/>
              </w:rPr>
              <w:t>㎡</w:t>
            </w:r>
            <w:r>
              <w:rPr>
                <w:rStyle w:val="310"/>
                <w:rFonts w:hint="eastAsia" w:ascii="仿宋" w:hAnsi="仿宋" w:eastAsia="仿宋" w:cs="仿宋"/>
                <w:color w:val="auto"/>
                <w:sz w:val="21"/>
                <w:szCs w:val="21"/>
              </w:rPr>
              <w:t>，无安全隐患，机构位置满足就近就便要求。</w:t>
            </w:r>
          </w:p>
        </w:tc>
        <w:tc>
          <w:tcPr>
            <w:tcW w:w="3315" w:type="dxa"/>
            <w:tcBorders>
              <w:tl2br w:val="nil"/>
              <w:tr2bl w:val="nil"/>
            </w:tcBorders>
            <w:noWrap w:val="0"/>
            <w:tcMar>
              <w:top w:w="15" w:type="dxa"/>
              <w:left w:w="15" w:type="dxa"/>
              <w:right w:w="15" w:type="dxa"/>
            </w:tcMar>
            <w:vAlign w:val="center"/>
          </w:tcPr>
          <w:p w14:paraId="2607061E">
            <w:pPr>
              <w:widowControl/>
              <w:textAlignment w:val="center"/>
              <w:rPr>
                <w:rFonts w:hint="eastAsia" w:ascii="仿宋" w:hAnsi="仿宋" w:eastAsia="仿宋" w:cs="仿宋"/>
                <w:color w:val="auto"/>
              </w:rPr>
            </w:pPr>
            <w:r>
              <w:rPr>
                <w:rFonts w:hint="eastAsia" w:ascii="仿宋" w:hAnsi="仿宋" w:eastAsia="仿宋" w:cs="仿宋"/>
                <w:color w:val="auto"/>
              </w:rPr>
              <w:t>达到：5分，未达到：0分。</w:t>
            </w:r>
          </w:p>
        </w:tc>
        <w:tc>
          <w:tcPr>
            <w:tcW w:w="2625" w:type="dxa"/>
            <w:tcBorders>
              <w:tl2br w:val="nil"/>
              <w:tr2bl w:val="nil"/>
            </w:tcBorders>
            <w:noWrap w:val="0"/>
            <w:tcMar>
              <w:top w:w="15" w:type="dxa"/>
              <w:left w:w="15" w:type="dxa"/>
              <w:right w:w="15" w:type="dxa"/>
            </w:tcMar>
            <w:vAlign w:val="center"/>
          </w:tcPr>
          <w:p w14:paraId="29C14E7A">
            <w:pPr>
              <w:widowControl/>
              <w:jc w:val="left"/>
              <w:textAlignment w:val="center"/>
              <w:rPr>
                <w:rFonts w:hint="eastAsia" w:ascii="仿宋" w:hAnsi="仿宋" w:eastAsia="仿宋" w:cs="仿宋"/>
                <w:color w:val="auto"/>
              </w:rPr>
            </w:pPr>
            <w:r>
              <w:rPr>
                <w:rFonts w:hint="eastAsia" w:ascii="仿宋" w:hAnsi="仿宋" w:eastAsia="仿宋" w:cs="仿宋"/>
                <w:color w:val="auto"/>
              </w:rPr>
              <w:t>注：测算人均面积时的人数以机构申报人数（评定前30天日均出勤人数）为准，下同；面积以残疾人实际使用或活动区域为准；共用场所（区域）不计入室内实用面积。</w:t>
            </w:r>
          </w:p>
        </w:tc>
      </w:tr>
      <w:tr w14:paraId="214FE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2342B77A">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902" w:type="dxa"/>
            <w:tcBorders>
              <w:tl2br w:val="nil"/>
              <w:tr2bl w:val="nil"/>
            </w:tcBorders>
            <w:noWrap/>
            <w:tcMar>
              <w:top w:w="15" w:type="dxa"/>
              <w:left w:w="15" w:type="dxa"/>
              <w:right w:w="15" w:type="dxa"/>
            </w:tcMar>
            <w:vAlign w:val="center"/>
          </w:tcPr>
          <w:p w14:paraId="77EA672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412AAD3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功能布局</w:t>
            </w:r>
          </w:p>
        </w:tc>
        <w:tc>
          <w:tcPr>
            <w:tcW w:w="660" w:type="dxa"/>
            <w:tcBorders>
              <w:tl2br w:val="nil"/>
              <w:tr2bl w:val="nil"/>
            </w:tcBorders>
            <w:noWrap w:val="0"/>
            <w:tcMar>
              <w:top w:w="15" w:type="dxa"/>
              <w:left w:w="15" w:type="dxa"/>
              <w:right w:w="15" w:type="dxa"/>
            </w:tcMar>
            <w:vAlign w:val="center"/>
          </w:tcPr>
          <w:p w14:paraId="5CF1E6F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9D61EC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D7D9123">
            <w:pPr>
              <w:widowControl/>
              <w:jc w:val="center"/>
              <w:textAlignment w:val="center"/>
              <w:rPr>
                <w:rFonts w:hint="eastAsia" w:ascii="仿宋" w:hAnsi="仿宋" w:eastAsia="仿宋" w:cs="仿宋"/>
                <w:color w:val="auto"/>
              </w:rPr>
            </w:pPr>
            <w:r>
              <w:rPr>
                <w:rFonts w:hint="eastAsia" w:ascii="仿宋" w:hAnsi="仿宋" w:eastAsia="仿宋" w:cs="仿宋"/>
                <w:color w:val="auto"/>
              </w:rPr>
              <w:t>各功能区域及设施齐备，设置合理。</w:t>
            </w:r>
          </w:p>
        </w:tc>
        <w:tc>
          <w:tcPr>
            <w:tcW w:w="3825" w:type="dxa"/>
            <w:tcBorders>
              <w:tl2br w:val="nil"/>
              <w:tr2bl w:val="nil"/>
            </w:tcBorders>
            <w:noWrap w:val="0"/>
            <w:tcMar>
              <w:top w:w="15" w:type="dxa"/>
              <w:left w:w="15" w:type="dxa"/>
              <w:right w:w="15" w:type="dxa"/>
            </w:tcMar>
            <w:vAlign w:val="center"/>
          </w:tcPr>
          <w:p w14:paraId="0A2D704D">
            <w:pPr>
              <w:widowControl/>
              <w:jc w:val="left"/>
              <w:textAlignment w:val="center"/>
              <w:rPr>
                <w:rFonts w:hint="eastAsia" w:ascii="仿宋" w:hAnsi="仿宋" w:eastAsia="仿宋" w:cs="仿宋"/>
                <w:color w:val="auto"/>
              </w:rPr>
            </w:pPr>
            <w:r>
              <w:rPr>
                <w:rFonts w:hint="eastAsia" w:ascii="仿宋" w:hAnsi="仿宋" w:eastAsia="仿宋" w:cs="仿宋"/>
                <w:color w:val="auto"/>
              </w:rPr>
              <w:t>有技能培训室、康复室、文体活动室和辅助性就业（劳动作业）室和午休室（一人一铺、椅）应相对独立且布局合理，各功能场所配有标识标牌及禁烟标志。</w:t>
            </w:r>
          </w:p>
        </w:tc>
        <w:tc>
          <w:tcPr>
            <w:tcW w:w="3315" w:type="dxa"/>
            <w:tcBorders>
              <w:tl2br w:val="nil"/>
              <w:tr2bl w:val="nil"/>
            </w:tcBorders>
            <w:noWrap w:val="0"/>
            <w:tcMar>
              <w:top w:w="15" w:type="dxa"/>
              <w:left w:w="15" w:type="dxa"/>
              <w:right w:w="15" w:type="dxa"/>
            </w:tcMar>
            <w:vAlign w:val="center"/>
          </w:tcPr>
          <w:p w14:paraId="574C437E">
            <w:pPr>
              <w:widowControl/>
              <w:jc w:val="left"/>
              <w:textAlignment w:val="center"/>
              <w:rPr>
                <w:rFonts w:hint="eastAsia" w:ascii="仿宋" w:hAnsi="仿宋" w:eastAsia="仿宋" w:cs="仿宋"/>
                <w:color w:val="auto"/>
              </w:rPr>
            </w:pPr>
            <w:r>
              <w:rPr>
                <w:rFonts w:hint="eastAsia" w:ascii="仿宋" w:hAnsi="仿宋" w:eastAsia="仿宋" w:cs="仿宋"/>
                <w:color w:val="auto"/>
              </w:rPr>
              <w:t>有独立技能培训室、康复室、文体活动室和辅助性就业（劳动作业）场室和午休室（一人一铺、椅），少一个扣0.5分，扣完为止。</w:t>
            </w:r>
          </w:p>
        </w:tc>
        <w:tc>
          <w:tcPr>
            <w:tcW w:w="2625" w:type="dxa"/>
            <w:tcBorders>
              <w:tl2br w:val="nil"/>
              <w:tr2bl w:val="nil"/>
            </w:tcBorders>
            <w:noWrap w:val="0"/>
            <w:tcMar>
              <w:top w:w="15" w:type="dxa"/>
              <w:left w:w="15" w:type="dxa"/>
              <w:right w:w="15" w:type="dxa"/>
            </w:tcMar>
            <w:vAlign w:val="center"/>
          </w:tcPr>
          <w:p w14:paraId="14BB7A29">
            <w:pPr>
              <w:jc w:val="left"/>
              <w:rPr>
                <w:rFonts w:hint="eastAsia" w:ascii="仿宋" w:hAnsi="仿宋" w:eastAsia="仿宋" w:cs="仿宋"/>
                <w:color w:val="auto"/>
              </w:rPr>
            </w:pPr>
          </w:p>
        </w:tc>
      </w:tr>
      <w:tr w14:paraId="6D736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43B4ECD8">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902" w:type="dxa"/>
            <w:tcBorders>
              <w:tl2br w:val="nil"/>
              <w:tr2bl w:val="nil"/>
            </w:tcBorders>
            <w:noWrap/>
            <w:tcMar>
              <w:top w:w="15" w:type="dxa"/>
              <w:left w:w="15" w:type="dxa"/>
              <w:right w:w="15" w:type="dxa"/>
            </w:tcMar>
            <w:vAlign w:val="center"/>
          </w:tcPr>
          <w:p w14:paraId="54D6BA35">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133C6C41">
            <w:pPr>
              <w:widowControl/>
              <w:jc w:val="center"/>
              <w:textAlignment w:val="center"/>
              <w:rPr>
                <w:rStyle w:val="310"/>
                <w:rFonts w:hint="eastAsia" w:ascii="仿宋" w:hAnsi="仿宋" w:eastAsia="仿宋" w:cs="仿宋"/>
                <w:color w:val="auto"/>
                <w:sz w:val="21"/>
                <w:szCs w:val="21"/>
              </w:rPr>
            </w:pPr>
            <w:r>
              <w:rPr>
                <w:rStyle w:val="310"/>
                <w:rFonts w:hint="eastAsia" w:ascii="仿宋" w:hAnsi="仿宋" w:eastAsia="仿宋" w:cs="仿宋"/>
                <w:color w:val="auto"/>
                <w:sz w:val="21"/>
                <w:szCs w:val="21"/>
              </w:rPr>
              <w:t>无障碍</w:t>
            </w:r>
          </w:p>
          <w:p w14:paraId="7B68B096">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环境</w:t>
            </w:r>
          </w:p>
        </w:tc>
        <w:tc>
          <w:tcPr>
            <w:tcW w:w="660" w:type="dxa"/>
            <w:tcBorders>
              <w:tl2br w:val="nil"/>
              <w:tr2bl w:val="nil"/>
            </w:tcBorders>
            <w:noWrap w:val="0"/>
            <w:tcMar>
              <w:top w:w="15" w:type="dxa"/>
              <w:left w:w="15" w:type="dxa"/>
              <w:right w:w="15" w:type="dxa"/>
            </w:tcMar>
            <w:vAlign w:val="center"/>
          </w:tcPr>
          <w:p w14:paraId="0908683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9CD66E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B99282E">
            <w:pPr>
              <w:widowControl/>
              <w:jc w:val="center"/>
              <w:textAlignment w:val="center"/>
              <w:rPr>
                <w:rFonts w:hint="eastAsia" w:ascii="仿宋" w:hAnsi="仿宋" w:eastAsia="仿宋" w:cs="仿宋"/>
                <w:color w:val="auto"/>
              </w:rPr>
            </w:pPr>
            <w:r>
              <w:rPr>
                <w:rFonts w:hint="eastAsia" w:ascii="仿宋" w:hAnsi="仿宋" w:eastAsia="仿宋" w:cs="仿宋"/>
                <w:color w:val="auto"/>
              </w:rPr>
              <w:t>机构各区域无障碍设计符合要求。</w:t>
            </w:r>
          </w:p>
        </w:tc>
        <w:tc>
          <w:tcPr>
            <w:tcW w:w="3825" w:type="dxa"/>
            <w:tcBorders>
              <w:tl2br w:val="nil"/>
              <w:tr2bl w:val="nil"/>
            </w:tcBorders>
            <w:noWrap w:val="0"/>
            <w:tcMar>
              <w:top w:w="15" w:type="dxa"/>
              <w:left w:w="15" w:type="dxa"/>
              <w:right w:w="15" w:type="dxa"/>
            </w:tcMar>
            <w:vAlign w:val="center"/>
          </w:tcPr>
          <w:p w14:paraId="1EC17383">
            <w:pPr>
              <w:widowControl/>
              <w:jc w:val="left"/>
              <w:textAlignment w:val="center"/>
              <w:rPr>
                <w:rFonts w:hint="eastAsia" w:ascii="仿宋" w:hAnsi="仿宋" w:eastAsia="仿宋" w:cs="仿宋"/>
                <w:color w:val="auto"/>
              </w:rPr>
            </w:pPr>
            <w:r>
              <w:rPr>
                <w:rFonts w:hint="eastAsia" w:ascii="仿宋" w:hAnsi="仿宋" w:eastAsia="仿宋" w:cs="仿宋"/>
                <w:color w:val="auto"/>
              </w:rPr>
              <w:t>各区域主要出入口、楼梯、通道、卫生间等室内外场所无障碍设计应符合国家标准（GB 50763 无障碍设计规范）。</w:t>
            </w:r>
          </w:p>
        </w:tc>
        <w:tc>
          <w:tcPr>
            <w:tcW w:w="3315" w:type="dxa"/>
            <w:tcBorders>
              <w:tl2br w:val="nil"/>
              <w:tr2bl w:val="nil"/>
            </w:tcBorders>
            <w:noWrap w:val="0"/>
            <w:tcMar>
              <w:top w:w="15" w:type="dxa"/>
              <w:left w:w="15" w:type="dxa"/>
              <w:right w:w="15" w:type="dxa"/>
            </w:tcMar>
            <w:vAlign w:val="center"/>
          </w:tcPr>
          <w:p w14:paraId="3EF8CD3C">
            <w:pPr>
              <w:widowControl/>
              <w:jc w:val="left"/>
              <w:textAlignment w:val="center"/>
              <w:rPr>
                <w:rFonts w:hint="eastAsia" w:ascii="仿宋" w:hAnsi="仿宋" w:eastAsia="仿宋" w:cs="仿宋"/>
                <w:color w:val="auto"/>
              </w:rPr>
            </w:pPr>
            <w:r>
              <w:rPr>
                <w:rFonts w:hint="eastAsia" w:ascii="仿宋" w:hAnsi="仿宋" w:eastAsia="仿宋" w:cs="仿宋"/>
                <w:color w:val="auto"/>
              </w:rPr>
              <w:t>有：2分，一项无扣0.5分，扣完为止。</w:t>
            </w:r>
          </w:p>
        </w:tc>
        <w:tc>
          <w:tcPr>
            <w:tcW w:w="2625" w:type="dxa"/>
            <w:tcBorders>
              <w:tl2br w:val="nil"/>
              <w:tr2bl w:val="nil"/>
            </w:tcBorders>
            <w:noWrap w:val="0"/>
            <w:tcMar>
              <w:top w:w="15" w:type="dxa"/>
              <w:left w:w="15" w:type="dxa"/>
              <w:right w:w="15" w:type="dxa"/>
            </w:tcMar>
            <w:vAlign w:val="center"/>
          </w:tcPr>
          <w:p w14:paraId="2B73D0B8">
            <w:pPr>
              <w:widowControl/>
              <w:jc w:val="left"/>
              <w:textAlignment w:val="center"/>
              <w:rPr>
                <w:rFonts w:hint="eastAsia" w:ascii="仿宋" w:hAnsi="仿宋" w:eastAsia="仿宋" w:cs="仿宋"/>
                <w:color w:val="auto"/>
              </w:rPr>
            </w:pPr>
            <w:r>
              <w:rPr>
                <w:rFonts w:hint="eastAsia" w:ascii="仿宋" w:hAnsi="仿宋" w:eastAsia="仿宋" w:cs="仿宋"/>
                <w:color w:val="auto"/>
              </w:rPr>
              <w:t>注：轮椅车使用者能够在机构内所有区域能自主通行及活动。</w:t>
            </w:r>
          </w:p>
        </w:tc>
      </w:tr>
      <w:tr w14:paraId="21DD6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664" w:type="dxa"/>
            <w:tcBorders>
              <w:tl2br w:val="nil"/>
              <w:tr2bl w:val="nil"/>
            </w:tcBorders>
            <w:noWrap/>
            <w:tcMar>
              <w:top w:w="15" w:type="dxa"/>
              <w:left w:w="15" w:type="dxa"/>
              <w:right w:w="15" w:type="dxa"/>
            </w:tcMar>
            <w:vAlign w:val="center"/>
          </w:tcPr>
          <w:p w14:paraId="166BBEA7">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902" w:type="dxa"/>
            <w:tcBorders>
              <w:tl2br w:val="nil"/>
              <w:tr2bl w:val="nil"/>
            </w:tcBorders>
            <w:noWrap/>
            <w:tcMar>
              <w:top w:w="15" w:type="dxa"/>
              <w:left w:w="15" w:type="dxa"/>
              <w:right w:w="15" w:type="dxa"/>
            </w:tcMar>
            <w:vAlign w:val="center"/>
          </w:tcPr>
          <w:p w14:paraId="090F470F">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627D9045">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设施设备</w:t>
            </w:r>
          </w:p>
        </w:tc>
        <w:tc>
          <w:tcPr>
            <w:tcW w:w="660" w:type="dxa"/>
            <w:tcBorders>
              <w:tl2br w:val="nil"/>
              <w:tr2bl w:val="nil"/>
            </w:tcBorders>
            <w:noWrap w:val="0"/>
            <w:tcMar>
              <w:top w:w="15" w:type="dxa"/>
              <w:left w:w="15" w:type="dxa"/>
              <w:right w:w="15" w:type="dxa"/>
            </w:tcMar>
            <w:vAlign w:val="center"/>
          </w:tcPr>
          <w:p w14:paraId="4D97158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0A0215F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CDFD592">
            <w:pPr>
              <w:widowControl/>
              <w:jc w:val="center"/>
              <w:textAlignment w:val="center"/>
              <w:rPr>
                <w:rFonts w:hint="eastAsia" w:ascii="仿宋" w:hAnsi="仿宋" w:eastAsia="仿宋" w:cs="仿宋"/>
                <w:color w:val="auto"/>
              </w:rPr>
            </w:pPr>
            <w:r>
              <w:rPr>
                <w:rFonts w:hint="eastAsia" w:ascii="仿宋" w:hAnsi="仿宋" w:eastAsia="仿宋" w:cs="仿宋"/>
                <w:color w:val="auto"/>
              </w:rPr>
              <w:t>配备齐全，功能完好。</w:t>
            </w:r>
          </w:p>
        </w:tc>
        <w:tc>
          <w:tcPr>
            <w:tcW w:w="3825" w:type="dxa"/>
            <w:tcBorders>
              <w:tl2br w:val="nil"/>
              <w:tr2bl w:val="nil"/>
            </w:tcBorders>
            <w:noWrap w:val="0"/>
            <w:tcMar>
              <w:top w:w="15" w:type="dxa"/>
              <w:left w:w="15" w:type="dxa"/>
              <w:right w:w="15" w:type="dxa"/>
            </w:tcMar>
            <w:vAlign w:val="center"/>
          </w:tcPr>
          <w:p w14:paraId="33ADB72A">
            <w:pPr>
              <w:widowControl/>
              <w:jc w:val="left"/>
              <w:textAlignment w:val="center"/>
              <w:rPr>
                <w:rFonts w:hint="eastAsia" w:ascii="仿宋" w:hAnsi="仿宋" w:eastAsia="仿宋" w:cs="仿宋"/>
                <w:color w:val="auto"/>
              </w:rPr>
            </w:pPr>
            <w:r>
              <w:rPr>
                <w:rFonts w:hint="eastAsia" w:ascii="仿宋" w:hAnsi="仿宋" w:eastAsia="仿宋" w:cs="仿宋"/>
                <w:color w:val="auto"/>
              </w:rPr>
              <w:t>配有必要的消防、康复训练、文体活动及生产劳动等设施设备，设施设备功能完好并视需要配有使用说明。</w:t>
            </w:r>
          </w:p>
        </w:tc>
        <w:tc>
          <w:tcPr>
            <w:tcW w:w="3315" w:type="dxa"/>
            <w:tcBorders>
              <w:tl2br w:val="nil"/>
              <w:tr2bl w:val="nil"/>
            </w:tcBorders>
            <w:noWrap w:val="0"/>
            <w:tcMar>
              <w:top w:w="15" w:type="dxa"/>
              <w:left w:w="15" w:type="dxa"/>
              <w:right w:w="15" w:type="dxa"/>
            </w:tcMar>
            <w:vAlign w:val="center"/>
          </w:tcPr>
          <w:p w14:paraId="0822C17B">
            <w:pPr>
              <w:widowControl/>
              <w:jc w:val="left"/>
              <w:textAlignment w:val="center"/>
              <w:rPr>
                <w:rFonts w:hint="eastAsia" w:ascii="仿宋" w:hAnsi="仿宋" w:eastAsia="仿宋" w:cs="仿宋"/>
                <w:color w:val="auto"/>
              </w:rPr>
            </w:pPr>
            <w:r>
              <w:rPr>
                <w:rFonts w:hint="eastAsia" w:ascii="仿宋" w:hAnsi="仿宋" w:eastAsia="仿宋" w:cs="仿宋"/>
                <w:color w:val="auto"/>
              </w:rPr>
              <w:t>符合:2分；超过三台（件）破损严重、无法使用，不得分。</w:t>
            </w:r>
          </w:p>
        </w:tc>
        <w:tc>
          <w:tcPr>
            <w:tcW w:w="2625" w:type="dxa"/>
            <w:tcBorders>
              <w:tl2br w:val="nil"/>
              <w:tr2bl w:val="nil"/>
            </w:tcBorders>
            <w:noWrap w:val="0"/>
            <w:tcMar>
              <w:top w:w="15" w:type="dxa"/>
              <w:left w:w="15" w:type="dxa"/>
              <w:right w:w="15" w:type="dxa"/>
            </w:tcMar>
            <w:vAlign w:val="center"/>
          </w:tcPr>
          <w:p w14:paraId="0C2857C6">
            <w:pPr>
              <w:jc w:val="left"/>
              <w:rPr>
                <w:rFonts w:hint="eastAsia" w:ascii="仿宋" w:hAnsi="仿宋" w:eastAsia="仿宋" w:cs="仿宋"/>
                <w:color w:val="auto"/>
              </w:rPr>
            </w:pPr>
          </w:p>
        </w:tc>
      </w:tr>
      <w:tr w14:paraId="565B1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32D5FBAC">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902" w:type="dxa"/>
            <w:tcBorders>
              <w:tl2br w:val="nil"/>
              <w:tr2bl w:val="nil"/>
            </w:tcBorders>
            <w:noWrap/>
            <w:tcMar>
              <w:top w:w="15" w:type="dxa"/>
              <w:left w:w="15" w:type="dxa"/>
              <w:right w:w="15" w:type="dxa"/>
            </w:tcMar>
            <w:vAlign w:val="center"/>
          </w:tcPr>
          <w:p w14:paraId="1E0AC21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9DFBBD6">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视频监控</w:t>
            </w:r>
          </w:p>
        </w:tc>
        <w:tc>
          <w:tcPr>
            <w:tcW w:w="660" w:type="dxa"/>
            <w:tcBorders>
              <w:tl2br w:val="nil"/>
              <w:tr2bl w:val="nil"/>
            </w:tcBorders>
            <w:noWrap w:val="0"/>
            <w:tcMar>
              <w:top w:w="15" w:type="dxa"/>
              <w:left w:w="15" w:type="dxa"/>
              <w:right w:w="15" w:type="dxa"/>
            </w:tcMar>
            <w:vAlign w:val="center"/>
          </w:tcPr>
          <w:p w14:paraId="67FA4112">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5787070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CD025C6">
            <w:pPr>
              <w:widowControl/>
              <w:jc w:val="center"/>
              <w:textAlignment w:val="center"/>
              <w:rPr>
                <w:rFonts w:hint="eastAsia" w:ascii="仿宋" w:hAnsi="仿宋" w:eastAsia="仿宋" w:cs="仿宋"/>
                <w:color w:val="auto"/>
              </w:rPr>
            </w:pPr>
            <w:r>
              <w:rPr>
                <w:rFonts w:hint="eastAsia" w:ascii="仿宋" w:hAnsi="仿宋" w:eastAsia="仿宋" w:cs="仿宋"/>
                <w:color w:val="auto"/>
              </w:rPr>
              <w:t>视频监控全覆盖。</w:t>
            </w:r>
          </w:p>
        </w:tc>
        <w:tc>
          <w:tcPr>
            <w:tcW w:w="3825" w:type="dxa"/>
            <w:tcBorders>
              <w:tl2br w:val="nil"/>
              <w:tr2bl w:val="nil"/>
            </w:tcBorders>
            <w:noWrap w:val="0"/>
            <w:tcMar>
              <w:top w:w="15" w:type="dxa"/>
              <w:left w:w="15" w:type="dxa"/>
              <w:right w:w="15" w:type="dxa"/>
            </w:tcMar>
            <w:vAlign w:val="center"/>
          </w:tcPr>
          <w:p w14:paraId="6B190636">
            <w:pPr>
              <w:widowControl/>
              <w:jc w:val="left"/>
              <w:textAlignment w:val="center"/>
              <w:rPr>
                <w:rFonts w:hint="eastAsia" w:ascii="仿宋" w:hAnsi="仿宋" w:eastAsia="仿宋" w:cs="仿宋"/>
                <w:color w:val="auto"/>
              </w:rPr>
            </w:pPr>
            <w:r>
              <w:rPr>
                <w:rFonts w:hint="eastAsia" w:ascii="仿宋" w:hAnsi="仿宋" w:eastAsia="仿宋" w:cs="仿宋"/>
                <w:color w:val="auto"/>
              </w:rPr>
              <w:t>机构各功能区域（含室外活动场地、出入口）均配备监控设备。</w:t>
            </w:r>
          </w:p>
        </w:tc>
        <w:tc>
          <w:tcPr>
            <w:tcW w:w="3315" w:type="dxa"/>
            <w:tcBorders>
              <w:tl2br w:val="nil"/>
              <w:tr2bl w:val="nil"/>
            </w:tcBorders>
            <w:noWrap w:val="0"/>
            <w:tcMar>
              <w:top w:w="15" w:type="dxa"/>
              <w:left w:w="15" w:type="dxa"/>
              <w:right w:w="15" w:type="dxa"/>
            </w:tcMar>
            <w:vAlign w:val="center"/>
          </w:tcPr>
          <w:p w14:paraId="349114E5">
            <w:pPr>
              <w:widowControl/>
              <w:jc w:val="left"/>
              <w:textAlignment w:val="center"/>
              <w:rPr>
                <w:rFonts w:hint="eastAsia" w:ascii="仿宋" w:hAnsi="仿宋" w:eastAsia="仿宋" w:cs="仿宋"/>
                <w:color w:val="auto"/>
              </w:rPr>
            </w:pPr>
            <w:r>
              <w:rPr>
                <w:rFonts w:hint="eastAsia" w:ascii="仿宋" w:hAnsi="仿宋" w:eastAsia="仿宋" w:cs="仿宋"/>
                <w:color w:val="auto"/>
              </w:rPr>
              <w:t>配备:3分；主要功能区未配监控设备或一个月内任一区域监控视频无法回放的，不得分。</w:t>
            </w:r>
          </w:p>
        </w:tc>
        <w:tc>
          <w:tcPr>
            <w:tcW w:w="2625" w:type="dxa"/>
            <w:tcBorders>
              <w:tl2br w:val="nil"/>
              <w:tr2bl w:val="nil"/>
            </w:tcBorders>
            <w:noWrap w:val="0"/>
            <w:tcMar>
              <w:top w:w="15" w:type="dxa"/>
              <w:left w:w="15" w:type="dxa"/>
              <w:right w:w="15" w:type="dxa"/>
            </w:tcMar>
            <w:vAlign w:val="center"/>
          </w:tcPr>
          <w:p w14:paraId="51960B4B">
            <w:pPr>
              <w:jc w:val="left"/>
              <w:rPr>
                <w:rFonts w:hint="eastAsia" w:ascii="仿宋" w:hAnsi="仿宋" w:eastAsia="仿宋" w:cs="仿宋"/>
                <w:color w:val="auto"/>
              </w:rPr>
            </w:pPr>
          </w:p>
        </w:tc>
      </w:tr>
      <w:tr w14:paraId="6361B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32C289D6">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902" w:type="dxa"/>
            <w:tcBorders>
              <w:tl2br w:val="nil"/>
              <w:tr2bl w:val="nil"/>
            </w:tcBorders>
            <w:noWrap/>
            <w:tcMar>
              <w:top w:w="15" w:type="dxa"/>
              <w:left w:w="15" w:type="dxa"/>
              <w:right w:w="15" w:type="dxa"/>
            </w:tcMar>
            <w:vAlign w:val="center"/>
          </w:tcPr>
          <w:p w14:paraId="13883DEB">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70A9BFA">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卫浴设施</w:t>
            </w:r>
          </w:p>
        </w:tc>
        <w:tc>
          <w:tcPr>
            <w:tcW w:w="660" w:type="dxa"/>
            <w:tcBorders>
              <w:tl2br w:val="nil"/>
              <w:tr2bl w:val="nil"/>
            </w:tcBorders>
            <w:noWrap w:val="0"/>
            <w:tcMar>
              <w:top w:w="15" w:type="dxa"/>
              <w:left w:w="15" w:type="dxa"/>
              <w:right w:w="15" w:type="dxa"/>
            </w:tcMar>
            <w:vAlign w:val="center"/>
          </w:tcPr>
          <w:p w14:paraId="7984BBB1">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509B636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FB85E79">
            <w:pPr>
              <w:widowControl/>
              <w:jc w:val="center"/>
              <w:textAlignment w:val="center"/>
              <w:rPr>
                <w:rFonts w:hint="eastAsia" w:ascii="仿宋" w:hAnsi="仿宋" w:eastAsia="仿宋" w:cs="仿宋"/>
                <w:color w:val="auto"/>
              </w:rPr>
            </w:pPr>
            <w:r>
              <w:rPr>
                <w:rFonts w:hint="eastAsia" w:ascii="仿宋" w:hAnsi="仿宋" w:eastAsia="仿宋" w:cs="仿宋"/>
                <w:color w:val="auto"/>
              </w:rPr>
              <w:t>设有卫生间。</w:t>
            </w:r>
          </w:p>
        </w:tc>
        <w:tc>
          <w:tcPr>
            <w:tcW w:w="3825" w:type="dxa"/>
            <w:tcBorders>
              <w:tl2br w:val="nil"/>
              <w:tr2bl w:val="nil"/>
            </w:tcBorders>
            <w:noWrap w:val="0"/>
            <w:tcMar>
              <w:top w:w="15" w:type="dxa"/>
              <w:left w:w="15" w:type="dxa"/>
              <w:right w:w="15" w:type="dxa"/>
            </w:tcMar>
            <w:vAlign w:val="center"/>
          </w:tcPr>
          <w:p w14:paraId="41339A8D">
            <w:pPr>
              <w:widowControl/>
              <w:jc w:val="left"/>
              <w:textAlignment w:val="center"/>
              <w:rPr>
                <w:rFonts w:hint="eastAsia" w:ascii="仿宋" w:hAnsi="仿宋" w:eastAsia="仿宋" w:cs="仿宋"/>
                <w:color w:val="auto"/>
              </w:rPr>
            </w:pPr>
            <w:r>
              <w:rPr>
                <w:rFonts w:hint="eastAsia" w:ascii="仿宋" w:hAnsi="仿宋" w:eastAsia="仿宋" w:cs="仿宋"/>
                <w:color w:val="auto"/>
              </w:rPr>
              <w:t>机构有独立的男、女卫生间及浴室，设施齐全完好，卫生状况良好。</w:t>
            </w:r>
          </w:p>
        </w:tc>
        <w:tc>
          <w:tcPr>
            <w:tcW w:w="3315" w:type="dxa"/>
            <w:tcBorders>
              <w:tl2br w:val="nil"/>
              <w:tr2bl w:val="nil"/>
            </w:tcBorders>
            <w:noWrap w:val="0"/>
            <w:tcMar>
              <w:top w:w="15" w:type="dxa"/>
              <w:left w:w="15" w:type="dxa"/>
              <w:right w:w="15" w:type="dxa"/>
            </w:tcMar>
            <w:vAlign w:val="center"/>
          </w:tcPr>
          <w:p w14:paraId="23B1DCF8">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有：0.5分；有且男、女独立</w:t>
            </w:r>
            <w:r>
              <w:rPr>
                <w:rFonts w:hint="eastAsia" w:ascii="仿宋" w:hAnsi="仿宋" w:eastAsia="仿宋" w:cs="仿宋"/>
                <w:color w:val="auto"/>
                <w:lang w:eastAsia="zh-CN"/>
              </w:rPr>
              <w:t>：</w:t>
            </w:r>
            <w:r>
              <w:rPr>
                <w:rFonts w:hint="eastAsia" w:ascii="仿宋" w:hAnsi="仿宋" w:eastAsia="仿宋" w:cs="仿宋"/>
                <w:color w:val="auto"/>
              </w:rPr>
              <w:t>1分。</w:t>
            </w:r>
          </w:p>
        </w:tc>
        <w:tc>
          <w:tcPr>
            <w:tcW w:w="2625" w:type="dxa"/>
            <w:tcBorders>
              <w:tl2br w:val="nil"/>
              <w:tr2bl w:val="nil"/>
            </w:tcBorders>
            <w:noWrap w:val="0"/>
            <w:tcMar>
              <w:top w:w="15" w:type="dxa"/>
              <w:left w:w="15" w:type="dxa"/>
              <w:right w:w="15" w:type="dxa"/>
            </w:tcMar>
            <w:vAlign w:val="center"/>
          </w:tcPr>
          <w:p w14:paraId="09478EB0">
            <w:pPr>
              <w:jc w:val="left"/>
              <w:rPr>
                <w:rFonts w:hint="eastAsia" w:ascii="仿宋" w:hAnsi="仿宋" w:eastAsia="仿宋" w:cs="仿宋"/>
                <w:color w:val="auto"/>
              </w:rPr>
            </w:pPr>
          </w:p>
        </w:tc>
      </w:tr>
      <w:tr w14:paraId="35D5D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0FAB6E4B">
            <w:pPr>
              <w:widowControl/>
              <w:jc w:val="center"/>
              <w:textAlignment w:val="center"/>
              <w:rPr>
                <w:rFonts w:hint="eastAsia" w:ascii="仿宋" w:hAnsi="仿宋" w:eastAsia="仿宋" w:cs="仿宋"/>
                <w:color w:val="auto"/>
              </w:rPr>
            </w:pPr>
            <w:r>
              <w:rPr>
                <w:rFonts w:hint="eastAsia" w:ascii="仿宋" w:hAnsi="仿宋" w:eastAsia="仿宋" w:cs="仿宋"/>
                <w:color w:val="auto"/>
              </w:rPr>
              <w:t>9</w:t>
            </w:r>
          </w:p>
        </w:tc>
        <w:tc>
          <w:tcPr>
            <w:tcW w:w="902" w:type="dxa"/>
            <w:tcBorders>
              <w:tl2br w:val="nil"/>
              <w:tr2bl w:val="nil"/>
            </w:tcBorders>
            <w:noWrap/>
            <w:tcMar>
              <w:top w:w="15" w:type="dxa"/>
              <w:left w:w="15" w:type="dxa"/>
              <w:right w:w="15" w:type="dxa"/>
            </w:tcMar>
            <w:vAlign w:val="center"/>
          </w:tcPr>
          <w:p w14:paraId="147D5FC5">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2109BF14">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空调设备</w:t>
            </w:r>
          </w:p>
        </w:tc>
        <w:tc>
          <w:tcPr>
            <w:tcW w:w="660" w:type="dxa"/>
            <w:tcBorders>
              <w:tl2br w:val="nil"/>
              <w:tr2bl w:val="nil"/>
            </w:tcBorders>
            <w:noWrap w:val="0"/>
            <w:tcMar>
              <w:top w:w="15" w:type="dxa"/>
              <w:left w:w="15" w:type="dxa"/>
              <w:right w:w="15" w:type="dxa"/>
            </w:tcMar>
            <w:vAlign w:val="center"/>
          </w:tcPr>
          <w:p w14:paraId="7426FB2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57351C9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3D930FF">
            <w:pPr>
              <w:widowControl/>
              <w:jc w:val="center"/>
              <w:textAlignment w:val="center"/>
              <w:rPr>
                <w:rFonts w:hint="eastAsia" w:ascii="仿宋" w:hAnsi="仿宋" w:eastAsia="仿宋" w:cs="仿宋"/>
                <w:color w:val="auto"/>
              </w:rPr>
            </w:pPr>
            <w:r>
              <w:rPr>
                <w:rFonts w:hint="eastAsia" w:ascii="仿宋" w:hAnsi="仿宋" w:eastAsia="仿宋" w:cs="仿宋"/>
                <w:color w:val="auto"/>
              </w:rPr>
              <w:t>配有空调设备，功能完好。</w:t>
            </w:r>
          </w:p>
        </w:tc>
        <w:tc>
          <w:tcPr>
            <w:tcW w:w="3825" w:type="dxa"/>
            <w:tcBorders>
              <w:tl2br w:val="nil"/>
              <w:tr2bl w:val="nil"/>
            </w:tcBorders>
            <w:noWrap w:val="0"/>
            <w:tcMar>
              <w:top w:w="15" w:type="dxa"/>
              <w:left w:w="15" w:type="dxa"/>
              <w:right w:w="15" w:type="dxa"/>
            </w:tcMar>
            <w:vAlign w:val="center"/>
          </w:tcPr>
          <w:p w14:paraId="04C99F83">
            <w:pPr>
              <w:widowControl/>
              <w:jc w:val="left"/>
              <w:textAlignment w:val="center"/>
              <w:rPr>
                <w:rFonts w:hint="eastAsia" w:ascii="仿宋" w:hAnsi="仿宋" w:eastAsia="仿宋" w:cs="仿宋"/>
                <w:color w:val="auto"/>
              </w:rPr>
            </w:pPr>
            <w:r>
              <w:rPr>
                <w:rFonts w:hint="eastAsia" w:ascii="仿宋" w:hAnsi="仿宋" w:eastAsia="仿宋" w:cs="仿宋"/>
                <w:color w:val="auto"/>
              </w:rPr>
              <w:t>有功能完好的冷（热）空调设备并正常使用，每年对空调进行及时清洁。</w:t>
            </w:r>
          </w:p>
        </w:tc>
        <w:tc>
          <w:tcPr>
            <w:tcW w:w="3315" w:type="dxa"/>
            <w:tcBorders>
              <w:tl2br w:val="nil"/>
              <w:tr2bl w:val="nil"/>
            </w:tcBorders>
            <w:noWrap w:val="0"/>
            <w:tcMar>
              <w:top w:w="15" w:type="dxa"/>
              <w:left w:w="15" w:type="dxa"/>
              <w:right w:w="15" w:type="dxa"/>
            </w:tcMar>
            <w:vAlign w:val="center"/>
          </w:tcPr>
          <w:p w14:paraId="14E5D103">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有：0.5分；有且能正常使用：1分。</w:t>
            </w:r>
          </w:p>
        </w:tc>
        <w:tc>
          <w:tcPr>
            <w:tcW w:w="2625" w:type="dxa"/>
            <w:tcBorders>
              <w:tl2br w:val="nil"/>
              <w:tr2bl w:val="nil"/>
            </w:tcBorders>
            <w:noWrap w:val="0"/>
            <w:tcMar>
              <w:top w:w="15" w:type="dxa"/>
              <w:left w:w="15" w:type="dxa"/>
              <w:right w:w="15" w:type="dxa"/>
            </w:tcMar>
            <w:vAlign w:val="center"/>
          </w:tcPr>
          <w:p w14:paraId="2FC0EF70">
            <w:pPr>
              <w:jc w:val="left"/>
              <w:rPr>
                <w:rFonts w:hint="eastAsia" w:ascii="仿宋" w:hAnsi="仿宋" w:eastAsia="仿宋" w:cs="仿宋"/>
                <w:color w:val="auto"/>
              </w:rPr>
            </w:pPr>
          </w:p>
        </w:tc>
      </w:tr>
      <w:tr w14:paraId="307AA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664" w:type="dxa"/>
            <w:tcBorders>
              <w:tl2br w:val="nil"/>
              <w:tr2bl w:val="nil"/>
            </w:tcBorders>
            <w:noWrap/>
            <w:tcMar>
              <w:top w:w="15" w:type="dxa"/>
              <w:left w:w="15" w:type="dxa"/>
              <w:right w:w="15" w:type="dxa"/>
            </w:tcMar>
            <w:vAlign w:val="center"/>
          </w:tcPr>
          <w:p w14:paraId="20B866B9">
            <w:pPr>
              <w:widowControl/>
              <w:jc w:val="center"/>
              <w:textAlignment w:val="center"/>
              <w:rPr>
                <w:rFonts w:hint="eastAsia" w:ascii="仿宋" w:hAnsi="仿宋" w:eastAsia="仿宋" w:cs="仿宋"/>
                <w:color w:val="auto"/>
              </w:rPr>
            </w:pPr>
            <w:r>
              <w:rPr>
                <w:rFonts w:hint="eastAsia" w:ascii="仿宋" w:hAnsi="仿宋" w:eastAsia="仿宋" w:cs="仿宋"/>
                <w:color w:val="auto"/>
              </w:rPr>
              <w:t>10</w:t>
            </w:r>
          </w:p>
        </w:tc>
        <w:tc>
          <w:tcPr>
            <w:tcW w:w="902" w:type="dxa"/>
            <w:tcBorders>
              <w:tl2br w:val="nil"/>
              <w:tr2bl w:val="nil"/>
            </w:tcBorders>
            <w:noWrap/>
            <w:tcMar>
              <w:top w:w="15" w:type="dxa"/>
              <w:left w:w="15" w:type="dxa"/>
              <w:right w:w="15" w:type="dxa"/>
            </w:tcMar>
            <w:vAlign w:val="center"/>
          </w:tcPr>
          <w:p w14:paraId="773F1AB0">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520A236E">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服务对象</w:t>
            </w:r>
          </w:p>
        </w:tc>
        <w:tc>
          <w:tcPr>
            <w:tcW w:w="660" w:type="dxa"/>
            <w:tcBorders>
              <w:tl2br w:val="nil"/>
              <w:tr2bl w:val="nil"/>
            </w:tcBorders>
            <w:noWrap w:val="0"/>
            <w:tcMar>
              <w:top w:w="15" w:type="dxa"/>
              <w:left w:w="15" w:type="dxa"/>
              <w:right w:w="15" w:type="dxa"/>
            </w:tcMar>
            <w:vAlign w:val="center"/>
          </w:tcPr>
          <w:p w14:paraId="545C794E">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570" w:type="dxa"/>
            <w:tcBorders>
              <w:tl2br w:val="nil"/>
              <w:tr2bl w:val="nil"/>
            </w:tcBorders>
            <w:noWrap w:val="0"/>
            <w:tcMar>
              <w:top w:w="15" w:type="dxa"/>
              <w:left w:w="15" w:type="dxa"/>
              <w:right w:w="15" w:type="dxa"/>
            </w:tcMar>
            <w:vAlign w:val="center"/>
          </w:tcPr>
          <w:p w14:paraId="59429FA7">
            <w:pPr>
              <w:jc w:val="cente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25D11B5">
            <w:pPr>
              <w:widowControl/>
              <w:jc w:val="center"/>
              <w:textAlignment w:val="center"/>
              <w:rPr>
                <w:rFonts w:hint="eastAsia" w:ascii="仿宋" w:hAnsi="仿宋" w:eastAsia="仿宋" w:cs="仿宋"/>
                <w:color w:val="auto"/>
              </w:rPr>
            </w:pPr>
            <w:r>
              <w:rPr>
                <w:rFonts w:hint="eastAsia" w:ascii="仿宋" w:hAnsi="仿宋" w:eastAsia="仿宋" w:cs="仿宋"/>
                <w:color w:val="auto"/>
              </w:rPr>
              <w:t>有稳定的服务对象。</w:t>
            </w:r>
          </w:p>
        </w:tc>
        <w:tc>
          <w:tcPr>
            <w:tcW w:w="3825" w:type="dxa"/>
            <w:tcBorders>
              <w:tl2br w:val="nil"/>
              <w:tr2bl w:val="nil"/>
            </w:tcBorders>
            <w:noWrap w:val="0"/>
            <w:tcMar>
              <w:top w:w="15" w:type="dxa"/>
              <w:left w:w="15" w:type="dxa"/>
              <w:right w:w="15" w:type="dxa"/>
            </w:tcMar>
            <w:vAlign w:val="center"/>
          </w:tcPr>
          <w:p w14:paraId="2973744B">
            <w:pPr>
              <w:widowControl/>
              <w:jc w:val="left"/>
              <w:textAlignment w:val="center"/>
              <w:rPr>
                <w:rFonts w:hint="eastAsia" w:ascii="仿宋" w:hAnsi="仿宋" w:eastAsia="仿宋" w:cs="仿宋"/>
                <w:color w:val="auto"/>
              </w:rPr>
            </w:pPr>
            <w:r>
              <w:rPr>
                <w:rFonts w:hint="eastAsia" w:ascii="仿宋" w:hAnsi="仿宋" w:eastAsia="仿宋" w:cs="仿宋"/>
                <w:color w:val="auto"/>
              </w:rPr>
              <w:t>有一定数量的残疾人稳定地接受庇护服务，机构应与服务对象签订服务（就业）协议。</w:t>
            </w:r>
          </w:p>
        </w:tc>
        <w:tc>
          <w:tcPr>
            <w:tcW w:w="3315" w:type="dxa"/>
            <w:tcBorders>
              <w:tl2br w:val="nil"/>
              <w:tr2bl w:val="nil"/>
            </w:tcBorders>
            <w:noWrap w:val="0"/>
            <w:tcMar>
              <w:top w:w="15" w:type="dxa"/>
              <w:left w:w="15" w:type="dxa"/>
              <w:right w:w="15" w:type="dxa"/>
            </w:tcMar>
            <w:vAlign w:val="center"/>
          </w:tcPr>
          <w:p w14:paraId="204422DB">
            <w:pPr>
              <w:widowControl/>
              <w:jc w:val="left"/>
              <w:textAlignment w:val="center"/>
              <w:rPr>
                <w:rFonts w:hint="eastAsia" w:ascii="仿宋" w:hAnsi="仿宋" w:eastAsia="仿宋" w:cs="仿宋"/>
                <w:color w:val="auto"/>
              </w:rPr>
            </w:pPr>
            <w:r>
              <w:rPr>
                <w:rFonts w:hint="eastAsia" w:ascii="仿宋" w:hAnsi="仿宋" w:eastAsia="仿宋" w:cs="仿宋"/>
                <w:color w:val="auto"/>
              </w:rPr>
              <w:t>服务对象达5名得2分，每增加2名加0.5分（最高可加10分）。</w:t>
            </w:r>
          </w:p>
        </w:tc>
        <w:tc>
          <w:tcPr>
            <w:tcW w:w="2625" w:type="dxa"/>
            <w:tcBorders>
              <w:tl2br w:val="nil"/>
              <w:tr2bl w:val="nil"/>
            </w:tcBorders>
            <w:noWrap w:val="0"/>
            <w:tcMar>
              <w:top w:w="15" w:type="dxa"/>
              <w:left w:w="15" w:type="dxa"/>
              <w:right w:w="15" w:type="dxa"/>
            </w:tcMar>
            <w:vAlign w:val="center"/>
          </w:tcPr>
          <w:p w14:paraId="3EADEA85">
            <w:pPr>
              <w:widowControl/>
              <w:jc w:val="left"/>
              <w:textAlignment w:val="center"/>
              <w:rPr>
                <w:rFonts w:hint="eastAsia" w:ascii="仿宋" w:hAnsi="仿宋" w:eastAsia="仿宋" w:cs="仿宋"/>
                <w:color w:val="auto"/>
              </w:rPr>
            </w:pPr>
            <w:r>
              <w:rPr>
                <w:rFonts w:hint="eastAsia" w:ascii="仿宋" w:hAnsi="仿宋" w:eastAsia="仿宋" w:cs="仿宋"/>
                <w:color w:val="auto"/>
              </w:rPr>
              <w:t>注：服务对象为具备诸暨市户籍的持证残疾人。</w:t>
            </w:r>
          </w:p>
        </w:tc>
      </w:tr>
      <w:tr w14:paraId="094F0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64" w:type="dxa"/>
            <w:tcBorders>
              <w:tl2br w:val="nil"/>
              <w:tr2bl w:val="nil"/>
            </w:tcBorders>
            <w:noWrap/>
            <w:tcMar>
              <w:top w:w="15" w:type="dxa"/>
              <w:left w:w="15" w:type="dxa"/>
              <w:right w:w="15" w:type="dxa"/>
            </w:tcMar>
            <w:vAlign w:val="center"/>
          </w:tcPr>
          <w:p w14:paraId="6B8A8F80">
            <w:pPr>
              <w:widowControl/>
              <w:jc w:val="center"/>
              <w:textAlignment w:val="center"/>
              <w:rPr>
                <w:rFonts w:hint="eastAsia" w:ascii="仿宋" w:hAnsi="仿宋" w:eastAsia="仿宋" w:cs="仿宋"/>
                <w:color w:val="auto"/>
              </w:rPr>
            </w:pPr>
            <w:r>
              <w:rPr>
                <w:rFonts w:hint="eastAsia" w:ascii="仿宋" w:hAnsi="仿宋" w:eastAsia="仿宋" w:cs="仿宋"/>
                <w:color w:val="auto"/>
              </w:rPr>
              <w:t>11</w:t>
            </w:r>
          </w:p>
        </w:tc>
        <w:tc>
          <w:tcPr>
            <w:tcW w:w="902" w:type="dxa"/>
            <w:tcBorders>
              <w:tl2br w:val="nil"/>
              <w:tr2bl w:val="nil"/>
            </w:tcBorders>
            <w:noWrap/>
            <w:tcMar>
              <w:top w:w="15" w:type="dxa"/>
              <w:left w:w="15" w:type="dxa"/>
              <w:right w:w="15" w:type="dxa"/>
            </w:tcMar>
            <w:vAlign w:val="center"/>
          </w:tcPr>
          <w:p w14:paraId="7EC1A62D">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CECAA6E">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管理人员配备</w:t>
            </w:r>
          </w:p>
        </w:tc>
        <w:tc>
          <w:tcPr>
            <w:tcW w:w="660" w:type="dxa"/>
            <w:tcBorders>
              <w:tl2br w:val="nil"/>
              <w:tr2bl w:val="nil"/>
            </w:tcBorders>
            <w:noWrap w:val="0"/>
            <w:tcMar>
              <w:top w:w="15" w:type="dxa"/>
              <w:left w:w="15" w:type="dxa"/>
              <w:right w:w="15" w:type="dxa"/>
            </w:tcMar>
            <w:vAlign w:val="center"/>
          </w:tcPr>
          <w:p w14:paraId="426B0EAF">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3BF9E5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8DAA5AC">
            <w:pPr>
              <w:widowControl/>
              <w:jc w:val="center"/>
              <w:textAlignment w:val="center"/>
              <w:rPr>
                <w:rFonts w:hint="eastAsia" w:ascii="仿宋" w:hAnsi="仿宋" w:eastAsia="仿宋" w:cs="仿宋"/>
                <w:color w:val="auto"/>
              </w:rPr>
            </w:pPr>
            <w:r>
              <w:rPr>
                <w:rFonts w:hint="eastAsia" w:ascii="仿宋" w:hAnsi="仿宋" w:eastAsia="仿宋" w:cs="仿宋"/>
                <w:color w:val="auto"/>
              </w:rPr>
              <w:t>有专（兼）职管理服务人员。</w:t>
            </w:r>
          </w:p>
        </w:tc>
        <w:tc>
          <w:tcPr>
            <w:tcW w:w="3825" w:type="dxa"/>
            <w:tcBorders>
              <w:tl2br w:val="nil"/>
              <w:tr2bl w:val="nil"/>
            </w:tcBorders>
            <w:noWrap w:val="0"/>
            <w:tcMar>
              <w:top w:w="15" w:type="dxa"/>
              <w:left w:w="15" w:type="dxa"/>
              <w:right w:w="15" w:type="dxa"/>
            </w:tcMar>
            <w:vAlign w:val="center"/>
          </w:tcPr>
          <w:p w14:paraId="300F8D8C">
            <w:pPr>
              <w:widowControl/>
              <w:jc w:val="left"/>
              <w:textAlignment w:val="center"/>
              <w:rPr>
                <w:rFonts w:hint="eastAsia" w:ascii="仿宋" w:hAnsi="仿宋" w:eastAsia="仿宋" w:cs="仿宋"/>
                <w:color w:val="auto"/>
              </w:rPr>
            </w:pPr>
            <w:r>
              <w:rPr>
                <w:rFonts w:hint="eastAsia" w:ascii="仿宋" w:hAnsi="仿宋" w:eastAsia="仿宋" w:cs="仿宋"/>
                <w:color w:val="auto"/>
              </w:rPr>
              <w:t>有专职管理服务人员，根据需要配备兼职管理服务人员。</w:t>
            </w:r>
          </w:p>
        </w:tc>
        <w:tc>
          <w:tcPr>
            <w:tcW w:w="3315" w:type="dxa"/>
            <w:tcBorders>
              <w:tl2br w:val="nil"/>
              <w:tr2bl w:val="nil"/>
            </w:tcBorders>
            <w:noWrap w:val="0"/>
            <w:tcMar>
              <w:top w:w="15" w:type="dxa"/>
              <w:left w:w="15" w:type="dxa"/>
              <w:right w:w="15" w:type="dxa"/>
            </w:tcMar>
            <w:vAlign w:val="center"/>
          </w:tcPr>
          <w:p w14:paraId="1E8100B1">
            <w:pPr>
              <w:widowControl/>
              <w:jc w:val="left"/>
              <w:textAlignment w:val="center"/>
              <w:rPr>
                <w:rFonts w:hint="eastAsia" w:ascii="仿宋" w:hAnsi="仿宋" w:eastAsia="仿宋" w:cs="仿宋"/>
                <w:color w:val="auto"/>
              </w:rPr>
            </w:pPr>
            <w:r>
              <w:rPr>
                <w:rFonts w:hint="eastAsia" w:ascii="仿宋" w:hAnsi="仿宋" w:eastAsia="仿宋" w:cs="仿宋"/>
                <w:color w:val="auto"/>
              </w:rPr>
              <w:t>专职管理人员与服务对象比例≥1:8得分，未达到基本配比标准不得分。</w:t>
            </w:r>
          </w:p>
        </w:tc>
        <w:tc>
          <w:tcPr>
            <w:tcW w:w="2625" w:type="dxa"/>
            <w:tcBorders>
              <w:tl2br w:val="nil"/>
              <w:tr2bl w:val="nil"/>
            </w:tcBorders>
            <w:noWrap w:val="0"/>
            <w:tcMar>
              <w:top w:w="15" w:type="dxa"/>
              <w:left w:w="15" w:type="dxa"/>
              <w:right w:w="15" w:type="dxa"/>
            </w:tcMar>
            <w:vAlign w:val="center"/>
          </w:tcPr>
          <w:p w14:paraId="6E6617AC">
            <w:pPr>
              <w:widowControl/>
              <w:jc w:val="left"/>
              <w:textAlignment w:val="center"/>
              <w:rPr>
                <w:rFonts w:hint="eastAsia" w:ascii="仿宋" w:hAnsi="仿宋" w:eastAsia="仿宋" w:cs="仿宋"/>
                <w:color w:val="auto"/>
              </w:rPr>
            </w:pPr>
            <w:r>
              <w:rPr>
                <w:rFonts w:hint="eastAsia" w:ascii="仿宋" w:hAnsi="仿宋" w:eastAsia="仿宋" w:cs="仿宋"/>
                <w:color w:val="auto"/>
              </w:rPr>
              <w:t>注：“专职”一般指法定工作日每天到岗。通过查看数字化考勤数据，辅以监控视频及社保缴费记录等佐证。</w:t>
            </w:r>
          </w:p>
        </w:tc>
      </w:tr>
      <w:tr w14:paraId="04C7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64" w:type="dxa"/>
            <w:tcBorders>
              <w:tl2br w:val="nil"/>
              <w:tr2bl w:val="nil"/>
            </w:tcBorders>
            <w:noWrap/>
            <w:tcMar>
              <w:top w:w="15" w:type="dxa"/>
              <w:left w:w="15" w:type="dxa"/>
              <w:right w:w="15" w:type="dxa"/>
            </w:tcMar>
            <w:vAlign w:val="center"/>
          </w:tcPr>
          <w:p w14:paraId="686D87DC">
            <w:pPr>
              <w:widowControl/>
              <w:jc w:val="center"/>
              <w:textAlignment w:val="center"/>
              <w:rPr>
                <w:rFonts w:hint="eastAsia" w:ascii="仿宋" w:hAnsi="仿宋" w:eastAsia="仿宋" w:cs="仿宋"/>
                <w:color w:val="auto"/>
              </w:rPr>
            </w:pPr>
            <w:r>
              <w:rPr>
                <w:rFonts w:hint="eastAsia" w:ascii="仿宋" w:hAnsi="仿宋" w:eastAsia="仿宋" w:cs="仿宋"/>
                <w:color w:val="auto"/>
              </w:rPr>
              <w:t>12</w:t>
            </w:r>
          </w:p>
        </w:tc>
        <w:tc>
          <w:tcPr>
            <w:tcW w:w="902" w:type="dxa"/>
            <w:tcBorders>
              <w:tl2br w:val="nil"/>
              <w:tr2bl w:val="nil"/>
            </w:tcBorders>
            <w:noWrap/>
            <w:tcMar>
              <w:top w:w="15" w:type="dxa"/>
              <w:left w:w="15" w:type="dxa"/>
              <w:right w:w="15" w:type="dxa"/>
            </w:tcMar>
            <w:vAlign w:val="center"/>
          </w:tcPr>
          <w:p w14:paraId="0DD6D12B">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85FE3AE">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个人卫生</w:t>
            </w:r>
          </w:p>
        </w:tc>
        <w:tc>
          <w:tcPr>
            <w:tcW w:w="660" w:type="dxa"/>
            <w:tcBorders>
              <w:tl2br w:val="nil"/>
              <w:tr2bl w:val="nil"/>
            </w:tcBorders>
            <w:noWrap w:val="0"/>
            <w:tcMar>
              <w:top w:w="15" w:type="dxa"/>
              <w:left w:w="15" w:type="dxa"/>
              <w:right w:w="15" w:type="dxa"/>
            </w:tcMar>
            <w:vAlign w:val="center"/>
          </w:tcPr>
          <w:p w14:paraId="795CDA7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AFA3B7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7978D7F">
            <w:pPr>
              <w:widowControl/>
              <w:jc w:val="center"/>
              <w:textAlignment w:val="center"/>
              <w:rPr>
                <w:rFonts w:hint="eastAsia" w:ascii="仿宋" w:hAnsi="仿宋" w:eastAsia="仿宋" w:cs="仿宋"/>
                <w:color w:val="auto"/>
              </w:rPr>
            </w:pPr>
            <w:r>
              <w:rPr>
                <w:rFonts w:hint="eastAsia" w:ascii="仿宋" w:hAnsi="仿宋" w:eastAsia="仿宋" w:cs="仿宋"/>
                <w:color w:val="auto"/>
              </w:rPr>
              <w:t>服务对象个人卫生状况良好。</w:t>
            </w:r>
          </w:p>
        </w:tc>
        <w:tc>
          <w:tcPr>
            <w:tcW w:w="3825" w:type="dxa"/>
            <w:tcBorders>
              <w:tl2br w:val="nil"/>
              <w:tr2bl w:val="nil"/>
            </w:tcBorders>
            <w:noWrap w:val="0"/>
            <w:tcMar>
              <w:top w:w="15" w:type="dxa"/>
              <w:left w:w="15" w:type="dxa"/>
              <w:right w:w="15" w:type="dxa"/>
            </w:tcMar>
            <w:vAlign w:val="center"/>
          </w:tcPr>
          <w:p w14:paraId="01068829">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有科学适宜的个人卫生服务规范并得到落实，残疾人衣着外貌整洁，身体无明显异味。</w:t>
            </w:r>
          </w:p>
        </w:tc>
        <w:tc>
          <w:tcPr>
            <w:tcW w:w="3315" w:type="dxa"/>
            <w:tcBorders>
              <w:tl2br w:val="nil"/>
              <w:tr2bl w:val="nil"/>
            </w:tcBorders>
            <w:noWrap w:val="0"/>
            <w:tcMar>
              <w:top w:w="15" w:type="dxa"/>
              <w:left w:w="15" w:type="dxa"/>
              <w:right w:w="15" w:type="dxa"/>
            </w:tcMar>
            <w:vAlign w:val="center"/>
          </w:tcPr>
          <w:p w14:paraId="556027D0">
            <w:pPr>
              <w:widowControl/>
              <w:jc w:val="left"/>
              <w:textAlignment w:val="center"/>
              <w:rPr>
                <w:rFonts w:hint="eastAsia" w:ascii="仿宋" w:hAnsi="仿宋" w:eastAsia="仿宋" w:cs="仿宋"/>
                <w:color w:val="auto"/>
              </w:rPr>
            </w:pPr>
            <w:r>
              <w:rPr>
                <w:rFonts w:hint="eastAsia" w:ascii="仿宋" w:hAnsi="仿宋" w:eastAsia="仿宋" w:cs="仿宋"/>
                <w:color w:val="auto"/>
              </w:rPr>
              <w:t>庇护人员外貌整洁无异味得分，否则不得分。</w:t>
            </w:r>
          </w:p>
        </w:tc>
        <w:tc>
          <w:tcPr>
            <w:tcW w:w="2625" w:type="dxa"/>
            <w:tcBorders>
              <w:tl2br w:val="nil"/>
              <w:tr2bl w:val="nil"/>
            </w:tcBorders>
            <w:noWrap w:val="0"/>
            <w:tcMar>
              <w:top w:w="15" w:type="dxa"/>
              <w:left w:w="15" w:type="dxa"/>
              <w:right w:w="15" w:type="dxa"/>
            </w:tcMar>
            <w:vAlign w:val="center"/>
          </w:tcPr>
          <w:p w14:paraId="1D91059C">
            <w:pPr>
              <w:widowControl/>
              <w:jc w:val="left"/>
              <w:textAlignment w:val="center"/>
              <w:rPr>
                <w:rFonts w:hint="eastAsia" w:ascii="仿宋" w:hAnsi="仿宋" w:eastAsia="仿宋" w:cs="仿宋"/>
                <w:color w:val="auto"/>
              </w:rPr>
            </w:pPr>
            <w:r>
              <w:rPr>
                <w:rFonts w:hint="eastAsia" w:ascii="仿宋" w:hAnsi="仿宋" w:eastAsia="仿宋" w:cs="仿宋"/>
                <w:color w:val="auto"/>
              </w:rPr>
              <w:t>注：规范是否落实，主要考察规范所涉内容和要求是否与实际相符，管理服务人员是否熟悉规范内容等。下同。</w:t>
            </w:r>
          </w:p>
        </w:tc>
      </w:tr>
      <w:tr w14:paraId="7ED8D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2606CA0">
            <w:pPr>
              <w:widowControl/>
              <w:jc w:val="center"/>
              <w:textAlignment w:val="center"/>
              <w:rPr>
                <w:rFonts w:hint="eastAsia" w:ascii="仿宋" w:hAnsi="仿宋" w:eastAsia="仿宋" w:cs="仿宋"/>
                <w:color w:val="auto"/>
              </w:rPr>
            </w:pPr>
            <w:r>
              <w:rPr>
                <w:rFonts w:hint="eastAsia" w:ascii="仿宋" w:hAnsi="仿宋" w:eastAsia="仿宋" w:cs="仿宋"/>
                <w:color w:val="auto"/>
              </w:rPr>
              <w:t>13</w:t>
            </w:r>
          </w:p>
        </w:tc>
        <w:tc>
          <w:tcPr>
            <w:tcW w:w="902" w:type="dxa"/>
            <w:tcBorders>
              <w:tl2br w:val="nil"/>
              <w:tr2bl w:val="nil"/>
            </w:tcBorders>
            <w:noWrap/>
            <w:tcMar>
              <w:top w:w="15" w:type="dxa"/>
              <w:left w:w="15" w:type="dxa"/>
              <w:right w:w="15" w:type="dxa"/>
            </w:tcMar>
            <w:vAlign w:val="center"/>
          </w:tcPr>
          <w:p w14:paraId="7D3B61C6">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4821813D">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午餐服务</w:t>
            </w:r>
          </w:p>
        </w:tc>
        <w:tc>
          <w:tcPr>
            <w:tcW w:w="660" w:type="dxa"/>
            <w:tcBorders>
              <w:tl2br w:val="nil"/>
              <w:tr2bl w:val="nil"/>
            </w:tcBorders>
            <w:noWrap w:val="0"/>
            <w:tcMar>
              <w:top w:w="15" w:type="dxa"/>
              <w:left w:w="15" w:type="dxa"/>
              <w:right w:w="15" w:type="dxa"/>
            </w:tcMar>
            <w:vAlign w:val="center"/>
          </w:tcPr>
          <w:p w14:paraId="4F2D9060">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570" w:type="dxa"/>
            <w:tcBorders>
              <w:tl2br w:val="nil"/>
              <w:tr2bl w:val="nil"/>
            </w:tcBorders>
            <w:noWrap w:val="0"/>
            <w:tcMar>
              <w:top w:w="15" w:type="dxa"/>
              <w:left w:w="15" w:type="dxa"/>
              <w:right w:w="15" w:type="dxa"/>
            </w:tcMar>
            <w:vAlign w:val="center"/>
          </w:tcPr>
          <w:p w14:paraId="3B229A4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9C5420D">
            <w:pPr>
              <w:widowControl/>
              <w:jc w:val="center"/>
              <w:textAlignment w:val="center"/>
              <w:rPr>
                <w:rFonts w:hint="eastAsia" w:ascii="仿宋" w:hAnsi="仿宋" w:eastAsia="仿宋" w:cs="仿宋"/>
                <w:color w:val="auto"/>
              </w:rPr>
            </w:pPr>
            <w:r>
              <w:rPr>
                <w:rFonts w:hint="eastAsia" w:ascii="仿宋" w:hAnsi="仿宋" w:eastAsia="仿宋" w:cs="仿宋"/>
                <w:color w:val="auto"/>
              </w:rPr>
              <w:t>提供午餐服务。</w:t>
            </w:r>
          </w:p>
        </w:tc>
        <w:tc>
          <w:tcPr>
            <w:tcW w:w="3825" w:type="dxa"/>
            <w:tcBorders>
              <w:tl2br w:val="nil"/>
              <w:tr2bl w:val="nil"/>
            </w:tcBorders>
            <w:noWrap w:val="0"/>
            <w:tcMar>
              <w:top w:w="15" w:type="dxa"/>
              <w:left w:w="15" w:type="dxa"/>
              <w:right w:w="15" w:type="dxa"/>
            </w:tcMar>
            <w:vAlign w:val="center"/>
          </w:tcPr>
          <w:p w14:paraId="04DA82F5">
            <w:pPr>
              <w:widowControl/>
              <w:jc w:val="left"/>
              <w:textAlignment w:val="center"/>
              <w:rPr>
                <w:rFonts w:hint="eastAsia" w:ascii="仿宋" w:hAnsi="仿宋" w:eastAsia="仿宋" w:cs="仿宋"/>
                <w:color w:val="auto"/>
              </w:rPr>
            </w:pPr>
            <w:r>
              <w:rPr>
                <w:rFonts w:hint="eastAsia" w:ascii="仿宋" w:hAnsi="仿宋" w:eastAsia="仿宋" w:cs="仿宋"/>
                <w:color w:val="auto"/>
              </w:rPr>
              <w:t>有厨房及餐厅（含共用），每周公布食谱（共建机构应有专属残疾人食谱），食品来源可追溯，食品按卫生部门规定留样，餐具清洁（专人专用或集中清洗消毒）。</w:t>
            </w:r>
          </w:p>
        </w:tc>
        <w:tc>
          <w:tcPr>
            <w:tcW w:w="3315" w:type="dxa"/>
            <w:tcBorders>
              <w:tl2br w:val="nil"/>
              <w:tr2bl w:val="nil"/>
            </w:tcBorders>
            <w:noWrap w:val="0"/>
            <w:tcMar>
              <w:top w:w="15" w:type="dxa"/>
              <w:left w:w="15" w:type="dxa"/>
              <w:right w:w="15" w:type="dxa"/>
            </w:tcMar>
            <w:vAlign w:val="center"/>
          </w:tcPr>
          <w:p w14:paraId="0CF4FB7E">
            <w:pPr>
              <w:widowControl/>
              <w:jc w:val="left"/>
              <w:textAlignment w:val="center"/>
              <w:rPr>
                <w:rFonts w:hint="eastAsia" w:ascii="仿宋" w:hAnsi="仿宋" w:eastAsia="仿宋" w:cs="仿宋"/>
                <w:color w:val="auto"/>
              </w:rPr>
            </w:pPr>
            <w:r>
              <w:rPr>
                <w:rFonts w:hint="eastAsia" w:ascii="仿宋" w:hAnsi="仿宋" w:eastAsia="仿宋" w:cs="仿宋"/>
                <w:color w:val="auto"/>
              </w:rPr>
              <w:t>任意一项不符合规定扣1分，扣完为止。</w:t>
            </w:r>
          </w:p>
        </w:tc>
        <w:tc>
          <w:tcPr>
            <w:tcW w:w="2625" w:type="dxa"/>
            <w:tcBorders>
              <w:tl2br w:val="nil"/>
              <w:tr2bl w:val="nil"/>
            </w:tcBorders>
            <w:noWrap w:val="0"/>
            <w:tcMar>
              <w:top w:w="15" w:type="dxa"/>
              <w:left w:w="15" w:type="dxa"/>
              <w:right w:w="15" w:type="dxa"/>
            </w:tcMar>
            <w:vAlign w:val="center"/>
          </w:tcPr>
          <w:p w14:paraId="7C2A8EFB">
            <w:pPr>
              <w:widowControl/>
              <w:jc w:val="left"/>
              <w:textAlignment w:val="center"/>
              <w:rPr>
                <w:rFonts w:hint="eastAsia" w:ascii="仿宋" w:hAnsi="仿宋" w:eastAsia="仿宋" w:cs="仿宋"/>
                <w:color w:val="auto"/>
              </w:rPr>
            </w:pPr>
            <w:r>
              <w:rPr>
                <w:rFonts w:hint="eastAsia" w:ascii="仿宋" w:hAnsi="仿宋" w:eastAsia="仿宋" w:cs="仿宋"/>
                <w:color w:val="auto"/>
              </w:rPr>
              <w:t>注：通过一周食谱抽查，食堂现场查看，问询等方式评定。</w:t>
            </w:r>
          </w:p>
        </w:tc>
      </w:tr>
      <w:tr w14:paraId="20B82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7BFF7F5B">
            <w:pPr>
              <w:widowControl/>
              <w:jc w:val="center"/>
              <w:textAlignment w:val="center"/>
              <w:rPr>
                <w:rFonts w:hint="eastAsia" w:ascii="仿宋" w:hAnsi="仿宋" w:eastAsia="仿宋" w:cs="仿宋"/>
                <w:color w:val="auto"/>
              </w:rPr>
            </w:pPr>
            <w:r>
              <w:rPr>
                <w:rFonts w:hint="eastAsia" w:ascii="仿宋" w:hAnsi="仿宋" w:eastAsia="仿宋" w:cs="仿宋"/>
                <w:color w:val="auto"/>
              </w:rPr>
              <w:t>14</w:t>
            </w:r>
          </w:p>
        </w:tc>
        <w:tc>
          <w:tcPr>
            <w:tcW w:w="902" w:type="dxa"/>
            <w:tcBorders>
              <w:tl2br w:val="nil"/>
              <w:tr2bl w:val="nil"/>
            </w:tcBorders>
            <w:noWrap/>
            <w:tcMar>
              <w:top w:w="15" w:type="dxa"/>
              <w:left w:w="15" w:type="dxa"/>
              <w:right w:w="15" w:type="dxa"/>
            </w:tcMar>
            <w:vAlign w:val="center"/>
          </w:tcPr>
          <w:p w14:paraId="05356BEC">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A3FF189">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晨检</w:t>
            </w:r>
          </w:p>
        </w:tc>
        <w:tc>
          <w:tcPr>
            <w:tcW w:w="660" w:type="dxa"/>
            <w:tcBorders>
              <w:tl2br w:val="nil"/>
              <w:tr2bl w:val="nil"/>
            </w:tcBorders>
            <w:noWrap w:val="0"/>
            <w:tcMar>
              <w:top w:w="15" w:type="dxa"/>
              <w:left w:w="15" w:type="dxa"/>
              <w:right w:w="15" w:type="dxa"/>
            </w:tcMar>
            <w:vAlign w:val="center"/>
          </w:tcPr>
          <w:p w14:paraId="1F8CD7CA">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016DAF1E">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D062FE4">
            <w:pPr>
              <w:widowControl/>
              <w:jc w:val="center"/>
              <w:textAlignment w:val="center"/>
              <w:rPr>
                <w:rFonts w:hint="eastAsia" w:ascii="仿宋" w:hAnsi="仿宋" w:eastAsia="仿宋" w:cs="仿宋"/>
                <w:color w:val="auto"/>
              </w:rPr>
            </w:pPr>
            <w:r>
              <w:rPr>
                <w:rFonts w:hint="eastAsia" w:ascii="仿宋" w:hAnsi="仿宋" w:eastAsia="仿宋" w:cs="仿宋"/>
                <w:color w:val="auto"/>
              </w:rPr>
              <w:t>每日晨检，方法科学，内容适宜。</w:t>
            </w:r>
          </w:p>
        </w:tc>
        <w:tc>
          <w:tcPr>
            <w:tcW w:w="3825" w:type="dxa"/>
            <w:tcBorders>
              <w:tl2br w:val="nil"/>
              <w:tr2bl w:val="nil"/>
            </w:tcBorders>
            <w:noWrap w:val="0"/>
            <w:tcMar>
              <w:top w:w="15" w:type="dxa"/>
              <w:left w:w="15" w:type="dxa"/>
              <w:right w:w="15" w:type="dxa"/>
            </w:tcMar>
            <w:vAlign w:val="center"/>
          </w:tcPr>
          <w:p w14:paraId="6BB115B3">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机构管理服务人员每日观察或检查残疾人状态（为有基础疾病的残疾人进行必要的针对性检查，如测量血压、血糖等），发现异常情况及时处置并联系其监护人，对异常情形的处置和结果等信息及时准确记录。</w:t>
            </w:r>
          </w:p>
        </w:tc>
        <w:tc>
          <w:tcPr>
            <w:tcW w:w="3315" w:type="dxa"/>
            <w:tcBorders>
              <w:tl2br w:val="nil"/>
              <w:tr2bl w:val="nil"/>
            </w:tcBorders>
            <w:noWrap w:val="0"/>
            <w:tcMar>
              <w:top w:w="15" w:type="dxa"/>
              <w:left w:w="15" w:type="dxa"/>
              <w:right w:w="15" w:type="dxa"/>
            </w:tcMar>
            <w:vAlign w:val="center"/>
          </w:tcPr>
          <w:p w14:paraId="1DA49697">
            <w:pPr>
              <w:widowControl/>
              <w:textAlignment w:val="center"/>
              <w:rPr>
                <w:rFonts w:hint="eastAsia" w:ascii="仿宋" w:hAnsi="仿宋" w:eastAsia="仿宋" w:cs="仿宋"/>
                <w:color w:val="auto"/>
              </w:rPr>
            </w:pPr>
            <w:r>
              <w:rPr>
                <w:rFonts w:hint="eastAsia" w:ascii="仿宋" w:hAnsi="仿宋" w:eastAsia="仿宋" w:cs="仿宋"/>
                <w:color w:val="auto"/>
              </w:rPr>
              <w:t>符合可得：2分；无晨检不得分。</w:t>
            </w:r>
          </w:p>
        </w:tc>
        <w:tc>
          <w:tcPr>
            <w:tcW w:w="2625" w:type="dxa"/>
            <w:tcBorders>
              <w:tl2br w:val="nil"/>
              <w:tr2bl w:val="nil"/>
            </w:tcBorders>
            <w:noWrap w:val="0"/>
            <w:tcMar>
              <w:top w:w="15" w:type="dxa"/>
              <w:left w:w="15" w:type="dxa"/>
              <w:right w:w="15" w:type="dxa"/>
            </w:tcMar>
            <w:vAlign w:val="center"/>
          </w:tcPr>
          <w:p w14:paraId="3FE5BA6F">
            <w:pPr>
              <w:widowControl/>
              <w:jc w:val="left"/>
              <w:textAlignment w:val="center"/>
              <w:rPr>
                <w:rFonts w:hint="eastAsia" w:ascii="仿宋" w:hAnsi="仿宋" w:eastAsia="仿宋" w:cs="仿宋"/>
                <w:color w:val="auto"/>
              </w:rPr>
            </w:pPr>
            <w:r>
              <w:rPr>
                <w:rFonts w:hint="eastAsia" w:ascii="仿宋" w:hAnsi="仿宋" w:eastAsia="仿宋" w:cs="仿宋"/>
                <w:color w:val="auto"/>
              </w:rPr>
              <w:t>注：有疫情防控等相关要求时，应按要求执行。执行情况纳入考察范围。</w:t>
            </w:r>
          </w:p>
        </w:tc>
      </w:tr>
      <w:tr w14:paraId="01E8E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5D0517C1">
            <w:pPr>
              <w:widowControl/>
              <w:jc w:val="center"/>
              <w:textAlignment w:val="center"/>
              <w:rPr>
                <w:rFonts w:hint="eastAsia" w:ascii="仿宋" w:hAnsi="仿宋" w:eastAsia="仿宋" w:cs="仿宋"/>
                <w:color w:val="auto"/>
              </w:rPr>
            </w:pPr>
            <w:r>
              <w:rPr>
                <w:rFonts w:hint="eastAsia" w:ascii="仿宋" w:hAnsi="仿宋" w:eastAsia="仿宋" w:cs="仿宋"/>
                <w:color w:val="auto"/>
              </w:rPr>
              <w:t>15</w:t>
            </w:r>
          </w:p>
        </w:tc>
        <w:tc>
          <w:tcPr>
            <w:tcW w:w="902" w:type="dxa"/>
            <w:tcBorders>
              <w:tl2br w:val="nil"/>
              <w:tr2bl w:val="nil"/>
            </w:tcBorders>
            <w:noWrap/>
            <w:tcMar>
              <w:top w:w="15" w:type="dxa"/>
              <w:left w:w="15" w:type="dxa"/>
              <w:right w:w="15" w:type="dxa"/>
            </w:tcMar>
            <w:vAlign w:val="center"/>
          </w:tcPr>
          <w:p w14:paraId="1E5A992A">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6A3B144B">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协助服药</w:t>
            </w:r>
          </w:p>
        </w:tc>
        <w:tc>
          <w:tcPr>
            <w:tcW w:w="660" w:type="dxa"/>
            <w:tcBorders>
              <w:tl2br w:val="nil"/>
              <w:tr2bl w:val="nil"/>
            </w:tcBorders>
            <w:noWrap w:val="0"/>
            <w:tcMar>
              <w:top w:w="15" w:type="dxa"/>
              <w:left w:w="15" w:type="dxa"/>
              <w:right w:w="15" w:type="dxa"/>
            </w:tcMar>
            <w:vAlign w:val="center"/>
          </w:tcPr>
          <w:p w14:paraId="3008542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A7F18C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9F20635">
            <w:pPr>
              <w:widowControl/>
              <w:jc w:val="center"/>
              <w:textAlignment w:val="center"/>
              <w:rPr>
                <w:rFonts w:hint="eastAsia" w:ascii="仿宋" w:hAnsi="仿宋" w:eastAsia="仿宋" w:cs="仿宋"/>
                <w:color w:val="auto"/>
              </w:rPr>
            </w:pPr>
            <w:r>
              <w:rPr>
                <w:rFonts w:hint="eastAsia" w:ascii="仿宋" w:hAnsi="仿宋" w:eastAsia="仿宋" w:cs="仿宋"/>
                <w:color w:val="auto"/>
              </w:rPr>
              <w:t>妥善保管药物，协助服务对象服药。</w:t>
            </w:r>
          </w:p>
        </w:tc>
        <w:tc>
          <w:tcPr>
            <w:tcW w:w="3825" w:type="dxa"/>
            <w:tcBorders>
              <w:tl2br w:val="nil"/>
              <w:tr2bl w:val="nil"/>
            </w:tcBorders>
            <w:noWrap w:val="0"/>
            <w:tcMar>
              <w:top w:w="15" w:type="dxa"/>
              <w:left w:w="15" w:type="dxa"/>
              <w:right w:w="15" w:type="dxa"/>
            </w:tcMar>
            <w:vAlign w:val="center"/>
          </w:tcPr>
          <w:p w14:paraId="10D02F36">
            <w:pPr>
              <w:widowControl/>
              <w:jc w:val="left"/>
              <w:textAlignment w:val="center"/>
              <w:rPr>
                <w:rFonts w:hint="eastAsia" w:ascii="仿宋" w:hAnsi="仿宋" w:eastAsia="仿宋" w:cs="仿宋"/>
                <w:color w:val="auto"/>
              </w:rPr>
            </w:pPr>
            <w:r>
              <w:rPr>
                <w:rFonts w:hint="eastAsia" w:ascii="仿宋" w:hAnsi="仿宋" w:eastAsia="仿宋" w:cs="仿宋"/>
                <w:color w:val="auto"/>
              </w:rPr>
              <w:t>常备非处方常用药物，遵医嘱协助残疾人服药，专人专柜保管残疾人自备药物，服药记录及时准确。</w:t>
            </w:r>
          </w:p>
        </w:tc>
        <w:tc>
          <w:tcPr>
            <w:tcW w:w="3315" w:type="dxa"/>
            <w:tcBorders>
              <w:tl2br w:val="nil"/>
              <w:tr2bl w:val="nil"/>
            </w:tcBorders>
            <w:noWrap w:val="0"/>
            <w:tcMar>
              <w:top w:w="15" w:type="dxa"/>
              <w:left w:w="15" w:type="dxa"/>
              <w:right w:w="15" w:type="dxa"/>
            </w:tcMar>
            <w:vAlign w:val="center"/>
          </w:tcPr>
          <w:p w14:paraId="50CC7EDE">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符合可得：2分；一处部分扣0.5分，扣完为止。</w:t>
            </w:r>
          </w:p>
        </w:tc>
        <w:tc>
          <w:tcPr>
            <w:tcW w:w="2625" w:type="dxa"/>
            <w:tcBorders>
              <w:tl2br w:val="nil"/>
              <w:tr2bl w:val="nil"/>
            </w:tcBorders>
            <w:noWrap w:val="0"/>
            <w:tcMar>
              <w:top w:w="15" w:type="dxa"/>
              <w:left w:w="15" w:type="dxa"/>
              <w:right w:w="15" w:type="dxa"/>
            </w:tcMar>
            <w:vAlign w:val="center"/>
          </w:tcPr>
          <w:p w14:paraId="2EB88F35">
            <w:pPr>
              <w:jc w:val="left"/>
              <w:rPr>
                <w:rFonts w:hint="eastAsia" w:ascii="仿宋" w:hAnsi="仿宋" w:eastAsia="仿宋" w:cs="仿宋"/>
                <w:color w:val="auto"/>
              </w:rPr>
            </w:pPr>
          </w:p>
        </w:tc>
      </w:tr>
      <w:tr w14:paraId="1220E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64" w:type="dxa"/>
            <w:tcBorders>
              <w:tl2br w:val="nil"/>
              <w:tr2bl w:val="nil"/>
            </w:tcBorders>
            <w:noWrap/>
            <w:tcMar>
              <w:top w:w="15" w:type="dxa"/>
              <w:left w:w="15" w:type="dxa"/>
              <w:right w:w="15" w:type="dxa"/>
            </w:tcMar>
            <w:vAlign w:val="center"/>
          </w:tcPr>
          <w:p w14:paraId="6DF3CE05">
            <w:pPr>
              <w:widowControl/>
              <w:jc w:val="center"/>
              <w:textAlignment w:val="center"/>
              <w:rPr>
                <w:rFonts w:hint="eastAsia" w:ascii="仿宋" w:hAnsi="仿宋" w:eastAsia="仿宋" w:cs="仿宋"/>
                <w:color w:val="auto"/>
              </w:rPr>
            </w:pPr>
            <w:r>
              <w:rPr>
                <w:rFonts w:hint="eastAsia" w:ascii="仿宋" w:hAnsi="仿宋" w:eastAsia="仿宋" w:cs="仿宋"/>
                <w:color w:val="auto"/>
              </w:rPr>
              <w:t>16</w:t>
            </w:r>
          </w:p>
        </w:tc>
        <w:tc>
          <w:tcPr>
            <w:tcW w:w="902" w:type="dxa"/>
            <w:tcBorders>
              <w:tl2br w:val="nil"/>
              <w:tr2bl w:val="nil"/>
            </w:tcBorders>
            <w:noWrap/>
            <w:tcMar>
              <w:top w:w="15" w:type="dxa"/>
              <w:left w:w="15" w:type="dxa"/>
              <w:right w:w="15" w:type="dxa"/>
            </w:tcMar>
            <w:vAlign w:val="center"/>
          </w:tcPr>
          <w:p w14:paraId="5A1653E8">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02ACB1F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休息室被褥更换</w:t>
            </w:r>
          </w:p>
        </w:tc>
        <w:tc>
          <w:tcPr>
            <w:tcW w:w="660" w:type="dxa"/>
            <w:tcBorders>
              <w:tl2br w:val="nil"/>
              <w:tr2bl w:val="nil"/>
            </w:tcBorders>
            <w:noWrap w:val="0"/>
            <w:tcMar>
              <w:top w:w="15" w:type="dxa"/>
              <w:left w:w="15" w:type="dxa"/>
              <w:right w:w="15" w:type="dxa"/>
            </w:tcMar>
            <w:vAlign w:val="center"/>
          </w:tcPr>
          <w:p w14:paraId="44A3218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3643287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88BC443">
            <w:pPr>
              <w:widowControl/>
              <w:jc w:val="center"/>
              <w:textAlignment w:val="center"/>
              <w:rPr>
                <w:rFonts w:hint="eastAsia" w:ascii="仿宋" w:hAnsi="仿宋" w:eastAsia="仿宋" w:cs="仿宋"/>
                <w:color w:val="auto"/>
              </w:rPr>
            </w:pPr>
            <w:r>
              <w:rPr>
                <w:rFonts w:hint="eastAsia" w:ascii="仿宋" w:hAnsi="仿宋" w:eastAsia="仿宋" w:cs="仿宋"/>
                <w:color w:val="auto"/>
              </w:rPr>
              <w:t>休息室被褥更换</w:t>
            </w:r>
          </w:p>
        </w:tc>
        <w:tc>
          <w:tcPr>
            <w:tcW w:w="3825" w:type="dxa"/>
            <w:tcBorders>
              <w:tl2br w:val="nil"/>
              <w:tr2bl w:val="nil"/>
            </w:tcBorders>
            <w:noWrap w:val="0"/>
            <w:tcMar>
              <w:top w:w="15" w:type="dxa"/>
              <w:left w:w="15" w:type="dxa"/>
              <w:right w:w="15" w:type="dxa"/>
            </w:tcMar>
            <w:vAlign w:val="center"/>
          </w:tcPr>
          <w:p w14:paraId="50108687">
            <w:pPr>
              <w:widowControl/>
              <w:jc w:val="left"/>
              <w:textAlignment w:val="center"/>
              <w:rPr>
                <w:rFonts w:hint="eastAsia" w:ascii="仿宋" w:hAnsi="仿宋" w:eastAsia="仿宋" w:cs="仿宋"/>
                <w:color w:val="auto"/>
              </w:rPr>
            </w:pPr>
            <w:r>
              <w:rPr>
                <w:rFonts w:hint="eastAsia" w:ascii="仿宋" w:hAnsi="仿宋" w:eastAsia="仿宋" w:cs="仿宋"/>
                <w:color w:val="auto"/>
              </w:rPr>
              <w:t>休息室根据季节变化及时更换床上用品，房间整洁、卫生，无异味。</w:t>
            </w:r>
          </w:p>
        </w:tc>
        <w:tc>
          <w:tcPr>
            <w:tcW w:w="3315" w:type="dxa"/>
            <w:tcBorders>
              <w:tl2br w:val="nil"/>
              <w:tr2bl w:val="nil"/>
            </w:tcBorders>
            <w:noWrap w:val="0"/>
            <w:tcMar>
              <w:top w:w="15" w:type="dxa"/>
              <w:left w:w="15" w:type="dxa"/>
              <w:right w:w="15" w:type="dxa"/>
            </w:tcMar>
            <w:vAlign w:val="center"/>
          </w:tcPr>
          <w:p w14:paraId="5D5926C3">
            <w:pPr>
              <w:widowControl/>
              <w:textAlignment w:val="center"/>
              <w:rPr>
                <w:rFonts w:hint="eastAsia" w:ascii="仿宋" w:hAnsi="仿宋" w:eastAsia="仿宋" w:cs="仿宋"/>
                <w:color w:val="auto"/>
              </w:rPr>
            </w:pPr>
            <w:r>
              <w:rPr>
                <w:rFonts w:hint="eastAsia" w:ascii="仿宋" w:hAnsi="仿宋" w:eastAsia="仿宋" w:cs="仿宋"/>
                <w:color w:val="auto"/>
              </w:rPr>
              <w:t>及时更换得1分，不及时更换不得分。</w:t>
            </w:r>
          </w:p>
        </w:tc>
        <w:tc>
          <w:tcPr>
            <w:tcW w:w="2625" w:type="dxa"/>
            <w:tcBorders>
              <w:tl2br w:val="nil"/>
              <w:tr2bl w:val="nil"/>
            </w:tcBorders>
            <w:noWrap w:val="0"/>
            <w:tcMar>
              <w:top w:w="15" w:type="dxa"/>
              <w:left w:w="15" w:type="dxa"/>
              <w:right w:w="15" w:type="dxa"/>
            </w:tcMar>
            <w:vAlign w:val="center"/>
          </w:tcPr>
          <w:p w14:paraId="0D383DA6">
            <w:pPr>
              <w:jc w:val="left"/>
              <w:rPr>
                <w:rFonts w:hint="eastAsia" w:ascii="仿宋" w:hAnsi="仿宋" w:eastAsia="仿宋" w:cs="仿宋"/>
                <w:color w:val="auto"/>
              </w:rPr>
            </w:pPr>
          </w:p>
        </w:tc>
      </w:tr>
      <w:tr w14:paraId="3D01D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269098B1">
            <w:pPr>
              <w:widowControl/>
              <w:jc w:val="center"/>
              <w:textAlignment w:val="center"/>
              <w:rPr>
                <w:rFonts w:hint="eastAsia" w:ascii="仿宋" w:hAnsi="仿宋" w:eastAsia="仿宋" w:cs="仿宋"/>
                <w:color w:val="auto"/>
              </w:rPr>
            </w:pPr>
            <w:r>
              <w:rPr>
                <w:rFonts w:hint="eastAsia" w:ascii="仿宋" w:hAnsi="仿宋" w:eastAsia="仿宋" w:cs="仿宋"/>
                <w:color w:val="auto"/>
              </w:rPr>
              <w:t>17</w:t>
            </w:r>
          </w:p>
        </w:tc>
        <w:tc>
          <w:tcPr>
            <w:tcW w:w="902" w:type="dxa"/>
            <w:tcBorders>
              <w:tl2br w:val="nil"/>
              <w:tr2bl w:val="nil"/>
            </w:tcBorders>
            <w:noWrap/>
            <w:tcMar>
              <w:top w:w="15" w:type="dxa"/>
              <w:left w:w="15" w:type="dxa"/>
              <w:right w:w="15" w:type="dxa"/>
            </w:tcMar>
            <w:vAlign w:val="center"/>
          </w:tcPr>
          <w:p w14:paraId="29024B17">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5331054D">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文体活动</w:t>
            </w:r>
          </w:p>
        </w:tc>
        <w:tc>
          <w:tcPr>
            <w:tcW w:w="660" w:type="dxa"/>
            <w:tcBorders>
              <w:tl2br w:val="nil"/>
              <w:tr2bl w:val="nil"/>
            </w:tcBorders>
            <w:noWrap w:val="0"/>
            <w:tcMar>
              <w:top w:w="15" w:type="dxa"/>
              <w:left w:w="15" w:type="dxa"/>
              <w:right w:w="15" w:type="dxa"/>
            </w:tcMar>
            <w:vAlign w:val="center"/>
          </w:tcPr>
          <w:p w14:paraId="79C28506">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4DE8F52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9667863">
            <w:pPr>
              <w:widowControl/>
              <w:jc w:val="center"/>
              <w:textAlignment w:val="center"/>
              <w:rPr>
                <w:rFonts w:hint="eastAsia" w:ascii="仿宋" w:hAnsi="仿宋" w:eastAsia="仿宋" w:cs="仿宋"/>
                <w:color w:val="auto"/>
              </w:rPr>
            </w:pPr>
            <w:r>
              <w:rPr>
                <w:rFonts w:hint="eastAsia" w:ascii="仿宋" w:hAnsi="仿宋" w:eastAsia="仿宋" w:cs="仿宋"/>
                <w:color w:val="auto"/>
              </w:rPr>
              <w:t>组织开展各类文化及体育活动。</w:t>
            </w:r>
          </w:p>
        </w:tc>
        <w:tc>
          <w:tcPr>
            <w:tcW w:w="3825" w:type="dxa"/>
            <w:tcBorders>
              <w:tl2br w:val="nil"/>
              <w:tr2bl w:val="nil"/>
            </w:tcBorders>
            <w:noWrap w:val="0"/>
            <w:tcMar>
              <w:top w:w="15" w:type="dxa"/>
              <w:left w:w="15" w:type="dxa"/>
              <w:right w:w="15" w:type="dxa"/>
            </w:tcMar>
            <w:vAlign w:val="center"/>
          </w:tcPr>
          <w:p w14:paraId="14963FCF">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有科学适宜的文体活动规范并得到落实，有计划地组织室内外文体活动（每天不少于1小时）和文体竞赛活动（每年组织不少于2次），每次活动机构服务的残疾人大多数参加。</w:t>
            </w:r>
          </w:p>
        </w:tc>
        <w:tc>
          <w:tcPr>
            <w:tcW w:w="3315" w:type="dxa"/>
            <w:tcBorders>
              <w:tl2br w:val="nil"/>
              <w:tr2bl w:val="nil"/>
            </w:tcBorders>
            <w:noWrap w:val="0"/>
            <w:tcMar>
              <w:top w:w="15" w:type="dxa"/>
              <w:left w:w="15" w:type="dxa"/>
              <w:right w:w="15" w:type="dxa"/>
            </w:tcMar>
            <w:vAlign w:val="center"/>
          </w:tcPr>
          <w:p w14:paraId="1AB6A38B">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符合可得：3分；每少一次扣0.5分，扣完为止。</w:t>
            </w:r>
          </w:p>
        </w:tc>
        <w:tc>
          <w:tcPr>
            <w:tcW w:w="2625" w:type="dxa"/>
            <w:tcBorders>
              <w:tl2br w:val="nil"/>
              <w:tr2bl w:val="nil"/>
            </w:tcBorders>
            <w:noWrap w:val="0"/>
            <w:tcMar>
              <w:top w:w="15" w:type="dxa"/>
              <w:left w:w="15" w:type="dxa"/>
              <w:right w:w="15" w:type="dxa"/>
            </w:tcMar>
            <w:vAlign w:val="center"/>
          </w:tcPr>
          <w:p w14:paraId="3A81BE7B">
            <w:pPr>
              <w:widowControl/>
              <w:jc w:val="left"/>
              <w:textAlignment w:val="center"/>
              <w:rPr>
                <w:rFonts w:hint="eastAsia" w:ascii="仿宋" w:hAnsi="仿宋" w:eastAsia="仿宋" w:cs="仿宋"/>
                <w:color w:val="auto"/>
              </w:rPr>
            </w:pPr>
            <w:r>
              <w:rPr>
                <w:rFonts w:hint="eastAsia" w:ascii="仿宋" w:hAnsi="仿宋" w:eastAsia="仿宋" w:cs="仿宋"/>
                <w:color w:val="auto"/>
              </w:rPr>
              <w:t>文化体育活动包括如各类室内室外的文化体育娱乐活动、图书阅览以及文化体育方面的展示、表演、竞赛等。</w:t>
            </w:r>
          </w:p>
        </w:tc>
      </w:tr>
      <w:tr w14:paraId="67F7D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1C32E16C">
            <w:pPr>
              <w:widowControl/>
              <w:jc w:val="center"/>
              <w:textAlignment w:val="center"/>
              <w:rPr>
                <w:rFonts w:hint="eastAsia" w:ascii="仿宋" w:hAnsi="仿宋" w:eastAsia="仿宋" w:cs="仿宋"/>
                <w:color w:val="auto"/>
              </w:rPr>
            </w:pPr>
            <w:r>
              <w:rPr>
                <w:rFonts w:hint="eastAsia" w:ascii="仿宋" w:hAnsi="仿宋" w:eastAsia="仿宋" w:cs="仿宋"/>
                <w:color w:val="auto"/>
              </w:rPr>
              <w:t>18</w:t>
            </w:r>
          </w:p>
        </w:tc>
        <w:tc>
          <w:tcPr>
            <w:tcW w:w="902" w:type="dxa"/>
            <w:tcBorders>
              <w:tl2br w:val="nil"/>
              <w:tr2bl w:val="nil"/>
            </w:tcBorders>
            <w:noWrap/>
            <w:tcMar>
              <w:top w:w="15" w:type="dxa"/>
              <w:left w:w="15" w:type="dxa"/>
              <w:right w:w="15" w:type="dxa"/>
            </w:tcMar>
            <w:vAlign w:val="center"/>
          </w:tcPr>
          <w:p w14:paraId="14AFE070">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0334F60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文化展现</w:t>
            </w:r>
          </w:p>
        </w:tc>
        <w:tc>
          <w:tcPr>
            <w:tcW w:w="660" w:type="dxa"/>
            <w:tcBorders>
              <w:tl2br w:val="nil"/>
              <w:tr2bl w:val="nil"/>
            </w:tcBorders>
            <w:noWrap w:val="0"/>
            <w:tcMar>
              <w:top w:w="15" w:type="dxa"/>
              <w:left w:w="15" w:type="dxa"/>
              <w:right w:w="15" w:type="dxa"/>
            </w:tcMar>
            <w:vAlign w:val="center"/>
          </w:tcPr>
          <w:p w14:paraId="5A39E218">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AB7CE3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7EB1974">
            <w:pPr>
              <w:widowControl/>
              <w:jc w:val="center"/>
              <w:textAlignment w:val="center"/>
              <w:rPr>
                <w:rFonts w:hint="eastAsia" w:ascii="仿宋" w:hAnsi="仿宋" w:eastAsia="仿宋" w:cs="仿宋"/>
                <w:color w:val="auto"/>
              </w:rPr>
            </w:pPr>
            <w:r>
              <w:rPr>
                <w:rFonts w:hint="eastAsia" w:ascii="仿宋" w:hAnsi="仿宋" w:eastAsia="仿宋" w:cs="仿宋"/>
                <w:color w:val="auto"/>
              </w:rPr>
              <w:t>展现残疾人工作及服务的宗旨和理念。</w:t>
            </w:r>
          </w:p>
        </w:tc>
        <w:tc>
          <w:tcPr>
            <w:tcW w:w="3825" w:type="dxa"/>
            <w:tcBorders>
              <w:tl2br w:val="nil"/>
              <w:tr2bl w:val="nil"/>
            </w:tcBorders>
            <w:noWrap w:val="0"/>
            <w:tcMar>
              <w:top w:w="15" w:type="dxa"/>
              <w:left w:w="15" w:type="dxa"/>
              <w:right w:w="15" w:type="dxa"/>
            </w:tcMar>
            <w:vAlign w:val="center"/>
          </w:tcPr>
          <w:p w14:paraId="5A704252">
            <w:pPr>
              <w:widowControl/>
              <w:jc w:val="left"/>
              <w:textAlignment w:val="center"/>
              <w:rPr>
                <w:rFonts w:hint="eastAsia" w:ascii="仿宋" w:hAnsi="仿宋" w:eastAsia="仿宋" w:cs="仿宋"/>
                <w:color w:val="auto"/>
              </w:rPr>
            </w:pPr>
            <w:r>
              <w:rPr>
                <w:rFonts w:hint="eastAsia" w:ascii="仿宋" w:hAnsi="仿宋" w:eastAsia="仿宋" w:cs="仿宋"/>
                <w:color w:val="auto"/>
              </w:rPr>
              <w:t>有醒目的宣传标识及标语，较好地展示和体现现代文明社会残疾人观、残疾人服务宗旨和残疾人庇护服务理念，有形式和内容适宜的宣传资料。</w:t>
            </w:r>
          </w:p>
        </w:tc>
        <w:tc>
          <w:tcPr>
            <w:tcW w:w="3315" w:type="dxa"/>
            <w:tcBorders>
              <w:tl2br w:val="nil"/>
              <w:tr2bl w:val="nil"/>
            </w:tcBorders>
            <w:noWrap w:val="0"/>
            <w:tcMar>
              <w:top w:w="15" w:type="dxa"/>
              <w:left w:w="15" w:type="dxa"/>
              <w:right w:w="15" w:type="dxa"/>
            </w:tcMar>
            <w:vAlign w:val="center"/>
          </w:tcPr>
          <w:p w14:paraId="39F9D113">
            <w:pPr>
              <w:widowControl/>
              <w:textAlignment w:val="center"/>
              <w:rPr>
                <w:rFonts w:hint="eastAsia" w:ascii="仿宋" w:hAnsi="仿宋" w:eastAsia="仿宋" w:cs="仿宋"/>
                <w:color w:val="auto"/>
              </w:rPr>
            </w:pPr>
            <w:r>
              <w:rPr>
                <w:rFonts w:hint="eastAsia" w:ascii="仿宋" w:hAnsi="仿宋" w:eastAsia="仿宋" w:cs="仿宋"/>
                <w:color w:val="auto"/>
              </w:rPr>
              <w:t>好：2分；一般：1分；差：0分。</w:t>
            </w:r>
          </w:p>
        </w:tc>
        <w:tc>
          <w:tcPr>
            <w:tcW w:w="2625" w:type="dxa"/>
            <w:tcBorders>
              <w:tl2br w:val="nil"/>
              <w:tr2bl w:val="nil"/>
            </w:tcBorders>
            <w:noWrap w:val="0"/>
            <w:tcMar>
              <w:top w:w="15" w:type="dxa"/>
              <w:left w:w="15" w:type="dxa"/>
              <w:right w:w="15" w:type="dxa"/>
            </w:tcMar>
            <w:vAlign w:val="center"/>
          </w:tcPr>
          <w:p w14:paraId="2AA13F42">
            <w:pPr>
              <w:jc w:val="left"/>
              <w:rPr>
                <w:rFonts w:hint="eastAsia" w:ascii="仿宋" w:hAnsi="仿宋" w:eastAsia="仿宋" w:cs="仿宋"/>
                <w:color w:val="auto"/>
              </w:rPr>
            </w:pPr>
          </w:p>
        </w:tc>
      </w:tr>
      <w:tr w14:paraId="758E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72CFEBDD">
            <w:pPr>
              <w:widowControl/>
              <w:jc w:val="center"/>
              <w:textAlignment w:val="center"/>
              <w:rPr>
                <w:rFonts w:hint="eastAsia" w:ascii="仿宋" w:hAnsi="仿宋" w:eastAsia="仿宋" w:cs="仿宋"/>
                <w:color w:val="auto"/>
              </w:rPr>
            </w:pPr>
            <w:r>
              <w:rPr>
                <w:rFonts w:hint="eastAsia" w:ascii="仿宋" w:hAnsi="仿宋" w:eastAsia="仿宋" w:cs="仿宋"/>
                <w:color w:val="auto"/>
              </w:rPr>
              <w:t>19</w:t>
            </w:r>
          </w:p>
        </w:tc>
        <w:tc>
          <w:tcPr>
            <w:tcW w:w="902" w:type="dxa"/>
            <w:tcBorders>
              <w:tl2br w:val="nil"/>
              <w:tr2bl w:val="nil"/>
            </w:tcBorders>
            <w:noWrap/>
            <w:tcMar>
              <w:top w:w="15" w:type="dxa"/>
              <w:left w:w="15" w:type="dxa"/>
              <w:right w:w="15" w:type="dxa"/>
            </w:tcMar>
            <w:vAlign w:val="center"/>
          </w:tcPr>
          <w:p w14:paraId="726A3C74">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118E250E">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体检</w:t>
            </w:r>
          </w:p>
        </w:tc>
        <w:tc>
          <w:tcPr>
            <w:tcW w:w="660" w:type="dxa"/>
            <w:tcBorders>
              <w:tl2br w:val="nil"/>
              <w:tr2bl w:val="nil"/>
            </w:tcBorders>
            <w:noWrap w:val="0"/>
            <w:tcMar>
              <w:top w:w="15" w:type="dxa"/>
              <w:left w:w="15" w:type="dxa"/>
              <w:right w:w="15" w:type="dxa"/>
            </w:tcMar>
            <w:vAlign w:val="center"/>
          </w:tcPr>
          <w:p w14:paraId="6A951D3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4E57844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2FFB77C">
            <w:pPr>
              <w:widowControl/>
              <w:jc w:val="center"/>
              <w:textAlignment w:val="center"/>
              <w:rPr>
                <w:rFonts w:hint="eastAsia" w:ascii="仿宋" w:hAnsi="仿宋" w:eastAsia="仿宋" w:cs="仿宋"/>
                <w:color w:val="auto"/>
              </w:rPr>
            </w:pPr>
            <w:r>
              <w:rPr>
                <w:rFonts w:hint="eastAsia" w:ascii="仿宋" w:hAnsi="仿宋" w:eastAsia="仿宋" w:cs="仿宋"/>
                <w:color w:val="auto"/>
              </w:rPr>
              <w:t>组织服务对象进行体检。</w:t>
            </w:r>
          </w:p>
        </w:tc>
        <w:tc>
          <w:tcPr>
            <w:tcW w:w="3825" w:type="dxa"/>
            <w:tcBorders>
              <w:tl2br w:val="nil"/>
              <w:tr2bl w:val="nil"/>
            </w:tcBorders>
            <w:noWrap w:val="0"/>
            <w:tcMar>
              <w:top w:w="15" w:type="dxa"/>
              <w:left w:w="15" w:type="dxa"/>
              <w:right w:w="15" w:type="dxa"/>
            </w:tcMar>
            <w:vAlign w:val="center"/>
          </w:tcPr>
          <w:p w14:paraId="040A61E0">
            <w:pPr>
              <w:widowControl/>
              <w:jc w:val="left"/>
              <w:textAlignment w:val="center"/>
              <w:rPr>
                <w:rFonts w:hint="eastAsia" w:ascii="仿宋" w:hAnsi="仿宋" w:eastAsia="仿宋" w:cs="仿宋"/>
                <w:color w:val="auto"/>
              </w:rPr>
            </w:pPr>
            <w:r>
              <w:rPr>
                <w:rFonts w:hint="eastAsia" w:ascii="仿宋" w:hAnsi="仿宋" w:eastAsia="仿宋" w:cs="仿宋"/>
                <w:color w:val="auto"/>
              </w:rPr>
              <w:t>残疾人进入机构前进行体检，机构内残疾人每年参加体检，体检项目覆盖心、肺、肝、肾等主要脏器功能和血、尿、粪常规及血生化检查以及有无传染性疾病。</w:t>
            </w:r>
          </w:p>
        </w:tc>
        <w:tc>
          <w:tcPr>
            <w:tcW w:w="3315" w:type="dxa"/>
            <w:tcBorders>
              <w:tl2br w:val="nil"/>
              <w:tr2bl w:val="nil"/>
            </w:tcBorders>
            <w:noWrap/>
            <w:tcMar>
              <w:top w:w="15" w:type="dxa"/>
              <w:left w:w="15" w:type="dxa"/>
              <w:right w:w="15" w:type="dxa"/>
            </w:tcMar>
            <w:vAlign w:val="center"/>
          </w:tcPr>
          <w:p w14:paraId="4222F71F">
            <w:pPr>
              <w:widowControl/>
              <w:jc w:val="both"/>
              <w:textAlignment w:val="bottom"/>
              <w:rPr>
                <w:rFonts w:hint="eastAsia" w:ascii="仿宋" w:hAnsi="仿宋" w:eastAsia="仿宋" w:cs="仿宋"/>
                <w:color w:val="auto"/>
              </w:rPr>
            </w:pPr>
            <w:r>
              <w:rPr>
                <w:rFonts w:hint="eastAsia" w:ascii="仿宋" w:hAnsi="仿宋" w:eastAsia="仿宋" w:cs="仿宋"/>
                <w:color w:val="auto"/>
              </w:rPr>
              <w:t>统一组织体检，项目全面：2分，组织体</w:t>
            </w:r>
            <w:r>
              <w:rPr>
                <w:rFonts w:hint="eastAsia" w:ascii="仿宋" w:hAnsi="仿宋" w:eastAsia="仿宋" w:cs="仿宋"/>
                <w:vanish/>
                <w:color w:val="auto"/>
              </w:rPr>
              <w:t>检：1分，未组织体检：0分</w:t>
            </w:r>
          </w:p>
        </w:tc>
        <w:tc>
          <w:tcPr>
            <w:tcW w:w="2625" w:type="dxa"/>
            <w:tcBorders>
              <w:tl2br w:val="nil"/>
              <w:tr2bl w:val="nil"/>
            </w:tcBorders>
            <w:noWrap w:val="0"/>
            <w:tcMar>
              <w:top w:w="15" w:type="dxa"/>
              <w:left w:w="15" w:type="dxa"/>
              <w:right w:w="15" w:type="dxa"/>
            </w:tcMar>
            <w:vAlign w:val="center"/>
          </w:tcPr>
          <w:p w14:paraId="5521A903">
            <w:pPr>
              <w:widowControl/>
              <w:jc w:val="left"/>
              <w:textAlignment w:val="center"/>
              <w:rPr>
                <w:rFonts w:hint="eastAsia" w:ascii="仿宋" w:hAnsi="仿宋" w:eastAsia="仿宋" w:cs="仿宋"/>
                <w:color w:val="auto"/>
              </w:rPr>
            </w:pPr>
            <w:r>
              <w:rPr>
                <w:rFonts w:hint="eastAsia" w:ascii="仿宋" w:hAnsi="仿宋" w:eastAsia="仿宋" w:cs="仿宋"/>
                <w:color w:val="auto"/>
              </w:rPr>
              <w:t>进入机构前体检通常由机构组织实施；内容符合要求的由乡镇（街道）、村（社区）组织的个人体检视同年度已组织体检。</w:t>
            </w:r>
          </w:p>
        </w:tc>
      </w:tr>
      <w:tr w14:paraId="6FDDF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22335E31">
            <w:pPr>
              <w:widowControl/>
              <w:jc w:val="center"/>
              <w:textAlignment w:val="center"/>
              <w:rPr>
                <w:rFonts w:hint="eastAsia" w:ascii="仿宋" w:hAnsi="仿宋" w:eastAsia="仿宋" w:cs="仿宋"/>
                <w:color w:val="auto"/>
              </w:rPr>
            </w:pPr>
            <w:r>
              <w:rPr>
                <w:rFonts w:hint="eastAsia" w:ascii="仿宋" w:hAnsi="仿宋" w:eastAsia="仿宋" w:cs="仿宋"/>
                <w:color w:val="auto"/>
              </w:rPr>
              <w:t>20</w:t>
            </w:r>
          </w:p>
        </w:tc>
        <w:tc>
          <w:tcPr>
            <w:tcW w:w="902" w:type="dxa"/>
            <w:tcBorders>
              <w:tl2br w:val="nil"/>
              <w:tr2bl w:val="nil"/>
            </w:tcBorders>
            <w:noWrap/>
            <w:tcMar>
              <w:top w:w="15" w:type="dxa"/>
              <w:left w:w="15" w:type="dxa"/>
              <w:right w:w="15" w:type="dxa"/>
            </w:tcMar>
            <w:vAlign w:val="center"/>
          </w:tcPr>
          <w:p w14:paraId="4CD4DE53">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1BBE0D0C">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康复评估</w:t>
            </w:r>
          </w:p>
        </w:tc>
        <w:tc>
          <w:tcPr>
            <w:tcW w:w="660" w:type="dxa"/>
            <w:tcBorders>
              <w:tl2br w:val="nil"/>
              <w:tr2bl w:val="nil"/>
            </w:tcBorders>
            <w:noWrap w:val="0"/>
            <w:tcMar>
              <w:top w:w="15" w:type="dxa"/>
              <w:left w:w="15" w:type="dxa"/>
              <w:right w:w="15" w:type="dxa"/>
            </w:tcMar>
            <w:vAlign w:val="center"/>
          </w:tcPr>
          <w:p w14:paraId="5751ED7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55B3986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F72B6B5">
            <w:pPr>
              <w:widowControl/>
              <w:jc w:val="center"/>
              <w:textAlignment w:val="center"/>
              <w:rPr>
                <w:rFonts w:hint="eastAsia" w:ascii="仿宋" w:hAnsi="仿宋" w:eastAsia="仿宋" w:cs="仿宋"/>
                <w:color w:val="auto"/>
              </w:rPr>
            </w:pPr>
            <w:r>
              <w:rPr>
                <w:rFonts w:hint="eastAsia" w:ascii="仿宋" w:hAnsi="仿宋" w:eastAsia="仿宋" w:cs="仿宋"/>
                <w:color w:val="auto"/>
              </w:rPr>
              <w:t>定期开展康复评估。</w:t>
            </w:r>
          </w:p>
        </w:tc>
        <w:tc>
          <w:tcPr>
            <w:tcW w:w="3825" w:type="dxa"/>
            <w:tcBorders>
              <w:tl2br w:val="nil"/>
              <w:tr2bl w:val="nil"/>
            </w:tcBorders>
            <w:noWrap w:val="0"/>
            <w:tcMar>
              <w:top w:w="15" w:type="dxa"/>
              <w:left w:w="15" w:type="dxa"/>
              <w:right w:w="15" w:type="dxa"/>
            </w:tcMar>
            <w:vAlign w:val="center"/>
          </w:tcPr>
          <w:p w14:paraId="4DD0F16B">
            <w:pPr>
              <w:widowControl/>
              <w:jc w:val="left"/>
              <w:textAlignment w:val="center"/>
              <w:rPr>
                <w:rFonts w:hint="eastAsia" w:ascii="仿宋" w:hAnsi="仿宋" w:eastAsia="仿宋" w:cs="仿宋"/>
                <w:color w:val="auto"/>
              </w:rPr>
            </w:pPr>
            <w:r>
              <w:rPr>
                <w:rFonts w:hint="eastAsia" w:ascii="仿宋" w:hAnsi="仿宋" w:eastAsia="仿宋" w:cs="仿宋"/>
                <w:color w:val="auto"/>
              </w:rPr>
              <w:t>组织专业人员定期为每位残疾人在生活自理、认知理解、身体功能、社会适应等方面进行康复评估，根据评估结果制定针对性康复训练方案，每位残疾人接受评估不少于2次/年（含进入机构时评估）。</w:t>
            </w:r>
          </w:p>
        </w:tc>
        <w:tc>
          <w:tcPr>
            <w:tcW w:w="3315" w:type="dxa"/>
            <w:tcBorders>
              <w:tl2br w:val="nil"/>
              <w:tr2bl w:val="nil"/>
            </w:tcBorders>
            <w:noWrap w:val="0"/>
            <w:tcMar>
              <w:top w:w="15" w:type="dxa"/>
              <w:left w:w="15" w:type="dxa"/>
              <w:right w:w="15" w:type="dxa"/>
            </w:tcMar>
            <w:vAlign w:val="center"/>
          </w:tcPr>
          <w:p w14:paraId="3B1A504B">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符合得2分；未开展康复评估不得分。</w:t>
            </w:r>
          </w:p>
        </w:tc>
        <w:tc>
          <w:tcPr>
            <w:tcW w:w="2625" w:type="dxa"/>
            <w:tcBorders>
              <w:tl2br w:val="nil"/>
              <w:tr2bl w:val="nil"/>
            </w:tcBorders>
            <w:noWrap w:val="0"/>
            <w:tcMar>
              <w:top w:w="15" w:type="dxa"/>
              <w:left w:w="15" w:type="dxa"/>
              <w:right w:w="15" w:type="dxa"/>
            </w:tcMar>
            <w:vAlign w:val="center"/>
          </w:tcPr>
          <w:p w14:paraId="5DBCEA52">
            <w:pPr>
              <w:jc w:val="left"/>
              <w:rPr>
                <w:rFonts w:hint="eastAsia" w:ascii="仿宋" w:hAnsi="仿宋" w:eastAsia="仿宋" w:cs="仿宋"/>
                <w:color w:val="auto"/>
              </w:rPr>
            </w:pPr>
          </w:p>
        </w:tc>
      </w:tr>
      <w:tr w14:paraId="608E2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E95FBE8">
            <w:pPr>
              <w:widowControl/>
              <w:jc w:val="center"/>
              <w:textAlignment w:val="center"/>
              <w:rPr>
                <w:rFonts w:hint="eastAsia" w:ascii="仿宋" w:hAnsi="仿宋" w:eastAsia="仿宋" w:cs="仿宋"/>
                <w:color w:val="auto"/>
              </w:rPr>
            </w:pPr>
            <w:r>
              <w:rPr>
                <w:rFonts w:hint="eastAsia" w:ascii="仿宋" w:hAnsi="仿宋" w:eastAsia="仿宋" w:cs="仿宋"/>
                <w:color w:val="auto"/>
              </w:rPr>
              <w:t>21</w:t>
            </w:r>
          </w:p>
        </w:tc>
        <w:tc>
          <w:tcPr>
            <w:tcW w:w="902" w:type="dxa"/>
            <w:tcBorders>
              <w:tl2br w:val="nil"/>
              <w:tr2bl w:val="nil"/>
            </w:tcBorders>
            <w:noWrap/>
            <w:tcMar>
              <w:top w:w="15" w:type="dxa"/>
              <w:left w:w="15" w:type="dxa"/>
              <w:right w:w="15" w:type="dxa"/>
            </w:tcMar>
            <w:vAlign w:val="center"/>
          </w:tcPr>
          <w:p w14:paraId="569D787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6B6F652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康复训练</w:t>
            </w:r>
          </w:p>
        </w:tc>
        <w:tc>
          <w:tcPr>
            <w:tcW w:w="660" w:type="dxa"/>
            <w:tcBorders>
              <w:tl2br w:val="nil"/>
              <w:tr2bl w:val="nil"/>
            </w:tcBorders>
            <w:noWrap w:val="0"/>
            <w:tcMar>
              <w:top w:w="15" w:type="dxa"/>
              <w:left w:w="15" w:type="dxa"/>
              <w:right w:w="15" w:type="dxa"/>
            </w:tcMar>
            <w:vAlign w:val="center"/>
          </w:tcPr>
          <w:p w14:paraId="68CDD37E">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70E159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BD5591D">
            <w:pPr>
              <w:widowControl/>
              <w:jc w:val="center"/>
              <w:textAlignment w:val="center"/>
              <w:rPr>
                <w:rFonts w:hint="eastAsia" w:ascii="仿宋" w:hAnsi="仿宋" w:eastAsia="仿宋" w:cs="仿宋"/>
                <w:color w:val="auto"/>
              </w:rPr>
            </w:pPr>
            <w:r>
              <w:rPr>
                <w:rFonts w:hint="eastAsia" w:ascii="仿宋" w:hAnsi="仿宋" w:eastAsia="仿宋" w:cs="仿宋"/>
                <w:color w:val="auto"/>
              </w:rPr>
              <w:t>科学地开展康复训练。</w:t>
            </w:r>
          </w:p>
        </w:tc>
        <w:tc>
          <w:tcPr>
            <w:tcW w:w="3825" w:type="dxa"/>
            <w:tcBorders>
              <w:tl2br w:val="nil"/>
              <w:tr2bl w:val="nil"/>
            </w:tcBorders>
            <w:noWrap w:val="0"/>
            <w:tcMar>
              <w:top w:w="15" w:type="dxa"/>
              <w:left w:w="15" w:type="dxa"/>
              <w:right w:w="15" w:type="dxa"/>
            </w:tcMar>
            <w:vAlign w:val="center"/>
          </w:tcPr>
          <w:p w14:paraId="00BE974C">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有科学适宜的康复服务规范并得到落实，有专业人员定期指导机构开展康复训练，每位残疾人每月接受康复训练不少于2次，康复训练内容与方案内容相符。</w:t>
            </w:r>
          </w:p>
        </w:tc>
        <w:tc>
          <w:tcPr>
            <w:tcW w:w="3315" w:type="dxa"/>
            <w:tcBorders>
              <w:tl2br w:val="nil"/>
              <w:tr2bl w:val="nil"/>
            </w:tcBorders>
            <w:noWrap w:val="0"/>
            <w:tcMar>
              <w:top w:w="15" w:type="dxa"/>
              <w:left w:w="15" w:type="dxa"/>
              <w:right w:w="15" w:type="dxa"/>
            </w:tcMar>
            <w:vAlign w:val="center"/>
          </w:tcPr>
          <w:p w14:paraId="71C43A6D">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符合得：2分，每不符合标准一次扣1分，扣完为止可评定为“好”。</w:t>
            </w:r>
          </w:p>
        </w:tc>
        <w:tc>
          <w:tcPr>
            <w:tcW w:w="2625" w:type="dxa"/>
            <w:tcBorders>
              <w:tl2br w:val="nil"/>
              <w:tr2bl w:val="nil"/>
            </w:tcBorders>
            <w:noWrap w:val="0"/>
            <w:tcMar>
              <w:top w:w="15" w:type="dxa"/>
              <w:left w:w="15" w:type="dxa"/>
              <w:right w:w="15" w:type="dxa"/>
            </w:tcMar>
            <w:vAlign w:val="center"/>
          </w:tcPr>
          <w:p w14:paraId="2B733AC4">
            <w:pPr>
              <w:jc w:val="left"/>
              <w:rPr>
                <w:rFonts w:hint="eastAsia" w:ascii="仿宋" w:hAnsi="仿宋" w:eastAsia="仿宋" w:cs="仿宋"/>
                <w:color w:val="auto"/>
              </w:rPr>
            </w:pPr>
          </w:p>
        </w:tc>
      </w:tr>
      <w:tr w14:paraId="145CA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3978742">
            <w:pPr>
              <w:widowControl/>
              <w:jc w:val="center"/>
              <w:textAlignment w:val="center"/>
              <w:rPr>
                <w:rFonts w:hint="eastAsia" w:ascii="仿宋" w:hAnsi="仿宋" w:eastAsia="仿宋" w:cs="仿宋"/>
                <w:color w:val="auto"/>
              </w:rPr>
            </w:pPr>
            <w:r>
              <w:rPr>
                <w:rFonts w:hint="eastAsia" w:ascii="仿宋" w:hAnsi="仿宋" w:eastAsia="仿宋" w:cs="仿宋"/>
                <w:color w:val="auto"/>
              </w:rPr>
              <w:t>22</w:t>
            </w:r>
          </w:p>
        </w:tc>
        <w:tc>
          <w:tcPr>
            <w:tcW w:w="902" w:type="dxa"/>
            <w:tcBorders>
              <w:tl2br w:val="nil"/>
              <w:tr2bl w:val="nil"/>
            </w:tcBorders>
            <w:noWrap/>
            <w:tcMar>
              <w:top w:w="15" w:type="dxa"/>
              <w:left w:w="15" w:type="dxa"/>
              <w:right w:w="15" w:type="dxa"/>
            </w:tcMar>
            <w:vAlign w:val="center"/>
          </w:tcPr>
          <w:p w14:paraId="1D08E86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386E29C7">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医疗保障</w:t>
            </w:r>
          </w:p>
        </w:tc>
        <w:tc>
          <w:tcPr>
            <w:tcW w:w="660" w:type="dxa"/>
            <w:tcBorders>
              <w:tl2br w:val="nil"/>
              <w:tr2bl w:val="nil"/>
            </w:tcBorders>
            <w:noWrap w:val="0"/>
            <w:tcMar>
              <w:top w:w="15" w:type="dxa"/>
              <w:left w:w="15" w:type="dxa"/>
              <w:right w:w="15" w:type="dxa"/>
            </w:tcMar>
            <w:vAlign w:val="center"/>
          </w:tcPr>
          <w:p w14:paraId="18FBFAD8">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0EAE8DC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EB30271">
            <w:pPr>
              <w:widowControl/>
              <w:jc w:val="center"/>
              <w:textAlignment w:val="center"/>
              <w:rPr>
                <w:rFonts w:hint="eastAsia" w:ascii="仿宋" w:hAnsi="仿宋" w:eastAsia="仿宋" w:cs="仿宋"/>
                <w:color w:val="auto"/>
              </w:rPr>
            </w:pPr>
            <w:r>
              <w:rPr>
                <w:rFonts w:hint="eastAsia" w:ascii="仿宋" w:hAnsi="仿宋" w:eastAsia="仿宋" w:cs="仿宋"/>
                <w:color w:val="auto"/>
              </w:rPr>
              <w:t>提供必要的医疗保障服务。</w:t>
            </w:r>
          </w:p>
        </w:tc>
        <w:tc>
          <w:tcPr>
            <w:tcW w:w="3825" w:type="dxa"/>
            <w:tcBorders>
              <w:tl2br w:val="nil"/>
              <w:tr2bl w:val="nil"/>
            </w:tcBorders>
            <w:noWrap w:val="0"/>
            <w:tcMar>
              <w:top w:w="15" w:type="dxa"/>
              <w:left w:w="15" w:type="dxa"/>
              <w:right w:w="15" w:type="dxa"/>
            </w:tcMar>
            <w:vAlign w:val="center"/>
          </w:tcPr>
          <w:p w14:paraId="294289EC">
            <w:pPr>
              <w:widowControl/>
              <w:jc w:val="left"/>
              <w:textAlignment w:val="center"/>
              <w:rPr>
                <w:rFonts w:hint="eastAsia" w:ascii="仿宋" w:hAnsi="仿宋" w:eastAsia="仿宋" w:cs="仿宋"/>
                <w:color w:val="auto"/>
              </w:rPr>
            </w:pPr>
            <w:r>
              <w:rPr>
                <w:rFonts w:hint="eastAsia" w:ascii="仿宋" w:hAnsi="仿宋" w:eastAsia="仿宋" w:cs="仿宋"/>
                <w:color w:val="auto"/>
              </w:rPr>
              <w:t>配有专（兼）职医生，与正规医疗机构签订医疗服务协议，有畅通的转诊转介渠道。</w:t>
            </w:r>
          </w:p>
        </w:tc>
        <w:tc>
          <w:tcPr>
            <w:tcW w:w="3315" w:type="dxa"/>
            <w:tcBorders>
              <w:tl2br w:val="nil"/>
              <w:tr2bl w:val="nil"/>
            </w:tcBorders>
            <w:noWrap w:val="0"/>
            <w:tcMar>
              <w:top w:w="15" w:type="dxa"/>
              <w:left w:w="15" w:type="dxa"/>
              <w:right w:w="15" w:type="dxa"/>
            </w:tcMar>
            <w:vAlign w:val="center"/>
          </w:tcPr>
          <w:p w14:paraId="374FD518">
            <w:pPr>
              <w:widowControl/>
              <w:jc w:val="left"/>
              <w:textAlignment w:val="center"/>
              <w:rPr>
                <w:rFonts w:hint="eastAsia" w:ascii="仿宋" w:hAnsi="仿宋" w:eastAsia="仿宋" w:cs="仿宋"/>
                <w:color w:val="auto"/>
              </w:rPr>
            </w:pPr>
            <w:r>
              <w:rPr>
                <w:rFonts w:hint="eastAsia" w:ascii="仿宋" w:hAnsi="仿宋" w:eastAsia="仿宋" w:cs="仿宋"/>
                <w:color w:val="auto"/>
              </w:rPr>
              <w:t>有专职医护人员：4分，有兼职医护人员：2分，无：0分</w:t>
            </w:r>
          </w:p>
        </w:tc>
        <w:tc>
          <w:tcPr>
            <w:tcW w:w="2625" w:type="dxa"/>
            <w:tcBorders>
              <w:tl2br w:val="nil"/>
              <w:tr2bl w:val="nil"/>
            </w:tcBorders>
            <w:noWrap w:val="0"/>
            <w:tcMar>
              <w:top w:w="15" w:type="dxa"/>
              <w:left w:w="15" w:type="dxa"/>
              <w:right w:w="15" w:type="dxa"/>
            </w:tcMar>
            <w:vAlign w:val="center"/>
          </w:tcPr>
          <w:p w14:paraId="3B971AF2">
            <w:pPr>
              <w:widowControl/>
              <w:jc w:val="left"/>
              <w:textAlignment w:val="center"/>
              <w:rPr>
                <w:rFonts w:hint="eastAsia" w:ascii="仿宋" w:hAnsi="仿宋" w:eastAsia="仿宋" w:cs="仿宋"/>
                <w:color w:val="auto"/>
              </w:rPr>
            </w:pPr>
            <w:r>
              <w:rPr>
                <w:rFonts w:hint="eastAsia" w:ascii="仿宋" w:hAnsi="仿宋" w:eastAsia="仿宋" w:cs="仿宋"/>
                <w:color w:val="auto"/>
              </w:rPr>
              <w:t>注：“专（兼）医生”指签约医生、精神科医生或心理治疗师等有相应资质的专业人员；协议格式内容应规范，责权明确，合规有效。下同。</w:t>
            </w:r>
          </w:p>
        </w:tc>
      </w:tr>
      <w:tr w14:paraId="7AA8F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77DB5F10">
            <w:pPr>
              <w:widowControl/>
              <w:jc w:val="center"/>
              <w:textAlignment w:val="center"/>
              <w:rPr>
                <w:rFonts w:hint="eastAsia" w:ascii="仿宋" w:hAnsi="仿宋" w:eastAsia="仿宋" w:cs="仿宋"/>
                <w:color w:val="auto"/>
              </w:rPr>
            </w:pPr>
            <w:r>
              <w:rPr>
                <w:rFonts w:hint="eastAsia" w:ascii="仿宋" w:hAnsi="仿宋" w:eastAsia="仿宋" w:cs="仿宋"/>
                <w:color w:val="auto"/>
              </w:rPr>
              <w:t>23</w:t>
            </w:r>
          </w:p>
        </w:tc>
        <w:tc>
          <w:tcPr>
            <w:tcW w:w="902" w:type="dxa"/>
            <w:tcBorders>
              <w:tl2br w:val="nil"/>
              <w:tr2bl w:val="nil"/>
            </w:tcBorders>
            <w:noWrap/>
            <w:tcMar>
              <w:top w:w="15" w:type="dxa"/>
              <w:left w:w="15" w:type="dxa"/>
              <w:right w:w="15" w:type="dxa"/>
            </w:tcMar>
            <w:vAlign w:val="center"/>
          </w:tcPr>
          <w:p w14:paraId="53D65739">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197FFC1D">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62729FB4">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劳动项目</w:t>
            </w:r>
          </w:p>
        </w:tc>
        <w:tc>
          <w:tcPr>
            <w:tcW w:w="660" w:type="dxa"/>
            <w:tcBorders>
              <w:tl2br w:val="nil"/>
              <w:tr2bl w:val="nil"/>
            </w:tcBorders>
            <w:noWrap w:val="0"/>
            <w:tcMar>
              <w:top w:w="15" w:type="dxa"/>
              <w:left w:w="15" w:type="dxa"/>
              <w:right w:w="15" w:type="dxa"/>
            </w:tcMar>
            <w:vAlign w:val="center"/>
          </w:tcPr>
          <w:p w14:paraId="46B12431">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59A98D2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3AE77EC">
            <w:pPr>
              <w:widowControl/>
              <w:jc w:val="center"/>
              <w:textAlignment w:val="center"/>
              <w:rPr>
                <w:rFonts w:hint="eastAsia" w:ascii="仿宋" w:hAnsi="仿宋" w:eastAsia="仿宋" w:cs="仿宋"/>
                <w:color w:val="auto"/>
              </w:rPr>
            </w:pPr>
            <w:r>
              <w:rPr>
                <w:rFonts w:hint="eastAsia" w:ascii="仿宋" w:hAnsi="仿宋" w:eastAsia="仿宋" w:cs="仿宋"/>
                <w:color w:val="auto"/>
              </w:rPr>
              <w:t>劳动项目适宜稳定。</w:t>
            </w:r>
          </w:p>
        </w:tc>
        <w:tc>
          <w:tcPr>
            <w:tcW w:w="3825" w:type="dxa"/>
            <w:tcBorders>
              <w:tl2br w:val="nil"/>
              <w:tr2bl w:val="nil"/>
            </w:tcBorders>
            <w:noWrap w:val="0"/>
            <w:tcMar>
              <w:top w:w="15" w:type="dxa"/>
              <w:left w:w="15" w:type="dxa"/>
              <w:right w:w="15" w:type="dxa"/>
            </w:tcMar>
            <w:vAlign w:val="center"/>
          </w:tcPr>
          <w:p w14:paraId="17779046">
            <w:pPr>
              <w:widowControl/>
              <w:jc w:val="left"/>
              <w:textAlignment w:val="center"/>
              <w:rPr>
                <w:rFonts w:hint="eastAsia" w:ascii="仿宋" w:hAnsi="仿宋" w:eastAsia="仿宋" w:cs="仿宋"/>
                <w:color w:val="auto"/>
              </w:rPr>
            </w:pPr>
            <w:r>
              <w:rPr>
                <w:rFonts w:hint="eastAsia" w:ascii="仿宋" w:hAnsi="仿宋" w:eastAsia="仿宋" w:cs="仿宋"/>
                <w:color w:val="auto"/>
              </w:rPr>
              <w:t>有来源稳定的辅助性就业项目和产品</w:t>
            </w:r>
          </w:p>
        </w:tc>
        <w:tc>
          <w:tcPr>
            <w:tcW w:w="3315" w:type="dxa"/>
            <w:tcBorders>
              <w:tl2br w:val="nil"/>
              <w:tr2bl w:val="nil"/>
            </w:tcBorders>
            <w:noWrap/>
            <w:tcMar>
              <w:top w:w="15" w:type="dxa"/>
              <w:left w:w="15" w:type="dxa"/>
              <w:right w:w="15" w:type="dxa"/>
            </w:tcMar>
            <w:vAlign w:val="bottom"/>
          </w:tcPr>
          <w:p w14:paraId="541DE787">
            <w:pPr>
              <w:widowControl/>
              <w:textAlignment w:val="bottom"/>
              <w:rPr>
                <w:rFonts w:hint="eastAsia" w:ascii="仿宋" w:hAnsi="仿宋" w:eastAsia="仿宋" w:cs="仿宋"/>
                <w:color w:val="auto"/>
              </w:rPr>
            </w:pPr>
            <w:r>
              <w:rPr>
                <w:rFonts w:hint="eastAsia" w:ascii="仿宋" w:hAnsi="仿宋" w:eastAsia="仿宋" w:cs="仿宋"/>
                <w:color w:val="auto"/>
              </w:rPr>
              <w:t>有项目且有稳定渠道：2分，有项目：1分</w:t>
            </w:r>
            <w:r>
              <w:rPr>
                <w:rFonts w:hint="eastAsia" w:ascii="仿宋" w:hAnsi="仿宋" w:eastAsia="仿宋" w:cs="仿宋"/>
                <w:vanish/>
                <w:color w:val="auto"/>
              </w:rPr>
              <w:t>，无项目：0分</w:t>
            </w:r>
          </w:p>
        </w:tc>
        <w:tc>
          <w:tcPr>
            <w:tcW w:w="2625" w:type="dxa"/>
            <w:tcBorders>
              <w:tl2br w:val="nil"/>
              <w:tr2bl w:val="nil"/>
            </w:tcBorders>
            <w:noWrap w:val="0"/>
            <w:tcMar>
              <w:top w:w="15" w:type="dxa"/>
              <w:left w:w="15" w:type="dxa"/>
              <w:right w:w="15" w:type="dxa"/>
            </w:tcMar>
            <w:vAlign w:val="center"/>
          </w:tcPr>
          <w:p w14:paraId="559D8FAC">
            <w:pPr>
              <w:jc w:val="left"/>
              <w:rPr>
                <w:rFonts w:hint="eastAsia" w:ascii="仿宋" w:hAnsi="仿宋" w:eastAsia="仿宋" w:cs="仿宋"/>
                <w:color w:val="auto"/>
              </w:rPr>
            </w:pPr>
          </w:p>
        </w:tc>
      </w:tr>
      <w:tr w14:paraId="4C582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4" w:type="dxa"/>
            <w:tcBorders>
              <w:tl2br w:val="nil"/>
              <w:tr2bl w:val="nil"/>
            </w:tcBorders>
            <w:noWrap/>
            <w:tcMar>
              <w:top w:w="15" w:type="dxa"/>
              <w:left w:w="15" w:type="dxa"/>
              <w:right w:w="15" w:type="dxa"/>
            </w:tcMar>
            <w:vAlign w:val="center"/>
          </w:tcPr>
          <w:p w14:paraId="697ADDB0">
            <w:pPr>
              <w:widowControl/>
              <w:jc w:val="center"/>
              <w:textAlignment w:val="center"/>
              <w:rPr>
                <w:rFonts w:hint="eastAsia" w:ascii="仿宋" w:hAnsi="仿宋" w:eastAsia="仿宋" w:cs="仿宋"/>
                <w:color w:val="auto"/>
              </w:rPr>
            </w:pPr>
            <w:r>
              <w:rPr>
                <w:rFonts w:hint="eastAsia" w:ascii="仿宋" w:hAnsi="仿宋" w:eastAsia="仿宋" w:cs="仿宋"/>
                <w:color w:val="auto"/>
              </w:rPr>
              <w:t>24</w:t>
            </w:r>
          </w:p>
        </w:tc>
        <w:tc>
          <w:tcPr>
            <w:tcW w:w="902" w:type="dxa"/>
            <w:tcBorders>
              <w:tl2br w:val="nil"/>
              <w:tr2bl w:val="nil"/>
            </w:tcBorders>
            <w:noWrap/>
            <w:tcMar>
              <w:top w:w="15" w:type="dxa"/>
              <w:left w:w="15" w:type="dxa"/>
              <w:right w:w="15" w:type="dxa"/>
            </w:tcMar>
            <w:vAlign w:val="center"/>
          </w:tcPr>
          <w:p w14:paraId="26D65030">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4BCC87A9">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74A0A98E">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劳动时间和劳动强度</w:t>
            </w:r>
          </w:p>
        </w:tc>
        <w:tc>
          <w:tcPr>
            <w:tcW w:w="660" w:type="dxa"/>
            <w:tcBorders>
              <w:tl2br w:val="nil"/>
              <w:tr2bl w:val="nil"/>
            </w:tcBorders>
            <w:noWrap w:val="0"/>
            <w:tcMar>
              <w:top w:w="15" w:type="dxa"/>
              <w:left w:w="15" w:type="dxa"/>
              <w:right w:w="15" w:type="dxa"/>
            </w:tcMar>
            <w:vAlign w:val="center"/>
          </w:tcPr>
          <w:p w14:paraId="677E5D9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5C89F04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174C145">
            <w:pPr>
              <w:widowControl/>
              <w:jc w:val="center"/>
              <w:textAlignment w:val="center"/>
              <w:rPr>
                <w:rFonts w:hint="eastAsia" w:ascii="仿宋" w:hAnsi="仿宋" w:eastAsia="仿宋" w:cs="仿宋"/>
                <w:color w:val="auto"/>
              </w:rPr>
            </w:pPr>
            <w:r>
              <w:rPr>
                <w:rFonts w:hint="eastAsia" w:ascii="仿宋" w:hAnsi="仿宋" w:eastAsia="仿宋" w:cs="仿宋"/>
                <w:color w:val="auto"/>
              </w:rPr>
              <w:t>有合理劳动时间和劳动强度，并获得劳动报酬。</w:t>
            </w:r>
          </w:p>
        </w:tc>
        <w:tc>
          <w:tcPr>
            <w:tcW w:w="3825" w:type="dxa"/>
            <w:tcBorders>
              <w:tl2br w:val="nil"/>
              <w:tr2bl w:val="nil"/>
            </w:tcBorders>
            <w:noWrap w:val="0"/>
            <w:tcMar>
              <w:top w:w="15" w:type="dxa"/>
              <w:left w:w="15" w:type="dxa"/>
              <w:right w:w="15" w:type="dxa"/>
            </w:tcMar>
            <w:vAlign w:val="center"/>
          </w:tcPr>
          <w:p w14:paraId="45469965">
            <w:pPr>
              <w:widowControl/>
              <w:jc w:val="left"/>
              <w:textAlignment w:val="center"/>
              <w:rPr>
                <w:rFonts w:hint="eastAsia" w:ascii="仿宋" w:hAnsi="仿宋" w:eastAsia="仿宋" w:cs="仿宋"/>
                <w:color w:val="auto"/>
              </w:rPr>
            </w:pPr>
            <w:r>
              <w:rPr>
                <w:rFonts w:hint="eastAsia" w:ascii="仿宋" w:hAnsi="仿宋" w:eastAsia="仿宋" w:cs="仿宋"/>
                <w:color w:val="auto"/>
              </w:rPr>
              <w:t>劳动时间、劳动强度合理，大多数服务对象参加劳动并获得劳动报酬。</w:t>
            </w:r>
          </w:p>
        </w:tc>
        <w:tc>
          <w:tcPr>
            <w:tcW w:w="3315" w:type="dxa"/>
            <w:tcBorders>
              <w:tl2br w:val="nil"/>
              <w:tr2bl w:val="nil"/>
            </w:tcBorders>
            <w:noWrap/>
            <w:tcMar>
              <w:top w:w="15" w:type="dxa"/>
              <w:left w:w="15" w:type="dxa"/>
              <w:right w:w="15" w:type="dxa"/>
            </w:tcMar>
            <w:vAlign w:val="bottom"/>
          </w:tcPr>
          <w:p w14:paraId="3D41B090">
            <w:pPr>
              <w:widowControl/>
              <w:textAlignment w:val="bottom"/>
              <w:rPr>
                <w:rFonts w:hint="eastAsia" w:ascii="仿宋" w:hAnsi="仿宋" w:eastAsia="仿宋" w:cs="仿宋"/>
                <w:color w:val="auto"/>
              </w:rPr>
            </w:pPr>
            <w:r>
              <w:rPr>
                <w:rFonts w:hint="eastAsia" w:ascii="仿宋" w:hAnsi="仿宋" w:eastAsia="仿宋" w:cs="仿宋"/>
                <w:color w:val="auto"/>
              </w:rPr>
              <w:t>合理：1分；不合理：0分；无劳动项目：</w:t>
            </w:r>
            <w:r>
              <w:rPr>
                <w:rFonts w:hint="eastAsia" w:ascii="仿宋" w:hAnsi="仿宋" w:eastAsia="仿宋" w:cs="仿宋"/>
                <w:vanish/>
                <w:color w:val="auto"/>
              </w:rPr>
              <w:t>0分</w:t>
            </w:r>
          </w:p>
        </w:tc>
        <w:tc>
          <w:tcPr>
            <w:tcW w:w="2625" w:type="dxa"/>
            <w:tcBorders>
              <w:tl2br w:val="nil"/>
              <w:tr2bl w:val="nil"/>
            </w:tcBorders>
            <w:noWrap w:val="0"/>
            <w:tcMar>
              <w:top w:w="15" w:type="dxa"/>
              <w:left w:w="15" w:type="dxa"/>
              <w:right w:w="15" w:type="dxa"/>
            </w:tcMar>
            <w:vAlign w:val="center"/>
          </w:tcPr>
          <w:p w14:paraId="1E5CE363">
            <w:pPr>
              <w:widowControl/>
              <w:jc w:val="left"/>
              <w:textAlignment w:val="center"/>
              <w:rPr>
                <w:rFonts w:hint="eastAsia" w:ascii="仿宋" w:hAnsi="仿宋" w:eastAsia="仿宋" w:cs="仿宋"/>
                <w:color w:val="auto"/>
              </w:rPr>
            </w:pPr>
            <w:r>
              <w:rPr>
                <w:rFonts w:hint="eastAsia" w:ascii="仿宋" w:hAnsi="仿宋" w:eastAsia="仿宋" w:cs="仿宋"/>
                <w:color w:val="auto"/>
              </w:rPr>
              <w:t>注：综合劳动报酬分发情况，考查是否大多数服务对象能获得劳动报酬。</w:t>
            </w:r>
          </w:p>
        </w:tc>
      </w:tr>
      <w:tr w14:paraId="5448E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664" w:type="dxa"/>
            <w:tcBorders>
              <w:tl2br w:val="nil"/>
              <w:tr2bl w:val="nil"/>
            </w:tcBorders>
            <w:noWrap/>
            <w:tcMar>
              <w:top w:w="15" w:type="dxa"/>
              <w:left w:w="15" w:type="dxa"/>
              <w:right w:w="15" w:type="dxa"/>
            </w:tcMar>
            <w:vAlign w:val="center"/>
          </w:tcPr>
          <w:p w14:paraId="4B700958">
            <w:pPr>
              <w:widowControl/>
              <w:jc w:val="center"/>
              <w:textAlignment w:val="center"/>
              <w:rPr>
                <w:rFonts w:hint="eastAsia" w:ascii="仿宋" w:hAnsi="仿宋" w:eastAsia="仿宋" w:cs="仿宋"/>
                <w:color w:val="auto"/>
              </w:rPr>
            </w:pPr>
            <w:r>
              <w:rPr>
                <w:rFonts w:hint="eastAsia" w:ascii="仿宋" w:hAnsi="仿宋" w:eastAsia="仿宋" w:cs="仿宋"/>
                <w:color w:val="auto"/>
              </w:rPr>
              <w:t>25</w:t>
            </w:r>
          </w:p>
        </w:tc>
        <w:tc>
          <w:tcPr>
            <w:tcW w:w="902" w:type="dxa"/>
            <w:tcBorders>
              <w:tl2br w:val="nil"/>
              <w:tr2bl w:val="nil"/>
            </w:tcBorders>
            <w:noWrap/>
            <w:tcMar>
              <w:top w:w="15" w:type="dxa"/>
              <w:left w:w="15" w:type="dxa"/>
              <w:right w:w="15" w:type="dxa"/>
            </w:tcMar>
            <w:vAlign w:val="center"/>
          </w:tcPr>
          <w:p w14:paraId="05EB2CC0">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3339C00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志愿服务</w:t>
            </w:r>
          </w:p>
        </w:tc>
        <w:tc>
          <w:tcPr>
            <w:tcW w:w="660" w:type="dxa"/>
            <w:tcBorders>
              <w:tl2br w:val="nil"/>
              <w:tr2bl w:val="nil"/>
            </w:tcBorders>
            <w:noWrap w:val="0"/>
            <w:tcMar>
              <w:top w:w="15" w:type="dxa"/>
              <w:left w:w="15" w:type="dxa"/>
              <w:right w:w="15" w:type="dxa"/>
            </w:tcMar>
            <w:vAlign w:val="center"/>
          </w:tcPr>
          <w:p w14:paraId="4711BDF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A63847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C28F96E">
            <w:pPr>
              <w:widowControl/>
              <w:jc w:val="center"/>
              <w:textAlignment w:val="center"/>
              <w:rPr>
                <w:rFonts w:hint="eastAsia" w:ascii="仿宋" w:hAnsi="仿宋" w:eastAsia="仿宋" w:cs="仿宋"/>
                <w:color w:val="auto"/>
              </w:rPr>
            </w:pPr>
            <w:r>
              <w:rPr>
                <w:rFonts w:hint="eastAsia" w:ascii="仿宋" w:hAnsi="仿宋" w:eastAsia="仿宋" w:cs="仿宋"/>
                <w:color w:val="auto"/>
              </w:rPr>
              <w:t>积极开展志愿服务和共建活动。</w:t>
            </w:r>
          </w:p>
        </w:tc>
        <w:tc>
          <w:tcPr>
            <w:tcW w:w="3825" w:type="dxa"/>
            <w:tcBorders>
              <w:tl2br w:val="nil"/>
              <w:tr2bl w:val="nil"/>
            </w:tcBorders>
            <w:noWrap w:val="0"/>
            <w:tcMar>
              <w:top w:w="15" w:type="dxa"/>
              <w:left w:w="15" w:type="dxa"/>
              <w:right w:w="15" w:type="dxa"/>
            </w:tcMar>
            <w:vAlign w:val="center"/>
          </w:tcPr>
          <w:p w14:paraId="0BF0DD9C">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志愿服务规范并有效落实，与志愿服务组织或党（团）组织等签订志愿服务协议，有计划地定期开展志愿服务或党（团）共建活动（每月1次），对首次参加志愿服务人员进行培训（服务残疾人的注意事项），每次活动机构内大多数残疾人参加。</w:t>
            </w:r>
          </w:p>
        </w:tc>
        <w:tc>
          <w:tcPr>
            <w:tcW w:w="3315" w:type="dxa"/>
            <w:tcBorders>
              <w:tl2br w:val="nil"/>
              <w:tr2bl w:val="nil"/>
            </w:tcBorders>
            <w:noWrap w:val="0"/>
            <w:tcMar>
              <w:top w:w="15" w:type="dxa"/>
              <w:left w:w="15" w:type="dxa"/>
              <w:right w:w="15" w:type="dxa"/>
            </w:tcMar>
            <w:vAlign w:val="center"/>
          </w:tcPr>
          <w:p w14:paraId="7941025E">
            <w:pPr>
              <w:widowControl/>
              <w:textAlignment w:val="center"/>
              <w:rPr>
                <w:rFonts w:hint="eastAsia" w:ascii="仿宋" w:hAnsi="仿宋" w:eastAsia="仿宋" w:cs="仿宋"/>
                <w:color w:val="auto"/>
              </w:rPr>
            </w:pPr>
            <w:r>
              <w:rPr>
                <w:rFonts w:hint="eastAsia" w:ascii="仿宋" w:hAnsi="仿宋" w:eastAsia="仿宋" w:cs="仿宋"/>
                <w:color w:val="auto"/>
              </w:rPr>
              <w:t>签订协议并定期开展得2分；定期开展得1分；不开展得0分。</w:t>
            </w:r>
          </w:p>
        </w:tc>
        <w:tc>
          <w:tcPr>
            <w:tcW w:w="2625" w:type="dxa"/>
            <w:tcBorders>
              <w:tl2br w:val="nil"/>
              <w:tr2bl w:val="nil"/>
            </w:tcBorders>
            <w:noWrap w:val="0"/>
            <w:tcMar>
              <w:top w:w="15" w:type="dxa"/>
              <w:left w:w="15" w:type="dxa"/>
              <w:right w:w="15" w:type="dxa"/>
            </w:tcMar>
            <w:vAlign w:val="center"/>
          </w:tcPr>
          <w:p w14:paraId="1B047FE0">
            <w:pPr>
              <w:widowControl/>
              <w:jc w:val="left"/>
              <w:textAlignment w:val="center"/>
              <w:rPr>
                <w:rFonts w:hint="eastAsia" w:ascii="仿宋" w:hAnsi="仿宋" w:eastAsia="仿宋" w:cs="仿宋"/>
                <w:color w:val="auto"/>
              </w:rPr>
            </w:pPr>
            <w:r>
              <w:rPr>
                <w:rFonts w:hint="eastAsia" w:ascii="仿宋" w:hAnsi="仿宋" w:eastAsia="仿宋" w:cs="仿宋"/>
                <w:color w:val="auto"/>
              </w:rPr>
              <w:t>注：应有较好的志愿服务活动记录。</w:t>
            </w:r>
          </w:p>
        </w:tc>
      </w:tr>
      <w:tr w14:paraId="44F08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6149AB78">
            <w:pPr>
              <w:widowControl/>
              <w:jc w:val="center"/>
              <w:textAlignment w:val="center"/>
              <w:rPr>
                <w:rFonts w:hint="eastAsia" w:ascii="仿宋" w:hAnsi="仿宋" w:eastAsia="仿宋" w:cs="仿宋"/>
                <w:color w:val="auto"/>
              </w:rPr>
            </w:pPr>
            <w:r>
              <w:rPr>
                <w:rFonts w:hint="eastAsia" w:ascii="仿宋" w:hAnsi="仿宋" w:eastAsia="仿宋" w:cs="仿宋"/>
                <w:color w:val="auto"/>
              </w:rPr>
              <w:t>26</w:t>
            </w:r>
          </w:p>
        </w:tc>
        <w:tc>
          <w:tcPr>
            <w:tcW w:w="902" w:type="dxa"/>
            <w:tcBorders>
              <w:tl2br w:val="nil"/>
              <w:tr2bl w:val="nil"/>
            </w:tcBorders>
            <w:noWrap/>
            <w:tcMar>
              <w:top w:w="15" w:type="dxa"/>
              <w:left w:w="15" w:type="dxa"/>
              <w:right w:w="15" w:type="dxa"/>
            </w:tcMar>
            <w:vAlign w:val="center"/>
          </w:tcPr>
          <w:p w14:paraId="0C94CEEA">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284188B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捐赠管理</w:t>
            </w:r>
          </w:p>
        </w:tc>
        <w:tc>
          <w:tcPr>
            <w:tcW w:w="660" w:type="dxa"/>
            <w:tcBorders>
              <w:tl2br w:val="nil"/>
              <w:tr2bl w:val="nil"/>
            </w:tcBorders>
            <w:noWrap w:val="0"/>
            <w:tcMar>
              <w:top w:w="15" w:type="dxa"/>
              <w:left w:w="15" w:type="dxa"/>
              <w:right w:w="15" w:type="dxa"/>
            </w:tcMar>
            <w:vAlign w:val="center"/>
          </w:tcPr>
          <w:p w14:paraId="4CA33590">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5E7F260">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C0013F4">
            <w:pPr>
              <w:widowControl/>
              <w:jc w:val="center"/>
              <w:textAlignment w:val="center"/>
              <w:rPr>
                <w:rFonts w:hint="eastAsia" w:ascii="仿宋" w:hAnsi="仿宋" w:eastAsia="仿宋" w:cs="仿宋"/>
                <w:color w:val="auto"/>
              </w:rPr>
            </w:pPr>
            <w:r>
              <w:rPr>
                <w:rFonts w:hint="eastAsia" w:ascii="仿宋" w:hAnsi="仿宋" w:eastAsia="仿宋" w:cs="仿宋"/>
                <w:color w:val="auto"/>
              </w:rPr>
              <w:t>规范管理受赠资金和物资。</w:t>
            </w:r>
          </w:p>
        </w:tc>
        <w:tc>
          <w:tcPr>
            <w:tcW w:w="3825" w:type="dxa"/>
            <w:tcBorders>
              <w:tl2br w:val="nil"/>
              <w:tr2bl w:val="nil"/>
            </w:tcBorders>
            <w:noWrap w:val="0"/>
            <w:tcMar>
              <w:top w:w="15" w:type="dxa"/>
              <w:left w:w="15" w:type="dxa"/>
              <w:right w:w="15" w:type="dxa"/>
            </w:tcMar>
            <w:vAlign w:val="center"/>
          </w:tcPr>
          <w:p w14:paraId="17A2B3FF">
            <w:pPr>
              <w:widowControl/>
              <w:jc w:val="left"/>
              <w:textAlignment w:val="center"/>
              <w:rPr>
                <w:rFonts w:hint="eastAsia" w:ascii="仿宋" w:hAnsi="仿宋" w:eastAsia="仿宋" w:cs="仿宋"/>
                <w:color w:val="auto"/>
              </w:rPr>
            </w:pPr>
            <w:r>
              <w:rPr>
                <w:rFonts w:hint="eastAsia" w:ascii="仿宋" w:hAnsi="仿宋" w:eastAsia="仿宋" w:cs="仿宋"/>
                <w:color w:val="auto"/>
              </w:rPr>
              <w:t>有资金或物资捐赠（特指受赠），有捐赠管理制度，受赠资金或物资使用情况记录完整。</w:t>
            </w:r>
          </w:p>
        </w:tc>
        <w:tc>
          <w:tcPr>
            <w:tcW w:w="3315" w:type="dxa"/>
            <w:tcBorders>
              <w:tl2br w:val="nil"/>
              <w:tr2bl w:val="nil"/>
            </w:tcBorders>
            <w:noWrap w:val="0"/>
            <w:tcMar>
              <w:top w:w="15" w:type="dxa"/>
              <w:left w:w="15" w:type="dxa"/>
              <w:right w:w="15" w:type="dxa"/>
            </w:tcMar>
            <w:vAlign w:val="center"/>
          </w:tcPr>
          <w:p w14:paraId="3D269C87">
            <w:pPr>
              <w:widowControl/>
              <w:textAlignment w:val="center"/>
              <w:rPr>
                <w:rFonts w:hint="eastAsia" w:ascii="仿宋" w:hAnsi="仿宋" w:eastAsia="仿宋" w:cs="仿宋"/>
                <w:color w:val="auto"/>
              </w:rPr>
            </w:pPr>
            <w:r>
              <w:rPr>
                <w:rFonts w:hint="eastAsia" w:ascii="仿宋" w:hAnsi="仿宋" w:eastAsia="仿宋" w:cs="仿宋"/>
                <w:color w:val="auto"/>
              </w:rPr>
              <w:t>有捐赠制度并记录完整得2分，捐赠记录不完整发现一处扣1分，扣完为止；无捐赠不得分。</w:t>
            </w:r>
          </w:p>
        </w:tc>
        <w:tc>
          <w:tcPr>
            <w:tcW w:w="2625" w:type="dxa"/>
            <w:tcBorders>
              <w:tl2br w:val="nil"/>
              <w:tr2bl w:val="nil"/>
            </w:tcBorders>
            <w:noWrap w:val="0"/>
            <w:tcMar>
              <w:top w:w="15" w:type="dxa"/>
              <w:left w:w="15" w:type="dxa"/>
              <w:right w:w="15" w:type="dxa"/>
            </w:tcMar>
            <w:vAlign w:val="center"/>
          </w:tcPr>
          <w:p w14:paraId="06A6A76B">
            <w:pPr>
              <w:jc w:val="left"/>
              <w:rPr>
                <w:rFonts w:hint="eastAsia" w:ascii="仿宋" w:hAnsi="仿宋" w:eastAsia="仿宋" w:cs="仿宋"/>
                <w:color w:val="auto"/>
              </w:rPr>
            </w:pPr>
          </w:p>
        </w:tc>
      </w:tr>
      <w:tr w14:paraId="5EA74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619184DB">
            <w:pPr>
              <w:widowControl/>
              <w:jc w:val="center"/>
              <w:textAlignment w:val="center"/>
              <w:rPr>
                <w:rFonts w:hint="eastAsia" w:ascii="仿宋" w:hAnsi="仿宋" w:eastAsia="仿宋" w:cs="仿宋"/>
                <w:color w:val="auto"/>
              </w:rPr>
            </w:pPr>
            <w:r>
              <w:rPr>
                <w:rFonts w:hint="eastAsia" w:ascii="仿宋" w:hAnsi="仿宋" w:eastAsia="仿宋" w:cs="仿宋"/>
                <w:color w:val="auto"/>
              </w:rPr>
              <w:t>27</w:t>
            </w:r>
          </w:p>
        </w:tc>
        <w:tc>
          <w:tcPr>
            <w:tcW w:w="902" w:type="dxa"/>
            <w:tcBorders>
              <w:tl2br w:val="nil"/>
              <w:tr2bl w:val="nil"/>
            </w:tcBorders>
            <w:noWrap/>
            <w:tcMar>
              <w:top w:w="15" w:type="dxa"/>
              <w:left w:w="15" w:type="dxa"/>
              <w:right w:w="15" w:type="dxa"/>
            </w:tcMar>
            <w:vAlign w:val="center"/>
          </w:tcPr>
          <w:p w14:paraId="341EE15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6ECDAA3C">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协议签订</w:t>
            </w:r>
          </w:p>
        </w:tc>
        <w:tc>
          <w:tcPr>
            <w:tcW w:w="660" w:type="dxa"/>
            <w:tcBorders>
              <w:tl2br w:val="nil"/>
              <w:tr2bl w:val="nil"/>
            </w:tcBorders>
            <w:noWrap w:val="0"/>
            <w:tcMar>
              <w:top w:w="15" w:type="dxa"/>
              <w:left w:w="15" w:type="dxa"/>
              <w:right w:w="15" w:type="dxa"/>
            </w:tcMar>
            <w:vAlign w:val="center"/>
          </w:tcPr>
          <w:p w14:paraId="3AB28DA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3F29A1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8430F1D">
            <w:pPr>
              <w:widowControl/>
              <w:jc w:val="center"/>
              <w:textAlignment w:val="center"/>
              <w:rPr>
                <w:rFonts w:hint="eastAsia" w:ascii="仿宋" w:hAnsi="仿宋" w:eastAsia="仿宋" w:cs="仿宋"/>
                <w:color w:val="auto"/>
              </w:rPr>
            </w:pPr>
            <w:r>
              <w:rPr>
                <w:rFonts w:hint="eastAsia" w:ascii="仿宋" w:hAnsi="仿宋" w:eastAsia="仿宋" w:cs="仿宋"/>
                <w:color w:val="auto"/>
              </w:rPr>
              <w:t>镇乡（街道）与运营机构签订协议</w:t>
            </w:r>
          </w:p>
        </w:tc>
        <w:tc>
          <w:tcPr>
            <w:tcW w:w="3825" w:type="dxa"/>
            <w:tcBorders>
              <w:tl2br w:val="nil"/>
              <w:tr2bl w:val="nil"/>
            </w:tcBorders>
            <w:noWrap w:val="0"/>
            <w:tcMar>
              <w:top w:w="15" w:type="dxa"/>
              <w:left w:w="15" w:type="dxa"/>
              <w:right w:w="15" w:type="dxa"/>
            </w:tcMar>
            <w:vAlign w:val="center"/>
          </w:tcPr>
          <w:p w14:paraId="39B59ADD">
            <w:pPr>
              <w:widowControl/>
              <w:jc w:val="left"/>
              <w:textAlignment w:val="center"/>
              <w:rPr>
                <w:rFonts w:hint="eastAsia" w:ascii="仿宋" w:hAnsi="仿宋" w:eastAsia="仿宋" w:cs="仿宋"/>
                <w:color w:val="auto"/>
              </w:rPr>
            </w:pPr>
            <w:r>
              <w:rPr>
                <w:rFonts w:hint="eastAsia" w:ascii="仿宋" w:hAnsi="仿宋" w:eastAsia="仿宋" w:cs="仿宋"/>
                <w:color w:val="auto"/>
              </w:rPr>
              <w:t>镇乡（街道）与运营机构签订协议，内容合理，有规定运营经费、星级补助、星级奖励分配方案</w:t>
            </w:r>
          </w:p>
        </w:tc>
        <w:tc>
          <w:tcPr>
            <w:tcW w:w="3315" w:type="dxa"/>
            <w:tcBorders>
              <w:tl2br w:val="nil"/>
              <w:tr2bl w:val="nil"/>
            </w:tcBorders>
            <w:noWrap w:val="0"/>
            <w:tcMar>
              <w:top w:w="15" w:type="dxa"/>
              <w:left w:w="15" w:type="dxa"/>
              <w:right w:w="15" w:type="dxa"/>
            </w:tcMar>
            <w:vAlign w:val="center"/>
          </w:tcPr>
          <w:p w14:paraId="5CC0DAFA">
            <w:pPr>
              <w:widowControl/>
              <w:textAlignment w:val="center"/>
              <w:rPr>
                <w:rFonts w:hint="eastAsia" w:ascii="仿宋" w:hAnsi="仿宋" w:eastAsia="仿宋" w:cs="仿宋"/>
                <w:color w:val="auto"/>
              </w:rPr>
            </w:pPr>
            <w:r>
              <w:rPr>
                <w:rFonts w:hint="eastAsia" w:ascii="仿宋" w:hAnsi="仿宋" w:eastAsia="仿宋" w:cs="仿宋"/>
                <w:color w:val="auto"/>
              </w:rPr>
              <w:t>有签订的且规定资金分配方案得2分，有协议无资金分配方案或资金分配条款与实际分配不符得1分，无协议得0分。</w:t>
            </w:r>
          </w:p>
        </w:tc>
        <w:tc>
          <w:tcPr>
            <w:tcW w:w="2625" w:type="dxa"/>
            <w:tcBorders>
              <w:tl2br w:val="nil"/>
              <w:tr2bl w:val="nil"/>
            </w:tcBorders>
            <w:noWrap w:val="0"/>
            <w:tcMar>
              <w:top w:w="15" w:type="dxa"/>
              <w:left w:w="15" w:type="dxa"/>
              <w:right w:w="15" w:type="dxa"/>
            </w:tcMar>
            <w:vAlign w:val="center"/>
          </w:tcPr>
          <w:p w14:paraId="443EB199">
            <w:pPr>
              <w:jc w:val="left"/>
              <w:rPr>
                <w:rFonts w:hint="eastAsia" w:ascii="仿宋" w:hAnsi="仿宋" w:eastAsia="仿宋" w:cs="仿宋"/>
                <w:color w:val="auto"/>
              </w:rPr>
            </w:pPr>
          </w:p>
        </w:tc>
      </w:tr>
      <w:tr w14:paraId="4FB55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4" w:type="dxa"/>
            <w:tcBorders>
              <w:tl2br w:val="nil"/>
              <w:tr2bl w:val="nil"/>
            </w:tcBorders>
            <w:noWrap/>
            <w:tcMar>
              <w:top w:w="15" w:type="dxa"/>
              <w:left w:w="15" w:type="dxa"/>
              <w:right w:w="15" w:type="dxa"/>
            </w:tcMar>
            <w:vAlign w:val="center"/>
          </w:tcPr>
          <w:p w14:paraId="037059A3">
            <w:pPr>
              <w:widowControl/>
              <w:jc w:val="center"/>
              <w:textAlignment w:val="center"/>
              <w:rPr>
                <w:rFonts w:hint="eastAsia" w:ascii="仿宋" w:hAnsi="仿宋" w:eastAsia="仿宋" w:cs="仿宋"/>
                <w:color w:val="auto"/>
              </w:rPr>
            </w:pPr>
            <w:r>
              <w:rPr>
                <w:rFonts w:hint="eastAsia" w:ascii="仿宋" w:hAnsi="仿宋" w:eastAsia="仿宋" w:cs="仿宋"/>
                <w:color w:val="auto"/>
              </w:rPr>
              <w:t>28</w:t>
            </w:r>
          </w:p>
        </w:tc>
        <w:tc>
          <w:tcPr>
            <w:tcW w:w="902" w:type="dxa"/>
            <w:tcBorders>
              <w:tl2br w:val="nil"/>
              <w:tr2bl w:val="nil"/>
            </w:tcBorders>
            <w:noWrap/>
            <w:tcMar>
              <w:top w:w="15" w:type="dxa"/>
              <w:left w:w="15" w:type="dxa"/>
              <w:right w:w="15" w:type="dxa"/>
            </w:tcMar>
            <w:vAlign w:val="center"/>
          </w:tcPr>
          <w:p w14:paraId="7884617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9A9701A">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管理制度</w:t>
            </w:r>
          </w:p>
        </w:tc>
        <w:tc>
          <w:tcPr>
            <w:tcW w:w="660" w:type="dxa"/>
            <w:tcBorders>
              <w:tl2br w:val="nil"/>
              <w:tr2bl w:val="nil"/>
            </w:tcBorders>
            <w:noWrap w:val="0"/>
            <w:tcMar>
              <w:top w:w="15" w:type="dxa"/>
              <w:left w:w="15" w:type="dxa"/>
              <w:right w:w="15" w:type="dxa"/>
            </w:tcMar>
            <w:vAlign w:val="center"/>
          </w:tcPr>
          <w:p w14:paraId="31D40591">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808002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6B8A541">
            <w:pPr>
              <w:widowControl/>
              <w:jc w:val="center"/>
              <w:textAlignment w:val="center"/>
              <w:rPr>
                <w:rFonts w:hint="eastAsia" w:ascii="仿宋" w:hAnsi="仿宋" w:eastAsia="仿宋" w:cs="仿宋"/>
                <w:color w:val="auto"/>
              </w:rPr>
            </w:pPr>
            <w:r>
              <w:rPr>
                <w:rFonts w:hint="eastAsia" w:ascii="仿宋" w:hAnsi="仿宋" w:eastAsia="仿宋" w:cs="仿宋"/>
                <w:color w:val="auto"/>
              </w:rPr>
              <w:t>有必要的管理制度并有效落实。</w:t>
            </w:r>
          </w:p>
        </w:tc>
        <w:tc>
          <w:tcPr>
            <w:tcW w:w="3825" w:type="dxa"/>
            <w:tcBorders>
              <w:tl2br w:val="nil"/>
              <w:tr2bl w:val="nil"/>
            </w:tcBorders>
            <w:noWrap w:val="0"/>
            <w:tcMar>
              <w:top w:w="15" w:type="dxa"/>
              <w:left w:w="15" w:type="dxa"/>
              <w:right w:w="15" w:type="dxa"/>
            </w:tcMar>
            <w:vAlign w:val="center"/>
          </w:tcPr>
          <w:p w14:paraId="33B1A240">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机构管理服务人员岗位职责、服务管理制度、安全管理制度、档案管理制度、财务管理制度等是够健全并上墙，管理服务人员熟悉制度内容。</w:t>
            </w:r>
          </w:p>
        </w:tc>
        <w:tc>
          <w:tcPr>
            <w:tcW w:w="3315" w:type="dxa"/>
            <w:tcBorders>
              <w:tl2br w:val="nil"/>
              <w:tr2bl w:val="nil"/>
            </w:tcBorders>
            <w:noWrap w:val="0"/>
            <w:tcMar>
              <w:top w:w="15" w:type="dxa"/>
              <w:left w:w="15" w:type="dxa"/>
              <w:right w:w="15" w:type="dxa"/>
            </w:tcMar>
            <w:vAlign w:val="center"/>
          </w:tcPr>
          <w:p w14:paraId="41C12C78">
            <w:pPr>
              <w:widowControl/>
              <w:jc w:val="left"/>
              <w:textAlignment w:val="center"/>
              <w:rPr>
                <w:rFonts w:hint="eastAsia" w:ascii="仿宋" w:hAnsi="仿宋" w:eastAsia="仿宋" w:cs="仿宋"/>
                <w:color w:val="auto"/>
              </w:rPr>
            </w:pPr>
            <w:r>
              <w:rPr>
                <w:rFonts w:hint="eastAsia" w:ascii="仿宋" w:hAnsi="仿宋" w:eastAsia="仿宋" w:cs="仿宋"/>
                <w:color w:val="auto"/>
              </w:rPr>
              <w:t>有制度并上墙张贴得2分，每少一项扣0.5分，扣完为止，管理服务人员不了解各项制度不得分。</w:t>
            </w:r>
          </w:p>
        </w:tc>
        <w:tc>
          <w:tcPr>
            <w:tcW w:w="2625" w:type="dxa"/>
            <w:tcBorders>
              <w:tl2br w:val="nil"/>
              <w:tr2bl w:val="nil"/>
            </w:tcBorders>
            <w:noWrap w:val="0"/>
            <w:tcMar>
              <w:top w:w="15" w:type="dxa"/>
              <w:left w:w="15" w:type="dxa"/>
              <w:right w:w="15" w:type="dxa"/>
            </w:tcMar>
            <w:vAlign w:val="center"/>
          </w:tcPr>
          <w:p w14:paraId="5310CDD3">
            <w:pPr>
              <w:jc w:val="left"/>
              <w:rPr>
                <w:rFonts w:hint="eastAsia" w:ascii="仿宋" w:hAnsi="仿宋" w:eastAsia="仿宋" w:cs="仿宋"/>
                <w:color w:val="auto"/>
              </w:rPr>
            </w:pPr>
          </w:p>
        </w:tc>
      </w:tr>
      <w:tr w14:paraId="2B2DF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9D4D843">
            <w:pPr>
              <w:widowControl/>
              <w:jc w:val="center"/>
              <w:textAlignment w:val="center"/>
              <w:rPr>
                <w:rFonts w:hint="eastAsia" w:ascii="仿宋" w:hAnsi="仿宋" w:eastAsia="仿宋" w:cs="仿宋"/>
                <w:color w:val="auto"/>
              </w:rPr>
            </w:pPr>
            <w:r>
              <w:rPr>
                <w:rFonts w:hint="eastAsia" w:ascii="仿宋" w:hAnsi="仿宋" w:eastAsia="仿宋" w:cs="仿宋"/>
                <w:color w:val="auto"/>
              </w:rPr>
              <w:t>29</w:t>
            </w:r>
          </w:p>
        </w:tc>
        <w:tc>
          <w:tcPr>
            <w:tcW w:w="902" w:type="dxa"/>
            <w:tcBorders>
              <w:tl2br w:val="nil"/>
              <w:tr2bl w:val="nil"/>
            </w:tcBorders>
            <w:noWrap/>
            <w:tcMar>
              <w:top w:w="15" w:type="dxa"/>
              <w:left w:w="15" w:type="dxa"/>
              <w:right w:w="15" w:type="dxa"/>
            </w:tcMar>
            <w:vAlign w:val="center"/>
          </w:tcPr>
          <w:p w14:paraId="6A8EDEE5">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F927534">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个人档案</w:t>
            </w:r>
          </w:p>
        </w:tc>
        <w:tc>
          <w:tcPr>
            <w:tcW w:w="660" w:type="dxa"/>
            <w:tcBorders>
              <w:tl2br w:val="nil"/>
              <w:tr2bl w:val="nil"/>
            </w:tcBorders>
            <w:noWrap w:val="0"/>
            <w:tcMar>
              <w:top w:w="15" w:type="dxa"/>
              <w:left w:w="15" w:type="dxa"/>
              <w:right w:w="15" w:type="dxa"/>
            </w:tcMar>
            <w:vAlign w:val="center"/>
          </w:tcPr>
          <w:p w14:paraId="06543D71">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3C92DA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A8E1C92">
            <w:pPr>
              <w:widowControl/>
              <w:jc w:val="center"/>
              <w:textAlignment w:val="center"/>
              <w:rPr>
                <w:rFonts w:hint="eastAsia" w:ascii="仿宋" w:hAnsi="仿宋" w:eastAsia="仿宋" w:cs="仿宋"/>
                <w:color w:val="auto"/>
              </w:rPr>
            </w:pPr>
            <w:r>
              <w:rPr>
                <w:rFonts w:hint="eastAsia" w:ascii="仿宋" w:hAnsi="仿宋" w:eastAsia="仿宋" w:cs="仿宋"/>
                <w:color w:val="auto"/>
              </w:rPr>
              <w:t>逐人建立个性化服务档案。</w:t>
            </w:r>
          </w:p>
        </w:tc>
        <w:tc>
          <w:tcPr>
            <w:tcW w:w="3825" w:type="dxa"/>
            <w:tcBorders>
              <w:tl2br w:val="nil"/>
              <w:tr2bl w:val="nil"/>
            </w:tcBorders>
            <w:noWrap w:val="0"/>
            <w:tcMar>
              <w:top w:w="15" w:type="dxa"/>
              <w:left w:w="15" w:type="dxa"/>
              <w:right w:w="15" w:type="dxa"/>
            </w:tcMar>
            <w:vAlign w:val="center"/>
          </w:tcPr>
          <w:p w14:paraId="1C5B6B2C">
            <w:pPr>
              <w:widowControl/>
              <w:jc w:val="left"/>
              <w:textAlignment w:val="center"/>
              <w:rPr>
                <w:rFonts w:hint="eastAsia" w:ascii="仿宋" w:hAnsi="仿宋" w:eastAsia="仿宋" w:cs="仿宋"/>
                <w:color w:val="auto"/>
              </w:rPr>
            </w:pPr>
            <w:r>
              <w:rPr>
                <w:rFonts w:hint="eastAsia" w:ascii="仿宋" w:hAnsi="仿宋" w:eastAsia="仿宋" w:cs="仿宋"/>
                <w:color w:val="auto"/>
              </w:rPr>
              <w:t>按照“一人一档”要求建立残疾人个人档案，档案中有残疾人个人基本情况，进入机构前及当年体检资料，有残疾人个人康复（能力）评估、康复训练方案等资料。</w:t>
            </w:r>
          </w:p>
        </w:tc>
        <w:tc>
          <w:tcPr>
            <w:tcW w:w="3315" w:type="dxa"/>
            <w:tcBorders>
              <w:tl2br w:val="nil"/>
              <w:tr2bl w:val="nil"/>
            </w:tcBorders>
            <w:noWrap/>
            <w:tcMar>
              <w:top w:w="15" w:type="dxa"/>
              <w:left w:w="15" w:type="dxa"/>
              <w:right w:w="15" w:type="dxa"/>
            </w:tcMar>
            <w:vAlign w:val="center"/>
          </w:tcPr>
          <w:p w14:paraId="7DAABBE4">
            <w:pPr>
              <w:widowControl/>
              <w:jc w:val="both"/>
              <w:textAlignment w:val="bottom"/>
              <w:rPr>
                <w:rFonts w:hint="eastAsia" w:ascii="仿宋" w:hAnsi="仿宋" w:eastAsia="仿宋" w:cs="仿宋"/>
                <w:color w:val="auto"/>
              </w:rPr>
            </w:pPr>
            <w:r>
              <w:rPr>
                <w:rFonts w:hint="eastAsia" w:ascii="仿宋" w:hAnsi="仿宋" w:eastAsia="仿宋" w:cs="仿宋"/>
                <w:color w:val="auto"/>
              </w:rPr>
              <w:t>按“一人一档”建立个人档案，信息完整</w:t>
            </w:r>
            <w:r>
              <w:rPr>
                <w:rFonts w:hint="eastAsia" w:ascii="仿宋" w:hAnsi="仿宋" w:eastAsia="仿宋" w:cs="仿宋"/>
                <w:vanish/>
                <w:color w:val="auto"/>
              </w:rPr>
              <w:t>：3分，按“一人一档”建立个人档案，信息不够完整：2分，未建立个人档案：0分</w:t>
            </w:r>
          </w:p>
        </w:tc>
        <w:tc>
          <w:tcPr>
            <w:tcW w:w="2625" w:type="dxa"/>
            <w:tcBorders>
              <w:tl2br w:val="nil"/>
              <w:tr2bl w:val="nil"/>
            </w:tcBorders>
            <w:noWrap w:val="0"/>
            <w:tcMar>
              <w:top w:w="15" w:type="dxa"/>
              <w:left w:w="15" w:type="dxa"/>
              <w:right w:w="15" w:type="dxa"/>
            </w:tcMar>
            <w:vAlign w:val="center"/>
          </w:tcPr>
          <w:p w14:paraId="2A02A1BE">
            <w:pPr>
              <w:jc w:val="left"/>
              <w:rPr>
                <w:rFonts w:hint="eastAsia" w:ascii="仿宋" w:hAnsi="仿宋" w:eastAsia="仿宋" w:cs="仿宋"/>
                <w:color w:val="auto"/>
              </w:rPr>
            </w:pPr>
          </w:p>
        </w:tc>
      </w:tr>
      <w:tr w14:paraId="4C971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664" w:type="dxa"/>
            <w:tcBorders>
              <w:tl2br w:val="nil"/>
              <w:tr2bl w:val="nil"/>
            </w:tcBorders>
            <w:noWrap/>
            <w:tcMar>
              <w:top w:w="15" w:type="dxa"/>
              <w:left w:w="15" w:type="dxa"/>
              <w:right w:w="15" w:type="dxa"/>
            </w:tcMar>
            <w:vAlign w:val="center"/>
          </w:tcPr>
          <w:p w14:paraId="3BC9D371">
            <w:pPr>
              <w:widowControl/>
              <w:jc w:val="center"/>
              <w:textAlignment w:val="center"/>
              <w:rPr>
                <w:rFonts w:hint="eastAsia" w:ascii="仿宋" w:hAnsi="仿宋" w:eastAsia="仿宋" w:cs="仿宋"/>
                <w:color w:val="auto"/>
              </w:rPr>
            </w:pPr>
            <w:r>
              <w:rPr>
                <w:rFonts w:hint="eastAsia" w:ascii="仿宋" w:hAnsi="仿宋" w:eastAsia="仿宋" w:cs="仿宋"/>
                <w:color w:val="auto"/>
              </w:rPr>
              <w:t>30</w:t>
            </w:r>
          </w:p>
        </w:tc>
        <w:tc>
          <w:tcPr>
            <w:tcW w:w="902" w:type="dxa"/>
            <w:tcBorders>
              <w:tl2br w:val="nil"/>
              <w:tr2bl w:val="nil"/>
            </w:tcBorders>
            <w:noWrap/>
            <w:tcMar>
              <w:top w:w="15" w:type="dxa"/>
              <w:left w:w="15" w:type="dxa"/>
              <w:right w:w="15" w:type="dxa"/>
            </w:tcMar>
            <w:vAlign w:val="center"/>
          </w:tcPr>
          <w:p w14:paraId="1CAE7543">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7A17FB5">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工作日志</w:t>
            </w:r>
          </w:p>
        </w:tc>
        <w:tc>
          <w:tcPr>
            <w:tcW w:w="660" w:type="dxa"/>
            <w:tcBorders>
              <w:tl2br w:val="nil"/>
              <w:tr2bl w:val="nil"/>
            </w:tcBorders>
            <w:noWrap w:val="0"/>
            <w:tcMar>
              <w:top w:w="15" w:type="dxa"/>
              <w:left w:w="15" w:type="dxa"/>
              <w:right w:w="15" w:type="dxa"/>
            </w:tcMar>
            <w:vAlign w:val="center"/>
          </w:tcPr>
          <w:p w14:paraId="3DFAF156">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514E96C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0BD3598">
            <w:pPr>
              <w:widowControl/>
              <w:jc w:val="center"/>
              <w:textAlignment w:val="center"/>
              <w:rPr>
                <w:rFonts w:hint="eastAsia" w:ascii="仿宋" w:hAnsi="仿宋" w:eastAsia="仿宋" w:cs="仿宋"/>
                <w:color w:val="auto"/>
              </w:rPr>
            </w:pPr>
            <w:r>
              <w:rPr>
                <w:rFonts w:hint="eastAsia" w:ascii="仿宋" w:hAnsi="仿宋" w:eastAsia="仿宋" w:cs="仿宋"/>
                <w:color w:val="auto"/>
              </w:rPr>
              <w:t>建立管理和服务工作记录。</w:t>
            </w:r>
          </w:p>
        </w:tc>
        <w:tc>
          <w:tcPr>
            <w:tcW w:w="3825" w:type="dxa"/>
            <w:tcBorders>
              <w:tl2br w:val="nil"/>
              <w:tr2bl w:val="nil"/>
            </w:tcBorders>
            <w:noWrap w:val="0"/>
            <w:tcMar>
              <w:top w:w="15" w:type="dxa"/>
              <w:left w:w="15" w:type="dxa"/>
              <w:right w:w="15" w:type="dxa"/>
            </w:tcMar>
            <w:vAlign w:val="center"/>
          </w:tcPr>
          <w:p w14:paraId="56EE0EFC">
            <w:pPr>
              <w:widowControl/>
              <w:jc w:val="left"/>
              <w:textAlignment w:val="center"/>
              <w:rPr>
                <w:rFonts w:hint="eastAsia" w:ascii="仿宋" w:hAnsi="仿宋" w:eastAsia="仿宋" w:cs="仿宋"/>
                <w:color w:val="auto"/>
              </w:rPr>
            </w:pPr>
            <w:r>
              <w:rPr>
                <w:rFonts w:hint="eastAsia" w:ascii="仿宋" w:hAnsi="仿宋" w:eastAsia="仿宋" w:cs="仿宋"/>
                <w:color w:val="auto"/>
              </w:rPr>
              <w:t>按照“一日一志”要求建立工作记录，有每日管理服务开展情况，各类人员出勤及请销假情况，各项非日常活动（党团共建、志愿服务、社会活动、检查考核等）、特殊事件（如意外及安全事件等）及其他必要的信息记录。</w:t>
            </w:r>
          </w:p>
        </w:tc>
        <w:tc>
          <w:tcPr>
            <w:tcW w:w="3315" w:type="dxa"/>
            <w:tcBorders>
              <w:tl2br w:val="nil"/>
              <w:tr2bl w:val="nil"/>
            </w:tcBorders>
            <w:noWrap/>
            <w:tcMar>
              <w:top w:w="15" w:type="dxa"/>
              <w:left w:w="15" w:type="dxa"/>
              <w:right w:w="15" w:type="dxa"/>
            </w:tcMar>
            <w:vAlign w:val="center"/>
          </w:tcPr>
          <w:p w14:paraId="30ECDC81">
            <w:pPr>
              <w:widowControl/>
              <w:jc w:val="both"/>
              <w:textAlignment w:val="bottom"/>
              <w:rPr>
                <w:rFonts w:hint="eastAsia" w:ascii="仿宋" w:hAnsi="仿宋" w:eastAsia="仿宋" w:cs="仿宋"/>
                <w:color w:val="auto"/>
              </w:rPr>
            </w:pPr>
            <w:r>
              <w:rPr>
                <w:rFonts w:hint="eastAsia" w:ascii="仿宋" w:hAnsi="仿宋" w:eastAsia="仿宋" w:cs="仿宋"/>
                <w:color w:val="auto"/>
              </w:rPr>
              <w:t>按照“一日一志”要求建立台账，信息完</w:t>
            </w:r>
            <w:r>
              <w:rPr>
                <w:rFonts w:hint="eastAsia" w:ascii="仿宋" w:hAnsi="仿宋" w:eastAsia="仿宋" w:cs="仿宋"/>
                <w:vanish/>
                <w:color w:val="auto"/>
              </w:rPr>
              <w:t>整：3分，未按照“一日一志”要求建立台账，信息不够完整：1分，未建台账：0分</w:t>
            </w:r>
          </w:p>
        </w:tc>
        <w:tc>
          <w:tcPr>
            <w:tcW w:w="2625" w:type="dxa"/>
            <w:tcBorders>
              <w:tl2br w:val="nil"/>
              <w:tr2bl w:val="nil"/>
            </w:tcBorders>
            <w:noWrap w:val="0"/>
            <w:tcMar>
              <w:top w:w="15" w:type="dxa"/>
              <w:left w:w="15" w:type="dxa"/>
              <w:right w:w="15" w:type="dxa"/>
            </w:tcMar>
            <w:vAlign w:val="center"/>
          </w:tcPr>
          <w:p w14:paraId="618C856D">
            <w:pPr>
              <w:widowControl/>
              <w:jc w:val="left"/>
              <w:textAlignment w:val="center"/>
              <w:rPr>
                <w:rFonts w:hint="eastAsia" w:ascii="仿宋" w:hAnsi="仿宋" w:eastAsia="仿宋" w:cs="仿宋"/>
                <w:color w:val="auto"/>
              </w:rPr>
            </w:pPr>
            <w:r>
              <w:rPr>
                <w:rFonts w:hint="eastAsia" w:ascii="仿宋" w:hAnsi="仿宋" w:eastAsia="仿宋" w:cs="仿宋"/>
                <w:color w:val="auto"/>
              </w:rPr>
              <w:t>注：生活照料、技能培训、康复训练、文体活动、辅助性就业以及晨检等例行事项，宜通过月或周计划明确，每日工作记录中可简化记录的形式和内容。</w:t>
            </w:r>
          </w:p>
        </w:tc>
      </w:tr>
      <w:tr w14:paraId="636A4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C681D9A">
            <w:pPr>
              <w:widowControl/>
              <w:jc w:val="center"/>
              <w:textAlignment w:val="center"/>
              <w:rPr>
                <w:rFonts w:hint="eastAsia" w:ascii="仿宋" w:hAnsi="仿宋" w:eastAsia="仿宋" w:cs="仿宋"/>
                <w:color w:val="auto"/>
              </w:rPr>
            </w:pPr>
            <w:r>
              <w:rPr>
                <w:rFonts w:hint="eastAsia" w:ascii="仿宋" w:hAnsi="仿宋" w:eastAsia="仿宋" w:cs="仿宋"/>
                <w:color w:val="auto"/>
              </w:rPr>
              <w:t>31</w:t>
            </w:r>
          </w:p>
        </w:tc>
        <w:tc>
          <w:tcPr>
            <w:tcW w:w="902" w:type="dxa"/>
            <w:tcBorders>
              <w:tl2br w:val="nil"/>
              <w:tr2bl w:val="nil"/>
            </w:tcBorders>
            <w:noWrap/>
            <w:tcMar>
              <w:top w:w="15" w:type="dxa"/>
              <w:left w:w="15" w:type="dxa"/>
              <w:right w:w="15" w:type="dxa"/>
            </w:tcMar>
            <w:vAlign w:val="center"/>
          </w:tcPr>
          <w:p w14:paraId="2006884F">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9A45F4F">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消防安全</w:t>
            </w:r>
          </w:p>
        </w:tc>
        <w:tc>
          <w:tcPr>
            <w:tcW w:w="660" w:type="dxa"/>
            <w:tcBorders>
              <w:tl2br w:val="nil"/>
              <w:tr2bl w:val="nil"/>
            </w:tcBorders>
            <w:noWrap w:val="0"/>
            <w:tcMar>
              <w:top w:w="15" w:type="dxa"/>
              <w:left w:w="15" w:type="dxa"/>
              <w:right w:w="15" w:type="dxa"/>
            </w:tcMar>
            <w:vAlign w:val="center"/>
          </w:tcPr>
          <w:p w14:paraId="6BB03BB0">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3805EC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41FA97C">
            <w:pPr>
              <w:widowControl/>
              <w:jc w:val="center"/>
              <w:textAlignment w:val="center"/>
              <w:rPr>
                <w:rFonts w:hint="eastAsia" w:ascii="仿宋" w:hAnsi="仿宋" w:eastAsia="仿宋" w:cs="仿宋"/>
                <w:color w:val="auto"/>
              </w:rPr>
            </w:pPr>
            <w:r>
              <w:rPr>
                <w:rFonts w:hint="eastAsia" w:ascii="仿宋" w:hAnsi="仿宋" w:eastAsia="仿宋" w:cs="仿宋"/>
                <w:color w:val="auto"/>
              </w:rPr>
              <w:t>符合消防安全方面的要求。</w:t>
            </w:r>
          </w:p>
        </w:tc>
        <w:tc>
          <w:tcPr>
            <w:tcW w:w="3825" w:type="dxa"/>
            <w:tcBorders>
              <w:tl2br w:val="nil"/>
              <w:tr2bl w:val="nil"/>
            </w:tcBorders>
            <w:noWrap w:val="0"/>
            <w:tcMar>
              <w:top w:w="15" w:type="dxa"/>
              <w:left w:w="15" w:type="dxa"/>
              <w:right w:w="15" w:type="dxa"/>
            </w:tcMar>
            <w:vAlign w:val="center"/>
          </w:tcPr>
          <w:p w14:paraId="578D1AF2">
            <w:pPr>
              <w:widowControl/>
              <w:jc w:val="left"/>
              <w:textAlignment w:val="center"/>
              <w:rPr>
                <w:rFonts w:hint="eastAsia" w:ascii="仿宋" w:hAnsi="仿宋" w:eastAsia="仿宋" w:cs="仿宋"/>
                <w:color w:val="auto"/>
              </w:rPr>
            </w:pPr>
            <w:r>
              <w:rPr>
                <w:rFonts w:hint="eastAsia" w:ascii="仿宋" w:hAnsi="仿宋" w:eastAsia="仿宋" w:cs="仿宋"/>
                <w:color w:val="auto"/>
              </w:rPr>
              <w:t>通过消防验收、有消防备案或消防安全合格证书等，每年定期开展或接受消防检查，每年开展消防安全演练（含学习）不少于2次，消防设施设备和安全通道标识良好（无超期失效情况）。</w:t>
            </w:r>
          </w:p>
        </w:tc>
        <w:tc>
          <w:tcPr>
            <w:tcW w:w="3315" w:type="dxa"/>
            <w:tcBorders>
              <w:tl2br w:val="nil"/>
              <w:tr2bl w:val="nil"/>
            </w:tcBorders>
            <w:noWrap w:val="0"/>
            <w:tcMar>
              <w:top w:w="15" w:type="dxa"/>
              <w:left w:w="15" w:type="dxa"/>
              <w:right w:w="15" w:type="dxa"/>
            </w:tcMar>
            <w:vAlign w:val="center"/>
          </w:tcPr>
          <w:p w14:paraId="4203ED1B">
            <w:pPr>
              <w:widowControl/>
              <w:textAlignment w:val="center"/>
              <w:rPr>
                <w:rFonts w:hint="eastAsia" w:ascii="仿宋" w:hAnsi="仿宋" w:eastAsia="仿宋" w:cs="仿宋"/>
                <w:color w:val="auto"/>
              </w:rPr>
            </w:pPr>
            <w:r>
              <w:rPr>
                <w:rFonts w:hint="eastAsia" w:ascii="仿宋" w:hAnsi="仿宋" w:eastAsia="仿宋" w:cs="仿宋"/>
                <w:color w:val="auto"/>
              </w:rPr>
              <w:t>符合规定得1分；不开展不得分。</w:t>
            </w:r>
          </w:p>
        </w:tc>
        <w:tc>
          <w:tcPr>
            <w:tcW w:w="2625" w:type="dxa"/>
            <w:tcBorders>
              <w:tl2br w:val="nil"/>
              <w:tr2bl w:val="nil"/>
            </w:tcBorders>
            <w:noWrap w:val="0"/>
            <w:tcMar>
              <w:top w:w="15" w:type="dxa"/>
              <w:left w:w="15" w:type="dxa"/>
              <w:right w:w="15" w:type="dxa"/>
            </w:tcMar>
            <w:vAlign w:val="center"/>
          </w:tcPr>
          <w:p w14:paraId="543B540F">
            <w:pPr>
              <w:jc w:val="left"/>
              <w:rPr>
                <w:rFonts w:hint="eastAsia" w:ascii="仿宋" w:hAnsi="仿宋" w:eastAsia="仿宋" w:cs="仿宋"/>
                <w:color w:val="auto"/>
              </w:rPr>
            </w:pPr>
          </w:p>
        </w:tc>
      </w:tr>
      <w:tr w14:paraId="36726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70F81DCA">
            <w:pPr>
              <w:widowControl/>
              <w:jc w:val="center"/>
              <w:textAlignment w:val="center"/>
              <w:rPr>
                <w:rFonts w:hint="eastAsia" w:ascii="仿宋" w:hAnsi="仿宋" w:eastAsia="仿宋" w:cs="仿宋"/>
                <w:color w:val="auto"/>
              </w:rPr>
            </w:pPr>
            <w:r>
              <w:rPr>
                <w:rFonts w:hint="eastAsia" w:ascii="仿宋" w:hAnsi="仿宋" w:eastAsia="仿宋" w:cs="仿宋"/>
                <w:color w:val="auto"/>
              </w:rPr>
              <w:t>32</w:t>
            </w:r>
          </w:p>
        </w:tc>
        <w:tc>
          <w:tcPr>
            <w:tcW w:w="902" w:type="dxa"/>
            <w:tcBorders>
              <w:tl2br w:val="nil"/>
              <w:tr2bl w:val="nil"/>
            </w:tcBorders>
            <w:noWrap/>
            <w:tcMar>
              <w:top w:w="15" w:type="dxa"/>
              <w:left w:w="15" w:type="dxa"/>
              <w:right w:w="15" w:type="dxa"/>
            </w:tcMar>
            <w:vAlign w:val="center"/>
          </w:tcPr>
          <w:p w14:paraId="22C32D6B">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204811C8">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应急管理</w:t>
            </w:r>
          </w:p>
        </w:tc>
        <w:tc>
          <w:tcPr>
            <w:tcW w:w="660" w:type="dxa"/>
            <w:tcBorders>
              <w:tl2br w:val="nil"/>
              <w:tr2bl w:val="nil"/>
            </w:tcBorders>
            <w:noWrap w:val="0"/>
            <w:tcMar>
              <w:top w:w="15" w:type="dxa"/>
              <w:left w:w="15" w:type="dxa"/>
              <w:right w:w="15" w:type="dxa"/>
            </w:tcMar>
            <w:vAlign w:val="center"/>
          </w:tcPr>
          <w:p w14:paraId="3F2F7818">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07ABD57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89BBA49">
            <w:pPr>
              <w:widowControl/>
              <w:jc w:val="center"/>
              <w:textAlignment w:val="center"/>
              <w:rPr>
                <w:rFonts w:hint="eastAsia" w:ascii="仿宋" w:hAnsi="仿宋" w:eastAsia="仿宋" w:cs="仿宋"/>
                <w:color w:val="auto"/>
              </w:rPr>
            </w:pPr>
            <w:r>
              <w:rPr>
                <w:rFonts w:hint="eastAsia" w:ascii="仿宋" w:hAnsi="仿宋" w:eastAsia="仿宋" w:cs="仿宋"/>
                <w:color w:val="auto"/>
              </w:rPr>
              <w:t>有应急事件处置预案并定期演练。</w:t>
            </w:r>
          </w:p>
        </w:tc>
        <w:tc>
          <w:tcPr>
            <w:tcW w:w="3825" w:type="dxa"/>
            <w:tcBorders>
              <w:tl2br w:val="nil"/>
              <w:tr2bl w:val="nil"/>
            </w:tcBorders>
            <w:noWrap w:val="0"/>
            <w:tcMar>
              <w:top w:w="15" w:type="dxa"/>
              <w:left w:w="15" w:type="dxa"/>
              <w:right w:w="15" w:type="dxa"/>
            </w:tcMar>
            <w:vAlign w:val="center"/>
          </w:tcPr>
          <w:p w14:paraId="42A90489">
            <w:pPr>
              <w:widowControl/>
              <w:jc w:val="left"/>
              <w:textAlignment w:val="center"/>
              <w:rPr>
                <w:rFonts w:hint="eastAsia" w:ascii="仿宋" w:hAnsi="仿宋" w:eastAsia="仿宋" w:cs="仿宋"/>
                <w:color w:val="auto"/>
              </w:rPr>
            </w:pPr>
            <w:r>
              <w:rPr>
                <w:rFonts w:hint="eastAsia" w:ascii="仿宋" w:hAnsi="仿宋" w:eastAsia="仿宋" w:cs="仿宋"/>
                <w:color w:val="auto"/>
              </w:rPr>
              <w:t>有残疾人走失、意外伤害、工伤事件、突发疾病、情绪（精神）失控、火灾等应急（安全）事件处置预案，应急（安全）事件处置方法流程清晰，每季度有应急（安全）事件（宜为不同方面）处置演练。</w:t>
            </w:r>
          </w:p>
        </w:tc>
        <w:tc>
          <w:tcPr>
            <w:tcW w:w="3315" w:type="dxa"/>
            <w:tcBorders>
              <w:tl2br w:val="nil"/>
              <w:tr2bl w:val="nil"/>
            </w:tcBorders>
            <w:noWrap w:val="0"/>
            <w:tcMar>
              <w:top w:w="15" w:type="dxa"/>
              <w:left w:w="15" w:type="dxa"/>
              <w:right w:w="15" w:type="dxa"/>
            </w:tcMar>
            <w:vAlign w:val="center"/>
          </w:tcPr>
          <w:p w14:paraId="36192046">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406BE9D5">
            <w:pPr>
              <w:jc w:val="left"/>
              <w:rPr>
                <w:rFonts w:hint="eastAsia" w:ascii="仿宋" w:hAnsi="仿宋" w:eastAsia="仿宋" w:cs="仿宋"/>
                <w:color w:val="auto"/>
              </w:rPr>
            </w:pPr>
          </w:p>
        </w:tc>
      </w:tr>
      <w:tr w14:paraId="38DEF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93DE9AD">
            <w:pPr>
              <w:widowControl/>
              <w:jc w:val="center"/>
              <w:textAlignment w:val="center"/>
              <w:rPr>
                <w:rFonts w:hint="eastAsia" w:ascii="仿宋" w:hAnsi="仿宋" w:eastAsia="仿宋" w:cs="仿宋"/>
                <w:color w:val="auto"/>
              </w:rPr>
            </w:pPr>
            <w:r>
              <w:rPr>
                <w:rFonts w:hint="eastAsia" w:ascii="仿宋" w:hAnsi="仿宋" w:eastAsia="仿宋" w:cs="仿宋"/>
                <w:color w:val="auto"/>
              </w:rPr>
              <w:t>33</w:t>
            </w:r>
          </w:p>
        </w:tc>
        <w:tc>
          <w:tcPr>
            <w:tcW w:w="902" w:type="dxa"/>
            <w:tcBorders>
              <w:tl2br w:val="nil"/>
              <w:tr2bl w:val="nil"/>
            </w:tcBorders>
            <w:noWrap/>
            <w:tcMar>
              <w:top w:w="15" w:type="dxa"/>
              <w:left w:w="15" w:type="dxa"/>
              <w:right w:w="15" w:type="dxa"/>
            </w:tcMar>
            <w:vAlign w:val="center"/>
          </w:tcPr>
          <w:p w14:paraId="3FEBF18F">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B9DD7AB">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预防意外</w:t>
            </w:r>
          </w:p>
        </w:tc>
        <w:tc>
          <w:tcPr>
            <w:tcW w:w="660" w:type="dxa"/>
            <w:tcBorders>
              <w:tl2br w:val="nil"/>
              <w:tr2bl w:val="nil"/>
            </w:tcBorders>
            <w:noWrap w:val="0"/>
            <w:tcMar>
              <w:top w:w="15" w:type="dxa"/>
              <w:left w:w="15" w:type="dxa"/>
              <w:right w:w="15" w:type="dxa"/>
            </w:tcMar>
            <w:vAlign w:val="center"/>
          </w:tcPr>
          <w:p w14:paraId="37A4F5F6">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197FA3F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C018E78">
            <w:pPr>
              <w:widowControl/>
              <w:jc w:val="center"/>
              <w:textAlignment w:val="center"/>
              <w:rPr>
                <w:rFonts w:hint="eastAsia" w:ascii="仿宋" w:hAnsi="仿宋" w:eastAsia="仿宋" w:cs="仿宋"/>
                <w:color w:val="auto"/>
              </w:rPr>
            </w:pPr>
            <w:r>
              <w:rPr>
                <w:rFonts w:hint="eastAsia" w:ascii="仿宋" w:hAnsi="仿宋" w:eastAsia="仿宋" w:cs="仿宋"/>
                <w:color w:val="auto"/>
              </w:rPr>
              <w:t>有预防意外事件发生的措施。</w:t>
            </w:r>
          </w:p>
        </w:tc>
        <w:tc>
          <w:tcPr>
            <w:tcW w:w="3825" w:type="dxa"/>
            <w:tcBorders>
              <w:tl2br w:val="nil"/>
              <w:tr2bl w:val="nil"/>
            </w:tcBorders>
            <w:noWrap w:val="0"/>
            <w:tcMar>
              <w:top w:w="15" w:type="dxa"/>
              <w:left w:w="15" w:type="dxa"/>
              <w:right w:w="15" w:type="dxa"/>
            </w:tcMar>
            <w:vAlign w:val="center"/>
          </w:tcPr>
          <w:p w14:paraId="2CAD5E31">
            <w:pPr>
              <w:widowControl/>
              <w:jc w:val="left"/>
              <w:textAlignment w:val="center"/>
              <w:rPr>
                <w:rFonts w:hint="eastAsia" w:ascii="仿宋" w:hAnsi="仿宋" w:eastAsia="仿宋" w:cs="仿宋"/>
                <w:color w:val="auto"/>
              </w:rPr>
            </w:pPr>
            <w:r>
              <w:rPr>
                <w:rFonts w:hint="eastAsia" w:ascii="仿宋" w:hAnsi="仿宋" w:eastAsia="仿宋" w:cs="仿宋"/>
                <w:color w:val="auto"/>
              </w:rPr>
              <w:t>卫生间及浴室有防滑措施，各类设施设备锐角经安全处理，扶手类设施稳固，刀剪等锐器管理规范，水电设施防护到位。</w:t>
            </w:r>
          </w:p>
        </w:tc>
        <w:tc>
          <w:tcPr>
            <w:tcW w:w="3315" w:type="dxa"/>
            <w:tcBorders>
              <w:tl2br w:val="nil"/>
              <w:tr2bl w:val="nil"/>
            </w:tcBorders>
            <w:noWrap w:val="0"/>
            <w:tcMar>
              <w:top w:w="15" w:type="dxa"/>
              <w:left w:w="15" w:type="dxa"/>
              <w:right w:w="15" w:type="dxa"/>
            </w:tcMar>
            <w:vAlign w:val="center"/>
          </w:tcPr>
          <w:p w14:paraId="3F288167">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3EEF544C">
            <w:pPr>
              <w:jc w:val="left"/>
              <w:rPr>
                <w:rFonts w:hint="eastAsia" w:ascii="仿宋" w:hAnsi="仿宋" w:eastAsia="仿宋" w:cs="仿宋"/>
                <w:color w:val="auto"/>
              </w:rPr>
            </w:pPr>
          </w:p>
        </w:tc>
      </w:tr>
      <w:tr w14:paraId="34FE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419A7776">
            <w:pPr>
              <w:widowControl/>
              <w:jc w:val="center"/>
              <w:textAlignment w:val="center"/>
              <w:rPr>
                <w:rFonts w:hint="eastAsia" w:ascii="仿宋" w:hAnsi="仿宋" w:eastAsia="仿宋" w:cs="仿宋"/>
                <w:color w:val="auto"/>
              </w:rPr>
            </w:pPr>
            <w:r>
              <w:rPr>
                <w:rFonts w:hint="eastAsia" w:ascii="仿宋" w:hAnsi="仿宋" w:eastAsia="仿宋" w:cs="仿宋"/>
                <w:color w:val="auto"/>
              </w:rPr>
              <w:t>34</w:t>
            </w:r>
          </w:p>
        </w:tc>
        <w:tc>
          <w:tcPr>
            <w:tcW w:w="902" w:type="dxa"/>
            <w:tcBorders>
              <w:tl2br w:val="nil"/>
              <w:tr2bl w:val="nil"/>
            </w:tcBorders>
            <w:noWrap/>
            <w:tcMar>
              <w:top w:w="15" w:type="dxa"/>
              <w:left w:w="15" w:type="dxa"/>
              <w:right w:w="15" w:type="dxa"/>
            </w:tcMar>
            <w:vAlign w:val="center"/>
          </w:tcPr>
          <w:p w14:paraId="23702F6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28154789">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资金使用</w:t>
            </w:r>
          </w:p>
        </w:tc>
        <w:tc>
          <w:tcPr>
            <w:tcW w:w="660" w:type="dxa"/>
            <w:tcBorders>
              <w:tl2br w:val="nil"/>
              <w:tr2bl w:val="nil"/>
            </w:tcBorders>
            <w:noWrap w:val="0"/>
            <w:tcMar>
              <w:top w:w="15" w:type="dxa"/>
              <w:left w:w="15" w:type="dxa"/>
              <w:right w:w="15" w:type="dxa"/>
            </w:tcMar>
            <w:vAlign w:val="center"/>
          </w:tcPr>
          <w:p w14:paraId="2428C54A">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63B09E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CE64965">
            <w:pPr>
              <w:widowControl/>
              <w:jc w:val="center"/>
              <w:textAlignment w:val="center"/>
              <w:rPr>
                <w:rFonts w:hint="eastAsia" w:ascii="仿宋" w:hAnsi="仿宋" w:eastAsia="仿宋" w:cs="仿宋"/>
                <w:color w:val="auto"/>
              </w:rPr>
            </w:pPr>
            <w:r>
              <w:rPr>
                <w:rFonts w:hint="eastAsia" w:ascii="仿宋" w:hAnsi="仿宋" w:eastAsia="仿宋" w:cs="仿宋"/>
                <w:color w:val="auto"/>
              </w:rPr>
              <w:t>资金使用合理，管理规范。</w:t>
            </w:r>
          </w:p>
        </w:tc>
        <w:tc>
          <w:tcPr>
            <w:tcW w:w="3825" w:type="dxa"/>
            <w:tcBorders>
              <w:tl2br w:val="nil"/>
              <w:tr2bl w:val="nil"/>
            </w:tcBorders>
            <w:noWrap w:val="0"/>
            <w:tcMar>
              <w:top w:w="15" w:type="dxa"/>
              <w:left w:w="15" w:type="dxa"/>
              <w:right w:w="15" w:type="dxa"/>
            </w:tcMar>
            <w:vAlign w:val="center"/>
          </w:tcPr>
          <w:p w14:paraId="75EA887D">
            <w:pPr>
              <w:widowControl/>
              <w:jc w:val="left"/>
              <w:textAlignment w:val="center"/>
              <w:rPr>
                <w:rFonts w:hint="eastAsia" w:ascii="仿宋" w:hAnsi="仿宋" w:eastAsia="仿宋" w:cs="仿宋"/>
                <w:color w:val="auto"/>
              </w:rPr>
            </w:pPr>
            <w:r>
              <w:rPr>
                <w:rFonts w:hint="eastAsia" w:ascii="仿宋" w:hAnsi="仿宋" w:eastAsia="仿宋" w:cs="仿宋"/>
                <w:color w:val="auto"/>
              </w:rPr>
              <w:t>政府补助、社会捐赠等资金使用合理，账目记录规范，收支平衡，合法合规。</w:t>
            </w:r>
          </w:p>
        </w:tc>
        <w:tc>
          <w:tcPr>
            <w:tcW w:w="3315" w:type="dxa"/>
            <w:tcBorders>
              <w:tl2br w:val="nil"/>
              <w:tr2bl w:val="nil"/>
            </w:tcBorders>
            <w:noWrap w:val="0"/>
            <w:tcMar>
              <w:top w:w="15" w:type="dxa"/>
              <w:left w:w="15" w:type="dxa"/>
              <w:right w:w="15" w:type="dxa"/>
            </w:tcMar>
            <w:vAlign w:val="center"/>
          </w:tcPr>
          <w:p w14:paraId="27EB1BD8">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2E2A1B5C">
            <w:pPr>
              <w:jc w:val="left"/>
              <w:rPr>
                <w:rFonts w:hint="eastAsia" w:ascii="仿宋" w:hAnsi="仿宋" w:eastAsia="仿宋" w:cs="仿宋"/>
                <w:color w:val="auto"/>
              </w:rPr>
            </w:pPr>
          </w:p>
        </w:tc>
      </w:tr>
      <w:tr w14:paraId="160A6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6758B3C3">
            <w:pPr>
              <w:widowControl/>
              <w:jc w:val="center"/>
              <w:textAlignment w:val="center"/>
              <w:rPr>
                <w:rFonts w:hint="eastAsia" w:ascii="仿宋" w:hAnsi="仿宋" w:eastAsia="仿宋" w:cs="仿宋"/>
                <w:color w:val="auto"/>
              </w:rPr>
            </w:pPr>
            <w:r>
              <w:rPr>
                <w:rFonts w:hint="eastAsia" w:ascii="仿宋" w:hAnsi="仿宋" w:eastAsia="仿宋" w:cs="仿宋"/>
                <w:color w:val="auto"/>
              </w:rPr>
              <w:t>35</w:t>
            </w:r>
          </w:p>
        </w:tc>
        <w:tc>
          <w:tcPr>
            <w:tcW w:w="902" w:type="dxa"/>
            <w:tcBorders>
              <w:tl2br w:val="nil"/>
              <w:tr2bl w:val="nil"/>
            </w:tcBorders>
            <w:noWrap/>
            <w:tcMar>
              <w:top w:w="15" w:type="dxa"/>
              <w:left w:w="15" w:type="dxa"/>
              <w:right w:w="15" w:type="dxa"/>
            </w:tcMar>
            <w:vAlign w:val="center"/>
          </w:tcPr>
          <w:p w14:paraId="61451796">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1F04197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数字化运用</w:t>
            </w:r>
          </w:p>
        </w:tc>
        <w:tc>
          <w:tcPr>
            <w:tcW w:w="660" w:type="dxa"/>
            <w:tcBorders>
              <w:tl2br w:val="nil"/>
              <w:tr2bl w:val="nil"/>
            </w:tcBorders>
            <w:noWrap w:val="0"/>
            <w:tcMar>
              <w:top w:w="15" w:type="dxa"/>
              <w:left w:w="15" w:type="dxa"/>
              <w:right w:w="15" w:type="dxa"/>
            </w:tcMar>
            <w:vAlign w:val="center"/>
          </w:tcPr>
          <w:p w14:paraId="3200022F">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234F4AE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3C97DA1">
            <w:pPr>
              <w:widowControl/>
              <w:jc w:val="center"/>
              <w:textAlignment w:val="center"/>
              <w:rPr>
                <w:rFonts w:hint="eastAsia" w:ascii="仿宋" w:hAnsi="仿宋" w:eastAsia="仿宋" w:cs="仿宋"/>
                <w:color w:val="auto"/>
              </w:rPr>
            </w:pPr>
            <w:r>
              <w:rPr>
                <w:rFonts w:hint="eastAsia" w:ascii="仿宋" w:hAnsi="仿宋" w:eastAsia="仿宋" w:cs="仿宋"/>
                <w:color w:val="auto"/>
              </w:rPr>
              <w:t>运用数字化手段开展管理。</w:t>
            </w:r>
          </w:p>
        </w:tc>
        <w:tc>
          <w:tcPr>
            <w:tcW w:w="3825" w:type="dxa"/>
            <w:tcBorders>
              <w:tl2br w:val="nil"/>
              <w:tr2bl w:val="nil"/>
            </w:tcBorders>
            <w:noWrap w:val="0"/>
            <w:tcMar>
              <w:top w:w="15" w:type="dxa"/>
              <w:left w:w="15" w:type="dxa"/>
              <w:right w:w="15" w:type="dxa"/>
            </w:tcMar>
            <w:vAlign w:val="center"/>
          </w:tcPr>
          <w:p w14:paraId="161AB5A2">
            <w:pPr>
              <w:widowControl/>
              <w:jc w:val="left"/>
              <w:textAlignment w:val="center"/>
              <w:rPr>
                <w:rFonts w:hint="eastAsia" w:ascii="仿宋" w:hAnsi="仿宋" w:eastAsia="仿宋" w:cs="仿宋"/>
                <w:color w:val="auto"/>
              </w:rPr>
            </w:pPr>
            <w:r>
              <w:rPr>
                <w:rFonts w:hint="eastAsia" w:ascii="仿宋" w:hAnsi="仿宋" w:eastAsia="仿宋" w:cs="仿宋"/>
                <w:color w:val="auto"/>
              </w:rPr>
              <w:t>实现数字化考勤（考勤信息即时更新，能够远程在线查询），较好运用数字化管理服务系统。</w:t>
            </w:r>
          </w:p>
        </w:tc>
        <w:tc>
          <w:tcPr>
            <w:tcW w:w="3315" w:type="dxa"/>
            <w:tcBorders>
              <w:tl2br w:val="nil"/>
              <w:tr2bl w:val="nil"/>
            </w:tcBorders>
            <w:noWrap w:val="0"/>
            <w:tcMar>
              <w:top w:w="15" w:type="dxa"/>
              <w:left w:w="15" w:type="dxa"/>
              <w:right w:w="15" w:type="dxa"/>
            </w:tcMar>
            <w:vAlign w:val="center"/>
          </w:tcPr>
          <w:p w14:paraId="646D9C3D">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59529144">
            <w:pPr>
              <w:jc w:val="left"/>
              <w:rPr>
                <w:rFonts w:hint="eastAsia" w:ascii="仿宋" w:hAnsi="仿宋" w:eastAsia="仿宋" w:cs="仿宋"/>
                <w:color w:val="auto"/>
              </w:rPr>
            </w:pPr>
          </w:p>
        </w:tc>
      </w:tr>
      <w:tr w14:paraId="6B848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664" w:type="dxa"/>
            <w:tcBorders>
              <w:tl2br w:val="nil"/>
              <w:tr2bl w:val="nil"/>
            </w:tcBorders>
            <w:noWrap/>
            <w:tcMar>
              <w:top w:w="15" w:type="dxa"/>
              <w:left w:w="15" w:type="dxa"/>
              <w:right w:w="15" w:type="dxa"/>
            </w:tcMar>
            <w:vAlign w:val="center"/>
          </w:tcPr>
          <w:p w14:paraId="77EB4DD6">
            <w:pPr>
              <w:widowControl/>
              <w:jc w:val="center"/>
              <w:textAlignment w:val="center"/>
              <w:rPr>
                <w:rFonts w:hint="eastAsia" w:ascii="仿宋" w:hAnsi="仿宋" w:eastAsia="仿宋" w:cs="仿宋"/>
                <w:color w:val="auto"/>
              </w:rPr>
            </w:pPr>
            <w:r>
              <w:rPr>
                <w:rFonts w:hint="eastAsia" w:ascii="仿宋" w:hAnsi="仿宋" w:eastAsia="仿宋" w:cs="仿宋"/>
                <w:color w:val="auto"/>
              </w:rPr>
              <w:t>36</w:t>
            </w:r>
          </w:p>
        </w:tc>
        <w:tc>
          <w:tcPr>
            <w:tcW w:w="902" w:type="dxa"/>
            <w:tcBorders>
              <w:tl2br w:val="nil"/>
              <w:tr2bl w:val="nil"/>
            </w:tcBorders>
            <w:noWrap/>
            <w:tcMar>
              <w:top w:w="15" w:type="dxa"/>
              <w:left w:w="15" w:type="dxa"/>
              <w:right w:w="15" w:type="dxa"/>
            </w:tcMar>
            <w:vAlign w:val="center"/>
          </w:tcPr>
          <w:p w14:paraId="72E836F2">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747A8B3">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庇护人员核查</w:t>
            </w:r>
          </w:p>
        </w:tc>
        <w:tc>
          <w:tcPr>
            <w:tcW w:w="660" w:type="dxa"/>
            <w:tcBorders>
              <w:tl2br w:val="nil"/>
              <w:tr2bl w:val="nil"/>
            </w:tcBorders>
            <w:noWrap w:val="0"/>
            <w:tcMar>
              <w:top w:w="15" w:type="dxa"/>
              <w:left w:w="15" w:type="dxa"/>
              <w:right w:w="15" w:type="dxa"/>
            </w:tcMar>
            <w:vAlign w:val="center"/>
          </w:tcPr>
          <w:p w14:paraId="6807C9C3">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4491BE1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9C19A2B">
            <w:pPr>
              <w:widowControl/>
              <w:jc w:val="center"/>
              <w:textAlignment w:val="center"/>
              <w:rPr>
                <w:rFonts w:hint="eastAsia" w:ascii="仿宋" w:hAnsi="仿宋" w:eastAsia="仿宋" w:cs="仿宋"/>
                <w:color w:val="auto"/>
              </w:rPr>
            </w:pPr>
            <w:r>
              <w:rPr>
                <w:rFonts w:hint="eastAsia" w:ascii="仿宋" w:hAnsi="仿宋" w:eastAsia="仿宋" w:cs="仿宋"/>
                <w:color w:val="auto"/>
              </w:rPr>
              <w:t>实际在岗抽查比对</w:t>
            </w:r>
          </w:p>
        </w:tc>
        <w:tc>
          <w:tcPr>
            <w:tcW w:w="3825" w:type="dxa"/>
            <w:tcBorders>
              <w:tl2br w:val="nil"/>
              <w:tr2bl w:val="nil"/>
            </w:tcBorders>
            <w:noWrap w:val="0"/>
            <w:tcMar>
              <w:top w:w="15" w:type="dxa"/>
              <w:left w:w="15" w:type="dxa"/>
              <w:right w:w="15" w:type="dxa"/>
            </w:tcMar>
            <w:vAlign w:val="center"/>
          </w:tcPr>
          <w:p w14:paraId="2E64DABF">
            <w:pPr>
              <w:widowControl/>
              <w:jc w:val="left"/>
              <w:textAlignment w:val="center"/>
              <w:rPr>
                <w:rFonts w:hint="eastAsia" w:ascii="仿宋" w:hAnsi="仿宋" w:eastAsia="仿宋" w:cs="仿宋"/>
                <w:color w:val="auto"/>
              </w:rPr>
            </w:pPr>
            <w:r>
              <w:rPr>
                <w:rFonts w:hint="eastAsia" w:ascii="仿宋" w:hAnsi="仿宋" w:eastAsia="仿宋" w:cs="仿宋"/>
                <w:color w:val="auto"/>
              </w:rPr>
              <w:t>实地抽查庇护人员与数字化考勤比对，存在考勤在而实际人员不在机构情况，不得分。</w:t>
            </w:r>
          </w:p>
        </w:tc>
        <w:tc>
          <w:tcPr>
            <w:tcW w:w="3315" w:type="dxa"/>
            <w:tcBorders>
              <w:tl2br w:val="nil"/>
              <w:tr2bl w:val="nil"/>
            </w:tcBorders>
            <w:noWrap w:val="0"/>
            <w:tcMar>
              <w:top w:w="15" w:type="dxa"/>
              <w:left w:w="15" w:type="dxa"/>
              <w:right w:w="15" w:type="dxa"/>
            </w:tcMar>
            <w:vAlign w:val="center"/>
          </w:tcPr>
          <w:p w14:paraId="7BBAAC44">
            <w:pPr>
              <w:widowControl/>
              <w:textAlignment w:val="center"/>
              <w:rPr>
                <w:rFonts w:hint="eastAsia" w:ascii="仿宋" w:hAnsi="仿宋" w:eastAsia="仿宋" w:cs="仿宋"/>
                <w:color w:val="auto"/>
              </w:rPr>
            </w:pPr>
            <w:r>
              <w:rPr>
                <w:rFonts w:hint="eastAsia" w:ascii="仿宋" w:hAnsi="仿宋" w:eastAsia="仿宋" w:cs="仿宋"/>
                <w:color w:val="auto"/>
              </w:rPr>
              <w:t>符合得5分；不符合不得分。</w:t>
            </w:r>
          </w:p>
        </w:tc>
        <w:tc>
          <w:tcPr>
            <w:tcW w:w="2625" w:type="dxa"/>
            <w:tcBorders>
              <w:tl2br w:val="nil"/>
              <w:tr2bl w:val="nil"/>
            </w:tcBorders>
            <w:noWrap w:val="0"/>
            <w:tcMar>
              <w:top w:w="15" w:type="dxa"/>
              <w:left w:w="15" w:type="dxa"/>
              <w:right w:w="15" w:type="dxa"/>
            </w:tcMar>
            <w:vAlign w:val="center"/>
          </w:tcPr>
          <w:p w14:paraId="1E3982E1">
            <w:pPr>
              <w:jc w:val="left"/>
              <w:rPr>
                <w:rFonts w:hint="eastAsia" w:ascii="仿宋" w:hAnsi="仿宋" w:eastAsia="仿宋" w:cs="仿宋"/>
                <w:color w:val="auto"/>
              </w:rPr>
            </w:pPr>
          </w:p>
        </w:tc>
      </w:tr>
      <w:tr w14:paraId="6BF4B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4C8B26A3">
            <w:pPr>
              <w:widowControl/>
              <w:jc w:val="center"/>
              <w:textAlignment w:val="center"/>
              <w:rPr>
                <w:rFonts w:hint="eastAsia" w:ascii="仿宋" w:hAnsi="仿宋" w:eastAsia="仿宋" w:cs="仿宋"/>
                <w:color w:val="auto"/>
              </w:rPr>
            </w:pPr>
            <w:r>
              <w:rPr>
                <w:rFonts w:hint="eastAsia" w:ascii="仿宋" w:hAnsi="仿宋" w:eastAsia="仿宋" w:cs="仿宋"/>
                <w:color w:val="auto"/>
              </w:rPr>
              <w:t>37</w:t>
            </w:r>
          </w:p>
        </w:tc>
        <w:tc>
          <w:tcPr>
            <w:tcW w:w="902" w:type="dxa"/>
            <w:tcBorders>
              <w:tl2br w:val="nil"/>
              <w:tr2bl w:val="nil"/>
            </w:tcBorders>
            <w:noWrap/>
            <w:tcMar>
              <w:top w:w="15" w:type="dxa"/>
              <w:left w:w="15" w:type="dxa"/>
              <w:right w:w="15" w:type="dxa"/>
            </w:tcMar>
            <w:vAlign w:val="center"/>
          </w:tcPr>
          <w:p w14:paraId="48758981">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85D6ED4">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管理人员和庇护对象上墙情况。</w:t>
            </w:r>
          </w:p>
        </w:tc>
        <w:tc>
          <w:tcPr>
            <w:tcW w:w="660" w:type="dxa"/>
            <w:tcBorders>
              <w:tl2br w:val="nil"/>
              <w:tr2bl w:val="nil"/>
            </w:tcBorders>
            <w:noWrap w:val="0"/>
            <w:tcMar>
              <w:top w:w="15" w:type="dxa"/>
              <w:left w:w="15" w:type="dxa"/>
              <w:right w:w="15" w:type="dxa"/>
            </w:tcMar>
            <w:vAlign w:val="center"/>
          </w:tcPr>
          <w:p w14:paraId="6611F1C7">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0D9565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994BC95">
            <w:pPr>
              <w:widowControl/>
              <w:jc w:val="center"/>
              <w:textAlignment w:val="center"/>
              <w:rPr>
                <w:rFonts w:hint="eastAsia" w:ascii="仿宋" w:hAnsi="仿宋" w:eastAsia="仿宋" w:cs="仿宋"/>
                <w:color w:val="auto"/>
              </w:rPr>
            </w:pPr>
            <w:r>
              <w:rPr>
                <w:rFonts w:hint="eastAsia" w:ascii="仿宋" w:hAnsi="仿宋" w:eastAsia="仿宋" w:cs="仿宋"/>
                <w:color w:val="auto"/>
              </w:rPr>
              <w:t>管理服务人员照片及职责分工上墙张贴。庇护人员照片上墙张贴。</w:t>
            </w:r>
          </w:p>
        </w:tc>
        <w:tc>
          <w:tcPr>
            <w:tcW w:w="3825" w:type="dxa"/>
            <w:tcBorders>
              <w:tl2br w:val="nil"/>
              <w:tr2bl w:val="nil"/>
            </w:tcBorders>
            <w:noWrap w:val="0"/>
            <w:tcMar>
              <w:top w:w="15" w:type="dxa"/>
              <w:left w:w="15" w:type="dxa"/>
              <w:right w:w="15" w:type="dxa"/>
            </w:tcMar>
            <w:vAlign w:val="center"/>
          </w:tcPr>
          <w:p w14:paraId="114A4C72">
            <w:pPr>
              <w:widowControl/>
              <w:jc w:val="left"/>
              <w:textAlignment w:val="center"/>
              <w:rPr>
                <w:rFonts w:hint="eastAsia" w:ascii="仿宋" w:hAnsi="仿宋" w:eastAsia="仿宋" w:cs="仿宋"/>
                <w:color w:val="auto"/>
              </w:rPr>
            </w:pPr>
            <w:r>
              <w:rPr>
                <w:rFonts w:hint="eastAsia" w:ascii="仿宋" w:hAnsi="仿宋" w:eastAsia="仿宋" w:cs="仿宋"/>
                <w:color w:val="auto"/>
              </w:rPr>
              <w:t>管理服务人员照片及职责分工与实际符合，不符合不得分；上墙张贴庇护人员照片上墙张贴于实际符合，不符合不得分。</w:t>
            </w:r>
          </w:p>
        </w:tc>
        <w:tc>
          <w:tcPr>
            <w:tcW w:w="3315" w:type="dxa"/>
            <w:tcBorders>
              <w:tl2br w:val="nil"/>
              <w:tr2bl w:val="nil"/>
            </w:tcBorders>
            <w:noWrap w:val="0"/>
            <w:tcMar>
              <w:top w:w="15" w:type="dxa"/>
              <w:left w:w="15" w:type="dxa"/>
              <w:right w:w="15" w:type="dxa"/>
            </w:tcMar>
            <w:vAlign w:val="center"/>
          </w:tcPr>
          <w:p w14:paraId="14DDF093">
            <w:pPr>
              <w:widowControl/>
              <w:textAlignment w:val="center"/>
              <w:rPr>
                <w:rFonts w:hint="eastAsia" w:ascii="仿宋" w:hAnsi="仿宋" w:eastAsia="仿宋" w:cs="仿宋"/>
                <w:color w:val="auto"/>
              </w:rPr>
            </w:pPr>
            <w:r>
              <w:rPr>
                <w:rFonts w:hint="eastAsia" w:ascii="仿宋" w:hAnsi="仿宋" w:eastAsia="仿宋" w:cs="仿宋"/>
                <w:color w:val="auto"/>
              </w:rPr>
              <w:t>信息完整正确得3分，管理人员或者庇护人员一项完整得1分，不完整不得分。</w:t>
            </w:r>
          </w:p>
        </w:tc>
        <w:tc>
          <w:tcPr>
            <w:tcW w:w="2625" w:type="dxa"/>
            <w:tcBorders>
              <w:tl2br w:val="nil"/>
              <w:tr2bl w:val="nil"/>
            </w:tcBorders>
            <w:noWrap w:val="0"/>
            <w:tcMar>
              <w:top w:w="15" w:type="dxa"/>
              <w:left w:w="15" w:type="dxa"/>
              <w:right w:w="15" w:type="dxa"/>
            </w:tcMar>
            <w:vAlign w:val="center"/>
          </w:tcPr>
          <w:p w14:paraId="717106CC">
            <w:pPr>
              <w:jc w:val="left"/>
              <w:rPr>
                <w:rFonts w:hint="eastAsia" w:ascii="仿宋" w:hAnsi="仿宋" w:eastAsia="仿宋" w:cs="仿宋"/>
                <w:color w:val="auto"/>
              </w:rPr>
            </w:pPr>
          </w:p>
        </w:tc>
      </w:tr>
      <w:tr w14:paraId="0B622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207FCB99">
            <w:pPr>
              <w:widowControl/>
              <w:jc w:val="center"/>
              <w:textAlignment w:val="center"/>
              <w:rPr>
                <w:rFonts w:hint="eastAsia" w:ascii="仿宋" w:hAnsi="仿宋" w:eastAsia="仿宋" w:cs="仿宋"/>
                <w:color w:val="auto"/>
              </w:rPr>
            </w:pPr>
            <w:r>
              <w:rPr>
                <w:rFonts w:hint="eastAsia" w:ascii="仿宋" w:hAnsi="仿宋" w:eastAsia="仿宋" w:cs="仿宋"/>
                <w:color w:val="auto"/>
              </w:rPr>
              <w:t>38</w:t>
            </w:r>
          </w:p>
        </w:tc>
        <w:tc>
          <w:tcPr>
            <w:tcW w:w="902" w:type="dxa"/>
            <w:tcBorders>
              <w:tl2br w:val="nil"/>
              <w:tr2bl w:val="nil"/>
            </w:tcBorders>
            <w:noWrap/>
            <w:tcMar>
              <w:top w:w="15" w:type="dxa"/>
              <w:left w:w="15" w:type="dxa"/>
              <w:right w:w="15" w:type="dxa"/>
            </w:tcMar>
            <w:vAlign w:val="center"/>
          </w:tcPr>
          <w:p w14:paraId="65F313BC">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C26DAA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信息展示</w:t>
            </w:r>
          </w:p>
        </w:tc>
        <w:tc>
          <w:tcPr>
            <w:tcW w:w="660" w:type="dxa"/>
            <w:tcBorders>
              <w:tl2br w:val="nil"/>
              <w:tr2bl w:val="nil"/>
            </w:tcBorders>
            <w:noWrap w:val="0"/>
            <w:tcMar>
              <w:top w:w="15" w:type="dxa"/>
              <w:left w:w="15" w:type="dxa"/>
              <w:right w:w="15" w:type="dxa"/>
            </w:tcMar>
            <w:vAlign w:val="center"/>
          </w:tcPr>
          <w:p w14:paraId="61F319D3">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E082EB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AD41B45">
            <w:pPr>
              <w:widowControl/>
              <w:jc w:val="center"/>
              <w:textAlignment w:val="center"/>
              <w:rPr>
                <w:rFonts w:hint="eastAsia" w:ascii="仿宋" w:hAnsi="仿宋" w:eastAsia="仿宋" w:cs="仿宋"/>
                <w:color w:val="auto"/>
              </w:rPr>
            </w:pPr>
            <w:r>
              <w:rPr>
                <w:rFonts w:hint="eastAsia" w:ascii="仿宋" w:hAnsi="仿宋" w:eastAsia="仿宋" w:cs="仿宋"/>
                <w:color w:val="auto"/>
              </w:rPr>
              <w:t>进行必要的信息公布。</w:t>
            </w:r>
          </w:p>
        </w:tc>
        <w:tc>
          <w:tcPr>
            <w:tcW w:w="3825" w:type="dxa"/>
            <w:tcBorders>
              <w:tl2br w:val="nil"/>
              <w:tr2bl w:val="nil"/>
            </w:tcBorders>
            <w:noWrap w:val="0"/>
            <w:tcMar>
              <w:top w:w="15" w:type="dxa"/>
              <w:left w:w="15" w:type="dxa"/>
              <w:right w:w="15" w:type="dxa"/>
            </w:tcMar>
            <w:vAlign w:val="center"/>
          </w:tcPr>
          <w:p w14:paraId="0EDE1B5C">
            <w:pPr>
              <w:widowControl/>
              <w:jc w:val="left"/>
              <w:textAlignment w:val="center"/>
              <w:rPr>
                <w:rFonts w:hint="eastAsia" w:ascii="仿宋" w:hAnsi="仿宋" w:eastAsia="仿宋" w:cs="仿宋"/>
                <w:color w:val="auto"/>
              </w:rPr>
            </w:pPr>
            <w:r>
              <w:rPr>
                <w:rFonts w:hint="eastAsia" w:ascii="仿宋" w:hAnsi="仿宋" w:eastAsia="仿宋" w:cs="仿宋"/>
                <w:color w:val="auto"/>
              </w:rPr>
              <w:t>在显著位置公开服务项目、指南和工作流程，张贴管理、服务、医护及其他相关人员资格证、健康证、餐饮许可证等，张贴机构功能区分布平面图。</w:t>
            </w:r>
          </w:p>
        </w:tc>
        <w:tc>
          <w:tcPr>
            <w:tcW w:w="3315" w:type="dxa"/>
            <w:tcBorders>
              <w:tl2br w:val="nil"/>
              <w:tr2bl w:val="nil"/>
            </w:tcBorders>
            <w:noWrap w:val="0"/>
            <w:tcMar>
              <w:top w:w="15" w:type="dxa"/>
              <w:left w:w="15" w:type="dxa"/>
              <w:right w:w="15" w:type="dxa"/>
            </w:tcMar>
            <w:vAlign w:val="center"/>
          </w:tcPr>
          <w:p w14:paraId="77FCD35E">
            <w:pPr>
              <w:widowControl/>
              <w:textAlignment w:val="center"/>
              <w:rPr>
                <w:rFonts w:hint="eastAsia" w:ascii="仿宋" w:hAnsi="仿宋" w:eastAsia="仿宋" w:cs="仿宋"/>
                <w:color w:val="auto"/>
              </w:rPr>
            </w:pPr>
            <w:r>
              <w:rPr>
                <w:rFonts w:hint="eastAsia" w:ascii="仿宋" w:hAnsi="仿宋" w:eastAsia="仿宋" w:cs="仿宋"/>
                <w:color w:val="auto"/>
              </w:rPr>
              <w:t>符合得3分，每少一样扣0.5分，未张贴不得分。</w:t>
            </w:r>
          </w:p>
        </w:tc>
        <w:tc>
          <w:tcPr>
            <w:tcW w:w="2625" w:type="dxa"/>
            <w:tcBorders>
              <w:tl2br w:val="nil"/>
              <w:tr2bl w:val="nil"/>
            </w:tcBorders>
            <w:noWrap w:val="0"/>
            <w:tcMar>
              <w:top w:w="15" w:type="dxa"/>
              <w:left w:w="15" w:type="dxa"/>
              <w:right w:w="15" w:type="dxa"/>
            </w:tcMar>
            <w:vAlign w:val="center"/>
          </w:tcPr>
          <w:p w14:paraId="6453CD10">
            <w:pPr>
              <w:jc w:val="left"/>
              <w:rPr>
                <w:rFonts w:hint="eastAsia" w:ascii="仿宋" w:hAnsi="仿宋" w:eastAsia="仿宋" w:cs="仿宋"/>
                <w:color w:val="auto"/>
              </w:rPr>
            </w:pPr>
          </w:p>
        </w:tc>
      </w:tr>
      <w:tr w14:paraId="3FA3D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2" w:hRule="atLeast"/>
        </w:trPr>
        <w:tc>
          <w:tcPr>
            <w:tcW w:w="664" w:type="dxa"/>
            <w:tcBorders>
              <w:tl2br w:val="nil"/>
              <w:tr2bl w:val="nil"/>
            </w:tcBorders>
            <w:noWrap/>
            <w:tcMar>
              <w:top w:w="15" w:type="dxa"/>
              <w:left w:w="15" w:type="dxa"/>
              <w:right w:w="15" w:type="dxa"/>
            </w:tcMar>
            <w:vAlign w:val="center"/>
          </w:tcPr>
          <w:p w14:paraId="5978F9A9">
            <w:pPr>
              <w:widowControl/>
              <w:jc w:val="center"/>
              <w:textAlignment w:val="center"/>
              <w:rPr>
                <w:rFonts w:hint="eastAsia" w:ascii="仿宋" w:hAnsi="仿宋" w:eastAsia="仿宋" w:cs="仿宋"/>
                <w:color w:val="auto"/>
              </w:rPr>
            </w:pPr>
            <w:r>
              <w:rPr>
                <w:rFonts w:hint="eastAsia" w:ascii="仿宋" w:hAnsi="仿宋" w:eastAsia="仿宋" w:cs="仿宋"/>
                <w:color w:val="auto"/>
              </w:rPr>
              <w:t>39</w:t>
            </w:r>
          </w:p>
        </w:tc>
        <w:tc>
          <w:tcPr>
            <w:tcW w:w="902" w:type="dxa"/>
            <w:tcBorders>
              <w:tl2br w:val="nil"/>
              <w:tr2bl w:val="nil"/>
            </w:tcBorders>
            <w:noWrap/>
            <w:tcMar>
              <w:top w:w="15" w:type="dxa"/>
              <w:left w:w="15" w:type="dxa"/>
              <w:right w:w="15" w:type="dxa"/>
            </w:tcMar>
            <w:vAlign w:val="center"/>
          </w:tcPr>
          <w:p w14:paraId="2667B288">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535D41CA">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申报资料及时性</w:t>
            </w:r>
          </w:p>
        </w:tc>
        <w:tc>
          <w:tcPr>
            <w:tcW w:w="660" w:type="dxa"/>
            <w:tcBorders>
              <w:tl2br w:val="nil"/>
              <w:tr2bl w:val="nil"/>
            </w:tcBorders>
            <w:noWrap w:val="0"/>
            <w:tcMar>
              <w:top w:w="15" w:type="dxa"/>
              <w:left w:w="15" w:type="dxa"/>
              <w:right w:w="15" w:type="dxa"/>
            </w:tcMar>
            <w:vAlign w:val="center"/>
          </w:tcPr>
          <w:p w14:paraId="1700B8AE">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570" w:type="dxa"/>
            <w:tcBorders>
              <w:tl2br w:val="nil"/>
              <w:tr2bl w:val="nil"/>
            </w:tcBorders>
            <w:noWrap w:val="0"/>
            <w:tcMar>
              <w:top w:w="15" w:type="dxa"/>
              <w:left w:w="15" w:type="dxa"/>
              <w:right w:w="15" w:type="dxa"/>
            </w:tcMar>
            <w:vAlign w:val="center"/>
          </w:tcPr>
          <w:p w14:paraId="52A6166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85D5C2E">
            <w:pPr>
              <w:widowControl/>
              <w:jc w:val="center"/>
              <w:textAlignment w:val="center"/>
              <w:rPr>
                <w:rFonts w:hint="eastAsia" w:ascii="仿宋" w:hAnsi="仿宋" w:eastAsia="仿宋" w:cs="仿宋"/>
                <w:color w:val="auto"/>
              </w:rPr>
            </w:pPr>
            <w:r>
              <w:rPr>
                <w:rFonts w:hint="eastAsia" w:ascii="仿宋" w:hAnsi="仿宋" w:eastAsia="仿宋" w:cs="仿宋"/>
                <w:color w:val="auto"/>
              </w:rPr>
              <w:t>运营经费资料、整改资料、上报及时性，机构自评表、镇乡（街道）考评表。</w:t>
            </w:r>
          </w:p>
        </w:tc>
        <w:tc>
          <w:tcPr>
            <w:tcW w:w="3825" w:type="dxa"/>
            <w:tcBorders>
              <w:tl2br w:val="nil"/>
              <w:tr2bl w:val="nil"/>
            </w:tcBorders>
            <w:noWrap w:val="0"/>
            <w:tcMar>
              <w:top w:w="15" w:type="dxa"/>
              <w:left w:w="15" w:type="dxa"/>
              <w:right w:w="15" w:type="dxa"/>
            </w:tcMar>
            <w:vAlign w:val="center"/>
          </w:tcPr>
          <w:p w14:paraId="70ADE118">
            <w:pPr>
              <w:widowControl/>
              <w:jc w:val="left"/>
              <w:textAlignment w:val="center"/>
              <w:rPr>
                <w:rFonts w:hint="eastAsia" w:ascii="仿宋" w:hAnsi="仿宋" w:eastAsia="仿宋" w:cs="仿宋"/>
                <w:color w:val="auto"/>
              </w:rPr>
            </w:pPr>
            <w:r>
              <w:rPr>
                <w:rFonts w:hint="eastAsia" w:ascii="仿宋" w:hAnsi="仿宋" w:eastAsia="仿宋" w:cs="仿宋"/>
                <w:color w:val="auto"/>
              </w:rPr>
              <w:t>运营经费按机构在每季度开始的第一个月（7个工作日内上），镇乡（街道）残联在资料受理7个工作日的审核的要求上报资料，按要求考评，机构、镇乡（街道）留存。</w:t>
            </w:r>
          </w:p>
        </w:tc>
        <w:tc>
          <w:tcPr>
            <w:tcW w:w="3315" w:type="dxa"/>
            <w:tcBorders>
              <w:tl2br w:val="nil"/>
              <w:tr2bl w:val="nil"/>
            </w:tcBorders>
            <w:noWrap w:val="0"/>
            <w:tcMar>
              <w:top w:w="15" w:type="dxa"/>
              <w:left w:w="15" w:type="dxa"/>
              <w:right w:w="15" w:type="dxa"/>
            </w:tcMar>
            <w:vAlign w:val="center"/>
          </w:tcPr>
          <w:p w14:paraId="6184C062">
            <w:pPr>
              <w:widowControl/>
              <w:jc w:val="left"/>
              <w:textAlignment w:val="center"/>
              <w:rPr>
                <w:rFonts w:hint="eastAsia" w:ascii="仿宋" w:hAnsi="仿宋" w:eastAsia="仿宋" w:cs="仿宋"/>
                <w:color w:val="auto"/>
              </w:rPr>
            </w:pPr>
            <w:r>
              <w:rPr>
                <w:rFonts w:hint="eastAsia" w:ascii="仿宋" w:hAnsi="仿宋" w:eastAsia="仿宋" w:cs="仿宋"/>
                <w:color w:val="auto"/>
              </w:rPr>
              <w:t>按要求上报得分，超出时间不得分</w:t>
            </w:r>
          </w:p>
        </w:tc>
        <w:tc>
          <w:tcPr>
            <w:tcW w:w="2625" w:type="dxa"/>
            <w:tcBorders>
              <w:tl2br w:val="nil"/>
              <w:tr2bl w:val="nil"/>
            </w:tcBorders>
            <w:noWrap w:val="0"/>
            <w:tcMar>
              <w:top w:w="15" w:type="dxa"/>
              <w:left w:w="15" w:type="dxa"/>
              <w:right w:w="15" w:type="dxa"/>
            </w:tcMar>
            <w:vAlign w:val="center"/>
          </w:tcPr>
          <w:p w14:paraId="7BB9DDAF">
            <w:pPr>
              <w:jc w:val="left"/>
              <w:rPr>
                <w:rFonts w:hint="eastAsia" w:ascii="仿宋" w:hAnsi="仿宋" w:eastAsia="仿宋" w:cs="仿宋"/>
                <w:color w:val="auto"/>
              </w:rPr>
            </w:pPr>
          </w:p>
        </w:tc>
      </w:tr>
      <w:tr w14:paraId="1AC1D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664" w:type="dxa"/>
            <w:tcBorders>
              <w:tl2br w:val="nil"/>
              <w:tr2bl w:val="nil"/>
            </w:tcBorders>
            <w:noWrap/>
            <w:tcMar>
              <w:top w:w="15" w:type="dxa"/>
              <w:left w:w="15" w:type="dxa"/>
              <w:right w:w="15" w:type="dxa"/>
            </w:tcMar>
            <w:vAlign w:val="center"/>
          </w:tcPr>
          <w:p w14:paraId="4F9ECD75">
            <w:pPr>
              <w:widowControl/>
              <w:jc w:val="center"/>
              <w:textAlignment w:val="center"/>
              <w:rPr>
                <w:rFonts w:hint="eastAsia" w:ascii="仿宋" w:hAnsi="仿宋" w:eastAsia="仿宋" w:cs="仿宋"/>
                <w:color w:val="auto"/>
              </w:rPr>
            </w:pPr>
            <w:r>
              <w:rPr>
                <w:rFonts w:hint="eastAsia" w:ascii="仿宋" w:hAnsi="仿宋" w:eastAsia="仿宋" w:cs="仿宋"/>
                <w:color w:val="auto"/>
              </w:rPr>
              <w:t>40</w:t>
            </w:r>
          </w:p>
        </w:tc>
        <w:tc>
          <w:tcPr>
            <w:tcW w:w="902" w:type="dxa"/>
            <w:tcBorders>
              <w:tl2br w:val="nil"/>
              <w:tr2bl w:val="nil"/>
            </w:tcBorders>
            <w:noWrap/>
            <w:tcMar>
              <w:top w:w="15" w:type="dxa"/>
              <w:left w:w="15" w:type="dxa"/>
              <w:right w:w="15" w:type="dxa"/>
            </w:tcMar>
            <w:vAlign w:val="center"/>
          </w:tcPr>
          <w:p w14:paraId="5B506D10">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C23F5E1">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申报资料准确性、完整性</w:t>
            </w:r>
          </w:p>
        </w:tc>
        <w:tc>
          <w:tcPr>
            <w:tcW w:w="660" w:type="dxa"/>
            <w:tcBorders>
              <w:tl2br w:val="nil"/>
              <w:tr2bl w:val="nil"/>
            </w:tcBorders>
            <w:noWrap w:val="0"/>
            <w:tcMar>
              <w:top w:w="15" w:type="dxa"/>
              <w:left w:w="15" w:type="dxa"/>
              <w:right w:w="15" w:type="dxa"/>
            </w:tcMar>
            <w:vAlign w:val="center"/>
          </w:tcPr>
          <w:p w14:paraId="6A18B38F">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570" w:type="dxa"/>
            <w:tcBorders>
              <w:tl2br w:val="nil"/>
              <w:tr2bl w:val="nil"/>
            </w:tcBorders>
            <w:noWrap w:val="0"/>
            <w:tcMar>
              <w:top w:w="15" w:type="dxa"/>
              <w:left w:w="15" w:type="dxa"/>
              <w:right w:w="15" w:type="dxa"/>
            </w:tcMar>
            <w:vAlign w:val="center"/>
          </w:tcPr>
          <w:p w14:paraId="4FF7F749">
            <w:pPr>
              <w:jc w:val="left"/>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AAEB80B">
            <w:pPr>
              <w:widowControl/>
              <w:jc w:val="center"/>
              <w:textAlignment w:val="center"/>
              <w:rPr>
                <w:rFonts w:hint="eastAsia" w:ascii="仿宋" w:hAnsi="仿宋" w:eastAsia="仿宋" w:cs="仿宋"/>
                <w:color w:val="auto"/>
              </w:rPr>
            </w:pPr>
            <w:r>
              <w:rPr>
                <w:rFonts w:hint="eastAsia" w:ascii="仿宋" w:hAnsi="仿宋" w:eastAsia="仿宋" w:cs="仿宋"/>
                <w:color w:val="auto"/>
              </w:rPr>
              <w:t>资料完整、内容准确</w:t>
            </w:r>
          </w:p>
        </w:tc>
        <w:tc>
          <w:tcPr>
            <w:tcW w:w="3825" w:type="dxa"/>
            <w:tcBorders>
              <w:tl2br w:val="nil"/>
              <w:tr2bl w:val="nil"/>
            </w:tcBorders>
            <w:noWrap/>
            <w:tcMar>
              <w:top w:w="15" w:type="dxa"/>
              <w:left w:w="15" w:type="dxa"/>
              <w:right w:w="15" w:type="dxa"/>
            </w:tcMar>
            <w:vAlign w:val="center"/>
          </w:tcPr>
          <w:p w14:paraId="288444FA">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资料完整、正确，无明显计算错误。</w:t>
            </w:r>
          </w:p>
        </w:tc>
        <w:tc>
          <w:tcPr>
            <w:tcW w:w="3315" w:type="dxa"/>
            <w:tcBorders>
              <w:tl2br w:val="nil"/>
              <w:tr2bl w:val="nil"/>
            </w:tcBorders>
            <w:noWrap w:val="0"/>
            <w:tcMar>
              <w:top w:w="15" w:type="dxa"/>
              <w:left w:w="15" w:type="dxa"/>
              <w:right w:w="15" w:type="dxa"/>
            </w:tcMar>
            <w:vAlign w:val="center"/>
          </w:tcPr>
          <w:p w14:paraId="3A06096D">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资料完整、准备得分，一项不符合扣0.5分，扣完为止。</w:t>
            </w:r>
          </w:p>
        </w:tc>
        <w:tc>
          <w:tcPr>
            <w:tcW w:w="2625" w:type="dxa"/>
            <w:tcBorders>
              <w:tl2br w:val="nil"/>
              <w:tr2bl w:val="nil"/>
            </w:tcBorders>
            <w:noWrap/>
            <w:tcMar>
              <w:top w:w="15" w:type="dxa"/>
              <w:left w:w="15" w:type="dxa"/>
              <w:right w:w="15" w:type="dxa"/>
            </w:tcMar>
            <w:vAlign w:val="center"/>
          </w:tcPr>
          <w:p w14:paraId="076462BC">
            <w:pPr>
              <w:rPr>
                <w:rFonts w:hint="eastAsia" w:ascii="仿宋" w:hAnsi="仿宋" w:eastAsia="仿宋" w:cs="仿宋"/>
                <w:color w:val="auto"/>
              </w:rPr>
            </w:pPr>
          </w:p>
        </w:tc>
      </w:tr>
      <w:tr w14:paraId="74728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475" w:type="dxa"/>
            <w:gridSpan w:val="3"/>
            <w:tcBorders>
              <w:tl2br w:val="nil"/>
              <w:tr2bl w:val="nil"/>
            </w:tcBorders>
            <w:noWrap/>
            <w:tcMar>
              <w:top w:w="15" w:type="dxa"/>
              <w:left w:w="15" w:type="dxa"/>
              <w:right w:w="15" w:type="dxa"/>
            </w:tcMar>
            <w:vAlign w:val="center"/>
          </w:tcPr>
          <w:p w14:paraId="38DFEF9A">
            <w:pPr>
              <w:widowControl/>
              <w:jc w:val="center"/>
              <w:textAlignment w:val="center"/>
              <w:rPr>
                <w:rFonts w:hint="eastAsia" w:ascii="仿宋" w:hAnsi="仿宋" w:eastAsia="仿宋" w:cs="仿宋"/>
                <w:color w:val="auto"/>
              </w:rPr>
            </w:pPr>
            <w:r>
              <w:rPr>
                <w:rFonts w:hint="eastAsia" w:ascii="仿宋" w:hAnsi="仿宋" w:eastAsia="仿宋" w:cs="仿宋"/>
                <w:color w:val="auto"/>
              </w:rPr>
              <w:t>合  计</w:t>
            </w:r>
          </w:p>
        </w:tc>
        <w:tc>
          <w:tcPr>
            <w:tcW w:w="660" w:type="dxa"/>
            <w:tcBorders>
              <w:tl2br w:val="nil"/>
              <w:tr2bl w:val="nil"/>
            </w:tcBorders>
            <w:noWrap/>
            <w:tcMar>
              <w:top w:w="15" w:type="dxa"/>
              <w:left w:w="15" w:type="dxa"/>
              <w:right w:w="15" w:type="dxa"/>
            </w:tcMar>
            <w:vAlign w:val="center"/>
          </w:tcPr>
          <w:p w14:paraId="48C0BB04">
            <w:pPr>
              <w:jc w:val="center"/>
              <w:rPr>
                <w:rFonts w:hint="eastAsia" w:ascii="仿宋" w:hAnsi="仿宋" w:eastAsia="仿宋" w:cs="仿宋"/>
                <w:color w:val="auto"/>
              </w:rPr>
            </w:pPr>
          </w:p>
        </w:tc>
        <w:tc>
          <w:tcPr>
            <w:tcW w:w="570" w:type="dxa"/>
            <w:tcBorders>
              <w:tl2br w:val="nil"/>
              <w:tr2bl w:val="nil"/>
            </w:tcBorders>
            <w:noWrap/>
            <w:tcMar>
              <w:top w:w="15" w:type="dxa"/>
              <w:left w:w="15" w:type="dxa"/>
              <w:right w:w="15" w:type="dxa"/>
            </w:tcMar>
            <w:vAlign w:val="center"/>
          </w:tcPr>
          <w:p w14:paraId="451B45FE">
            <w:pPr>
              <w:rPr>
                <w:rFonts w:hint="eastAsia" w:ascii="仿宋" w:hAnsi="仿宋" w:eastAsia="仿宋" w:cs="仿宋"/>
                <w:color w:val="auto"/>
              </w:rPr>
            </w:pPr>
          </w:p>
        </w:tc>
        <w:tc>
          <w:tcPr>
            <w:tcW w:w="1380" w:type="dxa"/>
            <w:tcBorders>
              <w:tl2br w:val="nil"/>
              <w:tr2bl w:val="nil"/>
            </w:tcBorders>
            <w:noWrap/>
            <w:tcMar>
              <w:top w:w="15" w:type="dxa"/>
              <w:left w:w="15" w:type="dxa"/>
              <w:right w:w="15" w:type="dxa"/>
            </w:tcMar>
            <w:vAlign w:val="center"/>
          </w:tcPr>
          <w:p w14:paraId="5E23E2D0">
            <w:pPr>
              <w:jc w:val="left"/>
              <w:rPr>
                <w:rFonts w:hint="eastAsia" w:ascii="仿宋" w:hAnsi="仿宋" w:eastAsia="仿宋" w:cs="仿宋"/>
                <w:color w:val="auto"/>
              </w:rPr>
            </w:pPr>
          </w:p>
        </w:tc>
        <w:tc>
          <w:tcPr>
            <w:tcW w:w="3825" w:type="dxa"/>
            <w:tcBorders>
              <w:tl2br w:val="nil"/>
              <w:tr2bl w:val="nil"/>
            </w:tcBorders>
            <w:noWrap/>
            <w:tcMar>
              <w:top w:w="15" w:type="dxa"/>
              <w:left w:w="15" w:type="dxa"/>
              <w:right w:w="15" w:type="dxa"/>
            </w:tcMar>
            <w:vAlign w:val="center"/>
          </w:tcPr>
          <w:p w14:paraId="672921BB">
            <w:pPr>
              <w:rPr>
                <w:rFonts w:hint="eastAsia" w:ascii="仿宋" w:hAnsi="仿宋" w:eastAsia="仿宋" w:cs="仿宋"/>
                <w:color w:val="auto"/>
              </w:rPr>
            </w:pPr>
          </w:p>
        </w:tc>
        <w:tc>
          <w:tcPr>
            <w:tcW w:w="3315" w:type="dxa"/>
            <w:tcBorders>
              <w:tl2br w:val="nil"/>
              <w:tr2bl w:val="nil"/>
            </w:tcBorders>
            <w:noWrap/>
            <w:tcMar>
              <w:top w:w="15" w:type="dxa"/>
              <w:left w:w="15" w:type="dxa"/>
              <w:right w:w="15" w:type="dxa"/>
            </w:tcMar>
            <w:vAlign w:val="center"/>
          </w:tcPr>
          <w:p w14:paraId="7B7F752B">
            <w:pPr>
              <w:rPr>
                <w:rFonts w:hint="eastAsia" w:ascii="仿宋" w:hAnsi="仿宋" w:eastAsia="仿宋" w:cs="仿宋"/>
                <w:color w:val="auto"/>
              </w:rPr>
            </w:pPr>
          </w:p>
        </w:tc>
        <w:tc>
          <w:tcPr>
            <w:tcW w:w="2625" w:type="dxa"/>
            <w:tcBorders>
              <w:tl2br w:val="nil"/>
              <w:tr2bl w:val="nil"/>
            </w:tcBorders>
            <w:noWrap/>
            <w:tcMar>
              <w:top w:w="15" w:type="dxa"/>
              <w:left w:w="15" w:type="dxa"/>
              <w:right w:w="15" w:type="dxa"/>
            </w:tcMar>
            <w:vAlign w:val="center"/>
          </w:tcPr>
          <w:p w14:paraId="3D5A4969">
            <w:pPr>
              <w:rPr>
                <w:rFonts w:hint="eastAsia" w:ascii="仿宋" w:hAnsi="仿宋" w:eastAsia="仿宋" w:cs="仿宋"/>
                <w:color w:val="auto"/>
              </w:rPr>
            </w:pPr>
          </w:p>
        </w:tc>
      </w:tr>
    </w:tbl>
    <w:p w14:paraId="7E45354A">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color w:val="auto"/>
          <w:highlight w:val="none"/>
        </w:rPr>
      </w:pPr>
    </w:p>
    <w:p w14:paraId="2643E81A">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pgSz w:w="16838" w:h="11906" w:orient="landscape"/>
          <w:pgMar w:top="1083" w:right="1440" w:bottom="1083" w:left="1440"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3290"/>
      <w:bookmarkEnd w:id="25"/>
      <w:bookmarkStart w:id="26" w:name="_Toc184310336"/>
      <w:bookmarkEnd w:id="26"/>
      <w:bookmarkStart w:id="27" w:name="_Toc184310279"/>
      <w:bookmarkEnd w:id="27"/>
      <w:bookmarkStart w:id="28" w:name="_Toc184313289"/>
      <w:bookmarkEnd w:id="28"/>
      <w:bookmarkStart w:id="29" w:name="_Toc184314458"/>
      <w:bookmarkEnd w:id="29"/>
      <w:bookmarkStart w:id="30" w:name="_Toc184313287"/>
      <w:bookmarkEnd w:id="30"/>
      <w:bookmarkStart w:id="31" w:name="_Toc184308096"/>
      <w:bookmarkEnd w:id="31"/>
      <w:bookmarkStart w:id="32" w:name="_Toc184312135"/>
      <w:bookmarkEnd w:id="32"/>
      <w:bookmarkStart w:id="33" w:name="_Toc184314420"/>
      <w:bookmarkEnd w:id="33"/>
      <w:bookmarkStart w:id="34" w:name="_Toc184310277"/>
      <w:bookmarkEnd w:id="34"/>
      <w:bookmarkStart w:id="35" w:name="_Toc184308098"/>
      <w:bookmarkEnd w:id="35"/>
      <w:bookmarkStart w:id="36" w:name="_Toc184313247"/>
      <w:bookmarkEnd w:id="36"/>
      <w:bookmarkStart w:id="37" w:name="_Toc184312111"/>
      <w:bookmarkEnd w:id="37"/>
      <w:bookmarkStart w:id="38" w:name="_Toc184314457"/>
      <w:bookmarkEnd w:id="38"/>
      <w:bookmarkStart w:id="39" w:name="_Toc184313281"/>
      <w:bookmarkEnd w:id="39"/>
      <w:bookmarkStart w:id="40" w:name="_Toc184312103"/>
      <w:bookmarkEnd w:id="40"/>
      <w:bookmarkStart w:id="41" w:name="_Toc184314422"/>
      <w:bookmarkEnd w:id="41"/>
      <w:bookmarkStart w:id="42" w:name="_Toc184308075"/>
      <w:bookmarkEnd w:id="42"/>
      <w:bookmarkStart w:id="43" w:name="_Toc184313245"/>
      <w:bookmarkEnd w:id="43"/>
      <w:bookmarkStart w:id="44" w:name="_Toc184308102"/>
      <w:bookmarkEnd w:id="44"/>
      <w:bookmarkStart w:id="45" w:name="_Toc184314459"/>
      <w:bookmarkEnd w:id="45"/>
      <w:bookmarkStart w:id="46" w:name="_Toc184308092"/>
      <w:bookmarkEnd w:id="46"/>
      <w:bookmarkStart w:id="47" w:name="_Toc184313243"/>
      <w:bookmarkEnd w:id="47"/>
      <w:bookmarkStart w:id="48" w:name="_Toc184313298"/>
      <w:bookmarkEnd w:id="48"/>
      <w:bookmarkStart w:id="49" w:name="_Toc184308095"/>
      <w:bookmarkEnd w:id="49"/>
      <w:bookmarkStart w:id="50" w:name="_Toc184310294"/>
      <w:bookmarkEnd w:id="50"/>
      <w:bookmarkStart w:id="51" w:name="_Toc184312095"/>
      <w:bookmarkEnd w:id="51"/>
      <w:bookmarkStart w:id="52" w:name="_Toc184312102"/>
      <w:bookmarkEnd w:id="52"/>
      <w:bookmarkStart w:id="53" w:name="_Toc184313257"/>
      <w:bookmarkEnd w:id="53"/>
      <w:bookmarkStart w:id="54" w:name="_Toc184310316"/>
      <w:bookmarkEnd w:id="54"/>
      <w:bookmarkStart w:id="55" w:name="_Toc184312131"/>
      <w:bookmarkEnd w:id="55"/>
      <w:bookmarkStart w:id="56" w:name="_Toc184308073"/>
      <w:bookmarkEnd w:id="56"/>
      <w:bookmarkStart w:id="57" w:name="_Toc184312132"/>
      <w:bookmarkEnd w:id="57"/>
      <w:bookmarkStart w:id="58" w:name="_Toc184314464"/>
      <w:bookmarkEnd w:id="58"/>
      <w:bookmarkStart w:id="59" w:name="_Toc184314413"/>
      <w:bookmarkEnd w:id="59"/>
      <w:bookmarkStart w:id="60" w:name="_Toc184313255"/>
      <w:bookmarkEnd w:id="60"/>
      <w:bookmarkStart w:id="61" w:name="_Toc184310328"/>
      <w:bookmarkEnd w:id="61"/>
      <w:bookmarkStart w:id="62" w:name="_Toc184314440"/>
      <w:bookmarkEnd w:id="62"/>
      <w:bookmarkStart w:id="63" w:name="_Toc184314433"/>
      <w:bookmarkEnd w:id="63"/>
      <w:bookmarkStart w:id="64" w:name="_Toc184313266"/>
      <w:bookmarkEnd w:id="64"/>
      <w:bookmarkStart w:id="65" w:name="_Toc184313309"/>
      <w:bookmarkEnd w:id="65"/>
      <w:bookmarkStart w:id="66" w:name="_Toc184313278"/>
      <w:bookmarkEnd w:id="66"/>
      <w:bookmarkStart w:id="67" w:name="_Toc184312116"/>
      <w:bookmarkEnd w:id="67"/>
      <w:bookmarkStart w:id="68" w:name="_Toc184313261"/>
      <w:bookmarkEnd w:id="68"/>
      <w:bookmarkStart w:id="69" w:name="_Toc184313305"/>
      <w:bookmarkEnd w:id="69"/>
      <w:bookmarkStart w:id="70" w:name="_Toc184308058"/>
      <w:bookmarkEnd w:id="70"/>
      <w:bookmarkStart w:id="71" w:name="_Toc184312074"/>
      <w:bookmarkEnd w:id="71"/>
      <w:bookmarkStart w:id="72" w:name="_Toc184308066"/>
      <w:bookmarkEnd w:id="72"/>
      <w:bookmarkStart w:id="73" w:name="_Toc184310311"/>
      <w:bookmarkEnd w:id="73"/>
      <w:bookmarkStart w:id="74" w:name="_Toc184313301"/>
      <w:bookmarkEnd w:id="74"/>
      <w:bookmarkStart w:id="75" w:name="_Toc184314453"/>
      <w:bookmarkEnd w:id="75"/>
      <w:bookmarkStart w:id="76" w:name="_Toc184312128"/>
      <w:bookmarkEnd w:id="76"/>
      <w:bookmarkStart w:id="77" w:name="_Toc184308080"/>
      <w:bookmarkEnd w:id="77"/>
      <w:bookmarkStart w:id="78" w:name="_Toc184310342"/>
      <w:bookmarkEnd w:id="78"/>
      <w:bookmarkStart w:id="79" w:name="_Toc184313295"/>
      <w:bookmarkEnd w:id="79"/>
      <w:bookmarkStart w:id="80" w:name="_Toc184312087"/>
      <w:bookmarkEnd w:id="80"/>
      <w:bookmarkStart w:id="81" w:name="_Toc184314430"/>
      <w:bookmarkEnd w:id="81"/>
      <w:bookmarkStart w:id="82" w:name="_Toc184308065"/>
      <w:bookmarkEnd w:id="82"/>
      <w:bookmarkStart w:id="83" w:name="_Toc184312114"/>
      <w:bookmarkEnd w:id="83"/>
      <w:bookmarkStart w:id="84" w:name="_Toc184308104"/>
      <w:bookmarkEnd w:id="84"/>
      <w:bookmarkStart w:id="85" w:name="_Toc184312089"/>
      <w:bookmarkEnd w:id="85"/>
      <w:bookmarkStart w:id="86" w:name="_Toc184308040"/>
      <w:bookmarkEnd w:id="86"/>
      <w:bookmarkStart w:id="87" w:name="_Toc184314450"/>
      <w:bookmarkEnd w:id="87"/>
      <w:bookmarkStart w:id="88" w:name="_Toc184310275"/>
      <w:bookmarkEnd w:id="88"/>
      <w:bookmarkStart w:id="89" w:name="_Toc184312138"/>
      <w:bookmarkEnd w:id="89"/>
      <w:bookmarkStart w:id="90" w:name="_Toc184308047"/>
      <w:bookmarkEnd w:id="90"/>
      <w:bookmarkStart w:id="91" w:name="_Toc184310298"/>
      <w:bookmarkEnd w:id="91"/>
      <w:bookmarkStart w:id="92" w:name="_Toc184313272"/>
      <w:bookmarkEnd w:id="92"/>
      <w:bookmarkStart w:id="93" w:name="_Toc184313293"/>
      <w:bookmarkEnd w:id="93"/>
      <w:bookmarkStart w:id="94" w:name="_Toc184312121"/>
      <w:bookmarkEnd w:id="94"/>
      <w:bookmarkStart w:id="95" w:name="_Toc184310317"/>
      <w:bookmarkEnd w:id="95"/>
      <w:bookmarkStart w:id="96" w:name="_Toc184313267"/>
      <w:bookmarkEnd w:id="96"/>
      <w:bookmarkStart w:id="97" w:name="_Toc184308100"/>
      <w:bookmarkEnd w:id="97"/>
      <w:bookmarkStart w:id="98" w:name="_Toc184310309"/>
      <w:bookmarkEnd w:id="98"/>
      <w:bookmarkStart w:id="99" w:name="_Toc184308076"/>
      <w:bookmarkEnd w:id="99"/>
      <w:bookmarkStart w:id="100" w:name="_Toc184314423"/>
      <w:bookmarkEnd w:id="100"/>
      <w:bookmarkStart w:id="101" w:name="_Toc184313263"/>
      <w:bookmarkEnd w:id="101"/>
      <w:bookmarkStart w:id="102" w:name="_Toc184310295"/>
      <w:bookmarkEnd w:id="102"/>
      <w:bookmarkStart w:id="103" w:name="_Toc184313262"/>
      <w:bookmarkEnd w:id="103"/>
      <w:bookmarkStart w:id="104" w:name="_Toc184310290"/>
      <w:bookmarkEnd w:id="104"/>
      <w:bookmarkStart w:id="105" w:name="_Toc184310312"/>
      <w:bookmarkEnd w:id="105"/>
      <w:bookmarkStart w:id="106" w:name="_Toc184314474"/>
      <w:bookmarkEnd w:id="106"/>
      <w:bookmarkStart w:id="107" w:name="_Toc184313241"/>
      <w:bookmarkEnd w:id="107"/>
      <w:bookmarkStart w:id="108" w:name="_Toc184308070"/>
      <w:bookmarkEnd w:id="108"/>
      <w:bookmarkStart w:id="109" w:name="_Toc184310334"/>
      <w:bookmarkEnd w:id="109"/>
      <w:bookmarkStart w:id="110" w:name="_Toc184312109"/>
      <w:bookmarkEnd w:id="110"/>
      <w:bookmarkStart w:id="111" w:name="_Toc184313294"/>
      <w:bookmarkEnd w:id="111"/>
      <w:bookmarkStart w:id="112" w:name="_Toc184310310"/>
      <w:bookmarkEnd w:id="112"/>
      <w:bookmarkStart w:id="113" w:name="_Toc184314461"/>
      <w:bookmarkEnd w:id="113"/>
      <w:bookmarkStart w:id="114" w:name="_Toc184310340"/>
      <w:bookmarkEnd w:id="114"/>
      <w:bookmarkStart w:id="115" w:name="_Toc184313239"/>
      <w:bookmarkEnd w:id="115"/>
      <w:bookmarkStart w:id="116" w:name="_Toc184312112"/>
      <w:bookmarkEnd w:id="116"/>
      <w:bookmarkStart w:id="117" w:name="_Toc184313299"/>
      <w:bookmarkEnd w:id="117"/>
      <w:bookmarkStart w:id="118" w:name="_Toc184310304"/>
      <w:bookmarkEnd w:id="118"/>
      <w:bookmarkStart w:id="119" w:name="_Toc184314460"/>
      <w:bookmarkEnd w:id="119"/>
      <w:bookmarkStart w:id="120" w:name="_Toc184314439"/>
      <w:bookmarkEnd w:id="120"/>
      <w:bookmarkStart w:id="121" w:name="_Toc184310300"/>
      <w:bookmarkEnd w:id="121"/>
      <w:bookmarkStart w:id="122" w:name="_Toc184310331"/>
      <w:bookmarkEnd w:id="122"/>
      <w:bookmarkStart w:id="123" w:name="_Toc184308056"/>
      <w:bookmarkEnd w:id="123"/>
      <w:bookmarkStart w:id="124" w:name="_Toc184312068"/>
      <w:bookmarkEnd w:id="124"/>
      <w:bookmarkStart w:id="125" w:name="_Toc184308054"/>
      <w:bookmarkEnd w:id="125"/>
      <w:bookmarkStart w:id="126" w:name="_Toc184308090"/>
      <w:bookmarkEnd w:id="126"/>
      <w:bookmarkStart w:id="127" w:name="_Toc184312098"/>
      <w:bookmarkEnd w:id="127"/>
      <w:bookmarkStart w:id="128" w:name="_Toc184313291"/>
      <w:bookmarkEnd w:id="128"/>
      <w:bookmarkStart w:id="129" w:name="_Toc184310323"/>
      <w:bookmarkEnd w:id="129"/>
      <w:bookmarkStart w:id="130" w:name="_Toc184308052"/>
      <w:bookmarkEnd w:id="130"/>
      <w:bookmarkStart w:id="131" w:name="_Toc184312137"/>
      <w:bookmarkEnd w:id="131"/>
      <w:bookmarkStart w:id="132" w:name="_Toc184314482"/>
      <w:bookmarkEnd w:id="132"/>
      <w:bookmarkStart w:id="133" w:name="_Toc184314425"/>
      <w:bookmarkEnd w:id="133"/>
      <w:bookmarkStart w:id="134" w:name="_Toc184312134"/>
      <w:bookmarkEnd w:id="134"/>
      <w:bookmarkStart w:id="135" w:name="_Toc184308041"/>
      <w:bookmarkEnd w:id="135"/>
      <w:bookmarkStart w:id="136" w:name="_Toc184312073"/>
      <w:bookmarkEnd w:id="136"/>
      <w:bookmarkStart w:id="137" w:name="_Toc184312113"/>
      <w:bookmarkEnd w:id="137"/>
      <w:bookmarkStart w:id="138" w:name="_Toc184312086"/>
      <w:bookmarkEnd w:id="138"/>
      <w:bookmarkStart w:id="139" w:name="_Toc184312100"/>
      <w:bookmarkEnd w:id="139"/>
      <w:bookmarkStart w:id="140" w:name="_Toc184312104"/>
      <w:bookmarkEnd w:id="140"/>
      <w:bookmarkStart w:id="141" w:name="_Toc184308045"/>
      <w:bookmarkEnd w:id="141"/>
      <w:bookmarkStart w:id="142" w:name="_Toc184312076"/>
      <w:bookmarkEnd w:id="142"/>
      <w:bookmarkStart w:id="143" w:name="_Toc184308043"/>
      <w:bookmarkEnd w:id="143"/>
      <w:bookmarkStart w:id="144" w:name="_Toc184312078"/>
      <w:bookmarkEnd w:id="144"/>
      <w:bookmarkStart w:id="145" w:name="_Toc184310272"/>
      <w:bookmarkEnd w:id="145"/>
      <w:bookmarkStart w:id="146" w:name="_Toc184312079"/>
      <w:bookmarkEnd w:id="146"/>
      <w:bookmarkStart w:id="147" w:name="_Toc184312091"/>
      <w:bookmarkEnd w:id="147"/>
      <w:bookmarkStart w:id="148" w:name="_Toc184313275"/>
      <w:bookmarkEnd w:id="148"/>
      <w:bookmarkStart w:id="149" w:name="_Toc184310293"/>
      <w:bookmarkEnd w:id="149"/>
      <w:bookmarkStart w:id="150" w:name="_Toc184313256"/>
      <w:bookmarkEnd w:id="150"/>
      <w:bookmarkStart w:id="151" w:name="_Toc184308078"/>
      <w:bookmarkEnd w:id="151"/>
      <w:bookmarkStart w:id="152" w:name="_Toc184308107"/>
      <w:bookmarkEnd w:id="152"/>
      <w:bookmarkStart w:id="153" w:name="_Toc184313270"/>
      <w:bookmarkEnd w:id="153"/>
      <w:bookmarkStart w:id="154" w:name="_Toc184310320"/>
      <w:bookmarkEnd w:id="154"/>
      <w:bookmarkStart w:id="155" w:name="_Toc184312129"/>
      <w:bookmarkEnd w:id="155"/>
      <w:bookmarkStart w:id="156" w:name="_Toc184313303"/>
      <w:bookmarkEnd w:id="156"/>
      <w:bookmarkStart w:id="157" w:name="_Toc184313240"/>
      <w:bookmarkEnd w:id="157"/>
      <w:bookmarkStart w:id="158" w:name="_Toc184310292"/>
      <w:bookmarkEnd w:id="158"/>
      <w:bookmarkStart w:id="159" w:name="_Toc184310318"/>
      <w:bookmarkEnd w:id="159"/>
      <w:bookmarkStart w:id="160" w:name="_Toc184310315"/>
      <w:bookmarkEnd w:id="160"/>
      <w:bookmarkStart w:id="161" w:name="_Toc184313260"/>
      <w:bookmarkEnd w:id="161"/>
      <w:bookmarkStart w:id="162" w:name="_Toc184314477"/>
      <w:bookmarkEnd w:id="162"/>
      <w:bookmarkStart w:id="163" w:name="_Toc184308059"/>
      <w:bookmarkEnd w:id="163"/>
      <w:bookmarkStart w:id="164" w:name="_Toc184310322"/>
      <w:bookmarkEnd w:id="164"/>
      <w:bookmarkStart w:id="165" w:name="_Toc184312123"/>
      <w:bookmarkEnd w:id="165"/>
      <w:bookmarkStart w:id="166" w:name="_Toc184310329"/>
      <w:bookmarkEnd w:id="166"/>
      <w:bookmarkStart w:id="167" w:name="_Toc184312122"/>
      <w:bookmarkEnd w:id="167"/>
      <w:bookmarkStart w:id="168" w:name="_Toc184308103"/>
      <w:bookmarkEnd w:id="168"/>
      <w:bookmarkStart w:id="169" w:name="_Toc184310341"/>
      <w:bookmarkEnd w:id="169"/>
      <w:bookmarkStart w:id="170" w:name="_Toc184310337"/>
      <w:bookmarkEnd w:id="170"/>
      <w:bookmarkStart w:id="171" w:name="_Toc184314455"/>
      <w:bookmarkEnd w:id="171"/>
      <w:bookmarkStart w:id="172" w:name="_Toc184314473"/>
      <w:bookmarkEnd w:id="172"/>
      <w:bookmarkStart w:id="173" w:name="_Toc184312107"/>
      <w:bookmarkEnd w:id="173"/>
      <w:bookmarkStart w:id="174" w:name="_Toc184310333"/>
      <w:bookmarkEnd w:id="174"/>
      <w:bookmarkStart w:id="175" w:name="_Toc184313273"/>
      <w:bookmarkEnd w:id="175"/>
      <w:bookmarkStart w:id="176" w:name="_Toc184314412"/>
      <w:bookmarkEnd w:id="176"/>
      <w:bookmarkStart w:id="177" w:name="_Toc184310343"/>
      <w:bookmarkEnd w:id="177"/>
      <w:bookmarkStart w:id="178" w:name="_Toc184313254"/>
      <w:bookmarkEnd w:id="178"/>
      <w:bookmarkStart w:id="179" w:name="_Toc184314470"/>
      <w:bookmarkEnd w:id="179"/>
      <w:bookmarkStart w:id="180" w:name="_Toc184314444"/>
      <w:bookmarkEnd w:id="180"/>
      <w:bookmarkStart w:id="181" w:name="_Toc184313246"/>
      <w:bookmarkEnd w:id="181"/>
      <w:bookmarkStart w:id="182" w:name="_Toc184308069"/>
      <w:bookmarkEnd w:id="182"/>
      <w:bookmarkStart w:id="183" w:name="_Toc184313292"/>
      <w:bookmarkEnd w:id="183"/>
      <w:bookmarkStart w:id="184" w:name="_Toc184310335"/>
      <w:bookmarkEnd w:id="184"/>
      <w:bookmarkStart w:id="185" w:name="_Toc184308064"/>
      <w:bookmarkEnd w:id="185"/>
      <w:bookmarkStart w:id="186" w:name="_Toc184312094"/>
      <w:bookmarkEnd w:id="186"/>
      <w:bookmarkStart w:id="187" w:name="_Toc184314418"/>
      <w:bookmarkEnd w:id="187"/>
      <w:bookmarkStart w:id="188" w:name="_Toc184312101"/>
      <w:bookmarkEnd w:id="188"/>
      <w:bookmarkStart w:id="189" w:name="_Toc184310321"/>
      <w:bookmarkEnd w:id="189"/>
      <w:bookmarkStart w:id="190" w:name="_Toc184312093"/>
      <w:bookmarkEnd w:id="190"/>
      <w:bookmarkStart w:id="191" w:name="_Toc184313259"/>
      <w:bookmarkEnd w:id="191"/>
      <w:bookmarkStart w:id="192" w:name="_Toc184308108"/>
      <w:bookmarkEnd w:id="192"/>
      <w:bookmarkStart w:id="193" w:name="_Toc184312075"/>
      <w:bookmarkEnd w:id="193"/>
      <w:bookmarkStart w:id="194" w:name="_Toc184313242"/>
      <w:bookmarkEnd w:id="194"/>
      <w:bookmarkStart w:id="195" w:name="_Toc184308053"/>
      <w:bookmarkEnd w:id="195"/>
      <w:bookmarkStart w:id="196" w:name="_Toc184314417"/>
      <w:bookmarkEnd w:id="196"/>
      <w:bookmarkStart w:id="197" w:name="_Toc184314447"/>
      <w:bookmarkEnd w:id="197"/>
      <w:bookmarkStart w:id="198" w:name="_Toc184312090"/>
      <w:bookmarkEnd w:id="198"/>
      <w:bookmarkStart w:id="199" w:name="_Toc184314410"/>
      <w:bookmarkEnd w:id="199"/>
      <w:bookmarkStart w:id="200" w:name="_Toc184310278"/>
      <w:bookmarkEnd w:id="200"/>
      <w:bookmarkStart w:id="201" w:name="_Toc184310327"/>
      <w:bookmarkEnd w:id="201"/>
      <w:bookmarkStart w:id="202" w:name="_Toc184314441"/>
      <w:bookmarkEnd w:id="202"/>
      <w:bookmarkStart w:id="203" w:name="_Toc184310325"/>
      <w:bookmarkEnd w:id="203"/>
      <w:bookmarkStart w:id="204" w:name="_Toc184314411"/>
      <w:bookmarkEnd w:id="204"/>
      <w:bookmarkStart w:id="205" w:name="_Toc184308039"/>
      <w:bookmarkEnd w:id="205"/>
      <w:bookmarkStart w:id="206" w:name="_Toc184312120"/>
      <w:bookmarkEnd w:id="206"/>
      <w:bookmarkStart w:id="207" w:name="_Toc184312106"/>
      <w:bookmarkEnd w:id="207"/>
      <w:bookmarkStart w:id="208" w:name="_Toc184308101"/>
      <w:bookmarkEnd w:id="208"/>
      <w:bookmarkStart w:id="209" w:name="_Toc184314426"/>
      <w:bookmarkEnd w:id="209"/>
      <w:bookmarkStart w:id="210" w:name="_Toc184313286"/>
      <w:bookmarkEnd w:id="210"/>
      <w:bookmarkStart w:id="211" w:name="_Toc184308106"/>
      <w:bookmarkEnd w:id="211"/>
      <w:bookmarkStart w:id="212" w:name="_Toc184314454"/>
      <w:bookmarkEnd w:id="212"/>
      <w:bookmarkStart w:id="213" w:name="_Toc184314478"/>
      <w:bookmarkEnd w:id="213"/>
      <w:bookmarkStart w:id="214" w:name="_Toc184308055"/>
      <w:bookmarkEnd w:id="214"/>
      <w:bookmarkStart w:id="215" w:name="_Toc184308089"/>
      <w:bookmarkEnd w:id="215"/>
      <w:bookmarkStart w:id="216" w:name="_Toc184310296"/>
      <w:bookmarkEnd w:id="216"/>
      <w:bookmarkStart w:id="217" w:name="_Toc184310288"/>
      <w:bookmarkEnd w:id="217"/>
      <w:bookmarkStart w:id="218" w:name="_Toc184310285"/>
      <w:bookmarkEnd w:id="218"/>
      <w:bookmarkStart w:id="219" w:name="_Toc184314434"/>
      <w:bookmarkEnd w:id="219"/>
      <w:bookmarkStart w:id="220" w:name="_Toc184313268"/>
      <w:bookmarkEnd w:id="220"/>
      <w:bookmarkStart w:id="221" w:name="_Toc184314416"/>
      <w:bookmarkEnd w:id="221"/>
      <w:bookmarkStart w:id="222" w:name="_Toc184313269"/>
      <w:bookmarkEnd w:id="222"/>
      <w:bookmarkStart w:id="223" w:name="_Toc184310302"/>
      <w:bookmarkEnd w:id="223"/>
      <w:bookmarkStart w:id="224" w:name="_Toc184308050"/>
      <w:bookmarkEnd w:id="224"/>
      <w:bookmarkStart w:id="225" w:name="_Toc184314443"/>
      <w:bookmarkEnd w:id="225"/>
      <w:bookmarkStart w:id="226" w:name="_Toc184308062"/>
      <w:bookmarkEnd w:id="226"/>
      <w:bookmarkStart w:id="227" w:name="_Toc184310273"/>
      <w:bookmarkEnd w:id="227"/>
      <w:bookmarkStart w:id="228" w:name="_Toc184313308"/>
      <w:bookmarkEnd w:id="228"/>
      <w:bookmarkStart w:id="229" w:name="_Toc184308105"/>
      <w:bookmarkEnd w:id="229"/>
      <w:bookmarkStart w:id="230" w:name="_Toc184313249"/>
      <w:bookmarkEnd w:id="230"/>
      <w:bookmarkStart w:id="231" w:name="_Toc184314427"/>
      <w:bookmarkEnd w:id="231"/>
      <w:bookmarkStart w:id="232" w:name="_Toc184310274"/>
      <w:bookmarkEnd w:id="232"/>
      <w:bookmarkStart w:id="233" w:name="_Toc184310291"/>
      <w:bookmarkEnd w:id="233"/>
      <w:bookmarkStart w:id="234" w:name="_Toc184310330"/>
      <w:bookmarkEnd w:id="234"/>
      <w:bookmarkStart w:id="235" w:name="_Toc184312077"/>
      <w:bookmarkEnd w:id="235"/>
      <w:bookmarkStart w:id="236" w:name="_Toc184310319"/>
      <w:bookmarkEnd w:id="236"/>
      <w:bookmarkStart w:id="237" w:name="_Toc184313282"/>
      <w:bookmarkEnd w:id="237"/>
      <w:bookmarkStart w:id="238" w:name="_Toc184313280"/>
      <w:bookmarkEnd w:id="238"/>
      <w:bookmarkStart w:id="239" w:name="_Toc184308063"/>
      <w:bookmarkEnd w:id="239"/>
      <w:bookmarkStart w:id="240" w:name="_Toc184312067"/>
      <w:bookmarkEnd w:id="240"/>
      <w:bookmarkStart w:id="241" w:name="_Toc184313264"/>
      <w:bookmarkEnd w:id="241"/>
      <w:bookmarkStart w:id="242" w:name="_Toc184308083"/>
      <w:bookmarkEnd w:id="242"/>
      <w:bookmarkStart w:id="243" w:name="_Toc184308088"/>
      <w:bookmarkEnd w:id="243"/>
      <w:bookmarkStart w:id="244" w:name="_Toc184312069"/>
      <w:bookmarkEnd w:id="244"/>
      <w:bookmarkStart w:id="245" w:name="_Toc184313283"/>
      <w:bookmarkEnd w:id="245"/>
      <w:bookmarkStart w:id="246" w:name="_Toc184313288"/>
      <w:bookmarkEnd w:id="246"/>
      <w:bookmarkStart w:id="247" w:name="_Toc184314481"/>
      <w:bookmarkEnd w:id="247"/>
      <w:bookmarkStart w:id="248" w:name="_Toc184314471"/>
      <w:bookmarkEnd w:id="248"/>
      <w:bookmarkStart w:id="249" w:name="_Toc184308038"/>
      <w:bookmarkEnd w:id="249"/>
      <w:bookmarkStart w:id="250" w:name="_Toc184314479"/>
      <w:bookmarkEnd w:id="250"/>
      <w:bookmarkStart w:id="251" w:name="_Toc184308071"/>
      <w:bookmarkEnd w:id="251"/>
      <w:bookmarkStart w:id="252" w:name="_Toc184312070"/>
      <w:bookmarkEnd w:id="252"/>
      <w:bookmarkStart w:id="253" w:name="_Toc184308036"/>
      <w:bookmarkEnd w:id="253"/>
      <w:bookmarkStart w:id="254" w:name="_Toc184312099"/>
      <w:bookmarkEnd w:id="254"/>
      <w:bookmarkStart w:id="255" w:name="_Toc184310283"/>
      <w:bookmarkEnd w:id="255"/>
      <w:bookmarkStart w:id="256" w:name="_Toc184312117"/>
      <w:bookmarkEnd w:id="256"/>
      <w:bookmarkStart w:id="257" w:name="_Toc184314431"/>
      <w:bookmarkEnd w:id="257"/>
      <w:bookmarkStart w:id="258" w:name="_Toc184313250"/>
      <w:bookmarkEnd w:id="258"/>
      <w:bookmarkStart w:id="259" w:name="_Toc184314463"/>
      <w:bookmarkEnd w:id="259"/>
      <w:bookmarkStart w:id="260" w:name="_Toc184313244"/>
      <w:bookmarkEnd w:id="260"/>
      <w:bookmarkStart w:id="261" w:name="_Toc184312126"/>
      <w:bookmarkEnd w:id="261"/>
      <w:bookmarkStart w:id="262" w:name="_Toc184310297"/>
      <w:bookmarkEnd w:id="262"/>
      <w:bookmarkStart w:id="263" w:name="_Toc184314465"/>
      <w:bookmarkEnd w:id="263"/>
      <w:bookmarkStart w:id="264" w:name="_Toc184308074"/>
      <w:bookmarkEnd w:id="264"/>
      <w:bookmarkStart w:id="265" w:name="_Toc184314419"/>
      <w:bookmarkEnd w:id="265"/>
      <w:bookmarkStart w:id="266" w:name="_Toc184313296"/>
      <w:bookmarkEnd w:id="266"/>
      <w:bookmarkStart w:id="267" w:name="_Toc184312105"/>
      <w:bookmarkEnd w:id="267"/>
      <w:bookmarkStart w:id="268" w:name="_Toc184310344"/>
      <w:bookmarkEnd w:id="268"/>
      <w:bookmarkStart w:id="269" w:name="_Toc184314414"/>
      <w:bookmarkEnd w:id="269"/>
      <w:bookmarkStart w:id="270" w:name="_Toc184308046"/>
      <w:bookmarkEnd w:id="270"/>
      <w:bookmarkStart w:id="271" w:name="_Toc184308079"/>
      <w:bookmarkEnd w:id="271"/>
      <w:bookmarkStart w:id="272" w:name="_Toc184314469"/>
      <w:bookmarkEnd w:id="272"/>
      <w:bookmarkStart w:id="273" w:name="_Toc184312083"/>
      <w:bookmarkEnd w:id="273"/>
      <w:bookmarkStart w:id="274" w:name="_Toc184308051"/>
      <w:bookmarkEnd w:id="274"/>
      <w:bookmarkStart w:id="275" w:name="_Toc184312133"/>
      <w:bookmarkEnd w:id="275"/>
      <w:bookmarkStart w:id="276" w:name="_Toc184314438"/>
      <w:bookmarkEnd w:id="276"/>
      <w:bookmarkStart w:id="277" w:name="_Toc184312127"/>
      <w:bookmarkEnd w:id="277"/>
      <w:bookmarkStart w:id="278" w:name="_Toc184308042"/>
      <w:bookmarkEnd w:id="278"/>
      <w:bookmarkStart w:id="279" w:name="_Toc184313306"/>
      <w:bookmarkEnd w:id="279"/>
      <w:bookmarkStart w:id="280" w:name="_Toc184312092"/>
      <w:bookmarkEnd w:id="280"/>
      <w:bookmarkStart w:id="281" w:name="_Toc184314448"/>
      <w:bookmarkEnd w:id="281"/>
      <w:bookmarkStart w:id="282" w:name="_Toc184314449"/>
      <w:bookmarkEnd w:id="282"/>
      <w:bookmarkStart w:id="283" w:name="_Toc184310282"/>
      <w:bookmarkEnd w:id="283"/>
      <w:bookmarkStart w:id="284" w:name="_Toc184312085"/>
      <w:bookmarkEnd w:id="284"/>
      <w:bookmarkStart w:id="285" w:name="_Toc184310303"/>
      <w:bookmarkEnd w:id="285"/>
      <w:bookmarkStart w:id="286" w:name="_Toc184308082"/>
      <w:bookmarkEnd w:id="286"/>
      <w:bookmarkStart w:id="287" w:name="_Toc184313284"/>
      <w:bookmarkEnd w:id="287"/>
      <w:bookmarkStart w:id="288" w:name="_Toc184314424"/>
      <w:bookmarkEnd w:id="288"/>
      <w:bookmarkStart w:id="289" w:name="_Toc184310306"/>
      <w:bookmarkEnd w:id="289"/>
      <w:bookmarkStart w:id="290" w:name="_Toc184308085"/>
      <w:bookmarkEnd w:id="290"/>
      <w:bookmarkStart w:id="291" w:name="_Toc184312088"/>
      <w:bookmarkEnd w:id="291"/>
      <w:bookmarkStart w:id="292" w:name="_Toc184312096"/>
      <w:bookmarkEnd w:id="292"/>
      <w:bookmarkStart w:id="293" w:name="_Toc184313277"/>
      <w:bookmarkEnd w:id="293"/>
      <w:bookmarkStart w:id="294" w:name="_Toc184308099"/>
      <w:bookmarkEnd w:id="294"/>
      <w:bookmarkStart w:id="295" w:name="_Toc184314467"/>
      <w:bookmarkEnd w:id="295"/>
      <w:bookmarkStart w:id="296" w:name="_Toc184314452"/>
      <w:bookmarkEnd w:id="296"/>
      <w:bookmarkStart w:id="297" w:name="_Toc184312124"/>
      <w:bookmarkEnd w:id="297"/>
      <w:bookmarkStart w:id="298" w:name="_Toc184308060"/>
      <w:bookmarkEnd w:id="298"/>
      <w:bookmarkStart w:id="299" w:name="_Toc184312084"/>
      <w:bookmarkEnd w:id="299"/>
      <w:bookmarkStart w:id="300" w:name="_Toc184308072"/>
      <w:bookmarkEnd w:id="300"/>
      <w:bookmarkStart w:id="301" w:name="_Toc184313253"/>
      <w:bookmarkEnd w:id="301"/>
      <w:bookmarkStart w:id="302" w:name="_Toc184312115"/>
      <w:bookmarkEnd w:id="302"/>
      <w:bookmarkStart w:id="303" w:name="_Toc184308077"/>
      <w:bookmarkEnd w:id="303"/>
      <w:bookmarkStart w:id="304" w:name="_Toc184312097"/>
      <w:bookmarkEnd w:id="304"/>
      <w:bookmarkStart w:id="305" w:name="_Toc184312080"/>
      <w:bookmarkEnd w:id="305"/>
      <w:bookmarkStart w:id="306" w:name="_Toc184313251"/>
      <w:bookmarkEnd w:id="306"/>
      <w:bookmarkStart w:id="307" w:name="_Toc184313238"/>
      <w:bookmarkEnd w:id="307"/>
      <w:bookmarkStart w:id="308" w:name="_Toc184312136"/>
      <w:bookmarkEnd w:id="308"/>
      <w:bookmarkStart w:id="309" w:name="_Toc184313285"/>
      <w:bookmarkEnd w:id="309"/>
      <w:bookmarkStart w:id="310" w:name="_Toc184314421"/>
      <w:bookmarkEnd w:id="310"/>
      <w:bookmarkStart w:id="311" w:name="_Toc184308094"/>
      <w:bookmarkEnd w:id="311"/>
      <w:bookmarkStart w:id="312" w:name="_Toc184308049"/>
      <w:bookmarkEnd w:id="312"/>
      <w:bookmarkStart w:id="313" w:name="_Toc184314475"/>
      <w:bookmarkEnd w:id="313"/>
      <w:bookmarkStart w:id="314" w:name="_Toc184308068"/>
      <w:bookmarkEnd w:id="314"/>
      <w:bookmarkStart w:id="315" w:name="_Toc184314456"/>
      <w:bookmarkEnd w:id="315"/>
      <w:bookmarkStart w:id="316" w:name="_Toc184310308"/>
      <w:bookmarkEnd w:id="316"/>
      <w:bookmarkStart w:id="317" w:name="_Toc184308037"/>
      <w:bookmarkEnd w:id="317"/>
      <w:bookmarkStart w:id="318" w:name="_Toc184310289"/>
      <w:bookmarkEnd w:id="318"/>
      <w:bookmarkStart w:id="319" w:name="_Toc184312108"/>
      <w:bookmarkEnd w:id="319"/>
      <w:bookmarkStart w:id="320" w:name="_Toc184310313"/>
      <w:bookmarkEnd w:id="320"/>
      <w:bookmarkStart w:id="321" w:name="_Toc184314428"/>
      <w:bookmarkEnd w:id="321"/>
      <w:bookmarkStart w:id="322" w:name="_Toc184313310"/>
      <w:bookmarkEnd w:id="322"/>
      <w:bookmarkStart w:id="323" w:name="_Toc184310332"/>
      <w:bookmarkEnd w:id="323"/>
      <w:bookmarkStart w:id="324" w:name="_Toc184312072"/>
      <w:bookmarkEnd w:id="324"/>
      <w:bookmarkStart w:id="325" w:name="_Toc184314429"/>
      <w:bookmarkEnd w:id="325"/>
      <w:bookmarkStart w:id="326" w:name="_Toc184314435"/>
      <w:bookmarkEnd w:id="326"/>
      <w:bookmarkStart w:id="327" w:name="_Toc184313307"/>
      <w:bookmarkEnd w:id="327"/>
      <w:bookmarkStart w:id="328" w:name="_Toc184314446"/>
      <w:bookmarkEnd w:id="328"/>
      <w:bookmarkStart w:id="329" w:name="_Toc184308097"/>
      <w:bookmarkEnd w:id="329"/>
      <w:bookmarkStart w:id="330" w:name="_Toc184313300"/>
      <w:bookmarkEnd w:id="330"/>
      <w:bookmarkStart w:id="331" w:name="_Toc184313258"/>
      <w:bookmarkEnd w:id="331"/>
      <w:bookmarkStart w:id="332" w:name="_Toc184310339"/>
      <w:bookmarkEnd w:id="332"/>
      <w:bookmarkStart w:id="333" w:name="_Toc184314466"/>
      <w:bookmarkEnd w:id="333"/>
      <w:bookmarkStart w:id="334" w:name="_Toc184308087"/>
      <w:bookmarkEnd w:id="334"/>
      <w:bookmarkStart w:id="335" w:name="_Toc184314437"/>
      <w:bookmarkEnd w:id="335"/>
      <w:bookmarkStart w:id="336" w:name="_Toc184314472"/>
      <w:bookmarkEnd w:id="336"/>
      <w:bookmarkStart w:id="337" w:name="_Toc184313265"/>
      <w:bookmarkEnd w:id="337"/>
      <w:bookmarkStart w:id="338" w:name="_Toc184313274"/>
      <w:bookmarkEnd w:id="338"/>
      <w:bookmarkStart w:id="339" w:name="_Toc184308044"/>
      <w:bookmarkEnd w:id="339"/>
      <w:bookmarkStart w:id="340" w:name="_Toc184310280"/>
      <w:bookmarkEnd w:id="340"/>
      <w:bookmarkStart w:id="341" w:name="_Toc184312071"/>
      <w:bookmarkEnd w:id="341"/>
      <w:bookmarkStart w:id="342" w:name="_Toc184313276"/>
      <w:bookmarkEnd w:id="342"/>
      <w:bookmarkStart w:id="343" w:name="_Toc184313248"/>
      <w:bookmarkEnd w:id="343"/>
      <w:bookmarkStart w:id="344" w:name="_Toc184310299"/>
      <w:bookmarkEnd w:id="344"/>
      <w:bookmarkStart w:id="345" w:name="_Toc184314451"/>
      <w:bookmarkEnd w:id="345"/>
      <w:bookmarkStart w:id="346" w:name="_Toc184313304"/>
      <w:bookmarkEnd w:id="346"/>
      <w:bookmarkStart w:id="347" w:name="_Toc184313279"/>
      <w:bookmarkEnd w:id="347"/>
      <w:bookmarkStart w:id="348" w:name="_Toc184308086"/>
      <w:bookmarkEnd w:id="348"/>
      <w:bookmarkStart w:id="349" w:name="_Toc184314415"/>
      <w:bookmarkEnd w:id="349"/>
      <w:bookmarkStart w:id="350" w:name="_Toc184312118"/>
      <w:bookmarkEnd w:id="350"/>
      <w:bookmarkStart w:id="351" w:name="_Toc184310305"/>
      <w:bookmarkEnd w:id="351"/>
      <w:bookmarkStart w:id="352" w:name="_Toc184310287"/>
      <w:bookmarkEnd w:id="352"/>
      <w:bookmarkStart w:id="353" w:name="_Toc184308081"/>
      <w:bookmarkEnd w:id="353"/>
      <w:bookmarkStart w:id="354" w:name="_Toc184313302"/>
      <w:bookmarkEnd w:id="354"/>
      <w:bookmarkStart w:id="355" w:name="_Toc184308067"/>
      <w:bookmarkEnd w:id="355"/>
      <w:bookmarkStart w:id="356" w:name="_Toc184312081"/>
      <w:bookmarkEnd w:id="356"/>
      <w:bookmarkStart w:id="357" w:name="_Toc184310314"/>
      <w:bookmarkEnd w:id="357"/>
      <w:bookmarkStart w:id="358" w:name="_Toc184314476"/>
      <w:bookmarkEnd w:id="358"/>
      <w:bookmarkStart w:id="359" w:name="_Toc184312082"/>
      <w:bookmarkEnd w:id="359"/>
      <w:bookmarkStart w:id="360" w:name="_Toc184310284"/>
      <w:bookmarkEnd w:id="360"/>
      <w:bookmarkStart w:id="361" w:name="_Toc184314468"/>
      <w:bookmarkEnd w:id="361"/>
      <w:bookmarkStart w:id="362" w:name="_Toc184310338"/>
      <w:bookmarkEnd w:id="362"/>
      <w:bookmarkStart w:id="363" w:name="_Toc184310276"/>
      <w:bookmarkEnd w:id="363"/>
      <w:bookmarkStart w:id="364" w:name="_Toc184310307"/>
      <w:bookmarkEnd w:id="364"/>
      <w:bookmarkStart w:id="365" w:name="_Toc184314480"/>
      <w:bookmarkEnd w:id="365"/>
      <w:bookmarkStart w:id="366" w:name="_Toc184313297"/>
      <w:bookmarkEnd w:id="366"/>
      <w:bookmarkStart w:id="367" w:name="_Toc184314432"/>
      <w:bookmarkEnd w:id="367"/>
      <w:bookmarkStart w:id="368" w:name="_Toc184312119"/>
      <w:bookmarkEnd w:id="368"/>
      <w:bookmarkStart w:id="369" w:name="_Toc184314442"/>
      <w:bookmarkEnd w:id="369"/>
      <w:bookmarkStart w:id="370" w:name="_Toc184312139"/>
      <w:bookmarkEnd w:id="370"/>
      <w:bookmarkStart w:id="371" w:name="_Toc184314445"/>
      <w:bookmarkEnd w:id="371"/>
      <w:bookmarkStart w:id="372" w:name="_Toc184314436"/>
      <w:bookmarkEnd w:id="372"/>
      <w:bookmarkStart w:id="373" w:name="_Toc184308093"/>
      <w:bookmarkEnd w:id="373"/>
      <w:bookmarkStart w:id="374" w:name="_Toc184308091"/>
      <w:bookmarkEnd w:id="374"/>
      <w:bookmarkStart w:id="375" w:name="_Toc184310326"/>
      <w:bookmarkEnd w:id="375"/>
      <w:bookmarkStart w:id="376" w:name="_Toc184313252"/>
      <w:bookmarkEnd w:id="376"/>
      <w:bookmarkStart w:id="377" w:name="_Toc184310281"/>
      <w:bookmarkEnd w:id="377"/>
      <w:bookmarkStart w:id="378" w:name="_Toc184312130"/>
      <w:bookmarkEnd w:id="378"/>
      <w:bookmarkStart w:id="379" w:name="_Toc184308061"/>
      <w:bookmarkEnd w:id="379"/>
      <w:bookmarkStart w:id="380" w:name="_Toc184312110"/>
      <w:bookmarkEnd w:id="380"/>
      <w:bookmarkStart w:id="381" w:name="_Toc184310301"/>
      <w:bookmarkEnd w:id="381"/>
      <w:bookmarkStart w:id="382" w:name="_Toc184313271"/>
      <w:bookmarkEnd w:id="382"/>
      <w:bookmarkStart w:id="383" w:name="_Toc184308048"/>
      <w:bookmarkEnd w:id="383"/>
      <w:bookmarkStart w:id="384" w:name="_Toc184312125"/>
      <w:bookmarkEnd w:id="384"/>
      <w:bookmarkStart w:id="385" w:name="_Toc184308057"/>
      <w:bookmarkEnd w:id="385"/>
      <w:bookmarkStart w:id="386" w:name="_Toc184308084"/>
      <w:bookmarkEnd w:id="386"/>
      <w:bookmarkStart w:id="387" w:name="_Toc184310324"/>
      <w:bookmarkEnd w:id="387"/>
      <w:bookmarkStart w:id="388" w:name="_Toc184310286"/>
      <w:bookmarkEnd w:id="388"/>
      <w:bookmarkStart w:id="389" w:name="_Toc184314462"/>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08B4CB0B">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0分）</w:t>
      </w:r>
    </w:p>
    <w:tbl>
      <w:tblPr>
        <w:tblStyle w:val="65"/>
        <w:tblW w:w="53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85"/>
        <w:gridCol w:w="7700"/>
        <w:gridCol w:w="863"/>
      </w:tblGrid>
      <w:tr w14:paraId="5BB2B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0" w:type="pct"/>
            <w:noWrap w:val="0"/>
            <w:vAlign w:val="center"/>
          </w:tcPr>
          <w:p w14:paraId="1162B7E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59" w:type="pct"/>
            <w:noWrap w:val="0"/>
            <w:vAlign w:val="center"/>
          </w:tcPr>
          <w:p w14:paraId="53A808A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3633" w:type="pct"/>
            <w:noWrap w:val="0"/>
            <w:vAlign w:val="center"/>
          </w:tcPr>
          <w:p w14:paraId="08B2ECBE">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评分要点及说明</w:t>
            </w:r>
          </w:p>
        </w:tc>
        <w:tc>
          <w:tcPr>
            <w:tcW w:w="407" w:type="pct"/>
            <w:noWrap w:val="0"/>
            <w:vAlign w:val="center"/>
          </w:tcPr>
          <w:p w14:paraId="0F88D367">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14:paraId="69DCE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00" w:type="pct"/>
            <w:vMerge w:val="restart"/>
            <w:noWrap w:val="0"/>
            <w:vAlign w:val="center"/>
          </w:tcPr>
          <w:p w14:paraId="062B6510">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p>
        </w:tc>
        <w:tc>
          <w:tcPr>
            <w:tcW w:w="559" w:type="pct"/>
            <w:vMerge w:val="restart"/>
            <w:noWrap w:val="0"/>
            <w:vAlign w:val="center"/>
          </w:tcPr>
          <w:p w14:paraId="79720C6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综合</w:t>
            </w:r>
          </w:p>
          <w:p w14:paraId="5BA3556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bCs/>
                <w:color w:val="auto"/>
                <w:spacing w:val="-3"/>
                <w:sz w:val="24"/>
                <w:szCs w:val="24"/>
                <w:highlight w:val="none"/>
                <w:lang w:val="en-US" w:eastAsia="zh-CN"/>
              </w:rPr>
              <w:t>实力</w:t>
            </w:r>
          </w:p>
        </w:tc>
        <w:tc>
          <w:tcPr>
            <w:tcW w:w="3633" w:type="pct"/>
            <w:noWrap w:val="0"/>
            <w:vAlign w:val="center"/>
          </w:tcPr>
          <w:p w14:paraId="199AFFB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具有养老机构设立许可证</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2分。</w:t>
            </w:r>
          </w:p>
          <w:p w14:paraId="5EB3FAD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3026579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highlight w:val="none"/>
              </w:rPr>
            </w:pPr>
            <w:r>
              <w:rPr>
                <w:rFonts w:hint="eastAsia" w:ascii="仿宋" w:hAnsi="仿宋" w:eastAsia="仿宋" w:cs="宋体"/>
                <w:b/>
                <w:bCs/>
                <w:color w:val="auto"/>
                <w:sz w:val="24"/>
                <w:szCs w:val="24"/>
                <w:highlight w:val="none"/>
                <w:lang w:val="en-US" w:eastAsia="zh-CN"/>
              </w:rPr>
              <w:t>2分</w:t>
            </w:r>
          </w:p>
        </w:tc>
      </w:tr>
      <w:tr w14:paraId="6DA47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00" w:type="pct"/>
            <w:vMerge w:val="continue"/>
            <w:noWrap w:val="0"/>
            <w:vAlign w:val="center"/>
          </w:tcPr>
          <w:p w14:paraId="11B2348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noWrap w:val="0"/>
            <w:vAlign w:val="center"/>
          </w:tcPr>
          <w:p w14:paraId="06AAE28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20FE905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w:t>
            </w:r>
            <w:r>
              <w:rPr>
                <w:rFonts w:hint="eastAsia" w:ascii="仿宋" w:hAnsi="仿宋" w:eastAsia="仿宋" w:cs="仿宋"/>
                <w:color w:val="auto"/>
                <w:sz w:val="24"/>
                <w:szCs w:val="24"/>
                <w:highlight w:val="none"/>
              </w:rPr>
              <w:t>市场监管局阳光厨房建设单位，</w:t>
            </w:r>
            <w:r>
              <w:rPr>
                <w:rFonts w:hint="eastAsia" w:ascii="仿宋" w:hAnsi="仿宋" w:eastAsia="仿宋" w:cs="仿宋"/>
                <w:color w:val="auto"/>
                <w:sz w:val="24"/>
                <w:szCs w:val="24"/>
                <w:highlight w:val="none"/>
                <w:lang w:val="en-US" w:eastAsia="zh-CN"/>
              </w:rPr>
              <w:t>A级阳光厨房得</w:t>
            </w:r>
            <w:r>
              <w:rPr>
                <w:rFonts w:hint="eastAsia" w:ascii="仿宋" w:hAnsi="仿宋" w:eastAsia="仿宋" w:cs="仿宋"/>
                <w:color w:val="auto"/>
                <w:sz w:val="24"/>
                <w:szCs w:val="24"/>
                <w:highlight w:val="none"/>
              </w:rPr>
              <w:t>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B级阳光厨房得2分、C级阳光厨房得1分，本项最高得3分。</w:t>
            </w:r>
          </w:p>
          <w:p w14:paraId="5BF88B5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D9FA8A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548D4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00" w:type="pct"/>
            <w:vMerge w:val="continue"/>
            <w:noWrap w:val="0"/>
            <w:vAlign w:val="center"/>
          </w:tcPr>
          <w:p w14:paraId="1B97F924">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noWrap w:val="0"/>
            <w:vAlign w:val="center"/>
          </w:tcPr>
          <w:p w14:paraId="47F23D4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0ECB817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7"/>
                <w:sz w:val="24"/>
                <w:szCs w:val="24"/>
                <w:highlight w:val="none"/>
                <w:lang w:eastAsia="zh-CN"/>
              </w:rPr>
            </w:pPr>
            <w:r>
              <w:rPr>
                <w:rFonts w:hint="eastAsia" w:ascii="仿宋" w:hAnsi="仿宋" w:eastAsia="仿宋" w:cs="仿宋"/>
                <w:color w:val="auto"/>
                <w:sz w:val="24"/>
                <w:szCs w:val="24"/>
                <w:highlight w:val="none"/>
                <w:lang w:val="en-US" w:eastAsia="zh-CN"/>
              </w:rPr>
              <w:t>自2021年1月1日以来（以合同签订时间为准），投标人有运营四星级以上残疾人之家经验的，每提供1个得1分，有运营三星级以上残疾人之家经验的，每提供1个得0.5分，本项最高得3分。</w:t>
            </w:r>
          </w:p>
          <w:p w14:paraId="5F9B75C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
                <w:b/>
                <w:bCs/>
                <w:color w:val="auto"/>
                <w:spacing w:val="-3"/>
                <w:sz w:val="24"/>
                <w:szCs w:val="24"/>
                <w:highlight w:val="none"/>
              </w:rPr>
              <w:t>提供相关合同</w:t>
            </w:r>
            <w:r>
              <w:rPr>
                <w:rFonts w:hint="eastAsia" w:ascii="仿宋" w:hAnsi="仿宋" w:eastAsia="仿宋" w:cs="仿宋"/>
                <w:b/>
                <w:bCs/>
                <w:color w:val="auto"/>
                <w:spacing w:val="-3"/>
                <w:sz w:val="24"/>
                <w:szCs w:val="24"/>
                <w:highlight w:val="none"/>
                <w:lang w:val="en-US" w:eastAsia="zh-CN"/>
              </w:rPr>
              <w:t>复印</w:t>
            </w:r>
            <w:r>
              <w:rPr>
                <w:rFonts w:hint="eastAsia" w:ascii="仿宋" w:hAnsi="仿宋" w:eastAsia="仿宋" w:cs="仿宋"/>
                <w:b/>
                <w:bCs/>
                <w:color w:val="auto"/>
                <w:spacing w:val="-3"/>
                <w:sz w:val="24"/>
                <w:szCs w:val="24"/>
                <w:highlight w:val="none"/>
              </w:rPr>
              <w:t>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3D6F6D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61A31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0" w:type="pct"/>
            <w:vMerge w:val="continue"/>
            <w:noWrap w:val="0"/>
            <w:vAlign w:val="center"/>
          </w:tcPr>
          <w:p w14:paraId="2717858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noWrap w:val="0"/>
            <w:vAlign w:val="center"/>
          </w:tcPr>
          <w:p w14:paraId="709FA9D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69D8D48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现在诸暨市拥有或运营的残疾人之家具有政府部门颁发的三星残疾人之家得1分，四星残疾人之家得2分，五星残疾人之家得3分，本项最高得3分。</w:t>
            </w:r>
          </w:p>
          <w:p w14:paraId="4427C2A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7925CD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5248F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0" w:type="pct"/>
            <w:vMerge w:val="continue"/>
            <w:noWrap w:val="0"/>
            <w:vAlign w:val="center"/>
          </w:tcPr>
          <w:p w14:paraId="4A62705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noWrap w:val="0"/>
            <w:vAlign w:val="center"/>
          </w:tcPr>
          <w:p w14:paraId="154766A0">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37890FF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投标人机构内设有重度残疾人托养中心的，得5分；设有孤独症专区的，得5分，本项最高得10分。</w:t>
            </w:r>
          </w:p>
          <w:p w14:paraId="778AF8D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B20CA1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10分</w:t>
            </w:r>
          </w:p>
        </w:tc>
      </w:tr>
      <w:tr w14:paraId="438C6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noWrap w:val="0"/>
            <w:vAlign w:val="center"/>
          </w:tcPr>
          <w:p w14:paraId="48F1845E">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p>
        </w:tc>
        <w:tc>
          <w:tcPr>
            <w:tcW w:w="559" w:type="pct"/>
            <w:noWrap w:val="0"/>
            <w:vAlign w:val="center"/>
          </w:tcPr>
          <w:p w14:paraId="43940872">
            <w:pPr>
              <w:keepNext w:val="0"/>
              <w:keepLines w:val="0"/>
              <w:pageBreakBefore w:val="0"/>
              <w:kinsoku/>
              <w:wordWrap/>
              <w:overflowPunct/>
              <w:topLinePunct w:val="0"/>
              <w:bidi w:val="0"/>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投标人原机构项目管理人员团队</w:t>
            </w:r>
          </w:p>
        </w:tc>
        <w:tc>
          <w:tcPr>
            <w:tcW w:w="3633" w:type="pct"/>
            <w:noWrap w:val="0"/>
            <w:vAlign w:val="center"/>
          </w:tcPr>
          <w:p w14:paraId="093D148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实际运营项目的管理团队和运营团队岗位架构清晰，设置合理，岗位责任明确，落实到人。承担项目的人员职业资格、学历以及相关项目经验与岗位责任相适应。负责项目的管理和运营团队架构清晰，职能完整；业务范围或组织宗旨与本项目适应，一定数量以上的床的良好养老机构</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44E9227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团队岗位架构清晰、人员配置合理，能够完全满足或高于本项目实施需求的得（4,6]分；团队岗位架构相对清晰、合理，基本满足项目实施需求的得（2,4]分；团队架构合理程度、完整性较欠缺的得（0,2]分；无相关内容或不符合项目的不得分。</w:t>
            </w:r>
          </w:p>
        </w:tc>
        <w:tc>
          <w:tcPr>
            <w:tcW w:w="407" w:type="pct"/>
            <w:noWrap w:val="0"/>
            <w:vAlign w:val="center"/>
          </w:tcPr>
          <w:p w14:paraId="5C2BD22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6分</w:t>
            </w:r>
          </w:p>
        </w:tc>
      </w:tr>
      <w:tr w14:paraId="2AC2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5EAD41CC">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p>
        </w:tc>
        <w:tc>
          <w:tcPr>
            <w:tcW w:w="559" w:type="pct"/>
            <w:noWrap w:val="0"/>
            <w:vAlign w:val="center"/>
          </w:tcPr>
          <w:p w14:paraId="35B0799F">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项目服务人员团队</w:t>
            </w:r>
          </w:p>
        </w:tc>
        <w:tc>
          <w:tcPr>
            <w:tcW w:w="3633" w:type="pct"/>
            <w:noWrap w:val="0"/>
            <w:vAlign w:val="center"/>
          </w:tcPr>
          <w:p w14:paraId="3D8CEAC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拟派项目人员及团队情况：</w:t>
            </w:r>
          </w:p>
          <w:p w14:paraId="30E0822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①是医养结合单位的，得2分；</w:t>
            </w:r>
          </w:p>
          <w:p w14:paraId="377AC00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②具备高级社会工作师的，每个持证人员得2分；具备中级社会工作师的，每个持证人员得1分；具备助理社会工作师的，每个持证人员得0.5分，本项最高得3分；</w:t>
            </w:r>
          </w:p>
          <w:p w14:paraId="05C03EB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③具备康复理疗师的，每个持证人员得0.5分，本项最高得1分；</w:t>
            </w:r>
          </w:p>
          <w:p w14:paraId="727B420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④具备护士执业证书的，每个持证人员得0.5分，本项最高得1分；</w:t>
            </w:r>
          </w:p>
          <w:p w14:paraId="5E7E406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⑤具备三级及以上养老护理员证的，每个持证人员得0.5分，本项最高得2分；</w:t>
            </w:r>
          </w:p>
          <w:p w14:paraId="2FD70F8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⑥具备主任医师证书的，每个持证人员得2分；具备副主任医师的，每个持证人员得1分；具备执业医生证书的，每个持证人员得0.5分，本项最高得3分。</w:t>
            </w:r>
          </w:p>
          <w:p w14:paraId="1E3E608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①每人只计一次得分，不重复计分；同一个人具有多个证书的，按其中最高得分的证书为准并计取其分值，不得累加计分。②需提供人员相关证书复印件以及投标人为其缴纳的近3个月社保证明（社保缴纳证明以社保机构出具的社保证明为准）；如为退休人员，则需提供相关证书复印件、劳务合同以及近三个月的银行薪资清单复印件；③是医养结合单位的需提供相应证明。④所有证明材料均需加盖投标人CA签章，未提供或提供不全的不得分</w:t>
            </w:r>
            <w:r>
              <w:rPr>
                <w:rFonts w:hint="eastAsia" w:ascii="仿宋" w:hAnsi="仿宋" w:eastAsia="仿宋" w:cs="仿宋"/>
                <w:b/>
                <w:bCs/>
                <w:color w:val="auto"/>
                <w:sz w:val="24"/>
                <w:szCs w:val="24"/>
                <w:highlight w:val="none"/>
              </w:rPr>
              <w:t>。</w:t>
            </w:r>
          </w:p>
        </w:tc>
        <w:tc>
          <w:tcPr>
            <w:tcW w:w="407" w:type="pct"/>
            <w:noWrap w:val="0"/>
            <w:vAlign w:val="center"/>
          </w:tcPr>
          <w:p w14:paraId="7D0D489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宋体"/>
                <w:b/>
                <w:bCs/>
                <w:color w:val="auto"/>
                <w:sz w:val="24"/>
                <w:szCs w:val="24"/>
                <w:highlight w:val="none"/>
                <w:lang w:val="en-US" w:eastAsia="zh-CN"/>
              </w:rPr>
              <w:t>12分</w:t>
            </w:r>
          </w:p>
        </w:tc>
      </w:tr>
      <w:tr w14:paraId="202EC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C9D035D">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4</w:t>
            </w:r>
          </w:p>
        </w:tc>
        <w:tc>
          <w:tcPr>
            <w:tcW w:w="559" w:type="pct"/>
            <w:noWrap w:val="0"/>
            <w:vAlign w:val="center"/>
          </w:tcPr>
          <w:p w14:paraId="6173E9F8">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管理</w:t>
            </w:r>
          </w:p>
          <w:p w14:paraId="71E85EFF">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制度</w:t>
            </w:r>
          </w:p>
        </w:tc>
        <w:tc>
          <w:tcPr>
            <w:tcW w:w="3633" w:type="pct"/>
            <w:noWrap w:val="0"/>
            <w:vAlign w:val="top"/>
          </w:tcPr>
          <w:p w14:paraId="06D8C7FA">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w:t>
            </w:r>
            <w:r>
              <w:rPr>
                <w:rFonts w:hint="eastAsia" w:ascii="仿宋" w:hAnsi="仿宋" w:eastAsia="仿宋" w:cs="仿宋"/>
                <w:color w:val="auto"/>
                <w:sz w:val="24"/>
                <w:szCs w:val="24"/>
                <w:highlight w:val="none"/>
              </w:rPr>
              <w:t>标准化规章制度建设能力及提供的各项管理规章制度，包括档案管理制度、安全管理制度、员工培训和保障制度、财务管理制度、捐赠管理制度等运营管理制度体系的健全性、合理性、可行性</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0FA27E57">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highlight w:val="none"/>
                <w:lang w:val="en-US" w:eastAsia="zh-CN"/>
              </w:rPr>
            </w:pPr>
            <w:r>
              <w:rPr>
                <w:rFonts w:hint="eastAsia" w:ascii="仿宋" w:hAnsi="仿宋" w:eastAsia="仿宋" w:cs="仿宋_GB2312"/>
                <w:b/>
                <w:bCs w:val="0"/>
                <w:color w:val="auto"/>
                <w:sz w:val="24"/>
                <w:szCs w:val="24"/>
                <w:highlight w:val="none"/>
                <w:lang w:val="en-US" w:eastAsia="zh-CN"/>
              </w:rPr>
              <w:t>注：制度阐述详尽、合理，切合项目的得（5,8]分；阐述较为详尽、合理，较为切合项目的得（2,5]分；阐述粗略，缺陷较多、欠缺合理性，部分切合项目的得（0,2]分；未提供相关内容阐述或不符合项目的不得分</w:t>
            </w:r>
            <w:r>
              <w:rPr>
                <w:rFonts w:hint="eastAsia" w:ascii="仿宋" w:hAnsi="仿宋" w:eastAsia="仿宋" w:cs="仿宋_GB2312"/>
                <w:b/>
                <w:bCs w:val="0"/>
                <w:color w:val="auto"/>
                <w:sz w:val="24"/>
                <w:szCs w:val="24"/>
                <w:highlight w:val="none"/>
              </w:rPr>
              <w:t>。</w:t>
            </w:r>
          </w:p>
        </w:tc>
        <w:tc>
          <w:tcPr>
            <w:tcW w:w="407" w:type="pct"/>
            <w:noWrap w:val="0"/>
            <w:vAlign w:val="center"/>
          </w:tcPr>
          <w:p w14:paraId="49E3C275">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78E88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2912117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5</w:t>
            </w:r>
          </w:p>
        </w:tc>
        <w:tc>
          <w:tcPr>
            <w:tcW w:w="559" w:type="pct"/>
            <w:noWrap w:val="0"/>
            <w:vAlign w:val="center"/>
          </w:tcPr>
          <w:p w14:paraId="17DDC9C4">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团队建设与培训</w:t>
            </w:r>
          </w:p>
        </w:tc>
        <w:tc>
          <w:tcPr>
            <w:tcW w:w="3633" w:type="pct"/>
            <w:noWrap w:val="0"/>
            <w:vAlign w:val="top"/>
          </w:tcPr>
          <w:p w14:paraId="77FE3006">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根据投标人提供的团队建设管理方案，人力资源规划及人员培训流程和计划是否能满足不同阶段的残疾人员需求，由评审专家进行综合打分</w:t>
            </w:r>
            <w:r>
              <w:rPr>
                <w:rFonts w:hint="eastAsia" w:ascii="仿宋" w:hAnsi="仿宋" w:eastAsia="仿宋" w:cs="仿宋"/>
                <w:color w:val="auto"/>
                <w:sz w:val="24"/>
                <w:szCs w:val="24"/>
                <w:highlight w:val="none"/>
              </w:rPr>
              <w:t>。</w:t>
            </w:r>
          </w:p>
          <w:p w14:paraId="45F9F705">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注：内容详细、明确阐述实施方案内容的得（5,8]分；内容较详细、阐述较明确的得（2,5]分；内容片面、有所欠缺、阐述不明确的得（0,2]分；未提供相关内容阐述或不符合项目的不得分。</w:t>
            </w:r>
          </w:p>
        </w:tc>
        <w:tc>
          <w:tcPr>
            <w:tcW w:w="407" w:type="pct"/>
            <w:noWrap w:val="0"/>
            <w:vAlign w:val="center"/>
          </w:tcPr>
          <w:p w14:paraId="637CA85C">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2AC1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BE079F8">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6</w:t>
            </w:r>
          </w:p>
        </w:tc>
        <w:tc>
          <w:tcPr>
            <w:tcW w:w="559" w:type="pct"/>
            <w:noWrap w:val="0"/>
            <w:vAlign w:val="center"/>
          </w:tcPr>
          <w:p w14:paraId="605D718D">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w:t>
            </w:r>
          </w:p>
          <w:p w14:paraId="772F5320">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水平</w:t>
            </w:r>
          </w:p>
        </w:tc>
        <w:tc>
          <w:tcPr>
            <w:tcW w:w="3633" w:type="pct"/>
            <w:noWrap w:val="0"/>
            <w:vAlign w:val="top"/>
          </w:tcPr>
          <w:p w14:paraId="545047F4">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根据投标人承诺的生活照料、膳食、医护、精神慰藉等服务项目、服务类别；生活照护与医疗康复方面规范性、高品质的服务内容，具有可操作性，符合残疾人之家服务与管理规范</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289F5160">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color w:val="auto"/>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注：内容详细、明确阐述实施方案内容的得（5,8]分；内容较详细、阐述较明确的得（2,5]分；内容片面、有所欠缺、阐述不明确的得（0,2]分；未提供相关内容阐述或不符合项目的不得分。</w:t>
            </w:r>
          </w:p>
        </w:tc>
        <w:tc>
          <w:tcPr>
            <w:tcW w:w="407" w:type="pct"/>
            <w:noWrap w:val="0"/>
            <w:vAlign w:val="center"/>
          </w:tcPr>
          <w:p w14:paraId="0EE5FCB1">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57F29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261FD8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7</w:t>
            </w:r>
          </w:p>
        </w:tc>
        <w:tc>
          <w:tcPr>
            <w:tcW w:w="559" w:type="pct"/>
            <w:noWrap w:val="0"/>
            <w:vAlign w:val="center"/>
          </w:tcPr>
          <w:p w14:paraId="111ED629">
            <w:pPr>
              <w:pStyle w:val="962"/>
              <w:keepNext w:val="0"/>
              <w:keepLines w:val="0"/>
              <w:pageBreakBefore w:val="0"/>
              <w:widowControl w:val="0"/>
              <w:kinsoku/>
              <w:wordWrap/>
              <w:overflowPunct/>
              <w:topLinePunct w:val="0"/>
              <w:autoSpaceDE w:val="0"/>
              <w:autoSpaceDN w:val="0"/>
              <w:bidi w:val="0"/>
              <w:adjustRightInd w:val="0"/>
              <w:snapToGrid/>
              <w:spacing w:before="77" w:line="40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应急防范措施</w:t>
            </w:r>
          </w:p>
        </w:tc>
        <w:tc>
          <w:tcPr>
            <w:tcW w:w="3633" w:type="pct"/>
            <w:noWrap w:val="0"/>
            <w:vAlign w:val="top"/>
          </w:tcPr>
          <w:p w14:paraId="0B767B6D">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提供的应急防范措施，包括各类突发事件的防控、协调处理方案等内容进行打分：对项目实施过程中各节点可能出现的风险有事先预估判断并制定详细明确的防控措施，有相应的人力、物力投入安排</w:t>
            </w:r>
            <w:r>
              <w:rPr>
                <w:rFonts w:hint="eastAsia" w:ascii="仿宋" w:hAnsi="仿宋" w:eastAsia="仿宋" w:cs="仿宋"/>
                <w:color w:val="auto"/>
                <w:sz w:val="24"/>
                <w:szCs w:val="24"/>
                <w:highlight w:val="none"/>
                <w:lang w:val="en-US" w:eastAsia="zh-CN"/>
              </w:rPr>
              <w:t>，由评审专家进行综合打分。</w:t>
            </w:r>
          </w:p>
          <w:p w14:paraId="0C6D59AC">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有效避免风险或者能够及时有效处理风险的得（4,7]分；有提出一定的风险说明，制定的措施存在欠缺但基本合理明确，具有一定可行性的得（2,4]分；有提出风险说明，但措施等内容阐述粗略、欠缺合理性，可行性较弱的得（0,2]分；未提供相关内容阐述或不符合项目的不得分。</w:t>
            </w:r>
          </w:p>
        </w:tc>
        <w:tc>
          <w:tcPr>
            <w:tcW w:w="407" w:type="pct"/>
            <w:noWrap w:val="0"/>
            <w:vAlign w:val="center"/>
          </w:tcPr>
          <w:p w14:paraId="32E18B35">
            <w:pPr>
              <w:pStyle w:val="962"/>
              <w:keepNext w:val="0"/>
              <w:keepLines w:val="0"/>
              <w:pageBreakBefore w:val="0"/>
              <w:widowControl w:val="0"/>
              <w:kinsoku/>
              <w:wordWrap/>
              <w:overflowPunct/>
              <w:topLinePunct w:val="0"/>
              <w:autoSpaceDE w:val="0"/>
              <w:autoSpaceDN w:val="0"/>
              <w:bidi w:val="0"/>
              <w:adjustRightInd w:val="0"/>
              <w:snapToGrid/>
              <w:spacing w:line="40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7分</w:t>
            </w:r>
          </w:p>
        </w:tc>
      </w:tr>
    </w:tbl>
    <w:p w14:paraId="7492693D">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CEFB490">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5"/>
        <w:rPr>
          <w:rFonts w:hint="eastAsia" w:ascii="仿宋" w:hAnsi="仿宋" w:eastAsia="仿宋" w:cs="仿宋"/>
        </w:rPr>
      </w:pPr>
    </w:p>
    <w:p w14:paraId="1CE397B3">
      <w:pPr>
        <w:pStyle w:val="708"/>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7"/>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9A94A1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合同期满无任何问题后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10天内退回（不计息）</w:t>
      </w:r>
      <w:r>
        <w:rPr>
          <w:rFonts w:hint="eastAsia" w:ascii="仿宋" w:hAnsi="仿宋" w:eastAsia="仿宋" w:cs="仿宋"/>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41817856">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C07BFC0">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5"/>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DCE794">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955AE64">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F20AD7C">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0D0F425D">
      <w:pPr>
        <w:spacing w:line="360" w:lineRule="auto"/>
        <w:jc w:val="center"/>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4"/>
        <w:ind w:left="0" w:leftChars="0" w:firstLine="0" w:firstLineChars="0"/>
        <w:rPr>
          <w:rFonts w:hint="eastAsia" w:ascii="仿宋" w:hAnsi="仿宋" w:eastAsia="仿宋" w:cs="仿宋"/>
          <w:kern w:val="0"/>
          <w:sz w:val="24"/>
          <w:lang w:val="zh-CN"/>
        </w:rPr>
      </w:pPr>
    </w:p>
    <w:p w14:paraId="6B84A9A6">
      <w:pPr>
        <w:pStyle w:val="25"/>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40021AF4">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61732DB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1"/>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2A27B35">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0A5E30">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8AE172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786AA9B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6DBFEA8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5AEB01B3">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7C4976">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8DE74EB">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CF4DC2A">
      <w:pPr>
        <w:pStyle w:val="699"/>
        <w:keepNext w:val="0"/>
        <w:pageBreakBefore w:val="0"/>
        <w:numPr>
          <w:ilvl w:val="0"/>
          <w:numId w:val="6"/>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FE5D290">
      <w:pPr>
        <w:keepNext w:val="0"/>
        <w:keepLines w:val="0"/>
        <w:pageBreakBefore w:val="0"/>
        <w:widowControl w:val="0"/>
        <w:kinsoku/>
        <w:wordWrap/>
        <w:overflowPunct/>
        <w:topLinePunct w:val="0"/>
        <w:autoSpaceDE/>
        <w:autoSpaceDN/>
        <w:bidi w:val="0"/>
        <w:adjustRightInd w:val="0"/>
        <w:snapToGrid/>
        <w:spacing w:line="360" w:lineRule="auto"/>
        <w:ind w:firstLine="281" w:firstLineChars="100"/>
        <w:textAlignment w:val="auto"/>
        <w:rPr>
          <w:rFonts w:hint="eastAsia" w:ascii="仿宋" w:hAnsi="仿宋" w:eastAsia="仿宋"/>
          <w:b/>
          <w:bCs w:val="0"/>
          <w:sz w:val="28"/>
          <w:szCs w:val="28"/>
          <w:lang w:eastAsia="zh-CN"/>
        </w:rPr>
      </w:pPr>
      <w:r>
        <w:rPr>
          <w:rFonts w:hint="eastAsia" w:ascii="仿宋" w:hAnsi="仿宋" w:eastAsia="仿宋"/>
          <w:b/>
          <w:bCs w:val="0"/>
          <w:sz w:val="28"/>
          <w:szCs w:val="28"/>
        </w:rPr>
        <w:t>项目名称：</w:t>
      </w:r>
      <w:r>
        <w:rPr>
          <w:rFonts w:hint="eastAsia" w:ascii="仿宋" w:hAnsi="仿宋" w:eastAsia="仿宋"/>
          <w:b/>
          <w:bCs w:val="0"/>
          <w:sz w:val="28"/>
          <w:szCs w:val="28"/>
          <w:lang w:val="en-US" w:eastAsia="zh-CN"/>
        </w:rPr>
        <w:t>璜山镇2025-2026年残疾人之家运营服务采购项</w:t>
      </w:r>
      <w:r>
        <w:rPr>
          <w:rFonts w:hint="eastAsia" w:ascii="仿宋" w:hAnsi="仿宋" w:eastAsia="仿宋"/>
          <w:b/>
          <w:bCs w:val="0"/>
          <w:sz w:val="28"/>
          <w:szCs w:val="28"/>
          <w:lang w:eastAsia="zh-CN"/>
        </w:rPr>
        <w:t>目</w:t>
      </w:r>
    </w:p>
    <w:p w14:paraId="33C125DC">
      <w:pPr>
        <w:shd w:val="clear" w:color="auto" w:fill="auto"/>
        <w:bidi w:val="0"/>
        <w:ind w:firstLine="281" w:firstLineChars="100"/>
        <w:jc w:val="both"/>
        <w:rPr>
          <w:rFonts w:hint="eastAsia" w:ascii="仿宋" w:hAnsi="仿宋" w:eastAsia="仿宋"/>
          <w:b/>
          <w:bCs w:val="0"/>
          <w:sz w:val="28"/>
          <w:szCs w:val="28"/>
          <w:lang w:val="en-US" w:eastAsia="zh-CN"/>
        </w:rPr>
      </w:pPr>
      <w:r>
        <w:rPr>
          <w:rFonts w:hint="eastAsia" w:ascii="仿宋" w:hAnsi="仿宋" w:eastAsia="仿宋"/>
          <w:b/>
          <w:bCs w:val="0"/>
          <w:sz w:val="28"/>
          <w:szCs w:val="28"/>
        </w:rPr>
        <w:t>项目编号：</w:t>
      </w:r>
      <w:r>
        <w:rPr>
          <w:rFonts w:hint="eastAsia" w:ascii="仿宋" w:hAnsi="仿宋" w:eastAsia="仿宋"/>
          <w:b/>
          <w:bCs w:val="0"/>
          <w:sz w:val="28"/>
          <w:szCs w:val="28"/>
          <w:lang w:val="en-US" w:eastAsia="zh-CN"/>
        </w:rPr>
        <w:t>诸宸佳2024-**-**</w:t>
      </w:r>
    </w:p>
    <w:p w14:paraId="057315F3">
      <w:pPr>
        <w:shd w:val="clear" w:color="auto" w:fill="auto"/>
        <w:bidi w:val="0"/>
        <w:jc w:val="right"/>
        <w:rPr>
          <w:rFonts w:hint="eastAsia" w:ascii="仿宋" w:hAnsi="仿宋" w:eastAsia="仿宋" w:cs="仿宋"/>
          <w:b/>
          <w:color w:val="auto"/>
          <w:sz w:val="24"/>
          <w:szCs w:val="24"/>
          <w:highlight w:val="none"/>
        </w:rPr>
      </w:pPr>
    </w:p>
    <w:p w14:paraId="47FE772A">
      <w:pPr>
        <w:shd w:val="clear" w:color="auto" w:fill="auto"/>
        <w:bidi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货币单位：人民币元</w:t>
      </w:r>
    </w:p>
    <w:tbl>
      <w:tblPr>
        <w:tblStyle w:val="65"/>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135"/>
        <w:gridCol w:w="2755"/>
        <w:gridCol w:w="2960"/>
      </w:tblGrid>
      <w:tr w14:paraId="5859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1B321C60">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135" w:type="dxa"/>
            <w:vMerge w:val="restart"/>
            <w:noWrap w:val="0"/>
            <w:vAlign w:val="center"/>
          </w:tcPr>
          <w:p w14:paraId="01123226">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715" w:type="dxa"/>
            <w:gridSpan w:val="2"/>
            <w:noWrap w:val="0"/>
            <w:vAlign w:val="center"/>
          </w:tcPr>
          <w:p w14:paraId="793AB96B">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报价（总价）</w:t>
            </w:r>
          </w:p>
        </w:tc>
      </w:tr>
      <w:tr w14:paraId="5435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51E50CB1">
            <w:pPr>
              <w:shd w:val="clear" w:color="auto" w:fill="auto"/>
              <w:jc w:val="center"/>
              <w:rPr>
                <w:rFonts w:hint="eastAsia" w:ascii="仿宋" w:hAnsi="仿宋" w:eastAsia="仿宋" w:cs="仿宋"/>
                <w:color w:val="auto"/>
                <w:sz w:val="24"/>
                <w:szCs w:val="24"/>
                <w:highlight w:val="none"/>
              </w:rPr>
            </w:pPr>
          </w:p>
        </w:tc>
        <w:tc>
          <w:tcPr>
            <w:tcW w:w="3135" w:type="dxa"/>
            <w:vMerge w:val="continue"/>
            <w:noWrap w:val="0"/>
            <w:vAlign w:val="center"/>
          </w:tcPr>
          <w:p w14:paraId="77ADB278">
            <w:pPr>
              <w:shd w:val="clear" w:color="auto" w:fill="auto"/>
              <w:jc w:val="center"/>
              <w:rPr>
                <w:rFonts w:hint="eastAsia" w:ascii="仿宋" w:hAnsi="仿宋" w:eastAsia="仿宋" w:cs="仿宋"/>
                <w:color w:val="auto"/>
                <w:sz w:val="24"/>
                <w:szCs w:val="24"/>
                <w:highlight w:val="none"/>
              </w:rPr>
            </w:pPr>
          </w:p>
        </w:tc>
        <w:tc>
          <w:tcPr>
            <w:tcW w:w="2755" w:type="dxa"/>
            <w:noWrap w:val="0"/>
            <w:vAlign w:val="center"/>
          </w:tcPr>
          <w:p w14:paraId="48E2B2AD">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960" w:type="dxa"/>
            <w:noWrap w:val="0"/>
            <w:vAlign w:val="center"/>
          </w:tcPr>
          <w:p w14:paraId="66CFDB3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4D85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31D6EF3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3135" w:type="dxa"/>
            <w:noWrap w:val="0"/>
            <w:vAlign w:val="center"/>
          </w:tcPr>
          <w:p w14:paraId="6C1D73E4">
            <w:pPr>
              <w:shd w:val="clear" w:color="auto" w:fill="auto"/>
              <w:jc w:val="center"/>
              <w:rPr>
                <w:rFonts w:hint="eastAsia" w:ascii="仿宋" w:hAnsi="仿宋" w:eastAsia="仿宋" w:cs="仿宋"/>
                <w:color w:val="auto"/>
                <w:sz w:val="24"/>
                <w:szCs w:val="24"/>
                <w:highlight w:val="none"/>
                <w:lang w:eastAsia="zh-CN"/>
              </w:rPr>
            </w:pPr>
          </w:p>
        </w:tc>
        <w:tc>
          <w:tcPr>
            <w:tcW w:w="2755" w:type="dxa"/>
            <w:noWrap w:val="0"/>
            <w:vAlign w:val="center"/>
          </w:tcPr>
          <w:p w14:paraId="6615EDD3">
            <w:pPr>
              <w:shd w:val="clear" w:color="auto" w:fill="auto"/>
              <w:spacing w:line="7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960" w:type="dxa"/>
            <w:noWrap w:val="0"/>
            <w:vAlign w:val="center"/>
          </w:tcPr>
          <w:p w14:paraId="01331075">
            <w:pPr>
              <w:shd w:val="clear" w:color="auto" w:fill="auto"/>
              <w:spacing w:line="700" w:lineRule="exact"/>
              <w:rPr>
                <w:rFonts w:hint="eastAsia" w:ascii="仿宋" w:hAnsi="仿宋" w:eastAsia="仿宋" w:cs="仿宋"/>
                <w:color w:val="auto"/>
                <w:sz w:val="24"/>
                <w:szCs w:val="24"/>
                <w:highlight w:val="none"/>
                <w:lang w:eastAsia="zh-CN"/>
              </w:rPr>
            </w:pPr>
          </w:p>
        </w:tc>
      </w:tr>
    </w:tbl>
    <w:p w14:paraId="6D15916C">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lang w:val="en-US" w:eastAsia="zh-CN"/>
        </w:rPr>
      </w:pPr>
    </w:p>
    <w:p w14:paraId="79B075AF">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1501C8B3">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62A9D479">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5"/>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0767899A">
      <w:pPr>
        <w:pStyle w:val="25"/>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0A27B13">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AF5C8F">
      <w:pPr>
        <w:pStyle w:val="3"/>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C2CE0DA">
      <w:pPr>
        <w:pStyle w:val="3"/>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136828F">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18F7294">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124AD431">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2"/>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9468">
                          <w:pPr>
                            <w:pStyle w:val="4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BE9468">
                    <w:pPr>
                      <w:pStyle w:val="4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5450">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13E6">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513E6">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2"/>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B3AD3">
                          <w:pPr>
                            <w:pStyle w:val="4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BB3AD3">
                    <w:pPr>
                      <w:pStyle w:val="4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7F8A5">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7F8A5">
                    <w:pPr>
                      <w:pStyle w:val="42"/>
                    </w:pPr>
                    <w:r>
                      <w:fldChar w:fldCharType="begin"/>
                    </w:r>
                    <w:r>
                      <w:instrText xml:space="preserve"> PAGE  \* MERGEFORMAT </w:instrText>
                    </w:r>
                    <w:r>
                      <w:fldChar w:fldCharType="separate"/>
                    </w:r>
                    <w:r>
                      <w:t>43</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D0C2">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34D0C2">
                    <w:pPr>
                      <w:pStyle w:val="42"/>
                    </w:pPr>
                    <w:r>
                      <w:fldChar w:fldCharType="begin"/>
                    </w:r>
                    <w:r>
                      <w:instrText xml:space="preserve"> PAGE  \* MERGEFORMAT </w:instrText>
                    </w:r>
                    <w:r>
                      <w:fldChar w:fldCharType="separate"/>
                    </w:r>
                    <w:r>
                      <w:t>42</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F3A81">
                          <w:pPr>
                            <w:pStyle w:val="4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5F3A81">
                    <w:pPr>
                      <w:pStyle w:val="42"/>
                    </w:pPr>
                    <w:r>
                      <w:fldChar w:fldCharType="begin"/>
                    </w:r>
                    <w:r>
                      <w:instrText xml:space="preserve"> PAGE  \* MERGEFORMAT </w:instrText>
                    </w:r>
                    <w:r>
                      <w:fldChar w:fldCharType="separate"/>
                    </w:r>
                    <w:r>
                      <w:t>45</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9A714">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E9A714">
                    <w:pPr>
                      <w:pStyle w:val="42"/>
                    </w:pPr>
                    <w:r>
                      <w:fldChar w:fldCharType="begin"/>
                    </w:r>
                    <w:r>
                      <w:instrText xml:space="preserve"> PAGE  \* MERGEFORMAT </w:instrText>
                    </w:r>
                    <w:r>
                      <w:fldChar w:fldCharType="separate"/>
                    </w:r>
                    <w:r>
                      <w:t>44</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4"/>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4"/>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4"/>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4"/>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4"/>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707"/>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4FB4DD3"/>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464C8"/>
    <w:rsid w:val="0AAB7649"/>
    <w:rsid w:val="0ABC5606"/>
    <w:rsid w:val="0B0125E2"/>
    <w:rsid w:val="0B1F543F"/>
    <w:rsid w:val="0B30404E"/>
    <w:rsid w:val="0B36793D"/>
    <w:rsid w:val="0B4C6C14"/>
    <w:rsid w:val="0B4F72C7"/>
    <w:rsid w:val="0B631A88"/>
    <w:rsid w:val="0B683D45"/>
    <w:rsid w:val="0B7F3F11"/>
    <w:rsid w:val="0B884417"/>
    <w:rsid w:val="0B9223F8"/>
    <w:rsid w:val="0BC31A7A"/>
    <w:rsid w:val="0BED360C"/>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56A7A"/>
    <w:rsid w:val="0EF94D4B"/>
    <w:rsid w:val="0F1C3261"/>
    <w:rsid w:val="0F4958DC"/>
    <w:rsid w:val="0F515DF7"/>
    <w:rsid w:val="0F596BA8"/>
    <w:rsid w:val="0F6248D2"/>
    <w:rsid w:val="0F693536"/>
    <w:rsid w:val="0F7B0511"/>
    <w:rsid w:val="0F7B76D9"/>
    <w:rsid w:val="0F816ACD"/>
    <w:rsid w:val="0F9832DB"/>
    <w:rsid w:val="0F9C3386"/>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0F1347"/>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24581B"/>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5646C4"/>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8EE7D7E"/>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91112"/>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8933CD"/>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0F6011"/>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610F57"/>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150BC0"/>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9086E"/>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4E09EE"/>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C11FBF"/>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3D66E19"/>
    <w:rsid w:val="73DA33E9"/>
    <w:rsid w:val="7414117C"/>
    <w:rsid w:val="742222F5"/>
    <w:rsid w:val="742E4611"/>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AA1027"/>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7F9664E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221"/>
    <w:autoRedefine/>
    <w:qFormat/>
    <w:uiPriority w:val="99"/>
    <w:pPr>
      <w:widowControl/>
      <w:snapToGrid w:val="0"/>
      <w:spacing w:line="480" w:lineRule="exact"/>
      <w:ind w:firstLine="567"/>
    </w:pPr>
    <w:rPr>
      <w:rFonts w:ascii="宋体"/>
      <w:color w:val="000000"/>
      <w:kern w:val="28"/>
      <w:sz w:val="28"/>
      <w:szCs w:val="20"/>
    </w:rPr>
  </w:style>
  <w:style w:type="paragraph" w:styleId="17">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18">
    <w:name w:val="caption"/>
    <w:basedOn w:val="1"/>
    <w:next w:val="1"/>
    <w:link w:val="255"/>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0"/>
    <w:autoRedefine/>
    <w:qFormat/>
    <w:uiPriority w:val="99"/>
    <w:pPr>
      <w:shd w:val="clear" w:color="auto" w:fill="000080"/>
    </w:pPr>
    <w:rPr>
      <w:sz w:val="24"/>
      <w:szCs w:val="20"/>
    </w:rPr>
  </w:style>
  <w:style w:type="paragraph" w:styleId="21">
    <w:name w:val="annotation text"/>
    <w:basedOn w:val="1"/>
    <w:link w:val="358"/>
    <w:autoRedefine/>
    <w:qFormat/>
    <w:uiPriority w:val="99"/>
    <w:pPr>
      <w:jc w:val="left"/>
    </w:pPr>
    <w:rPr>
      <w:sz w:val="24"/>
      <w:szCs w:val="20"/>
    </w:rPr>
  </w:style>
  <w:style w:type="paragraph" w:styleId="22">
    <w:name w:val="Salutation"/>
    <w:basedOn w:val="1"/>
    <w:next w:val="1"/>
    <w:link w:val="102"/>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8"/>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27"/>
    <w:link w:val="99"/>
    <w:autoRedefine/>
    <w:qFormat/>
    <w:uiPriority w:val="99"/>
    <w:pPr>
      <w:ind w:firstLine="420"/>
    </w:pPr>
    <w:rPr>
      <w:rFonts w:hAnsi="Times New Roman" w:cs="Times New Roman"/>
      <w:szCs w:val="20"/>
    </w:rPr>
  </w:style>
  <w:style w:type="paragraph" w:styleId="27">
    <w:name w:val="toc 6"/>
    <w:basedOn w:val="1"/>
    <w:next w:val="1"/>
    <w:autoRedefine/>
    <w:qFormat/>
    <w:uiPriority w:val="99"/>
    <w:pPr>
      <w:ind w:left="2100" w:leftChars="1000"/>
    </w:p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25"/>
    <w:link w:val="106"/>
    <w:autoRedefine/>
    <w:qFormat/>
    <w:uiPriority w:val="99"/>
    <w:rPr>
      <w:rFonts w:ascii="宋体" w:hAnsi="Courier New" w:cs="Arial"/>
      <w:szCs w:val="21"/>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99"/>
    <w:pPr>
      <w:ind w:left="2940" w:leftChars="1400"/>
    </w:pPr>
  </w:style>
  <w:style w:type="paragraph" w:styleId="38">
    <w:name w:val="Date"/>
    <w:basedOn w:val="1"/>
    <w:next w:val="1"/>
    <w:link w:val="107"/>
    <w:autoRedefine/>
    <w:qFormat/>
    <w:uiPriority w:val="99"/>
    <w:pPr>
      <w:ind w:left="100" w:leftChars="2500"/>
    </w:pPr>
    <w:rPr>
      <w:rFonts w:ascii="宋体"/>
      <w:sz w:val="24"/>
      <w:szCs w:val="21"/>
      <w:lang w:val="zh-CN"/>
    </w:rPr>
  </w:style>
  <w:style w:type="paragraph" w:styleId="39">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40">
    <w:name w:val="endnote text"/>
    <w:basedOn w:val="1"/>
    <w:link w:val="109"/>
    <w:autoRedefine/>
    <w:qFormat/>
    <w:uiPriority w:val="99"/>
    <w:rPr>
      <w:lang w:val="zh-CN"/>
    </w:rPr>
  </w:style>
  <w:style w:type="paragraph" w:styleId="41">
    <w:name w:val="Balloon Text"/>
    <w:basedOn w:val="1"/>
    <w:link w:val="216"/>
    <w:autoRedefine/>
    <w:qFormat/>
    <w:uiPriority w:val="99"/>
    <w:rPr>
      <w:sz w:val="18"/>
      <w:szCs w:val="20"/>
    </w:rPr>
  </w:style>
  <w:style w:type="paragraph" w:styleId="42">
    <w:name w:val="footer"/>
    <w:basedOn w:val="1"/>
    <w:link w:val="394"/>
    <w:autoRedefine/>
    <w:qFormat/>
    <w:uiPriority w:val="99"/>
    <w:pPr>
      <w:tabs>
        <w:tab w:val="center" w:pos="4153"/>
        <w:tab w:val="right" w:pos="8306"/>
      </w:tabs>
      <w:snapToGrid w:val="0"/>
      <w:jc w:val="left"/>
    </w:pPr>
    <w:rPr>
      <w:sz w:val="18"/>
      <w:szCs w:val="20"/>
    </w:rPr>
  </w:style>
  <w:style w:type="paragraph" w:styleId="43">
    <w:name w:val="envelope return"/>
    <w:basedOn w:val="1"/>
    <w:autoRedefine/>
    <w:qFormat/>
    <w:locked/>
    <w:uiPriority w:val="0"/>
    <w:pPr>
      <w:snapToGrid w:val="0"/>
    </w:pPr>
    <w:rPr>
      <w:rFonts w:ascii="Arial" w:hAnsi="Arial"/>
    </w:rPr>
  </w:style>
  <w:style w:type="paragraph" w:styleId="44">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5">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99"/>
  </w:style>
  <w:style w:type="paragraph" w:styleId="47">
    <w:name w:val="toc 4"/>
    <w:basedOn w:val="1"/>
    <w:next w:val="1"/>
    <w:autoRedefine/>
    <w:qFormat/>
    <w:uiPriority w:val="99"/>
    <w:pPr>
      <w:ind w:left="1260" w:leftChars="600"/>
    </w:pPr>
  </w:style>
  <w:style w:type="paragraph" w:styleId="48">
    <w:name w:val="index heading"/>
    <w:basedOn w:val="1"/>
    <w:next w:val="49"/>
    <w:autoRedefine/>
    <w:qFormat/>
    <w:uiPriority w:val="99"/>
    <w:pPr>
      <w:adjustRightInd/>
      <w:ind w:firstLine="200" w:firstLineChars="200"/>
    </w:pPr>
  </w:style>
  <w:style w:type="paragraph" w:styleId="49">
    <w:name w:val="index 1"/>
    <w:basedOn w:val="1"/>
    <w:next w:val="1"/>
    <w:autoRedefine/>
    <w:qFormat/>
    <w:uiPriority w:val="99"/>
    <w:pPr>
      <w:adjustRightInd/>
      <w:spacing w:line="360" w:lineRule="auto"/>
      <w:ind w:firstLine="200" w:firstLineChars="200"/>
      <w:jc w:val="center"/>
    </w:pPr>
    <w:rPr>
      <w:sz w:val="24"/>
      <w:szCs w:val="20"/>
    </w:rPr>
  </w:style>
  <w:style w:type="paragraph" w:styleId="50">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51">
    <w:name w:val="List Number 5"/>
    <w:basedOn w:val="1"/>
    <w:autoRedefine/>
    <w:qFormat/>
    <w:uiPriority w:val="99"/>
    <w:pPr>
      <w:tabs>
        <w:tab w:val="left" w:pos="902"/>
      </w:tabs>
      <w:adjustRightInd/>
      <w:spacing w:line="400" w:lineRule="exact"/>
      <w:ind w:left="902" w:hanging="420"/>
    </w:pPr>
    <w:rPr>
      <w:sz w:val="24"/>
      <w:szCs w:val="20"/>
    </w:rPr>
  </w:style>
  <w:style w:type="paragraph" w:styleId="52">
    <w:name w:val="List"/>
    <w:basedOn w:val="1"/>
    <w:autoRedefine/>
    <w:qFormat/>
    <w:uiPriority w:val="99"/>
    <w:pPr>
      <w:ind w:left="200" w:hanging="200" w:hangingChars="200"/>
    </w:pPr>
  </w:style>
  <w:style w:type="paragraph" w:styleId="53">
    <w:name w:val="footnote text"/>
    <w:basedOn w:val="16"/>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6"/>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7"/>
    <w:autoRedefine/>
    <w:qFormat/>
    <w:uiPriority w:val="99"/>
    <w:pPr>
      <w:spacing w:after="120" w:line="480" w:lineRule="auto"/>
    </w:pPr>
  </w:style>
  <w:style w:type="paragraph" w:styleId="60">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0"/>
    <w:autoRedefine/>
    <w:qFormat/>
    <w:uiPriority w:val="99"/>
    <w:rPr>
      <w:b/>
      <w:bCs/>
    </w:rPr>
  </w:style>
  <w:style w:type="paragraph" w:styleId="64">
    <w:name w:val="Body Text First Indent 2"/>
    <w:basedOn w:val="17"/>
    <w:link w:val="121"/>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_Style 3"/>
    <w:basedOn w:val="1"/>
    <w:autoRedefine/>
    <w:qFormat/>
    <w:uiPriority w:val="99"/>
    <w:pPr>
      <w:adjustRightInd/>
      <w:ind w:firstLine="420" w:firstLineChars="200"/>
    </w:pPr>
    <w:rPr>
      <w:rFonts w:eastAsia="仿宋_GB2312"/>
      <w:sz w:val="28"/>
    </w:rPr>
  </w:style>
  <w:style w:type="paragraph" w:customStyle="1" w:styleId="84">
    <w:name w:val="表格文字"/>
    <w:basedOn w:val="85"/>
    <w:next w:val="25"/>
    <w:autoRedefine/>
    <w:qFormat/>
    <w:uiPriority w:val="99"/>
    <w:pPr>
      <w:adjustRightInd/>
      <w:ind w:firstLine="200" w:firstLineChars="200"/>
    </w:pPr>
    <w:rPr>
      <w:rFonts w:ascii="Arial" w:hAnsi="Arial"/>
      <w:spacing w:val="-5"/>
      <w:kern w:val="0"/>
      <w:sz w:val="24"/>
      <w:szCs w:val="20"/>
    </w:rPr>
  </w:style>
  <w:style w:type="paragraph" w:customStyle="1" w:styleId="85">
    <w:name w:val="表格文字（两侧对齐）"/>
    <w:basedOn w:val="1"/>
    <w:autoRedefine/>
    <w:qFormat/>
    <w:uiPriority w:val="0"/>
    <w:pPr>
      <w:snapToGrid w:val="0"/>
    </w:pPr>
    <w:rPr>
      <w:sz w:val="20"/>
      <w:szCs w:val="24"/>
    </w:rPr>
  </w:style>
  <w:style w:type="paragraph" w:customStyle="1" w:styleId="86">
    <w:name w:val="表格"/>
    <w:basedOn w:val="1"/>
    <w:autoRedefine/>
    <w:qFormat/>
    <w:uiPriority w:val="99"/>
    <w:pPr>
      <w:snapToGrid w:val="0"/>
      <w:ind w:firstLine="42" w:firstLineChars="21"/>
    </w:pPr>
    <w:rPr>
      <w:rFonts w:ascii="宋体" w:hAnsi="宋体"/>
      <w:kern w:val="0"/>
      <w:sz w:val="20"/>
      <w:szCs w:val="20"/>
    </w:rPr>
  </w:style>
  <w:style w:type="paragraph" w:customStyle="1" w:styleId="87">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3"/>
    <w:autoRedefine/>
    <w:qFormat/>
    <w:locked/>
    <w:uiPriority w:val="99"/>
    <w:rPr>
      <w:rFonts w:ascii="Times New Roman" w:hAnsi="Times New Roman" w:eastAsia="黑体" w:cs="Times New Roman"/>
      <w:b/>
      <w:kern w:val="0"/>
      <w:sz w:val="24"/>
    </w:rPr>
  </w:style>
  <w:style w:type="character" w:customStyle="1" w:styleId="90">
    <w:name w:val="Heading 2 Char"/>
    <w:basedOn w:val="72"/>
    <w:link w:val="4"/>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5"/>
    <w:autoRedefine/>
    <w:semiHidden/>
    <w:qFormat/>
    <w:locked/>
    <w:uiPriority w:val="99"/>
    <w:rPr>
      <w:rFonts w:cs="Times New Roman"/>
      <w:b/>
      <w:bCs/>
      <w:sz w:val="32"/>
      <w:szCs w:val="32"/>
    </w:rPr>
  </w:style>
  <w:style w:type="character" w:customStyle="1" w:styleId="92">
    <w:name w:val="Heading 4 Char"/>
    <w:basedOn w:val="72"/>
    <w:link w:val="6"/>
    <w:autoRedefine/>
    <w:qFormat/>
    <w:locked/>
    <w:uiPriority w:val="99"/>
    <w:rPr>
      <w:rFonts w:ascii="Arial" w:hAnsi="Arial" w:eastAsia="黑体" w:cs="Times New Roman"/>
      <w:b/>
      <w:kern w:val="2"/>
      <w:sz w:val="28"/>
      <w:lang w:val="zh-CN"/>
    </w:rPr>
  </w:style>
  <w:style w:type="character" w:customStyle="1" w:styleId="93">
    <w:name w:val="Heading 5 Char"/>
    <w:basedOn w:val="72"/>
    <w:link w:val="7"/>
    <w:autoRedefine/>
    <w:qFormat/>
    <w:locked/>
    <w:uiPriority w:val="99"/>
    <w:rPr>
      <w:rFonts w:cs="Times New Roman"/>
      <w:b/>
      <w:kern w:val="2"/>
      <w:sz w:val="28"/>
    </w:rPr>
  </w:style>
  <w:style w:type="character" w:customStyle="1" w:styleId="94">
    <w:name w:val="Heading 6 Char"/>
    <w:basedOn w:val="72"/>
    <w:link w:val="8"/>
    <w:autoRedefine/>
    <w:qFormat/>
    <w:locked/>
    <w:uiPriority w:val="99"/>
    <w:rPr>
      <w:rFonts w:ascii="Arial" w:hAnsi="Arial" w:eastAsia="黑体" w:cs="Times New Roman"/>
      <w:b/>
      <w:kern w:val="2"/>
      <w:sz w:val="24"/>
    </w:rPr>
  </w:style>
  <w:style w:type="character" w:customStyle="1" w:styleId="95">
    <w:name w:val="Heading 7 Char"/>
    <w:basedOn w:val="72"/>
    <w:link w:val="9"/>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10"/>
    <w:autoRedefine/>
    <w:qFormat/>
    <w:locked/>
    <w:uiPriority w:val="99"/>
    <w:rPr>
      <w:rFonts w:ascii="Arial" w:hAnsi="Arial" w:eastAsia="黑体" w:cs="Times New Roman"/>
      <w:kern w:val="2"/>
      <w:sz w:val="24"/>
    </w:rPr>
  </w:style>
  <w:style w:type="character" w:customStyle="1" w:styleId="97">
    <w:name w:val="Heading 9 Char"/>
    <w:basedOn w:val="72"/>
    <w:link w:val="11"/>
    <w:autoRedefine/>
    <w:qFormat/>
    <w:locked/>
    <w:uiPriority w:val="99"/>
    <w:rPr>
      <w:rFonts w:ascii="Arial" w:hAnsi="Arial" w:eastAsia="黑体" w:cs="Times New Roman"/>
      <w:kern w:val="2"/>
      <w:sz w:val="21"/>
    </w:rPr>
  </w:style>
  <w:style w:type="character" w:customStyle="1" w:styleId="98">
    <w:name w:val="Body Text Char"/>
    <w:basedOn w:val="72"/>
    <w:link w:val="25"/>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6"/>
    <w:autoRedefine/>
    <w:qFormat/>
    <w:locked/>
    <w:uiPriority w:val="99"/>
    <w:rPr>
      <w:sz w:val="24"/>
    </w:rPr>
  </w:style>
  <w:style w:type="character" w:customStyle="1" w:styleId="100">
    <w:name w:val="Document Map Char"/>
    <w:basedOn w:val="72"/>
    <w:link w:val="20"/>
    <w:autoRedefine/>
    <w:qFormat/>
    <w:locked/>
    <w:uiPriority w:val="99"/>
    <w:rPr>
      <w:rFonts w:eastAsia="宋体" w:cs="Times New Roman"/>
      <w:kern w:val="2"/>
      <w:sz w:val="24"/>
      <w:lang w:val="en-US" w:eastAsia="zh-CN"/>
    </w:rPr>
  </w:style>
  <w:style w:type="character" w:customStyle="1" w:styleId="101">
    <w:name w:val="Comment Text Char"/>
    <w:basedOn w:val="72"/>
    <w:link w:val="21"/>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2"/>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17"/>
    <w:autoRedefine/>
    <w:qFormat/>
    <w:locked/>
    <w:uiPriority w:val="99"/>
    <w:rPr>
      <w:rFonts w:ascii="宋体" w:eastAsia="宋体" w:cs="Times New Roman"/>
      <w:kern w:val="2"/>
      <w:sz w:val="24"/>
    </w:rPr>
  </w:style>
  <w:style w:type="character" w:customStyle="1" w:styleId="105">
    <w:name w:val="HTML Address Char"/>
    <w:basedOn w:val="72"/>
    <w:link w:val="32"/>
    <w:autoRedefine/>
    <w:qFormat/>
    <w:locked/>
    <w:uiPriority w:val="99"/>
    <w:rPr>
      <w:rFonts w:ascii="宋体" w:eastAsia="宋体" w:cs="Times New Roman"/>
      <w:i/>
      <w:sz w:val="24"/>
    </w:rPr>
  </w:style>
  <w:style w:type="character" w:customStyle="1" w:styleId="106">
    <w:name w:val="Plain Text Char"/>
    <w:basedOn w:val="72"/>
    <w:link w:val="35"/>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8"/>
    <w:autoRedefine/>
    <w:qFormat/>
    <w:locked/>
    <w:uiPriority w:val="99"/>
    <w:rPr>
      <w:rFonts w:ascii="宋体" w:cs="Times New Roman"/>
      <w:kern w:val="2"/>
      <w:sz w:val="21"/>
      <w:lang w:val="zh-CN"/>
    </w:rPr>
  </w:style>
  <w:style w:type="character" w:customStyle="1" w:styleId="108">
    <w:name w:val="Body Text Indent 2 Char"/>
    <w:basedOn w:val="72"/>
    <w:link w:val="39"/>
    <w:autoRedefine/>
    <w:qFormat/>
    <w:locked/>
    <w:uiPriority w:val="99"/>
    <w:rPr>
      <w:rFonts w:ascii="宋体" w:cs="Times New Roman"/>
      <w:sz w:val="28"/>
    </w:rPr>
  </w:style>
  <w:style w:type="character" w:customStyle="1" w:styleId="109">
    <w:name w:val="Endnote Text Char"/>
    <w:basedOn w:val="72"/>
    <w:link w:val="40"/>
    <w:autoRedefine/>
    <w:qFormat/>
    <w:locked/>
    <w:uiPriority w:val="99"/>
    <w:rPr>
      <w:rFonts w:cs="Times New Roman"/>
      <w:kern w:val="2"/>
      <w:sz w:val="24"/>
      <w:lang w:val="zh-CN"/>
    </w:rPr>
  </w:style>
  <w:style w:type="character" w:customStyle="1" w:styleId="110">
    <w:name w:val="Balloon Text Char"/>
    <w:basedOn w:val="72"/>
    <w:link w:val="41"/>
    <w:autoRedefine/>
    <w:qFormat/>
    <w:locked/>
    <w:uiPriority w:val="99"/>
    <w:rPr>
      <w:rFonts w:eastAsia="宋体" w:cs="Times New Roman"/>
      <w:kern w:val="2"/>
      <w:sz w:val="18"/>
      <w:lang w:val="en-US" w:eastAsia="zh-CN"/>
    </w:rPr>
  </w:style>
  <w:style w:type="character" w:customStyle="1" w:styleId="111">
    <w:name w:val="Footer Char"/>
    <w:basedOn w:val="72"/>
    <w:link w:val="42"/>
    <w:autoRedefine/>
    <w:qFormat/>
    <w:locked/>
    <w:uiPriority w:val="99"/>
    <w:rPr>
      <w:rFonts w:eastAsia="宋体" w:cs="Times New Roman"/>
      <w:kern w:val="2"/>
      <w:sz w:val="18"/>
      <w:lang w:val="en-US" w:eastAsia="zh-CN"/>
    </w:rPr>
  </w:style>
  <w:style w:type="character" w:customStyle="1" w:styleId="112">
    <w:name w:val="Header Char"/>
    <w:basedOn w:val="72"/>
    <w:link w:val="44"/>
    <w:autoRedefine/>
    <w:qFormat/>
    <w:locked/>
    <w:uiPriority w:val="99"/>
    <w:rPr>
      <w:rFonts w:eastAsia="宋体" w:cs="Times New Roman"/>
      <w:kern w:val="2"/>
      <w:sz w:val="18"/>
      <w:lang w:val="en-US" w:eastAsia="zh-CN"/>
    </w:rPr>
  </w:style>
  <w:style w:type="character" w:customStyle="1" w:styleId="113">
    <w:name w:val="Signature Char"/>
    <w:basedOn w:val="72"/>
    <w:link w:val="45"/>
    <w:autoRedefine/>
    <w:qFormat/>
    <w:locked/>
    <w:uiPriority w:val="99"/>
    <w:rPr>
      <w:rFonts w:eastAsia="仿宋_GB2312" w:cs="Times New Roman"/>
      <w:sz w:val="24"/>
    </w:rPr>
  </w:style>
  <w:style w:type="character" w:customStyle="1" w:styleId="114">
    <w:name w:val="Subtitle Char"/>
    <w:basedOn w:val="72"/>
    <w:link w:val="50"/>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3"/>
    <w:autoRedefine/>
    <w:qFormat/>
    <w:locked/>
    <w:uiPriority w:val="99"/>
    <w:rPr>
      <w:rFonts w:cs="Times New Roman"/>
      <w:color w:val="0000FF"/>
      <w:sz w:val="21"/>
    </w:rPr>
  </w:style>
  <w:style w:type="character" w:customStyle="1" w:styleId="116">
    <w:name w:val="Body Text Indent 3 Char"/>
    <w:basedOn w:val="72"/>
    <w:link w:val="55"/>
    <w:autoRedefine/>
    <w:qFormat/>
    <w:locked/>
    <w:uiPriority w:val="99"/>
    <w:rPr>
      <w:rFonts w:cs="Times New Roman"/>
      <w:kern w:val="2"/>
      <w:sz w:val="24"/>
    </w:rPr>
  </w:style>
  <w:style w:type="character" w:customStyle="1" w:styleId="117">
    <w:name w:val="Body Text 2 Char"/>
    <w:basedOn w:val="72"/>
    <w:link w:val="59"/>
    <w:autoRedefine/>
    <w:qFormat/>
    <w:locked/>
    <w:uiPriority w:val="99"/>
    <w:rPr>
      <w:rFonts w:cs="Times New Roman"/>
      <w:kern w:val="2"/>
      <w:sz w:val="24"/>
    </w:rPr>
  </w:style>
  <w:style w:type="character" w:customStyle="1" w:styleId="118">
    <w:name w:val="HTML Preformatted Char"/>
    <w:basedOn w:val="72"/>
    <w:link w:val="60"/>
    <w:autoRedefine/>
    <w:qFormat/>
    <w:locked/>
    <w:uiPriority w:val="99"/>
    <w:rPr>
      <w:rFonts w:ascii="黑体" w:hAnsi="Courier New" w:eastAsia="黑体" w:cs="Times New Roman"/>
    </w:rPr>
  </w:style>
  <w:style w:type="character" w:customStyle="1" w:styleId="119">
    <w:name w:val="Title Char"/>
    <w:basedOn w:val="72"/>
    <w:link w:val="62"/>
    <w:autoRedefine/>
    <w:qFormat/>
    <w:locked/>
    <w:uiPriority w:val="99"/>
    <w:rPr>
      <w:rFonts w:cs="Times New Roman"/>
      <w:b/>
      <w:sz w:val="24"/>
      <w:lang w:val="en-GB"/>
    </w:rPr>
  </w:style>
  <w:style w:type="character" w:customStyle="1" w:styleId="120">
    <w:name w:val="Comment Subject Char"/>
    <w:basedOn w:val="101"/>
    <w:link w:val="63"/>
    <w:autoRedefine/>
    <w:qFormat/>
    <w:locked/>
    <w:uiPriority w:val="99"/>
    <w:rPr>
      <w:b/>
    </w:rPr>
  </w:style>
  <w:style w:type="character" w:customStyle="1" w:styleId="121">
    <w:name w:val="Body Text First Indent 2 Char"/>
    <w:basedOn w:val="104"/>
    <w:link w:val="64"/>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4"/>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41"/>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20"/>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6"/>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8"/>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2"/>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3"/>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basedOn w:val="72"/>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6"/>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9"/>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2"/>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21"/>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42"/>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4"/>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9"/>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2"/>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6"/>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autoRedefine/>
    <w:qFormat/>
    <w:uiPriority w:val="99"/>
    <w:rPr>
      <w:rFonts w:ascii="Arial" w:hAnsi="Arial" w:eastAsia="黑体" w:cs="Arial"/>
      <w:snapToGrid w:val="0"/>
      <w:kern w:val="0"/>
      <w:sz w:val="21"/>
      <w:szCs w:val="21"/>
    </w:rPr>
  </w:style>
  <w:style w:type="character" w:customStyle="1" w:styleId="442">
    <w:name w:val="hui"/>
    <w:basedOn w:val="72"/>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1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8"/>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5"/>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7"/>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99"/>
    <w:pPr>
      <w:adjustRightInd/>
      <w:ind w:firstLine="200" w:firstLineChars="200"/>
      <w:jc w:val="right"/>
    </w:pPr>
  </w:style>
  <w:style w:type="paragraph" w:customStyle="1" w:styleId="533">
    <w:name w:val="Char Char11 Char Char Char Char Char Char Char Char Char"/>
    <w:basedOn w:val="1"/>
    <w:autoRedefine/>
    <w:qFormat/>
    <w:uiPriority w:val="99"/>
    <w:pPr>
      <w:spacing w:line="360" w:lineRule="auto"/>
    </w:pPr>
    <w:rPr>
      <w:szCs w:val="20"/>
    </w:rPr>
  </w:style>
  <w:style w:type="paragraph" w:customStyle="1" w:styleId="534">
    <w:name w:val="正文1.25"/>
    <w:basedOn w:val="1"/>
    <w:autoRedefine/>
    <w:qFormat/>
    <w:uiPriority w:val="99"/>
    <w:pPr>
      <w:adjustRightInd/>
      <w:spacing w:line="300" w:lineRule="auto"/>
      <w:ind w:firstLine="480" w:firstLineChars="200"/>
    </w:pPr>
    <w:rPr>
      <w:sz w:val="24"/>
      <w:szCs w:val="20"/>
    </w:rPr>
  </w:style>
  <w:style w:type="paragraph" w:customStyle="1" w:styleId="535">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99"/>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99"/>
    <w:rPr>
      <w:rFonts w:eastAsia="仿宋_GB2312"/>
      <w:sz w:val="28"/>
      <w:szCs w:val="20"/>
    </w:rPr>
  </w:style>
  <w:style w:type="paragraph" w:customStyle="1" w:styleId="541">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autoRedefine/>
    <w:qFormat/>
    <w:uiPriority w:val="99"/>
    <w:pPr>
      <w:widowControl/>
      <w:jc w:val="left"/>
    </w:pPr>
    <w:rPr>
      <w:rFonts w:cs="宋体"/>
      <w:sz w:val="24"/>
      <w:szCs w:val="20"/>
    </w:rPr>
  </w:style>
  <w:style w:type="paragraph" w:customStyle="1" w:styleId="543">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4">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99"/>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autoRedefine/>
    <w:qFormat/>
    <w:uiPriority w:val="99"/>
    <w:pPr>
      <w:spacing w:after="68"/>
    </w:pPr>
    <w:rPr>
      <w:rFonts w:ascii="FHLHE E+ Futura Bk" w:eastAsia="FHLHE E+ Futura Bk" w:cs="Times New Roman"/>
      <w:color w:val="auto"/>
    </w:rPr>
  </w:style>
  <w:style w:type="paragraph" w:customStyle="1" w:styleId="554">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autoRedefine/>
    <w:qFormat/>
    <w:uiPriority w:val="99"/>
    <w:rPr>
      <w:rFonts w:ascii="宋体" w:eastAsia="宋体" w:cs="Times New Roman"/>
      <w:color w:val="auto"/>
    </w:rPr>
  </w:style>
  <w:style w:type="paragraph" w:customStyle="1" w:styleId="558">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2">
    <w:name w:val="Char Char111"/>
    <w:basedOn w:val="1"/>
    <w:autoRedefine/>
    <w:qFormat/>
    <w:uiPriority w:val="99"/>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autoRedefine/>
    <w:qFormat/>
    <w:uiPriority w:val="99"/>
    <w:rPr>
      <w:szCs w:val="20"/>
    </w:rPr>
  </w:style>
  <w:style w:type="paragraph" w:customStyle="1" w:styleId="567">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0">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2">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1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99"/>
    <w:rPr>
      <w:szCs w:val="20"/>
    </w:rPr>
  </w:style>
  <w:style w:type="paragraph" w:customStyle="1" w:styleId="590">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99"/>
    <w:pPr>
      <w:adjustRightInd/>
      <w:spacing w:beforeLines="50" w:line="360" w:lineRule="auto"/>
    </w:pPr>
    <w:rPr>
      <w:b/>
      <w:sz w:val="24"/>
    </w:rPr>
  </w:style>
  <w:style w:type="paragraph" w:customStyle="1" w:styleId="593">
    <w:name w:val="Char Char1101"/>
    <w:basedOn w:val="1"/>
    <w:autoRedefine/>
    <w:qFormat/>
    <w:uiPriority w:val="99"/>
    <w:pPr>
      <w:spacing w:line="360" w:lineRule="auto"/>
    </w:pPr>
    <w:rPr>
      <w:rFonts w:ascii="Tahoma" w:hAnsi="Tahoma"/>
      <w:sz w:val="24"/>
      <w:szCs w:val="20"/>
    </w:rPr>
  </w:style>
  <w:style w:type="paragraph" w:customStyle="1" w:styleId="594">
    <w:name w:val="Char Char Char Char Char Char Char Char1"/>
    <w:basedOn w:val="1"/>
    <w:autoRedefine/>
    <w:qFormat/>
    <w:uiPriority w:val="99"/>
    <w:pPr>
      <w:tabs>
        <w:tab w:val="left" w:pos="360"/>
      </w:tabs>
    </w:pPr>
    <w:rPr>
      <w:sz w:val="24"/>
      <w:szCs w:val="20"/>
    </w:rPr>
  </w:style>
  <w:style w:type="paragraph" w:customStyle="1" w:styleId="595">
    <w:name w:val="Char Char Char 字元 字元"/>
    <w:basedOn w:val="1"/>
    <w:autoRedefine/>
    <w:qFormat/>
    <w:uiPriority w:val="99"/>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99"/>
    <w:rPr>
      <w:rFonts w:ascii="仿宋_GB2312" w:eastAsia="仿宋_GB2312"/>
      <w:b/>
      <w:sz w:val="32"/>
      <w:szCs w:val="32"/>
    </w:rPr>
  </w:style>
  <w:style w:type="paragraph" w:customStyle="1" w:styleId="598">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99"/>
    <w:pPr>
      <w:adjustRightInd/>
    </w:pPr>
    <w:rPr>
      <w:sz w:val="18"/>
      <w:szCs w:val="20"/>
    </w:rPr>
  </w:style>
  <w:style w:type="paragraph" w:customStyle="1" w:styleId="603">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6">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1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59"/>
    <w:autoRedefine/>
    <w:qFormat/>
    <w:uiPriority w:val="99"/>
    <w:pPr>
      <w:snapToGrid w:val="0"/>
      <w:spacing w:line="360" w:lineRule="auto"/>
    </w:pPr>
    <w:rPr>
      <w:rFonts w:ascii="宋体"/>
      <w:b/>
      <w:sz w:val="24"/>
      <w:szCs w:val="20"/>
    </w:rPr>
  </w:style>
  <w:style w:type="paragraph" w:customStyle="1" w:styleId="613">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99"/>
    <w:pPr>
      <w:adjustRightInd/>
    </w:pPr>
    <w:rPr>
      <w:rFonts w:ascii="宋体" w:hAnsi="Courier New"/>
    </w:rPr>
  </w:style>
  <w:style w:type="paragraph" w:customStyle="1" w:styleId="616">
    <w:name w:val="Char3"/>
    <w:basedOn w:val="1"/>
    <w:autoRedefine/>
    <w:qFormat/>
    <w:uiPriority w:val="99"/>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99"/>
    <w:rPr>
      <w:b/>
    </w:rPr>
  </w:style>
  <w:style w:type="paragraph" w:customStyle="1" w:styleId="626">
    <w:name w:val="表格内文"/>
    <w:basedOn w:val="1"/>
    <w:autoRedefine/>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99"/>
    <w:rPr>
      <w:rFonts w:ascii="仿宋_GB2312" w:eastAsia="仿宋_GB2312"/>
      <w:b/>
      <w:sz w:val="32"/>
      <w:szCs w:val="32"/>
    </w:rPr>
  </w:style>
  <w:style w:type="paragraph" w:customStyle="1" w:styleId="628">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autoRedefine/>
    <w:qFormat/>
    <w:uiPriority w:val="99"/>
    <w:pPr>
      <w:spacing w:line="360" w:lineRule="auto"/>
    </w:pPr>
    <w:rPr>
      <w:szCs w:val="20"/>
    </w:rPr>
  </w:style>
  <w:style w:type="paragraph" w:customStyle="1" w:styleId="631">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3">
    <w:name w:val="MM Topic 1"/>
    <w:basedOn w:val="3"/>
    <w:autoRedefine/>
    <w:qFormat/>
    <w:uiPriority w:val="99"/>
    <w:pPr>
      <w:tabs>
        <w:tab w:val="left" w:pos="840"/>
      </w:tabs>
      <w:adjustRightInd/>
      <w:ind w:left="840" w:hanging="420"/>
    </w:pPr>
  </w:style>
  <w:style w:type="paragraph" w:customStyle="1" w:styleId="634">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99"/>
    <w:pPr>
      <w:spacing w:line="360" w:lineRule="auto"/>
      <w:ind w:firstLine="200" w:firstLineChars="200"/>
    </w:pPr>
    <w:rPr>
      <w:kern w:val="0"/>
      <w:sz w:val="24"/>
      <w:szCs w:val="20"/>
    </w:rPr>
  </w:style>
  <w:style w:type="paragraph" w:customStyle="1" w:styleId="636">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99"/>
    <w:pPr>
      <w:adjustRightInd/>
      <w:spacing w:line="300" w:lineRule="auto"/>
      <w:jc w:val="center"/>
    </w:pPr>
  </w:style>
  <w:style w:type="paragraph" w:customStyle="1" w:styleId="641">
    <w:name w:val="_Style 6"/>
    <w:basedOn w:val="1"/>
    <w:autoRedefine/>
    <w:qFormat/>
    <w:uiPriority w:val="99"/>
    <w:pPr>
      <w:adjustRightInd/>
      <w:ind w:firstLine="420" w:firstLineChars="200"/>
    </w:pPr>
    <w:rPr>
      <w:rFonts w:eastAsia="仿宋_GB2312"/>
      <w:sz w:val="28"/>
    </w:rPr>
  </w:style>
  <w:style w:type="paragraph" w:customStyle="1" w:styleId="642">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2"/>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2"/>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2"/>
    <w:autoRedefine/>
    <w:qFormat/>
    <w:uiPriority w:val="99"/>
    <w:pPr>
      <w:tabs>
        <w:tab w:val="left" w:pos="1260"/>
        <w:tab w:val="left" w:pos="1680"/>
        <w:tab w:val="left" w:pos="2100"/>
      </w:tabs>
      <w:ind w:left="0"/>
      <w:outlineLvl w:val="3"/>
    </w:pPr>
  </w:style>
  <w:style w:type="paragraph" w:customStyle="1" w:styleId="663">
    <w:name w:val="一级条标题"/>
    <w:basedOn w:val="664"/>
    <w:next w:val="2"/>
    <w:autoRedefine/>
    <w:qFormat/>
    <w:uiPriority w:val="99"/>
    <w:pPr>
      <w:tabs>
        <w:tab w:val="left" w:pos="1260"/>
        <w:tab w:val="left" w:pos="1680"/>
      </w:tabs>
      <w:spacing w:beforeLines="0" w:afterLines="0"/>
      <w:ind w:left="1680"/>
      <w:outlineLvl w:val="2"/>
    </w:pPr>
  </w:style>
  <w:style w:type="paragraph" w:customStyle="1" w:styleId="664">
    <w:name w:val="章标题"/>
    <w:next w:val="2"/>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1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5"/>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9"/>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1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5"/>
    <w:next w:val="55"/>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2"/>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2"/>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2"/>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9"/>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4"/>
    <w:next w:val="1"/>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1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20"/>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6"/>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99"/>
    <w:pPr>
      <w:tabs>
        <w:tab w:val="left" w:pos="1080"/>
      </w:tabs>
      <w:ind w:left="1080" w:hanging="1080"/>
    </w:pPr>
  </w:style>
  <w:style w:type="paragraph" w:customStyle="1" w:styleId="903">
    <w:name w:val="数字标题1"/>
    <w:basedOn w:val="3"/>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3"/>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3"/>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4"/>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basedOn w:val="72"/>
    <w:autoRedefine/>
    <w:qFormat/>
    <w:uiPriority w:val="99"/>
    <w:rPr>
      <w:rFonts w:ascii="仿宋" w:hAnsi="仿宋" w:eastAsia="仿宋"/>
      <w:color w:val="000000"/>
      <w:sz w:val="22"/>
      <w:u w:val="none"/>
    </w:rPr>
  </w:style>
  <w:style w:type="character" w:customStyle="1" w:styleId="969">
    <w:name w:val="Unresolved Mention"/>
    <w:basedOn w:val="72"/>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2"/>
    <w:autoRedefine/>
    <w:qFormat/>
    <w:uiPriority w:val="0"/>
  </w:style>
  <w:style w:type="paragraph" w:customStyle="1" w:styleId="988">
    <w:name w:val="正文文字2"/>
    <w:basedOn w:val="25"/>
    <w:next w:val="15"/>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 w:type="paragraph" w:customStyle="1" w:styleId="990">
    <w:name w:val="正文文本首行缩进 2"/>
    <w:basedOn w:val="17"/>
    <w:qFormat/>
    <w:uiPriority w:val="99"/>
    <w:pPr>
      <w:spacing w:line="200" w:lineRule="atLeast"/>
      <w:ind w:firstLine="420"/>
    </w:pPr>
    <w:rPr>
      <w:rFonts w:ascii="宋体" w:hAnsi="Courier New"/>
      <w:spacing w:val="-4"/>
      <w:sz w:val="18"/>
    </w:rPr>
  </w:style>
  <w:style w:type="character" w:customStyle="1" w:styleId="991">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65</Pages>
  <Words>18967</Words>
  <Characters>20228</Characters>
  <Lines>0</Lines>
  <Paragraphs>0</Paragraphs>
  <TotalTime>1</TotalTime>
  <ScaleCrop>false</ScaleCrop>
  <LinksUpToDate>false</LinksUpToDate>
  <CharactersWithSpaces>20396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2025-01-02T09:09:35Z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F783B229AB3F4BD3A00E5470D2CC33AF_13</vt:lpwstr>
  </property>
  <property fmtid="{D5CDD505-2E9C-101B-9397-08002B2CF9AE}" pid="5" name="KSOTemplateDocerSaveRecord">
    <vt:lpwstr>eyJoZGlkIjoiY2ZiOTQwM2Q1MWJhZmQ3MzFmZTU4OTNhNDBlM2Y0MDYiLCJ1c2VySWQiOiIzMTk5MDMwNDgifQ==</vt:lpwstr>
  </property>
</Properties>
</file>