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cs="宋体"/>
          <w:b/>
          <w:color w:val="000000" w:themeColor="text1"/>
          <w:sz w:val="24"/>
          <w:highlight w:val="none"/>
          <w14:textFill>
            <w14:solidFill>
              <w14:schemeClr w14:val="tx1"/>
            </w14:solidFill>
          </w14:textFill>
        </w:rPr>
      </w:pPr>
    </w:p>
    <w:p>
      <w:pPr>
        <w:jc w:val="center"/>
        <w:outlineLvl w:val="0"/>
        <w:rPr>
          <w:rFonts w:hint="eastAsia" w:ascii="仿宋" w:hAnsi="仿宋" w:eastAsia="仿宋" w:cs="仿宋"/>
          <w:b/>
          <w:color w:val="000000" w:themeColor="text1"/>
          <w:sz w:val="72"/>
          <w:szCs w:val="72"/>
          <w:highlight w:val="none"/>
          <w:lang w:val="en-US" w:eastAsia="zh-CN"/>
          <w14:textFill>
            <w14:solidFill>
              <w14:schemeClr w14:val="tx1"/>
            </w14:solidFill>
          </w14:textFill>
        </w:rPr>
      </w:pPr>
      <w:bookmarkStart w:id="0" w:name="_Hlt67893495"/>
      <w:bookmarkEnd w:id="0"/>
      <w:r>
        <w:rPr>
          <w:rFonts w:hint="eastAsia" w:ascii="仿宋" w:hAnsi="仿宋" w:eastAsia="仿宋" w:cs="仿宋"/>
          <w:b/>
          <w:color w:val="000000" w:themeColor="text1"/>
          <w:sz w:val="72"/>
          <w:szCs w:val="72"/>
          <w:highlight w:val="none"/>
          <w:lang w:val="en-US" w:eastAsia="zh-CN"/>
          <w14:textFill>
            <w14:solidFill>
              <w14:schemeClr w14:val="tx1"/>
            </w14:solidFill>
          </w14:textFill>
        </w:rPr>
        <w:t>诸暨市同山镇2024年度集镇保洁、垃圾清运服务</w:t>
      </w:r>
    </w:p>
    <w:p>
      <w:pPr>
        <w:jc w:val="center"/>
        <w:outlineLvl w:val="0"/>
        <w:rPr>
          <w:rFonts w:hint="eastAsia" w:ascii="仿宋" w:hAnsi="仿宋" w:eastAsia="仿宋" w:cs="仿宋"/>
          <w:b/>
          <w:color w:val="000000" w:themeColor="text1"/>
          <w:sz w:val="72"/>
          <w:szCs w:val="72"/>
          <w:highlight w:val="none"/>
          <w:lang w:val="en-US" w:eastAsia="zh-CN"/>
          <w14:textFill>
            <w14:solidFill>
              <w14:schemeClr w14:val="tx1"/>
            </w14:solidFill>
          </w14:textFill>
        </w:rPr>
      </w:pPr>
      <w:r>
        <w:rPr>
          <w:rFonts w:hint="eastAsia" w:ascii="仿宋" w:hAnsi="仿宋" w:eastAsia="仿宋" w:cs="仿宋"/>
          <w:b/>
          <w:color w:val="000000" w:themeColor="text1"/>
          <w:sz w:val="72"/>
          <w:szCs w:val="72"/>
          <w:highlight w:val="none"/>
          <w:lang w:val="en-US" w:eastAsia="zh-CN"/>
          <w14:textFill>
            <w14:solidFill>
              <w14:schemeClr w14:val="tx1"/>
            </w14:solidFill>
          </w14:textFill>
        </w:rPr>
        <w:t>采购项目</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outlineLvl w:val="9"/>
        <w:rPr>
          <w:rFonts w:hint="eastAsia" w:ascii="宋体" w:hAnsi="宋体"/>
          <w:b/>
          <w:color w:val="000000" w:themeColor="text1"/>
          <w:spacing w:val="36"/>
          <w:sz w:val="36"/>
          <w:highlight w:val="none"/>
          <w:lang w:val="en-US"/>
          <w14:textFill>
            <w14:solidFill>
              <w14:schemeClr w14:val="tx1"/>
            </w14:solidFill>
          </w14:textFill>
        </w:rPr>
      </w:pPr>
      <w:r>
        <w:rPr>
          <w:rFonts w:hint="eastAsia" w:ascii="宋体" w:hAnsi="宋体"/>
          <w:b/>
          <w:color w:val="000000" w:themeColor="text1"/>
          <w:spacing w:val="36"/>
          <w:sz w:val="36"/>
          <w:highlight w:val="none"/>
          <w:lang w:val="en-US" w:eastAsia="zh-CN"/>
          <w14:textFill>
            <w14:solidFill>
              <w14:schemeClr w14:val="tx1"/>
            </w14:solidFill>
          </w14:textFill>
        </w:rPr>
        <w:t>编号：JY2024-08-08</w:t>
      </w:r>
    </w:p>
    <w:p>
      <w:pPr>
        <w:pStyle w:val="4"/>
        <w:pageBreakBefore w:val="0"/>
        <w:widowControl w:val="0"/>
        <w:kinsoku/>
        <w:wordWrap/>
        <w:overflowPunct/>
        <w:topLinePunct w:val="0"/>
        <w:autoSpaceDE/>
        <w:autoSpaceDN/>
        <w:bidi w:val="0"/>
        <w:adjustRightInd w:val="0"/>
        <w:snapToGrid/>
        <w:spacing w:before="0" w:after="0" w:line="400" w:lineRule="exact"/>
        <w:ind w:right="0" w:rightChars="0"/>
        <w:textAlignment w:val="auto"/>
        <w:rPr>
          <w:color w:val="000000" w:themeColor="text1"/>
          <w:highlight w:val="none"/>
          <w14:textFill>
            <w14:solidFill>
              <w14:schemeClr w14:val="tx1"/>
            </w14:solidFill>
          </w14:textFill>
        </w:rPr>
      </w:pPr>
    </w:p>
    <w:p>
      <w:pPr>
        <w:autoSpaceDE/>
        <w:autoSpaceDN/>
        <w:spacing w:afterLines="600" w:line="360" w:lineRule="auto"/>
        <w:jc w:val="center"/>
        <w:rPr>
          <w:rFonts w:hint="eastAsia" w:ascii="宋体" w:hAnsi="宋体"/>
          <w:b/>
          <w:color w:val="000000" w:themeColor="text1"/>
          <w:spacing w:val="36"/>
          <w:sz w:val="36"/>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beforeLines="750" w:line="360" w:lineRule="auto"/>
        <w:jc w:val="center"/>
        <w:textAlignment w:val="auto"/>
        <w:rPr>
          <w:rFonts w:ascii="宋体" w:hAnsi="宋体"/>
          <w:b/>
          <w:color w:val="000000" w:themeColor="text1"/>
          <w:spacing w:val="0"/>
          <w:sz w:val="84"/>
          <w:szCs w:val="84"/>
          <w:highlight w:val="none"/>
          <w14:textFill>
            <w14:solidFill>
              <w14:schemeClr w14:val="tx1"/>
            </w14:solidFill>
          </w14:textFill>
        </w:rPr>
      </w:pPr>
      <w:r>
        <w:rPr>
          <w:rFonts w:hint="eastAsia" w:ascii="宋体" w:hAnsi="宋体"/>
          <w:b/>
          <w:color w:val="000000" w:themeColor="text1"/>
          <w:spacing w:val="255"/>
          <w:sz w:val="84"/>
          <w:szCs w:val="84"/>
          <w:highlight w:val="none"/>
          <w14:textFill>
            <w14:solidFill>
              <w14:schemeClr w14:val="tx1"/>
            </w14:solidFill>
          </w14:textFill>
        </w:rPr>
        <w:t>招标文</w:t>
      </w:r>
      <w:r>
        <w:rPr>
          <w:rFonts w:hint="eastAsia" w:ascii="宋体" w:hAnsi="宋体"/>
          <w:b/>
          <w:color w:val="000000" w:themeColor="text1"/>
          <w:spacing w:val="0"/>
          <w:sz w:val="84"/>
          <w:szCs w:val="84"/>
          <w:highlight w:val="none"/>
          <w14:textFill>
            <w14:solidFill>
              <w14:schemeClr w14:val="tx1"/>
            </w14:solidFill>
          </w14:textFill>
        </w:rPr>
        <w:t>件</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outlineLvl w:val="9"/>
        <w:rPr>
          <w:rFonts w:hint="eastAsia" w:ascii="宋体" w:hAnsi="宋体"/>
          <w:b/>
          <w:color w:val="000000" w:themeColor="text1"/>
          <w:spacing w:val="36"/>
          <w:sz w:val="36"/>
          <w:highlight w:val="none"/>
          <w14:textFill>
            <w14:solidFill>
              <w14:schemeClr w14:val="tx1"/>
            </w14:solidFill>
          </w14:textFill>
        </w:rPr>
      </w:pPr>
      <w:r>
        <w:rPr>
          <w:rFonts w:hint="eastAsia" w:ascii="宋体" w:hAnsi="宋体"/>
          <w:b/>
          <w:color w:val="000000" w:themeColor="text1"/>
          <w:spacing w:val="36"/>
          <w:sz w:val="36"/>
          <w:highlight w:val="none"/>
          <w14:textFill>
            <w14:solidFill>
              <w14:schemeClr w14:val="tx1"/>
            </w14:solidFill>
          </w14:textFill>
        </w:rPr>
        <w:t>（电子招投标）</w:t>
      </w:r>
    </w:p>
    <w:p>
      <w:pPr>
        <w:rPr>
          <w:rFonts w:ascii="宋体" w:hAnsi="宋体" w:cs="楷体_GB2312"/>
          <w:b/>
          <w:bCs/>
          <w:color w:val="000000" w:themeColor="text1"/>
          <w:w w:val="95"/>
          <w:kern w:val="0"/>
          <w:sz w:val="30"/>
          <w:szCs w:val="30"/>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34"/>
        <w:keepNext w:val="0"/>
        <w:keepLines w:val="0"/>
        <w:pageBreakBefore w:val="0"/>
        <w:widowControl w:val="0"/>
        <w:kinsoku/>
        <w:wordWrap/>
        <w:overflowPunct/>
        <w:topLinePunct w:val="0"/>
        <w:autoSpaceDE/>
        <w:autoSpaceDN/>
        <w:bidi w:val="0"/>
        <w:adjustRightInd/>
        <w:snapToGrid w:val="0"/>
        <w:spacing w:before="120" w:after="120" w:line="360" w:lineRule="auto"/>
        <w:ind w:firstLine="1134"/>
        <w:textAlignment w:val="auto"/>
        <w:rPr>
          <w:rFonts w:hint="eastAsia" w:ascii="宋体" w:hAnsi="宋体" w:cs="楷体_GB2312"/>
          <w:b/>
          <w:bCs/>
          <w:color w:val="000000" w:themeColor="text1"/>
          <w:w w:val="95"/>
          <w:kern w:val="0"/>
          <w:sz w:val="30"/>
          <w:szCs w:val="30"/>
          <w:highlight w:val="none"/>
          <w:lang w:val="en-US" w:eastAsia="zh-CN"/>
          <w14:textFill>
            <w14:solidFill>
              <w14:schemeClr w14:val="tx1"/>
            </w14:solidFill>
          </w14:textFill>
        </w:rPr>
      </w:pPr>
      <w:r>
        <w:rPr>
          <w:rFonts w:ascii="宋体" w:hAnsi="宋体" w:cs="楷体_GB2312"/>
          <w:b/>
          <w:bCs/>
          <w:color w:val="000000" w:themeColor="text1"/>
          <w:spacing w:val="96"/>
          <w:w w:val="95"/>
          <w:kern w:val="0"/>
          <w:sz w:val="30"/>
          <w:szCs w:val="30"/>
          <w:highlight w:val="none"/>
          <w14:textFill>
            <w14:solidFill>
              <w14:schemeClr w14:val="tx1"/>
            </w14:solidFill>
          </w14:textFill>
        </w:rPr>
        <w:t>采购单</w:t>
      </w:r>
      <w:r>
        <w:rPr>
          <w:rFonts w:ascii="宋体" w:hAnsi="宋体" w:cs="楷体_GB2312"/>
          <w:b/>
          <w:bCs/>
          <w:color w:val="000000" w:themeColor="text1"/>
          <w:w w:val="95"/>
          <w:kern w:val="0"/>
          <w:sz w:val="30"/>
          <w:szCs w:val="30"/>
          <w:highlight w:val="none"/>
          <w14:textFill>
            <w14:solidFill>
              <w14:schemeClr w14:val="tx1"/>
            </w14:solidFill>
          </w14:textFill>
        </w:rPr>
        <w:t>位：</w:t>
      </w:r>
      <w:r>
        <w:rPr>
          <w:rFonts w:hint="eastAsia" w:ascii="宋体" w:hAnsi="宋体" w:eastAsia="宋体" w:cs="楷体_GB2312"/>
          <w:b/>
          <w:bCs/>
          <w:color w:val="000000" w:themeColor="text1"/>
          <w:w w:val="95"/>
          <w:kern w:val="0"/>
          <w:sz w:val="30"/>
          <w:szCs w:val="30"/>
          <w:highlight w:val="none"/>
          <w:lang w:eastAsia="zh-CN"/>
          <w14:textFill>
            <w14:solidFill>
              <w14:schemeClr w14:val="tx1"/>
            </w14:solidFill>
          </w14:textFill>
        </w:rPr>
        <w:t>诸暨</w:t>
      </w:r>
      <w:r>
        <w:rPr>
          <w:rFonts w:hint="eastAsia" w:hAnsi="宋体" w:cs="楷体_GB2312"/>
          <w:b/>
          <w:bCs/>
          <w:color w:val="000000" w:themeColor="text1"/>
          <w:w w:val="95"/>
          <w:kern w:val="0"/>
          <w:sz w:val="30"/>
          <w:szCs w:val="30"/>
          <w:highlight w:val="none"/>
          <w:lang w:val="en-US" w:eastAsia="zh-CN"/>
          <w14:textFill>
            <w14:solidFill>
              <w14:schemeClr w14:val="tx1"/>
            </w14:solidFill>
          </w14:textFill>
        </w:rPr>
        <w:t>市同山镇人民政府</w:t>
      </w:r>
    </w:p>
    <w:p>
      <w:pPr>
        <w:pStyle w:val="34"/>
        <w:keepNext w:val="0"/>
        <w:keepLines w:val="0"/>
        <w:pageBreakBefore w:val="0"/>
        <w:widowControl w:val="0"/>
        <w:kinsoku/>
        <w:wordWrap/>
        <w:overflowPunct/>
        <w:topLinePunct w:val="0"/>
        <w:autoSpaceDE/>
        <w:autoSpaceDN/>
        <w:bidi w:val="0"/>
        <w:adjustRightInd/>
        <w:snapToGrid w:val="0"/>
        <w:spacing w:before="120" w:after="120" w:line="360" w:lineRule="auto"/>
        <w:ind w:firstLine="1134"/>
        <w:textAlignment w:val="auto"/>
        <w:rPr>
          <w:rFonts w:hint="eastAsia" w:ascii="宋体" w:hAnsi="宋体" w:eastAsia="宋体" w:cs="楷体_GB2312"/>
          <w:b/>
          <w:bCs/>
          <w:color w:val="000000" w:themeColor="text1"/>
          <w:w w:val="95"/>
          <w:kern w:val="0"/>
          <w:sz w:val="30"/>
          <w:szCs w:val="30"/>
          <w:highlight w:val="none"/>
          <w:lang w:eastAsia="zh-CN"/>
          <w14:textFill>
            <w14:solidFill>
              <w14:schemeClr w14:val="tx1"/>
            </w14:solidFill>
          </w14:textFill>
        </w:rPr>
      </w:pPr>
      <w:r>
        <w:rPr>
          <w:rFonts w:hint="eastAsia" w:ascii="宋体" w:hAnsi="宋体" w:cs="楷体_GB2312"/>
          <w:b/>
          <w:bCs/>
          <w:color w:val="000000" w:themeColor="text1"/>
          <w:w w:val="95"/>
          <w:kern w:val="0"/>
          <w:sz w:val="30"/>
          <w:szCs w:val="30"/>
          <w:highlight w:val="none"/>
          <w14:textFill>
            <w14:solidFill>
              <w14:schemeClr w14:val="tx1"/>
            </w14:solidFill>
          </w14:textFill>
        </w:rPr>
        <w:t>采购代理机构</w:t>
      </w:r>
      <w:r>
        <w:rPr>
          <w:rFonts w:ascii="宋体" w:hAnsi="宋体" w:cs="楷体_GB2312"/>
          <w:b/>
          <w:bCs/>
          <w:color w:val="000000" w:themeColor="text1"/>
          <w:w w:val="95"/>
          <w:kern w:val="0"/>
          <w:sz w:val="30"/>
          <w:szCs w:val="30"/>
          <w:highlight w:val="none"/>
          <w14:textFill>
            <w14:solidFill>
              <w14:schemeClr w14:val="tx1"/>
            </w14:solidFill>
          </w14:textFill>
        </w:rPr>
        <w:t>：</w:t>
      </w:r>
      <w:r>
        <w:rPr>
          <w:rFonts w:hint="eastAsia" w:ascii="宋体" w:hAnsi="宋体" w:cs="楷体_GB2312"/>
          <w:b/>
          <w:bCs/>
          <w:color w:val="000000" w:themeColor="text1"/>
          <w:w w:val="95"/>
          <w:kern w:val="0"/>
          <w:sz w:val="30"/>
          <w:szCs w:val="30"/>
          <w:highlight w:val="none"/>
          <w:lang w:eastAsia="zh-CN"/>
          <w14:textFill>
            <w14:solidFill>
              <w14:schemeClr w14:val="tx1"/>
            </w14:solidFill>
          </w14:textFill>
        </w:rPr>
        <w:t>吉亿工程管理服务（诸暨）有限公司</w:t>
      </w:r>
    </w:p>
    <w:p>
      <w:pPr>
        <w:jc w:val="center"/>
        <w:rPr>
          <w:rFonts w:hint="eastAsia" w:ascii="宋体" w:hAnsi="宋体"/>
          <w:color w:val="000000" w:themeColor="text1"/>
          <w:highlight w:val="none"/>
          <w14:textFill>
            <w14:solidFill>
              <w14:schemeClr w14:val="tx1"/>
            </w14:solidFill>
          </w14:textFill>
        </w:rPr>
      </w:pPr>
      <w:r>
        <w:rPr>
          <w:rFonts w:hint="eastAsia" w:ascii="宋体" w:hAnsi="宋体"/>
          <w:b/>
          <w:bCs/>
          <w:color w:val="000000" w:themeColor="text1"/>
          <w:w w:val="95"/>
          <w:sz w:val="30"/>
          <w:szCs w:val="30"/>
          <w:highlight w:val="none"/>
          <w14:textFill>
            <w14:solidFill>
              <w14:schemeClr w14:val="tx1"/>
            </w14:solidFill>
          </w14:textFill>
        </w:rPr>
        <w:t>二〇二</w:t>
      </w:r>
      <w:r>
        <w:rPr>
          <w:rFonts w:hint="eastAsia" w:ascii="宋体" w:hAnsi="宋体"/>
          <w:b/>
          <w:bCs/>
          <w:color w:val="000000" w:themeColor="text1"/>
          <w:w w:val="95"/>
          <w:sz w:val="30"/>
          <w:szCs w:val="30"/>
          <w:highlight w:val="none"/>
          <w:lang w:val="en-US" w:eastAsia="zh-CN"/>
          <w14:textFill>
            <w14:solidFill>
              <w14:schemeClr w14:val="tx1"/>
            </w14:solidFill>
          </w14:textFill>
        </w:rPr>
        <w:t>四</w:t>
      </w:r>
      <w:r>
        <w:rPr>
          <w:rFonts w:hint="eastAsia" w:ascii="宋体" w:hAnsi="宋体" w:cs="楷体_GB2312"/>
          <w:b/>
          <w:bCs/>
          <w:color w:val="000000" w:themeColor="text1"/>
          <w:w w:val="95"/>
          <w:sz w:val="30"/>
          <w:szCs w:val="30"/>
          <w:highlight w:val="none"/>
          <w14:textFill>
            <w14:solidFill>
              <w14:schemeClr w14:val="tx1"/>
            </w14:solidFill>
          </w14:textFill>
        </w:rPr>
        <w:t>年</w:t>
      </w:r>
      <w:r>
        <w:rPr>
          <w:rFonts w:hint="eastAsia" w:ascii="宋体" w:hAnsi="宋体" w:cs="楷体_GB2312"/>
          <w:b/>
          <w:bCs/>
          <w:color w:val="000000" w:themeColor="text1"/>
          <w:w w:val="95"/>
          <w:sz w:val="30"/>
          <w:szCs w:val="30"/>
          <w:highlight w:val="none"/>
          <w:lang w:val="en-US" w:eastAsia="zh-CN"/>
          <w14:textFill>
            <w14:solidFill>
              <w14:schemeClr w14:val="tx1"/>
            </w14:solidFill>
          </w14:textFill>
        </w:rPr>
        <w:t>七</w:t>
      </w:r>
      <w:r>
        <w:rPr>
          <w:rFonts w:hint="eastAsia" w:ascii="宋体" w:hAnsi="宋体" w:cs="楷体_GB2312"/>
          <w:b/>
          <w:bCs/>
          <w:color w:val="000000" w:themeColor="text1"/>
          <w:w w:val="95"/>
          <w:sz w:val="30"/>
          <w:szCs w:val="30"/>
          <w:highlight w:val="none"/>
          <w14:textFill>
            <w14:solidFill>
              <w14:schemeClr w14:val="tx1"/>
            </w14:solidFill>
          </w14:textFill>
        </w:rPr>
        <w:t>月</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lang w:eastAsia="zh-CN"/>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第三部分    </w:t>
      </w:r>
      <w:r>
        <w:rPr>
          <w:rFonts w:hint="eastAsia" w:ascii="仿宋" w:hAnsi="仿宋" w:eastAsia="仿宋" w:cs="仿宋"/>
          <w:b/>
          <w:color w:val="000000" w:themeColor="text1"/>
          <w:sz w:val="36"/>
          <w:szCs w:val="36"/>
          <w:highlight w:val="none"/>
          <w:lang w:eastAsia="zh-CN"/>
          <w14:textFill>
            <w14:solidFill>
              <w14:schemeClr w14:val="tx1"/>
            </w14:solidFill>
          </w14:textFill>
        </w:rPr>
        <w:t>采购需求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诸暨市同山镇2024年度集镇保洁、垃圾清运服务采购</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0"/>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4</w:t>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0"/>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8</w:t>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0"/>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21</w:t>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0"/>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14</w:t>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0"/>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70"/>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0"/>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0"/>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lang w:val="en-US" w:eastAsia="zh-CN"/>
          <w14:textFill>
            <w14:solidFill>
              <w14:schemeClr w14:val="tx1"/>
            </w14:solidFill>
          </w14:textFill>
        </w:rPr>
        <w:t>JY2024-08-08</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val="en-US" w:eastAsia="zh-CN"/>
          <w14:textFill>
            <w14:solidFill>
              <w14:schemeClr w14:val="tx1"/>
            </w14:solidFill>
          </w14:textFill>
        </w:rPr>
        <w:t>诸暨市同山镇2024年度集镇保洁、垃圾清运服务采购项目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w:t>
      </w:r>
      <w:r>
        <w:rPr>
          <w:rFonts w:hint="eastAsia" w:ascii="仿宋" w:hAnsi="仿宋" w:eastAsia="仿宋" w:cs="仿宋"/>
          <w:b/>
          <w:color w:val="000000" w:themeColor="text1"/>
          <w:sz w:val="24"/>
          <w:highlight w:val="none"/>
          <w:lang w:val="en-US" w:eastAsia="zh-CN"/>
          <w14:textFill>
            <w14:solidFill>
              <w14:schemeClr w14:val="tx1"/>
            </w14:solidFill>
          </w14:textFill>
        </w:rPr>
        <w:t>万</w:t>
      </w:r>
      <w:r>
        <w:rPr>
          <w:rFonts w:hint="eastAsia" w:ascii="仿宋" w:hAnsi="仿宋" w:eastAsia="仿宋" w:cs="仿宋"/>
          <w:b/>
          <w:color w:val="000000" w:themeColor="text1"/>
          <w:sz w:val="24"/>
          <w:highlight w:val="none"/>
          <w14:textFill>
            <w14:solidFill>
              <w14:schemeClr w14:val="tx1"/>
            </w14:solidFill>
          </w14:textFill>
        </w:rPr>
        <w:t>元）：</w:t>
      </w:r>
      <w:r>
        <w:rPr>
          <w:rFonts w:hint="eastAsia" w:ascii="仿宋" w:hAnsi="仿宋" w:eastAsia="仿宋" w:cs="仿宋"/>
          <w:b/>
          <w:color w:val="000000" w:themeColor="text1"/>
          <w:sz w:val="24"/>
          <w:highlight w:val="none"/>
          <w:lang w:val="en-US" w:eastAsia="zh-CN"/>
          <w14:textFill>
            <w14:solidFill>
              <w14:schemeClr w14:val="tx1"/>
            </w14:solidFill>
          </w14:textFill>
        </w:rPr>
        <w:t>95.00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w:t>
      </w:r>
      <w:r>
        <w:rPr>
          <w:rFonts w:hint="eastAsia" w:ascii="仿宋" w:hAnsi="仿宋" w:eastAsia="仿宋" w:cs="仿宋"/>
          <w:b/>
          <w:color w:val="000000" w:themeColor="text1"/>
          <w:sz w:val="24"/>
          <w:highlight w:val="none"/>
          <w:lang w:val="en-US" w:eastAsia="zh-CN"/>
          <w14:textFill>
            <w14:solidFill>
              <w14:schemeClr w14:val="tx1"/>
            </w14:solidFill>
          </w14:textFill>
        </w:rPr>
        <w:t>万</w:t>
      </w:r>
      <w:r>
        <w:rPr>
          <w:rFonts w:hint="eastAsia" w:ascii="仿宋" w:hAnsi="仿宋" w:eastAsia="仿宋" w:cs="仿宋"/>
          <w:b/>
          <w:color w:val="000000" w:themeColor="text1"/>
          <w:sz w:val="24"/>
          <w:highlight w:val="none"/>
          <w14:textFill>
            <w14:solidFill>
              <w14:schemeClr w14:val="tx1"/>
            </w14:solidFill>
          </w14:textFill>
        </w:rPr>
        <w:t>元）：</w:t>
      </w:r>
      <w:r>
        <w:rPr>
          <w:rFonts w:hint="eastAsia" w:ascii="仿宋" w:hAnsi="仿宋" w:eastAsia="仿宋" w:cs="仿宋"/>
          <w:b/>
          <w:color w:val="000000" w:themeColor="text1"/>
          <w:sz w:val="24"/>
          <w:highlight w:val="none"/>
          <w:lang w:val="en-US" w:eastAsia="zh-CN"/>
          <w14:textFill>
            <w14:solidFill>
              <w14:schemeClr w14:val="tx1"/>
            </w14:solidFill>
          </w14:textFill>
        </w:rPr>
        <w:t>95.00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r>
        <w:rPr>
          <w:rFonts w:hint="eastAsia" w:ascii="仿宋" w:hAnsi="仿宋" w:eastAsia="仿宋" w:cs="仿宋"/>
          <w:b/>
          <w:color w:val="000000" w:themeColor="text1"/>
          <w:sz w:val="24"/>
          <w:highlight w:val="none"/>
          <w:lang w:val="en-US" w:eastAsia="zh-CN"/>
          <w14:textFill>
            <w14:solidFill>
              <w14:schemeClr w14:val="tx1"/>
            </w14:solidFill>
          </w14:textFill>
        </w:rPr>
        <w:t>详见第三部分</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详见第三部分</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否）</w:t>
      </w:r>
      <w:r>
        <w:rPr>
          <w:rFonts w:hint="eastAsia" w:ascii="仿宋" w:hAnsi="仿宋" w:eastAsia="仿宋" w:cs="仿宋"/>
          <w:b/>
          <w:color w:val="000000" w:themeColor="text1"/>
          <w:sz w:val="24"/>
          <w:highlight w:val="none"/>
          <w14:textFill>
            <w14:solidFill>
              <w14:schemeClr w14:val="tx1"/>
            </w14:solidFill>
          </w14:textFill>
        </w:rPr>
        <w:t>接受联合体投标</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pPr>
        <w:keepNext w:val="0"/>
        <w:keepLines w:val="0"/>
        <w:pageBreakBefore w:val="0"/>
        <w:widowControl w:val="0"/>
        <w:kinsoku/>
        <w:wordWrap/>
        <w:overflowPunct/>
        <w:topLinePunct w:val="0"/>
        <w:autoSpaceDE/>
        <w:autoSpaceDN/>
        <w:bidi w:val="0"/>
        <w:adjustRightInd w:val="0"/>
        <w:spacing w:line="360" w:lineRule="exact"/>
        <w:ind w:left="0" w:leftChars="0" w:right="0" w:rightChars="0" w:firstLine="480" w:firstLineChars="200"/>
        <w:jc w:val="left"/>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val="0"/>
        <w:spacing w:line="360" w:lineRule="exact"/>
        <w:ind w:left="0" w:leftChars="0" w:right="0" w:rightChars="0" w:firstLine="480" w:firstLineChars="200"/>
        <w:jc w:val="left"/>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2.落实政府采购政策需满足的资格要求：</w:t>
      </w:r>
    </w:p>
    <w:p>
      <w:pPr>
        <w:pStyle w:val="34"/>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jc w:val="left"/>
        <w:textAlignment w:val="auto"/>
        <w:outlineLvl w:val="9"/>
        <w:rPr>
          <w:rFonts w:hint="eastAsia" w:ascii="仿宋" w:hAnsi="仿宋" w:eastAsia="仿宋" w:cs="仿宋"/>
          <w:snapToGrid w:val="0"/>
          <w:color w:val="000000" w:themeColor="text1"/>
          <w:kern w:val="28"/>
          <w:sz w:val="24"/>
          <w:szCs w:val="20"/>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szCs w:val="20"/>
          <w:highlight w:val="none"/>
          <w:lang w:val="en-US" w:eastAsia="zh-CN" w:bidi="ar-SA"/>
          <w14:textFill>
            <w14:solidFill>
              <w14:schemeClr w14:val="tx1"/>
            </w14:solidFill>
          </w14:textFill>
        </w:rPr>
        <w:t>本项目属于专门面向中小企业采购的项目，投标供应商应为中、小、微型企业（监狱企业、残疾人福利性单位视同小型、微型企业）；</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lang w:val="en-US" w:eastAsia="zh-CN" w:bidi="ar-SA"/>
          <w14:textFill>
            <w14:solidFill>
              <w14:schemeClr w14:val="tx1"/>
            </w14:solidFill>
          </w14:textFill>
        </w:rPr>
        <w:t>3.单位负责人为同一人或者存在直</w:t>
      </w:r>
      <w:r>
        <w:rPr>
          <w:rFonts w:hint="eastAsia" w:ascii="仿宋" w:hAnsi="仿宋" w:eastAsia="仿宋" w:cs="仿宋"/>
          <w:color w:val="000000" w:themeColor="text1"/>
          <w:sz w:val="24"/>
          <w:highlight w:val="none"/>
          <w14:textFill>
            <w14:solidFill>
              <w14:schemeClr w14:val="tx1"/>
            </w14:solidFill>
          </w14:textFill>
        </w:rPr>
        <w:t>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none"/>
          <w14:textFill>
            <w14:solidFill>
              <w14:schemeClr w14:val="tx1"/>
            </w14:solidFill>
          </w14:textFill>
        </w:rPr>
        <w:t>202</w:t>
      </w:r>
      <w:r>
        <w:rPr>
          <w:rFonts w:hint="eastAsia" w:ascii="仿宋" w:hAnsi="仿宋" w:eastAsia="仿宋" w:cs="仿宋"/>
          <w:color w:val="000000" w:themeColor="text1"/>
          <w:sz w:val="24"/>
          <w:highlight w:val="none"/>
          <w:u w:val="none"/>
          <w:lang w:val="en-US" w:eastAsia="zh-CN"/>
          <w14:textFill>
            <w14:solidFill>
              <w14:schemeClr w14:val="tx1"/>
            </w14:solidFill>
          </w14:textFill>
        </w:rPr>
        <w:t>4</w:t>
      </w:r>
      <w:r>
        <w:rPr>
          <w:rFonts w:hint="eastAsia" w:ascii="仿宋" w:hAnsi="仿宋" w:eastAsia="仿宋" w:cs="仿宋"/>
          <w:color w:val="000000" w:themeColor="text1"/>
          <w:sz w:val="24"/>
          <w:highlight w:val="none"/>
          <w:u w:val="none"/>
          <w14:textFill>
            <w14:solidFill>
              <w14:schemeClr w14:val="tx1"/>
            </w14:solidFill>
          </w14:textFill>
        </w:rPr>
        <w:t>年</w:t>
      </w:r>
      <w:r>
        <w:rPr>
          <w:rFonts w:hint="eastAsia" w:ascii="仿宋" w:hAnsi="仿宋" w:eastAsia="仿宋" w:cs="仿宋"/>
          <w:color w:val="000000" w:themeColor="text1"/>
          <w:sz w:val="24"/>
          <w:highlight w:val="none"/>
          <w:u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none"/>
          <w14:textFill>
            <w14:solidFill>
              <w14:schemeClr w14:val="tx1"/>
            </w14:solidFill>
          </w14:textFill>
        </w:rPr>
        <w:t>月</w:t>
      </w:r>
      <w:r>
        <w:rPr>
          <w:rFonts w:hint="eastAsia" w:ascii="仿宋" w:hAnsi="仿宋" w:eastAsia="仿宋" w:cs="仿宋"/>
          <w:color w:val="000000" w:themeColor="text1"/>
          <w:sz w:val="24"/>
          <w:highlight w:val="none"/>
          <w:u w:val="none"/>
          <w:lang w:val="en-US" w:eastAsia="zh-CN"/>
          <w14:textFill>
            <w14:solidFill>
              <w14:schemeClr w14:val="tx1"/>
            </w14:solidFill>
          </w14:textFill>
        </w:rPr>
        <w:t>21</w:t>
      </w:r>
      <w:r>
        <w:rPr>
          <w:rFonts w:hint="eastAsia" w:ascii="仿宋" w:hAnsi="仿宋" w:eastAsia="仿宋" w:cs="仿宋"/>
          <w:color w:val="000000" w:themeColor="text1"/>
          <w:sz w:val="24"/>
          <w:highlight w:val="none"/>
          <w:u w:val="non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21</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21</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0" w:name="_Toc35393806"/>
      <w:bookmarkStart w:id="11" w:name="_Toc28359096"/>
      <w:bookmarkStart w:id="12" w:name="_Toc35393637"/>
      <w:bookmarkStart w:id="13" w:name="_Toc28359019"/>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0"/>
      <w:bookmarkEnd w:id="11"/>
      <w:bookmarkEnd w:id="12"/>
      <w:bookmarkEnd w:id="13"/>
      <w:r>
        <w:rPr>
          <w:rFonts w:hint="eastAsia" w:ascii="仿宋" w:hAnsi="仿宋" w:eastAsia="仿宋" w:cs="仿宋"/>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bookmarkStart w:id="14" w:name="_Toc35393807"/>
      <w:bookmarkStart w:id="15" w:name="_Toc28359097"/>
      <w:bookmarkStart w:id="16" w:name="_Toc35393638"/>
      <w:bookmarkStart w:id="17" w:name="_Toc28359020"/>
      <w:r>
        <w:rPr>
          <w:rFonts w:hint="eastAsia" w:ascii="仿宋" w:hAnsi="仿宋" w:eastAsia="仿宋" w:cs="仿宋"/>
          <w:color w:val="000000" w:themeColor="text1"/>
          <w:sz w:val="24"/>
          <w:highlight w:val="none"/>
          <w:lang w:val="en-US" w:eastAsia="zh-CN"/>
          <w14:textFill>
            <w14:solidFill>
              <w14:schemeClr w14:val="tx1"/>
            </w14:solidFill>
          </w14:textFill>
        </w:rPr>
        <w:t>名      称：诸暨市同山镇人民政府</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地      址：诸暨市同山镇高城头社区</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项目联系人：应先生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联系方式  ：16725752507</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质疑联系人: 杨先生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联系方式  ：13456567186</w:t>
      </w:r>
    </w:p>
    <w:p>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14"/>
      <w:bookmarkEnd w:id="15"/>
      <w:bookmarkEnd w:id="16"/>
      <w:bookmarkEnd w:id="17"/>
      <w:r>
        <w:rPr>
          <w:rFonts w:hint="eastAsia" w:ascii="仿宋" w:hAnsi="仿宋" w:eastAsia="仿宋" w:cs="仿宋"/>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吉亿工程管理服务（诸暨）有限公司</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lang w:val="en-US" w:eastAsia="zh-CN"/>
          <w14:textFill>
            <w14:solidFill>
              <w14:schemeClr w14:val="tx1"/>
            </w14:solidFill>
          </w14:textFill>
        </w:rPr>
        <w:t>诸暨市东一路88弄朗臻国际2206室</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丁女士</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项目联系方式（询问）： </w:t>
      </w:r>
      <w:r>
        <w:rPr>
          <w:rFonts w:hint="eastAsia" w:ascii="仿宋" w:hAnsi="仿宋" w:eastAsia="仿宋" w:cs="仿宋"/>
          <w:color w:val="000000" w:themeColor="text1"/>
          <w:sz w:val="24"/>
          <w:highlight w:val="none"/>
          <w:lang w:val="en-US" w:eastAsia="zh-CN"/>
          <w14:textFill>
            <w14:solidFill>
              <w14:schemeClr w14:val="tx1"/>
            </w14:solidFill>
          </w14:textFill>
        </w:rPr>
        <w:t>18957540037</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 </w:t>
      </w:r>
      <w:r>
        <w:rPr>
          <w:rFonts w:hint="eastAsia" w:ascii="仿宋" w:hAnsi="仿宋" w:eastAsia="仿宋" w:cs="仿宋"/>
          <w:color w:val="000000" w:themeColor="text1"/>
          <w:sz w:val="24"/>
          <w:highlight w:val="none"/>
          <w:lang w:val="en-US" w:eastAsia="zh-CN"/>
          <w14:textFill>
            <w14:solidFill>
              <w14:schemeClr w14:val="tx1"/>
            </w14:solidFill>
          </w14:textFill>
        </w:rPr>
        <w:t>夏</w:t>
      </w:r>
      <w:bookmarkStart w:id="172" w:name="_GoBack"/>
      <w:bookmarkEnd w:id="172"/>
      <w:r>
        <w:rPr>
          <w:rFonts w:hint="eastAsia" w:ascii="仿宋" w:hAnsi="仿宋" w:eastAsia="仿宋" w:cs="仿宋"/>
          <w:color w:val="000000" w:themeColor="text1"/>
          <w:sz w:val="24"/>
          <w:highlight w:val="none"/>
          <w:lang w:val="en-US" w:eastAsia="zh-CN"/>
          <w14:textFill>
            <w14:solidFill>
              <w14:schemeClr w14:val="tx1"/>
            </w14:solidFill>
          </w14:textFill>
        </w:rPr>
        <w:t>女士</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0575-89075249</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18" w:name="_Toc35393639"/>
      <w:bookmarkStart w:id="19" w:name="_Toc35393808"/>
      <w:bookmarkStart w:id="20" w:name="_Toc28359098"/>
      <w:bookmarkStart w:id="21" w:name="_Toc28359021"/>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8"/>
    <w:bookmarkEnd w:id="19"/>
    <w:bookmarkEnd w:id="20"/>
    <w:bookmarkEnd w:id="21"/>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称：诸暨市财政局政府采购监管科</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址：诸暨市人民中路356号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  系  人：吕康玮</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监督投诉电话：0575-87113458</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7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w:t>
            </w:r>
          </w:p>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属性</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服务</w:t>
            </w:r>
            <w:r>
              <w:rPr>
                <w:rFonts w:hint="eastAsia" w:ascii="仿宋" w:hAnsi="仿宋" w:eastAsia="仿宋" w:cs="仿宋"/>
                <w:color w:val="000000" w:themeColor="text1"/>
                <w:sz w:val="24"/>
                <w:highlight w:val="none"/>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本项目对应的中小企业划分标准所属行业：其他未列明行业。从业人员300人以下的为中小微型企业。其中，从业人员100人及以上的为中型企业；从业人员10人及以上的为小型企业；从业人员10人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val="en-US" w:eastAsia="zh-CN"/>
                <w14:textFill>
                  <w14:solidFill>
                    <w14:schemeClr w14:val="tx1"/>
                  </w14:solidFill>
                </w14:textFill>
              </w:rPr>
              <w:t>提供投标截止时间前</w:t>
            </w:r>
            <w:r>
              <w:rPr>
                <w:rFonts w:hint="eastAsia" w:ascii="仿宋" w:hAnsi="仿宋" w:eastAsia="仿宋" w:cs="仿宋"/>
                <w:color w:val="000000" w:themeColor="text1"/>
                <w:sz w:val="24"/>
                <w:highlight w:val="none"/>
                <w14:textFill>
                  <w14:solidFill>
                    <w14:schemeClr w14:val="tx1"/>
                  </w14:solidFill>
                </w14:textFill>
              </w:rPr>
              <w:t>“信用中国”网站(www.creditchina.gov.cn)、中国政府采购网(www.ccgp.gov.cn)渠道查询信用记录。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w:t>
            </w:r>
            <w:r>
              <w:rPr>
                <w:rFonts w:hint="eastAsia" w:ascii="仿宋" w:hAnsi="仿宋" w:eastAsia="仿宋" w:cs="仿宋"/>
                <w:color w:val="000000" w:themeColor="text1"/>
                <w:sz w:val="24"/>
                <w:highlight w:val="none"/>
                <w:lang w:val="en-US" w:eastAsia="zh-CN"/>
                <w14:textFill>
                  <w14:solidFill>
                    <w14:schemeClr w14:val="tx1"/>
                  </w14:solidFill>
                </w14:textFill>
              </w:rPr>
              <w:t>审查</w:t>
            </w:r>
            <w:r>
              <w:rPr>
                <w:rFonts w:hint="eastAsia" w:ascii="仿宋" w:hAnsi="仿宋" w:eastAsia="仿宋" w:cs="仿宋"/>
                <w:color w:val="000000" w:themeColor="text1"/>
                <w:sz w:val="24"/>
                <w:highlight w:val="none"/>
                <w14:textFill>
                  <w14:solidFill>
                    <w14:schemeClr w14:val="tx1"/>
                  </w14:solidFill>
                </w14:textFill>
              </w:rPr>
              <w:t>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本项目招标代理服务费以中标价为计算基数，具体收费标准参照</w:t>
            </w:r>
            <w:r>
              <w:rPr>
                <w:rFonts w:hint="eastAsia" w:ascii="仿宋" w:hAnsi="仿宋" w:eastAsia="仿宋" w:cs="仿宋"/>
                <w:color w:val="000000" w:themeColor="text1"/>
                <w:sz w:val="24"/>
                <w:highlight w:val="none"/>
                <w14:textFill>
                  <w14:solidFill>
                    <w14:schemeClr w14:val="tx1"/>
                  </w14:solidFill>
                </w14:textFill>
              </w:rPr>
              <w:t>计价格〔2002〕1980号）文件规定收费标准</w:t>
            </w:r>
            <w:r>
              <w:rPr>
                <w:rFonts w:hint="eastAsia" w:ascii="仿宋" w:hAnsi="仿宋" w:eastAsia="仿宋" w:cs="仿宋"/>
                <w:color w:val="000000" w:themeColor="text1"/>
                <w:sz w:val="24"/>
                <w:highlight w:val="none"/>
                <w:lang w:val="en-US" w:eastAsia="zh-CN"/>
                <w14:textFill>
                  <w14:solidFill>
                    <w14:schemeClr w14:val="tx1"/>
                  </w14:solidFill>
                </w14:textFill>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22" w:name="_Hlt68072998"/>
      <w:bookmarkEnd w:id="22"/>
      <w:bookmarkStart w:id="23" w:name="_Hlt74730295"/>
      <w:bookmarkEnd w:id="23"/>
      <w:bookmarkStart w:id="24" w:name="_Hlt74707468"/>
      <w:bookmarkEnd w:id="24"/>
      <w:bookmarkStart w:id="25" w:name="_Hlt75236101"/>
      <w:bookmarkEnd w:id="25"/>
      <w:bookmarkStart w:id="26" w:name="_Hlt68072990"/>
      <w:bookmarkEnd w:id="26"/>
      <w:bookmarkStart w:id="27" w:name="_Hlt74729768"/>
      <w:bookmarkEnd w:id="27"/>
      <w:bookmarkStart w:id="28" w:name="_Hlt75236011"/>
      <w:bookmarkEnd w:id="28"/>
      <w:bookmarkStart w:id="29" w:name="_Hlt68057669"/>
      <w:bookmarkEnd w:id="29"/>
      <w:bookmarkStart w:id="30" w:name="_Hlt75236290"/>
      <w:bookmarkEnd w:id="30"/>
      <w:bookmarkStart w:id="31" w:name="_Hlt68403820"/>
      <w:bookmarkEnd w:id="31"/>
      <w:bookmarkStart w:id="32" w:name="_Hlt74714665"/>
      <w:bookmarkEnd w:id="32"/>
      <w:bookmarkStart w:id="33" w:name="_Hlt68073093"/>
      <w:bookmarkEnd w:id="33"/>
      <w:bookmarkStart w:id="34" w:name="_Toc164416483"/>
      <w:bookmarkStart w:id="35" w:name="第三部分"/>
      <w:r>
        <w:rPr>
          <w:rFonts w:hint="eastAsia" w:ascii="仿宋" w:hAnsi="仿宋" w:eastAsia="仿宋" w:cs="仿宋"/>
          <w:b/>
          <w:color w:val="000000" w:themeColor="text1"/>
          <w:sz w:val="32"/>
          <w:szCs w:val="32"/>
          <w:highlight w:val="none"/>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pPr>
        <w:keepNext w:val="0"/>
        <w:keepLines w:val="0"/>
        <w:pageBreakBefore w:val="0"/>
        <w:widowControl w:val="0"/>
        <w:shd w:val="clear"/>
        <w:kinsoku/>
        <w:wordWrap/>
        <w:overflowPunct/>
        <w:topLinePunct w:val="0"/>
        <w:autoSpaceDE/>
        <w:autoSpaceDN/>
        <w:bidi w:val="0"/>
        <w:adjustRightInd/>
        <w:snapToGrid/>
        <w:spacing w:line="360" w:lineRule="exact"/>
        <w:ind w:left="0" w:leftChars="0" w:right="0" w:rightChars="0" w:firstLine="480" w:firstLineChars="200"/>
        <w:contextualSpacing/>
        <w:jc w:val="both"/>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keepNext w:val="0"/>
        <w:keepLines w:val="0"/>
        <w:pageBreakBefore w:val="0"/>
        <w:widowControl w:val="0"/>
        <w:shd w:val="clear"/>
        <w:kinsoku/>
        <w:wordWrap/>
        <w:overflowPunct/>
        <w:topLinePunct w:val="0"/>
        <w:autoSpaceDE/>
        <w:autoSpaceDN/>
        <w:bidi w:val="0"/>
        <w:adjustRightInd/>
        <w:snapToGrid/>
        <w:spacing w:line="360" w:lineRule="exact"/>
        <w:ind w:left="0" w:leftChars="0" w:right="0" w:rightChars="0" w:firstLine="480" w:firstLineChars="200"/>
        <w:contextualSpacing/>
        <w:jc w:val="both"/>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2.9</w:t>
      </w:r>
      <w:r>
        <w:rPr>
          <w:rFonts w:hint="eastAsia" w:ascii="仿宋" w:hAnsi="仿宋" w:eastAsia="仿宋" w:cs="仿宋"/>
          <w:color w:val="auto"/>
          <w:sz w:val="24"/>
          <w:szCs w:val="24"/>
          <w:highlight w:val="none"/>
          <w:lang w:val="en-US" w:eastAsia="zh-CN"/>
        </w:rPr>
        <w:t>特别声明：招标代理费用为本次招标公告发布至本次招标、投标、以及开评定标，中标公告发出后(即为定标）招标任务完成的服务费，该费用缴纳后概不退还</w:t>
      </w:r>
      <w:r>
        <w:rPr>
          <w:rFonts w:hint="eastAsia" w:ascii="仿宋" w:hAnsi="仿宋" w:eastAsia="仿宋" w:cs="仿宋"/>
          <w:color w:val="auto"/>
          <w:sz w:val="24"/>
          <w:szCs w:val="24"/>
          <w:highlight w:val="none"/>
        </w:rPr>
        <w:t>。</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3.采购项目需要落实的政府采购政策</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 xml:space="preserve">3.2 </w:t>
      </w:r>
      <w:r>
        <w:rPr>
          <w:rFonts w:hint="eastAsia" w:ascii="仿宋_GB2312" w:hAnsi="仿宋" w:eastAsia="仿宋_GB2312"/>
          <w:color w:val="000000" w:themeColor="text1"/>
          <w:sz w:val="24"/>
          <w:highlight w:val="none"/>
          <w14:textFill>
            <w14:solidFill>
              <w14:schemeClr w14:val="tx1"/>
            </w14:solidFill>
          </w14:textFill>
        </w:rPr>
        <w:t>支持绿色发展</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w:t>
      </w:r>
      <w:r>
        <w:rPr>
          <w:rFonts w:hint="eastAsia" w:ascii="仿宋_GB2312" w:hAnsi="仿宋" w:eastAsia="仿宋_GB2312"/>
          <w:bCs/>
          <w:color w:val="000000" w:themeColor="text1"/>
          <w:sz w:val="24"/>
          <w:highlight w:val="none"/>
          <w14:textFill>
            <w14:solidFill>
              <w14:schemeClr w14:val="tx1"/>
            </w14:solidFill>
          </w14:textFill>
        </w:rPr>
        <w:t>小微</w:t>
      </w:r>
      <w:r>
        <w:rPr>
          <w:rFonts w:hint="eastAsia" w:ascii="仿宋_GB2312" w:hAnsi="仿宋" w:eastAsia="仿宋_GB2312"/>
          <w:color w:val="000000" w:themeColor="text1"/>
          <w:sz w:val="24"/>
          <w:highlight w:val="none"/>
          <w14:textFill>
            <w14:solidFill>
              <w14:schemeClr w14:val="tx1"/>
            </w14:solidFill>
          </w14:textFill>
        </w:rPr>
        <w:t>企业价格扣除</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3.3.1小微企业是指</w:t>
      </w:r>
      <w:r>
        <w:rPr>
          <w:rFonts w:hint="eastAsia" w:ascii="仿宋_GB2312" w:hAnsi="仿宋" w:eastAsia="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符合中小企业划分标准的个体工商户，在政府采购活动中视同中小企业。</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3.3.4小微企业应按照招标文件格式要求提供《中小企业声明函》。</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000000" w:themeColor="text1"/>
          <w:sz w:val="24"/>
          <w:highlight w:val="none"/>
          <w:lang w:val="en-US" w:eastAsia="zh-CN"/>
          <w14:textFill>
            <w14:solidFill>
              <w14:schemeClr w14:val="tx1"/>
            </w14:solidFill>
          </w14:textFill>
        </w:rPr>
        <w:t>6</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4.特别说明：</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ind w:firstLine="480"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color w:val="000000" w:themeColor="text1"/>
          <w:highlight w:val="none"/>
          <w14:textFill>
            <w14:solidFill>
              <w14:schemeClr w14:val="tx1"/>
            </w14:solidFill>
          </w14:textFill>
        </w:rPr>
      </w:pPr>
    </w:p>
    <w:p>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8"/>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38" w:firstLineChars="266"/>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36" w:lineRule="auto"/>
        <w:ind w:left="0" w:leftChars="0" w:firstLine="638" w:firstLineChars="26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left="0" w:leftChars="0" w:firstLine="638" w:firstLineChars="26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pPr>
        <w:snapToGrid w:val="0"/>
        <w:spacing w:line="336" w:lineRule="auto"/>
        <w:ind w:left="0" w:leftChars="0" w:firstLine="638" w:firstLineChars="26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pPr>
        <w:snapToGrid w:val="0"/>
        <w:spacing w:line="336" w:lineRule="auto"/>
        <w:ind w:left="0" w:leftChars="0" w:firstLine="638" w:firstLineChars="26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pPr>
        <w:snapToGrid w:val="0"/>
        <w:spacing w:line="336" w:lineRule="auto"/>
        <w:ind w:left="0" w:leftChars="0" w:firstLine="638" w:firstLineChars="266"/>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pPr>
        <w:snapToGrid w:val="0"/>
        <w:spacing w:line="336" w:lineRule="auto"/>
        <w:ind w:left="0" w:leftChars="0" w:firstLine="638" w:firstLineChars="266"/>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41" w:firstLineChars="266"/>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38" w:firstLineChars="266"/>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38" w:firstLineChars="266"/>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.3.2中小企业声明函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638" w:firstLineChars="266"/>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2.3.3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（如果有）</w:t>
      </w:r>
    </w:p>
    <w:p>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pPr>
        <w:tabs>
          <w:tab w:val="left" w:pos="420"/>
        </w:tabs>
        <w:adjustRightInd w:val="0"/>
        <w:snapToGrid w:val="0"/>
        <w:spacing w:line="440" w:lineRule="exact"/>
        <w:ind w:left="0" w:leftChars="0" w:firstLine="638" w:firstLineChars="266"/>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pPr>
        <w:tabs>
          <w:tab w:val="left" w:pos="420"/>
        </w:tabs>
        <w:adjustRightInd w:val="0"/>
        <w:snapToGrid w:val="0"/>
        <w:spacing w:line="440" w:lineRule="exact"/>
        <w:ind w:left="0" w:leftChars="0" w:firstLine="638" w:firstLineChars="266"/>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pPr>
        <w:tabs>
          <w:tab w:val="left" w:pos="420"/>
        </w:tabs>
        <w:adjustRightInd w:val="0"/>
        <w:snapToGrid w:val="0"/>
        <w:spacing w:line="440" w:lineRule="exact"/>
        <w:ind w:left="0" w:leftChars="0" w:firstLine="638" w:firstLineChars="266"/>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pPr>
        <w:tabs>
          <w:tab w:val="left" w:pos="420"/>
        </w:tabs>
        <w:adjustRightInd w:val="0"/>
        <w:snapToGrid w:val="0"/>
        <w:spacing w:line="440" w:lineRule="exact"/>
        <w:ind w:left="0" w:leftChars="0" w:firstLine="638" w:firstLineChars="266"/>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pPr>
        <w:pStyle w:val="132"/>
        <w:tabs>
          <w:tab w:val="left" w:pos="420"/>
        </w:tabs>
        <w:snapToGrid w:val="0"/>
        <w:spacing w:before="0" w:line="440" w:lineRule="exact"/>
        <w:ind w:left="0" w:leftChars="0" w:firstLine="641" w:firstLineChars="266"/>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lang w:val="zh-CN"/>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6"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20"/>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pPr>
        <w:pStyle w:val="20"/>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0" w:leftChars="0" w:firstLine="638" w:firstLineChars="266"/>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36"/>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7" w:name="_Toc81372953"/>
      <w:bookmarkStart w:id="38" w:name="_Toc81372776"/>
      <w:bookmarkStart w:id="39"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7"/>
    <w:bookmarkEnd w:id="38"/>
    <w:bookmarkEnd w:id="39"/>
    <w:p>
      <w:pPr>
        <w:pStyle w:val="20"/>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pPr>
        <w:keepNext/>
        <w:keepLines w:val="0"/>
        <w:pageBreakBefore w:val="0"/>
        <w:widowControl w:val="0"/>
        <w:kinsoku w:val="0"/>
        <w:wordWrap w:val="0"/>
        <w:overflowPunct/>
        <w:topLinePunct w:val="0"/>
        <w:autoSpaceDE/>
        <w:autoSpaceDN/>
        <w:bidi w:val="0"/>
        <w:adjustRightInd w:val="0"/>
        <w:snapToGrid w:val="0"/>
        <w:spacing w:line="440" w:lineRule="exact"/>
        <w:ind w:left="0" w:leftChars="0" w:right="0" w:rightChars="0" w:firstLine="480" w:firstLineChars="200"/>
        <w:jc w:val="left"/>
        <w:textAlignment w:val="auto"/>
        <w:outlineLvl w:val="9"/>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pPr>
        <w:keepNext/>
        <w:keepLines w:val="0"/>
        <w:pageBreakBefore w:val="0"/>
        <w:widowControl w:val="0"/>
        <w:kinsoku w:val="0"/>
        <w:wordWrap w:val="0"/>
        <w:overflowPunct/>
        <w:topLinePunct w:val="0"/>
        <w:autoSpaceDE/>
        <w:autoSpaceDN/>
        <w:bidi w:val="0"/>
        <w:adjustRightInd w:val="0"/>
        <w:snapToGrid w:val="0"/>
        <w:spacing w:line="440" w:lineRule="exact"/>
        <w:ind w:left="0" w:leftChars="0" w:right="0" w:rightChars="0" w:firstLine="480" w:firstLineChars="200"/>
        <w:jc w:val="left"/>
        <w:textAlignment w:val="auto"/>
        <w:outlineLvl w:val="9"/>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w:t>
      </w:r>
      <w:r>
        <w:rPr>
          <w:rFonts w:hint="eastAsia" w:ascii="仿宋" w:hAnsi="仿宋" w:eastAsia="仿宋" w:cs="仿宋"/>
          <w:color w:val="000000" w:themeColor="text1"/>
          <w:sz w:val="24"/>
          <w:highlight w:val="none"/>
          <w:lang w:val="en-US" w:eastAsia="zh-CN"/>
          <w14:textFill>
            <w14:solidFill>
              <w14:schemeClr w14:val="tx1"/>
            </w14:solidFill>
          </w14:textFill>
        </w:rPr>
        <w:t>发出</w:t>
      </w:r>
      <w:r>
        <w:rPr>
          <w:rFonts w:hint="eastAsia" w:ascii="仿宋" w:hAnsi="仿宋" w:eastAsia="仿宋" w:cs="仿宋"/>
          <w:color w:val="000000" w:themeColor="text1"/>
          <w:sz w:val="24"/>
          <w:highlight w:val="none"/>
          <w14:textFill>
            <w14:solidFill>
              <w14:schemeClr w14:val="tx1"/>
            </w14:solidFill>
          </w14:textFill>
        </w:rPr>
        <w:t>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lang w:val="en-US" w:eastAsia="zh-CN"/>
          <w14:textFill>
            <w14:solidFill>
              <w14:schemeClr w14:val="tx1"/>
            </w14:solidFill>
          </w14:textFill>
        </w:rPr>
        <w:t>3个工作日内</w:t>
      </w:r>
      <w:r>
        <w:rPr>
          <w:rFonts w:hint="eastAsia" w:ascii="仿宋" w:hAnsi="仿宋" w:eastAsia="仿宋" w:cs="仿宋"/>
          <w:color w:val="000000" w:themeColor="text1"/>
          <w:sz w:val="24"/>
          <w:highlight w:val="none"/>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sectPr>
          <w:footerReference r:id="rId7" w:type="first"/>
          <w:footerReference r:id="rId6" w:type="default"/>
          <w:pgSz w:w="11906" w:h="16838"/>
          <w:pgMar w:top="1814" w:right="1474" w:bottom="1814" w:left="1474" w:header="851" w:footer="992" w:gutter="0"/>
          <w:pgNumType w:start="1"/>
          <w:cols w:space="720" w:num="1"/>
          <w:docGrid w:linePitch="312" w:charSpace="0"/>
        </w:sectPr>
      </w:pPr>
    </w:p>
    <w:bookmarkEnd w:id="34"/>
    <w:bookmarkEnd w:id="35"/>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40" w:name="_Toc86217003"/>
      <w:bookmarkStart w:id="41" w:name="第五部分"/>
      <w:r>
        <w:rPr>
          <w:rFonts w:hint="eastAsia" w:ascii="仿宋" w:hAnsi="仿宋" w:eastAsia="仿宋" w:cs="仿宋"/>
          <w:b/>
          <w:color w:val="000000" w:themeColor="text1"/>
          <w:sz w:val="36"/>
          <w:szCs w:val="36"/>
          <w:highlight w:val="none"/>
          <w14:textFill>
            <w14:solidFill>
              <w14:schemeClr w14:val="tx1"/>
            </w14:solidFill>
          </w14:textFill>
        </w:rPr>
        <w:t xml:space="preserve">第三部分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采购需求</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一、集镇保洁服务范围：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1.同安公路：布谷岭隧道口至边村村口；</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2.汽车站停车场、酒文化主题公园、高城头新村部周围卫生、镇政府门口爱心候车亭及公厕保洁；</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3.镇中心学校门口道路：同安公路至茶院桥头（包括幼儿园停车场）；</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4.镇中心学校北面道路及农贸市场周边道路、停车场；</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5.一百超市前停车场；</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6.环镇联网公路（含游步道）保洁：新桥头至布谷湖游步道；</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7.康乐药店后公厕及停车场保洁；</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8.菜市场西面公厕及周边道路保洁；</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9.同安线上同山酒馆、大酒坛公园、同山赋公园保洁；</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10.集镇范围内其他主要道路、背街小巷和农贸市场等公共场所保洁；</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11.布谷湖环湖游步道：瞭望台至车潭桥（含布谷村部前停车场、以及几个亭、厕所），王沙溪木模厂Y字路口（含厕所，共3个）至车潭（界牌宣路），界牌宣至厅头水文站公路及两侧，水文站至王家坞游步道（含厕所）</w:t>
      </w:r>
      <w:r>
        <w:rPr>
          <w:rFonts w:hint="eastAsia" w:ascii="仿宋" w:hAnsi="仿宋" w:eastAsia="仿宋" w:cs="仿宋"/>
          <w:b/>
          <w:bCs/>
          <w:color w:val="000000"/>
          <w:kern w:val="0"/>
          <w:sz w:val="24"/>
          <w:szCs w:val="24"/>
          <w:highlight w:val="none"/>
          <w:lang w:val="en-US" w:eastAsia="zh-CN" w:bidi="ar"/>
        </w:rPr>
        <w:t>。（备注：该服务范围为暂定，投标人在提供投标总报价的同时，须另外提供本范围内服务费报价作为合同履行期间因该服务范围变动时合同价增减的依据；</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12.集镇商铺“定时定点”越美商业街创建垃圾分类规范收运、二次分拣，并配备1名巡检员；</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13.集镇垃圾桶及架子保持一月一次的清洗，创建迎检等重要活动即时清洗；</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14.全镇所有垃圾站、桶的清运工作，清运车辆要符合市生活垃圾分类办《关于规范生活垃圾收运车辆、中转站硬件设施配置的通知》（2024年2月26日发）要求。</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（具体保洁范围以镇指定范围为准）。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二、垃圾清运：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垃圾清运范围及内容：集镇和14个行政村（社区）及企事业单位的所有垃圾站房（桶）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生活垃圾及各垃圾站房周边少量基建垃圾（包括建筑垃圾、破布、沙发、马桶、鞭炮等杂物）清运。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三、工作要求：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1.人员配置要求：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集镇保洁人员12人；集镇上门收集人员1人；集镇及高城头垃圾清运人员1人；农村垃圾清运人员至少4人；管理人员2人，各分管集镇与农村垃圾清运。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2.设施配置：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清运车辆：核定载质量5吨（含）以上垃圾清运压缩车1辆、核定载质量3吨（含）以上垃圾清运压缩车3辆、双排管理用汽车1辆、管理用电动车1辆、电瓶垃圾侧装车1辆、垃圾收集车1辆、人手一份工具及配套驾驶员。</w:t>
      </w:r>
      <w:r>
        <w:rPr>
          <w:rFonts w:hint="eastAsia" w:ascii="仿宋" w:hAnsi="仿宋" w:eastAsia="仿宋" w:cs="仿宋"/>
          <w:color w:val="000000"/>
          <w:kern w:val="0"/>
          <w:sz w:val="24"/>
          <w:szCs w:val="24"/>
          <w:highlight w:val="none"/>
          <w:lang w:val="en-US" w:eastAsia="zh-CN" w:bidi="ar"/>
        </w:rPr>
        <w:t xml:space="preserve">管理人员须配置卫生专职管理车1辆。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w:t>
      </w:r>
      <w:r>
        <w:rPr>
          <w:rFonts w:hint="eastAsia" w:ascii="仿宋" w:hAnsi="仿宋" w:eastAsia="仿宋" w:cs="仿宋"/>
          <w:color w:val="000000"/>
          <w:kern w:val="0"/>
          <w:sz w:val="24"/>
          <w:szCs w:val="24"/>
          <w:highlight w:val="none"/>
          <w:lang w:val="en-US" w:eastAsia="zh-CN" w:bidi="ar"/>
        </w:rPr>
        <w:t xml:space="preserve">以上所有配备车辆必须证照齐全有效。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清扫要求：集镇主要道路实行10小时保洁制，上下午各一次普扫，上午8点前、下午1点前完成一次普扫工作，其余时间巡回保洁，保洁时要清除可视范围内的小广告，清运产生的垃圾要求分别倒在分类垃圾桶内，不得随意乱倒。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4.垃圾分类要求：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集镇区域实行垃圾分类收集制度，全路段推行“定时定点“公交车式收运，收运工程中，要求安排专人对集镇区域垃圾实行分类巡回收集，并进行二次分类；清运车辆标志标识正确，落实1人督导员对商户分类质量进行逐一检查，并做好记录；同时中标方对集镇区域的住户做好垃圾分类上门宣传、分类指导、分类收集工作，并做好可堆肥垃圾和不可堆肥垃圾的分类投放、清运，并做好相关台账资料。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5.环卫设施维护管理：要保持垃圾桶、清运车、垃圾桶架子干净整洁，每月对垃圾桶彻底清洗至少2次，在清运操作过程中造成垃圾站房墙体或门损坏的，须在一周内修复完好。逾期未完成的，由镇或村安排维修，相关费用从承包费中扣除。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6.日产日清要求：辖区内所有垃圾站（桶）必须做到日产日清，垃圾站房内过夜垃圾不得超过50公斤，节假日视情况在日常基础上加派清运突击车辆，主要道路沿线垃圾站房在每天清空一次基础上随满随清。垃圾清运后要及时清除站房（桶）周边堆积和散落的垃圾，关好站门。严禁贪图方便，随意乱倒或焚烧垃圾。筛拣出来不符合进焚烧厂的垃圾，如石块、基建垃圾、大件废弃物等，由中标方自行寻找合适地方处理。镇机关、学校、卫生院等食堂厨余垃圾及时清运到太阳能垃圾堆肥站，业主视情况新增加的垃圾站（桶），中标方必须无条件配合做好清运。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7.卫生管理人员工作要求：负责管理全镇保洁、清运人员工作；及时清理临时性垃圾。要求服从镇社会事业办调度，做好管理工作。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8.公厕保洁要求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①时间要求：早、中、晚全天打扫、保洁。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②质量要求：厕所内通风良好，做到各种设施干净无污垢，地面无积水、无杂物、无痰迹、无异味、无蝇蛆和烟头；墙面四周保持干燥，无蛛网；便池内无明显尿渍，及时冲洗，无粪渣、无烟蒂、无纸巾等杂物；保持上下水道畅通，无跑、冒、滴、漏现象，发现无法修复、疏通的上下水道，及时向职能办公室报修，并做好相应台帐资料。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9.安全要求：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清扫工具、车辆、反光安全服、劳动保护用品、职工人身保险等费用由承包方负责解决。承包方应加强对聘用人员的安全作业教育，作业过程一律着统一反光安全服、帽，及时办理车辆保险，平时要做好车辆的保养维修，如作业期间发生工伤事故，均由中标单位承担全部责任和由此产生的一切费用。文明作业优质服务，清扫时注意不将垃圾、污水溅到行人，作业车辆停放不影响交通。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（2）要加强聘用人员的安全教育，确保人身安全，劳动保障、保护等均自行负责。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10.中标方中标后要求完成的工作：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与原承包方7天内按要求办好交接手续（原承包方没有中标情况下）。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及时招聘好新一轮清扫、清运员，划分好清扫、清运责任区域，落实好清扫、清运工资等，配置好车辆设施，并把明细表上报同山镇社会事务管理办。及时配备专职管理人员和专用管理车辆。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b/>
          <w:color w:val="000000"/>
          <w:sz w:val="24"/>
          <w:szCs w:val="24"/>
          <w:highlight w:val="none"/>
          <w:u w:val="single"/>
          <w:lang w:eastAsia="zh-CN"/>
        </w:rPr>
      </w:pPr>
      <w:r>
        <w:rPr>
          <w:rFonts w:hint="eastAsia" w:ascii="仿宋" w:hAnsi="仿宋" w:eastAsia="仿宋" w:cs="仿宋"/>
          <w:color w:val="000000"/>
          <w:kern w:val="0"/>
          <w:sz w:val="24"/>
          <w:szCs w:val="24"/>
          <w:highlight w:val="none"/>
          <w:lang w:val="en-US" w:eastAsia="zh-CN" w:bidi="ar"/>
        </w:rPr>
        <w:t>▲所有工作人员须按规定参加社保或人身意外商业保险。</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四、违约责任：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1.无特殊情况，中标方擅自终止协议的没收合同履约保证金。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2.中标方取得承包资格后，不得转包。否则视作违约，业主有权单方面终止合同，并没收合同履约保证金。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3.中标方因特殊情况欲终止协议时，必须提前30天向业主提出申请，经业主同意后，方可终止协议，否则视作违约，并承担违约责任。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4.中标方工作达不到要求，业主有权监督，并提出限期整改意见，若中标方不按时整改，或整改仍达不到要求的，除做出相应处罚外业主有权单方面终止协议。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五、业主环境卫生考核要求：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合同签订后，业主采取每月2次定期检查和平时不定期抽查的形式，对中标方进行监督考核，同时需接受各驻村干部、村干部和群众的监督。考核标准如下：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1.清扫要求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1）集镇区域实行全天10小时保洁，保洁时段保洁人员必须在各自保洁区域内巡回保洁，每天上下午至少各普扫1次，上午普扫要在上午8:00前完成，下午普扫在13:00之前完成。保洁要求做到主支干路路面无积泥积沙，无杂草瓦砾、石块，无白色垃圾，保洁路面、</w:t>
      </w:r>
      <w:r>
        <w:rPr>
          <w:rFonts w:hint="eastAsia" w:ascii="仿宋" w:hAnsi="仿宋" w:eastAsia="仿宋" w:cs="仿宋"/>
          <w:b/>
          <w:bCs/>
          <w:color w:val="000000"/>
          <w:kern w:val="0"/>
          <w:sz w:val="24"/>
          <w:szCs w:val="24"/>
          <w:highlight w:val="none"/>
          <w:lang w:val="en-US" w:eastAsia="zh-CN" w:bidi="ar"/>
        </w:rPr>
        <w:t>绿化地块</w:t>
      </w:r>
      <w:r>
        <w:rPr>
          <w:rFonts w:hint="eastAsia" w:ascii="仿宋" w:hAnsi="仿宋" w:eastAsia="仿宋" w:cs="仿宋"/>
          <w:color w:val="000000"/>
          <w:kern w:val="0"/>
          <w:sz w:val="24"/>
          <w:szCs w:val="24"/>
          <w:highlight w:val="none"/>
          <w:lang w:val="en-US" w:eastAsia="zh-CN" w:bidi="ar"/>
        </w:rPr>
        <w:t xml:space="preserve">及公共场所干净整洁，路边及公共场所视线内无零星垃圾。保洁区域内发现成堆垃圾的，每处扣100元；成片零星垃圾的，每处扣100元；单处零星垃圾的，每处扣50元。保洁员将垃圾（包括白色垃圾、泥砂、落叶等）扫入或倒入窨井、河道、绿化带等地方的，每次扣50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（2）公共厕所要及时清扫、冲洗、喷药，做到厕所内无苍蝇、蛆滋生。未按要求完成保洁的每发现一次扣100元。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保洁的车辆和人员必须不间断地在保洁区域内巡逻保洁，对可视范围内的零星垃圾没有当场清理的，发现一次扣50元；路面（包括垃圾站房、垃圾桶周围）有明显垃圾，半小时内无人清理的，每发现一次扣100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（4）全力做好有关环境保洁的迎检工作和各类节会、参观、视察期间的卫生保洁突击工作，突击效果不明显的，扣500元。突击小分队未按要求完成突击任务的，每次扣300元。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2.清运要求：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辖区内所有垃圾站（桶）必须日产日清，凡发现未日产日清的，每处扣500元；垃圾站房（桶）内垃圾满溢的，集镇及主要道路沿线，每处扣300元，其余每处扣200元（桶分别扣100元、50元）；未将站房（桶）周边杂物或建筑垃圾及时清运的，每处扣200元；清运人员清运后未清扫造成站房外散存垃圾的，每处扣100元；清运车辆在清运途中，有抛洒滴漏现象的，每次扣500元。没有按照垃圾分类要求分类清运的每例扣500元，没有做好两次分拣的每次扣100元，会烂垃圾不按要求倒入太阳能垃圾堆肥池的每次扣500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b/>
          <w:color w:val="000000"/>
          <w:sz w:val="24"/>
          <w:szCs w:val="24"/>
          <w:highlight w:val="none"/>
          <w:u w:val="single"/>
          <w:lang w:eastAsia="zh-CN"/>
        </w:rPr>
      </w:pPr>
      <w:r>
        <w:rPr>
          <w:rFonts w:hint="eastAsia" w:ascii="仿宋" w:hAnsi="仿宋" w:eastAsia="仿宋" w:cs="仿宋"/>
          <w:color w:val="000000"/>
          <w:kern w:val="0"/>
          <w:sz w:val="24"/>
          <w:szCs w:val="24"/>
          <w:highlight w:val="none"/>
          <w:lang w:val="en-US" w:eastAsia="zh-CN" w:bidi="ar"/>
        </w:rPr>
        <w:t>2）凡因清运员随意乱倒或焚烧垃圾，造成垃圾站房污损的，每处扣1000元；发现垃圾站房破损或有污渍的，未及时维修的（墙体7天，门2天，焚烧痕迹当天），每处扣100元；未关垃圾站门的，每次扣100元。</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对上述督查发现的问题，在规定时间内未整改到位的，在扣罚的基础上，业主有权安排临时运输车辆突击清运垃圾，由此产生的所有费用在中标方承包款中扣除。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3）服从各项突击性任务和指令，如遇重大活动和重要检查，中标方应服从业主统一安排和调度，未按要求和标准完成任务的，每次扣2000元。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4）在清运范围内垃圾清运不及时、不规范，造成群众或村干部举报，查证属实的，每次扣500元；受业主主职领导或包村领导批评的，每例扣1000元；受市领导或市级及以上通报批评的，每例扣5000元；受新闻媒体曝光，影响同山镇形象的，每例视情扣5000-10000元。对市级各类检查组明查暗访反馈的扣分情况，每处按业主考核要求标准加倍扣罚。扣分内容如有重复，同一情形不累计，往高靠扣。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六、服务时间：</w:t>
      </w:r>
      <w:r>
        <w:rPr>
          <w:rFonts w:hint="eastAsia" w:ascii="仿宋" w:hAnsi="仿宋" w:eastAsia="仿宋" w:cs="仿宋"/>
          <w:color w:val="000000"/>
          <w:kern w:val="0"/>
          <w:sz w:val="24"/>
          <w:szCs w:val="24"/>
          <w:highlight w:val="none"/>
          <w:lang w:val="en-US" w:eastAsia="zh-CN" w:bidi="ar"/>
        </w:rPr>
        <w:t xml:space="preserve">自合同签订生效之日起壹年。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 xml:space="preserve">七、其他要求：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w:t>
      </w:r>
      <w:r>
        <w:rPr>
          <w:rFonts w:hint="eastAsia" w:ascii="仿宋" w:hAnsi="仿宋" w:eastAsia="仿宋" w:cs="仿宋"/>
          <w:color w:val="000000"/>
          <w:kern w:val="0"/>
          <w:sz w:val="24"/>
          <w:szCs w:val="24"/>
          <w:highlight w:val="none"/>
          <w:lang w:val="en-US" w:eastAsia="en-US" w:bidi="ar"/>
        </w:rPr>
        <w:t>本项目</w:t>
      </w:r>
      <w:r>
        <w:rPr>
          <w:rFonts w:hint="eastAsia" w:ascii="仿宋" w:hAnsi="仿宋" w:eastAsia="仿宋" w:cs="仿宋"/>
          <w:color w:val="000000"/>
          <w:kern w:val="0"/>
          <w:sz w:val="24"/>
          <w:szCs w:val="24"/>
          <w:highlight w:val="none"/>
          <w:lang w:val="en-US" w:eastAsia="zh-CN" w:bidi="ar"/>
        </w:rPr>
        <w:t>要求投标人对项目实施的区域作业环境及服务范围有充分的了解，</w:t>
      </w:r>
      <w:r>
        <w:rPr>
          <w:rFonts w:hint="eastAsia" w:ascii="仿宋" w:hAnsi="仿宋" w:eastAsia="仿宋" w:cs="仿宋"/>
          <w:color w:val="000000"/>
          <w:kern w:val="0"/>
          <w:sz w:val="24"/>
          <w:szCs w:val="24"/>
          <w:highlight w:val="none"/>
          <w:lang w:val="en-US" w:eastAsia="en-US" w:bidi="ar"/>
        </w:rPr>
        <w:t>投标</w:t>
      </w:r>
      <w:r>
        <w:rPr>
          <w:rFonts w:hint="eastAsia" w:ascii="仿宋" w:hAnsi="仿宋" w:eastAsia="仿宋" w:cs="仿宋"/>
          <w:color w:val="000000"/>
          <w:kern w:val="0"/>
          <w:sz w:val="24"/>
          <w:szCs w:val="24"/>
          <w:highlight w:val="none"/>
          <w:lang w:val="en-US" w:eastAsia="zh-CN" w:bidi="ar"/>
        </w:rPr>
        <w:t>人投标前需要</w:t>
      </w:r>
      <w:r>
        <w:rPr>
          <w:rFonts w:hint="eastAsia" w:ascii="仿宋" w:hAnsi="仿宋" w:eastAsia="仿宋" w:cs="仿宋"/>
          <w:color w:val="000000"/>
          <w:kern w:val="0"/>
          <w:sz w:val="24"/>
          <w:szCs w:val="24"/>
          <w:highlight w:val="none"/>
          <w:lang w:val="en-US" w:eastAsia="en-US" w:bidi="ar"/>
        </w:rPr>
        <w:t>根据招标要求对作业环境及服务范围进行现场勘查</w:t>
      </w:r>
      <w:r>
        <w:rPr>
          <w:rFonts w:hint="eastAsia" w:ascii="仿宋" w:hAnsi="仿宋" w:eastAsia="仿宋" w:cs="仿宋"/>
          <w:color w:val="000000"/>
          <w:kern w:val="0"/>
          <w:sz w:val="24"/>
          <w:szCs w:val="24"/>
          <w:highlight w:val="none"/>
          <w:lang w:val="en-US" w:eastAsia="zh-CN" w:bidi="ar"/>
        </w:rPr>
        <w:t>（</w:t>
      </w:r>
      <w:r>
        <w:rPr>
          <w:rFonts w:hint="eastAsia" w:ascii="仿宋" w:hAnsi="仿宋" w:eastAsia="仿宋" w:cs="仿宋"/>
          <w:b/>
          <w:bCs/>
          <w:color w:val="000000"/>
          <w:kern w:val="0"/>
          <w:sz w:val="24"/>
          <w:szCs w:val="24"/>
          <w:highlight w:val="none"/>
          <w:lang w:val="en-US" w:eastAsia="zh-CN" w:bidi="ar"/>
        </w:rPr>
        <w:t>踏勘联系人：杨先生13575596568</w:t>
      </w:r>
      <w:r>
        <w:rPr>
          <w:rFonts w:hint="eastAsia" w:ascii="仿宋" w:hAnsi="仿宋" w:eastAsia="仿宋" w:cs="仿宋"/>
          <w:color w:val="000000"/>
          <w:kern w:val="0"/>
          <w:sz w:val="24"/>
          <w:szCs w:val="24"/>
          <w:highlight w:val="none"/>
          <w:lang w:val="en-US" w:eastAsia="zh-CN" w:bidi="ar"/>
        </w:rPr>
        <w:t>）</w:t>
      </w:r>
      <w:r>
        <w:rPr>
          <w:rFonts w:hint="eastAsia" w:ascii="仿宋" w:hAnsi="仿宋" w:eastAsia="仿宋" w:cs="仿宋"/>
          <w:color w:val="000000"/>
          <w:kern w:val="0"/>
          <w:sz w:val="24"/>
          <w:szCs w:val="24"/>
          <w:highlight w:val="none"/>
          <w:lang w:val="en-US" w:eastAsia="en-US" w:bidi="ar"/>
        </w:rPr>
        <w:t>，商务技术文件中须提供</w:t>
      </w:r>
      <w:r>
        <w:rPr>
          <w:rFonts w:hint="eastAsia" w:ascii="仿宋" w:hAnsi="仿宋" w:eastAsia="仿宋" w:cs="仿宋"/>
          <w:color w:val="000000"/>
          <w:kern w:val="0"/>
          <w:sz w:val="24"/>
          <w:szCs w:val="24"/>
          <w:highlight w:val="none"/>
          <w:lang w:val="en-US" w:eastAsia="zh-CN" w:bidi="ar"/>
        </w:rPr>
        <w:t>有采购单位确认的</w:t>
      </w:r>
      <w:r>
        <w:rPr>
          <w:rFonts w:hint="eastAsia" w:ascii="仿宋" w:hAnsi="仿宋" w:eastAsia="仿宋" w:cs="仿宋"/>
          <w:color w:val="000000"/>
          <w:kern w:val="0"/>
          <w:sz w:val="24"/>
          <w:szCs w:val="24"/>
          <w:highlight w:val="none"/>
          <w:lang w:val="en-US" w:eastAsia="en-US" w:bidi="ar"/>
        </w:rPr>
        <w:t>现场勘探结果证明材料。踏勘现场发生的费用投标人自理。</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▲2.中标人须在中标公告期间向业主单位提供车辆产权证明或租赁合同，否则采购人将以提供虚假中标材料谋取中标向财政监管部门反应，取消中标资格。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▲.中标人必须在中标通知书发出后五个工作日内主动上门与采购单位签订合同。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▲4.</w:t>
      </w:r>
      <w:r>
        <w:rPr>
          <w:rFonts w:hint="eastAsia" w:ascii="仿宋" w:hAnsi="仿宋" w:eastAsia="仿宋" w:cs="仿宋"/>
          <w:b/>
          <w:bCs/>
          <w:color w:val="000000"/>
          <w:kern w:val="0"/>
          <w:sz w:val="24"/>
          <w:szCs w:val="24"/>
          <w:highlight w:val="none"/>
          <w:lang w:val="en-US" w:eastAsia="zh-CN" w:bidi="ar"/>
        </w:rPr>
        <w:t>中标人须在合同签订后立即安排所有设备、人员进场，否则采购人有权终止合同，重新组织招标</w:t>
      </w:r>
      <w:r>
        <w:rPr>
          <w:rFonts w:hint="eastAsia" w:ascii="仿宋" w:hAnsi="仿宋" w:eastAsia="仿宋" w:cs="仿宋"/>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▲5.服务期间发生的车辆安全事故和人身意外事故等全部由中标人负责。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★6.采购文件提出的清运服务要求是最低要求，投标人提供的服务不能低于采购文件要求，投标人必须在投标文件中提交《环境卫生服务承诺表》，否则做无效投标处理。（格式详见附件一）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7.项目由业主单位组织验收，服务期满后 7 天内验收完毕， 3 天内提出质量异议。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▲中标人不得使用农用拖拉机清运垃圾。 </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line="360" w:lineRule="exact"/>
        <w:ind w:leftChars="200" w:right="0" w:rightChars="0"/>
        <w:jc w:val="left"/>
        <w:textAlignment w:val="auto"/>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 xml:space="preserve">八、付款方式及其他： </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1.合同签订后采购单位向中标单位支付合同价款的20%（支付条件：签订合同时中标人明确表示无需预付款或者主动要求降低预付款比例的可不适用前述规定）。</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承包款付款方式为每月结付一次，合同价的90%按月平均支付(扣除考核)，其余10%结合重大活动、突击性活动、卫生应急等情况在合同期满后一次性支付。当月的保洁清运费用于次月初凭业主确认的验收结算书到镇财政所结算。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2.在履行合同期间如成本上涨或降低，业主对价格一律不作调整。因创建及检查评比需要而提高要求临时增加工作量及工作任务，所需增加设备、人员费用另行协商支付。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出现下列情形之一，业主有权单方面终止合同，并没收履约保证金，同时上报到市公共资源交易管委会办公室要求按相关规定做出处理，按照《诸暨市招投标市场不良行为记录暂行规定》，该公司3年内不得参加同山镇清运项目的投标资格：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1）根据市级检查反馈情况，在中标方保洁、清运范围内存在主要或重大扣分现象导致连续2次跌出全市排名前10位以外。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2）中标方存在重大过失或工作不到位，经采购人三次提出限期整改，仍不改正的。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3）因垃圾清运、集镇卫生被电视、报纸等媒体曝光次数二次（含二次）以上的。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2" w:firstLineChars="200"/>
        <w:jc w:val="left"/>
        <w:textAlignment w:val="auto"/>
        <w:rPr>
          <w:rFonts w:hint="eastAsia" w:ascii="仿宋" w:hAnsi="仿宋" w:eastAsia="仿宋" w:cs="仿宋"/>
          <w:color w:val="000000"/>
          <w:highlight w:val="none"/>
        </w:rPr>
      </w:pPr>
      <w:r>
        <w:rPr>
          <w:rFonts w:hint="eastAsia" w:ascii="仿宋" w:hAnsi="仿宋" w:eastAsia="仿宋" w:cs="仿宋"/>
          <w:b/>
          <w:bCs/>
          <w:color w:val="000000"/>
          <w:kern w:val="0"/>
          <w:sz w:val="24"/>
          <w:szCs w:val="24"/>
          <w:highlight w:val="none"/>
          <w:lang w:val="en-US" w:eastAsia="zh-CN" w:bidi="ar"/>
        </w:rPr>
        <w:t xml:space="preserve">九、履约保证金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1.中标人在签订合同时，须向采购人缴纳合同款1%的履约保证金。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2.中标人须在合同签订生效之日起立即安排进场清运。未及时完成清运任务的，采购人有权没收履约保证金并解除合同。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3.履约保证金在采购人将服务验收合格后，无息退还给中标人。 </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color w:val="000000"/>
          <w:kern w:val="0"/>
          <w:sz w:val="24"/>
          <w:szCs w:val="24"/>
          <w:highlight w:val="none"/>
          <w:lang w:val="en-US" w:eastAsia="zh-CN" w:bidi="ar"/>
        </w:rPr>
        <w:t xml:space="preserve">4.如中标人未能履行合同规定的义务，采购人有权在履约保证金中取得补偿。 </w:t>
      </w:r>
    </w:p>
    <w:p>
      <w:pPr>
        <w:keepNext w:val="0"/>
        <w:keepLines w:val="0"/>
        <w:pageBreakBefore w:val="0"/>
        <w:kinsoku/>
        <w:wordWrap/>
        <w:overflowPunct/>
        <w:topLinePunct w:val="0"/>
        <w:autoSpaceDE w:val="0"/>
        <w:autoSpaceDN w:val="0"/>
        <w:bidi w:val="0"/>
        <w:adjustRightInd w:val="0"/>
        <w:snapToGrid/>
        <w:spacing w:line="360" w:lineRule="exact"/>
        <w:ind w:left="0" w:leftChars="0" w:right="0" w:rightChars="0" w:firstLine="482" w:firstLineChars="200"/>
        <w:textAlignment w:val="auto"/>
        <w:outlineLvl w:val="0"/>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十、</w:t>
      </w:r>
      <w:r>
        <w:rPr>
          <w:rFonts w:hint="eastAsia" w:ascii="仿宋" w:hAnsi="仿宋" w:eastAsia="仿宋" w:cs="仿宋"/>
          <w:b/>
          <w:bCs/>
          <w:color w:val="000000"/>
          <w:sz w:val="24"/>
          <w:highlight w:val="none"/>
        </w:rPr>
        <w:t>最高限价</w:t>
      </w:r>
    </w:p>
    <w:p>
      <w:pPr>
        <w:keepNext w:val="0"/>
        <w:keepLines w:val="0"/>
        <w:pageBreakBefore w:val="0"/>
        <w:widowControl/>
        <w:suppressLineNumbers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本次采购最高限价为人民币玖拾伍万元整（¥950000.00）（包含采购人对中标方的奖惩考核等所有费用），任何超过最高限价的报价将被认定为无效报价。</w:t>
      </w:r>
    </w:p>
    <w:p>
      <w:pPr>
        <w:keepNext w:val="0"/>
        <w:keepLines w:val="0"/>
        <w:pageBreakBefore w:val="0"/>
        <w:widowControl w:val="0"/>
        <w:tabs>
          <w:tab w:val="left" w:pos="2438"/>
          <w:tab w:val="center" w:pos="4822"/>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color w:val="000000" w:themeColor="text1"/>
          <w:kern w:val="44"/>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 xml:space="preserve">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评标办法及标准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一</w:t>
      </w:r>
      <w:r>
        <w:rPr>
          <w:rFonts w:hint="eastAsia" w:ascii="仿宋" w:hAnsi="仿宋" w:eastAsia="仿宋" w:cs="仿宋"/>
          <w:b/>
          <w:color w:val="000000" w:themeColor="text1"/>
          <w:sz w:val="24"/>
          <w:highlight w:val="none"/>
          <w14:textFill>
            <w14:solidFill>
              <w14:schemeClr w14:val="tx1"/>
            </w14:solidFill>
          </w14:textFill>
        </w:rPr>
        <w:t>、评标</w:t>
      </w:r>
      <w:r>
        <w:rPr>
          <w:rFonts w:hint="eastAsia" w:ascii="仿宋" w:hAnsi="仿宋" w:eastAsia="仿宋" w:cs="仿宋"/>
          <w:b/>
          <w:color w:val="000000" w:themeColor="text1"/>
          <w:sz w:val="24"/>
          <w:highlight w:val="none"/>
          <w:lang w:val="en-US" w:eastAsia="zh-CN"/>
          <w14:textFill>
            <w14:solidFill>
              <w14:schemeClr w14:val="tx1"/>
            </w14:solidFill>
          </w14:textFill>
        </w:rPr>
        <w:t>办</w:t>
      </w:r>
      <w:r>
        <w:rPr>
          <w:rFonts w:hint="eastAsia" w:ascii="仿宋" w:hAnsi="仿宋" w:eastAsia="仿宋" w:cs="仿宋"/>
          <w:b/>
          <w:color w:val="000000" w:themeColor="text1"/>
          <w:sz w:val="24"/>
          <w:highlight w:val="none"/>
          <w14:textFill>
            <w14:solidFill>
              <w14:schemeClr w14:val="tx1"/>
            </w14:solidFill>
          </w14:textFill>
        </w:rPr>
        <w:t>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exact"/>
        <w:ind w:right="0" w:rightChars="0" w:firstLine="480" w:firstLineChars="200"/>
        <w:textAlignment w:val="auto"/>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00" w:lineRule="exact"/>
        <w:ind w:right="0" w:rightChars="0"/>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评分标准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exact"/>
        <w:ind w:right="0" w:rightChars="0" w:firstLine="480" w:firstLineChars="200"/>
        <w:textAlignment w:val="auto"/>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t>1.满分为100分。总得分=商务技术得分+报价得分；</w:t>
      </w:r>
    </w:p>
    <w:p>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480" w:firstLineChars="200"/>
        <w:textAlignment w:val="auto"/>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t>2.商务技术得分=商务技术评分，商务技术评分=所有评委的有效评分的算术平均数。</w:t>
      </w:r>
    </w:p>
    <w:p>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480" w:firstLineChars="200"/>
        <w:textAlignment w:val="auto"/>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t>3.报价得分=（评标基准价/投标报价）*价格权值*100，评标基准价=有效投标人的最低投标报价，价格权值=10%；</w:t>
      </w:r>
    </w:p>
    <w:p>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480" w:firstLineChars="200"/>
        <w:textAlignment w:val="auto"/>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lang w:val="en-US" w:eastAsia="zh-CN" w:bidi="ar-SA"/>
          <w14:textFill>
            <w14:solidFill>
              <w14:schemeClr w14:val="tx1"/>
            </w14:solidFill>
          </w14:textFill>
        </w:rPr>
        <w:t>4.商务技术分评分细则（90分）</w:t>
      </w:r>
    </w:p>
    <w:tbl>
      <w:tblPr>
        <w:tblStyle w:val="73"/>
        <w:tblW w:w="1016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982"/>
        <w:gridCol w:w="7655"/>
        <w:gridCol w:w="8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项目</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评分标准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4"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企业</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资信</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strike/>
                <w:color w:val="000000"/>
                <w:sz w:val="24"/>
                <w:szCs w:val="24"/>
                <w:highlight w:val="none"/>
              </w:rPr>
            </w:pPr>
            <w:r>
              <w:rPr>
                <w:rFonts w:hint="eastAsia" w:ascii="仿宋" w:hAnsi="仿宋" w:eastAsia="仿宋" w:cs="仿宋"/>
                <w:bCs/>
                <w:color w:val="000000"/>
                <w:sz w:val="24"/>
                <w:szCs w:val="24"/>
                <w:highlight w:val="none"/>
              </w:rPr>
              <w:t>投标人具有ISO9001质量管理体系认证、ISO14001环境管理体系认证、ISO45001职业健康安全管理体系认证</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rPr>
              <w:t>每提供一个有效证书得</w:t>
            </w: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rPr>
              <w:t>分，</w:t>
            </w:r>
            <w:r>
              <w:rPr>
                <w:rFonts w:hint="eastAsia" w:ascii="仿宋" w:hAnsi="仿宋" w:eastAsia="仿宋" w:cs="仿宋"/>
                <w:color w:val="000000"/>
                <w:sz w:val="24"/>
                <w:szCs w:val="24"/>
                <w:highlight w:val="none"/>
              </w:rPr>
              <w:t>本项最高得</w:t>
            </w: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分。（注：商务技术文件中需提供有效期内证书复印件并加盖投标人CA签章，否则不得分。）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strike/>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2</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业绩</w:t>
            </w:r>
          </w:p>
        </w:tc>
        <w:tc>
          <w:tcPr>
            <w:tcW w:w="7655" w:type="dxa"/>
            <w:vAlign w:val="center"/>
          </w:tcPr>
          <w:p>
            <w:pPr>
              <w:keepNext w:val="0"/>
              <w:keepLines w:val="0"/>
              <w:pageBreakBefore w:val="0"/>
              <w:numPr>
                <w:ilvl w:val="0"/>
                <w:numId w:val="0"/>
              </w:numPr>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投标人自2020年1月1日至今（以合同签订时间为准），具有同类项目业绩，每提供一个得0.5分，本项最高得1分。（注：投标文件中需提供以下证明材料复印件（加盖投标人公章）：①招投标网（官网）中标（成交）公告网页截图证明；②中标（成交）通知书；③采购合同，以上证明材料缺一不 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36" w:hRule="atLeast"/>
          <w:jc w:val="center"/>
        </w:trPr>
        <w:tc>
          <w:tcPr>
            <w:tcW w:w="699"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w:t>
            </w:r>
          </w:p>
        </w:tc>
        <w:tc>
          <w:tcPr>
            <w:tcW w:w="982"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拟派项目人员情况</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根据投标人针对本项目</w:t>
            </w:r>
            <w:r>
              <w:rPr>
                <w:rFonts w:hint="eastAsia" w:ascii="仿宋" w:hAnsi="仿宋" w:eastAsia="仿宋" w:cs="仿宋"/>
                <w:color w:val="000000"/>
                <w:sz w:val="24"/>
                <w:szCs w:val="24"/>
                <w:highlight w:val="none"/>
              </w:rPr>
              <w:t>拟派项目负责人</w:t>
            </w:r>
            <w:r>
              <w:rPr>
                <w:rFonts w:hint="eastAsia" w:ascii="仿宋" w:hAnsi="仿宋" w:eastAsia="仿宋" w:cs="仿宋"/>
                <w:color w:val="000000"/>
                <w:sz w:val="24"/>
                <w:szCs w:val="24"/>
                <w:highlight w:val="none"/>
                <w:lang w:val="en-US" w:eastAsia="zh-CN"/>
              </w:rPr>
              <w:t>具备承担本项目服务能力的资历证明情况进行综合打分，0-5分。（投标文件中须提供其近三年来承担类似项目</w:t>
            </w:r>
            <w:r>
              <w:rPr>
                <w:rFonts w:hint="eastAsia" w:ascii="仿宋" w:hAnsi="仿宋" w:eastAsia="仿宋" w:cs="仿宋"/>
                <w:color w:val="000000"/>
                <w:sz w:val="24"/>
                <w:szCs w:val="24"/>
                <w:highlight w:val="none"/>
              </w:rPr>
              <w:t>管理经验</w:t>
            </w:r>
            <w:r>
              <w:rPr>
                <w:rFonts w:hint="eastAsia" w:ascii="仿宋" w:hAnsi="仿宋" w:eastAsia="仿宋" w:cs="仿宋"/>
                <w:color w:val="000000"/>
                <w:sz w:val="24"/>
                <w:szCs w:val="24"/>
                <w:highlight w:val="none"/>
                <w:lang w:val="en-US" w:eastAsia="zh-CN"/>
              </w:rPr>
              <w:t>等证明材料</w:t>
            </w:r>
            <w:r>
              <w:rPr>
                <w:rFonts w:hint="eastAsia" w:ascii="仿宋" w:hAnsi="仿宋" w:eastAsia="仿宋" w:cs="仿宋"/>
                <w:color w:val="000000"/>
                <w:sz w:val="24"/>
                <w:szCs w:val="24"/>
                <w:highlight w:val="none"/>
              </w:rPr>
              <w:t>加盖投标人CA签章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投标人为其缴纳的近</w:t>
            </w:r>
            <w:r>
              <w:rPr>
                <w:rFonts w:hint="eastAsia" w:ascii="仿宋" w:hAnsi="仿宋" w:eastAsia="仿宋" w:cs="仿宋"/>
                <w:color w:val="000000"/>
                <w:sz w:val="24"/>
                <w:szCs w:val="24"/>
                <w:highlight w:val="none"/>
                <w:lang w:val="en-US" w:eastAsia="zh-CN"/>
              </w:rPr>
              <w:t>六</w:t>
            </w:r>
            <w:r>
              <w:rPr>
                <w:rFonts w:hint="eastAsia" w:ascii="仿宋" w:hAnsi="仿宋" w:eastAsia="仿宋" w:cs="仿宋"/>
                <w:color w:val="000000"/>
                <w:sz w:val="24"/>
                <w:szCs w:val="24"/>
                <w:highlight w:val="none"/>
              </w:rPr>
              <w:t>个月社保证明</w:t>
            </w:r>
            <w:r>
              <w:rPr>
                <w:rFonts w:hint="eastAsia" w:ascii="仿宋" w:hAnsi="仿宋" w:eastAsia="仿宋" w:cs="仿宋"/>
                <w:bCs/>
                <w:color w:val="000000"/>
                <w:sz w:val="24"/>
                <w:szCs w:val="24"/>
                <w:highlight w:val="none"/>
              </w:rPr>
              <w:t>（社保缴纳证明以社保机构出具的社保证明为准）；</w:t>
            </w:r>
            <w:r>
              <w:rPr>
                <w:rFonts w:hint="eastAsia" w:ascii="仿宋" w:hAnsi="仿宋" w:eastAsia="仿宋" w:cs="仿宋"/>
                <w:bCs/>
                <w:color w:val="000000"/>
                <w:sz w:val="24"/>
                <w:szCs w:val="24"/>
                <w:highlight w:val="none"/>
                <w:lang w:val="en-US" w:eastAsia="zh-CN"/>
              </w:rPr>
              <w:t>承担过的</w:t>
            </w:r>
            <w:r>
              <w:rPr>
                <w:rFonts w:hint="eastAsia" w:ascii="仿宋" w:hAnsi="仿宋" w:eastAsia="仿宋" w:cs="仿宋"/>
                <w:color w:val="000000"/>
                <w:sz w:val="24"/>
                <w:szCs w:val="24"/>
                <w:highlight w:val="none"/>
              </w:rPr>
              <w:t>项目合同（合同中不能体现项目负责人身份职务或垃圾清运业务内容等相关信息的，还需提供该合同业主盖章的证明文件）复印件</w:t>
            </w:r>
            <w:r>
              <w:rPr>
                <w:rFonts w:hint="eastAsia" w:ascii="仿宋" w:hAnsi="仿宋" w:eastAsia="仿宋" w:cs="仿宋"/>
                <w:color w:val="000000"/>
                <w:sz w:val="24"/>
                <w:szCs w:val="24"/>
                <w:highlight w:val="none"/>
                <w:lang w:val="en-US" w:eastAsia="zh-CN"/>
              </w:rPr>
              <w:t>加盖CA签章</w:t>
            </w:r>
            <w:r>
              <w:rPr>
                <w:rFonts w:hint="eastAsia" w:ascii="仿宋" w:hAnsi="仿宋" w:eastAsia="仿宋" w:cs="仿宋"/>
                <w:color w:val="000000"/>
                <w:sz w:val="24"/>
                <w:szCs w:val="24"/>
                <w:highlight w:val="none"/>
              </w:rPr>
              <w:t>。未按要求提供的不得分。）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7"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根据投标人提供的（不含项目负责人）</w:t>
            </w:r>
            <w:r>
              <w:rPr>
                <w:rFonts w:hint="eastAsia" w:ascii="仿宋" w:hAnsi="仿宋" w:eastAsia="仿宋" w:cs="仿宋"/>
                <w:color w:val="000000"/>
                <w:sz w:val="24"/>
                <w:szCs w:val="24"/>
                <w:highlight w:val="none"/>
              </w:rPr>
              <w:t>项目团队组织结构、人员技术力量情况和实践经验情况进行综合</w:t>
            </w:r>
            <w:r>
              <w:rPr>
                <w:rFonts w:hint="eastAsia" w:ascii="仿宋" w:hAnsi="仿宋" w:eastAsia="仿宋" w:cs="仿宋"/>
                <w:color w:val="000000"/>
                <w:sz w:val="24"/>
                <w:szCs w:val="24"/>
                <w:highlight w:val="none"/>
                <w:lang w:val="en-US" w:eastAsia="zh-CN"/>
              </w:rPr>
              <w:t>打分</w:t>
            </w:r>
            <w:r>
              <w:rPr>
                <w:rFonts w:hint="eastAsia" w:ascii="仿宋" w:hAnsi="仿宋" w:eastAsia="仿宋" w:cs="仿宋"/>
                <w:color w:val="000000"/>
                <w:sz w:val="24"/>
                <w:szCs w:val="24"/>
                <w:highlight w:val="none"/>
              </w:rPr>
              <w:t>：人员配置全面、合理、经验丰富的得3分；人员配置相对合理、经验相对丰富的得2分；人员配置相对不完整、经验欠缺的得1分；未提供不得分。</w:t>
            </w:r>
            <w:r>
              <w:rPr>
                <w:rFonts w:hint="eastAsia" w:ascii="仿宋" w:hAnsi="仿宋" w:eastAsia="仿宋" w:cs="仿宋"/>
                <w:color w:val="000000"/>
                <w:w w:val="90"/>
                <w:sz w:val="24"/>
                <w:szCs w:val="24"/>
                <w:highlight w:val="none"/>
              </w:rPr>
              <w:t>（注：商务技术文件中需提供投标人为人员缴纳的距离投标截止日最近一期的社保缴纳证明（社保缴纳证明以社保机构出具的社保证明为准）并加盖投标人CA签章，否则不视为投标人所配备人员。）</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4</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用工服务承诺</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投标人能够提供针对本项目的用工服务承诺，包括下述2项：</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①对投入的服务人员满足本项目服务要求（包括日常垃圾清运服务、特殊时期清运服务等要求）的相关承诺；</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②对依法规范用工（包括保险缴纳、工资待遇等）的相关承诺。</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每提供上述1项承诺的得1分，最高得2分。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（注：商务技术文件中需提供相关承诺函（格式自拟）并加盖投标人CA签章，否则不得分。）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9" w:hRule="atLeast"/>
          <w:jc w:val="center"/>
        </w:trPr>
        <w:tc>
          <w:tcPr>
            <w:tcW w:w="699"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5</w:t>
            </w:r>
          </w:p>
        </w:tc>
        <w:tc>
          <w:tcPr>
            <w:tcW w:w="982"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服务</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方案</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根据投标人针对本项目提供的垃圾清扫装卸及运输方案（包括人员及设备安排、作业时间安排、作业步骤及方法、台账记录、车辆的维修管养措施）</w:t>
            </w:r>
            <w:r>
              <w:rPr>
                <w:rFonts w:hint="eastAsia" w:ascii="仿宋" w:hAnsi="仿宋" w:eastAsia="仿宋" w:cs="仿宋"/>
                <w:bCs/>
                <w:color w:val="000000"/>
                <w:sz w:val="24"/>
                <w:szCs w:val="24"/>
                <w:highlight w:val="none"/>
              </w:rPr>
              <w:t>是否具有针对性、完整合理、切实可行进行综合评价。</w:t>
            </w:r>
            <w:r>
              <w:rPr>
                <w:rFonts w:hint="eastAsia" w:ascii="仿宋" w:hAnsi="仿宋" w:eastAsia="仿宋" w:cs="仿宋"/>
                <w:color w:val="000000"/>
                <w:sz w:val="24"/>
                <w:szCs w:val="24"/>
                <w:highlight w:val="none"/>
              </w:rPr>
              <w:t>（提供的方案内容全面、合理、清晰，针对性及可行性强的得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]分；提供的方案内容较为全面、合理、清晰，具有一定针对性及可行性的得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,3]分；提供的方案内容粗略、不够清晰、欠缺合理性，针对性、可行性较弱的得[0,1]分；方案未提供或与项目不符的不得分。）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9"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根据投标人提供的公厕保洁方案（包括人员及设备安排、作业内容与作业要求、安全文明保障措施、异常情况反馈及处理措施）是否具有针对性、详细完整、合理可行进行综合评价。（方案阐述详尽、针对性强且合理可行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]分；方案部分内容阐述有欠缺但总体较为详尽、较具有针对性，基本合理可行的得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,3]分；方案阐述粗略、不全面、缺陷较多，部分合理可行的得[0,1]分；完全不符或未提供的不得分。）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9"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小广告清理方案（包括人员及设备安排、作业内容与作业要求、安全文明保障措施、异常情况反馈及处理措施）是否具有针对性、详细完整、合理可行进行综合评价。（方案阐述详尽、针对性强且合理可行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]分；方案部分内容阐述有欠缺但总体较为详尽、较具有针对性，基本合理可行的得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,3]分；方案阐述粗略、不全面、缺陷较多，部分合理可行的得[0,1]分；完全不符或未提供的不得分。）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9"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针对各类上级检查、环境集中整治期间、突击检查、重大节假日期间、恶劣天气等各类突发事件及较大规模破坏环境卫生面貌的状况编制应急方案（包括应急情况分析及响应时间、应急人员及设备安排方案、应急处置措施），评委根据应急方案合理程度及完备程度进行综合评价。（方案周密详细，措施合理明确，可操作性强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]分；方案较为详细，措施较为合理、明确，具有一定可操作性的得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,3]分；方案内容较粗略，措施不够明确、欠缺合理性，可操作性较弱的得[0,1]分；方案未提供或与项目不符的不得分。）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1"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p>
        </w:tc>
        <w:tc>
          <w:tcPr>
            <w:tcW w:w="7655" w:type="dxa"/>
            <w:vAlign w:val="center"/>
          </w:tcPr>
          <w:p>
            <w:pPr>
              <w:pStyle w:val="44"/>
              <w:keepNext w:val="0"/>
              <w:keepLines w:val="0"/>
              <w:pageBreakBefore w:val="0"/>
              <w:kinsoku/>
              <w:wordWrap/>
              <w:overflowPunct/>
              <w:topLinePunct w:val="0"/>
              <w:autoSpaceDE/>
              <w:autoSpaceDN/>
              <w:bidi w:val="0"/>
              <w:snapToGrid/>
              <w:spacing w:after="0"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根据投标人提供针对本项目的日常垃圾清运管理制度（包括日常巡查管理、监督考核管理、档案（台账）管理等）的可行性、健全性进行综合评价。（提供的管理制度完善，程序规范、责任明确的得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]分；提供的管理制度较全面，程序与责任较明确可行的得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,3]分；提供的管理制度较粗略，程序与责任不够明确、可行性较弱的得[0,1]分；管理制度未提供或与项目不符的不得分。）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76"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根据投标人提供针对本项目工作人员服务素质、作业安全的培训方案（包括培训内容、培训频次、培训目标、培训形式等），由评委根据培训方案的阐述是否详细明确、切实可行进行综合评价。（方案详细具体，切合项目需求并能突出培训重点，可行性强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]分；方案较为详细，较为切合项目需求，具有一定可行性的得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,3]分；方案内容粗略，层次不清晰、可行性较弱的得[0,1]分；方案未提供或与项目不符的不得分。）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46" w:hRule="atLeast"/>
          <w:jc w:val="center"/>
        </w:trPr>
        <w:tc>
          <w:tcPr>
            <w:tcW w:w="699"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6</w:t>
            </w:r>
          </w:p>
        </w:tc>
        <w:tc>
          <w:tcPr>
            <w:tcW w:w="982"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安全生产管理</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根据投标人为本项目制定安全生产制度，并定期开展安全生产培训的方案进行综合评分（0-</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tc>
        <w:tc>
          <w:tcPr>
            <w:tcW w:w="828" w:type="dxa"/>
            <w:vMerge w:val="restart"/>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86" w:hRule="atLeast"/>
          <w:jc w:val="center"/>
        </w:trPr>
        <w:tc>
          <w:tcPr>
            <w:tcW w:w="699"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c>
          <w:tcPr>
            <w:tcW w:w="982"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拟派专职安全员（不包括项目负责人）中具备安全员培训证书的，每提供一人得1分，最高得2分</w:t>
            </w:r>
            <w:r>
              <w:rPr>
                <w:rFonts w:hint="eastAsia" w:ascii="仿宋" w:hAnsi="仿宋" w:eastAsia="仿宋" w:cs="仿宋"/>
                <w:color w:val="000000"/>
                <w:sz w:val="24"/>
                <w:szCs w:val="24"/>
                <w:highlight w:val="none"/>
              </w:rPr>
              <w:t>。（注：需提供相关证书复印件及由投标人为其缴纳的近6个月社保证明材料并</w:t>
            </w:r>
            <w:r>
              <w:rPr>
                <w:rFonts w:hint="eastAsia" w:ascii="仿宋" w:hAnsi="仿宋" w:eastAsia="仿宋" w:cs="仿宋"/>
                <w:color w:val="000000"/>
                <w:sz w:val="24"/>
                <w:szCs w:val="24"/>
                <w:highlight w:val="none"/>
                <w:lang w:eastAsia="zh-CN"/>
              </w:rPr>
              <w:t>加盖CA签章</w:t>
            </w:r>
            <w:r>
              <w:rPr>
                <w:rFonts w:hint="eastAsia" w:ascii="仿宋" w:hAnsi="仿宋" w:eastAsia="仿宋" w:cs="仿宋"/>
                <w:color w:val="000000"/>
                <w:sz w:val="24"/>
                <w:szCs w:val="24"/>
                <w:highlight w:val="none"/>
              </w:rPr>
              <w:t>，不提供或提供不全不得分）</w:t>
            </w:r>
          </w:p>
        </w:tc>
        <w:tc>
          <w:tcPr>
            <w:tcW w:w="828" w:type="dxa"/>
            <w:vMerge w:val="continue"/>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7</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拟投入车辆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配置</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根据投标人对本项目拟投入的车辆（自有或租赁）情况进行评分：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①</w:t>
            </w:r>
            <w:r>
              <w:rPr>
                <w:rFonts w:hint="eastAsia" w:ascii="仿宋" w:hAnsi="仿宋" w:eastAsia="仿宋" w:cs="仿宋"/>
                <w:color w:val="000000"/>
                <w:sz w:val="24"/>
                <w:szCs w:val="24"/>
                <w:highlight w:val="none"/>
                <w:lang w:val="en-US" w:eastAsia="zh-CN"/>
              </w:rPr>
              <w:t>本项目要求</w:t>
            </w:r>
            <w:r>
              <w:rPr>
                <w:rFonts w:hint="eastAsia" w:ascii="仿宋" w:hAnsi="仿宋" w:eastAsia="仿宋" w:cs="仿宋"/>
                <w:color w:val="000000"/>
                <w:sz w:val="24"/>
                <w:szCs w:val="24"/>
                <w:highlight w:val="none"/>
              </w:rPr>
              <w:t>投标人</w:t>
            </w:r>
            <w:r>
              <w:rPr>
                <w:rFonts w:hint="eastAsia" w:ascii="仿宋" w:hAnsi="仿宋" w:eastAsia="仿宋" w:cs="仿宋"/>
                <w:color w:val="000000"/>
                <w:sz w:val="24"/>
                <w:szCs w:val="24"/>
                <w:highlight w:val="none"/>
                <w:lang w:val="en-US" w:eastAsia="zh-CN"/>
              </w:rPr>
              <w:t>须配备</w:t>
            </w:r>
            <w:r>
              <w:rPr>
                <w:rFonts w:hint="eastAsia" w:ascii="仿宋" w:hAnsi="仿宋" w:eastAsia="仿宋" w:cs="仿宋"/>
                <w:color w:val="000000"/>
                <w:sz w:val="24"/>
                <w:szCs w:val="24"/>
                <w:highlight w:val="none"/>
              </w:rPr>
              <w:t>核定载质量5吨（含）以上垃圾清运压缩车1辆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在此基础上</w:t>
            </w:r>
            <w:r>
              <w:rPr>
                <w:rFonts w:hint="eastAsia" w:ascii="仿宋" w:hAnsi="仿宋" w:eastAsia="仿宋" w:cs="仿宋"/>
                <w:color w:val="000000"/>
                <w:sz w:val="24"/>
                <w:szCs w:val="24"/>
                <w:highlight w:val="none"/>
              </w:rPr>
              <w:t>每增加一辆加</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分，本项最高得</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②</w:t>
            </w:r>
            <w:r>
              <w:rPr>
                <w:rFonts w:hint="eastAsia" w:ascii="仿宋" w:hAnsi="仿宋" w:eastAsia="仿宋" w:cs="仿宋"/>
                <w:color w:val="000000"/>
                <w:sz w:val="24"/>
                <w:szCs w:val="24"/>
                <w:highlight w:val="none"/>
                <w:lang w:val="en-US" w:eastAsia="zh-CN"/>
              </w:rPr>
              <w:t>本项目要求</w:t>
            </w:r>
            <w:r>
              <w:rPr>
                <w:rFonts w:hint="eastAsia" w:ascii="仿宋" w:hAnsi="仿宋" w:eastAsia="仿宋" w:cs="仿宋"/>
                <w:color w:val="000000"/>
                <w:sz w:val="24"/>
                <w:szCs w:val="24"/>
                <w:highlight w:val="none"/>
              </w:rPr>
              <w:t>投标人</w:t>
            </w:r>
            <w:r>
              <w:rPr>
                <w:rFonts w:hint="eastAsia" w:ascii="仿宋" w:hAnsi="仿宋" w:eastAsia="仿宋" w:cs="仿宋"/>
                <w:color w:val="000000"/>
                <w:sz w:val="24"/>
                <w:szCs w:val="24"/>
                <w:highlight w:val="none"/>
                <w:lang w:val="en-US" w:eastAsia="zh-CN"/>
              </w:rPr>
              <w:t>须配备</w:t>
            </w:r>
            <w:r>
              <w:rPr>
                <w:rFonts w:hint="eastAsia" w:ascii="仿宋" w:hAnsi="仿宋" w:eastAsia="仿宋" w:cs="仿宋"/>
                <w:color w:val="000000"/>
                <w:sz w:val="24"/>
                <w:szCs w:val="24"/>
                <w:highlight w:val="none"/>
              </w:rPr>
              <w:t>核定载质量</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吨（含）以上垃圾清运压缩车</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辆，</w:t>
            </w:r>
            <w:r>
              <w:rPr>
                <w:rFonts w:hint="eastAsia" w:ascii="仿宋" w:hAnsi="仿宋" w:eastAsia="仿宋" w:cs="仿宋"/>
                <w:color w:val="000000"/>
                <w:sz w:val="24"/>
                <w:szCs w:val="24"/>
                <w:highlight w:val="none"/>
                <w:lang w:val="en-US" w:eastAsia="zh-CN"/>
              </w:rPr>
              <w:t>在此基础上</w:t>
            </w:r>
            <w:r>
              <w:rPr>
                <w:rFonts w:hint="eastAsia" w:ascii="仿宋" w:hAnsi="仿宋" w:eastAsia="仿宋" w:cs="仿宋"/>
                <w:color w:val="000000"/>
                <w:sz w:val="24"/>
                <w:szCs w:val="24"/>
                <w:highlight w:val="none"/>
              </w:rPr>
              <w:t>每增加一辆加</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分，本项最高得</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③</w:t>
            </w:r>
            <w:r>
              <w:rPr>
                <w:rFonts w:hint="eastAsia" w:ascii="仿宋" w:hAnsi="仿宋" w:eastAsia="仿宋" w:cs="仿宋"/>
                <w:color w:val="000000"/>
                <w:sz w:val="24"/>
                <w:szCs w:val="24"/>
                <w:highlight w:val="none"/>
                <w:lang w:val="en-US" w:eastAsia="zh-CN"/>
              </w:rPr>
              <w:t>本项目要求投标人须配备双排管理用汽车、管理用电动车、电瓶侧装车、垃圾上门收集车各1辆，在此基础上，</w:t>
            </w:r>
            <w:r>
              <w:rPr>
                <w:rFonts w:hint="eastAsia" w:ascii="仿宋" w:hAnsi="仿宋" w:eastAsia="仿宋" w:cs="仿宋"/>
                <w:color w:val="000000"/>
                <w:sz w:val="24"/>
                <w:szCs w:val="24"/>
                <w:highlight w:val="none"/>
              </w:rPr>
              <w:t>每类车辆</w:t>
            </w:r>
            <w:r>
              <w:rPr>
                <w:rFonts w:hint="eastAsia" w:ascii="仿宋" w:hAnsi="仿宋" w:eastAsia="仿宋" w:cs="仿宋"/>
                <w:color w:val="000000"/>
                <w:sz w:val="24"/>
                <w:szCs w:val="24"/>
                <w:highlight w:val="none"/>
                <w:lang w:val="en-US" w:eastAsia="zh-CN"/>
              </w:rPr>
              <w:t>每增加1辆得1分，</w:t>
            </w:r>
            <w:r>
              <w:rPr>
                <w:rFonts w:hint="eastAsia" w:ascii="仿宋" w:hAnsi="仿宋" w:eastAsia="仿宋" w:cs="仿宋"/>
                <w:color w:val="000000"/>
                <w:sz w:val="24"/>
                <w:szCs w:val="24"/>
                <w:highlight w:val="none"/>
              </w:rPr>
              <w:t>最高得</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w:t>
            </w:r>
          </w:p>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若为投标人自有车辆的，需提供车辆行驶证复印件；若为投标人租赁车辆的，需提供车辆租赁合同复印件以及车辆行驶证复印件（行驶证所有人必须和租赁合同出租方一致）；以上证明材料均需加盖投标人CA签章，未按要求提供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8</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现状调查及应对措施</w:t>
            </w:r>
          </w:p>
        </w:tc>
        <w:tc>
          <w:tcPr>
            <w:tcW w:w="7655" w:type="dxa"/>
            <w:vAlign w:val="center"/>
          </w:tcPr>
          <w:p>
            <w:pPr>
              <w:keepNext w:val="0"/>
              <w:keepLines w:val="0"/>
              <w:pageBreakBefore w:val="0"/>
              <w:widowControl/>
              <w:suppressLineNumbers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color w:val="000000"/>
                <w:kern w:val="0"/>
                <w:sz w:val="24"/>
                <w:szCs w:val="24"/>
                <w:highlight w:val="none"/>
                <w:lang w:val="en-US" w:eastAsia="zh-CN" w:bidi="ar"/>
              </w:rPr>
              <w:t>投标人自行踏勘现场，</w:t>
            </w:r>
            <w:r>
              <w:rPr>
                <w:rFonts w:hint="eastAsia" w:ascii="仿宋" w:hAnsi="仿宋" w:eastAsia="仿宋" w:cs="仿宋"/>
                <w:b/>
                <w:bCs/>
                <w:color w:val="000000"/>
                <w:kern w:val="0"/>
                <w:sz w:val="24"/>
                <w:szCs w:val="24"/>
                <w:highlight w:val="none"/>
                <w:lang w:val="en-US" w:eastAsia="zh-CN" w:bidi="ar"/>
              </w:rPr>
              <w:t>投标文件中</w:t>
            </w:r>
            <w:r>
              <w:rPr>
                <w:rFonts w:hint="eastAsia" w:ascii="仿宋" w:hAnsi="仿宋" w:eastAsia="仿宋" w:cs="仿宋"/>
                <w:b/>
                <w:bCs/>
                <w:color w:val="000000"/>
                <w:kern w:val="0"/>
                <w:sz w:val="24"/>
                <w:szCs w:val="24"/>
                <w:highlight w:val="none"/>
                <w:lang w:val="en-US" w:eastAsia="en-US" w:bidi="ar"/>
              </w:rPr>
              <w:t>提供</w:t>
            </w:r>
            <w:r>
              <w:rPr>
                <w:rFonts w:hint="eastAsia" w:ascii="仿宋" w:hAnsi="仿宋" w:eastAsia="仿宋" w:cs="仿宋"/>
                <w:b/>
                <w:bCs/>
                <w:color w:val="000000"/>
                <w:kern w:val="0"/>
                <w:sz w:val="24"/>
                <w:szCs w:val="24"/>
                <w:highlight w:val="none"/>
                <w:lang w:val="en-US" w:eastAsia="zh-CN" w:bidi="ar"/>
              </w:rPr>
              <w:t>有采购单位确认的</w:t>
            </w:r>
            <w:r>
              <w:rPr>
                <w:rFonts w:hint="eastAsia" w:ascii="仿宋" w:hAnsi="仿宋" w:eastAsia="仿宋" w:cs="仿宋"/>
                <w:b/>
                <w:bCs/>
                <w:color w:val="000000"/>
                <w:kern w:val="0"/>
                <w:sz w:val="24"/>
                <w:szCs w:val="24"/>
                <w:highlight w:val="none"/>
                <w:lang w:val="en-US" w:eastAsia="en-US" w:bidi="ar"/>
              </w:rPr>
              <w:t>现场勘探结果证明材料</w:t>
            </w:r>
            <w:r>
              <w:rPr>
                <w:rFonts w:hint="eastAsia" w:ascii="仿宋" w:hAnsi="仿宋" w:eastAsia="仿宋" w:cs="仿宋"/>
                <w:color w:val="000000"/>
                <w:kern w:val="0"/>
                <w:sz w:val="24"/>
                <w:szCs w:val="24"/>
                <w:highlight w:val="none"/>
                <w:lang w:val="en-US" w:eastAsia="zh-CN" w:bidi="ar"/>
              </w:rPr>
              <w:t>，评委</w:t>
            </w:r>
            <w:r>
              <w:rPr>
                <w:rFonts w:hint="eastAsia" w:ascii="仿宋" w:hAnsi="仿宋" w:eastAsia="仿宋" w:cs="仿宋"/>
                <w:bCs/>
                <w:color w:val="000000"/>
                <w:sz w:val="24"/>
                <w:szCs w:val="24"/>
                <w:highlight w:val="none"/>
              </w:rPr>
              <w:t>根据投标人对本项目工作内容调研充分，对项目服务范围充分了解，能提出项目当前的主要存在问题，并对存在问题提出确实可行的解决方案及应对措施进行综合评分。</w:t>
            </w:r>
            <w:r>
              <w:rPr>
                <w:rFonts w:hint="eastAsia" w:ascii="仿宋" w:hAnsi="仿宋" w:eastAsia="仿宋" w:cs="仿宋"/>
                <w:color w:val="000000"/>
                <w:sz w:val="24"/>
                <w:szCs w:val="24"/>
                <w:highlight w:val="none"/>
              </w:rPr>
              <w:t>（内容阐述详细，方案、措施合理明确，针对性及可行性强的得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]分；内容阐述较为详细，方案、措施较为合理明确，具有一定针对性及可行性的得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,3]分；内容阐述粗略，方案、措施不够全面、欠缺合理性，针对性及可行性较弱的得[0,1]分；</w:t>
            </w:r>
            <w:r>
              <w:rPr>
                <w:rFonts w:hint="eastAsia" w:ascii="仿宋" w:hAnsi="仿宋" w:eastAsia="仿宋" w:cs="仿宋"/>
                <w:color w:val="000000"/>
                <w:sz w:val="24"/>
                <w:szCs w:val="24"/>
                <w:highlight w:val="none"/>
                <w:lang w:val="zh-CN"/>
              </w:rPr>
              <w:t>未提供相关内容阐述或</w:t>
            </w:r>
            <w:r>
              <w:rPr>
                <w:rFonts w:hint="eastAsia" w:ascii="仿宋" w:hAnsi="仿宋" w:eastAsia="仿宋" w:cs="仿宋"/>
                <w:color w:val="000000"/>
                <w:sz w:val="24"/>
                <w:szCs w:val="24"/>
                <w:highlight w:val="none"/>
              </w:rPr>
              <w:t>与项目不符</w:t>
            </w:r>
            <w:r>
              <w:rPr>
                <w:rFonts w:hint="eastAsia" w:ascii="仿宋" w:hAnsi="仿宋" w:eastAsia="仿宋" w:cs="仿宋"/>
                <w:color w:val="000000"/>
                <w:sz w:val="24"/>
                <w:szCs w:val="24"/>
                <w:highlight w:val="none"/>
                <w:lang w:val="zh-CN"/>
              </w:rPr>
              <w:t>的不得分。</w:t>
            </w:r>
            <w:r>
              <w:rPr>
                <w:rFonts w:hint="eastAsia" w:ascii="仿宋" w:hAnsi="仿宋" w:eastAsia="仿宋" w:cs="仿宋"/>
                <w:color w:val="000000"/>
                <w:sz w:val="24"/>
                <w:szCs w:val="24"/>
                <w:highlight w:val="none"/>
              </w:rPr>
              <w:t>）</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699"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9</w:t>
            </w:r>
          </w:p>
        </w:tc>
        <w:tc>
          <w:tcPr>
            <w:tcW w:w="982"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本地化服务</w:t>
            </w:r>
          </w:p>
        </w:tc>
        <w:tc>
          <w:tcPr>
            <w:tcW w:w="7655"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left"/>
              <w:textAlignment w:val="auto"/>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根据投标人提供的本地化服务响应方案（包括服务响应承诺、</w:t>
            </w:r>
            <w:r>
              <w:rPr>
                <w:rFonts w:hint="eastAsia" w:ascii="仿宋" w:hAnsi="仿宋" w:eastAsia="仿宋" w:cs="仿宋"/>
                <w:color w:val="000000"/>
                <w:sz w:val="24"/>
                <w:szCs w:val="24"/>
                <w:highlight w:val="none"/>
              </w:rPr>
              <w:t>对拟投入的人员与设备制定具体本地服务工作计划安排、确保人员与设备及时到位并提供快速本地服务响应等保障措施）的全面性、合理可行性</w:t>
            </w:r>
            <w:r>
              <w:rPr>
                <w:rFonts w:hint="eastAsia" w:ascii="仿宋" w:hAnsi="仿宋" w:eastAsia="仿宋" w:cs="仿宋"/>
                <w:bCs/>
                <w:color w:val="000000"/>
                <w:sz w:val="24"/>
                <w:szCs w:val="24"/>
                <w:highlight w:val="none"/>
              </w:rPr>
              <w:t>进行综合评价。（方案阐述</w:t>
            </w:r>
            <w:r>
              <w:rPr>
                <w:rFonts w:hint="eastAsia" w:ascii="仿宋" w:hAnsi="仿宋" w:eastAsia="仿宋" w:cs="仿宋"/>
                <w:color w:val="000000"/>
                <w:sz w:val="24"/>
                <w:szCs w:val="24"/>
                <w:highlight w:val="none"/>
              </w:rPr>
              <w:t>详细全面、合理可行，能够充分保障及时有效服务响应的得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]分；方案部分内容阐述存在欠缺但基本全面、基本合理可行，能较好的保障及时有效服务响应的得</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,3]分；方案内容阐述粗略、缺陷较多</w:t>
            </w:r>
            <w:r>
              <w:rPr>
                <w:rFonts w:hint="eastAsia" w:ascii="仿宋" w:hAnsi="仿宋" w:eastAsia="仿宋" w:cs="仿宋"/>
                <w:bCs/>
                <w:color w:val="000000"/>
                <w:sz w:val="24"/>
                <w:szCs w:val="24"/>
                <w:highlight w:val="none"/>
              </w:rPr>
              <w:t>，措施合理可行性欠缺</w:t>
            </w:r>
            <w:r>
              <w:rPr>
                <w:rFonts w:hint="eastAsia" w:ascii="仿宋" w:hAnsi="仿宋" w:eastAsia="仿宋" w:cs="仿宋"/>
                <w:color w:val="000000"/>
                <w:sz w:val="24"/>
                <w:szCs w:val="24"/>
                <w:highlight w:val="none"/>
              </w:rPr>
              <w:t>，总体服务响应保障较为一般的得[0,1]分；方案未提供或与项目不符的不得分。）</w:t>
            </w:r>
          </w:p>
        </w:tc>
        <w:tc>
          <w:tcPr>
            <w:tcW w:w="828" w:type="dxa"/>
            <w:vAlign w:val="center"/>
          </w:tcPr>
          <w:p>
            <w:pPr>
              <w:keepNext w:val="0"/>
              <w:keepLines w:val="0"/>
              <w:pageBreakBefore w:val="0"/>
              <w:kinsoku/>
              <w:wordWrap/>
              <w:overflowPunct/>
              <w:topLinePunct w:val="0"/>
              <w:autoSpaceDE/>
              <w:autoSpaceDN/>
              <w:bidi w:val="0"/>
              <w:snapToGrid/>
              <w:spacing w:line="360" w:lineRule="exact"/>
              <w:ind w:left="0" w:leftChars="0" w:right="0" w:rightChars="0" w:firstLine="0" w:firstLineChars="0"/>
              <w:jc w:val="center"/>
              <w:textAlignment w:val="auto"/>
              <w:outlineLvl w:val="9"/>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5</w:t>
            </w:r>
          </w:p>
        </w:tc>
      </w:tr>
    </w:tbl>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82" w:firstLineChars="200"/>
        <w:textAlignment w:val="auto"/>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通过资格审查和符合性评审的投标人全部入围进行报价评审。</w:t>
      </w:r>
    </w:p>
    <w:p>
      <w:pPr>
        <w:keepNext w:val="0"/>
        <w:keepLines w:val="0"/>
        <w:pageBreakBefore w:val="0"/>
        <w:kinsoku/>
        <w:wordWrap/>
        <w:overflowPunct/>
        <w:topLinePunct w:val="0"/>
        <w:bidi w:val="0"/>
        <w:spacing w:line="360" w:lineRule="exact"/>
        <w:ind w:left="0" w:leftChars="0" w:right="0" w:rightChars="0" w:firstLine="482" w:firstLineChars="200"/>
        <w:textAlignment w:val="auto"/>
        <w:outlineLvl w:val="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二</w:t>
      </w:r>
      <w:r>
        <w:rPr>
          <w:rFonts w:hint="eastAsia" w:ascii="仿宋" w:hAnsi="仿宋" w:eastAsia="仿宋" w:cs="仿宋"/>
          <w:b/>
          <w:color w:val="000000"/>
          <w:sz w:val="24"/>
          <w:szCs w:val="24"/>
          <w:highlight w:val="none"/>
        </w:rPr>
        <w:t>、评标程序</w:t>
      </w:r>
    </w:p>
    <w:p>
      <w:pPr>
        <w:keepNext w:val="0"/>
        <w:keepLines w:val="0"/>
        <w:pageBreakBefore w:val="0"/>
        <w:kinsoku/>
        <w:wordWrap/>
        <w:overflowPunct/>
        <w:topLinePunct w:val="0"/>
        <w:bidi w:val="0"/>
        <w:spacing w:line="360" w:lineRule="exact"/>
        <w:ind w:left="0" w:leftChars="0" w:right="0" w:rightChars="0" w:firstLine="472" w:firstLineChars="196"/>
        <w:textAlignment w:val="auto"/>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.1符合性审查。</w:t>
      </w:r>
      <w:r>
        <w:rPr>
          <w:rFonts w:hint="eastAsia" w:ascii="仿宋" w:hAnsi="仿宋" w:eastAsia="仿宋" w:cs="仿宋"/>
          <w:color w:val="000000"/>
          <w:kern w:val="0"/>
          <w:sz w:val="24"/>
          <w:szCs w:val="24"/>
          <w:highlight w:val="none"/>
        </w:rPr>
        <w:t>评标委员会应当对符合资格的投标人的投标文件进行符合性审查，以确定其是否满足招标文件的实质性要求。不满足招标文件的实质性要求的，投标无效。</w:t>
      </w:r>
    </w:p>
    <w:p>
      <w:pPr>
        <w:keepNext w:val="0"/>
        <w:keepLines w:val="0"/>
        <w:pageBreakBefore w:val="0"/>
        <w:kinsoku/>
        <w:wordWrap/>
        <w:overflowPunct/>
        <w:topLinePunct w:val="0"/>
        <w:bidi w:val="0"/>
        <w:spacing w:line="360" w:lineRule="exact"/>
        <w:ind w:left="0" w:leftChars="0" w:right="0" w:rightChars="0" w:firstLine="472" w:firstLineChars="196"/>
        <w:textAlignment w:val="auto"/>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.2比较与评价。</w:t>
      </w:r>
      <w:r>
        <w:rPr>
          <w:rFonts w:hint="eastAsia" w:ascii="仿宋" w:hAnsi="仿宋" w:eastAsia="仿宋" w:cs="仿宋"/>
          <w:color w:val="000000"/>
          <w:kern w:val="0"/>
          <w:sz w:val="24"/>
          <w:szCs w:val="24"/>
          <w:highlight w:val="none"/>
        </w:rPr>
        <w:t>评标委员会应当按照招标文件中规定的评标方法和标准，对符合性审查合格的投标文件进行商务和技术评估，综合比较与评价。</w:t>
      </w:r>
    </w:p>
    <w:p>
      <w:pPr>
        <w:keepNext w:val="0"/>
        <w:keepLines w:val="0"/>
        <w:pageBreakBefore w:val="0"/>
        <w:kinsoku/>
        <w:wordWrap/>
        <w:overflowPunct/>
        <w:topLinePunct w:val="0"/>
        <w:bidi w:val="0"/>
        <w:spacing w:line="360" w:lineRule="exact"/>
        <w:ind w:left="0" w:leftChars="0" w:right="0" w:rightChars="0" w:firstLine="472" w:firstLineChars="196"/>
        <w:textAlignment w:val="auto"/>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.3汇总商务技术得分。</w:t>
      </w:r>
      <w:r>
        <w:rPr>
          <w:rFonts w:hint="eastAsia" w:ascii="仿宋" w:hAnsi="仿宋" w:eastAsia="仿宋" w:cs="仿宋"/>
          <w:color w:val="000000"/>
          <w:kern w:val="0"/>
          <w:sz w:val="24"/>
          <w:szCs w:val="24"/>
          <w:highlight w:val="none"/>
        </w:rPr>
        <w:t>评标委员会各成员应当独立对每个投标人的商务和技术文件进行评价，并汇总商务技术得分情况。</w:t>
      </w:r>
    </w:p>
    <w:p>
      <w:pPr>
        <w:keepNext w:val="0"/>
        <w:keepLines w:val="0"/>
        <w:pageBreakBefore w:val="0"/>
        <w:kinsoku/>
        <w:wordWrap/>
        <w:overflowPunct/>
        <w:topLinePunct w:val="0"/>
        <w:bidi w:val="0"/>
        <w:spacing w:line="360" w:lineRule="exact"/>
        <w:ind w:left="0" w:leftChars="0" w:right="0" w:rightChars="0" w:firstLine="472" w:firstLineChars="196"/>
        <w:textAlignment w:val="auto"/>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.4报价评审。</w:t>
      </w:r>
    </w:p>
    <w:p>
      <w:pPr>
        <w:pStyle w:val="132"/>
        <w:keepNext w:val="0"/>
        <w:keepLines w:val="0"/>
        <w:pageBreakBefore w:val="0"/>
        <w:kinsoku/>
        <w:wordWrap/>
        <w:overflowPunct/>
        <w:topLinePunct w:val="0"/>
        <w:bidi w:val="0"/>
        <w:spacing w:before="0" w:line="360" w:lineRule="exact"/>
        <w:ind w:left="0" w:leftChars="0" w:right="0" w:rightChars="0" w:firstLine="508" w:firstLineChars="212"/>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.4.1投标文件报价出现前后不一致的，按照下列规定修正：</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.4.1.1投标文件中开标一览表(报价表)内容与投标文件中相应内容不一致的，以开标一览表(报价表)为准;</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.4.1.2大写金额和小写金额不一致的，以大写金额为准;</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.4.1.3单价金额小数点或者百分比有明显错位的，以开标一览表的总价为准，并修改单价;</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.4.1.4总价金额与按单价汇总金额不一致的，以单价金额计算结果为准。</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.4.1.5同时出现两种以上不一致的，按照3.4.1规定的顺序修正。修正后的报价按照《政府采购货物和服务招标投标管理办法》（财政部令第87号）第五十一条第二款的规定经投标人确认后产生约束力。</w:t>
      </w:r>
    </w:p>
    <w:p>
      <w:pPr>
        <w:keepNext w:val="0"/>
        <w:keepLines w:val="0"/>
        <w:pageBreakBefore w:val="0"/>
        <w:kinsoku/>
        <w:wordWrap/>
        <w:overflowPunct/>
        <w:topLinePunct w:val="0"/>
        <w:bidi w:val="0"/>
        <w:snapToGrid w:val="0"/>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.4.2投标文件出现不是唯一的、有选择性投标报价的，投标无效。</w:t>
      </w:r>
    </w:p>
    <w:p>
      <w:pPr>
        <w:keepNext w:val="0"/>
        <w:keepLines w:val="0"/>
        <w:pageBreakBefore w:val="0"/>
        <w:kinsoku/>
        <w:wordWrap/>
        <w:overflowPunct/>
        <w:topLinePunct w:val="0"/>
        <w:bidi w:val="0"/>
        <w:snapToGrid w:val="0"/>
        <w:spacing w:line="360" w:lineRule="exact"/>
        <w:ind w:left="0" w:leftChars="0" w:right="0" w:rightChars="0" w:firstLine="480" w:firstLineChars="20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.4.3投标报价超过招标文件中规定的预算金额或者最高限价的，投标无效。</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2"/>
        <w:keepNext w:val="0"/>
        <w:keepLines w:val="0"/>
        <w:pageBreakBefore w:val="0"/>
        <w:kinsoku/>
        <w:wordWrap/>
        <w:overflowPunct/>
        <w:topLinePunct w:val="0"/>
        <w:bidi w:val="0"/>
        <w:spacing w:before="0" w:line="360" w:lineRule="exact"/>
        <w:ind w:left="0" w:leftChars="0" w:right="0" w:rightChars="0" w:firstLine="48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360" w:lineRule="exact"/>
        <w:ind w:left="0" w:leftChars="0" w:right="0" w:rightChars="0" w:firstLine="482"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.5排序与推荐。</w:t>
      </w:r>
      <w:r>
        <w:rPr>
          <w:rFonts w:hint="eastAsia" w:ascii="仿宋" w:hAnsi="仿宋" w:eastAsia="仿宋" w:cs="仿宋"/>
          <w:color w:val="000000"/>
          <w:kern w:val="0"/>
          <w:sz w:val="24"/>
          <w:szCs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本项目只推荐评审综合得分最高的投标人为中标候选人。</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b/>
          <w:color w:val="000000"/>
          <w:kern w:val="0"/>
          <w:sz w:val="24"/>
          <w:szCs w:val="24"/>
          <w:highlight w:val="none"/>
        </w:rPr>
      </w:pPr>
      <w:r>
        <w:rPr>
          <w:rFonts w:hint="eastAsia" w:ascii="仿宋" w:hAnsi="仿宋" w:eastAsia="仿宋" w:cs="仿宋"/>
          <w:color w:val="000000"/>
          <w:kern w:val="0"/>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kinsoku/>
        <w:wordWrap/>
        <w:overflowPunct/>
        <w:topLinePunct w:val="0"/>
        <w:bidi w:val="0"/>
        <w:spacing w:line="360" w:lineRule="exact"/>
        <w:ind w:left="0" w:leftChars="0" w:right="0" w:rightChars="0" w:firstLine="472" w:firstLineChars="196"/>
        <w:textAlignment w:val="auto"/>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2</w:t>
      </w:r>
      <w:r>
        <w:rPr>
          <w:rFonts w:hint="eastAsia" w:ascii="仿宋" w:hAnsi="仿宋" w:eastAsia="仿宋" w:cs="仿宋"/>
          <w:b/>
          <w:color w:val="000000"/>
          <w:kern w:val="0"/>
          <w:sz w:val="24"/>
          <w:szCs w:val="24"/>
          <w:highlight w:val="none"/>
        </w:rPr>
        <w:t>.6编写评标报告。</w:t>
      </w:r>
      <w:r>
        <w:rPr>
          <w:rFonts w:hint="eastAsia" w:ascii="仿宋" w:hAnsi="仿宋" w:eastAsia="仿宋" w:cs="仿宋"/>
          <w:color w:val="000000"/>
          <w:kern w:val="0"/>
          <w:sz w:val="24"/>
          <w:szCs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val="0"/>
        <w:autoSpaceDN w:val="0"/>
        <w:bidi w:val="0"/>
        <w:adjustRightInd/>
        <w:snapToGrid/>
        <w:spacing w:line="360" w:lineRule="exact"/>
        <w:ind w:left="0" w:leftChars="0" w:right="0" w:rightChars="0" w:firstLine="482" w:firstLineChars="200"/>
        <w:jc w:val="left"/>
        <w:textAlignment w:val="auto"/>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三</w:t>
      </w:r>
      <w:r>
        <w:rPr>
          <w:rFonts w:hint="eastAsia" w:ascii="仿宋" w:hAnsi="仿宋" w:eastAsia="仿宋" w:cs="仿宋"/>
          <w:b/>
          <w:color w:val="000000"/>
          <w:sz w:val="24"/>
          <w:szCs w:val="24"/>
          <w:highlight w:val="none"/>
        </w:rPr>
        <w:t>、评标中的其他事项</w:t>
      </w:r>
    </w:p>
    <w:p>
      <w:pPr>
        <w:pStyle w:val="132"/>
        <w:keepNext w:val="0"/>
        <w:keepLines w:val="0"/>
        <w:pageBreakBefore w:val="0"/>
        <w:widowControl w:val="0"/>
        <w:kinsoku/>
        <w:wordWrap/>
        <w:overflowPunct/>
        <w:topLinePunct w:val="0"/>
        <w:autoSpaceDE w:val="0"/>
        <w:autoSpaceDN w:val="0"/>
        <w:bidi w:val="0"/>
        <w:adjustRightInd w:val="0"/>
        <w:snapToGrid/>
        <w:spacing w:before="0" w:line="360" w:lineRule="exact"/>
        <w:ind w:left="0" w:leftChars="0" w:right="0" w:rightChars="0" w:firstLine="472" w:firstLineChars="196"/>
        <w:jc w:val="left"/>
        <w:textAlignment w:val="auto"/>
        <w:outlineLvl w:val="9"/>
        <w:rPr>
          <w:rFonts w:hint="eastAsia" w:ascii="仿宋" w:hAnsi="仿宋" w:eastAsia="仿宋" w:cs="仿宋"/>
          <w:color w:val="000000"/>
          <w:kern w:val="0"/>
          <w:sz w:val="24"/>
          <w:szCs w:val="24"/>
          <w:highlight w:val="none"/>
        </w:rPr>
      </w:pPr>
      <w:r>
        <w:rPr>
          <w:rFonts w:hint="eastAsia" w:ascii="仿宋" w:hAnsi="仿宋" w:eastAsia="仿宋" w:cs="仿宋"/>
          <w:b/>
          <w:color w:val="000000"/>
          <w:kern w:val="0"/>
          <w:sz w:val="24"/>
          <w:szCs w:val="24"/>
          <w:highlight w:val="none"/>
          <w:lang w:val="en-US" w:eastAsia="zh-CN"/>
        </w:rPr>
        <w:t>3</w:t>
      </w:r>
      <w:r>
        <w:rPr>
          <w:rFonts w:hint="eastAsia" w:ascii="仿宋" w:hAnsi="仿宋" w:eastAsia="仿宋" w:cs="仿宋"/>
          <w:b/>
          <w:color w:val="000000"/>
          <w:kern w:val="0"/>
          <w:sz w:val="24"/>
          <w:szCs w:val="24"/>
          <w:highlight w:val="none"/>
        </w:rPr>
        <w:t>.1投标人澄清、说明或者补正。</w:t>
      </w:r>
      <w:r>
        <w:rPr>
          <w:rFonts w:hint="eastAsia" w:ascii="仿宋" w:hAnsi="仿宋" w:eastAsia="仿宋" w:cs="仿宋"/>
          <w:color w:val="000000"/>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w:t>
      </w:r>
      <w:r>
        <w:rPr>
          <w:rFonts w:hint="eastAsia" w:ascii="仿宋" w:hAnsi="仿宋" w:eastAsia="仿宋" w:cs="仿宋"/>
          <w:color w:val="000000"/>
          <w:kern w:val="0"/>
          <w:sz w:val="24"/>
          <w:szCs w:val="24"/>
          <w:highlight w:val="none"/>
          <w:lang w:eastAsia="zh-CN"/>
        </w:rPr>
        <w:t>加盖CA签章</w:t>
      </w:r>
      <w:r>
        <w:rPr>
          <w:rFonts w:hint="eastAsia" w:ascii="仿宋" w:hAnsi="仿宋" w:eastAsia="仿宋" w:cs="仿宋"/>
          <w:color w:val="000000"/>
          <w:kern w:val="0"/>
          <w:sz w:val="24"/>
          <w:szCs w:val="24"/>
          <w:highlight w:val="none"/>
        </w:rPr>
        <w:t>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8"/>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b/>
          <w:color w:val="000000"/>
          <w:kern w:val="0"/>
          <w:sz w:val="24"/>
          <w:szCs w:val="24"/>
          <w:highlight w:val="none"/>
          <w:lang w:val="en-US" w:eastAsia="zh-CN" w:bidi="ar-SA"/>
        </w:rPr>
        <w:t>3.2投标无效。</w:t>
      </w:r>
      <w:r>
        <w:rPr>
          <w:rFonts w:hint="eastAsia" w:ascii="仿宋" w:hAnsi="仿宋" w:eastAsia="仿宋" w:cs="仿宋"/>
          <w:color w:val="000000"/>
          <w:kern w:val="0"/>
          <w:sz w:val="24"/>
          <w:szCs w:val="24"/>
          <w:highlight w:val="none"/>
          <w:lang w:val="en-US" w:eastAsia="zh-CN" w:bidi="ar-SA"/>
        </w:rPr>
        <w:t>有下列情况之一的，投标无效</w:t>
      </w:r>
      <w:r>
        <w:rPr>
          <w:rFonts w:hint="eastAsia" w:ascii="仿宋" w:hAnsi="仿宋" w:eastAsia="仿宋" w:cs="仿宋"/>
          <w:color w:val="000000"/>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480" w:firstLineChars="200"/>
        <w:jc w:val="left"/>
        <w:textAlignment w:val="auto"/>
        <w:outlineLvl w:val="9"/>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.2.1投标人不具备招标文件中规定的资格要求的（投标人未提供有效的资格文件的，视为投标人不具备招标文件中规定的资格要求）；</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.2.2投标文件未按照招标文件要求签署、盖章的；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.2.3采购人拟采购的产品属于政府强制采购的节能产品品目清单范围的，投标人未按招标文件要求提供国家确定的认证机构出具的、处于有效期之内的节能产品认证证书的；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.2.4投标文件含有采购人不能接受的附加条件的；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.2.5投标文件中承诺的投标有效期少于招标文件中载明的投标有效期的；</w:t>
      </w:r>
    </w:p>
    <w:p>
      <w:pPr>
        <w:keepNext w:val="0"/>
        <w:keepLines w:val="0"/>
        <w:pageBreakBefore w:val="0"/>
        <w:kinsoku/>
        <w:wordWrap/>
        <w:overflowPunct/>
        <w:topLinePunct w:val="0"/>
        <w:bidi w:val="0"/>
        <w:snapToGrid w:val="0"/>
        <w:spacing w:line="360" w:lineRule="exact"/>
        <w:ind w:left="0" w:leftChars="0" w:right="0" w:rightChars="0" w:firstLine="120" w:firstLineChars="5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xml:space="preserve">   </w:t>
      </w: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.2.6投标文件出现不是唯一的、有选择性投标报价的;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.2.7投标报价超过招标文件中规定的预算金额或者最高限价的;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.2.8报价明显低于其他通过符合性审查投标人的报价，有可能影响产品质量或者不能诚信履约的，未能按要求提供书面说明或者提交相关证明材料，不能证明其报价合理性的;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.2.9投标人对根据修正原则修正后的报价不确认的；</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.2.10投标人提供虚假材料投标的；</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firstLine="240" w:firstLineChars="1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xml:space="preserve">  </w:t>
      </w: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.2.11投标人有恶意串通、妨碍其他投标人的竞争行为、损害采购人或者其他投标人的合法权益情形的；</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.2.12投标人仅提交备份投标文件，没有在电子交易平台传输递交投标文件的，投标无效；</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rPr>
      </w:pPr>
      <w:r>
        <w:rPr>
          <w:rFonts w:hint="eastAsia" w:ascii="仿宋" w:hAnsi="仿宋" w:eastAsia="仿宋" w:cs="仿宋"/>
          <w:b w:val="0"/>
          <w:bCs w:val="0"/>
          <w:color w:val="000000"/>
          <w:kern w:val="0"/>
          <w:sz w:val="24"/>
          <w:szCs w:val="24"/>
          <w:highlight w:val="none"/>
          <w:lang w:val="en-US" w:eastAsia="zh-CN"/>
        </w:rPr>
        <w:t>3</w:t>
      </w:r>
      <w:r>
        <w:rPr>
          <w:rFonts w:hint="eastAsia" w:ascii="仿宋" w:hAnsi="仿宋" w:eastAsia="仿宋" w:cs="仿宋"/>
          <w:b w:val="0"/>
          <w:bCs w:val="0"/>
          <w:color w:val="000000"/>
          <w:kern w:val="0"/>
          <w:sz w:val="24"/>
          <w:szCs w:val="24"/>
          <w:highlight w:val="none"/>
          <w:lang w:val="en-US"/>
        </w:rPr>
        <w:t>.2.13 投标文件不满足招标文件的其它实质性要求的；</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.2.14法律、法规、规章（适用本市的）及省级以上规范性文件（适用本市的）规定的其他无效情形。</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kern w:val="0"/>
          <w:sz w:val="24"/>
          <w:szCs w:val="24"/>
          <w:highlight w:val="none"/>
          <w:lang w:val="en-US" w:eastAsia="zh-CN" w:bidi="ar-SA"/>
        </w:rPr>
        <w:t>3.3.废标</w:t>
      </w:r>
      <w:r>
        <w:rPr>
          <w:rFonts w:hint="eastAsia" w:ascii="仿宋" w:hAnsi="仿宋" w:eastAsia="仿宋" w:cs="仿宋"/>
          <w:b/>
          <w:color w:val="000000"/>
          <w:sz w:val="24"/>
          <w:szCs w:val="24"/>
          <w:highlight w:val="none"/>
        </w:rPr>
        <w:t>。</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根据《中华人民共和国政府采购法》第三十六条之规定，在采购中，出现下列情形之一的，应予废标：</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3.3.1符合专业条件的供应商或者对招标文件作实质响应的供应商不足3家的；</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3.3.2出现影响采购公正的违法、违规行为的；</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3.3.3投标人的报价均超过了采购预算，采购人不能支付的；</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3.3.4因重大变故，采购任务取消的。</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废标后，采购代理机构应当将废标理由通知所有投标人。</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3.4.修改招标文件，重新组织采购活动。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3.5.重新开展采购。有政府采购法第七十一条、第七十二条规定的违法行为之一，影响或者可能影响中标、成交结果的，依照下列规定处理：</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3.5.1未确定中标或者中标人的，终止本次政府采购活动，重新开展政府采购活动。</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3.5.2已确定中标或者中标人但尚未签订政府采购合同的，中标或者成交结果无效，从合格的中标或者成交候选人中另行确定中标或者中标人；没有合格的中标或者成交候选人的，重新开展政府采购活动。</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3.5.3政府采购合同已签订但尚未履行的，撤销合同，从合格的中标或者成交候选人中另行确定中标或者中标人；没有合格的中标或者成交候选人的，重新开展政府采购活动。</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3.5.4政府采购合同已经履行，给采购人、供应商造成损失的，由责任人承担赔偿责任。</w:t>
      </w:r>
    </w:p>
    <w:p>
      <w:pPr>
        <w:pStyle w:val="8"/>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80" w:firstLineChars="200"/>
        <w:textAlignment w:val="auto"/>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3.5.5政府采购当事人有其他违反政府采购法或者政府采购法实施条例等法律法规规定的行为，经改正后仍然影响或者可能影响中标、成交结果或者依法被认定为中标、成交无效的，依照3.5.1-3.5.4规定处理。</w:t>
      </w:r>
    </w:p>
    <w:p>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pStyle w:val="2"/>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pStyle w:val="2"/>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pStyle w:val="2"/>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pStyle w:val="2"/>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pStyle w:val="2"/>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ascii="仿宋" w:hAnsi="仿宋" w:eastAsia="仿宋" w:cs="仿宋"/>
          <w:b/>
          <w:color w:val="000000" w:themeColor="text1"/>
          <w:sz w:val="36"/>
          <w:szCs w:val="36"/>
          <w:highlight w:val="none"/>
          <w:lang w:val="en-US" w:eastAsia="zh-CN"/>
          <w14:textFill>
            <w14:solidFill>
              <w14:schemeClr w14:val="tx1"/>
            </w14:solidFill>
          </w14:textFill>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第五部分  </w:t>
      </w:r>
      <w:r>
        <w:rPr>
          <w:rFonts w:hint="eastAsia" w:ascii="仿宋" w:hAnsi="仿宋" w:eastAsia="仿宋" w:cs="仿宋"/>
          <w:b/>
          <w:color w:val="000000" w:themeColor="text1"/>
          <w:sz w:val="36"/>
          <w:szCs w:val="36"/>
          <w:highlight w:val="none"/>
          <w14:textFill>
            <w14:solidFill>
              <w14:schemeClr w14:val="tx1"/>
            </w14:solidFill>
          </w14:textFill>
        </w:rPr>
        <w:t>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5"/>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spacing w:before="120" w:line="22" w:lineRule="atLeast"/>
        <w:rPr>
          <w:rFonts w:hint="eastAsia" w:ascii="仿宋" w:hAnsi="仿宋" w:eastAsia="仿宋" w:cs="仿宋"/>
          <w:szCs w:val="24"/>
        </w:rPr>
      </w:pPr>
    </w:p>
    <w:p>
      <w:pPr>
        <w:pStyle w:val="599"/>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2" w:name="_Toc20421"/>
      <w:bookmarkStart w:id="43" w:name="_Toc19273"/>
      <w:bookmarkStart w:id="44" w:name="_Toc15367"/>
      <w:bookmarkStart w:id="45" w:name="_Toc28855"/>
      <w:bookmarkStart w:id="46" w:name="_Toc22967"/>
      <w:r>
        <w:rPr>
          <w:rFonts w:hint="eastAsia" w:ascii="仿宋" w:hAnsi="仿宋" w:eastAsia="仿宋" w:cs="仿宋"/>
          <w:b/>
          <w:sz w:val="24"/>
        </w:rPr>
        <w:t>1.1 合同组成部分</w:t>
      </w:r>
      <w:bookmarkEnd w:id="42"/>
      <w:bookmarkEnd w:id="43"/>
      <w:bookmarkEnd w:id="44"/>
      <w:bookmarkEnd w:id="45"/>
      <w:bookmarkEnd w:id="4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7" w:name="_Toc6773"/>
      <w:bookmarkStart w:id="48" w:name="_Toc18585"/>
      <w:bookmarkStart w:id="49" w:name="_Toc2918"/>
      <w:bookmarkStart w:id="50" w:name="_Toc22185"/>
      <w:bookmarkStart w:id="51" w:name="_Toc6311"/>
      <w:r>
        <w:rPr>
          <w:rFonts w:hint="eastAsia" w:ascii="仿宋" w:hAnsi="仿宋" w:eastAsia="仿宋" w:cs="仿宋"/>
          <w:b/>
          <w:sz w:val="24"/>
        </w:rPr>
        <w:t>1.2 标的</w:t>
      </w:r>
      <w:bookmarkEnd w:id="47"/>
      <w:bookmarkEnd w:id="48"/>
      <w:bookmarkEnd w:id="49"/>
      <w:bookmarkEnd w:id="50"/>
      <w:bookmarkEnd w:id="5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2" w:name="_Toc5635"/>
      <w:bookmarkStart w:id="53" w:name="_Toc1386"/>
      <w:bookmarkStart w:id="54" w:name="_Toc4929"/>
      <w:bookmarkStart w:id="55" w:name="_Toc13918"/>
      <w:bookmarkStart w:id="56"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73"/>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7" w:name="_Toc26916"/>
      <w:bookmarkStart w:id="58" w:name="_Toc30158"/>
      <w:bookmarkStart w:id="59" w:name="_Toc3654"/>
      <w:bookmarkStart w:id="60" w:name="_Toc14993"/>
      <w:bookmarkStart w:id="6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7"/>
    <w:bookmarkEnd w:id="58"/>
    <w:bookmarkEnd w:id="59"/>
    <w:bookmarkEnd w:id="60"/>
    <w:bookmarkEnd w:id="61"/>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2" w:name="_Toc22618"/>
      <w:bookmarkStart w:id="63" w:name="_Toc1814"/>
      <w:bookmarkStart w:id="64" w:name="_Toc10340"/>
      <w:bookmarkStart w:id="65" w:name="_Toc8772"/>
      <w:bookmarkStart w:id="66" w:name="_Toc3625"/>
      <w:bookmarkStart w:id="67" w:name="_Toc11108"/>
      <w:bookmarkStart w:id="68" w:name="_Toc4760"/>
      <w:bookmarkStart w:id="69" w:name="_Toc31421"/>
      <w:r>
        <w:rPr>
          <w:rFonts w:hint="eastAsia" w:ascii="仿宋" w:hAnsi="仿宋" w:eastAsia="仿宋" w:cs="仿宋"/>
          <w:b/>
        </w:rPr>
        <w:t>1.4履约保证金</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2"/>
      <w:bookmarkEnd w:id="63"/>
      <w:bookmarkEnd w:id="64"/>
      <w:r>
        <w:rPr>
          <w:rFonts w:hint="eastAsia" w:ascii="仿宋" w:hAnsi="仿宋" w:eastAsia="仿宋" w:cs="仿宋"/>
          <w:b/>
          <w:sz w:val="24"/>
        </w:rPr>
        <w:t>预付款</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5"/>
      <w:bookmarkEnd w:id="66"/>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0" w:name="_Toc3079"/>
      <w:bookmarkStart w:id="71" w:name="_Toc5698"/>
      <w:bookmarkStart w:id="72" w:name="_Toc2375"/>
      <w:bookmarkStart w:id="73" w:name="_Toc24662"/>
      <w:bookmarkStart w:id="74" w:name="_Toc8586"/>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0"/>
      <w:bookmarkEnd w:id="71"/>
      <w:bookmarkEnd w:id="72"/>
      <w:bookmarkEnd w:id="73"/>
      <w:bookmarkEnd w:id="7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5" w:name="_Toc32454"/>
      <w:bookmarkStart w:id="76" w:name="_Toc18683"/>
      <w:bookmarkStart w:id="77" w:name="_Toc26807"/>
      <w:bookmarkStart w:id="78" w:name="_Toc9497"/>
      <w:bookmarkStart w:id="79"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5"/>
    <w:bookmarkEnd w:id="76"/>
    <w:bookmarkEnd w:id="77"/>
    <w:bookmarkEnd w:id="78"/>
    <w:bookmarkEnd w:id="79"/>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0" w:name="_Toc16021"/>
      <w:bookmarkStart w:id="81" w:name="_Toc28375"/>
      <w:bookmarkStart w:id="82" w:name="_Toc15583"/>
      <w:r>
        <w:rPr>
          <w:rFonts w:hint="eastAsia" w:ascii="仿宋" w:hAnsi="仿宋" w:eastAsia="仿宋" w:cs="仿宋"/>
          <w:b/>
          <w:sz w:val="24"/>
        </w:rPr>
        <w:t>1.9合同争议的解决</w:t>
      </w:r>
      <w:bookmarkEnd w:id="80"/>
      <w:bookmarkEnd w:id="81"/>
      <w:bookmarkEnd w:id="8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3" w:name="_Toc11173"/>
      <w:bookmarkStart w:id="84" w:name="_Toc7245"/>
      <w:bookmarkStart w:id="85" w:name="_Toc15322"/>
      <w:r>
        <w:rPr>
          <w:rFonts w:hint="eastAsia" w:ascii="仿宋" w:hAnsi="仿宋" w:eastAsia="仿宋" w:cs="仿宋"/>
          <w:b/>
          <w:sz w:val="24"/>
        </w:rPr>
        <w:t>2.0 合同生效</w:t>
      </w:r>
      <w:bookmarkEnd w:id="83"/>
      <w:bookmarkEnd w:id="84"/>
      <w:bookmarkEnd w:id="8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2"/>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86" w:name="_Toc14021"/>
      <w:bookmarkStart w:id="87" w:name="_Toc5228"/>
      <w:bookmarkStart w:id="88" w:name="_Toc31297"/>
      <w:bookmarkStart w:id="89" w:name="_Toc25079"/>
      <w:bookmarkStart w:id="90" w:name="_Toc19680"/>
      <w:r>
        <w:rPr>
          <w:rFonts w:hint="eastAsia" w:ascii="仿宋" w:hAnsi="仿宋" w:eastAsia="仿宋" w:cs="仿宋"/>
          <w:b/>
          <w:sz w:val="24"/>
        </w:rPr>
        <w:t>2.1 定义</w:t>
      </w:r>
      <w:bookmarkEnd w:id="86"/>
      <w:bookmarkEnd w:id="87"/>
      <w:bookmarkEnd w:id="88"/>
      <w:bookmarkEnd w:id="89"/>
      <w:bookmarkEnd w:id="9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91" w:name="_Toc23289"/>
      <w:bookmarkStart w:id="92" w:name="_Toc16752"/>
      <w:bookmarkStart w:id="93" w:name="_Toc19539"/>
      <w:bookmarkStart w:id="94" w:name="_Toc31402"/>
      <w:bookmarkStart w:id="95" w:name="_Toc3769"/>
      <w:r>
        <w:rPr>
          <w:rFonts w:hint="eastAsia" w:ascii="仿宋" w:hAnsi="仿宋" w:eastAsia="仿宋" w:cs="仿宋"/>
          <w:b/>
          <w:sz w:val="24"/>
        </w:rPr>
        <w:t>2.2 技术规范</w:t>
      </w:r>
      <w:bookmarkEnd w:id="91"/>
      <w:bookmarkEnd w:id="92"/>
      <w:bookmarkEnd w:id="93"/>
      <w:bookmarkEnd w:id="94"/>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96" w:name="_Toc27945"/>
      <w:bookmarkStart w:id="97" w:name="_Toc13673"/>
      <w:bookmarkStart w:id="98" w:name="_Toc12412"/>
      <w:bookmarkStart w:id="99" w:name="_Toc4133"/>
      <w:bookmarkStart w:id="100" w:name="_Toc9161"/>
      <w:r>
        <w:rPr>
          <w:rFonts w:hint="eastAsia" w:ascii="仿宋" w:hAnsi="仿宋" w:eastAsia="仿宋" w:cs="仿宋"/>
          <w:b/>
          <w:sz w:val="24"/>
        </w:rPr>
        <w:t>2.3 知识产权</w:t>
      </w:r>
      <w:bookmarkEnd w:id="96"/>
      <w:bookmarkEnd w:id="97"/>
      <w:bookmarkEnd w:id="98"/>
      <w:bookmarkEnd w:id="99"/>
      <w:bookmarkEnd w:id="10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101" w:name="_Toc31233"/>
      <w:bookmarkStart w:id="102" w:name="_Toc26555"/>
      <w:bookmarkStart w:id="103" w:name="_Toc15447"/>
      <w:bookmarkStart w:id="104" w:name="_Toc32670"/>
      <w:bookmarkStart w:id="105" w:name="_Toc22011"/>
      <w:r>
        <w:rPr>
          <w:rFonts w:hint="eastAsia" w:ascii="仿宋" w:hAnsi="仿宋" w:eastAsia="仿宋" w:cs="仿宋"/>
          <w:b/>
          <w:sz w:val="24"/>
        </w:rPr>
        <w:t>2.5 结算方式和付款条件</w:t>
      </w:r>
      <w:bookmarkEnd w:id="101"/>
      <w:bookmarkEnd w:id="102"/>
      <w:bookmarkEnd w:id="103"/>
      <w:bookmarkEnd w:id="104"/>
      <w:bookmarkEnd w:id="10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06" w:name="_Toc13154"/>
      <w:bookmarkStart w:id="107" w:name="_Toc30507"/>
      <w:bookmarkStart w:id="108" w:name="_Toc18990"/>
      <w:bookmarkStart w:id="109" w:name="_Toc16163"/>
      <w:bookmarkStart w:id="110" w:name="_Toc13467"/>
      <w:r>
        <w:rPr>
          <w:rFonts w:hint="eastAsia" w:ascii="仿宋" w:hAnsi="仿宋" w:eastAsia="仿宋" w:cs="仿宋"/>
          <w:b/>
          <w:sz w:val="24"/>
        </w:rPr>
        <w:t>2.6 技术资料和保密义务</w:t>
      </w:r>
      <w:bookmarkEnd w:id="106"/>
      <w:bookmarkEnd w:id="107"/>
      <w:bookmarkEnd w:id="108"/>
      <w:bookmarkEnd w:id="109"/>
      <w:bookmarkEnd w:id="1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11" w:name="_Toc19069"/>
      <w:r>
        <w:rPr>
          <w:rFonts w:hint="eastAsia" w:ascii="仿宋" w:hAnsi="仿宋" w:eastAsia="仿宋" w:cs="仿宋"/>
          <w:b/>
          <w:sz w:val="24"/>
        </w:rPr>
        <w:t>2.7 质量保证</w:t>
      </w:r>
      <w:bookmarkEnd w:id="11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12" w:name="_Toc22267"/>
      <w:r>
        <w:rPr>
          <w:rFonts w:hint="eastAsia" w:ascii="仿宋" w:hAnsi="仿宋" w:eastAsia="仿宋" w:cs="仿宋"/>
          <w:b/>
          <w:sz w:val="24"/>
        </w:rPr>
        <w:t>2.8 延迟履行</w:t>
      </w:r>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13" w:name="_Toc10611"/>
      <w:r>
        <w:rPr>
          <w:rFonts w:hint="eastAsia" w:ascii="仿宋" w:hAnsi="仿宋" w:eastAsia="仿宋" w:cs="仿宋"/>
          <w:b/>
          <w:sz w:val="24"/>
        </w:rPr>
        <w:t>2.9 合同变更</w:t>
      </w:r>
      <w:bookmarkEnd w:id="11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14" w:name="_Toc10663"/>
      <w:bookmarkStart w:id="115" w:name="_Toc23368"/>
      <w:bookmarkStart w:id="116" w:name="_Toc42"/>
      <w:bookmarkStart w:id="117" w:name="_Toc21830"/>
      <w:bookmarkStart w:id="118" w:name="_Toc26689"/>
      <w:r>
        <w:rPr>
          <w:rFonts w:hint="eastAsia" w:ascii="仿宋" w:hAnsi="仿宋" w:eastAsia="仿宋" w:cs="仿宋"/>
          <w:b/>
          <w:sz w:val="24"/>
        </w:rPr>
        <w:t>2.10 合同转让和分包</w:t>
      </w:r>
      <w:bookmarkEnd w:id="114"/>
      <w:bookmarkEnd w:id="115"/>
      <w:bookmarkEnd w:id="116"/>
      <w:bookmarkEnd w:id="117"/>
      <w:bookmarkEnd w:id="11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19" w:name="_Toc32494"/>
      <w:bookmarkStart w:id="120" w:name="_Toc4720"/>
      <w:bookmarkStart w:id="121" w:name="_Toc26633"/>
      <w:bookmarkStart w:id="122" w:name="_Toc14371"/>
      <w:bookmarkStart w:id="123" w:name="_Toc25571"/>
      <w:r>
        <w:rPr>
          <w:rFonts w:hint="eastAsia" w:ascii="仿宋" w:hAnsi="仿宋" w:eastAsia="仿宋" w:cs="仿宋"/>
          <w:b/>
          <w:sz w:val="24"/>
        </w:rPr>
        <w:t>2.11 不可抗力</w:t>
      </w:r>
      <w:bookmarkEnd w:id="119"/>
      <w:bookmarkEnd w:id="120"/>
      <w:bookmarkEnd w:id="121"/>
      <w:bookmarkEnd w:id="122"/>
      <w:bookmarkEnd w:id="12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24" w:name="_Toc25783"/>
      <w:bookmarkStart w:id="125" w:name="_Toc24465"/>
      <w:bookmarkStart w:id="126" w:name="_Toc3638"/>
      <w:bookmarkStart w:id="127" w:name="_Toc23854"/>
      <w:bookmarkStart w:id="128" w:name="_Toc14115"/>
      <w:r>
        <w:rPr>
          <w:rFonts w:hint="eastAsia" w:ascii="仿宋" w:hAnsi="仿宋" w:eastAsia="仿宋" w:cs="仿宋"/>
          <w:b/>
          <w:sz w:val="24"/>
        </w:rPr>
        <w:t>2.12 税费</w:t>
      </w:r>
      <w:bookmarkEnd w:id="124"/>
      <w:bookmarkEnd w:id="125"/>
      <w:bookmarkEnd w:id="126"/>
      <w:bookmarkEnd w:id="127"/>
      <w:bookmarkEnd w:id="12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29" w:name="_Toc30105"/>
      <w:bookmarkStart w:id="130" w:name="_Toc26883"/>
      <w:bookmarkStart w:id="131" w:name="_Toc7315"/>
      <w:bookmarkStart w:id="132" w:name="_Toc14814"/>
      <w:bookmarkStart w:id="133" w:name="_Toc25525"/>
      <w:r>
        <w:rPr>
          <w:rFonts w:hint="eastAsia" w:ascii="仿宋" w:hAnsi="仿宋" w:eastAsia="仿宋" w:cs="仿宋"/>
          <w:b/>
          <w:sz w:val="24"/>
        </w:rPr>
        <w:t>2.13 乙方破产</w:t>
      </w:r>
      <w:bookmarkEnd w:id="129"/>
      <w:bookmarkEnd w:id="130"/>
      <w:bookmarkEnd w:id="131"/>
      <w:bookmarkEnd w:id="132"/>
      <w:bookmarkEnd w:id="13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34" w:name="_Toc2016"/>
      <w:bookmarkStart w:id="135" w:name="_Toc1123"/>
      <w:bookmarkStart w:id="136" w:name="_Toc23323"/>
      <w:r>
        <w:rPr>
          <w:rFonts w:hint="eastAsia" w:ascii="仿宋" w:hAnsi="仿宋" w:eastAsia="仿宋" w:cs="仿宋"/>
          <w:b/>
          <w:sz w:val="24"/>
        </w:rPr>
        <w:t>2.14 合同中止、终止</w:t>
      </w:r>
      <w:bookmarkEnd w:id="134"/>
      <w:bookmarkEnd w:id="135"/>
      <w:bookmarkEnd w:id="13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37" w:name="_Toc17363"/>
      <w:bookmarkStart w:id="138" w:name="_Toc1969"/>
      <w:bookmarkStart w:id="139" w:name="_Toc14525"/>
      <w:r>
        <w:rPr>
          <w:rFonts w:hint="eastAsia" w:ascii="仿宋" w:hAnsi="仿宋" w:eastAsia="仿宋" w:cs="仿宋"/>
          <w:b/>
          <w:sz w:val="24"/>
        </w:rPr>
        <w:t>2.15 检验和验收</w:t>
      </w:r>
      <w:bookmarkEnd w:id="137"/>
      <w:bookmarkEnd w:id="138"/>
      <w:bookmarkEnd w:id="139"/>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40" w:name="_Toc9808"/>
      <w:bookmarkStart w:id="141" w:name="_Toc25198"/>
      <w:bookmarkStart w:id="142" w:name="_Toc2308"/>
      <w:bookmarkStart w:id="143" w:name="_Toc12666"/>
      <w:bookmarkStart w:id="144" w:name="_Toc31892"/>
      <w:r>
        <w:rPr>
          <w:rFonts w:hint="eastAsia" w:ascii="仿宋" w:hAnsi="仿宋" w:eastAsia="仿宋" w:cs="仿宋"/>
          <w:b/>
          <w:sz w:val="24"/>
        </w:rPr>
        <w:t>2.16 通知和送达</w:t>
      </w:r>
      <w:bookmarkEnd w:id="140"/>
      <w:bookmarkEnd w:id="141"/>
      <w:bookmarkEnd w:id="142"/>
      <w:bookmarkEnd w:id="143"/>
      <w:bookmarkEnd w:id="144"/>
    </w:p>
    <w:p>
      <w:pPr>
        <w:spacing w:line="560" w:lineRule="exact"/>
        <w:ind w:firstLine="480" w:firstLineChars="200"/>
        <w:rPr>
          <w:rFonts w:hint="eastAsia" w:ascii="仿宋" w:hAnsi="仿宋" w:eastAsia="仿宋" w:cs="仿宋"/>
          <w:sz w:val="24"/>
        </w:rPr>
      </w:pPr>
      <w:bookmarkStart w:id="145" w:name="_Toc18401"/>
      <w:bookmarkStart w:id="146"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pPr>
        <w:spacing w:line="560" w:lineRule="exact"/>
        <w:ind w:firstLine="482" w:firstLineChars="200"/>
        <w:outlineLvl w:val="0"/>
        <w:rPr>
          <w:rFonts w:hint="eastAsia" w:ascii="仿宋" w:hAnsi="仿宋" w:eastAsia="仿宋" w:cs="仿宋"/>
          <w:b/>
          <w:sz w:val="24"/>
        </w:rPr>
      </w:pPr>
      <w:bookmarkStart w:id="147" w:name="_Toc12254"/>
      <w:bookmarkStart w:id="148" w:name="_Toc27644"/>
      <w:bookmarkStart w:id="149" w:name="_Toc20808"/>
      <w:bookmarkStart w:id="150" w:name="_Toc28906"/>
      <w:bookmarkStart w:id="151" w:name="_Toc5063"/>
      <w:r>
        <w:rPr>
          <w:rFonts w:hint="eastAsia" w:ascii="仿宋" w:hAnsi="仿宋" w:eastAsia="仿宋" w:cs="仿宋"/>
          <w:b/>
          <w:sz w:val="24"/>
        </w:rPr>
        <w:t>2.17 合同使用的文字和适用的法律</w:t>
      </w:r>
      <w:bookmarkEnd w:id="147"/>
      <w:bookmarkEnd w:id="148"/>
      <w:bookmarkEnd w:id="149"/>
      <w:bookmarkEnd w:id="150"/>
      <w:bookmarkEnd w:id="15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52" w:name="_Toc18540"/>
      <w:bookmarkStart w:id="153" w:name="_Toc30599"/>
      <w:bookmarkStart w:id="154" w:name="_Toc4355"/>
      <w:r>
        <w:rPr>
          <w:rFonts w:hint="eastAsia" w:ascii="仿宋" w:hAnsi="仿宋" w:eastAsia="仿宋" w:cs="仿宋"/>
          <w:b/>
          <w:sz w:val="24"/>
        </w:rPr>
        <w:t>2.18 计量单位</w:t>
      </w:r>
      <w:bookmarkEnd w:id="152"/>
      <w:bookmarkEnd w:id="153"/>
      <w:bookmarkEnd w:id="15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55" w:name="_Toc259093692"/>
      <w:bookmarkStart w:id="156" w:name="_Toc18567"/>
      <w:bookmarkStart w:id="157" w:name="_Toc12773"/>
      <w:bookmarkStart w:id="158" w:name="_Toc279701263"/>
      <w:bookmarkStart w:id="159" w:name="_Toc10330"/>
      <w:bookmarkStart w:id="160" w:name="_Toc487900373"/>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1" w:name="_Toc331685784"/>
      <w:r>
        <w:rPr>
          <w:rFonts w:hint="eastAsia" w:ascii="仿宋" w:hAnsi="仿宋" w:eastAsia="仿宋" w:cs="仿宋"/>
          <w:b/>
          <w:sz w:val="24"/>
        </w:rPr>
        <w:t xml:space="preserve"> </w:t>
      </w:r>
      <w:bookmarkEnd w:id="161"/>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val="en-US" w:eastAsia="zh-CN"/>
          <w14:textFill>
            <w14:solidFill>
              <w14:schemeClr w14:val="tx1"/>
            </w14:solidFill>
          </w14:textFill>
        </w:rPr>
        <w:t>六</w:t>
      </w:r>
      <w:r>
        <w:rPr>
          <w:rFonts w:hint="eastAsia" w:ascii="仿宋" w:hAnsi="仿宋" w:eastAsia="仿宋" w:cs="仿宋"/>
          <w:b/>
          <w:color w:val="000000" w:themeColor="text1"/>
          <w:sz w:val="36"/>
          <w:szCs w:val="36"/>
          <w:highlight w:val="none"/>
          <w14:textFill>
            <w14:solidFill>
              <w14:schemeClr w14:val="tx1"/>
            </w14:solidFill>
          </w14:textFill>
        </w:rPr>
        <w:t xml:space="preserve">部分  </w:t>
      </w:r>
      <w:bookmarkEnd w:id="40"/>
      <w:bookmarkEnd w:id="41"/>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highlight w:val="none"/>
          <w:lang w:val="en-US"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……………………………………………………（页码）</w:t>
      </w:r>
    </w:p>
    <w:p>
      <w:pPr>
        <w:pStyle w:val="2"/>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highlight w:val="none"/>
          <w:lang w:val="en-US"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highlight w:val="none"/>
          <w:lang w:val="en-US"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pPr>
        <w:pStyle w:val="80"/>
        <w:rPr>
          <w:rFonts w:hint="eastAsia"/>
          <w:color w:val="000000" w:themeColor="text1"/>
          <w:highlight w:val="none"/>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法定代表人授权书 ………………………………………………………… （页码）</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法定代表人及其授权代表身份证复印件（复印件）…………………………（页码）</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pPr>
        <w:pStyle w:val="906"/>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pPr>
        <w:adjustRightInd w:val="0"/>
        <w:spacing w:line="360" w:lineRule="auto"/>
        <w:ind w:right="-510" w:rightChars="-243"/>
        <w:jc w:val="both"/>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（页码）</w:t>
      </w:r>
    </w:p>
    <w:p>
      <w:pPr>
        <w:spacing w:line="360" w:lineRule="auto"/>
        <w:ind w:right="-510" w:rightChars="-243"/>
        <w:jc w:val="both"/>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highlight w:val="none"/>
          <w14:textFill>
            <w14:solidFill>
              <w14:schemeClr w14:val="tx1"/>
            </w14:solidFill>
          </w14:textFill>
        </w:rPr>
        <w:t>）技术解决方案…………………………………………………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highlight w:val="none"/>
          <w14:textFill>
            <w14:solidFill>
              <w14:schemeClr w14:val="tx1"/>
            </w14:solidFill>
          </w14:textFill>
        </w:rPr>
        <w:t>组织实施方案……………………………………………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highlight w:val="none"/>
          <w14:textFill>
            <w14:solidFill>
              <w14:schemeClr w14:val="tx1"/>
            </w14:solidFill>
          </w14:textFill>
        </w:rPr>
        <w:t>）售后服务方案……………………………………………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4"/>
          <w:highlight w:val="none"/>
          <w14:textFill>
            <w14:solidFill>
              <w14:schemeClr w14:val="tx1"/>
            </w14:solidFill>
          </w14:textFill>
        </w:rPr>
        <w:t>供应商售后服务证明材料……………………………………………………（页码）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highlight w:val="none"/>
          <w14:textFill>
            <w14:solidFill>
              <w14:schemeClr w14:val="tx1"/>
            </w14:solidFill>
          </w14:textFill>
        </w:rPr>
        <w:t>）项目小组人员名单………………………………………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14</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16</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368" w:rightChars="-175"/>
        <w:jc w:val="both"/>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认为需要的其他商务技术（资信）文件或说明…………</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pStyle w:val="2"/>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pStyle w:val="3"/>
        <w:rPr>
          <w:rFonts w:hint="eastAsia"/>
          <w:color w:val="000000" w:themeColor="text1"/>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0" w:firstLineChars="0"/>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pPr>
        <w:pStyle w:val="18"/>
        <w:keepNext w:val="0"/>
        <w:keepLines w:val="0"/>
        <w:pageBreakBefore w:val="0"/>
        <w:tabs>
          <w:tab w:val="clear" w:pos="1697"/>
        </w:tabs>
        <w:kinsoku/>
        <w:wordWrap/>
        <w:overflowPunct/>
        <w:topLinePunct w:val="0"/>
        <w:autoSpaceDE/>
        <w:autoSpaceDN/>
        <w:bidi w:val="0"/>
        <w:spacing w:after="0" w:afterLines="0"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pPr>
        <w:pStyle w:val="18"/>
        <w:keepNext w:val="0"/>
        <w:keepLines w:val="0"/>
        <w:pageBreakBefore w:val="0"/>
        <w:tabs>
          <w:tab w:val="clear" w:pos="1697"/>
        </w:tabs>
        <w:kinsoku/>
        <w:wordWrap/>
        <w:overflowPunct/>
        <w:topLinePunct w:val="0"/>
        <w:autoSpaceDE/>
        <w:autoSpaceDN/>
        <w:bidi w:val="0"/>
        <w:spacing w:after="0" w:afterLines="0"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pPr>
        <w:pStyle w:val="397"/>
        <w:keepNext w:val="0"/>
        <w:keepLines w:val="0"/>
        <w:pageBreakBefore w:val="0"/>
        <w:kinsoku/>
        <w:wordWrap/>
        <w:overflowPunct/>
        <w:topLinePunct w:val="0"/>
        <w:autoSpaceDE/>
        <w:autoSpaceDN/>
        <w:bidi w:val="0"/>
        <w:spacing w:after="0" w:afterLines="0" w:line="320" w:lineRule="exact"/>
        <w:ind w:left="0" w:leftChars="0" w:right="0" w:rightChars="0" w:firstLine="480"/>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jc w:val="left"/>
        <w:textAlignment w:val="auto"/>
        <w:outlineLvl w:val="9"/>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napToGrid w:val="0"/>
        <w:spacing w:line="320" w:lineRule="exact"/>
        <w:ind w:left="0" w:leftChars="0" w:right="0" w:rightChars="0" w:firstLine="480" w:firstLineChars="200"/>
        <w:jc w:val="left"/>
        <w:textAlignment w:val="auto"/>
        <w:outlineLvl w:val="9"/>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pPr>
        <w:spacing w:line="440" w:lineRule="exact"/>
        <w:rPr>
          <w:rFonts w:hint="eastAsia" w:ascii="仿宋" w:hAnsi="仿宋" w:eastAsia="仿宋" w:cs="仿宋"/>
          <w:color w:val="000000" w:themeColor="text1"/>
          <w:sz w:val="24"/>
          <w:highlight w:val="none"/>
          <w14:textFill>
            <w14:solidFill>
              <w14:schemeClr w14:val="tx1"/>
            </w14:solidFill>
          </w14:textFill>
        </w:rPr>
      </w:pP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7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七</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7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w:t>
      </w:r>
      <w:r>
        <w:rPr>
          <w:rFonts w:hint="eastAsia" w:ascii="仿宋_GB2312" w:hAnsi="仿宋_GB2312" w:eastAsia="仿宋_GB2312" w:cs="仿宋_GB2312"/>
          <w:b/>
          <w:color w:val="000000" w:themeColor="text1"/>
          <w:sz w:val="24"/>
          <w:highlight w:val="none"/>
          <w:lang w:eastAsia="zh-CN"/>
          <w14:textFill>
            <w14:solidFill>
              <w14:schemeClr w14:val="tx1"/>
            </w14:solidFill>
          </w14:textFill>
        </w:rPr>
        <w:t>采购人</w:t>
      </w:r>
      <w:r>
        <w:rPr>
          <w:rFonts w:hint="eastAsia" w:ascii="仿宋_GB2312" w:hAnsi="仿宋_GB2312" w:eastAsia="仿宋_GB2312" w:cs="仿宋_GB2312"/>
          <w:b/>
          <w:color w:val="000000" w:themeColor="text1"/>
          <w:sz w:val="24"/>
          <w:highlight w:val="none"/>
          <w14:textFill>
            <w14:solidFill>
              <w14:schemeClr w14:val="tx1"/>
            </w14:solidFill>
          </w14:textFill>
        </w:rPr>
        <w:t>验收证明并注明页码。</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649"/>
        <w:ind w:firstLine="0"/>
        <w:jc w:val="both"/>
        <w:rPr>
          <w:rFonts w:hAnsi="仿宋_GB2312" w:cs="仿宋_GB2312"/>
          <w:color w:val="000000" w:themeColor="text1"/>
          <w:highlight w:val="none"/>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7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九、组织实施方案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0"/>
        <w:rPr>
          <w:color w:val="000000" w:themeColor="text1"/>
          <w:highlight w:val="none"/>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7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0"/>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7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7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十一</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pPr>
        <w:pStyle w:val="80"/>
        <w:rPr>
          <w:rFonts w:hint="eastAsia"/>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十二</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73"/>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pStyle w:val="80"/>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7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pStyle w:val="80"/>
        <w:rPr>
          <w:color w:val="000000" w:themeColor="text1"/>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7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pStyle w:val="80"/>
        <w:rPr>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1"/>
        <w:rPr>
          <w:rFonts w:hint="eastAsia"/>
          <w:color w:val="000000" w:themeColor="text1"/>
          <w:highlight w:val="none"/>
          <w14:textFill>
            <w14:solidFill>
              <w14:schemeClr w14:val="tx1"/>
            </w14:solidFill>
          </w14:textFill>
        </w:rPr>
        <w:sectPr>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73"/>
        <w:tblW w:w="14678" w:type="dxa"/>
        <w:tblInd w:w="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040"/>
        <w:gridCol w:w="4421"/>
        <w:gridCol w:w="1944"/>
        <w:gridCol w:w="2803"/>
        <w:gridCol w:w="1748"/>
        <w:gridCol w:w="2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763" w:hRule="atLeast"/>
        </w:trPr>
        <w:tc>
          <w:tcPr>
            <w:tcW w:w="1040" w:type="dxa"/>
            <w:vMerge w:val="restart"/>
            <w:tcBorders>
              <w:top w:val="single" w:color="000000" w:sz="8" w:space="0"/>
              <w:left w:val="single" w:color="000000" w:sz="8"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r>
              <w:rPr>
                <w:rFonts w:hint="eastAsia" w:ascii="宋体" w:hAnsi="宋体" w:cs="宋体"/>
                <w:b w:val="0"/>
                <w:bCs w:val="0"/>
                <w:color w:val="000000"/>
                <w:sz w:val="24"/>
                <w:highlight w:val="none"/>
                <w:lang w:val="en-US" w:eastAsia="zh-CN"/>
              </w:rPr>
              <w:t>标项</w:t>
            </w:r>
          </w:p>
        </w:tc>
        <w:tc>
          <w:tcPr>
            <w:tcW w:w="4421" w:type="dxa"/>
            <w:vMerge w:val="restart"/>
            <w:tcBorders>
              <w:top w:val="single" w:color="000000" w:sz="8" w:space="0"/>
              <w:left w:val="single" w:color="000000" w:sz="8"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r>
              <w:rPr>
                <w:rFonts w:hint="eastAsia" w:ascii="宋体" w:hAnsi="宋体" w:eastAsia="宋体" w:cs="宋体"/>
                <w:b w:val="0"/>
                <w:bCs w:val="0"/>
                <w:color w:val="000000"/>
                <w:sz w:val="24"/>
                <w:highlight w:val="none"/>
                <w:lang w:eastAsia="zh-CN"/>
              </w:rPr>
              <w:t>标的</w:t>
            </w:r>
            <w:r>
              <w:rPr>
                <w:rFonts w:hint="eastAsia" w:ascii="宋体" w:hAnsi="宋体" w:eastAsia="宋体" w:cs="宋体"/>
                <w:b w:val="0"/>
                <w:bCs w:val="0"/>
                <w:color w:val="000000"/>
                <w:sz w:val="24"/>
                <w:highlight w:val="none"/>
                <w:lang w:val="en-US" w:eastAsia="zh-CN"/>
              </w:rPr>
              <w:t>名称</w:t>
            </w:r>
          </w:p>
        </w:tc>
        <w:tc>
          <w:tcPr>
            <w:tcW w:w="4747" w:type="dxa"/>
            <w:gridSpan w:val="2"/>
            <w:tcBorders>
              <w:top w:val="single" w:color="000000" w:sz="8" w:space="0"/>
              <w:bottom w:val="single" w:color="000000" w:sz="8"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r>
              <w:rPr>
                <w:rFonts w:hint="eastAsia" w:ascii="宋体" w:hAnsi="宋体" w:eastAsia="宋体" w:cs="宋体"/>
                <w:b w:val="0"/>
                <w:bCs w:val="0"/>
                <w:color w:val="000000"/>
                <w:sz w:val="24"/>
                <w:highlight w:val="none"/>
                <w:lang w:val="en-US" w:eastAsia="zh-CN"/>
              </w:rPr>
              <w:t>投标报价（元）</w:t>
            </w:r>
          </w:p>
        </w:tc>
        <w:tc>
          <w:tcPr>
            <w:tcW w:w="1748" w:type="dxa"/>
            <w:tcBorders>
              <w:top w:val="single" w:color="000000" w:sz="8" w:space="0"/>
              <w:bottom w:val="single" w:color="000000" w:sz="8"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r>
              <w:rPr>
                <w:rFonts w:hint="eastAsia" w:ascii="宋体" w:hAnsi="宋体" w:cs="宋体"/>
                <w:b w:val="0"/>
                <w:bCs w:val="0"/>
                <w:color w:val="000000"/>
                <w:sz w:val="24"/>
                <w:highlight w:val="none"/>
                <w:lang w:val="en-US" w:eastAsia="zh-CN"/>
              </w:rPr>
              <w:t>确认声明书是否签署</w:t>
            </w:r>
          </w:p>
        </w:tc>
        <w:tc>
          <w:tcPr>
            <w:tcW w:w="2722" w:type="dxa"/>
            <w:tcBorders>
              <w:top w:val="single" w:color="000000" w:sz="8" w:space="0"/>
              <w:bottom w:val="single" w:color="000000" w:sz="8" w:space="0"/>
              <w:right w:val="single" w:color="000000" w:sz="8" w:space="0"/>
            </w:tcBorders>
            <w:shd w:val="clear" w:color="auto" w:fill="FFFFFF"/>
            <w:vAlign w:val="center"/>
          </w:tcPr>
          <w:p>
            <w:pPr>
              <w:ind w:left="279" w:leftChars="133"/>
              <w:jc w:val="center"/>
              <w:rPr>
                <w:rFonts w:hint="eastAsia" w:ascii="宋体" w:hAnsi="宋体" w:cs="宋体"/>
                <w:b w:val="0"/>
                <w:bCs w:val="0"/>
                <w:color w:val="000000"/>
                <w:sz w:val="24"/>
                <w:highlight w:val="none"/>
                <w:lang w:val="en-US" w:eastAsia="zh-CN"/>
              </w:rPr>
            </w:pPr>
            <w:r>
              <w:rPr>
                <w:rFonts w:hint="eastAsia" w:ascii="宋体" w:hAnsi="宋体" w:cs="宋体"/>
                <w:b w:val="0"/>
                <w:bCs w:val="0"/>
                <w:color w:val="000000"/>
                <w:sz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763" w:hRule="atLeast"/>
        </w:trPr>
        <w:tc>
          <w:tcPr>
            <w:tcW w:w="1040" w:type="dxa"/>
            <w:vMerge w:val="continue"/>
            <w:tcBorders>
              <w:left w:val="single" w:color="000000" w:sz="8" w:space="0"/>
              <w:bottom w:val="single" w:color="auto" w:sz="4" w:space="0"/>
              <w:right w:val="single" w:color="000000" w:sz="8" w:space="0"/>
            </w:tcBorders>
            <w:shd w:val="clear" w:color="auto" w:fill="FFFFFF"/>
            <w:vAlign w:val="center"/>
          </w:tcPr>
          <w:p>
            <w:pPr>
              <w:ind w:left="279" w:leftChars="133"/>
              <w:rPr>
                <w:rFonts w:hint="eastAsia" w:ascii="宋体" w:hAnsi="宋体" w:eastAsia="宋体" w:cs="宋体"/>
                <w:b w:val="0"/>
                <w:bCs w:val="0"/>
                <w:color w:val="000000"/>
                <w:sz w:val="24"/>
                <w:highlight w:val="none"/>
                <w:lang w:eastAsia="zh-CN"/>
              </w:rPr>
            </w:pPr>
          </w:p>
        </w:tc>
        <w:tc>
          <w:tcPr>
            <w:tcW w:w="4421" w:type="dxa"/>
            <w:vMerge w:val="continue"/>
            <w:tcBorders>
              <w:left w:val="single" w:color="000000" w:sz="8" w:space="0"/>
              <w:bottom w:val="single" w:color="auto" w:sz="4" w:space="0"/>
              <w:right w:val="single" w:color="000000" w:sz="8" w:space="0"/>
            </w:tcBorders>
            <w:shd w:val="clear" w:color="auto" w:fill="FFFFFF"/>
            <w:vAlign w:val="center"/>
          </w:tcPr>
          <w:p>
            <w:pPr>
              <w:ind w:left="279" w:leftChars="133"/>
              <w:rPr>
                <w:rFonts w:hint="eastAsia" w:ascii="宋体" w:hAnsi="宋体" w:eastAsia="宋体" w:cs="宋体"/>
                <w:b w:val="0"/>
                <w:bCs w:val="0"/>
                <w:color w:val="000000"/>
                <w:sz w:val="24"/>
                <w:highlight w:val="none"/>
                <w:lang w:eastAsia="zh-CN"/>
              </w:rPr>
            </w:pPr>
          </w:p>
        </w:tc>
        <w:tc>
          <w:tcPr>
            <w:tcW w:w="1944" w:type="dxa"/>
            <w:tcBorders>
              <w:left w:val="single" w:color="000000" w:sz="8" w:space="0"/>
              <w:bottom w:val="single" w:color="000000" w:sz="8"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eastAsia="zh-CN"/>
              </w:rPr>
            </w:pPr>
            <w:r>
              <w:rPr>
                <w:rFonts w:hint="eastAsia" w:ascii="宋体" w:hAnsi="宋体" w:eastAsia="宋体" w:cs="宋体"/>
                <w:b w:val="0"/>
                <w:bCs w:val="0"/>
                <w:color w:val="000000"/>
                <w:sz w:val="24"/>
                <w:highlight w:val="none"/>
                <w:lang w:eastAsia="zh-CN"/>
              </w:rPr>
              <w:t>小写</w:t>
            </w:r>
          </w:p>
        </w:tc>
        <w:tc>
          <w:tcPr>
            <w:tcW w:w="2803" w:type="dxa"/>
            <w:tcBorders>
              <w:bottom w:val="single" w:color="000000" w:sz="8" w:space="0"/>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aps w:val="0"/>
                <w:color w:val="000000"/>
                <w:spacing w:val="0"/>
                <w:sz w:val="28"/>
                <w:szCs w:val="28"/>
                <w:highlight w:val="none"/>
              </w:rPr>
              <w:t>大写</w:t>
            </w:r>
          </w:p>
        </w:tc>
        <w:tc>
          <w:tcPr>
            <w:tcW w:w="1748" w:type="dxa"/>
            <w:vMerge w:val="restart"/>
            <w:tcBorders>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caps w:val="0"/>
                <w:color w:val="000000"/>
                <w:spacing w:val="0"/>
                <w:sz w:val="28"/>
                <w:szCs w:val="28"/>
                <w:highlight w:val="none"/>
              </w:rPr>
            </w:pPr>
          </w:p>
        </w:tc>
        <w:tc>
          <w:tcPr>
            <w:tcW w:w="2722" w:type="dxa"/>
            <w:vMerge w:val="restart"/>
            <w:tcBorders>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布谷湖环湖游步道服务范围报价为人民币（大写）：</w:t>
            </w:r>
          </w:p>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color w:val="000000"/>
                <w:kern w:val="0"/>
                <w:sz w:val="24"/>
                <w:szCs w:val="24"/>
                <w:highlight w:val="none"/>
                <w:lang w:val="en-US" w:eastAsia="zh-CN" w:bidi="ar"/>
              </w:rPr>
            </w:pP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2157" w:hRule="atLeast"/>
        </w:trPr>
        <w:tc>
          <w:tcPr>
            <w:tcW w:w="1040" w:type="dxa"/>
            <w:tcBorders>
              <w:top w:val="single" w:color="auto" w:sz="4" w:space="0"/>
              <w:left w:val="single" w:color="000000" w:sz="8" w:space="0"/>
              <w:bottom w:val="single" w:color="auto" w:sz="4"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r>
              <w:rPr>
                <w:rFonts w:hint="eastAsia" w:ascii="宋体" w:hAnsi="宋体" w:cs="宋体"/>
                <w:b w:val="0"/>
                <w:bCs w:val="0"/>
                <w:color w:val="000000"/>
                <w:sz w:val="24"/>
                <w:highlight w:val="none"/>
                <w:lang w:val="en-US" w:eastAsia="zh-CN"/>
              </w:rPr>
              <w:t>1</w:t>
            </w:r>
          </w:p>
        </w:tc>
        <w:tc>
          <w:tcPr>
            <w:tcW w:w="4421" w:type="dxa"/>
            <w:tcBorders>
              <w:top w:val="single" w:color="auto" w:sz="4" w:space="0"/>
              <w:left w:val="single" w:color="000000" w:sz="8" w:space="0"/>
              <w:bottom w:val="single" w:color="auto" w:sz="4"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eastAsia="zh-CN"/>
              </w:rPr>
            </w:pPr>
            <w:r>
              <w:rPr>
                <w:rFonts w:hint="eastAsia" w:ascii="仿宋" w:hAnsi="仿宋" w:eastAsia="仿宋" w:cs="仿宋"/>
                <w:color w:val="000000" w:themeColor="text1"/>
                <w:sz w:val="24"/>
                <w:highlight w:val="none"/>
                <w:lang w:val="en-US" w:eastAsia="zh-CN"/>
                <w14:textFill>
                  <w14:solidFill>
                    <w14:schemeClr w14:val="tx1"/>
                  </w14:solidFill>
                </w14:textFill>
              </w:rPr>
              <w:t>诸暨市同山镇2024年度集镇保洁、垃圾清运服务采购项目</w:t>
            </w:r>
          </w:p>
        </w:tc>
        <w:tc>
          <w:tcPr>
            <w:tcW w:w="1944" w:type="dxa"/>
            <w:tcBorders>
              <w:top w:val="single" w:color="auto" w:sz="4" w:space="0"/>
              <w:bottom w:val="single" w:color="auto" w:sz="4" w:space="0"/>
              <w:right w:val="single" w:color="000000" w:sz="8" w:space="0"/>
            </w:tcBorders>
            <w:shd w:val="clear" w:color="auto" w:fill="FFFFFF"/>
            <w:vAlign w:val="center"/>
          </w:tcPr>
          <w:p>
            <w:pPr>
              <w:ind w:left="279" w:leftChars="133"/>
              <w:jc w:val="center"/>
              <w:rPr>
                <w:rFonts w:hint="eastAsia" w:ascii="宋体" w:hAnsi="宋体" w:eastAsia="宋体" w:cs="宋体"/>
                <w:b w:val="0"/>
                <w:bCs w:val="0"/>
                <w:color w:val="000000"/>
                <w:sz w:val="24"/>
                <w:highlight w:val="none"/>
                <w:lang w:val="en-US" w:eastAsia="zh-CN"/>
              </w:rPr>
            </w:pPr>
          </w:p>
        </w:tc>
        <w:tc>
          <w:tcPr>
            <w:tcW w:w="2803" w:type="dxa"/>
            <w:tcBorders>
              <w:top w:val="single" w:color="auto" w:sz="4" w:space="0"/>
              <w:bottom w:val="single" w:color="auto" w:sz="4" w:space="0"/>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color w:val="000000"/>
                <w:sz w:val="21"/>
                <w:szCs w:val="21"/>
                <w:highlight w:val="none"/>
              </w:rPr>
            </w:pPr>
          </w:p>
        </w:tc>
        <w:tc>
          <w:tcPr>
            <w:tcW w:w="1748" w:type="dxa"/>
            <w:vMerge w:val="continue"/>
            <w:tcBorders>
              <w:bottom w:val="single" w:color="auto" w:sz="4" w:space="0"/>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color w:val="000000"/>
                <w:sz w:val="21"/>
                <w:szCs w:val="21"/>
                <w:highlight w:val="none"/>
              </w:rPr>
            </w:pPr>
          </w:p>
        </w:tc>
        <w:tc>
          <w:tcPr>
            <w:tcW w:w="2722" w:type="dxa"/>
            <w:vMerge w:val="continue"/>
            <w:tcBorders>
              <w:bottom w:val="single" w:color="auto" w:sz="4" w:space="0"/>
              <w:right w:val="single" w:color="000000" w:sz="8" w:space="0"/>
            </w:tcBorders>
            <w:shd w:val="clear" w:color="auto" w:fill="FFFFFF"/>
            <w:vAlign w:val="center"/>
          </w:tcPr>
          <w:p>
            <w:pPr>
              <w:pStyle w:val="6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color w:val="000000"/>
                <w:sz w:val="21"/>
                <w:szCs w:val="21"/>
                <w:highlight w:val="none"/>
              </w:rPr>
            </w:pPr>
          </w:p>
        </w:tc>
      </w:tr>
    </w:tbl>
    <w:p>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w:t>
      </w:r>
      <w:r>
        <w:rPr>
          <w:rFonts w:hint="eastAsia" w:ascii="仿宋" w:hAnsi="仿宋" w:eastAsia="仿宋" w:cs="仿宋"/>
          <w:color w:val="000000" w:themeColor="text1"/>
          <w:kern w:val="0"/>
          <w:sz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w:t>
      </w:r>
      <w:r>
        <w:rPr>
          <w:rFonts w:hint="eastAsia" w:ascii="仿宋" w:hAnsi="仿宋" w:eastAsia="仿宋" w:cs="仿宋"/>
          <w:color w:val="000000" w:themeColor="text1"/>
          <w:kern w:val="0"/>
          <w:sz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szCs w:val="22"/>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3"/>
        <w:keepNext w:val="0"/>
        <w:pageBreakBefore w:val="0"/>
        <w:tabs>
          <w:tab w:val="clear" w:pos="720"/>
        </w:tabs>
        <w:snapToGrid w:val="0"/>
        <w:spacing w:before="120" w:after="120"/>
        <w:jc w:val="both"/>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162"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162"/>
    </w:p>
    <w:p>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000000" w:themeColor="text1"/>
          <w:sz w:val="24"/>
          <w:highlight w:val="none"/>
          <w14:textFill>
            <w14:solidFill>
              <w14:schemeClr w14:val="tx1"/>
            </w14:solidFill>
          </w14:textFill>
        </w:rPr>
      </w:pPr>
    </w:p>
    <w:p>
      <w:pPr>
        <w:pStyle w:val="81"/>
        <w:rPr>
          <w:rFonts w:hint="eastAsia" w:ascii="仿宋" w:hAnsi="仿宋" w:eastAsia="仿宋" w:cs="仿宋"/>
          <w:b/>
          <w:color w:val="000000" w:themeColor="text1"/>
          <w:sz w:val="24"/>
          <w:highlight w:val="none"/>
          <w14:textFill>
            <w14:solidFill>
              <w14:schemeClr w14:val="tx1"/>
            </w14:solidFill>
          </w14:textFill>
        </w:rPr>
      </w:pPr>
    </w:p>
    <w:p>
      <w:pPr>
        <w:rPr>
          <w:rFonts w:hint="eastAsia" w:ascii="仿宋" w:hAnsi="仿宋" w:eastAsia="仿宋" w:cs="仿宋"/>
          <w:b/>
          <w:color w:val="000000" w:themeColor="text1"/>
          <w:sz w:val="24"/>
          <w:highlight w:val="none"/>
          <w14:textFill>
            <w14:solidFill>
              <w14:schemeClr w14:val="tx1"/>
            </w14:solidFill>
          </w14:textFill>
        </w:rPr>
      </w:pPr>
    </w:p>
    <w:p>
      <w:pPr>
        <w:pStyle w:val="80"/>
        <w:rPr>
          <w:rFonts w:hint="eastAsia" w:ascii="仿宋" w:hAnsi="仿宋" w:eastAsia="仿宋" w:cs="仿宋"/>
          <w:b/>
          <w:color w:val="000000" w:themeColor="text1"/>
          <w:sz w:val="24"/>
          <w:highlight w:val="none"/>
          <w14:textFill>
            <w14:solidFill>
              <w14:schemeClr w14:val="tx1"/>
            </w14:solidFill>
          </w14:textFill>
        </w:rPr>
      </w:pPr>
    </w:p>
    <w:p>
      <w:pPr>
        <w:pStyle w:val="81"/>
        <w:rPr>
          <w:rFonts w:hint="eastAsia"/>
          <w:color w:val="000000" w:themeColor="text1"/>
          <w:highlight w:val="none"/>
          <w14:textFill>
            <w14:solidFill>
              <w14:schemeClr w14:val="tx1"/>
            </w14:solidFill>
          </w14:textFill>
        </w:rPr>
      </w:pPr>
    </w:p>
    <w:p>
      <w:pPr>
        <w:pStyle w:val="81"/>
        <w:rPr>
          <w:rFonts w:hint="eastAsia"/>
          <w:color w:val="000000" w:themeColor="text1"/>
          <w:highlight w:val="none"/>
          <w14:textFill>
            <w14:solidFill>
              <w14:schemeClr w14:val="tx1"/>
            </w14:solidFill>
          </w14:textFill>
        </w:rPr>
      </w:pPr>
    </w:p>
    <w:p>
      <w:pPr>
        <w:widowControl/>
        <w:adjustRightInd w:val="0"/>
        <w:spacing w:line="360" w:lineRule="auto"/>
        <w:ind w:firstLine="161" w:firstLineChars="50"/>
        <w:jc w:val="center"/>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[符合条件的残疾人福利性单位，提供残疾人福利性单位声明函(附件</w:t>
      </w:r>
      <w:r>
        <w:rPr>
          <w:rFonts w:hint="eastAsia" w:ascii="仿宋" w:hAnsi="仿宋" w:eastAsia="仿宋" w:cs="仿宋"/>
          <w:b/>
          <w:bCs/>
          <w:i w:val="0"/>
          <w:iCs w:val="0"/>
          <w:snapToGrid w:val="0"/>
          <w:color w:val="000000" w:themeColor="text1"/>
          <w:kern w:val="2"/>
          <w:sz w:val="24"/>
          <w:szCs w:val="21"/>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163" w:name="_Toc465665161"/>
      <w:r>
        <w:rPr>
          <w:rFonts w:hint="eastAsia" w:ascii="仿宋" w:hAnsi="仿宋" w:eastAsia="仿宋" w:cs="仿宋"/>
          <w:color w:val="000000" w:themeColor="text1"/>
          <w:highlight w:val="none"/>
          <w14:textFill>
            <w14:solidFill>
              <w14:schemeClr w14:val="tx1"/>
            </w14:solidFill>
          </w14:textFill>
        </w:rPr>
        <w:t>附件</w:t>
      </w:r>
      <w:bookmarkEnd w:id="163"/>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0"/>
        <w:rPr>
          <w:rFonts w:hint="eastAsia"/>
          <w:color w:val="000000" w:themeColor="text1"/>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164"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164"/>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pPr>
        <w:pStyle w:val="5"/>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5"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5"/>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bookmarkStart w:id="166" w:name="OLE_LINK14"/>
      <w:bookmarkStart w:id="167" w:name="OLE_LINK13"/>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6"/>
    <w:bookmarkEnd w:id="167"/>
    <w:p>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360" w:firstLineChars="15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w:t>
      </w:r>
      <w:r>
        <w:rPr>
          <w:rFonts w:hint="eastAsia" w:ascii="仿宋" w:hAnsi="仿宋" w:eastAsia="仿宋" w:cs="仿宋"/>
          <w:color w:val="auto"/>
          <w:sz w:val="24"/>
          <w:szCs w:val="24"/>
          <w:highlight w:val="none"/>
          <w:lang w:eastAsia="zh-CN"/>
        </w:rPr>
        <w:t>参照</w:t>
      </w:r>
      <w:r>
        <w:rPr>
          <w:rFonts w:hint="eastAsia" w:ascii="仿宋" w:hAnsi="仿宋" w:eastAsia="仿宋" w:cs="仿宋"/>
          <w:color w:val="auto"/>
          <w:sz w:val="24"/>
          <w:szCs w:val="24"/>
          <w:highlight w:val="none"/>
        </w:rPr>
        <w:t xml:space="preserve">《政府采购促进中小企业发展管理办法》（财库﹝2020﹞46 号）的规定，本公司（联合体）参加 </w:t>
      </w:r>
      <w:r>
        <w:rPr>
          <w:rFonts w:hint="eastAsia" w:ascii="仿宋" w:hAnsi="仿宋" w:eastAsia="仿宋" w:cs="仿宋"/>
          <w:color w:val="auto"/>
          <w:sz w:val="24"/>
          <w:szCs w:val="24"/>
          <w:highlight w:val="none"/>
          <w:u w:val="single"/>
        </w:rPr>
        <w:t xml:space="preserve">（采购人）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keepLines w:val="0"/>
        <w:pageBreakBefore w:val="0"/>
        <w:widowControl/>
        <w:shd w:val="clear"/>
        <w:overflowPunct/>
        <w:topLinePunct w:val="0"/>
        <w:autoSpaceDE/>
        <w:autoSpaceDN/>
        <w:bidi w:val="0"/>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诸暨市同山镇2024年度集镇保洁、垃圾清运服务采购项目</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b/>
          <w:bCs/>
          <w:color w:val="auto"/>
          <w:kern w:val="0"/>
          <w:sz w:val="24"/>
          <w:szCs w:val="24"/>
          <w:highlight w:val="none"/>
          <w:u w:val="single"/>
          <w:lang w:eastAsia="zh-CN"/>
        </w:rPr>
        <w:t>其他未列明行业</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 xml:space="preserve"> ；承建（承接）企业为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 xml:space="preserve">属于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磋商文件</w:t>
      </w:r>
      <w:r>
        <w:rPr>
          <w:rFonts w:hint="eastAsia" w:ascii="仿宋" w:hAnsi="仿宋" w:eastAsia="仿宋" w:cs="仿宋"/>
          <w:color w:val="auto"/>
          <w:sz w:val="24"/>
          <w:szCs w:val="24"/>
          <w:highlight w:val="none"/>
          <w:u w:val="single"/>
        </w:rPr>
        <w:t xml:space="preserve">中明确的所属行业） </w:t>
      </w:r>
      <w:r>
        <w:rPr>
          <w:rFonts w:hint="eastAsia" w:ascii="仿宋" w:hAnsi="仿宋" w:eastAsia="仿宋" w:cs="仿宋"/>
          <w:color w:val="auto"/>
          <w:sz w:val="24"/>
          <w:szCs w:val="24"/>
          <w:highlight w:val="none"/>
        </w:rPr>
        <w:t xml:space="preserve">；承建（承接）企业为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680" w:firstLineChars="19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354" w:firstLineChars="147"/>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1、填写要求：①“标的名称”、“</w:t>
      </w:r>
      <w:r>
        <w:rPr>
          <w:rFonts w:hint="eastAsia" w:ascii="仿宋" w:hAnsi="仿宋" w:eastAsia="仿宋" w:cs="仿宋"/>
          <w:color w:val="auto"/>
          <w:sz w:val="24"/>
          <w:szCs w:val="24"/>
          <w:highlight w:val="none"/>
          <w:lang w:eastAsia="zh-CN"/>
        </w:rPr>
        <w:t>磋商文件</w:t>
      </w:r>
      <w:r>
        <w:rPr>
          <w:rFonts w:hint="eastAsia" w:ascii="仿宋" w:hAnsi="仿宋" w:eastAsia="仿宋" w:cs="仿宋"/>
          <w:color w:val="auto"/>
          <w:sz w:val="24"/>
          <w:szCs w:val="24"/>
          <w:highlight w:val="none"/>
        </w:rPr>
        <w:t>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720" w:firstLineChars="3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2、符合《关于促进残疾人就业政府采购政策的通知》（财库〔2017〕141号）规定的条件并提供《残疾人福利性单位声明函》（附件1）的残疾人福利性单位视同小型、微型企业；</w:t>
      </w:r>
      <w:r>
        <w:rPr>
          <w:rFonts w:hint="eastAsia" w:ascii="仿宋" w:hAnsi="仿宋" w:eastAsia="仿宋" w:cs="仿宋"/>
          <w:color w:val="auto"/>
          <w:sz w:val="24"/>
          <w:szCs w:val="24"/>
          <w:highlight w:val="none"/>
          <w:lang w:eastAsia="zh-CN"/>
        </w:rPr>
        <w:t>参照</w:t>
      </w:r>
      <w:r>
        <w:rPr>
          <w:rFonts w:hint="eastAsia" w:ascii="仿宋" w:hAnsi="仿宋" w:eastAsia="仿宋" w:cs="仿宋"/>
          <w:color w:val="auto"/>
          <w:sz w:val="24"/>
          <w:szCs w:val="24"/>
          <w:highlight w:val="none"/>
        </w:rPr>
        <w:t>《关于政府采购支持监狱企业发展有关问题的通知》（财库[2014]68号）的规定，投标人提供由省级以上监狱管理局、戒毒管理局（含新疆生产建设兵团）出具的属于监狱企业证明文件的，视同为小型和微型企业。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pPr>
        <w:pStyle w:val="2"/>
        <w:rPr>
          <w:rFonts w:hint="eastAsia"/>
          <w:color w:val="000000" w:themeColor="text1"/>
          <w:highlight w:val="none"/>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7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7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pPr>
        <w:rPr>
          <w:rFonts w:hint="eastAsia" w:ascii="仿宋" w:hAnsi="仿宋" w:eastAsia="仿宋" w:cs="仿宋"/>
          <w:color w:val="000000" w:themeColor="text1"/>
          <w:sz w:val="24"/>
          <w:highlight w:val="none"/>
          <w14:textFill>
            <w14:solidFill>
              <w14:schemeClr w14:val="tx1"/>
            </w14:solidFill>
          </w14:textFill>
        </w:rPr>
      </w:pPr>
    </w:p>
    <w:p>
      <w:pPr>
        <w:ind w:firstLine="420" w:firstLineChars="200"/>
        <w:rPr>
          <w:rFonts w:hint="eastAsia" w:ascii="仿宋" w:hAnsi="仿宋" w:eastAsia="仿宋" w:cs="仿宋"/>
          <w:color w:val="000000" w:themeColor="text1"/>
          <w:highlight w:val="none"/>
          <w14:textFill>
            <w14:solidFill>
              <w14:schemeClr w14:val="tx1"/>
            </w14:solidFill>
          </w14:textFill>
        </w:rPr>
      </w:pPr>
    </w:p>
    <w:p>
      <w:pPr>
        <w:spacing w:line="360" w:lineRule="auto"/>
        <w:ind w:right="420"/>
        <w:rPr>
          <w:rFonts w:hint="eastAsia" w:ascii="仿宋" w:hAnsi="仿宋" w:eastAsia="仿宋" w:cs="仿宋"/>
          <w:color w:val="000000" w:themeColor="text1"/>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sectPr>
      <w:headerReference r:id="rId13" w:type="first"/>
      <w:footerReference r:id="rId16" w:type="first"/>
      <w:headerReference r:id="rId12" w:type="default"/>
      <w:footerReference r:id="rId14" w:type="default"/>
      <w:footerReference r:id="rId1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Times New Roman (正文 CS 字体)">
    <w:altName w:val="宋体"/>
    <w:panose1 w:val="00000000000000000000"/>
    <w:charset w:val="86"/>
    <w:family w:val="roman"/>
    <w:pitch w:val="default"/>
    <w:sig w:usb0="00000000" w:usb1="00000000" w:usb2="00000009" w:usb3="00000000" w:csb0="000001FF" w:csb1="00000000"/>
  </w:font>
  <w:font w:name="Latha">
    <w:altName w:val="Microsoft Sans Serif"/>
    <w:panose1 w:val="020B0604020202020204"/>
    <w:charset w:val="00"/>
    <w:family w:val="swiss"/>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00" w:usb3="00000000" w:csb0="00040001" w:csb1="00000000"/>
  </w:font>
  <w:font w:name="方正仿宋简体">
    <w:altName w:val="黑体"/>
    <w:panose1 w:val="03000509000000000000"/>
    <w:charset w:val="86"/>
    <w:family w:val="script"/>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 w:name="Microsoft Sans Serif">
    <w:panose1 w:val="020B0604020202020204"/>
    <w:charset w:val="00"/>
    <w:family w:val="auto"/>
    <w:pitch w:val="default"/>
    <w:sig w:usb0="E5002EFF" w:usb1="C000605B" w:usb2="00000029" w:usb3="00000000" w:csb0="200101FF" w:csb1="20280000"/>
  </w:font>
  <w:font w:name="方正书宋简体">
    <w:altName w:val="宋体"/>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Univers">
    <w:altName w:val="Microsoft YaHei UI"/>
    <w:panose1 w:val="020B0603020202030204"/>
    <w:charset w:val="00"/>
    <w:family w:val="swiss"/>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MS Mincho">
    <w:altName w:val="MS UI Gothic"/>
    <w:panose1 w:val="02020609040205080304"/>
    <w:charset w:val="80"/>
    <w:family w:val="moder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 w:name="font-weight : 400">
    <w:altName w:val="Segoe Print"/>
    <w:panose1 w:val="00000000000000000000"/>
    <w:charset w:val="00"/>
    <w:family w:val="auto"/>
    <w:pitch w:val="default"/>
    <w:sig w:usb0="00000000" w:usb1="00000000" w:usb2="00000000" w:usb3="00000000" w:csb0="00000000" w:csb1="00000000"/>
  </w:font>
  <w:font w:name="PMingLiU">
    <w:altName w:val="PMingLiU-ExtB"/>
    <w:panose1 w:val="02020300000000000000"/>
    <w:charset w:val="88"/>
    <w:family w:val="auto"/>
    <w:pitch w:val="default"/>
    <w:sig w:usb0="00000000" w:usb1="00000000" w:usb2="00000016" w:usb3="00000000" w:csb0="00100001" w:csb1="00000000"/>
  </w:font>
  <w:font w:name="方正姚体">
    <w:altName w:val="宋体"/>
    <w:panose1 w:val="0201060103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方正仿宋_GBK">
    <w:altName w:val="微软雅黑"/>
    <w:panose1 w:val="03000509000000000000"/>
    <w:charset w:val="86"/>
    <w:family w:val="script"/>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宋体..璂..">
    <w:altName w:val="宋体"/>
    <w:panose1 w:val="00000000000000000000"/>
    <w:charset w:val="86"/>
    <w:family w:val="roman"/>
    <w:pitch w:val="default"/>
    <w:sig w:usb0="00000000" w:usb1="00000000" w:usb2="00000010" w:usb3="00000000" w:csb0="00040000" w:csb1="00000000"/>
  </w:font>
  <w:font w:name="Futura-Book">
    <w:altName w:val="Arial"/>
    <w:panose1 w:val="00000000000000000000"/>
    <w:charset w:val="00"/>
    <w:family w:val="swiss"/>
    <w:pitch w:val="default"/>
    <w:sig w:usb0="00000000" w:usb1="00000000" w:usb2="00000000" w:usb3="00000000" w:csb0="00000001" w:csb1="00000000"/>
  </w:font>
  <w:font w:name="DFKai-SB">
    <w:altName w:val="Microsoft JhengHei Light"/>
    <w:panose1 w:val="03000509000000000000"/>
    <w:charset w:val="88"/>
    <w:family w:val="script"/>
    <w:pitch w:val="default"/>
    <w:sig w:usb0="00000000" w:usb1="00000000" w:usb2="00000016" w:usb3="00000000" w:csb0="00100001" w:csb1="00000000"/>
  </w:font>
  <w:font w:name="..ì.">
    <w:altName w:val="Courier New"/>
    <w:panose1 w:val="00000000000000000000"/>
    <w:charset w:val="00"/>
    <w:family w:val="swiss"/>
    <w:pitch w:val="default"/>
    <w:sig w:usb0="00000000" w:usb1="00000000" w:usb2="00000000" w:usb3="00000000" w:csb0="0000019F" w:csb1="00000000"/>
  </w:font>
  <w:font w:name="Batang">
    <w:altName w:val="Malgun Gothic"/>
    <w:panose1 w:val="02030600000101010101"/>
    <w:charset w:val="81"/>
    <w:family w:val="auto"/>
    <w:pitch w:val="default"/>
    <w:sig w:usb0="00000000" w:usb1="00000000" w:usb2="00000010" w:usb3="00000000" w:csb0="00080000"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Futura-Heavy">
    <w:altName w:val="Arial"/>
    <w:panose1 w:val="00000000000000000000"/>
    <w:charset w:val="00"/>
    <w:family w:val="swiss"/>
    <w:pitch w:val="default"/>
    <w:sig w:usb0="00000000" w:usb1="00000000" w:usb2="00000000" w:usb3="00000000" w:csb0="00000001" w:csb1="00000000"/>
  </w:font>
  <w:font w:name="文鼎PL细上海宋Uni">
    <w:altName w:val="宋体"/>
    <w:panose1 w:val="00000000000000000000"/>
    <w:charset w:val="80"/>
    <w:family w:val="modern"/>
    <w:pitch w:val="default"/>
    <w:sig w:usb0="00000000" w:usb1="00000000" w:usb2="00000000" w:usb3="00000000" w:csb0="00040001" w:csb1="00000000"/>
  </w:font>
  <w:font w:name="Futura Lt">
    <w:altName w:val="Arial"/>
    <w:panose1 w:val="00000000000000000000"/>
    <w:charset w:val="00"/>
    <w:family w:val="swiss"/>
    <w:pitch w:val="default"/>
    <w:sig w:usb0="00000000" w:usb1="00000000" w:usb2="00000000" w:usb3="00000000" w:csb0="0000009F" w:csb1="00000000"/>
  </w:font>
  <w:font w:name="长城仿宋">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IOAPJP+TimesNewRoman">
    <w:altName w:val="宋体"/>
    <w:panose1 w:val="00000000000000000000"/>
    <w:charset w:val="86"/>
    <w:family w:val="roman"/>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00" w:usb3="00000000" w:csb0="00040000" w:csb1="00000000"/>
  </w:font>
  <w:font w:name="Swis721 BlkOul BT">
    <w:altName w:val="微软雅黑"/>
    <w:panose1 w:val="04020905030B03040203"/>
    <w:charset w:val="00"/>
    <w:family w:val="decorative"/>
    <w:pitch w:val="default"/>
    <w:sig w:usb0="00000000" w:usb1="00000000" w:usb2="00000000" w:usb3="00000000" w:csb0="00040001" w:csb1="00000000"/>
  </w:font>
  <w:font w:name="New Century Schlbk">
    <w:altName w:val="Courier New"/>
    <w:panose1 w:val="00000000000000000000"/>
    <w:charset w:val="00"/>
    <w:family w:val="auto"/>
    <w:pitch w:val="default"/>
    <w:sig w:usb0="00000000" w:usb1="00000000" w:usb2="00000000" w:usb3="00000000" w:csb0="00000001" w:csb1="00000000"/>
  </w:font>
  <w:font w:name="Book Antiqua">
    <w:altName w:val="Palatino Linotype"/>
    <w:panose1 w:val="02040602050305030304"/>
    <w:charset w:val="00"/>
    <w:family w:val="roman"/>
    <w:pitch w:val="default"/>
    <w:sig w:usb0="00000000" w:usb1="00000000" w:usb2="00000000" w:usb3="00000000" w:csb0="2000009F" w:csb1="DFD70000"/>
  </w:font>
  <w:font w:name="MetaBook-Roman">
    <w:altName w:val="Arial"/>
    <w:panose1 w:val="00000000000000000000"/>
    <w:charset w:val="00"/>
    <w:family w:val="swiss"/>
    <w:pitch w:val="default"/>
    <w:sig w:usb0="00000000" w:usb1="00000000" w:usb2="00000000" w:usb3="00000000" w:csb0="00000001" w:csb1="00000000"/>
  </w:font>
  <w:font w:name="??_GB2312">
    <w:altName w:val="宋体"/>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Arail">
    <w:altName w:val="Times New Roman"/>
    <w:panose1 w:val="00000000000000000000"/>
    <w:charset w:val="00"/>
    <w:family w:val="auto"/>
    <w:pitch w:val="default"/>
    <w:sig w:usb0="00000000" w:usb1="00000000" w:usb2="00000000" w:usb3="00000000" w:csb0="00040001" w:csb1="00000000"/>
  </w:font>
  <w:font w:name="sө">
    <w:altName w:val="Times New Roman"/>
    <w:panose1 w:val="00000000000000000000"/>
    <w:charset w:val="00"/>
    <w:family w:val="roman"/>
    <w:pitch w:val="default"/>
    <w:sig w:usb0="00000000" w:usb1="00000000" w:usb2="00000000" w:usb3="00000000" w:csb0="00040001" w:csb1="00000000"/>
  </w:font>
  <w:font w:name="IOBAEE+TimesNewRoman,Bold">
    <w:altName w:val="宋体"/>
    <w:panose1 w:val="00000000000000000000"/>
    <w:charset w:val="86"/>
    <w:family w:val="roma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Palatino Linotype">
    <w:panose1 w:val="02040502050505030304"/>
    <w:charset w:val="00"/>
    <w:family w:val="auto"/>
    <w:pitch w:val="default"/>
    <w:sig w:usb0="E0000287" w:usb1="40000013" w:usb2="00000000" w:usb3="00000000" w:csb0="2000019F" w:csb1="00000000"/>
  </w:font>
  <w:font w:name="Trebuchet MS">
    <w:panose1 w:val="020B0603020202020204"/>
    <w:charset w:val="00"/>
    <w:family w:val="auto"/>
    <w:pitch w:val="default"/>
    <w:sig w:usb0="00000687" w:usb1="00000000" w:usb2="00000000" w:usb3="00000000" w:csb0="2000009F" w:csb1="00000000"/>
  </w:font>
  <w:font w:name="微软雅黑 Light">
    <w:panose1 w:val="020B0502040204020203"/>
    <w:charset w:val="86"/>
    <w:family w:val="auto"/>
    <w:pitch w:val="default"/>
    <w:sig w:usb0="80000287" w:usb1="2ACF001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crosoft JhengHei U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Comic Sans MS">
    <w:panose1 w:val="030F0702030302020204"/>
    <w:charset w:val="00"/>
    <w:family w:val="script"/>
    <w:pitch w:val="default"/>
    <w:sig w:usb0="00000287" w:usb1="00000013" w:usb2="00000000" w:usb3="00000000" w:csb0="2000009F" w:csb1="00000000"/>
  </w:font>
  <w:font w:name="Romantic">
    <w:altName w:val="微软雅黑"/>
    <w:panose1 w:val="00000400000000000000"/>
    <w:charset w:val="02"/>
    <w:family w:val="auto"/>
    <w:pitch w:val="default"/>
    <w:sig w:usb0="00000000" w:usb1="00000000" w:usb2="00000000" w:usb3="00000000" w:csb0="00040001" w:csb1="00000000"/>
  </w:font>
  <w:font w:name="微软大黑体">
    <w:altName w:val="宋体"/>
    <w:panose1 w:val="02010609000101010101"/>
    <w:charset w:val="86"/>
    <w:family w:val="modern"/>
    <w:pitch w:val="default"/>
    <w:sig w:usb0="00000000" w:usb1="00000000" w:usb2="00000010" w:usb3="00000000" w:csb0="00040000" w:csb1="00000000"/>
  </w:font>
  <w:font w:name="Helvetica Neue">
    <w:altName w:val="Corbel"/>
    <w:panose1 w:val="02000503000000020004"/>
    <w:charset w:val="00"/>
    <w:family w:val="auto"/>
    <w:pitch w:val="default"/>
    <w:sig w:usb0="00000000" w:usb1="00000000" w:usb2="00000010" w:usb3="00000000" w:csb0="00000001" w:csb1="00000000"/>
  </w:font>
  <w:font w:name="???|CS?o｡ﾀ?">
    <w:altName w:val="MS PGothic"/>
    <w:panose1 w:val="00000000000000000000"/>
    <w:charset w:val="80"/>
    <w:family w:val="roman"/>
    <w:pitch w:val="default"/>
    <w:sig w:usb0="00000000" w:usb1="00000000" w:usb2="00000010" w:usb3="00000000" w:csb0="00020000" w:csb1="00000000"/>
  </w:font>
  <w:font w:name="Optima">
    <w:altName w:val="PMingLiU-ExtB"/>
    <w:panose1 w:val="02000503060000020004"/>
    <w:charset w:val="00"/>
    <w:family w:val="auto"/>
    <w:pitch w:val="default"/>
    <w:sig w:usb0="00000000" w:usb1="00000000" w:usb2="00000000" w:usb3="00000000" w:csb0="00000001" w:csb1="00000000"/>
  </w:font>
  <w:font w:name="Museo Sans For Dell 300">
    <w:altName w:val="微软雅黑"/>
    <w:panose1 w:val="00000000000000000000"/>
    <w:charset w:val="86"/>
    <w:family w:val="swiss"/>
    <w:pitch w:val="default"/>
    <w:sig w:usb0="00000000" w:usb1="00000000" w:usb2="00000010" w:usb3="00000000" w:csb0="00040000" w:csb1="00000000"/>
  </w:font>
  <w:font w:name="Univers 57 Condensed">
    <w:altName w:val="微软雅黑"/>
    <w:panose1 w:val="00000000000000000000"/>
    <w:charset w:val="86"/>
    <w:family w:val="swiss"/>
    <w:pitch w:val="default"/>
    <w:sig w:usb0="00000000" w:usb1="00000000" w:usb2="00000010" w:usb3="00000000" w:csb0="00040000" w:csb1="00000000"/>
  </w:font>
  <w:font w:name="WhitneyK-Book">
    <w:altName w:val="Times New Roman"/>
    <w:panose1 w:val="00000000000000000000"/>
    <w:charset w:val="00"/>
    <w:family w:val="roman"/>
    <w:pitch w:val="default"/>
    <w:sig w:usb0="00000000" w:usb1="00000000" w:usb2="00000000" w:usb3="00000000" w:csb0="00040001" w:csb1="00000000"/>
  </w:font>
  <w:font w:name="HYg2gj">
    <w:altName w:val="Times New Roman"/>
    <w:panose1 w:val="00000000000000000000"/>
    <w:charset w:val="00"/>
    <w:family w:val="roman"/>
    <w:pitch w:val="default"/>
    <w:sig w:usb0="00000000" w:usb1="00000000" w:usb2="00000000" w:usb3="00000000" w:csb0="00040001" w:csb1="00000000"/>
  </w:font>
  <w:font w:name="JZongDengXian">
    <w:altName w:val="Times New Roman"/>
    <w:panose1 w:val="00000000000000000000"/>
    <w:charset w:val="00"/>
    <w:family w:val="roman"/>
    <w:pitch w:val="default"/>
    <w:sig w:usb0="00000000" w:usb1="00000000" w:usb2="00000000" w:usb3="00000000" w:csb0="00040001" w:csb1="00000000"/>
  </w:font>
  <w:font w:name="Corbel">
    <w:panose1 w:val="020B0503020204020204"/>
    <w:charset w:val="00"/>
    <w:family w:val="auto"/>
    <w:pitch w:val="default"/>
    <w:sig w:usb0="A00002EF" w:usb1="4000A44B"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MingLiU_HKSCS-ExtB">
    <w:panose1 w:val="02020500000000000000"/>
    <w:charset w:val="88"/>
    <w:family w:val="auto"/>
    <w:pitch w:val="default"/>
    <w:sig w:usb0="8000002F" w:usb1="02000008" w:usb2="00000000" w:usb3="00000000" w:csb0="00100001" w:csb1="00000000"/>
  </w:font>
  <w:font w:name="Yu Gothic Medium">
    <w:panose1 w:val="020B05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Bahnschrift Condensed">
    <w:panose1 w:val="020B0502040204020203"/>
    <w:charset w:val="00"/>
    <w:family w:val="auto"/>
    <w:pitch w:val="default"/>
    <w:sig w:usb0="A00002C7" w:usb1="00000002" w:usb2="00000000" w:usb3="00000000" w:csb0="2000019F" w:csb1="00000000"/>
  </w:font>
  <w:font w:name="Bahnschrift">
    <w:panose1 w:val="020B0502040204020203"/>
    <w:charset w:val="00"/>
    <w:family w:val="auto"/>
    <w:pitch w:val="default"/>
    <w:sig w:usb0="A00002C7" w:usb1="00000002" w:usb2="00000000" w:usb3="00000000" w:csb0="2000019F" w:csb1="00000000"/>
  </w:font>
  <w:font w:name="Calibri">
    <w:panose1 w:val="020F0502020204030204"/>
    <w:charset w:val="86"/>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方正小标宋简体">
    <w:altName w:val="微软雅黑"/>
    <w:panose1 w:val="03000509000000000000"/>
    <w:charset w:val="86"/>
    <w:family w:val="script"/>
    <w:pitch w:val="default"/>
    <w:sig w:usb0="00000000" w:usb1="00000000" w:usb2="00000010" w:usb3="00000000" w:csb0="00040000" w:csb1="00000000"/>
  </w:font>
  <w:font w:name="Univers Condensed">
    <w:altName w:val="Segoe Print"/>
    <w:panose1 w:val="020B0606020202060204"/>
    <w:charset w:val="00"/>
    <w:family w:val="swiss"/>
    <w:pitch w:val="default"/>
    <w:sig w:usb0="00000000" w:usb1="00000000" w:usb2="00000000" w:usb3="00000000" w:csb0="00000093" w:csb1="00000000"/>
  </w:font>
  <w:font w:name="仿宋_GB2312">
    <w:altName w:val="仿宋"/>
    <w:panose1 w:val="00000000000000000000"/>
    <w:charset w:val="00"/>
    <w:family w:val="auto"/>
    <w:pitch w:val="default"/>
    <w:sig w:usb0="00000000" w:usb1="00000000" w:usb2="00000000" w:usb3="00000000" w:csb0="00000000" w:csb1="00000000"/>
  </w:font>
  <w:font w:name="黑体">
    <w:panose1 w:val="02010609060101010101"/>
    <w:charset w:val="88"/>
    <w:family w:val="auto"/>
    <w:pitch w:val="default"/>
    <w:sig w:usb0="800002BF" w:usb1="38CF7CFA" w:usb2="00000016" w:usb3="00000000" w:csb0="00040001" w:csb1="00000000"/>
  </w:font>
  <w:font w:name="DFKai-SB">
    <w:altName w:val="Microsoft JhengHei Light"/>
    <w:panose1 w:val="03000509000000000000"/>
    <w:charset w:val="00"/>
    <w:family w:val="script"/>
    <w:pitch w:val="default"/>
    <w:sig w:usb0="00000000" w:usb1="00000000" w:usb2="00000016" w:usb3="00000000" w:csb0="00100001" w:csb1="00000000"/>
  </w:font>
  <w:font w:name="微软雅黑">
    <w:panose1 w:val="020B0503020204020204"/>
    <w:charset w:val="88"/>
    <w:family w:val="auto"/>
    <w:pitch w:val="default"/>
    <w:sig w:usb0="80000287" w:usb1="2ACF3C50" w:usb2="00000016" w:usb3="00000000" w:csb0="0004001F" w:csb1="00000000"/>
  </w:font>
  <w:font w:name="文鼎PL细上海宋Uni">
    <w:altName w:val="宋体"/>
    <w:panose1 w:val="00000000000000000000"/>
    <w:charset w:val="00"/>
    <w:family w:val="modern"/>
    <w:pitch w:val="default"/>
    <w:sig w:usb0="00000000" w:usb1="00000000" w:usb2="00000000" w:usb3="00000000" w:csb0="00040001" w:csb1="00000000"/>
  </w:font>
  <w:font w:name="ヒラギノ角ゴ Pro W3">
    <w:altName w:val="Yu Gothic"/>
    <w:panose1 w:val="00000000000000000000"/>
    <w:charset w:val="80"/>
    <w:family w:val="auto"/>
    <w:pitch w:val="default"/>
    <w:sig w:usb0="00000000" w:usb1="00000000" w:usb2="00000012" w:usb3="00000000" w:csb0="0002000D" w:csb1="00000000"/>
  </w:font>
  <w:font w:name="等线">
    <w:panose1 w:val="02010600030101010101"/>
    <w:charset w:val="88"/>
    <w:family w:val="auto"/>
    <w:pitch w:val="default"/>
    <w:sig w:usb0="A00002BF" w:usb1="38CF7CFA" w:usb2="00000016" w:usb3="00000000" w:csb0="0004000F" w:csb1="00000000"/>
  </w:font>
  <w:font w:name="Yu Gothic">
    <w:panose1 w:val="020B0400000000000000"/>
    <w:charset w:val="80"/>
    <w:family w:val="auto"/>
    <w:pitch w:val="default"/>
    <w:sig w:usb0="E00002FF" w:usb1="2AC7FDFF" w:usb2="00000016" w:usb3="00000000" w:csb0="2002009F" w:csb1="00000000"/>
  </w:font>
  <w:font w:name="Gabriola">
    <w:panose1 w:val="04040605051002020D02"/>
    <w:charset w:val="00"/>
    <w:family w:val="auto"/>
    <w:pitch w:val="default"/>
    <w:sig w:usb0="E00002EF" w:usb1="5000204B" w:usb2="00000000" w:usb3="00000000" w:csb0="2000009F" w:csb1="00000000"/>
  </w:font>
  <w:font w:name="FuturaA Bk BT">
    <w:altName w:val="Arial"/>
    <w:panose1 w:val="020B0604020202020204"/>
    <w:charset w:val="00"/>
    <w:family w:val="swiss"/>
    <w:pitch w:val="default"/>
    <w:sig w:usb0="00000000" w:usb1="00000000" w:usb2="00000000" w:usb3="00000000" w:csb0="0000001B" w:csb1="00000000"/>
  </w:font>
  <w:font w:name="文鼎CS仿宋体">
    <w:altName w:val="仿宋"/>
    <w:panose1 w:val="020B0604020202020204"/>
    <w:charset w:val="86"/>
    <w:family w:val="modern"/>
    <w:pitch w:val="default"/>
    <w:sig w:usb0="00000000" w:usb1="00000000" w:usb2="00000010" w:usb3="00000000" w:csb0="00040000" w:csb1="00000000"/>
  </w:font>
  <w:font w:name="Angsana New">
    <w:altName w:val="Microsoft Sans Serif"/>
    <w:panose1 w:val="02020603050405020304"/>
    <w:charset w:val="DE"/>
    <w:family w:val="roman"/>
    <w:pitch w:val="default"/>
    <w:sig w:usb0="00000000" w:usb1="00000000" w:usb2="00000000" w:usb3="00000000" w:csb0="00010001" w:csb1="00000000"/>
  </w:font>
  <w:font w:name="华文新魏">
    <w:altName w:val="宋体"/>
    <w:panose1 w:val="02010800040101010101"/>
    <w:charset w:val="86"/>
    <w:family w:val="auto"/>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Century Schoolbook">
    <w:altName w:val="Segoe Print"/>
    <w:panose1 w:val="02040604050505020304"/>
    <w:charset w:val="00"/>
    <w:family w:val="roman"/>
    <w:pitch w:val="default"/>
    <w:sig w:usb0="00000000" w:usb1="00000000" w:usb2="00000000" w:usb3="00000000" w:csb0="2000009F" w:csb1="DFD70000"/>
  </w:font>
  <w:font w:name="MingLiU">
    <w:altName w:val="PMingLiU-ExtB"/>
    <w:panose1 w:val="02020509000000000000"/>
    <w:charset w:val="88"/>
    <w:family w:val="modern"/>
    <w:pitch w:val="default"/>
    <w:sig w:usb0="00000000" w:usb1="00000000" w:usb2="00000016" w:usb3="00000000" w:csb0="00100001" w:csb1="00000000"/>
  </w:font>
  <w:font w:name="Century">
    <w:altName w:val="Times New Roman"/>
    <w:panose1 w:val="02040604050505020304"/>
    <w:charset w:val="00"/>
    <w:family w:val="roman"/>
    <w:pitch w:val="default"/>
    <w:sig w:usb0="00000000" w:usb1="00000000" w:usb2="00000000" w:usb3="00000000" w:csb0="2000009F" w:csb1="DFD70000"/>
  </w:font>
  <w:font w:name="MS PMincho">
    <w:altName w:val="Yu Gothic UI"/>
    <w:panose1 w:val="02020600040205080304"/>
    <w:charset w:val="80"/>
    <w:family w:val="roman"/>
    <w:pitch w:val="default"/>
    <w:sig w:usb0="00000000" w:usb1="00000000" w:usb2="00000012" w:usb3="00000000" w:csb0="4002009F" w:csb1="DFD70000"/>
  </w:font>
  <w:font w:name="Syntax">
    <w:altName w:val="Segoe Print"/>
    <w:panose1 w:val="00000000000000000000"/>
    <w:charset w:val="00"/>
    <w:family w:val="auto"/>
    <w:pitch w:val="default"/>
    <w:sig w:usb0="00000000" w:usb1="00000000" w:usb2="00000000" w:usb3="00000000" w:csb0="00000001" w:csb1="00000000"/>
  </w:font>
  <w:font w:name="中圆体">
    <w:altName w:val="宋体"/>
    <w:panose1 w:val="00000000000000000000"/>
    <w:charset w:val="86"/>
    <w:family w:val="modern"/>
    <w:pitch w:val="default"/>
    <w:sig w:usb0="00000000" w:usb1="00000000" w:usb2="00000010" w:usb3="00000000" w:csb0="00040000" w:csb1="00000000"/>
  </w:font>
  <w:font w:name="Dutch801 XBd BT">
    <w:altName w:val="Segoe Print"/>
    <w:panose1 w:val="02020903060505020304"/>
    <w:charset w:val="00"/>
    <w:family w:val="roman"/>
    <w:pitch w:val="default"/>
    <w:sig w:usb0="00000000" w:usb1="00000000" w:usb2="00000000" w:usb3="00000000" w:csb0="0000001B" w:csb1="00000000"/>
  </w:font>
  <w:font w:name="Helvetica Neue">
    <w:altName w:val="宋体"/>
    <w:panose1 w:val="00000000000000000000"/>
    <w:charset w:val="86"/>
    <w:family w:val="auto"/>
    <w:pitch w:val="default"/>
    <w:sig w:usb0="00000000" w:usb1="00000000" w:usb2="00000000" w:usb3="00000000" w:csb0="00040001" w:csb1="00000000"/>
  </w:font>
  <w:font w:name="宋体-PUA">
    <w:altName w:val="宋体"/>
    <w:panose1 w:val="02010600030101010101"/>
    <w:charset w:val="86"/>
    <w:family w:val="auto"/>
    <w:pitch w:val="default"/>
    <w:sig w:usb0="00000000" w:usb1="00000000" w:usb2="00000010" w:usb3="00000000" w:csb0="00040000" w:csb1="00000000"/>
  </w:font>
  <w:font w:name="Univers LT Std 45 Light">
    <w:altName w:val="微软雅黑"/>
    <w:panose1 w:val="00000000000000000000"/>
    <w:charset w:val="86"/>
    <w:family w:val="swiss"/>
    <w:pitch w:val="default"/>
    <w:sig w:usb0="00000000" w:usb1="00000000" w:usb2="00000010" w:usb3="00000000" w:csb0="00040000" w:csb1="00000000"/>
  </w:font>
  <w:font w:name="方正行楷简体">
    <w:altName w:val="微软雅黑"/>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_x000B__x000C_">
    <w:altName w:val="Times New Roman"/>
    <w:panose1 w:val="00000000000000000000"/>
    <w:charset w:val="00"/>
    <w:family w:val="roman"/>
    <w:pitch w:val="default"/>
    <w:sig w:usb0="00000000" w:usb1="00000000" w:usb2="00000000" w:usb3="00000000" w:csb0="00000001" w:csb1="00000000"/>
  </w:font>
  <w:font w:name="MingLiU_HKSCS">
    <w:altName w:val="PMingLiU-ExtB"/>
    <w:panose1 w:val="02020500000000000000"/>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0000000000000000000"/>
    <w:charset w:val="00"/>
    <w:family w:val="auto"/>
    <w:pitch w:val="default"/>
    <w:sig w:usb0="00000000" w:usb1="00000000" w:usb2="00000000" w:usb3="00000000" w:csb0="00000000" w:csb1="00000000"/>
  </w:font>
  <w:font w:name="方正超粗黑_GBK">
    <w:altName w:val="黑体"/>
    <w:panose1 w:val="02000000000000000000"/>
    <w:charset w:val="86"/>
    <w:family w:val="script"/>
    <w:pitch w:val="default"/>
    <w:sig w:usb0="00000000" w:usb1="00000000" w:usb2="00082016" w:usb3="00000000" w:csb0="00040001" w:csb1="00000000"/>
  </w:font>
  <w:font w:name="STHeiti Light">
    <w:altName w:val="宋体"/>
    <w:panose1 w:val="00000000000000000000"/>
    <w:charset w:val="86"/>
    <w:family w:val="auto"/>
    <w:pitch w:val="default"/>
    <w:sig w:usb0="00000000" w:usb1="00000000" w:usb2="00000000" w:usb3="00000000" w:csb0="00160000" w:csb1="00000000"/>
  </w:font>
  <w:font w:name="宋体-18030">
    <w:altName w:val="微软雅黑"/>
    <w:panose1 w:val="00000000000000000000"/>
    <w:charset w:val="86"/>
    <w:family w:val="modern"/>
    <w:pitch w:val="default"/>
    <w:sig w:usb0="00000000" w:usb1="00000000" w:usb2="00000010" w:usb3="00000000" w:csb0="00040000" w:csb1="00000000"/>
  </w:font>
  <w:font w:name="Tunga">
    <w:altName w:val="Segoe UI Symbol"/>
    <w:panose1 w:val="020B0502040204020203"/>
    <w:charset w:val="00"/>
    <w:family w:val="swiss"/>
    <w:pitch w:val="default"/>
    <w:sig w:usb0="00000000" w:usb1="00000000" w:usb2="00000000" w:usb3="00000000" w:csb0="00000001" w:csb1="00000000"/>
  </w:font>
  <w:font w:name="金桥简黑体">
    <w:altName w:val="黑体"/>
    <w:panose1 w:val="00000000000000000000"/>
    <w:charset w:val="86"/>
    <w:family w:val="auto"/>
    <w:pitch w:val="default"/>
    <w:sig w:usb0="00000000" w:usb1="00000000" w:usb2="00000010" w:usb3="00000000" w:csb0="00040000" w:csb1="00000000"/>
  </w:font>
  <w:font w:name="Palatino">
    <w:altName w:val="Palatino Linotype"/>
    <w:panose1 w:val="00000000000000000000"/>
    <w:charset w:val="00"/>
    <w:family w:val="auto"/>
    <w:pitch w:val="default"/>
    <w:sig w:usb0="00000000" w:usb1="00000000" w:usb2="14600000" w:usb3="00000000" w:csb0="20000193" w:csb1="4D000000"/>
  </w:font>
  <w:font w:name="Helv">
    <w:altName w:val="Segoe Print"/>
    <w:panose1 w:val="020B0604020202030204"/>
    <w:charset w:val="00"/>
    <w:family w:val="swiss"/>
    <w:pitch w:val="default"/>
    <w:sig w:usb0="00000000" w:usb1="00000000" w:usb2="00000000" w:usb3="00000000" w:csb0="00000001" w:csb1="00000000"/>
  </w:font>
  <w:font w:name="华文楷体">
    <w:altName w:val="宋体"/>
    <w:panose1 w:val="02010600040101010101"/>
    <w:charset w:val="86"/>
    <w:family w:val="auto"/>
    <w:pitch w:val="default"/>
    <w:sig w:usb0="00000000" w:usb1="00000000" w:usb2="00000010" w:usb3="00000000" w:csb0="0004009F" w:csb1="00000000"/>
  </w:font>
  <w:font w:name="Futura Bk">
    <w:altName w:val="Segoe UI"/>
    <w:panose1 w:val="00000000000000000000"/>
    <w:charset w:val="01"/>
    <w:family w:val="swiss"/>
    <w:pitch w:val="default"/>
    <w:sig w:usb0="00000000" w:usb1="00000000" w:usb2="00000000" w:usb3="00000000" w:csb0="0000009F" w:csb1="00000000"/>
  </w:font>
  <w:font w:name="??">
    <w:altName w:val="宋体"/>
    <w:panose1 w:val="00000000000000000000"/>
    <w:charset w:val="86"/>
    <w:family w:val="auto"/>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AngsanaUPC">
    <w:altName w:val="Microsoft Sans Serif"/>
    <w:panose1 w:val="02020603050405020304"/>
    <w:charset w:val="DE"/>
    <w:family w:val="roman"/>
    <w:pitch w:val="default"/>
    <w:sig w:usb0="00000000" w:usb1="00000000" w:usb2="00000000" w:usb3="00000000" w:csb0="00010001" w:csb1="00000000"/>
  </w:font>
  <w:font w:name="H Yb 1gj">
    <w:altName w:val="宋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TimesNewRomanPS-BoldMT">
    <w:altName w:val="Times New Roman"/>
    <w:panose1 w:val="00000000000000000000"/>
    <w:charset w:val="00"/>
    <w:family w:val="roman"/>
    <w:pitch w:val="default"/>
    <w:sig w:usb0="00000000" w:usb1="00000000" w:usb2="00000009" w:usb3="00000000" w:csb0="400001FF" w:csb1="FFFF0000"/>
  </w:font>
  <w:font w:name="华文宋体">
    <w:altName w:val="宋体"/>
    <w:panose1 w:val="02010600040101010101"/>
    <w:charset w:val="86"/>
    <w:family w:val="auto"/>
    <w:pitch w:val="default"/>
    <w:sig w:usb0="00000000" w:usb1="00000000" w:usb2="00000010" w:usb3="00000000" w:csb0="0004009F" w:csb1="00000000"/>
  </w:font>
  <w:font w:name="Wingdings-Regular">
    <w:altName w:val="Segoe Print"/>
    <w:panose1 w:val="00000000000000000000"/>
    <w:charset w:val="00"/>
    <w:family w:val="roman"/>
    <w:pitch w:val="default"/>
    <w:sig w:usb0="00000000" w:usb1="00000000" w:usb2="00000000" w:usb3="00000000" w:csb0="80000000" w:csb1="00000000"/>
  </w:font>
  <w:font w:name="MS-Mincho">
    <w:altName w:val="Segoe Print"/>
    <w:panose1 w:val="00000000000000000000"/>
    <w:charset w:val="00"/>
    <w:family w:val="auto"/>
    <w:pitch w:val="default"/>
    <w:sig w:usb0="00000000" w:usb1="00000000" w:usb2="00000000" w:usb3="00000000" w:csb0="00000000" w:csb1="00000000"/>
  </w:font>
  <w:font w:name="Footlight MT Light">
    <w:altName w:val="Segoe Print"/>
    <w:panose1 w:val="0204060206030A020304"/>
    <w:charset w:val="00"/>
    <w:family w:val="roman"/>
    <w:pitch w:val="default"/>
    <w:sig w:usb0="00000000" w:usb1="00000000" w:usb2="00000000" w:usb3="00000000" w:csb0="00000001" w:csb1="00000000"/>
  </w:font>
  <w:font w:name="@宋体">
    <w:panose1 w:val="02010600030101010101"/>
    <w:charset w:val="86"/>
    <w:family w:val="auto"/>
    <w:pitch w:val="default"/>
    <w:sig w:usb0="00000203" w:usb1="288F0000" w:usb2="00000006" w:usb3="00000000" w:csb0="00040001" w:csb1="00000000"/>
  </w:font>
  <w:font w:name="SimSun-ExtB">
    <w:panose1 w:val="02010609060101010101"/>
    <w:charset w:val="86"/>
    <w:family w:val="modern"/>
    <w:pitch w:val="default"/>
    <w:sig w:usb0="00000001" w:usb1="02000000" w:usb2="00000000" w:usb3="00000000" w:csb0="00040001" w:csb1="00000000"/>
  </w:font>
  <w:font w:name="Heiti SC Medium">
    <w:altName w:val="Noto Sans SC"/>
    <w:panose1 w:val="00000000000000000000"/>
    <w:charset w:val="80"/>
    <w:family w:val="auto"/>
    <w:pitch w:val="default"/>
    <w:sig w:usb0="00000000" w:usb1="00000000" w:usb2="00000010" w:usb3="00000000" w:csb0="003E0001" w:csb1="00000000"/>
  </w:font>
  <w:font w:name="阿里巴巴普惠体 L">
    <w:altName w:val="宋体"/>
    <w:panose1 w:val="00000000000000000000"/>
    <w:charset w:val="86"/>
    <w:family w:val="roman"/>
    <w:pitch w:val="default"/>
    <w:sig w:usb0="00000000" w:usb1="00000000" w:usb2="0000001E" w:usb3="00000000" w:csb0="0004009F" w:csb1="00000000"/>
  </w:font>
  <w:font w:name="Noto Sans SC">
    <w:panose1 w:val="020B0500000000000000"/>
    <w:charset w:val="86"/>
    <w:family w:val="auto"/>
    <w:pitch w:val="default"/>
    <w:sig w:usb0="20000083" w:usb1="2ADF3C10" w:usb2="00000016" w:usb3="00000000" w:csb0="60060107" w:csb1="00000000"/>
  </w:font>
  <w:font w:name="方正小标宋_GBK">
    <w:altName w:val="微软雅黑"/>
    <w:panose1 w:val="03000509000000000000"/>
    <w:charset w:val="86"/>
    <w:family w:val="script"/>
    <w:pitch w:val="default"/>
    <w:sig w:usb0="00000000" w:usb1="00000000" w:usb2="00000010" w:usb3="00000000" w:csb0="00040000" w:csb1="00000000"/>
  </w:font>
  <w:font w:name="ksdb">
    <w:panose1 w:val="02000500000000000000"/>
    <w:charset w:val="00"/>
    <w:family w:val="auto"/>
    <w:pitch w:val="default"/>
    <w:sig w:usb0="00000001" w:usb1="00000000" w:usb2="00000000" w:usb3="00000000" w:csb0="0000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hakuyoxingshu7000">
    <w:altName w:val="宋体"/>
    <w:panose1 w:val="02000600000000000000"/>
    <w:charset w:val="86"/>
    <w:family w:val="auto"/>
    <w:pitch w:val="default"/>
    <w:sig w:usb0="00000000" w:usb1="00000000" w:usb2="0000003F" w:usb3="00000000" w:csb0="603F00FF" w:csb1="FFFF0000"/>
  </w:font>
  <w:font w:name="TimesNewRomanPSMT">
    <w:altName w:val="等线"/>
    <w:panose1 w:val="00000000000000000000"/>
    <w:charset w:val="86"/>
    <w:family w:val="auto"/>
    <w:pitch w:val="default"/>
    <w:sig w:usb0="00000000" w:usb1="00000000" w:usb2="00000010" w:usb3="00000000" w:csb0="00040000" w:csb1="00000000"/>
  </w:font>
  <w:font w:name="华文中宋">
    <w:altName w:val="宋体"/>
    <w:panose1 w:val="02010600040101010101"/>
    <w:charset w:val="00"/>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68" w:name="_Toc91899912"/>
    <w:bookmarkStart w:id="169" w:name="_Toc36110187"/>
    <w:bookmarkStart w:id="170" w:name="_Toc131845147"/>
    <w:bookmarkStart w:id="171" w:name="_Toc164085800"/>
    <w:r>
      <w:rPr>
        <w:rFonts w:hint="eastAsia" w:ascii="仿宋_GB2312" w:eastAsia="仿宋_GB2312"/>
        <w:kern w:val="0"/>
        <w:szCs w:val="21"/>
      </w:rPr>
      <w:t xml:space="preserve"> 页</w:t>
    </w:r>
    <w:bookmarkEnd w:id="168"/>
    <w:bookmarkEnd w:id="169"/>
    <w:bookmarkEnd w:id="170"/>
    <w:bookmarkEnd w:id="17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lang w:val="en-US"/>
      </w:rPr>
    </w:pPr>
    <w:r>
      <w:rPr>
        <w:rFonts w:hint="eastAsia" w:ascii="微软雅黑" w:hAnsi="微软雅黑" w:eastAsia="微软雅黑" w:cs="微软雅黑"/>
        <w:b/>
        <w:bCs/>
        <w:color w:val="1F497D"/>
        <w:u w:val="thick"/>
        <w:lang w:val="en-US" w:eastAsia="zh-CN"/>
      </w:rPr>
      <w:drawing>
        <wp:inline distT="0" distB="0" distL="114300" distR="114300">
          <wp:extent cx="671830" cy="300990"/>
          <wp:effectExtent l="0" t="0" r="4445" b="3810"/>
          <wp:docPr id="2" name="图片 2" descr="J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Y2"/>
                  <pic:cNvPicPr>
                    <a:picLocks noChangeAspect="1"/>
                  </pic:cNvPicPr>
                </pic:nvPicPr>
                <pic:blipFill>
                  <a:blip r:embed="rId1"/>
                  <a:stretch>
                    <a:fillRect/>
                  </a:stretch>
                </pic:blipFill>
                <pic:spPr>
                  <a:xfrm>
                    <a:off x="0" y="0"/>
                    <a:ext cx="671830" cy="300990"/>
                  </a:xfrm>
                  <a:prstGeom prst="rect">
                    <a:avLst/>
                  </a:prstGeom>
                  <a:noFill/>
                  <a:ln w="9525">
                    <a:noFill/>
                  </a:ln>
                </pic:spPr>
              </pic:pic>
            </a:graphicData>
          </a:graphic>
        </wp:inline>
      </w:drawing>
    </w:r>
    <w:r>
      <w:rPr>
        <w:rFonts w:hint="eastAsia" w:ascii="微软雅黑" w:hAnsi="微软雅黑" w:eastAsia="微软雅黑" w:cs="微软雅黑"/>
        <w:b/>
        <w:bCs/>
        <w:color w:val="1F497D"/>
        <w:sz w:val="21"/>
        <w:szCs w:val="21"/>
        <w:u w:val="thick"/>
        <w:lang w:val="en-US" w:eastAsia="zh-CN"/>
      </w:rPr>
      <w:t>吉亿工程管理服务（诸暨）有限公司</w:t>
    </w:r>
    <w:r>
      <w:rPr>
        <w:rFonts w:hint="eastAsia" w:ascii="微软雅黑" w:hAnsi="微软雅黑" w:eastAsia="微软雅黑" w:cs="微软雅黑"/>
        <w:b/>
        <w:bCs/>
        <w:color w:val="1F497D"/>
        <w:sz w:val="21"/>
        <w:szCs w:val="21"/>
        <w:u w:val="thick"/>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aYJL0wAAAAUBAAAPAAAAAAAAAAEAIAAAACIAAABkcnMvZG93bnJldi54bWxQSwECFAAUAAAA&#10;CACHTuJADuqtmroBAABYAwAADgAAAAAAAAABACAAAAAiAQAAZHJzL2Uyb0RvYy54bWxQSwUGAAAA&#10;AAYABgBZAQAATgUAAAAA&#10;">
              <v:fill on="f" focussize="0,0"/>
              <v:stroke on="f" weight="1.25pt"/>
              <v:imagedata o:title=""/>
              <o:lock v:ext="edit" aspectratio="f"/>
              <v:textbox inset="0mm,0mm,0mm,0mm" style="mso-fit-shape-to-text:t;">
                <w:txbxContent>
                  <w:p>
                    <w:pPr>
                      <w:pStyle w:val="41"/>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ascii="微软雅黑" w:hAnsi="微软雅黑" w:eastAsia="微软雅黑" w:cs="微软雅黑"/>
        <w:b/>
        <w:bCs/>
        <w:color w:val="1F497D"/>
        <w:sz w:val="21"/>
        <w:szCs w:val="21"/>
        <w:u w:val="thick"/>
        <w:lang w:val="en-US" w:eastAsia="zh-CN"/>
      </w:rPr>
      <w:t xml:space="preserve"> </w:t>
    </w:r>
    <w:r>
      <w:rPr>
        <w:rFonts w:hint="eastAsia" w:ascii="微软雅黑" w:hAnsi="微软雅黑" w:eastAsia="微软雅黑" w:cs="微软雅黑"/>
        <w:b/>
        <w:bCs/>
        <w:color w:val="1F497D"/>
        <w:u w:val="thick"/>
        <w:lang w:val="en-US" w:eastAsia="zh-CN"/>
      </w:rPr>
      <w:t xml:space="preserve">     </w:t>
    </w:r>
    <w:r>
      <w:rPr>
        <w:rFonts w:hint="eastAsia" w:ascii="微软雅黑" w:hAnsi="微软雅黑" w:eastAsia="微软雅黑" w:cs="微软雅黑"/>
        <w:b/>
        <w:bCs/>
        <w:color w:val="1F497D"/>
        <w:sz w:val="18"/>
        <w:szCs w:val="18"/>
        <w:u w:val="thick"/>
      </w:rPr>
      <w:t xml:space="preserve">                                        </w:t>
    </w:r>
    <w:r>
      <w:rPr>
        <w:rFonts w:hint="eastAsia" w:ascii="微软雅黑" w:hAnsi="微软雅黑" w:eastAsia="微软雅黑" w:cs="微软雅黑"/>
        <w:b/>
        <w:bCs/>
        <w:color w:val="1F497D"/>
        <w:sz w:val="18"/>
        <w:szCs w:val="18"/>
        <w:u w:val="thick" w:color="1F497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ascii="微软雅黑" w:hAnsi="微软雅黑" w:eastAsia="微软雅黑" w:cs="微软雅黑"/>
        <w:b/>
        <w:bCs/>
        <w:color w:val="1F497D"/>
        <w:u w:val="thick"/>
        <w:lang w:val="en-US" w:eastAsia="zh-CN"/>
      </w:rPr>
      <w:drawing>
        <wp:inline distT="0" distB="0" distL="114300" distR="114300">
          <wp:extent cx="671830" cy="300990"/>
          <wp:effectExtent l="0" t="0" r="4445" b="3810"/>
          <wp:docPr id="3" name="图片 2" descr="J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JY2"/>
                  <pic:cNvPicPr>
                    <a:picLocks noChangeAspect="1"/>
                  </pic:cNvPicPr>
                </pic:nvPicPr>
                <pic:blipFill>
                  <a:blip r:embed="rId1"/>
                  <a:stretch>
                    <a:fillRect/>
                  </a:stretch>
                </pic:blipFill>
                <pic:spPr>
                  <a:xfrm>
                    <a:off x="0" y="0"/>
                    <a:ext cx="671830" cy="300990"/>
                  </a:xfrm>
                  <a:prstGeom prst="rect">
                    <a:avLst/>
                  </a:prstGeom>
                  <a:noFill/>
                  <a:ln w="9525">
                    <a:noFill/>
                  </a:ln>
                </pic:spPr>
              </pic:pic>
            </a:graphicData>
          </a:graphic>
        </wp:inline>
      </w:drawing>
    </w:r>
    <w:r>
      <w:rPr>
        <w:rFonts w:hint="eastAsia" w:ascii="微软雅黑" w:hAnsi="微软雅黑" w:eastAsia="微软雅黑" w:cs="微软雅黑"/>
        <w:b/>
        <w:bCs/>
        <w:color w:val="1F497D"/>
        <w:sz w:val="21"/>
        <w:szCs w:val="21"/>
        <w:u w:val="thick"/>
        <w:lang w:val="en-US" w:eastAsia="zh-CN"/>
      </w:rPr>
      <w:t>吉亿工程管理服务（诸暨）有限公司</w:t>
    </w:r>
    <w:r>
      <w:rPr>
        <w:rFonts w:hint="eastAsia" w:ascii="微软雅黑" w:hAnsi="微软雅黑" w:eastAsia="微软雅黑" w:cs="微软雅黑"/>
        <w:b/>
        <w:bCs/>
        <w:color w:val="1F497D"/>
        <w:sz w:val="21"/>
        <w:szCs w:val="21"/>
        <w:u w:val="thick"/>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aYJL0wAAAAUBAAAPAAAAAAAAAAEAIAAAACIAAABkcnMvZG93bnJldi54bWxQSwECFAAUAAAA&#10;CACHTuJAvr9cg7oBAABYAwAADgAAAAAAAAABACAAAAAiAQAAZHJzL2Uyb0RvYy54bWxQSwUGAAAA&#10;AAYABgBZAQAATgUAAAAA&#10;">
              <v:fill on="f" focussize="0,0"/>
              <v:stroke on="f" weight="1.25pt"/>
              <v:imagedata o:title=""/>
              <o:lock v:ext="edit" aspectratio="f"/>
              <v:textbox inset="0mm,0mm,0mm,0mm" style="mso-fit-shape-to-text:t;">
                <w:txbxContent>
                  <w:p>
                    <w:pPr>
                      <w:pStyle w:val="41"/>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ascii="微软雅黑" w:hAnsi="微软雅黑" w:eastAsia="微软雅黑" w:cs="微软雅黑"/>
        <w:b/>
        <w:bCs/>
        <w:color w:val="1F497D"/>
        <w:sz w:val="21"/>
        <w:szCs w:val="21"/>
        <w:u w:val="thick"/>
        <w:lang w:val="en-US" w:eastAsia="zh-CN"/>
      </w:rPr>
      <w:t xml:space="preserve"> </w:t>
    </w:r>
    <w:r>
      <w:rPr>
        <w:rFonts w:hint="eastAsia" w:ascii="微软雅黑" w:hAnsi="微软雅黑" w:eastAsia="微软雅黑" w:cs="微软雅黑"/>
        <w:b/>
        <w:bCs/>
        <w:color w:val="1F497D"/>
        <w:u w:val="thick"/>
        <w:lang w:val="en-US" w:eastAsia="zh-CN"/>
      </w:rPr>
      <w:t xml:space="preserve">     </w:t>
    </w:r>
    <w:r>
      <w:rPr>
        <w:rFonts w:hint="eastAsia" w:ascii="微软雅黑" w:hAnsi="微软雅黑" w:eastAsia="微软雅黑" w:cs="微软雅黑"/>
        <w:b/>
        <w:bCs/>
        <w:color w:val="1F497D"/>
        <w:sz w:val="18"/>
        <w:szCs w:val="18"/>
        <w:u w:val="thick"/>
      </w:rPr>
      <w:t xml:space="preserve">                                        </w:t>
    </w:r>
    <w:r>
      <w:rPr>
        <w:rFonts w:hint="eastAsia" w:ascii="微软雅黑" w:hAnsi="微软雅黑" w:eastAsia="微软雅黑" w:cs="微软雅黑"/>
        <w:b/>
        <w:bCs/>
        <w:color w:val="1F497D"/>
        <w:sz w:val="18"/>
        <w:szCs w:val="18"/>
        <w:u w:val="thick" w:color="1F497D"/>
      </w:rPr>
      <w:t xml:space="preserve"> </w:t>
    </w:r>
  </w:p>
  <w:p>
    <w:pPr>
      <w:pStyle w:val="45"/>
      <w:pBdr>
        <w:bottom w:val="none" w:color="auto" w:sz="0" w:space="0"/>
      </w:pBdr>
      <w:tabs>
        <w:tab w:val="clear" w:pos="4153"/>
        <w:tab w:val="clear" w:pos="8306"/>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5"/>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both"/>
      <w:rPr>
        <w:rFonts w:ascii="仿宋_GB2312" w:eastAsia="仿宋_GB2312"/>
        <w:b w:val="0"/>
        <w:i/>
        <w:sz w:val="18"/>
        <w:u w:val="single"/>
        <w:lang w:val="en-US"/>
      </w:rPr>
    </w:pPr>
    <w:r>
      <w:t></w:t>
    </w:r>
    <w:r>
      <w:rPr>
        <w:rFonts w:hint="eastAsia" w:ascii="微软雅黑" w:hAnsi="微软雅黑" w:eastAsia="微软雅黑" w:cs="微软雅黑"/>
        <w:b/>
        <w:bCs/>
        <w:color w:val="1F497D"/>
        <w:u w:val="thick"/>
        <w:lang w:val="en-US" w:eastAsia="zh-CN"/>
      </w:rPr>
      <w:drawing>
        <wp:inline distT="0" distB="0" distL="114300" distR="114300">
          <wp:extent cx="671830" cy="300990"/>
          <wp:effectExtent l="0" t="0" r="4445" b="3810"/>
          <wp:docPr id="7" name="图片 4" descr="J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JY2"/>
                  <pic:cNvPicPr>
                    <a:picLocks noChangeAspect="1"/>
                  </pic:cNvPicPr>
                </pic:nvPicPr>
                <pic:blipFill>
                  <a:blip r:embed="rId1"/>
                  <a:stretch>
                    <a:fillRect/>
                  </a:stretch>
                </pic:blipFill>
                <pic:spPr>
                  <a:xfrm>
                    <a:off x="0" y="0"/>
                    <a:ext cx="671830" cy="300990"/>
                  </a:xfrm>
                  <a:prstGeom prst="rect">
                    <a:avLst/>
                  </a:prstGeom>
                  <a:noFill/>
                  <a:ln w="9525">
                    <a:noFill/>
                  </a:ln>
                </pic:spPr>
              </pic:pic>
            </a:graphicData>
          </a:graphic>
        </wp:inline>
      </w:drawing>
    </w:r>
    <w:r>
      <w:rPr>
        <w:rFonts w:hint="eastAsia" w:ascii="微软雅黑" w:hAnsi="微软雅黑" w:eastAsia="微软雅黑" w:cs="微软雅黑"/>
        <w:b/>
        <w:bCs/>
        <w:color w:val="1F497D"/>
        <w:sz w:val="21"/>
        <w:szCs w:val="21"/>
        <w:u w:val="thick"/>
        <w:lang w:val="en-US" w:eastAsia="zh-CN"/>
      </w:rPr>
      <w:t xml:space="preserve">吉亿工程管理服务（诸暨）有限公司 </w:t>
    </w:r>
    <w:r>
      <w:rPr>
        <w:rFonts w:hint="eastAsia" w:ascii="微软雅黑" w:hAnsi="微软雅黑" w:eastAsia="微软雅黑" w:cs="微软雅黑"/>
        <w:b/>
        <w:bCs/>
        <w:color w:val="1F497D"/>
        <w:u w:val="thick"/>
        <w:lang w:val="en-US" w:eastAsia="zh-CN"/>
      </w:rPr>
      <w:t xml:space="preserve">     </w:t>
    </w:r>
    <w:r>
      <w:rPr>
        <w:rFonts w:hint="eastAsia" w:ascii="微软雅黑" w:hAnsi="微软雅黑" w:eastAsia="微软雅黑" w:cs="微软雅黑"/>
        <w:b/>
        <w:bCs/>
        <w:color w:val="1F497D"/>
        <w:sz w:val="18"/>
        <w:szCs w:val="18"/>
        <w:u w:val="thick"/>
      </w:rPr>
      <w:t xml:space="preserve">                  </w:t>
    </w:r>
    <w:r>
      <w:rPr>
        <w:rFonts w:hint="eastAsia" w:ascii="微软雅黑" w:hAnsi="微软雅黑" w:eastAsia="微软雅黑" w:cs="微软雅黑"/>
        <w:b/>
        <w:bCs/>
        <w:color w:val="1F497D"/>
        <w:sz w:val="18"/>
        <w:szCs w:val="18"/>
        <w:u w:val="thick"/>
        <w:lang w:val="en-US" w:eastAsia="zh-CN"/>
      </w:rPr>
      <w:t xml:space="preserve">  </w:t>
    </w:r>
    <w:r>
      <w:rPr>
        <w:rFonts w:hint="eastAsia" w:ascii="微软雅黑" w:hAnsi="微软雅黑" w:eastAsia="微软雅黑" w:cs="微软雅黑"/>
        <w:b/>
        <w:bCs/>
        <w:color w:val="1F497D"/>
        <w:sz w:val="18"/>
        <w:szCs w:val="18"/>
        <w:u w:val="thick"/>
      </w:rPr>
      <w:t xml:space="preserve">                  </w:t>
    </w:r>
    <w:r>
      <w:rPr>
        <w:rFonts w:hint="eastAsia" w:ascii="微软雅黑" w:hAnsi="微软雅黑" w:eastAsia="微软雅黑" w:cs="微软雅黑"/>
        <w:b/>
        <w:bCs/>
        <w:color w:val="1F497D"/>
        <w:sz w:val="18"/>
        <w:szCs w:val="18"/>
        <w:u w:val="thick"/>
        <w:lang w:val="en-US" w:eastAsia="zh-CN"/>
      </w:rPr>
      <w:t xml:space="preserve">          </w:t>
    </w:r>
  </w:p>
  <w:p>
    <w:pPr>
      <w:pStyle w:val="45"/>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4D9F0CF"/>
    <w:multiLevelType w:val="singleLevel"/>
    <w:tmpl w:val="64D9F0CF"/>
    <w:lvl w:ilvl="0" w:tentative="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0MjVjZDFhZGJkMjUxNWYxMGM3YTA2NjU0MjgzMTUifQ=="/>
  </w:docVars>
  <w:rsids>
    <w:rsidRoot w:val="00000000"/>
    <w:rsid w:val="033E089E"/>
    <w:rsid w:val="06D74677"/>
    <w:rsid w:val="0858421B"/>
    <w:rsid w:val="0983157E"/>
    <w:rsid w:val="0FA0239A"/>
    <w:rsid w:val="106D0D73"/>
    <w:rsid w:val="12E2363C"/>
    <w:rsid w:val="14127BE9"/>
    <w:rsid w:val="169E17AF"/>
    <w:rsid w:val="184F5003"/>
    <w:rsid w:val="1CF7011C"/>
    <w:rsid w:val="1D581DF2"/>
    <w:rsid w:val="2298397F"/>
    <w:rsid w:val="237C68CD"/>
    <w:rsid w:val="271D3BE7"/>
    <w:rsid w:val="2B6F2BA1"/>
    <w:rsid w:val="2BED41A2"/>
    <w:rsid w:val="2CDA6E57"/>
    <w:rsid w:val="32951094"/>
    <w:rsid w:val="352E43E3"/>
    <w:rsid w:val="363E0E14"/>
    <w:rsid w:val="368F00FB"/>
    <w:rsid w:val="3F326AC0"/>
    <w:rsid w:val="4AF6242D"/>
    <w:rsid w:val="4DE4148C"/>
    <w:rsid w:val="4FAE554B"/>
    <w:rsid w:val="502E1A88"/>
    <w:rsid w:val="50C301CB"/>
    <w:rsid w:val="57DAE6E1"/>
    <w:rsid w:val="5A0E315C"/>
    <w:rsid w:val="5A4F1115"/>
    <w:rsid w:val="5B183735"/>
    <w:rsid w:val="5DC076FF"/>
    <w:rsid w:val="5F665FB3"/>
    <w:rsid w:val="609B1669"/>
    <w:rsid w:val="642152E2"/>
    <w:rsid w:val="65077AE2"/>
    <w:rsid w:val="6AEF1016"/>
    <w:rsid w:val="729E74BD"/>
    <w:rsid w:val="73BA1E22"/>
    <w:rsid w:val="77E72480"/>
    <w:rsid w:val="7ACA154A"/>
    <w:rsid w:val="7CA76DC2"/>
    <w:rsid w:val="7E92654F"/>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3">
    <w:name w:val="Default Paragraph Font"/>
    <w:qFormat/>
    <w:uiPriority w:val="1"/>
  </w:style>
  <w:style w:type="table" w:default="1" w:styleId="73">
    <w:name w:val="Normal Table"/>
    <w:qFormat/>
    <w:uiPriority w:val="99"/>
    <w:tblPr>
      <w:tblLayout w:type="fixed"/>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1"/>
    <w:qFormat/>
    <w:uiPriority w:val="0"/>
    <w:pPr>
      <w:ind w:firstLine="420"/>
    </w:pPr>
    <w:rPr>
      <w:rFonts w:hAnsi="Calibri" w:cs="Times New Roman"/>
      <w:snapToGrid/>
      <w:szCs w:val="20"/>
    </w:rPr>
  </w:style>
  <w:style w:type="paragraph" w:styleId="7">
    <w:name w:val="Normal Indent"/>
    <w:basedOn w:val="1"/>
    <w:next w:val="8"/>
    <w:link w:val="194"/>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1"/>
    <w:link w:val="265"/>
    <w:qFormat/>
    <w:uiPriority w:val="0"/>
    <w:pPr>
      <w:spacing w:line="480" w:lineRule="exact"/>
      <w:ind w:firstLine="480" w:firstLineChars="200"/>
    </w:pPr>
    <w:rPr>
      <w:rFonts w:ascii="宋体" w:hAnsi="宋体"/>
      <w:sz w:val="24"/>
    </w:rPr>
  </w:style>
  <w:style w:type="paragraph" w:styleId="15">
    <w:name w:val="annotation subject"/>
    <w:basedOn w:val="16"/>
    <w:next w:val="16"/>
    <w:link w:val="97"/>
    <w:qFormat/>
    <w:uiPriority w:val="0"/>
    <w:rPr>
      <w:b/>
      <w:bCs/>
    </w:rPr>
  </w:style>
  <w:style w:type="paragraph" w:styleId="16">
    <w:name w:val="annotation text"/>
    <w:basedOn w:val="1"/>
    <w:link w:val="344"/>
    <w:qFormat/>
    <w:uiPriority w:val="99"/>
    <w:pPr>
      <w:jc w:val="left"/>
    </w:pPr>
  </w:style>
  <w:style w:type="paragraph" w:styleId="17">
    <w:name w:val="toc 7"/>
    <w:basedOn w:val="1"/>
    <w:next w:val="1"/>
    <w:qFormat/>
    <w:uiPriority w:val="0"/>
    <w:pPr>
      <w:ind w:left="2520" w:leftChars="1200"/>
    </w:pPr>
  </w:style>
  <w:style w:type="paragraph" w:styleId="18">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9">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1">
    <w:name w:val="caption"/>
    <w:basedOn w:val="1"/>
    <w:next w:val="1"/>
    <w:link w:val="230"/>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203"/>
    <w:qFormat/>
    <w:uiPriority w:val="0"/>
    <w:pPr>
      <w:shd w:val="clear" w:color="auto" w:fill="000080"/>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2"/>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next w:val="42"/>
    <w:link w:val="383"/>
    <w:qFormat/>
    <w:uiPriority w:val="99"/>
    <w:pPr>
      <w:tabs>
        <w:tab w:val="center" w:pos="4153"/>
        <w:tab w:val="right" w:pos="8306"/>
      </w:tabs>
      <w:snapToGrid w:val="0"/>
      <w:jc w:val="left"/>
    </w:pPr>
    <w:rPr>
      <w:sz w:val="18"/>
      <w:szCs w:val="18"/>
    </w:rPr>
  </w:style>
  <w:style w:type="paragraph" w:styleId="42">
    <w:name w:val="toc 2"/>
    <w:basedOn w:val="1"/>
    <w:next w:val="1"/>
    <w:qFormat/>
    <w:uiPriority w:val="0"/>
    <w:pPr>
      <w:ind w:left="420" w:leftChars="200"/>
    </w:pPr>
  </w:style>
  <w:style w:type="paragraph" w:styleId="43">
    <w:name w:val="envelope return"/>
    <w:basedOn w:val="1"/>
    <w:qFormat/>
    <w:uiPriority w:val="0"/>
    <w:pPr>
      <w:snapToGrid w:val="0"/>
    </w:pPr>
    <w:rPr>
      <w:rFonts w:ascii="Arial" w:hAnsi="Arial"/>
    </w:rPr>
  </w:style>
  <w:style w:type="paragraph" w:styleId="44">
    <w:name w:val="Body Text First Indent 2"/>
    <w:basedOn w:val="8"/>
    <w:link w:val="122"/>
    <w:qFormat/>
    <w:uiPriority w:val="0"/>
    <w:pPr>
      <w:adjustRightInd/>
      <w:spacing w:after="120" w:line="240" w:lineRule="auto"/>
      <w:ind w:left="420" w:leftChars="200" w:firstLine="210"/>
    </w:pPr>
    <w:rPr>
      <w:sz w:val="21"/>
    </w:rPr>
  </w:style>
  <w:style w:type="paragraph" w:styleId="45">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5">
    <w:name w:val="toc 6"/>
    <w:basedOn w:val="1"/>
    <w:next w:val="1"/>
    <w:qFormat/>
    <w:uiPriority w:val="0"/>
    <w:pPr>
      <w:ind w:left="2100" w:leftChars="1000"/>
    </w:pPr>
  </w:style>
  <w:style w:type="paragraph" w:styleId="56">
    <w:name w:val="List 5"/>
    <w:basedOn w:val="1"/>
    <w:qFormat/>
    <w:uiPriority w:val="0"/>
    <w:pPr>
      <w:adjustRightInd/>
      <w:ind w:left="100" w:leftChars="800" w:hanging="200" w:hangingChars="200"/>
    </w:pPr>
  </w:style>
  <w:style w:type="paragraph" w:styleId="57">
    <w:name w:val="Body Text Indent 3"/>
    <w:basedOn w:val="1"/>
    <w:link w:val="375"/>
    <w:qFormat/>
    <w:uiPriority w:val="0"/>
    <w:pPr>
      <w:spacing w:line="360" w:lineRule="auto"/>
      <w:ind w:firstLine="420"/>
    </w:pPr>
    <w:rPr>
      <w:sz w:val="24"/>
      <w:szCs w:val="20"/>
    </w:rPr>
  </w:style>
  <w:style w:type="paragraph" w:styleId="58">
    <w:name w:val="toc 9"/>
    <w:basedOn w:val="1"/>
    <w:next w:val="1"/>
    <w:qFormat/>
    <w:uiPriority w:val="0"/>
    <w:pPr>
      <w:ind w:left="3360" w:leftChars="1600"/>
    </w:pPr>
  </w:style>
  <w:style w:type="paragraph" w:styleId="59">
    <w:name w:val="Body Text 2"/>
    <w:basedOn w:val="1"/>
    <w:link w:val="302"/>
    <w:qFormat/>
    <w:uiPriority w:val="0"/>
    <w:pPr>
      <w:spacing w:after="120" w:line="480" w:lineRule="auto"/>
    </w:pPr>
  </w:style>
  <w:style w:type="paragraph" w:styleId="60">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character" w:styleId="64">
    <w:name w:val="Strong"/>
    <w:qFormat/>
    <w:uiPriority w:val="22"/>
    <w:rPr>
      <w:b/>
      <w:bCs/>
    </w:rPr>
  </w:style>
  <w:style w:type="character" w:styleId="65">
    <w:name w:val="endnote reference"/>
    <w:qFormat/>
    <w:uiPriority w:val="0"/>
    <w:rPr>
      <w:vertAlign w:val="superscript"/>
    </w:rPr>
  </w:style>
  <w:style w:type="character" w:styleId="66">
    <w:name w:val="page number"/>
    <w:basedOn w:val="63"/>
    <w:qFormat/>
    <w:uiPriority w:val="0"/>
    <w:rPr>
      <w:rFonts w:ascii="Arial" w:hAnsi="Arial" w:eastAsia="黑体" w:cs="Arial"/>
      <w:snapToGrid w:val="0"/>
      <w:kern w:val="0"/>
      <w:szCs w:val="21"/>
    </w:rPr>
  </w:style>
  <w:style w:type="character" w:styleId="67">
    <w:name w:val="FollowedHyperlink"/>
    <w:qFormat/>
    <w:uiPriority w:val="99"/>
    <w:rPr>
      <w:rFonts w:ascii="Arial" w:hAnsi="Arial" w:eastAsia="黑体" w:cs="Arial"/>
      <w:snapToGrid w:val="0"/>
      <w:color w:val="000000"/>
      <w:kern w:val="0"/>
      <w:sz w:val="18"/>
      <w:szCs w:val="18"/>
      <w:u w:val="none"/>
    </w:rPr>
  </w:style>
  <w:style w:type="character" w:styleId="68">
    <w:name w:val="Emphasis"/>
    <w:qFormat/>
    <w:uiPriority w:val="20"/>
    <w:rPr>
      <w:color w:val="CC0033"/>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table" w:styleId="74">
    <w:name w:val="Table Grid"/>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5">
    <w:name w:val="Table Theme"/>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6">
    <w:name w:val="Table Elegant"/>
    <w:basedOn w:val="7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7">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8">
    <w:name w:val="Table Grid 8"/>
    <w:basedOn w:val="7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9">
    <w:name w:val="Table Professional"/>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15"/>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44"/>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3"/>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51"/>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1"/>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4"/>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3"/>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3"/>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9"/>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1"/>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8"/>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2"/>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0"/>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60"/>
    <w:qFormat/>
    <w:uiPriority w:val="0"/>
    <w:rPr>
      <w:rFonts w:ascii="黑体" w:hAnsi="Courier New" w:eastAsia="黑体"/>
    </w:rPr>
  </w:style>
  <w:style w:type="character" w:customStyle="1" w:styleId="302">
    <w:name w:val="正文文本 2 Char1"/>
    <w:link w:val="59"/>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9"/>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2"/>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4"/>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9"/>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6"/>
    <w:qFormat/>
    <w:uiPriority w:val="0"/>
    <w:rPr>
      <w:kern w:val="2"/>
      <w:sz w:val="21"/>
      <w:szCs w:val="24"/>
    </w:rPr>
  </w:style>
  <w:style w:type="character" w:customStyle="1" w:styleId="345">
    <w:name w:val="签名 Char"/>
    <w:link w:val="46"/>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3"/>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7"/>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5"/>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3"/>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63"/>
    <w:qFormat/>
    <w:uiPriority w:val="0"/>
    <w:rPr>
      <w:rFonts w:ascii="Arial" w:hAnsi="Arial" w:eastAsia="黑体" w:cs="Arial"/>
      <w:snapToGrid w:val="0"/>
      <w:kern w:val="0"/>
      <w:szCs w:val="21"/>
    </w:rPr>
  </w:style>
  <w:style w:type="character" w:customStyle="1" w:styleId="432">
    <w:name w:val="hui"/>
    <w:basedOn w:val="63"/>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9"/>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0"/>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9"/>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9"/>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9"/>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7"/>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20"/>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3"/>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0"/>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1"/>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6"/>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3"/>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5">
    <w:name w:val="网格型4"/>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6">
    <w:name w:val="网格型5"/>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3"/>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自动更正"/>
    <w:qFormat/>
    <w:uiPriority w:val="99"/>
    <w:pPr>
      <w:widowControl w:val="0"/>
    </w:pPr>
    <w:rPr>
      <w:rFonts w:ascii="Times New Roman" w:hAnsi="Times New Roman" w:eastAsia="宋体" w:cs="Times New Roman"/>
      <w:kern w:val="2"/>
      <w:sz w:val="24"/>
      <w:szCs w:val="24"/>
      <w:lang w:val="en-US" w:eastAsia="zh-CN" w:bidi="ar-SA"/>
    </w:rPr>
  </w:style>
  <w:style w:type="character" w:customStyle="1" w:styleId="96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58059</Words>
  <Characters>62754</Characters>
  <Paragraphs>2030</Paragraphs>
  <ScaleCrop>false</ScaleCrop>
  <LinksUpToDate>false</LinksUpToDate>
  <CharactersWithSpaces>69958</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吉亿</cp:lastModifiedBy>
  <cp:lastPrinted>2021-12-28T11:06:00Z</cp:lastPrinted>
  <dcterms:modified xsi:type="dcterms:W3CDTF">2024-08-01T01:27:26Z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B22BDCA10C994F66B3EB12A2C35BB6F5_13</vt:lpwstr>
  </property>
</Properties>
</file>