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仿宋" w:hAnsi="仿宋" w:eastAsia="仿宋" w:cs="仿宋"/>
          <w:b/>
          <w:sz w:val="48"/>
          <w:szCs w:val="48"/>
          <w:highlight w:val="none"/>
        </w:rPr>
      </w:pPr>
    </w:p>
    <w:p>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劳动人事争议“类案同裁”</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招标编号:SXHY-2024CG-1106</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绍兴市人力资源和社会保障局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881280062"/>
              </w:rPr>
              <w:t>采购代理机构</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val="en-US" w:eastAsia="zh-CN"/>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十一</w:t>
            </w:r>
            <w:r>
              <w:rPr>
                <w:rFonts w:hint="eastAsia" w:ascii="仿宋" w:hAnsi="仿宋" w:eastAsia="仿宋" w:cs="仿宋"/>
                <w:sz w:val="28"/>
                <w:szCs w:val="28"/>
                <w:highlight w:val="none"/>
              </w:rPr>
              <w:t>月</w:t>
            </w:r>
          </w:p>
        </w:tc>
      </w:tr>
    </w:tbl>
    <w:p>
      <w:pPr>
        <w:pStyle w:val="635"/>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劳动人事争议“类案同裁”</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szCs w:val="32"/>
          <w:highlight w:val="none"/>
          <w:lang w:eastAsia="zh-CN"/>
        </w:rPr>
        <w:t>SXHY-2024CG-1106</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劳动人事争议“类案同裁”</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szCs w:val="24"/>
          <w:highlight w:val="none"/>
          <w:lang w:val="en-US" w:eastAsia="zh-CN"/>
        </w:rPr>
        <w:t>2000000.00元</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val="en-US" w:eastAsia="zh-CN"/>
        </w:rPr>
        <w:t>2000000.00元</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标项名称：劳动人事争议“类案同裁”</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szCs w:val="24"/>
          <w:highlight w:val="none"/>
          <w:lang w:val="en-US" w:eastAsia="zh-CN"/>
        </w:rPr>
        <w:t>2000000.00元</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主要内容：详见采购文件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简要规格描述、项目基本概况介绍、用途：详见采购文件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bookmarkStart w:id="5" w:name="OLE_LINK2"/>
      <w:r>
        <w:rPr>
          <w:rFonts w:hint="eastAsia" w:ascii="仿宋" w:hAnsi="仿宋" w:eastAsia="仿宋" w:cs="仿宋"/>
          <w:color w:val="auto"/>
          <w:sz w:val="24"/>
          <w:highlight w:val="none"/>
          <w:u w:val="none"/>
        </w:rPr>
        <w:t>按双方合同约定条款执行</w:t>
      </w:r>
      <w:r>
        <w:rPr>
          <w:rFonts w:hint="eastAsia" w:ascii="仿宋" w:hAnsi="仿宋" w:eastAsia="仿宋" w:cs="仿宋"/>
          <w:color w:val="auto"/>
          <w:sz w:val="24"/>
          <w:highlight w:val="none"/>
          <w:u w:val="none"/>
          <w:lang w:eastAsia="zh-CN"/>
        </w:rPr>
        <w:t>。</w:t>
      </w:r>
      <w:bookmarkEnd w:id="5"/>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highlight w:val="none"/>
          </w:rPr>
          <w:id w:val="147472339"/>
          <w:showingPlcHdr/>
        </w:sdtPr>
        <w:sdtEndPr>
          <w:rPr>
            <w:rFonts w:hint="eastAsia" w:ascii="仿宋" w:hAnsi="仿宋" w:eastAsia="仿宋" w:cs="仿宋"/>
            <w:color w:val="auto"/>
            <w:highlight w:val="none"/>
          </w:rPr>
        </w:sdtEndPr>
        <w:sdtContent/>
      </w:sdt>
      <w:r>
        <w:rPr>
          <w:rFonts w:hint="eastAsia" w:ascii="仿宋" w:hAnsi="仿宋" w:eastAsia="仿宋" w:cs="仿宋"/>
          <w:b/>
          <w:color w:val="auto"/>
          <w:sz w:val="24"/>
          <w:highlight w:val="none"/>
        </w:rPr>
        <w:t>是，</w:t>
      </w:r>
      <w:sdt>
        <w:sdtPr>
          <w:rPr>
            <w:rFonts w:hint="eastAsia" w:ascii="仿宋" w:hAnsi="仿宋" w:eastAsia="仿宋" w:cs="仿宋"/>
            <w:color w:val="auto"/>
            <w:highlight w:val="none"/>
          </w:rPr>
          <w:id w:val="147483173"/>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5349704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5349705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Cs w:val="24"/>
          <w:highlight w:val="none"/>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6" w:name="_Toc28359019"/>
      <w:bookmarkStart w:id="7" w:name="_Toc28359096"/>
      <w:bookmarkStart w:id="8" w:name="_Toc35393806"/>
      <w:bookmarkStart w:id="9" w:name="_Toc35393637"/>
      <w:r>
        <w:rPr>
          <w:rFonts w:hint="eastAsia" w:ascii="仿宋" w:hAnsi="仿宋" w:eastAsia="仿宋" w:cs="仿宋"/>
          <w:color w:val="auto"/>
          <w:sz w:val="24"/>
          <w:szCs w:val="24"/>
          <w:highlight w:val="none"/>
        </w:rPr>
        <w:t>1.采购人信息</w:t>
      </w:r>
      <w:bookmarkEnd w:id="6"/>
      <w:bookmarkEnd w:id="7"/>
      <w:bookmarkEnd w:id="8"/>
      <w:bookmarkEnd w:id="9"/>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称：绍兴市人力资源和社会保障局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址：浙江省绍兴市越城区曲屯路368号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项目联系人（询问）： </w:t>
      </w:r>
      <w:r>
        <w:rPr>
          <w:rFonts w:hint="eastAsia" w:ascii="仿宋" w:hAnsi="仿宋" w:eastAsia="仿宋" w:cs="仿宋"/>
          <w:color w:val="auto"/>
          <w:sz w:val="24"/>
          <w:highlight w:val="none"/>
          <w:lang w:eastAsia="zh-CN"/>
        </w:rPr>
        <w:t>倪伟永</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0575-81505396</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质疑联系人： </w:t>
      </w:r>
      <w:r>
        <w:rPr>
          <w:rFonts w:hint="eastAsia" w:ascii="仿宋" w:hAnsi="仿宋" w:eastAsia="仿宋" w:cs="仿宋"/>
          <w:color w:val="auto"/>
          <w:sz w:val="24"/>
          <w:highlight w:val="none"/>
          <w:lang w:eastAsia="zh-CN"/>
        </w:rPr>
        <w:t>叶君</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0575-81505302</w:t>
      </w:r>
    </w:p>
    <w:p>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10" w:name="_Toc35393638"/>
      <w:bookmarkStart w:id="11" w:name="_Toc28359020"/>
      <w:bookmarkStart w:id="12" w:name="_Toc35393807"/>
      <w:bookmarkStart w:id="13" w:name="_Toc28359097"/>
      <w:r>
        <w:rPr>
          <w:rFonts w:hint="eastAsia" w:ascii="仿宋" w:hAnsi="仿宋" w:eastAsia="仿宋" w:cs="仿宋"/>
          <w:color w:val="auto"/>
          <w:sz w:val="24"/>
          <w:szCs w:val="24"/>
          <w:highlight w:val="none"/>
        </w:rPr>
        <w:t>2.采购代理机构信息</w:t>
      </w:r>
      <w:bookmarkEnd w:id="10"/>
      <w:bookmarkEnd w:id="11"/>
      <w:bookmarkEnd w:id="12"/>
      <w:bookmarkEnd w:id="13"/>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称：绍兴衡业工程管理咨询有限公司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址：绍兴市越城区中兴大道凤林文创园2号楼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项目联系人（询问）：杜磊</w:t>
      </w:r>
      <w:bookmarkStart w:id="170" w:name="_GoBack"/>
      <w:bookmarkStart w:id="14" w:name="OLE_LINK3"/>
      <w:r>
        <w:rPr>
          <w:rFonts w:hint="eastAsia" w:ascii="仿宋" w:hAnsi="仿宋" w:eastAsia="仿宋" w:cs="仿宋"/>
          <w:color w:val="auto"/>
          <w:sz w:val="24"/>
          <w:highlight w:val="none"/>
        </w:rPr>
        <w:t>、章佳琴</w:t>
      </w:r>
      <w:bookmarkEnd w:id="14"/>
      <w:bookmarkEnd w:id="170"/>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项目联系方式（询问）：13065779166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质疑联系人：孟琴波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质疑联系方式：15988282224</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5" w:name="_Toc35393808"/>
      <w:bookmarkStart w:id="16" w:name="_Toc28359021"/>
      <w:bookmarkStart w:id="17" w:name="_Toc28359098"/>
      <w:bookmarkStart w:id="18"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5"/>
    <w:bookmarkEnd w:id="16"/>
    <w:bookmarkEnd w:id="17"/>
    <w:bookmarkEnd w:id="18"/>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真：0575-85209806</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：沈灿</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监督投诉电话：0575-85209806</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20</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绍兴市越城区凤林文创园2号楼2楼270</w:t>
            </w:r>
            <w:r>
              <w:rPr>
                <w:rFonts w:hint="eastAsia" w:ascii="仿宋" w:hAnsi="仿宋" w:eastAsia="仿宋" w:cs="仿宋"/>
                <w:sz w:val="24"/>
                <w:szCs w:val="24"/>
                <w:highlight w:val="none"/>
                <w:u w:val="single"/>
                <w:lang w:val="en-US" w:eastAsia="zh-CN"/>
              </w:rPr>
              <w:t>2</w:t>
            </w:r>
            <w:r>
              <w:rPr>
                <w:rFonts w:hint="eastAsia" w:ascii="仿宋" w:hAnsi="仿宋" w:eastAsia="仿宋" w:cs="仿宋"/>
                <w:sz w:val="24"/>
                <w:szCs w:val="24"/>
                <w:highlight w:val="none"/>
                <w:u w:val="single"/>
                <w:lang w:val="zh-CN"/>
              </w:rPr>
              <w:t>室</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2</w:t>
            </w:r>
            <w:r>
              <w:rPr>
                <w:rFonts w:hint="eastAsia" w:ascii="仿宋" w:hAnsi="仿宋" w:eastAsia="仿宋" w:cs="仿宋"/>
                <w:kern w:val="0"/>
                <w:sz w:val="24"/>
                <w:highlight w:val="none"/>
                <w:lang w:val="zh-CN"/>
              </w:rPr>
              <w:t>人。</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color w:val="auto"/>
                <w:kern w:val="0"/>
                <w:sz w:val="24"/>
                <w:highlight w:val="none"/>
                <w:u w:val="single"/>
              </w:rPr>
              <w:t>01标</w:t>
            </w:r>
            <w:r>
              <w:rPr>
                <w:rFonts w:hint="eastAsia" w:ascii="仿宋" w:hAnsi="仿宋" w:eastAsia="仿宋" w:cs="仿宋"/>
                <w:kern w:val="0"/>
                <w:sz w:val="24"/>
                <w:highlight w:val="none"/>
              </w:rPr>
              <w:t>，属于</w:t>
            </w:r>
            <w:r>
              <w:rPr>
                <w:rFonts w:hint="eastAsia" w:ascii="仿宋" w:hAnsi="仿宋" w:eastAsia="仿宋" w:cs="仿宋"/>
                <w:color w:val="auto"/>
                <w:kern w:val="0"/>
                <w:sz w:val="24"/>
                <w:highlight w:val="none"/>
                <w:u w:val="single"/>
              </w:rPr>
              <w:t>软件和信息技术服务</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19</w:t>
            </w:r>
          </w:p>
        </w:tc>
        <w:tc>
          <w:tcPr>
            <w:tcW w:w="8370"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autoSpaceDE w:val="0"/>
              <w:autoSpaceDN w:val="0"/>
              <w:spacing w:line="360" w:lineRule="auto"/>
              <w:jc w:val="left"/>
              <w:textAlignment w:val="bottom"/>
              <w:rPr>
                <w:rFonts w:ascii="仿宋" w:hAnsi="仿宋" w:eastAsia="仿宋" w:cs="仿宋"/>
                <w:sz w:val="24"/>
                <w:highlight w:val="none"/>
                <w:u w:val="single"/>
              </w:rPr>
            </w:pPr>
            <w:r>
              <w:rPr>
                <w:rFonts w:hint="eastAsia" w:ascii="仿宋" w:hAnsi="仿宋" w:eastAsia="仿宋" w:cs="仿宋"/>
                <w:sz w:val="24"/>
                <w:highlight w:val="none"/>
                <w:u w:val="single"/>
              </w:rPr>
              <w:t>中标人须向采购代理机构按如下标准和规定交纳代理服务费：</w:t>
            </w:r>
          </w:p>
          <w:p>
            <w:pPr>
              <w:autoSpaceDE w:val="0"/>
              <w:autoSpaceDN w:val="0"/>
              <w:spacing w:line="360" w:lineRule="auto"/>
              <w:jc w:val="left"/>
              <w:textAlignment w:val="bottom"/>
              <w:rPr>
                <w:rFonts w:hint="eastAsia" w:ascii="仿宋" w:hAnsi="仿宋" w:eastAsia="仿宋" w:cs="仿宋"/>
                <w:sz w:val="24"/>
                <w:highlight w:val="none"/>
                <w:u w:val="single"/>
              </w:rPr>
            </w:pPr>
            <w:r>
              <w:rPr>
                <w:rFonts w:hint="eastAsia" w:ascii="仿宋" w:hAnsi="仿宋" w:eastAsia="仿宋" w:cs="仿宋"/>
                <w:sz w:val="24"/>
                <w:highlight w:val="none"/>
                <w:u w:val="single"/>
              </w:rPr>
              <w:t>①根据项目的中标金额，采用差额定率累进法进行计算，具体费率标准如下</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本项目按服务类采购费率计取）</w:t>
            </w:r>
            <w:r>
              <w:rPr>
                <w:rFonts w:hint="eastAsia" w:ascii="仿宋" w:hAnsi="仿宋" w:eastAsia="仿宋" w:cs="仿宋"/>
                <w:sz w:val="24"/>
                <w:highlight w:val="none"/>
                <w:u w:val="single"/>
              </w:rPr>
              <w:t>:</w:t>
            </w:r>
          </w:p>
          <w:p>
            <w:pPr>
              <w:autoSpaceDE w:val="0"/>
              <w:autoSpaceDN w:val="0"/>
              <w:spacing w:line="360" w:lineRule="auto"/>
              <w:jc w:val="left"/>
              <w:textAlignment w:val="bottom"/>
              <w:rPr>
                <w:rFonts w:hint="eastAsia" w:ascii="仿宋" w:hAnsi="仿宋" w:eastAsia="仿宋" w:cs="仿宋"/>
                <w:sz w:val="24"/>
                <w:highlight w:val="none"/>
                <w:u w:val="single"/>
              </w:rPr>
            </w:pPr>
            <w:r>
              <w:rPr>
                <w:rFonts w:hint="eastAsia" w:ascii="仿宋" w:hAnsi="仿宋" w:eastAsia="仿宋" w:cs="仿宋"/>
                <w:sz w:val="24"/>
                <w:highlight w:val="none"/>
                <w:u w:val="single"/>
              </w:rPr>
              <w:t>成交金额100万元以下的部分，货物类采购费率1.50%，服务类采购费率 1.50%，工程类采购费率1.00%；</w:t>
            </w:r>
          </w:p>
          <w:p>
            <w:pPr>
              <w:autoSpaceDE w:val="0"/>
              <w:autoSpaceDN w:val="0"/>
              <w:spacing w:line="360" w:lineRule="auto"/>
              <w:jc w:val="left"/>
              <w:textAlignment w:val="bottom"/>
              <w:rPr>
                <w:rFonts w:hint="eastAsia" w:ascii="仿宋" w:hAnsi="仿宋" w:eastAsia="仿宋" w:cs="仿宋"/>
                <w:sz w:val="24"/>
                <w:highlight w:val="none"/>
                <w:u w:val="single"/>
              </w:rPr>
            </w:pPr>
            <w:r>
              <w:rPr>
                <w:rFonts w:hint="eastAsia" w:ascii="仿宋" w:hAnsi="仿宋" w:eastAsia="仿宋" w:cs="仿宋"/>
                <w:sz w:val="24"/>
                <w:highlight w:val="none"/>
                <w:u w:val="single"/>
              </w:rPr>
              <w:t>成交金额100万元至500万元的部分，货物类采购费率1.10%，服务类采购费率 0.80%，工程类采购费率0.70%；</w:t>
            </w:r>
          </w:p>
          <w:p>
            <w:pPr>
              <w:autoSpaceDE w:val="0"/>
              <w:autoSpaceDN w:val="0"/>
              <w:spacing w:line="360" w:lineRule="auto"/>
              <w:jc w:val="left"/>
              <w:textAlignment w:val="bottom"/>
              <w:rPr>
                <w:rFonts w:hint="eastAsia" w:ascii="仿宋" w:hAnsi="仿宋" w:eastAsia="仿宋" w:cs="仿宋"/>
                <w:sz w:val="24"/>
                <w:highlight w:val="none"/>
                <w:u w:val="single"/>
              </w:rPr>
            </w:pPr>
            <w:r>
              <w:rPr>
                <w:rFonts w:hint="eastAsia" w:ascii="仿宋" w:hAnsi="仿宋" w:eastAsia="仿宋" w:cs="仿宋"/>
                <w:sz w:val="24"/>
                <w:highlight w:val="none"/>
                <w:u w:val="single"/>
              </w:rPr>
              <w:t>成交金额500万元至1000万元的部分，货物类采购费率0.80%，服务类采购费率 0.45%，工程类采购费率0.55%；</w:t>
            </w:r>
          </w:p>
          <w:p>
            <w:pPr>
              <w:autoSpaceDE w:val="0"/>
              <w:autoSpaceDN w:val="0"/>
              <w:spacing w:line="360" w:lineRule="auto"/>
              <w:jc w:val="left"/>
              <w:textAlignment w:val="bottom"/>
              <w:rPr>
                <w:rFonts w:hint="eastAsia" w:ascii="仿宋" w:hAnsi="仿宋" w:eastAsia="仿宋" w:cs="仿宋"/>
                <w:sz w:val="24"/>
                <w:highlight w:val="none"/>
                <w:u w:val="single"/>
              </w:rPr>
            </w:pPr>
            <w:r>
              <w:rPr>
                <w:rFonts w:hint="eastAsia" w:ascii="仿宋" w:hAnsi="仿宋" w:eastAsia="仿宋" w:cs="仿宋"/>
                <w:sz w:val="24"/>
                <w:highlight w:val="none"/>
                <w:u w:val="single"/>
              </w:rPr>
              <w:t>成交金额1000万元至5000万元的部分，货物类采购费率0.50%，服务类采购费率 0.25%，工程类采购费率0.35%；</w:t>
            </w:r>
          </w:p>
          <w:p>
            <w:pPr>
              <w:pStyle w:val="2"/>
              <w:rPr>
                <w:rFonts w:hint="default" w:eastAsia="仿宋"/>
                <w:highlight w:val="none"/>
                <w:lang w:val="en-US" w:eastAsia="zh-CN"/>
              </w:rPr>
            </w:pPr>
            <w:r>
              <w:rPr>
                <w:rFonts w:hint="eastAsia" w:ascii="仿宋" w:eastAsia="仿宋" w:cs="仿宋"/>
                <w:sz w:val="24"/>
                <w:highlight w:val="none"/>
                <w:u w:val="single"/>
                <w:lang w:eastAsia="zh-CN"/>
              </w:rPr>
              <w:t>最终收取的采购代理服务费按计算金额的</w:t>
            </w:r>
            <w:r>
              <w:rPr>
                <w:rFonts w:hint="eastAsia" w:ascii="仿宋" w:eastAsia="仿宋" w:cs="仿宋"/>
                <w:sz w:val="24"/>
                <w:highlight w:val="none"/>
                <w:u w:val="single"/>
                <w:lang w:val="en-US" w:eastAsia="zh-CN"/>
              </w:rPr>
              <w:t>20%计取。</w:t>
            </w:r>
          </w:p>
          <w:p>
            <w:pPr>
              <w:autoSpaceDE w:val="0"/>
              <w:autoSpaceDN w:val="0"/>
              <w:spacing w:line="360" w:lineRule="auto"/>
              <w:jc w:val="left"/>
              <w:textAlignment w:val="bottom"/>
              <w:rPr>
                <w:rFonts w:ascii="仿宋" w:hAnsi="仿宋" w:eastAsia="仿宋" w:cs="仿宋"/>
                <w:sz w:val="24"/>
                <w:highlight w:val="none"/>
                <w:u w:val="single"/>
              </w:rPr>
            </w:pPr>
            <w:r>
              <w:rPr>
                <w:rFonts w:hint="eastAsia" w:ascii="仿宋" w:hAnsi="仿宋" w:eastAsia="仿宋" w:cs="仿宋"/>
                <w:sz w:val="24"/>
                <w:highlight w:val="none"/>
                <w:u w:val="single"/>
              </w:rPr>
              <w:t>②代理服务费的交纳方式：</w:t>
            </w:r>
          </w:p>
          <w:p>
            <w:pPr>
              <w:autoSpaceDE w:val="0"/>
              <w:autoSpaceDN w:val="0"/>
              <w:spacing w:line="360" w:lineRule="auto"/>
              <w:jc w:val="left"/>
              <w:textAlignment w:val="bottom"/>
              <w:rPr>
                <w:rFonts w:ascii="仿宋" w:hAnsi="仿宋" w:eastAsia="仿宋" w:cs="仿宋"/>
                <w:sz w:val="24"/>
                <w:highlight w:val="none"/>
                <w:u w:val="single"/>
              </w:rPr>
            </w:pPr>
            <w:r>
              <w:rPr>
                <w:rFonts w:hint="eastAsia" w:ascii="仿宋" w:hAnsi="仿宋" w:eastAsia="仿宋" w:cs="仿宋"/>
                <w:sz w:val="24"/>
                <w:highlight w:val="none"/>
                <w:u w:val="single"/>
              </w:rPr>
              <w:t>用银行支票、汇票、电汇、现金等付款方式直接交纳代理服务费。</w:t>
            </w:r>
          </w:p>
          <w:p>
            <w:pPr>
              <w:autoSpaceDE w:val="0"/>
              <w:autoSpaceDN w:val="0"/>
              <w:spacing w:line="360" w:lineRule="auto"/>
              <w:jc w:val="left"/>
              <w:textAlignment w:val="bottom"/>
              <w:rPr>
                <w:rFonts w:ascii="仿宋" w:hAnsi="仿宋" w:eastAsia="仿宋" w:cs="仿宋"/>
                <w:sz w:val="24"/>
                <w:highlight w:val="none"/>
                <w:u w:val="single"/>
              </w:rPr>
            </w:pPr>
            <w:r>
              <w:rPr>
                <w:rFonts w:hint="eastAsia" w:ascii="仿宋" w:hAnsi="仿宋" w:eastAsia="仿宋" w:cs="仿宋"/>
                <w:sz w:val="24"/>
                <w:highlight w:val="none"/>
                <w:u w:val="single"/>
              </w:rPr>
              <w:t>公司名称：绍兴衡业工程管理咨询有限公司</w:t>
            </w:r>
          </w:p>
          <w:p>
            <w:pPr>
              <w:autoSpaceDE w:val="0"/>
              <w:autoSpaceDN w:val="0"/>
              <w:spacing w:line="360" w:lineRule="auto"/>
              <w:jc w:val="left"/>
              <w:textAlignment w:val="bottom"/>
              <w:rPr>
                <w:rFonts w:ascii="仿宋" w:hAnsi="仿宋" w:eastAsia="仿宋" w:cs="仿宋"/>
                <w:sz w:val="24"/>
                <w:highlight w:val="none"/>
                <w:u w:val="single"/>
              </w:rPr>
            </w:pPr>
            <w:r>
              <w:rPr>
                <w:rFonts w:hint="eastAsia" w:ascii="仿宋" w:hAnsi="仿宋" w:eastAsia="仿宋" w:cs="仿宋"/>
                <w:sz w:val="24"/>
                <w:highlight w:val="none"/>
                <w:u w:val="single"/>
              </w:rPr>
              <w:t>开户行：中国民生银行股份有限公司绍兴越北小微企业专营</w:t>
            </w:r>
          </w:p>
          <w:p>
            <w:pPr>
              <w:autoSpaceDE w:val="0"/>
              <w:autoSpaceDN w:val="0"/>
              <w:spacing w:line="360" w:lineRule="auto"/>
              <w:jc w:val="left"/>
              <w:textAlignment w:val="bottom"/>
              <w:rPr>
                <w:rFonts w:ascii="仿宋" w:hAnsi="仿宋" w:eastAsia="仿宋" w:cs="仿宋"/>
                <w:sz w:val="24"/>
                <w:highlight w:val="none"/>
                <w:u w:val="single"/>
              </w:rPr>
            </w:pPr>
            <w:r>
              <w:rPr>
                <w:rFonts w:hint="eastAsia" w:ascii="仿宋" w:hAnsi="仿宋" w:eastAsia="仿宋" w:cs="仿宋"/>
                <w:sz w:val="24"/>
                <w:highlight w:val="none"/>
                <w:u w:val="single"/>
              </w:rPr>
              <w:t>账  号：170399354</w:t>
            </w:r>
          </w:p>
          <w:p>
            <w:pPr>
              <w:spacing w:line="336" w:lineRule="auto"/>
              <w:rPr>
                <w:rFonts w:hint="eastAsia" w:ascii="仿宋" w:hAnsi="仿宋" w:eastAsia="仿宋" w:cs="仿宋"/>
                <w:kern w:val="2"/>
                <w:sz w:val="21"/>
                <w:szCs w:val="24"/>
                <w:highlight w:val="none"/>
                <w:lang w:val="en-US" w:eastAsia="zh-CN" w:bidi="ar-SA"/>
              </w:rPr>
            </w:pPr>
            <w:r>
              <w:rPr>
                <w:rFonts w:hint="eastAsia" w:ascii="仿宋" w:hAnsi="仿宋" w:eastAsia="仿宋" w:cs="仿宋"/>
                <w:sz w:val="24"/>
                <w:highlight w:val="none"/>
                <w:u w:val="single"/>
              </w:rPr>
              <w:t>③代理服务费的交纳时间：领取中标通知书前交纳。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highlight w:val="none"/>
        </w:rPr>
      </w:pPr>
      <w:bookmarkStart w:id="19" w:name="_Toc164416483"/>
      <w:bookmarkStart w:id="20"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支持科技创新创新发展</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lang w:val="en-US" w:eastAsia="zh-CN"/>
        </w:rPr>
        <w:t>资料</w:t>
      </w:r>
      <w:r>
        <w:rPr>
          <w:rFonts w:hint="eastAsia" w:ascii="仿宋" w:hAnsi="仿宋" w:eastAsia="仿宋" w:cs="仿宋"/>
          <w:color w:val="auto"/>
          <w:sz w:val="24"/>
          <w:highlight w:val="none"/>
          <w:lang w:eastAsia="zh-CN"/>
        </w:rPr>
        <w:t>”、“商务技术（资信）文件资料”、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r>
        <w:rPr>
          <w:rFonts w:hint="eastAsia" w:ascii="仿宋" w:hAnsi="仿宋" w:eastAsia="仿宋" w:cs="仿宋"/>
          <w:b/>
          <w:color w:val="auto"/>
          <w:sz w:val="24"/>
          <w:highlight w:val="none"/>
          <w:lang w:val="en-US" w:eastAsia="zh-CN"/>
        </w:rPr>
        <w:t>资料</w:t>
      </w:r>
      <w:r>
        <w:rPr>
          <w:rFonts w:hint="eastAsia" w:ascii="仿宋" w:hAnsi="仿宋" w:eastAsia="仿宋" w:cs="仿宋"/>
          <w:b/>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r>
        <w:rPr>
          <w:rFonts w:hint="eastAsia" w:ascii="仿宋" w:hAnsi="仿宋" w:eastAsia="仿宋" w:cs="仿宋"/>
          <w:b/>
          <w:color w:val="auto"/>
          <w:sz w:val="24"/>
          <w:highlight w:val="none"/>
          <w:lang w:val="en-US" w:eastAsia="zh-CN"/>
        </w:rPr>
        <w:t>资料</w:t>
      </w:r>
      <w:r>
        <w:rPr>
          <w:rFonts w:hint="eastAsia" w:ascii="仿宋" w:hAnsi="仿宋" w:eastAsia="仿宋" w:cs="仿宋"/>
          <w:b/>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2.3报价文件</w:t>
      </w:r>
      <w:r>
        <w:rPr>
          <w:rFonts w:hint="eastAsia" w:ascii="仿宋" w:hAnsi="仿宋" w:eastAsia="仿宋" w:cs="仿宋"/>
          <w:b/>
          <w:color w:val="auto"/>
          <w:sz w:val="24"/>
          <w:highlight w:val="none"/>
          <w:lang w:val="en-US" w:eastAsia="zh-CN"/>
        </w:rPr>
        <w:t>资料</w:t>
      </w:r>
      <w:r>
        <w:rPr>
          <w:rFonts w:hint="eastAsia" w:ascii="仿宋" w:hAnsi="仿宋" w:eastAsia="仿宋" w:cs="仿宋"/>
          <w:b/>
          <w:color w:val="auto"/>
          <w:sz w:val="24"/>
          <w:highlight w:val="none"/>
          <w:lang w:val="zh-CN"/>
        </w:rPr>
        <w:t xml:space="preserve">：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w:t>
      </w:r>
      <w:r>
        <w:rPr>
          <w:rFonts w:hint="eastAsia" w:ascii="仿宋" w:hAnsi="仿宋" w:eastAsia="仿宋" w:cs="仿宋"/>
          <w:sz w:val="24"/>
          <w:highlight w:val="none"/>
          <w:lang w:val="en-US" w:eastAsia="zh-CN"/>
        </w:rPr>
        <w:t>资料</w:t>
      </w:r>
      <w:r>
        <w:rPr>
          <w:rFonts w:hint="eastAsia" w:ascii="仿宋" w:hAnsi="仿宋" w:eastAsia="仿宋" w:cs="仿宋"/>
          <w:sz w:val="24"/>
          <w:highlight w:val="none"/>
          <w:lang w:val="zh-CN"/>
        </w:rPr>
        <w:t>、商务技术文件</w:t>
      </w:r>
      <w:r>
        <w:rPr>
          <w:rFonts w:hint="eastAsia" w:ascii="仿宋" w:hAnsi="仿宋" w:eastAsia="仿宋" w:cs="仿宋"/>
          <w:sz w:val="24"/>
          <w:highlight w:val="none"/>
          <w:lang w:val="en-US" w:eastAsia="zh-CN"/>
        </w:rPr>
        <w:t>资料</w:t>
      </w:r>
      <w:r>
        <w:rPr>
          <w:rFonts w:hint="eastAsia" w:ascii="仿宋" w:hAnsi="仿宋" w:eastAsia="仿宋" w:cs="仿宋"/>
          <w:sz w:val="24"/>
          <w:highlight w:val="none"/>
          <w:lang w:val="zh-CN"/>
        </w:rPr>
        <w:t>、报价文件</w:t>
      </w:r>
      <w:r>
        <w:rPr>
          <w:rFonts w:hint="eastAsia" w:ascii="仿宋" w:hAnsi="仿宋" w:eastAsia="仿宋" w:cs="仿宋"/>
          <w:sz w:val="24"/>
          <w:highlight w:val="none"/>
          <w:lang w:val="en-US" w:eastAsia="zh-CN"/>
        </w:rPr>
        <w:t>资料</w:t>
      </w:r>
      <w:r>
        <w:rPr>
          <w:rFonts w:hint="eastAsia" w:ascii="仿宋" w:hAnsi="仿宋" w:eastAsia="仿宋" w:cs="仿宋"/>
          <w:sz w:val="24"/>
          <w:highlight w:val="none"/>
          <w:lang w:val="zh-CN"/>
        </w:rPr>
        <w:t>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21"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8.23.1不同供应商的电子投标(响应)文件上传计算机的网卡MAC地址、CPU序列号和硬盘序列号等硬件信息相同的；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highlight w:val="none"/>
        </w:rPr>
      </w:pPr>
      <w:r>
        <w:rPr>
          <w:rFonts w:hint="eastAsia" w:ascii="仿宋" w:hAnsi="仿宋" w:eastAsia="仿宋" w:cs="仿宋"/>
          <w:sz w:val="24"/>
          <w:highlight w:val="none"/>
        </w:rPr>
        <w:t>8.23.2不同供应商联系人为同一人或不同联系人的联系电话一致，且无法合理解释的；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21"/>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22" w:name="_Hlt68072990"/>
      <w:bookmarkEnd w:id="22"/>
      <w:bookmarkStart w:id="23" w:name="_Hlt74729768"/>
      <w:bookmarkEnd w:id="23"/>
      <w:bookmarkStart w:id="24" w:name="_Hlt74730295"/>
      <w:bookmarkEnd w:id="24"/>
      <w:bookmarkStart w:id="25" w:name="_Hlt75236290"/>
      <w:bookmarkEnd w:id="25"/>
      <w:bookmarkStart w:id="26" w:name="_Hlt68072998"/>
      <w:bookmarkEnd w:id="26"/>
      <w:bookmarkStart w:id="27" w:name="_Hlt74714665"/>
      <w:bookmarkEnd w:id="27"/>
      <w:bookmarkStart w:id="28" w:name="_Hlt75236011"/>
      <w:bookmarkEnd w:id="28"/>
      <w:bookmarkStart w:id="29" w:name="_Hlt74707468"/>
      <w:bookmarkEnd w:id="29"/>
      <w:bookmarkStart w:id="30" w:name="_Hlt68403820"/>
      <w:bookmarkEnd w:id="30"/>
      <w:bookmarkStart w:id="31" w:name="_Hlt68073093"/>
      <w:bookmarkEnd w:id="31"/>
      <w:bookmarkStart w:id="32" w:name="_Hlt75236101"/>
      <w:bookmarkEnd w:id="32"/>
      <w:bookmarkStart w:id="33" w:name="_Hlt68057669"/>
      <w:bookmarkEnd w:id="33"/>
      <w:bookmarkStart w:id="34" w:name="_Toc81372953"/>
      <w:bookmarkStart w:id="35" w:name="_Toc81372776"/>
      <w:bookmarkStart w:id="36" w:name="_Toc84325929"/>
      <w:r>
        <w:rPr>
          <w:rFonts w:hint="eastAsia" w:ascii="仿宋" w:hAnsi="仿宋" w:eastAsia="仿宋" w:cs="仿宋"/>
          <w:b/>
          <w:sz w:val="32"/>
          <w:szCs w:val="32"/>
          <w:highlight w:val="none"/>
        </w:rPr>
        <w:t>五、授予合同</w:t>
      </w:r>
    </w:p>
    <w:bookmarkEnd w:id="34"/>
    <w:bookmarkEnd w:id="35"/>
    <w:bookmarkEnd w:id="36"/>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9"/>
    <w:bookmarkEnd w:id="20"/>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37" w:name="第四部分"/>
      <w:r>
        <w:rPr>
          <w:rFonts w:hint="eastAsia" w:ascii="仿宋" w:hAnsi="仿宋" w:eastAsia="仿宋" w:cs="仿宋"/>
          <w:b/>
          <w:sz w:val="36"/>
          <w:szCs w:val="36"/>
          <w:highlight w:val="none"/>
        </w:rPr>
        <w:t>第三部分   招标项目范围及要求</w:t>
      </w:r>
    </w:p>
    <w:bookmarkEnd w:id="37"/>
    <w:p>
      <w:pPr>
        <w:numPr>
          <w:ilvl w:val="0"/>
          <w:numId w:val="0"/>
        </w:numPr>
        <w:spacing w:line="440" w:lineRule="exact"/>
        <w:jc w:val="left"/>
        <w:rPr>
          <w:rFonts w:hint="eastAsia" w:ascii="仿宋" w:hAnsi="仿宋" w:eastAsia="仿宋" w:cs="仿宋"/>
          <w:b/>
          <w:bCs/>
          <w:color w:val="auto"/>
          <w:sz w:val="24"/>
          <w:highlight w:val="none"/>
          <w:lang w:eastAsia="zh-CN"/>
        </w:rPr>
      </w:pPr>
      <w:bookmarkStart w:id="38" w:name="第五部分"/>
      <w:bookmarkStart w:id="39" w:name="_Toc86217003"/>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劳动人事争议“类案同裁”</w:t>
      </w:r>
    </w:p>
    <w:p>
      <w:pPr>
        <w:numPr>
          <w:ilvl w:val="0"/>
          <w:numId w:val="0"/>
        </w:numPr>
        <w:spacing w:line="440" w:lineRule="exact"/>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一、项目背景</w:t>
      </w:r>
    </w:p>
    <w:p>
      <w:pPr>
        <w:pStyle w:val="23"/>
        <w:numPr>
          <w:ilvl w:val="0"/>
          <w:numId w:val="0"/>
        </w:numPr>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根据2024人力资源社会保障部印发《人力资源和社会保障部办公厅关于发布第一批数字人社建设行动“揭榜领题”场景清单的通知》和《深化人力资源和社会保障数字化改革实施方案》要求，制定绍兴市劳动人事争议“类案同裁”数字应用建设方案。</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通过建设绍兴市劳动人事争议“类案同裁”数字应用来解决劳动仲裁业务的四大痛点问题：1.部分新聘仲裁员缺少办案经验，导致案件审理不充分；2.仲裁裁判标准不统一，类案不同裁；3.仲裁案件争议处理日趋复杂，使仲裁员更紧缺；4.仲裁员培养难度高，人员成长慢。大力加强仲裁标准化建设，建立仲裁办案管理和评价机制。加强调解、仲裁与诉讼衔接，逐步统一裁审受理范围和法律适用标准，实现类案同裁。</w:t>
      </w:r>
    </w:p>
    <w:p>
      <w:pPr>
        <w:pStyle w:val="23"/>
        <w:numPr>
          <w:ilvl w:val="0"/>
          <w:numId w:val="0"/>
        </w:numP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二、建设目标</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1.辅助仲裁员人员公正、高效的处理劳动人事争议纠纷，规范审理程序，减少类案不同判，提升工作效能，提高调解成功率和案件化解率，维护社会公正；</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2.向群众和企业普及仲裁常识和法律法规，减少诉累，进一步提升诉源治理成效；</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3.方便工作人员查询信息库、学习优秀仲裁员办案思路与方式，提升业务水平和综合能力；</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4.提炼解决案件审理中的疑难问题及裁判尺度不统一的问题，有利于形成类案同裁工作合力，促进劳动关系和谐稳定，提升劳动争议仲裁的公信力。</w:t>
      </w:r>
    </w:p>
    <w:p>
      <w:pPr>
        <w:pStyle w:val="23"/>
        <w:numPr>
          <w:ilvl w:val="0"/>
          <w:numId w:val="0"/>
        </w:numP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三、建设思路</w:t>
      </w:r>
    </w:p>
    <w:p>
      <w:pPr>
        <w:pStyle w:val="23"/>
        <w:numPr>
          <w:ilvl w:val="0"/>
          <w:numId w:val="0"/>
        </w:numPr>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要求与浙江省劳动人事争议仲裁调解信息管理系统打通，通过对浙江省劳动人事争议仲裁调解信息管理系统进行案件办理相关改造，利用仲裁裁决大数据和人工智能，以“一场景二平台三数据库四提升五大功能”为目标，以类案同裁为核心，充分探索类案同裁工作机制，搭建三大信息资源库数字化底座，构建类案检索模型，建立类案同裁数字应用及专题分析平台，进一步规范办案标准，统一办案尺度，提高仲裁员业务能力，提升基层治理能力，实现类案同裁、提升仲裁公信力、保障当事人合法权益，及时化解矛盾纠纷、维护社会公平正义。</w:t>
      </w:r>
    </w:p>
    <w:p>
      <w:pPr>
        <w:pStyle w:val="23"/>
        <w:numPr>
          <w:ilvl w:val="0"/>
          <w:numId w:val="0"/>
        </w:numP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四、采购主要清单</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1．“类案同裁”数字应用</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建设“类案同裁”数字应用，运用大语言模型建设审理指引、类案智推、慧审助裁、审核辅助等功能，辅助工作人员进行裁决。</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1.1.审理指引</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开发审理指引相关功能，主要包括：审理步骤、审查要点、举证责任及证据审查、注意事项、常用法条和庭审提纲等功能，辅助仲裁员人员公正、高效的处理劳动人事争议纠纷，规范审理程序，减少类案不同判，提升工作效能，提高调解成功率和案件化解率，维护社会公正。</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1.2.庭审结果</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根据梳理的庭审提纲，开发庭审结果录入表单，仲裁员在庭审结束时通过此功能将庭审结果录入或自动回填到本系统中，庭审结果录入表单需与庭审提纲保持一致性，不同的案由庭审结果表单不同，且需根据仲裁请求展示不同的庭审结果表单。用于后续生成基本事实、本委认为、裁决结果等功能。</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1.3.类案智推</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开发类案智推相关功能，主要包括：案件查询、类案推荐、类案分析、案件画像信息查询、评价、足迹/收藏夹、热搜榜/好评榜等，实现工作人员对案例的自主查询、智能类推、智能分析和评价反馈，方便其进行业务学习和自我能力的提升。</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1.4.慧审助裁</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通过仲裁请求和庭审结果等内容自动生成基本事实认定、本委认为、适用法律和裁决结果等仲裁结果，辅助仲裁员编写裁决文书。</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1.5.审核辅助</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案件审核时，审核辅助功能可汇总本区域仲裁裁决案件，自动识别裁判异常点，协助仲裁院领导审核案件，实现类案同裁，帮助客观了解各仲裁员工作水平，提炼本区域各类型案件的有关裁决意见，形成指导意见。</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1.6.信息库智检</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开发信息库智检功能，实现案例库、法规库、规则库的快速智能检索、查询和查看，为工作人员的学习和工作提供便利，进一步提高工作人员的业务水平和办案能力。</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1.7.信息库管理</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包含法规库管理、规则库管理 、案例库管理、案例预入库及入库确认。实现法规条文按关键字、类型、法规名称、标签等的不同维度的查询，法规详情、规则出处、修订痕迹等内容的查看，法律条文的新增、修改、删除、废弃、批量导入、导出、以及法规变更后自动同步案例库等操作，并记录操作日志，对变更内容进行留痕。</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1.8.AI自动训练</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建设AI自动训练功能，将慧审助裁中生成的基本事实、本委认为、适用法律、裁决结果经仲裁员的修改后的数据以及好、差反馈信息记录后，定时对模型进行训练，实现模型的自我学习。</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1.9.个人中心</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开发个人中心页面，实现用户在个人中心修改个人资料、查看收藏案例、查看个人收藏足迹、个人评价、查看个人记录过的笔记、个人关注的其他仲裁员、查看个人主页的功能。</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1.10.系统管理</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系统管理模块主要包括账号管理、权限管理、日志管理、访问管理等功能。</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1.11.省系统对接</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与浙江省劳动人事争议仲裁调解信息管理系统打通，将审理指引、庭审结果、类案智推、慧审助裁、审核辅助功能对接到省仲裁系统中，实现仲裁员在省系统中办理案件时可以实时使用审理指引、庭审结果等相应辅助功能。</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2．增值式服务</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建设增值式服务是使用人工智能助手，群众和企业可以输入相关劳动纠纷内容，从而得到准确的回答，为群众和企业提供专业的咨询服务。</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3．掌上应用</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建设浙政钉掌上应用，为工作人员提供案件录入、案件分发、案件提醒、案件留痕等功能，进一步提高工作人员工作效率并保障工作质量。</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4．专题分析  </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建设专题分析平台，聚焦类案同裁检索情况、案件受理情况、案件处理情况、调解组织和调解人员信息等数据，全要素设计统计分析功能，对案件处理方式（调解、仲裁）、指标预警（仲裁按期终结率、仲裁调解率、调解成功率）、风险管理（行业分布：制造业、建筑业、装饰装修、零售批发；农民工案件）、案件类型（劳动报酬、社会保险、解除合同、人事争议、其他争议）、仲裁案件量排名、仲裁员案件量排名进行统计分析，全方位展示各类要素，建设面向政府决策的绍兴全域可视化数字仲裁，逐步推广至全省。</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5．应用支撑体系</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5.1.类案同裁数据协同</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搭建数字化底座，梳理法规库、规则库、案例库，将相关材料形成格式化数据，并对数据进行清洗、转换、加工和分析，形成类案可信数据仓，为类案同裁应用的建设奠定基础，提供数据和能力支撑。</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5.2.基础库建设</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包含案例库建设、规则库建设、法规库建设。根据各资源库定义好的相关指标体系， 做好数据清洗、比对、初始化导入；针对裁决文书中明确格式的信息，如身份证号码和手机号码、单位信息等 进行精准脱敏。 </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5.3.仲裁智能服务</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智能服务将通过使用从历史卷宗收集相关劳动人事争议仲裁的信息，通过收集、整理、数据组织、审核、更新，采取知识库文本分割、文本向量化来构建向量库，基于语义的文本分割技术，将知识库中的长篇文本切分为更小的语义单元，做好模型构建、知识库构建，搭建大语言模型应用，做好向量库构建、智能交互。</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5.4.语料准备和模型训练调优</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1)语料梳理准备</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大语言模型需要通过劳动仲裁领域相关的语料数据对它进行训练和优化，最后生成了仲裁领域大语言模型，准备大语言模型的语料是一项既细致又关键的工作，其中涉及到多个步骤，包括语料收集、语料清洗等。</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2)模型训练调优</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针对绍兴类案同裁应用需要对案件入库模型、类案智推模型、类案分析模型、错字提醒模型、生成基本事实模、生成本委认为模型等进行模型训练，训练完成后，需要对各类模型进行评估以验证其性能。</w:t>
      </w:r>
    </w:p>
    <w:p>
      <w:pPr>
        <w:pStyle w:val="23"/>
        <w:numPr>
          <w:ilvl w:val="0"/>
          <w:numId w:val="0"/>
        </w:num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备注说明：要求中标方自行对接省仲裁系统，该对接费用包含在整体报价中。</w:t>
      </w:r>
    </w:p>
    <w:p>
      <w:pPr>
        <w:pStyle w:val="23"/>
        <w:numPr>
          <w:ilvl w:val="0"/>
          <w:numId w:val="0"/>
        </w:numP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四、</w:t>
      </w:r>
      <w:r>
        <w:rPr>
          <w:rFonts w:hint="eastAsia" w:ascii="仿宋" w:hAnsi="仿宋" w:eastAsia="仿宋" w:cs="仿宋"/>
          <w:b/>
          <w:bCs/>
          <w:color w:val="auto"/>
          <w:sz w:val="24"/>
          <w:highlight w:val="none"/>
          <w:lang w:val="en-US" w:eastAsia="zh-CN"/>
        </w:rPr>
        <w:t>建设周期</w:t>
      </w:r>
    </w:p>
    <w:p>
      <w:pPr>
        <w:pStyle w:val="23"/>
        <w:numPr>
          <w:ilvl w:val="0"/>
          <w:numId w:val="0"/>
        </w:numPr>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自合同签订之日起9个月内完成系统开发测试及验收。</w:t>
      </w:r>
    </w:p>
    <w:p>
      <w:pPr>
        <w:pStyle w:val="23"/>
        <w:numPr>
          <w:ilvl w:val="0"/>
          <w:numId w:val="1"/>
        </w:numP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培训计划</w:t>
      </w:r>
    </w:p>
    <w:p>
      <w:pPr>
        <w:pStyle w:val="24"/>
        <w:numPr>
          <w:ilvl w:val="0"/>
          <w:numId w:val="0"/>
        </w:numPr>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对系统操作使用人员组织不少于1场培训。</w:t>
      </w:r>
    </w:p>
    <w:p>
      <w:pPr>
        <w:pStyle w:val="23"/>
        <w:numPr>
          <w:ilvl w:val="0"/>
          <w:numId w:val="1"/>
        </w:numP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项目运维期</w:t>
      </w:r>
    </w:p>
    <w:p>
      <w:pPr>
        <w:pStyle w:val="23"/>
        <w:numPr>
          <w:ilvl w:val="0"/>
          <w:numId w:val="0"/>
        </w:numPr>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项目验收通过后免费维护期3年。</w:t>
      </w:r>
    </w:p>
    <w:p>
      <w:pPr>
        <w:pStyle w:val="24"/>
        <w:numPr>
          <w:ilvl w:val="0"/>
          <w:numId w:val="1"/>
        </w:numPr>
        <w:ind w:firstLine="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技术要求</w:t>
      </w:r>
    </w:p>
    <w:p>
      <w:pPr>
        <w:pStyle w:val="24"/>
        <w:numPr>
          <w:ilvl w:val="-1"/>
          <w:numId w:val="0"/>
        </w:numPr>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网络、数据安全要求与职责</w:t>
      </w:r>
    </w:p>
    <w:p>
      <w:pPr>
        <w:pStyle w:val="24"/>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投标人中标后，系统承建方或维护方应和采购人签订相关保密协议，系统承建方或维护方及其员工应按照协议的要求，做好系统数据及个人信息安全保密工作。同时，系统承建方或维护方的驻场人员应遵守采购人的网络安全管理办法。</w:t>
      </w:r>
    </w:p>
    <w:p>
      <w:pPr>
        <w:pStyle w:val="24"/>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中标方必须确保所开发的软件系统符合网络安全等级保护要求（等级根据之后公安定级备案为准），按照项目建设单位要求完成等级保护定级、备案、改造、漏洞修复等相关工作。中标方需按照商用密码应用安全性评估规范和标准，针对系统实际情况以及系统数据安全需求，对系统进行商用密码改造，推动实现密码应用合规、安全、有效，确保系统数据的完整性、保密性和可用性。等级测评和商用密码应用安全性评估所产生的费用均包含在项目总费用内。</w:t>
      </w:r>
    </w:p>
    <w:p>
      <w:pPr>
        <w:pStyle w:val="24"/>
        <w:rPr>
          <w:rFonts w:hint="eastAsia" w:ascii="仿宋" w:hAnsi="仿宋" w:eastAsia="仿宋" w:cs="仿宋"/>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信创要求：本项目所采用的技术、服务、运行环境、数据库等均需满足信创要求。</w:t>
      </w:r>
    </w:p>
    <w:p>
      <w:pPr>
        <w:pStyle w:val="24"/>
        <w:numPr>
          <w:ilvl w:val="0"/>
          <w:numId w:val="1"/>
        </w:numPr>
        <w:ind w:left="0" w:leftChars="0" w:firstLine="0" w:firstLine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知识产权</w:t>
      </w:r>
    </w:p>
    <w:p>
      <w:pPr>
        <w:spacing w:line="360" w:lineRule="auto"/>
        <w:ind w:firstLine="426"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中标单位声明并保证，中标单位向采购单位提供的产品及服务等合法有效，且并未直接或间接侵害采购单位或第三人任何知识产权。</w:t>
      </w:r>
    </w:p>
    <w:p>
      <w:pPr>
        <w:spacing w:line="360" w:lineRule="auto"/>
        <w:ind w:firstLine="426"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中标单位保证采购单位有合法使用本合同所有产品的权利，后续不得增收任何费用。</w:t>
      </w:r>
    </w:p>
    <w:p>
      <w:pPr>
        <w:spacing w:line="360" w:lineRule="auto"/>
        <w:ind w:firstLine="426"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若中标单位交付的软件涉及使用中标单位已有知识产权，中标单位无偿授权许可采购单位及采购单位授权用户使用。</w:t>
      </w:r>
    </w:p>
    <w:p>
      <w:pPr>
        <w:spacing w:line="360" w:lineRule="auto"/>
        <w:ind w:firstLine="426"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若有任何知识产权争议，中标单位承担所有法律责任。</w:t>
      </w:r>
    </w:p>
    <w:p>
      <w:pPr>
        <w:spacing w:line="360" w:lineRule="auto"/>
        <w:ind w:firstLine="426"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中标单位同意负责所有关于知识产权争议的协商、和解谈判、抗辩与防卫行为，并赔偿及负担采购单位因第三人主张知识产权争议衍生之所受损害及所支付所有费用(采购单位有权暂停支付合同款项，直至中标单位付清所有费用)。</w:t>
      </w:r>
    </w:p>
    <w:p>
      <w:pPr>
        <w:spacing w:line="360" w:lineRule="auto"/>
        <w:ind w:firstLine="426"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中标单位因履行本合同而产生的所有成果的所有权均归属采购单位，所有成果包括但不限于：采购单位委托中标单位开发的软件产品（平台、系统等及所有源代码）、相应的文档（包含产品说明书、实施部署文档等）、技术成果（含中间成果和最终成果）、与成果有关的所有材料等。</w:t>
      </w:r>
    </w:p>
    <w:p>
      <w:pPr>
        <w:spacing w:line="360" w:lineRule="auto"/>
        <w:ind w:firstLine="426"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中标单位在取得采购单位另行书面同意后，方可在采购单位指定的主页中注明该主页由中标单位制作或技术支持等字样或标识，否则不得在网页中进行标示。</w:t>
      </w:r>
    </w:p>
    <w:p>
      <w:pPr>
        <w:spacing w:line="360" w:lineRule="auto"/>
        <w:ind w:firstLine="426" w:firstLineChars="0"/>
        <w:rPr>
          <w:rFonts w:hint="eastAsia" w:ascii="仿宋" w:hAnsi="仿宋" w:eastAsia="仿宋" w:cs="仿宋"/>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中标单位违反本知识产权条款约定的，除需要按照本合同约定纠正违约行为外，仍须支付本合同总金额5%的违约金。</w:t>
      </w:r>
    </w:p>
    <w:p>
      <w:pPr>
        <w:pStyle w:val="23"/>
        <w:numPr>
          <w:ilvl w:val="0"/>
          <w:numId w:val="0"/>
        </w:numPr>
        <w:ind w:leftChars="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九、付款方式</w:t>
      </w:r>
    </w:p>
    <w:p>
      <w:pPr>
        <w:pStyle w:val="23"/>
        <w:numPr>
          <w:ilvl w:val="0"/>
          <w:numId w:val="0"/>
        </w:numPr>
        <w:ind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spacing w:before="120" w:line="22" w:lineRule="atLeast"/>
        <w:rPr>
          <w:rFonts w:hint="eastAsia" w:ascii="仿宋" w:hAnsi="仿宋" w:eastAsia="仿宋" w:cs="仿宋"/>
          <w:sz w:val="24"/>
          <w:highlight w:val="none"/>
        </w:rPr>
      </w:pPr>
    </w:p>
    <w:p>
      <w:pPr>
        <w:pStyle w:val="2"/>
        <w:rPr>
          <w:rFonts w:hint="eastAsia" w:ascii="仿宋" w:hAnsi="仿宋" w:eastAsia="仿宋" w:cs="仿宋"/>
          <w:highlight w:val="none"/>
        </w:rPr>
      </w:pPr>
    </w:p>
    <w:p>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597"/>
        <w:spacing w:before="120" w:line="22" w:lineRule="atLeast"/>
        <w:rPr>
          <w:rFonts w:hint="eastAsia" w:ascii="仿宋" w:hAnsi="仿宋" w:eastAsia="仿宋" w:cs="仿宋"/>
          <w:szCs w:val="24"/>
          <w:highlight w:val="none"/>
        </w:rPr>
      </w:pPr>
    </w:p>
    <w:p>
      <w:pPr>
        <w:pStyle w:val="597"/>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40" w:name="_Toc20421"/>
      <w:bookmarkStart w:id="41" w:name="_Toc15367"/>
      <w:bookmarkStart w:id="42" w:name="_Toc22967"/>
      <w:bookmarkStart w:id="43" w:name="_Toc19273"/>
      <w:bookmarkStart w:id="44" w:name="_Toc28855"/>
      <w:r>
        <w:rPr>
          <w:rFonts w:hint="eastAsia" w:ascii="仿宋" w:hAnsi="仿宋" w:eastAsia="仿宋" w:cs="仿宋"/>
          <w:b/>
          <w:sz w:val="24"/>
          <w:highlight w:val="none"/>
        </w:rPr>
        <w:t>1.1 合同组成部分</w:t>
      </w:r>
      <w:bookmarkEnd w:id="40"/>
      <w:bookmarkEnd w:id="41"/>
      <w:bookmarkEnd w:id="42"/>
      <w:bookmarkEnd w:id="43"/>
      <w:bookmarkEnd w:id="4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45" w:name="_Toc2918"/>
      <w:bookmarkStart w:id="46" w:name="_Toc6773"/>
      <w:bookmarkStart w:id="47" w:name="_Toc6311"/>
      <w:bookmarkStart w:id="48" w:name="_Toc22185"/>
      <w:bookmarkStart w:id="49" w:name="_Toc18585"/>
      <w:r>
        <w:rPr>
          <w:rFonts w:hint="eastAsia" w:ascii="仿宋" w:hAnsi="仿宋" w:eastAsia="仿宋" w:cs="仿宋"/>
          <w:b/>
          <w:sz w:val="24"/>
          <w:highlight w:val="none"/>
        </w:rPr>
        <w:t>1.2 标的</w:t>
      </w:r>
      <w:bookmarkEnd w:id="45"/>
      <w:bookmarkEnd w:id="46"/>
      <w:bookmarkEnd w:id="47"/>
      <w:bookmarkEnd w:id="48"/>
      <w:bookmarkEnd w:id="4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50" w:name="_Toc5635"/>
      <w:bookmarkStart w:id="51" w:name="_Toc4929"/>
      <w:bookmarkStart w:id="52" w:name="_Toc21124"/>
      <w:bookmarkStart w:id="53" w:name="_Toc1386"/>
      <w:bookmarkStart w:id="54" w:name="_Toc13918"/>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50"/>
      <w:bookmarkEnd w:id="51"/>
      <w:bookmarkEnd w:id="52"/>
      <w:bookmarkEnd w:id="53"/>
      <w:bookmarkEnd w:id="5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55" w:name="_Toc26916"/>
      <w:bookmarkStart w:id="56" w:name="_Toc30506"/>
      <w:bookmarkStart w:id="57" w:name="_Toc14993"/>
      <w:bookmarkStart w:id="58" w:name="_Toc3654"/>
      <w:bookmarkStart w:id="59" w:name="_Toc30158"/>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Style w:val="2"/>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highlight w:val="none"/>
          <w:lang w:val="en-US"/>
        </w:rPr>
      </w:pPr>
      <w:r>
        <w:rPr>
          <w:rFonts w:hint="eastAsia" w:ascii="仿宋" w:hAnsi="仿宋" w:eastAsia="仿宋" w:cs="仿宋"/>
          <w:sz w:val="24"/>
          <w:highlight w:val="none"/>
          <w:lang w:val="en-US"/>
        </w:rPr>
        <w:t xml:space="preserve">    </w:t>
      </w: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55"/>
    <w:bookmarkEnd w:id="56"/>
    <w:bookmarkEnd w:id="57"/>
    <w:bookmarkEnd w:id="58"/>
    <w:bookmarkEnd w:id="59"/>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60" w:name="_Toc1814"/>
      <w:bookmarkStart w:id="61" w:name="_Toc22618"/>
      <w:bookmarkStart w:id="62" w:name="_Toc10340"/>
      <w:bookmarkStart w:id="63" w:name="_Toc31421"/>
      <w:bookmarkStart w:id="64" w:name="_Toc11108"/>
      <w:bookmarkStart w:id="65" w:name="_Toc8772"/>
      <w:bookmarkStart w:id="66" w:name="_Toc4760"/>
      <w:bookmarkStart w:id="67" w:name="_Toc3625"/>
      <w:r>
        <w:rPr>
          <w:rFonts w:hint="eastAsia" w:ascii="仿宋" w:hAnsi="仿宋" w:eastAsia="仿宋" w:cs="仿宋"/>
          <w:b/>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60"/>
      <w:bookmarkEnd w:id="61"/>
      <w:bookmarkEnd w:id="62"/>
      <w:r>
        <w:rPr>
          <w:rFonts w:hint="eastAsia" w:ascii="仿宋" w:hAnsi="仿宋" w:eastAsia="仿宋" w:cs="仿宋"/>
          <w:b/>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63"/>
      <w:bookmarkEnd w:id="64"/>
      <w:bookmarkEnd w:id="65"/>
      <w:bookmarkEnd w:id="66"/>
      <w:bookmarkEnd w:id="6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68" w:name="_Toc2375"/>
      <w:bookmarkStart w:id="69" w:name="_Toc24662"/>
      <w:bookmarkStart w:id="70" w:name="_Toc8586"/>
      <w:bookmarkStart w:id="71" w:name="_Toc5698"/>
      <w:bookmarkStart w:id="72" w:name="_Toc3079"/>
      <w:r>
        <w:rPr>
          <w:rFonts w:hint="eastAsia" w:ascii="仿宋" w:hAnsi="仿宋" w:eastAsia="仿宋" w:cs="仿宋"/>
          <w:bCs/>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68"/>
      <w:bookmarkEnd w:id="69"/>
      <w:bookmarkEnd w:id="70"/>
      <w:bookmarkEnd w:id="71"/>
      <w:bookmarkEnd w:id="7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73" w:name="_Toc18683"/>
      <w:bookmarkStart w:id="74" w:name="_Toc26807"/>
      <w:bookmarkStart w:id="75" w:name="_Toc9497"/>
      <w:bookmarkStart w:id="76" w:name="_Toc32454"/>
      <w:bookmarkStart w:id="77" w:name="_Toc30329"/>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3"/>
    <w:bookmarkEnd w:id="74"/>
    <w:bookmarkEnd w:id="75"/>
    <w:bookmarkEnd w:id="76"/>
    <w:bookmarkEnd w:id="77"/>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8" w:name="_Toc28375"/>
      <w:bookmarkStart w:id="79" w:name="_Toc15583"/>
      <w:bookmarkStart w:id="80" w:name="_Toc16021"/>
      <w:r>
        <w:rPr>
          <w:rFonts w:hint="eastAsia" w:ascii="仿宋" w:hAnsi="仿宋" w:eastAsia="仿宋" w:cs="仿宋"/>
          <w:b/>
          <w:sz w:val="24"/>
          <w:highlight w:val="none"/>
        </w:rPr>
        <w:t>1.9合同争议的解决</w:t>
      </w:r>
      <w:bookmarkEnd w:id="78"/>
      <w:bookmarkEnd w:id="79"/>
      <w:bookmarkEnd w:id="8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81" w:name="_Toc7245"/>
      <w:bookmarkStart w:id="82" w:name="_Toc15322"/>
      <w:bookmarkStart w:id="83" w:name="_Toc11173"/>
      <w:r>
        <w:rPr>
          <w:rFonts w:hint="eastAsia" w:ascii="仿宋" w:hAnsi="仿宋" w:eastAsia="仿宋" w:cs="仿宋"/>
          <w:b/>
          <w:sz w:val="24"/>
          <w:highlight w:val="none"/>
        </w:rPr>
        <w:t>2.0 合同生效</w:t>
      </w:r>
      <w:bookmarkEnd w:id="81"/>
      <w:bookmarkEnd w:id="82"/>
      <w:bookmarkEnd w:id="8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hint="eastAsia" w:ascii="仿宋" w:hAnsi="仿宋" w:eastAsia="仿宋" w:cs="仿宋"/>
          <w:b/>
          <w:sz w:val="24"/>
          <w:highlight w:val="none"/>
        </w:rPr>
      </w:pPr>
      <w:bookmarkStart w:id="84" w:name="_Toc14021"/>
      <w:bookmarkStart w:id="85" w:name="_Toc19680"/>
      <w:bookmarkStart w:id="86" w:name="_Toc5228"/>
      <w:bookmarkStart w:id="87" w:name="_Toc31297"/>
      <w:bookmarkStart w:id="88" w:name="_Toc25079"/>
      <w:r>
        <w:rPr>
          <w:rFonts w:hint="eastAsia" w:ascii="仿宋" w:hAnsi="仿宋" w:eastAsia="仿宋" w:cs="仿宋"/>
          <w:b/>
          <w:sz w:val="24"/>
          <w:highlight w:val="none"/>
        </w:rPr>
        <w:t>2.1 定义</w:t>
      </w:r>
      <w:bookmarkEnd w:id="84"/>
      <w:bookmarkEnd w:id="85"/>
      <w:bookmarkEnd w:id="86"/>
      <w:bookmarkEnd w:id="87"/>
      <w:bookmarkEnd w:id="8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560" w:lineRule="exact"/>
        <w:ind w:firstLine="482" w:firstLineChars="200"/>
        <w:outlineLvl w:val="0"/>
        <w:rPr>
          <w:rFonts w:hint="eastAsia" w:ascii="仿宋" w:hAnsi="仿宋" w:eastAsia="仿宋" w:cs="仿宋"/>
          <w:b/>
          <w:sz w:val="24"/>
          <w:highlight w:val="none"/>
        </w:rPr>
      </w:pPr>
      <w:bookmarkStart w:id="89" w:name="_Toc31402"/>
      <w:bookmarkStart w:id="90" w:name="_Toc3769"/>
      <w:bookmarkStart w:id="91" w:name="_Toc19539"/>
      <w:bookmarkStart w:id="92" w:name="_Toc16752"/>
      <w:bookmarkStart w:id="93" w:name="_Toc23289"/>
      <w:r>
        <w:rPr>
          <w:rFonts w:hint="eastAsia" w:ascii="仿宋" w:hAnsi="仿宋" w:eastAsia="仿宋" w:cs="仿宋"/>
          <w:b/>
          <w:sz w:val="24"/>
          <w:highlight w:val="none"/>
        </w:rPr>
        <w:t>2.2 技术规范</w:t>
      </w:r>
      <w:bookmarkEnd w:id="89"/>
      <w:bookmarkEnd w:id="90"/>
      <w:bookmarkEnd w:id="91"/>
      <w:bookmarkEnd w:id="92"/>
      <w:bookmarkEnd w:id="9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94" w:name="_Toc12412"/>
      <w:bookmarkStart w:id="95" w:name="_Toc4133"/>
      <w:bookmarkStart w:id="96" w:name="_Toc27945"/>
      <w:bookmarkStart w:id="97" w:name="_Toc9161"/>
      <w:bookmarkStart w:id="98" w:name="_Toc13673"/>
      <w:r>
        <w:rPr>
          <w:rFonts w:hint="eastAsia" w:ascii="仿宋" w:hAnsi="仿宋" w:eastAsia="仿宋" w:cs="仿宋"/>
          <w:b/>
          <w:sz w:val="24"/>
          <w:highlight w:val="none"/>
        </w:rPr>
        <w:t>2.3 知识产权</w:t>
      </w:r>
      <w:bookmarkEnd w:id="94"/>
      <w:bookmarkEnd w:id="95"/>
      <w:bookmarkEnd w:id="96"/>
      <w:bookmarkEnd w:id="97"/>
      <w:bookmarkEnd w:id="9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highlight w:val="none"/>
        </w:rPr>
      </w:pPr>
      <w:bookmarkStart w:id="99" w:name="_Toc15447"/>
      <w:bookmarkStart w:id="100" w:name="_Toc32670"/>
      <w:bookmarkStart w:id="101" w:name="_Toc22011"/>
      <w:bookmarkStart w:id="102" w:name="_Toc31233"/>
      <w:bookmarkStart w:id="103" w:name="_Toc26555"/>
      <w:r>
        <w:rPr>
          <w:rFonts w:hint="eastAsia" w:ascii="仿宋" w:hAnsi="仿宋" w:eastAsia="仿宋" w:cs="仿宋"/>
          <w:b/>
          <w:sz w:val="24"/>
          <w:highlight w:val="none"/>
        </w:rPr>
        <w:t>2.5 结算方式和付款条件</w:t>
      </w:r>
      <w:bookmarkEnd w:id="99"/>
      <w:bookmarkEnd w:id="100"/>
      <w:bookmarkEnd w:id="101"/>
      <w:bookmarkEnd w:id="102"/>
      <w:bookmarkEnd w:id="10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04" w:name="_Toc30507"/>
      <w:bookmarkStart w:id="105" w:name="_Toc13467"/>
      <w:bookmarkStart w:id="106" w:name="_Toc18990"/>
      <w:bookmarkStart w:id="107" w:name="_Toc13154"/>
      <w:bookmarkStart w:id="108" w:name="_Toc16163"/>
      <w:r>
        <w:rPr>
          <w:rFonts w:hint="eastAsia" w:ascii="仿宋" w:hAnsi="仿宋" w:eastAsia="仿宋" w:cs="仿宋"/>
          <w:b/>
          <w:sz w:val="24"/>
          <w:highlight w:val="none"/>
        </w:rPr>
        <w:t>2.6 技术资料和保密义务</w:t>
      </w:r>
      <w:bookmarkEnd w:id="104"/>
      <w:bookmarkEnd w:id="105"/>
      <w:bookmarkEnd w:id="106"/>
      <w:bookmarkEnd w:id="107"/>
      <w:bookmarkEnd w:id="10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109" w:name="_Toc19069"/>
      <w:r>
        <w:rPr>
          <w:rFonts w:hint="eastAsia" w:ascii="仿宋" w:hAnsi="仿宋" w:eastAsia="仿宋" w:cs="仿宋"/>
          <w:b/>
          <w:sz w:val="24"/>
          <w:highlight w:val="none"/>
        </w:rPr>
        <w:t>2.7 质量保证</w:t>
      </w:r>
      <w:bookmarkEnd w:id="10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110" w:name="_Toc22267"/>
      <w:r>
        <w:rPr>
          <w:rFonts w:hint="eastAsia" w:ascii="仿宋" w:hAnsi="仿宋" w:eastAsia="仿宋" w:cs="仿宋"/>
          <w:b/>
          <w:sz w:val="24"/>
          <w:highlight w:val="none"/>
        </w:rPr>
        <w:t>2.8 延迟履行</w:t>
      </w:r>
      <w:bookmarkEnd w:id="11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highlight w:val="none"/>
        </w:rPr>
      </w:pPr>
      <w:bookmarkStart w:id="111" w:name="_Toc10611"/>
      <w:r>
        <w:rPr>
          <w:rFonts w:hint="eastAsia" w:ascii="仿宋" w:hAnsi="仿宋" w:eastAsia="仿宋" w:cs="仿宋"/>
          <w:b/>
          <w:sz w:val="24"/>
          <w:highlight w:val="none"/>
        </w:rPr>
        <w:t>2.9 合同变更</w:t>
      </w:r>
      <w:bookmarkEnd w:id="11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12" w:name="_Toc26689"/>
      <w:bookmarkStart w:id="113" w:name="_Toc42"/>
      <w:bookmarkStart w:id="114" w:name="_Toc10663"/>
      <w:bookmarkStart w:id="115" w:name="_Toc23368"/>
      <w:bookmarkStart w:id="116" w:name="_Toc21830"/>
      <w:r>
        <w:rPr>
          <w:rFonts w:hint="eastAsia" w:ascii="仿宋" w:hAnsi="仿宋" w:eastAsia="仿宋" w:cs="仿宋"/>
          <w:b/>
          <w:sz w:val="24"/>
          <w:highlight w:val="none"/>
        </w:rPr>
        <w:t>2.10 合同转让和分包</w:t>
      </w:r>
      <w:bookmarkEnd w:id="112"/>
      <w:bookmarkEnd w:id="113"/>
      <w:bookmarkEnd w:id="114"/>
      <w:bookmarkEnd w:id="115"/>
      <w:bookmarkEnd w:id="11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highlight w:val="none"/>
        </w:rPr>
      </w:pPr>
      <w:bookmarkStart w:id="117" w:name="_Toc4720"/>
      <w:bookmarkStart w:id="118" w:name="_Toc26633"/>
      <w:bookmarkStart w:id="119" w:name="_Toc32494"/>
      <w:bookmarkStart w:id="120" w:name="_Toc25571"/>
      <w:bookmarkStart w:id="121" w:name="_Toc14371"/>
      <w:r>
        <w:rPr>
          <w:rFonts w:hint="eastAsia" w:ascii="仿宋" w:hAnsi="仿宋" w:eastAsia="仿宋" w:cs="仿宋"/>
          <w:b/>
          <w:sz w:val="24"/>
          <w:highlight w:val="none"/>
        </w:rPr>
        <w:t>2.11 不可抗力</w:t>
      </w:r>
      <w:bookmarkEnd w:id="117"/>
      <w:bookmarkEnd w:id="118"/>
      <w:bookmarkEnd w:id="119"/>
      <w:bookmarkEnd w:id="120"/>
      <w:bookmarkEnd w:id="12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122" w:name="_Toc14115"/>
      <w:bookmarkStart w:id="123" w:name="_Toc24465"/>
      <w:bookmarkStart w:id="124" w:name="_Toc25783"/>
      <w:bookmarkStart w:id="125" w:name="_Toc23854"/>
      <w:bookmarkStart w:id="126" w:name="_Toc3638"/>
      <w:r>
        <w:rPr>
          <w:rFonts w:hint="eastAsia" w:ascii="仿宋" w:hAnsi="仿宋" w:eastAsia="仿宋" w:cs="仿宋"/>
          <w:b/>
          <w:sz w:val="24"/>
          <w:highlight w:val="none"/>
        </w:rPr>
        <w:t>2.12 税费</w:t>
      </w:r>
      <w:bookmarkEnd w:id="122"/>
      <w:bookmarkEnd w:id="123"/>
      <w:bookmarkEnd w:id="124"/>
      <w:bookmarkEnd w:id="125"/>
      <w:bookmarkEnd w:id="12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highlight w:val="none"/>
        </w:rPr>
      </w:pPr>
      <w:bookmarkStart w:id="127" w:name="_Toc30105"/>
      <w:bookmarkStart w:id="128" w:name="_Toc25525"/>
      <w:bookmarkStart w:id="129" w:name="_Toc26883"/>
      <w:bookmarkStart w:id="130" w:name="_Toc14814"/>
      <w:bookmarkStart w:id="131" w:name="_Toc7315"/>
      <w:r>
        <w:rPr>
          <w:rFonts w:hint="eastAsia" w:ascii="仿宋" w:hAnsi="仿宋" w:eastAsia="仿宋" w:cs="仿宋"/>
          <w:b/>
          <w:sz w:val="24"/>
          <w:highlight w:val="none"/>
        </w:rPr>
        <w:t>2.13 乙方破产</w:t>
      </w:r>
      <w:bookmarkEnd w:id="127"/>
      <w:bookmarkEnd w:id="128"/>
      <w:bookmarkEnd w:id="129"/>
      <w:bookmarkEnd w:id="130"/>
      <w:bookmarkEnd w:id="13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132" w:name="_Toc1123"/>
      <w:bookmarkStart w:id="133" w:name="_Toc2016"/>
      <w:bookmarkStart w:id="134" w:name="_Toc23323"/>
      <w:r>
        <w:rPr>
          <w:rFonts w:hint="eastAsia" w:ascii="仿宋" w:hAnsi="仿宋" w:eastAsia="仿宋" w:cs="仿宋"/>
          <w:b/>
          <w:sz w:val="24"/>
          <w:highlight w:val="none"/>
        </w:rPr>
        <w:t>2.14 合同中止、终止</w:t>
      </w:r>
      <w:bookmarkEnd w:id="132"/>
      <w:bookmarkEnd w:id="133"/>
      <w:bookmarkEnd w:id="13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35" w:name="_Toc14525"/>
      <w:bookmarkStart w:id="136" w:name="_Toc17363"/>
      <w:bookmarkStart w:id="137" w:name="_Toc1969"/>
      <w:r>
        <w:rPr>
          <w:rFonts w:hint="eastAsia" w:ascii="仿宋" w:hAnsi="仿宋" w:eastAsia="仿宋" w:cs="仿宋"/>
          <w:b/>
          <w:sz w:val="24"/>
          <w:highlight w:val="none"/>
        </w:rPr>
        <w:t>2.15 检验和验收</w:t>
      </w:r>
      <w:bookmarkEnd w:id="135"/>
      <w:bookmarkEnd w:id="136"/>
      <w:bookmarkEnd w:id="137"/>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38" w:name="_Toc31892"/>
      <w:bookmarkStart w:id="139" w:name="_Toc12666"/>
      <w:bookmarkStart w:id="140" w:name="_Toc9808"/>
      <w:bookmarkStart w:id="141" w:name="_Toc2308"/>
      <w:bookmarkStart w:id="142" w:name="_Toc25198"/>
      <w:r>
        <w:rPr>
          <w:rFonts w:hint="eastAsia" w:ascii="仿宋" w:hAnsi="仿宋" w:eastAsia="仿宋" w:cs="仿宋"/>
          <w:b/>
          <w:sz w:val="24"/>
          <w:highlight w:val="none"/>
        </w:rPr>
        <w:t>2.16 通知和送达</w:t>
      </w:r>
      <w:bookmarkEnd w:id="138"/>
      <w:bookmarkEnd w:id="139"/>
      <w:bookmarkEnd w:id="140"/>
      <w:bookmarkEnd w:id="141"/>
      <w:bookmarkEnd w:id="142"/>
    </w:p>
    <w:p>
      <w:pPr>
        <w:spacing w:line="560" w:lineRule="exact"/>
        <w:ind w:firstLine="480" w:firstLineChars="200"/>
        <w:rPr>
          <w:rFonts w:hint="eastAsia" w:ascii="仿宋" w:hAnsi="仿宋" w:eastAsia="仿宋" w:cs="仿宋"/>
          <w:sz w:val="24"/>
          <w:highlight w:val="none"/>
        </w:rPr>
      </w:pPr>
      <w:bookmarkStart w:id="143" w:name="_Toc18401"/>
      <w:bookmarkStart w:id="144" w:name="_Toc27674"/>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spacing w:line="560" w:lineRule="exact"/>
        <w:ind w:firstLine="482" w:firstLineChars="200"/>
        <w:outlineLvl w:val="0"/>
        <w:rPr>
          <w:rFonts w:hint="eastAsia" w:ascii="仿宋" w:hAnsi="仿宋" w:eastAsia="仿宋" w:cs="仿宋"/>
          <w:b/>
          <w:sz w:val="24"/>
          <w:highlight w:val="none"/>
        </w:rPr>
      </w:pPr>
      <w:bookmarkStart w:id="145" w:name="_Toc28906"/>
      <w:bookmarkStart w:id="146" w:name="_Toc12254"/>
      <w:bookmarkStart w:id="147" w:name="_Toc5063"/>
      <w:bookmarkStart w:id="148" w:name="_Toc20808"/>
      <w:bookmarkStart w:id="149" w:name="_Toc27644"/>
      <w:r>
        <w:rPr>
          <w:rFonts w:hint="eastAsia" w:ascii="仿宋" w:hAnsi="仿宋" w:eastAsia="仿宋" w:cs="仿宋"/>
          <w:b/>
          <w:sz w:val="24"/>
          <w:highlight w:val="none"/>
        </w:rPr>
        <w:t>2.17 合同使用的文字和适用的法律</w:t>
      </w:r>
      <w:bookmarkEnd w:id="145"/>
      <w:bookmarkEnd w:id="146"/>
      <w:bookmarkEnd w:id="147"/>
      <w:bookmarkEnd w:id="148"/>
      <w:bookmarkEnd w:id="14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150" w:name="_Toc18540"/>
      <w:bookmarkStart w:id="151" w:name="_Toc4355"/>
      <w:bookmarkStart w:id="152" w:name="_Toc30599"/>
      <w:r>
        <w:rPr>
          <w:rFonts w:hint="eastAsia" w:ascii="仿宋" w:hAnsi="仿宋" w:eastAsia="仿宋" w:cs="仿宋"/>
          <w:b/>
          <w:sz w:val="24"/>
          <w:highlight w:val="none"/>
        </w:rPr>
        <w:t>2.18 计量单位</w:t>
      </w:r>
      <w:bookmarkEnd w:id="150"/>
      <w:bookmarkEnd w:id="151"/>
      <w:bookmarkEnd w:id="15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53" w:name="_Toc10330"/>
      <w:bookmarkStart w:id="154" w:name="_Toc18567"/>
      <w:bookmarkStart w:id="155" w:name="_Toc487900373"/>
      <w:bookmarkStart w:id="156" w:name="_Toc259093692"/>
      <w:bookmarkStart w:id="157" w:name="_Toc12773"/>
      <w:bookmarkStart w:id="158" w:name="_Toc279701263"/>
      <w:r>
        <w:rPr>
          <w:rFonts w:hint="eastAsia" w:ascii="仿宋" w:hAnsi="仿宋" w:eastAsia="仿宋" w:cs="仿宋"/>
          <w:b/>
          <w:sz w:val="24"/>
          <w:highlight w:val="none"/>
        </w:rPr>
        <w:t>2.19 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59" w:name="_Toc331685784"/>
      <w:r>
        <w:rPr>
          <w:rFonts w:hint="eastAsia" w:ascii="仿宋" w:hAnsi="仿宋" w:eastAsia="仿宋" w:cs="仿宋"/>
          <w:b/>
          <w:sz w:val="24"/>
          <w:highlight w:val="none"/>
        </w:rPr>
        <w:t xml:space="preserve"> </w:t>
      </w:r>
      <w:bookmarkEnd w:id="159"/>
      <w:r>
        <w:rPr>
          <w:rFonts w:hint="eastAsia" w:ascii="仿宋" w:hAnsi="仿宋" w:eastAsia="仿宋" w:cs="仿宋"/>
          <w:b/>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pPr>
              <w:spacing w:line="360" w:lineRule="auto"/>
              <w:rPr>
                <w:rFonts w:hint="eastAsia" w:ascii="仿宋" w:hAnsi="仿宋" w:eastAsia="仿宋" w:cs="仿宋"/>
                <w:sz w:val="24"/>
                <w:highlight w:val="none"/>
              </w:rPr>
            </w:pPr>
          </w:p>
        </w:tc>
      </w:tr>
    </w:tbl>
    <w:p>
      <w:pPr>
        <w:spacing w:line="360" w:lineRule="auto"/>
        <w:ind w:left="-420" w:leftChars="-200" w:right="-420" w:rightChars="-200" w:firstLine="480" w:firstLineChars="200"/>
        <w:rPr>
          <w:rFonts w:hint="eastAsia" w:ascii="仿宋" w:hAnsi="仿宋" w:eastAsia="仿宋" w:cs="仿宋"/>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90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10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90</w:t>
      </w:r>
      <w:r>
        <w:rPr>
          <w:rFonts w:hint="eastAsia" w:ascii="仿宋" w:hAnsi="仿宋" w:eastAsia="仿宋" w:cs="仿宋"/>
          <w:b/>
          <w:bCs/>
          <w:iCs/>
          <w:sz w:val="24"/>
          <w:highlight w:val="none"/>
        </w:rPr>
        <w:t>分）</w:t>
      </w:r>
    </w:p>
    <w:tbl>
      <w:tblPr>
        <w:tblStyle w:val="62"/>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058"/>
        <w:gridCol w:w="645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Cs w:val="21"/>
                <w:highlight w:val="none"/>
              </w:rPr>
              <w:t>评分项</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Cs w:val="21"/>
                <w:highlight w:val="none"/>
              </w:rPr>
              <w:t>评审依据及标准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资质认证</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360" w:lineRule="auto"/>
              <w:ind w:left="0" w:right="0"/>
              <w:jc w:val="left"/>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投标人具有</w:t>
            </w:r>
            <w:r>
              <w:rPr>
                <w:rFonts w:hint="eastAsia" w:ascii="仿宋" w:hAnsi="仿宋" w:eastAsia="仿宋" w:cs="仿宋"/>
                <w:b w:val="0"/>
                <w:bCs w:val="0"/>
                <w:color w:val="auto"/>
                <w:szCs w:val="21"/>
                <w:highlight w:val="none"/>
                <w:lang w:val="en-US" w:eastAsia="zh-CN"/>
              </w:rPr>
              <w:t>与</w:t>
            </w:r>
            <w:r>
              <w:rPr>
                <w:rFonts w:hint="eastAsia" w:ascii="仿宋" w:hAnsi="仿宋" w:eastAsia="仿宋" w:cs="仿宋"/>
                <w:b w:val="0"/>
                <w:bCs w:val="0"/>
                <w:color w:val="auto"/>
                <w:szCs w:val="21"/>
                <w:highlight w:val="none"/>
              </w:rPr>
              <w:t>本项目相适应的相关企业资质证书：</w:t>
            </w:r>
          </w:p>
          <w:p>
            <w:pPr>
              <w:keepNext w:val="0"/>
              <w:keepLines w:val="0"/>
              <w:suppressLineNumbers w:val="0"/>
              <w:shd w:val="clear" w:color="auto" w:fill="FFFFFF"/>
              <w:spacing w:before="0" w:beforeAutospacing="0" w:after="0" w:afterAutospacing="0" w:line="360" w:lineRule="auto"/>
              <w:ind w:left="0" w:right="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1、具有有效期内的信息安全管理体系认证证书；</w:t>
            </w:r>
          </w:p>
          <w:p>
            <w:pPr>
              <w:keepNext w:val="0"/>
              <w:keepLines w:val="0"/>
              <w:suppressLineNumbers w:val="0"/>
              <w:shd w:val="clear" w:color="auto" w:fill="FFFFFF"/>
              <w:spacing w:before="0" w:beforeAutospacing="0" w:after="0" w:afterAutospacing="0" w:line="360" w:lineRule="auto"/>
              <w:ind w:left="0" w:right="0"/>
              <w:jc w:val="left"/>
              <w:rPr>
                <w:rFonts w:hint="eastAsia" w:ascii="仿宋" w:hAnsi="仿宋" w:eastAsia="仿宋" w:cs="仿宋"/>
                <w:b w:val="0"/>
                <w:bCs w:val="0"/>
                <w:color w:val="auto"/>
                <w:highlight w:val="none"/>
                <w:lang w:eastAsia="zh-CN"/>
              </w:rPr>
            </w:pPr>
            <w:r>
              <w:rPr>
                <w:rFonts w:hint="eastAsia" w:ascii="仿宋" w:hAnsi="仿宋" w:eastAsia="仿宋" w:cs="仿宋"/>
                <w:color w:val="auto"/>
                <w:szCs w:val="21"/>
                <w:highlight w:val="none"/>
              </w:rPr>
              <w:t>2、具有有效期内的信息技术服务管理体系认证证书；</w:t>
            </w:r>
            <w:r>
              <w:rPr>
                <w:rFonts w:hint="eastAsia" w:ascii="仿宋" w:hAnsi="仿宋" w:eastAsia="仿宋" w:cs="仿宋"/>
                <w:b w:val="0"/>
                <w:bCs w:val="0"/>
                <w:color w:val="auto"/>
                <w:szCs w:val="21"/>
                <w:highlight w:val="none"/>
              </w:rPr>
              <w:t>每个证书得</w:t>
            </w:r>
            <w:r>
              <w:rPr>
                <w:rFonts w:hint="eastAsia" w:ascii="仿宋" w:hAnsi="仿宋" w:eastAsia="仿宋" w:cs="仿宋"/>
                <w:b w:val="0"/>
                <w:bCs w:val="0"/>
                <w:color w:val="auto"/>
                <w:szCs w:val="21"/>
                <w:highlight w:val="none"/>
                <w:lang w:val="en-US" w:eastAsia="zh-CN"/>
              </w:rPr>
              <w:t>2.5</w:t>
            </w:r>
            <w:r>
              <w:rPr>
                <w:rFonts w:hint="eastAsia" w:ascii="仿宋" w:hAnsi="仿宋" w:eastAsia="仿宋" w:cs="仿宋"/>
                <w:b w:val="0"/>
                <w:bCs w:val="0"/>
                <w:color w:val="auto"/>
                <w:szCs w:val="21"/>
                <w:highlight w:val="none"/>
              </w:rPr>
              <w:t>分，最高5分。（投标单位</w:t>
            </w:r>
            <w:r>
              <w:rPr>
                <w:rFonts w:hint="eastAsia" w:ascii="仿宋" w:hAnsi="仿宋" w:eastAsia="仿宋" w:cs="仿宋"/>
                <w:b w:val="0"/>
                <w:bCs w:val="0"/>
                <w:color w:val="auto"/>
                <w:szCs w:val="21"/>
                <w:highlight w:val="none"/>
                <w:lang w:val="en-US" w:eastAsia="zh-CN"/>
              </w:rPr>
              <w:t>在商务技术文件中</w:t>
            </w:r>
            <w:r>
              <w:rPr>
                <w:rFonts w:hint="eastAsia" w:ascii="仿宋" w:hAnsi="仿宋" w:eastAsia="仿宋" w:cs="仿宋"/>
                <w:b w:val="0"/>
                <w:bCs w:val="0"/>
                <w:color w:val="auto"/>
                <w:szCs w:val="21"/>
                <w:highlight w:val="none"/>
              </w:rPr>
              <w:t>提供证书扫描</w:t>
            </w:r>
            <w:r>
              <w:rPr>
                <w:rFonts w:hint="eastAsia" w:ascii="仿宋" w:hAnsi="仿宋" w:eastAsia="仿宋" w:cs="仿宋"/>
                <w:b w:val="0"/>
                <w:bCs w:val="0"/>
                <w:color w:val="auto"/>
                <w:sz w:val="21"/>
                <w:szCs w:val="21"/>
                <w:highlight w:val="none"/>
              </w:rPr>
              <w:t>件</w:t>
            </w:r>
            <w:r>
              <w:rPr>
                <w:rFonts w:hint="eastAsia" w:ascii="仿宋" w:hAnsi="仿宋" w:eastAsia="仿宋" w:cs="仿宋"/>
                <w:b w:val="0"/>
                <w:bCs w:val="0"/>
                <w:iCs/>
                <w:color w:val="auto"/>
                <w:sz w:val="21"/>
                <w:szCs w:val="21"/>
                <w:highlight w:val="none"/>
              </w:rPr>
              <w:t>并加盖</w:t>
            </w:r>
            <w:r>
              <w:rPr>
                <w:rFonts w:hint="eastAsia" w:ascii="仿宋" w:hAnsi="仿宋" w:eastAsia="仿宋" w:cs="仿宋"/>
                <w:b w:val="0"/>
                <w:bCs w:val="0"/>
                <w:iCs/>
                <w:color w:val="auto"/>
                <w:sz w:val="21"/>
                <w:szCs w:val="21"/>
                <w:highlight w:val="none"/>
                <w:lang w:eastAsia="zh-CN"/>
              </w:rPr>
              <w:t>投标人</w:t>
            </w:r>
            <w:r>
              <w:rPr>
                <w:rFonts w:hint="eastAsia" w:ascii="仿宋" w:hAnsi="仿宋" w:eastAsia="仿宋" w:cs="仿宋"/>
                <w:b w:val="0"/>
                <w:bCs w:val="0"/>
                <w:iCs/>
                <w:color w:val="auto"/>
                <w:sz w:val="21"/>
                <w:szCs w:val="21"/>
                <w:highlight w:val="none"/>
              </w:rPr>
              <w:t>公章</w:t>
            </w:r>
            <w:r>
              <w:rPr>
                <w:rFonts w:hint="eastAsia" w:ascii="仿宋" w:hAnsi="仿宋" w:eastAsia="仿宋" w:cs="仿宋"/>
                <w:b w:val="0"/>
                <w:bCs w:val="0"/>
                <w:color w:val="auto"/>
                <w:szCs w:val="21"/>
                <w:highlight w:val="none"/>
              </w:rPr>
              <w:t>）。</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iCs/>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研发能力</w:t>
            </w:r>
          </w:p>
        </w:tc>
        <w:tc>
          <w:tcPr>
            <w:tcW w:w="645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hd w:val="clear" w:color="auto" w:fill="FFFFFF"/>
              <w:spacing w:before="0" w:beforeAutospacing="0" w:after="0" w:afterAutospacing="0" w:line="360" w:lineRule="auto"/>
              <w:ind w:left="0" w:right="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投标具有相关系统</w:t>
            </w:r>
            <w:bookmarkStart w:id="160" w:name="OLE_LINK1"/>
            <w:r>
              <w:rPr>
                <w:rFonts w:hint="eastAsia" w:ascii="仿宋" w:hAnsi="仿宋" w:eastAsia="仿宋" w:cs="仿宋"/>
                <w:b w:val="0"/>
                <w:bCs w:val="0"/>
                <w:color w:val="auto"/>
                <w:sz w:val="21"/>
                <w:szCs w:val="21"/>
                <w:highlight w:val="none"/>
              </w:rPr>
              <w:t>软件著作权登记证书</w:t>
            </w:r>
            <w:bookmarkEnd w:id="160"/>
            <w:r>
              <w:rPr>
                <w:rFonts w:hint="eastAsia" w:ascii="仿宋" w:hAnsi="仿宋" w:eastAsia="仿宋" w:cs="仿宋"/>
                <w:b w:val="0"/>
                <w:bCs w:val="0"/>
                <w:color w:val="auto"/>
                <w:sz w:val="21"/>
                <w:szCs w:val="21"/>
                <w:highlight w:val="none"/>
              </w:rPr>
              <w:t>：</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lang w:val="en-US" w:eastAsia="zh-CN"/>
              </w:rPr>
              <w:t>如：劳动仲裁系统、</w:t>
            </w:r>
            <w:r>
              <w:rPr>
                <w:rFonts w:hint="eastAsia" w:ascii="仿宋" w:hAnsi="仿宋" w:eastAsia="仿宋" w:cs="仿宋"/>
                <w:b w:val="0"/>
                <w:bCs w:val="0"/>
                <w:color w:val="auto"/>
                <w:sz w:val="21"/>
                <w:szCs w:val="21"/>
                <w:highlight w:val="none"/>
              </w:rPr>
              <w:t>劳动人事争议网络调解系统</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rPr>
              <w:t>每提供一个软件著作权登记证书的得 2 分，最高得 4 分。（投标人</w:t>
            </w:r>
            <w:r>
              <w:rPr>
                <w:rFonts w:hint="eastAsia" w:ascii="仿宋" w:hAnsi="仿宋" w:eastAsia="仿宋" w:cs="仿宋"/>
                <w:b w:val="0"/>
                <w:bCs w:val="0"/>
                <w:color w:val="auto"/>
                <w:szCs w:val="21"/>
                <w:highlight w:val="none"/>
                <w:lang w:val="en-US" w:eastAsia="zh-CN"/>
              </w:rPr>
              <w:t>在商务技术文件中</w:t>
            </w:r>
            <w:r>
              <w:rPr>
                <w:rFonts w:hint="eastAsia" w:ascii="仿宋" w:hAnsi="仿宋" w:eastAsia="仿宋" w:cs="仿宋"/>
                <w:b w:val="0"/>
                <w:bCs w:val="0"/>
                <w:color w:val="auto"/>
                <w:sz w:val="21"/>
                <w:szCs w:val="21"/>
                <w:highlight w:val="none"/>
              </w:rPr>
              <w:t>提供软件著作权登记证书扫描件</w:t>
            </w:r>
            <w:r>
              <w:rPr>
                <w:rFonts w:hint="eastAsia" w:ascii="仿宋" w:hAnsi="仿宋" w:eastAsia="仿宋" w:cs="仿宋"/>
                <w:b w:val="0"/>
                <w:bCs w:val="0"/>
                <w:iCs/>
                <w:color w:val="auto"/>
                <w:sz w:val="21"/>
                <w:szCs w:val="21"/>
                <w:highlight w:val="none"/>
              </w:rPr>
              <w:t>并加盖</w:t>
            </w:r>
            <w:r>
              <w:rPr>
                <w:rFonts w:hint="eastAsia" w:ascii="仿宋" w:hAnsi="仿宋" w:eastAsia="仿宋" w:cs="仿宋"/>
                <w:b w:val="0"/>
                <w:bCs w:val="0"/>
                <w:iCs/>
                <w:color w:val="auto"/>
                <w:sz w:val="21"/>
                <w:szCs w:val="21"/>
                <w:highlight w:val="none"/>
                <w:lang w:eastAsia="zh-CN"/>
              </w:rPr>
              <w:t>投标人</w:t>
            </w:r>
            <w:r>
              <w:rPr>
                <w:rFonts w:hint="eastAsia" w:ascii="仿宋" w:hAnsi="仿宋" w:eastAsia="仿宋" w:cs="仿宋"/>
                <w:b w:val="0"/>
                <w:bCs w:val="0"/>
                <w:iCs/>
                <w:color w:val="auto"/>
                <w:sz w:val="21"/>
                <w:szCs w:val="21"/>
                <w:highlight w:val="none"/>
              </w:rPr>
              <w:t>公章</w:t>
            </w:r>
            <w:r>
              <w:rPr>
                <w:rFonts w:hint="eastAsia" w:ascii="仿宋" w:hAnsi="仿宋" w:eastAsia="仿宋" w:cs="仿宋"/>
                <w:b w:val="0"/>
                <w:bCs w:val="0"/>
                <w:color w:val="auto"/>
                <w:sz w:val="21"/>
                <w:szCs w:val="21"/>
                <w:highlight w:val="none"/>
              </w:rPr>
              <w:t>）</w:t>
            </w:r>
          </w:p>
          <w:p>
            <w:pPr>
              <w:keepNext w:val="0"/>
              <w:keepLines w:val="0"/>
              <w:suppressLineNumbers w:val="0"/>
              <w:shd w:val="clear" w:color="auto" w:fill="FFFFFF"/>
              <w:spacing w:before="0" w:beforeAutospacing="0" w:after="0" w:afterAutospacing="0" w:line="360" w:lineRule="auto"/>
              <w:ind w:left="0" w:right="0"/>
              <w:jc w:val="left"/>
              <w:rPr>
                <w:rFonts w:hint="eastAsia" w:ascii="仿宋" w:hAnsi="仿宋" w:eastAsia="仿宋" w:cs="仿宋"/>
                <w:b w:val="0"/>
                <w:bCs w:val="0"/>
                <w:kern w:val="2"/>
                <w:sz w:val="21"/>
                <w:szCs w:val="21"/>
                <w:highlight w:val="none"/>
                <w:lang w:val="en-US" w:eastAsia="zh-CN" w:bidi="ar-SA"/>
              </w:rPr>
            </w:pPr>
            <w:r>
              <w:rPr>
                <w:rFonts w:hint="eastAsia" w:ascii="仿宋" w:hAnsi="仿宋" w:eastAsia="仿宋" w:cs="仿宋"/>
                <w:b w:val="0"/>
                <w:bCs w:val="0"/>
                <w:color w:val="auto"/>
                <w:sz w:val="21"/>
                <w:szCs w:val="21"/>
                <w:highlight w:val="none"/>
              </w:rPr>
              <w:t>以上证书登记注册的软件名称无需与</w:t>
            </w:r>
            <w:r>
              <w:rPr>
                <w:rFonts w:hint="eastAsia" w:ascii="仿宋" w:hAnsi="仿宋" w:eastAsia="仿宋" w:cs="仿宋"/>
                <w:b w:val="0"/>
                <w:bCs w:val="0"/>
                <w:color w:val="auto"/>
                <w:sz w:val="21"/>
                <w:szCs w:val="21"/>
                <w:highlight w:val="none"/>
                <w:lang w:val="en-US" w:eastAsia="zh-CN"/>
              </w:rPr>
              <w:t>本项要求的劳动仲裁系统、</w:t>
            </w:r>
            <w:r>
              <w:rPr>
                <w:rFonts w:hint="eastAsia" w:ascii="仿宋" w:hAnsi="仿宋" w:eastAsia="仿宋" w:cs="仿宋"/>
                <w:b w:val="0"/>
                <w:bCs w:val="0"/>
                <w:color w:val="auto"/>
                <w:sz w:val="21"/>
                <w:szCs w:val="21"/>
                <w:highlight w:val="none"/>
              </w:rPr>
              <w:t>劳动人事争议网络调解系统完全一致，但内容（功能）需相</w:t>
            </w:r>
            <w:r>
              <w:rPr>
                <w:rFonts w:hint="eastAsia" w:ascii="仿宋" w:hAnsi="仿宋" w:eastAsia="仿宋" w:cs="仿宋"/>
                <w:b w:val="0"/>
                <w:bCs w:val="0"/>
                <w:color w:val="auto"/>
                <w:sz w:val="21"/>
                <w:szCs w:val="21"/>
                <w:highlight w:val="none"/>
                <w:lang w:eastAsia="zh-CN"/>
              </w:rPr>
              <w:t>关</w:t>
            </w:r>
            <w:r>
              <w:rPr>
                <w:rFonts w:hint="eastAsia" w:ascii="仿宋" w:hAnsi="仿宋" w:eastAsia="仿宋" w:cs="仿宋"/>
                <w:b w:val="0"/>
                <w:bCs w:val="0"/>
                <w:color w:val="auto"/>
                <w:sz w:val="21"/>
                <w:szCs w:val="21"/>
                <w:highlight w:val="none"/>
              </w:rPr>
              <w:t>，所提供著作权名称与评分要求不同时，应提供功能说明及包含的关键信息，相应系统功能应符合上述要求，否则不予认可。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业绩证明</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lang w:val="en-US" w:eastAsia="zh-CN"/>
              </w:rPr>
              <w:t>投标人自2021年1月1日以来（以合同签订时间或使用单位证明为准），完成过</w:t>
            </w:r>
            <w:r>
              <w:rPr>
                <w:rFonts w:hint="eastAsia" w:ascii="仿宋" w:hAnsi="仿宋" w:eastAsia="仿宋" w:cs="仿宋"/>
                <w:b w:val="0"/>
                <w:bCs w:val="0"/>
                <w:iCs/>
                <w:color w:val="auto"/>
                <w:sz w:val="21"/>
                <w:szCs w:val="21"/>
                <w:highlight w:val="none"/>
              </w:rPr>
              <w:t>同类</w:t>
            </w:r>
            <w:r>
              <w:rPr>
                <w:rFonts w:hint="eastAsia" w:ascii="仿宋" w:hAnsi="仿宋" w:eastAsia="仿宋" w:cs="仿宋"/>
                <w:b w:val="0"/>
                <w:bCs w:val="0"/>
                <w:iCs/>
                <w:color w:val="auto"/>
                <w:sz w:val="21"/>
                <w:szCs w:val="21"/>
                <w:highlight w:val="none"/>
                <w:lang w:eastAsia="zh-CN"/>
              </w:rPr>
              <w:t>案例</w:t>
            </w:r>
            <w:r>
              <w:rPr>
                <w:rFonts w:hint="eastAsia" w:ascii="仿宋" w:hAnsi="仿宋" w:eastAsia="仿宋" w:cs="仿宋"/>
                <w:b w:val="0"/>
                <w:bCs w:val="0"/>
                <w:iCs/>
                <w:color w:val="auto"/>
                <w:sz w:val="21"/>
                <w:szCs w:val="21"/>
                <w:highlight w:val="none"/>
              </w:rPr>
              <w:t>，每</w:t>
            </w:r>
            <w:r>
              <w:rPr>
                <w:rFonts w:hint="eastAsia" w:ascii="仿宋" w:hAnsi="仿宋" w:eastAsia="仿宋" w:cs="仿宋"/>
                <w:b w:val="0"/>
                <w:bCs w:val="0"/>
                <w:iCs/>
                <w:color w:val="auto"/>
                <w:sz w:val="21"/>
                <w:szCs w:val="21"/>
                <w:highlight w:val="none"/>
                <w:lang w:eastAsia="zh-CN"/>
              </w:rPr>
              <w:t>有</w:t>
            </w:r>
            <w:r>
              <w:rPr>
                <w:rFonts w:hint="eastAsia" w:ascii="仿宋" w:hAnsi="仿宋" w:eastAsia="仿宋" w:cs="仿宋"/>
                <w:b w:val="0"/>
                <w:bCs w:val="0"/>
                <w:iCs/>
                <w:color w:val="auto"/>
                <w:sz w:val="21"/>
                <w:szCs w:val="21"/>
                <w:highlight w:val="none"/>
              </w:rPr>
              <w:t>1个得</w:t>
            </w:r>
            <w:r>
              <w:rPr>
                <w:rFonts w:hint="eastAsia" w:ascii="仿宋" w:hAnsi="仿宋" w:eastAsia="仿宋" w:cs="仿宋"/>
                <w:b w:val="0"/>
                <w:bCs w:val="0"/>
                <w:iCs/>
                <w:color w:val="auto"/>
                <w:sz w:val="21"/>
                <w:szCs w:val="21"/>
                <w:highlight w:val="none"/>
                <w:lang w:eastAsia="zh-CN"/>
              </w:rPr>
              <w:t>0</w:t>
            </w:r>
            <w:r>
              <w:rPr>
                <w:rFonts w:hint="eastAsia" w:ascii="仿宋" w:hAnsi="仿宋" w:eastAsia="仿宋" w:cs="仿宋"/>
                <w:b w:val="0"/>
                <w:bCs w:val="0"/>
                <w:iCs/>
                <w:color w:val="auto"/>
                <w:sz w:val="21"/>
                <w:szCs w:val="21"/>
                <w:highlight w:val="none"/>
                <w:lang w:val="en-US" w:eastAsia="zh-CN"/>
              </w:rPr>
              <w:t>.5</w:t>
            </w:r>
            <w:r>
              <w:rPr>
                <w:rFonts w:hint="eastAsia" w:ascii="仿宋" w:hAnsi="仿宋" w:eastAsia="仿宋" w:cs="仿宋"/>
                <w:b w:val="0"/>
                <w:bCs w:val="0"/>
                <w:iCs/>
                <w:color w:val="auto"/>
                <w:sz w:val="21"/>
                <w:szCs w:val="21"/>
                <w:highlight w:val="none"/>
              </w:rPr>
              <w:t>分，最</w:t>
            </w:r>
            <w:r>
              <w:rPr>
                <w:rFonts w:hint="eastAsia" w:ascii="仿宋" w:hAnsi="仿宋" w:eastAsia="仿宋" w:cs="仿宋"/>
                <w:b w:val="0"/>
                <w:bCs w:val="0"/>
                <w:iCs/>
                <w:color w:val="auto"/>
                <w:sz w:val="21"/>
                <w:szCs w:val="21"/>
                <w:highlight w:val="none"/>
                <w:lang w:eastAsia="zh-CN"/>
              </w:rPr>
              <w:t>高</w:t>
            </w:r>
            <w:r>
              <w:rPr>
                <w:rFonts w:hint="eastAsia" w:ascii="仿宋" w:hAnsi="仿宋" w:eastAsia="仿宋" w:cs="仿宋"/>
                <w:b w:val="0"/>
                <w:bCs w:val="0"/>
                <w:iCs/>
                <w:color w:val="auto"/>
                <w:sz w:val="21"/>
                <w:szCs w:val="21"/>
                <w:highlight w:val="none"/>
              </w:rPr>
              <w:t>得</w:t>
            </w:r>
            <w:r>
              <w:rPr>
                <w:rFonts w:hint="eastAsia" w:ascii="仿宋" w:hAnsi="仿宋" w:eastAsia="仿宋" w:cs="仿宋"/>
                <w:b w:val="0"/>
                <w:bCs w:val="0"/>
                <w:iCs/>
                <w:color w:val="auto"/>
                <w:sz w:val="21"/>
                <w:szCs w:val="21"/>
                <w:highlight w:val="none"/>
                <w:lang w:eastAsia="zh-CN"/>
              </w:rPr>
              <w:t>1</w:t>
            </w:r>
            <w:r>
              <w:rPr>
                <w:rFonts w:hint="eastAsia" w:ascii="仿宋" w:hAnsi="仿宋" w:eastAsia="仿宋" w:cs="仿宋"/>
                <w:b w:val="0"/>
                <w:bCs w:val="0"/>
                <w:iCs/>
                <w:color w:val="auto"/>
                <w:sz w:val="21"/>
                <w:szCs w:val="21"/>
                <w:highlight w:val="none"/>
              </w:rPr>
              <w:t>分。</w:t>
            </w:r>
          </w:p>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lang w:eastAsia="zh-CN"/>
              </w:rPr>
              <w:t>备</w:t>
            </w:r>
            <w:r>
              <w:rPr>
                <w:rFonts w:hint="eastAsia" w:ascii="仿宋" w:hAnsi="仿宋" w:eastAsia="仿宋" w:cs="仿宋"/>
                <w:b w:val="0"/>
                <w:bCs w:val="0"/>
                <w:iCs/>
                <w:color w:val="auto"/>
                <w:sz w:val="21"/>
                <w:szCs w:val="21"/>
                <w:highlight w:val="none"/>
              </w:rPr>
              <w:t>注：投标人</w:t>
            </w:r>
            <w:r>
              <w:rPr>
                <w:rFonts w:hint="eastAsia" w:ascii="仿宋" w:hAnsi="仿宋" w:eastAsia="仿宋" w:cs="仿宋"/>
                <w:b w:val="0"/>
                <w:bCs w:val="0"/>
                <w:color w:val="auto"/>
                <w:szCs w:val="21"/>
                <w:highlight w:val="none"/>
                <w:lang w:val="en-US" w:eastAsia="zh-CN"/>
              </w:rPr>
              <w:t>在商务技术文件中</w:t>
            </w:r>
            <w:r>
              <w:rPr>
                <w:rFonts w:hint="eastAsia" w:ascii="仿宋" w:hAnsi="仿宋" w:eastAsia="仿宋" w:cs="仿宋"/>
                <w:b w:val="0"/>
                <w:bCs w:val="0"/>
                <w:iCs/>
                <w:color w:val="auto"/>
                <w:sz w:val="21"/>
                <w:szCs w:val="21"/>
                <w:highlight w:val="none"/>
              </w:rPr>
              <w:t>提供合同</w:t>
            </w:r>
            <w:r>
              <w:rPr>
                <w:rFonts w:hint="eastAsia" w:ascii="仿宋" w:hAnsi="仿宋" w:eastAsia="仿宋" w:cs="仿宋"/>
                <w:b w:val="0"/>
                <w:bCs w:val="0"/>
                <w:iCs/>
                <w:color w:val="auto"/>
                <w:sz w:val="21"/>
                <w:szCs w:val="21"/>
                <w:highlight w:val="none"/>
                <w:lang w:val="en-US" w:eastAsia="zh-CN"/>
              </w:rPr>
              <w:t>扫描件</w:t>
            </w:r>
            <w:r>
              <w:rPr>
                <w:rFonts w:hint="eastAsia" w:ascii="仿宋" w:hAnsi="仿宋" w:eastAsia="仿宋" w:cs="仿宋"/>
                <w:b w:val="0"/>
                <w:bCs w:val="0"/>
                <w:iCs/>
                <w:color w:val="auto"/>
                <w:sz w:val="21"/>
                <w:szCs w:val="21"/>
                <w:highlight w:val="none"/>
              </w:rPr>
              <w:t>或</w:t>
            </w:r>
            <w:r>
              <w:rPr>
                <w:rFonts w:hint="eastAsia" w:ascii="仿宋" w:hAnsi="仿宋" w:eastAsia="仿宋" w:cs="仿宋"/>
                <w:b w:val="0"/>
                <w:bCs w:val="0"/>
                <w:iCs/>
                <w:color w:val="auto"/>
                <w:sz w:val="21"/>
                <w:szCs w:val="21"/>
                <w:highlight w:val="none"/>
                <w:lang w:eastAsia="zh-CN"/>
              </w:rPr>
              <w:t>使用单位</w:t>
            </w:r>
            <w:r>
              <w:rPr>
                <w:rFonts w:hint="eastAsia" w:ascii="仿宋" w:hAnsi="仿宋" w:eastAsia="仿宋" w:cs="仿宋"/>
                <w:b w:val="0"/>
                <w:bCs w:val="0"/>
                <w:iCs/>
                <w:color w:val="auto"/>
                <w:sz w:val="21"/>
                <w:szCs w:val="21"/>
                <w:highlight w:val="none"/>
              </w:rPr>
              <w:t>证明材料</w:t>
            </w:r>
            <w:r>
              <w:rPr>
                <w:rFonts w:hint="eastAsia" w:ascii="仿宋" w:hAnsi="仿宋" w:eastAsia="仿宋" w:cs="仿宋"/>
                <w:b w:val="0"/>
                <w:bCs w:val="0"/>
                <w:iCs/>
                <w:color w:val="auto"/>
                <w:sz w:val="21"/>
                <w:szCs w:val="21"/>
                <w:highlight w:val="none"/>
                <w:lang w:val="en-US" w:eastAsia="zh-CN"/>
              </w:rPr>
              <w:t>扫描件</w:t>
            </w:r>
            <w:r>
              <w:rPr>
                <w:rFonts w:hint="eastAsia" w:ascii="仿宋" w:hAnsi="仿宋" w:eastAsia="仿宋" w:cs="仿宋"/>
                <w:b w:val="0"/>
                <w:bCs w:val="0"/>
                <w:iCs/>
                <w:color w:val="auto"/>
                <w:sz w:val="21"/>
                <w:szCs w:val="21"/>
                <w:highlight w:val="none"/>
              </w:rPr>
              <w:t>并加盖</w:t>
            </w:r>
            <w:r>
              <w:rPr>
                <w:rFonts w:hint="eastAsia" w:ascii="仿宋" w:hAnsi="仿宋" w:eastAsia="仿宋" w:cs="仿宋"/>
                <w:b w:val="0"/>
                <w:bCs w:val="0"/>
                <w:iCs/>
                <w:color w:val="auto"/>
                <w:sz w:val="21"/>
                <w:szCs w:val="21"/>
                <w:highlight w:val="none"/>
                <w:lang w:eastAsia="zh-CN"/>
              </w:rPr>
              <w:t>投标人</w:t>
            </w:r>
            <w:r>
              <w:rPr>
                <w:rFonts w:hint="eastAsia" w:ascii="仿宋" w:hAnsi="仿宋" w:eastAsia="仿宋" w:cs="仿宋"/>
                <w:b w:val="0"/>
                <w:bCs w:val="0"/>
                <w:iCs/>
                <w:color w:val="auto"/>
                <w:sz w:val="21"/>
                <w:szCs w:val="21"/>
                <w:highlight w:val="none"/>
              </w:rPr>
              <w:t>公章。</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项目团队</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lang w:val="en-US" w:eastAsia="zh-CN"/>
              </w:rPr>
              <w:t>拟派</w:t>
            </w:r>
            <w:r>
              <w:rPr>
                <w:rFonts w:hint="eastAsia" w:ascii="仿宋" w:hAnsi="仿宋" w:eastAsia="仿宋" w:cs="仿宋"/>
                <w:b w:val="0"/>
                <w:bCs w:val="0"/>
                <w:iCs/>
                <w:color w:val="auto"/>
                <w:sz w:val="21"/>
                <w:szCs w:val="21"/>
                <w:highlight w:val="none"/>
              </w:rPr>
              <w:t>的项目组成员及运维人员（项目技术负责人除外）中，具有人社部或工信部（及其直属机构）颁发的</w:t>
            </w:r>
            <w:r>
              <w:rPr>
                <w:rFonts w:hint="eastAsia" w:ascii="仿宋" w:hAnsi="仿宋" w:eastAsia="仿宋" w:cs="仿宋"/>
                <w:iCs/>
                <w:color w:val="auto"/>
                <w:kern w:val="2"/>
                <w:szCs w:val="21"/>
                <w:highlight w:val="none"/>
              </w:rPr>
              <w:t>高级系统架构师</w:t>
            </w:r>
            <w:r>
              <w:rPr>
                <w:rFonts w:hint="eastAsia" w:ascii="仿宋" w:hAnsi="仿宋" w:eastAsia="仿宋" w:cs="仿宋"/>
                <w:iCs/>
                <w:color w:val="auto"/>
                <w:kern w:val="2"/>
                <w:szCs w:val="21"/>
                <w:highlight w:val="none"/>
                <w:lang w:eastAsia="zh-CN"/>
              </w:rPr>
              <w:t>、</w:t>
            </w:r>
            <w:r>
              <w:rPr>
                <w:rFonts w:hint="eastAsia" w:ascii="仿宋" w:hAnsi="仿宋" w:eastAsia="仿宋" w:cs="仿宋"/>
                <w:iCs/>
                <w:color w:val="auto"/>
                <w:kern w:val="2"/>
                <w:szCs w:val="21"/>
                <w:highlight w:val="none"/>
                <w:lang w:val="en-US" w:eastAsia="zh-CN"/>
              </w:rPr>
              <w:t>高级</w:t>
            </w:r>
            <w:r>
              <w:rPr>
                <w:rFonts w:hint="eastAsia" w:ascii="仿宋" w:hAnsi="仿宋" w:eastAsia="仿宋" w:cs="仿宋"/>
                <w:iCs/>
                <w:color w:val="auto"/>
                <w:kern w:val="2"/>
                <w:szCs w:val="21"/>
                <w:highlight w:val="none"/>
              </w:rPr>
              <w:t>系统分析师</w:t>
            </w:r>
            <w:r>
              <w:rPr>
                <w:rFonts w:hint="eastAsia" w:ascii="仿宋" w:hAnsi="仿宋" w:eastAsia="仿宋" w:cs="仿宋"/>
                <w:iCs/>
                <w:color w:val="auto"/>
                <w:kern w:val="2"/>
                <w:szCs w:val="21"/>
                <w:highlight w:val="none"/>
                <w:lang w:eastAsia="zh-CN"/>
              </w:rPr>
              <w:t>、</w:t>
            </w:r>
            <w:r>
              <w:rPr>
                <w:rFonts w:hint="eastAsia" w:ascii="仿宋" w:hAnsi="仿宋" w:eastAsia="仿宋" w:cs="仿宋"/>
                <w:iCs/>
                <w:color w:val="auto"/>
                <w:kern w:val="2"/>
                <w:szCs w:val="21"/>
                <w:highlight w:val="none"/>
                <w:lang w:val="en-US" w:eastAsia="zh-CN"/>
              </w:rPr>
              <w:t>高级</w:t>
            </w:r>
            <w:r>
              <w:rPr>
                <w:rFonts w:hint="eastAsia" w:ascii="仿宋" w:hAnsi="仿宋" w:eastAsia="仿宋" w:cs="仿宋"/>
                <w:iCs/>
                <w:color w:val="auto"/>
                <w:kern w:val="2"/>
                <w:szCs w:val="21"/>
                <w:highlight w:val="none"/>
              </w:rPr>
              <w:t>网络规划设计师</w:t>
            </w:r>
            <w:r>
              <w:rPr>
                <w:rFonts w:hint="eastAsia" w:ascii="仿宋" w:hAnsi="仿宋" w:eastAsia="仿宋" w:cs="仿宋"/>
                <w:iCs/>
                <w:color w:val="auto"/>
                <w:kern w:val="2"/>
                <w:szCs w:val="21"/>
                <w:highlight w:val="none"/>
                <w:lang w:eastAsia="zh-CN"/>
              </w:rPr>
              <w:t>、</w:t>
            </w:r>
            <w:r>
              <w:rPr>
                <w:rFonts w:hint="eastAsia" w:ascii="仿宋" w:hAnsi="仿宋" w:eastAsia="仿宋" w:cs="仿宋"/>
                <w:iCs/>
                <w:color w:val="auto"/>
                <w:kern w:val="2"/>
                <w:szCs w:val="21"/>
                <w:highlight w:val="none"/>
                <w:lang w:val="en-US" w:eastAsia="zh-CN"/>
              </w:rPr>
              <w:t>高级</w:t>
            </w:r>
            <w:r>
              <w:rPr>
                <w:rFonts w:hint="eastAsia" w:ascii="仿宋" w:hAnsi="仿宋" w:eastAsia="仿宋" w:cs="仿宋"/>
                <w:iCs/>
                <w:color w:val="auto"/>
                <w:kern w:val="2"/>
                <w:szCs w:val="21"/>
                <w:highlight w:val="none"/>
              </w:rPr>
              <w:t>系统规划与管理师</w:t>
            </w:r>
            <w:r>
              <w:rPr>
                <w:rFonts w:hint="eastAsia" w:ascii="仿宋" w:hAnsi="仿宋" w:eastAsia="仿宋" w:cs="仿宋"/>
                <w:iCs/>
                <w:color w:val="auto"/>
                <w:kern w:val="2"/>
                <w:szCs w:val="21"/>
                <w:highlight w:val="none"/>
                <w:lang w:val="en-US" w:eastAsia="zh-CN"/>
              </w:rPr>
              <w:t>其中之一的</w:t>
            </w:r>
            <w:r>
              <w:rPr>
                <w:rFonts w:hint="eastAsia" w:ascii="仿宋" w:hAnsi="仿宋" w:eastAsia="仿宋" w:cs="仿宋"/>
                <w:b w:val="0"/>
                <w:bCs w:val="0"/>
                <w:iCs/>
                <w:color w:val="auto"/>
                <w:sz w:val="21"/>
                <w:szCs w:val="21"/>
                <w:highlight w:val="none"/>
              </w:rPr>
              <w:t>，得2分；</w:t>
            </w:r>
          </w:p>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lang w:val="en-US" w:eastAsia="zh-CN"/>
              </w:rPr>
              <w:t>拟派</w:t>
            </w:r>
            <w:r>
              <w:rPr>
                <w:rFonts w:hint="eastAsia" w:ascii="仿宋" w:hAnsi="仿宋" w:eastAsia="仿宋" w:cs="仿宋"/>
                <w:b w:val="0"/>
                <w:bCs w:val="0"/>
                <w:iCs/>
                <w:color w:val="auto"/>
                <w:sz w:val="21"/>
                <w:szCs w:val="21"/>
                <w:highlight w:val="none"/>
              </w:rPr>
              <w:t>的项目组成员及运维人员（项目技术负责人除外）中</w:t>
            </w:r>
            <w:r>
              <w:rPr>
                <w:rFonts w:hint="eastAsia" w:ascii="仿宋" w:hAnsi="仿宋" w:eastAsia="仿宋" w:cs="仿宋"/>
                <w:b w:val="0"/>
                <w:bCs w:val="0"/>
                <w:iCs/>
                <w:color w:val="auto"/>
                <w:sz w:val="21"/>
                <w:szCs w:val="21"/>
                <w:highlight w:val="none"/>
                <w:lang w:eastAsia="zh-CN"/>
              </w:rPr>
              <w:t>，</w:t>
            </w:r>
            <w:r>
              <w:rPr>
                <w:rFonts w:hint="eastAsia" w:ascii="仿宋" w:hAnsi="仿宋" w:eastAsia="仿宋" w:cs="仿宋"/>
                <w:b w:val="0"/>
                <w:bCs w:val="0"/>
                <w:iCs/>
                <w:color w:val="auto"/>
                <w:sz w:val="21"/>
                <w:szCs w:val="21"/>
                <w:highlight w:val="none"/>
              </w:rPr>
              <w:t>具有人社部或工信部（及其直属机构）颁发的</w:t>
            </w:r>
            <w:r>
              <w:rPr>
                <w:rFonts w:hint="eastAsia" w:ascii="仿宋" w:hAnsi="仿宋" w:eastAsia="仿宋" w:cs="仿宋"/>
                <w:iCs/>
                <w:color w:val="auto"/>
                <w:szCs w:val="21"/>
                <w:highlight w:val="none"/>
              </w:rPr>
              <w:t>中级软件设计师、中级系统集成项目管理工程师、中级软件评测师、中级网络工程师、中级信息安全工程师、中级多媒体应用设计师、中级电子商务设计师证书</w:t>
            </w:r>
            <w:r>
              <w:rPr>
                <w:rFonts w:hint="eastAsia" w:ascii="仿宋" w:hAnsi="仿宋" w:eastAsia="仿宋" w:cs="仿宋"/>
                <w:b w:val="0"/>
                <w:bCs w:val="0"/>
                <w:iCs/>
                <w:color w:val="auto"/>
                <w:sz w:val="21"/>
                <w:szCs w:val="21"/>
                <w:highlight w:val="none"/>
              </w:rPr>
              <w:t>的每人得1分，最高</w:t>
            </w:r>
            <w:r>
              <w:rPr>
                <w:rFonts w:hint="eastAsia" w:ascii="仿宋" w:hAnsi="仿宋" w:eastAsia="仿宋" w:cs="仿宋"/>
                <w:b w:val="0"/>
                <w:bCs w:val="0"/>
                <w:iCs/>
                <w:color w:val="auto"/>
                <w:sz w:val="21"/>
                <w:szCs w:val="21"/>
                <w:highlight w:val="none"/>
                <w:lang w:val="en-US" w:eastAsia="zh-CN"/>
              </w:rPr>
              <w:t>3</w:t>
            </w:r>
            <w:r>
              <w:rPr>
                <w:rFonts w:hint="eastAsia" w:ascii="仿宋" w:hAnsi="仿宋" w:eastAsia="仿宋" w:cs="仿宋"/>
                <w:b w:val="0"/>
                <w:bCs w:val="0"/>
                <w:iCs/>
                <w:color w:val="auto"/>
                <w:sz w:val="21"/>
                <w:szCs w:val="21"/>
                <w:highlight w:val="none"/>
              </w:rPr>
              <w:t>分。（同一人员具有多证的只计取一本，同种证书不重复得分）。</w:t>
            </w:r>
          </w:p>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rPr>
              <w:t>【投标</w:t>
            </w:r>
            <w:r>
              <w:rPr>
                <w:rFonts w:hint="eastAsia" w:ascii="仿宋" w:hAnsi="仿宋" w:eastAsia="仿宋" w:cs="仿宋"/>
                <w:b w:val="0"/>
                <w:bCs w:val="0"/>
                <w:iCs/>
                <w:color w:val="auto"/>
                <w:sz w:val="21"/>
                <w:szCs w:val="21"/>
                <w:highlight w:val="none"/>
                <w:lang w:val="en-US" w:eastAsia="zh-CN"/>
              </w:rPr>
              <w:t>人</w:t>
            </w:r>
            <w:r>
              <w:rPr>
                <w:rFonts w:hint="eastAsia" w:ascii="仿宋" w:hAnsi="仿宋" w:eastAsia="仿宋" w:cs="仿宋"/>
                <w:b w:val="0"/>
                <w:bCs w:val="0"/>
                <w:color w:val="auto"/>
                <w:szCs w:val="21"/>
                <w:highlight w:val="none"/>
                <w:lang w:val="en-US" w:eastAsia="zh-CN"/>
              </w:rPr>
              <w:t>在商务技术文件中</w:t>
            </w:r>
            <w:r>
              <w:rPr>
                <w:rFonts w:hint="eastAsia" w:ascii="仿宋" w:hAnsi="仿宋" w:eastAsia="仿宋" w:cs="仿宋"/>
                <w:b w:val="0"/>
                <w:bCs w:val="0"/>
                <w:iCs/>
                <w:color w:val="auto"/>
                <w:sz w:val="21"/>
                <w:szCs w:val="21"/>
                <w:highlight w:val="none"/>
              </w:rPr>
              <w:t>提供证书及投标单位为其缴纳的截止投标时间（近三个月任意一个月均可）的社保缴费证明</w:t>
            </w:r>
            <w:r>
              <w:rPr>
                <w:rFonts w:hint="eastAsia" w:ascii="仿宋" w:hAnsi="仿宋" w:eastAsia="仿宋" w:cs="仿宋"/>
                <w:b w:val="0"/>
                <w:bCs w:val="0"/>
                <w:iCs/>
                <w:color w:val="auto"/>
                <w:sz w:val="21"/>
                <w:szCs w:val="21"/>
                <w:highlight w:val="none"/>
                <w:lang w:val="en-US" w:eastAsia="zh-CN"/>
              </w:rPr>
              <w:t>扫描件并加盖投标人公章</w:t>
            </w:r>
            <w:r>
              <w:rPr>
                <w:rFonts w:hint="eastAsia" w:ascii="仿宋" w:hAnsi="仿宋" w:eastAsia="仿宋" w:cs="仿宋"/>
                <w:b w:val="0"/>
                <w:bCs w:val="0"/>
                <w:iCs/>
                <w:color w:val="auto"/>
                <w:sz w:val="21"/>
                <w:szCs w:val="21"/>
                <w:highlight w:val="none"/>
              </w:rPr>
              <w:t>】</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项目</w:t>
            </w:r>
            <w:r>
              <w:rPr>
                <w:rFonts w:hint="eastAsia" w:ascii="仿宋" w:hAnsi="仿宋" w:eastAsia="仿宋" w:cs="仿宋"/>
                <w:b w:val="0"/>
                <w:bCs w:val="0"/>
                <w:iCs/>
                <w:color w:val="auto"/>
                <w:sz w:val="24"/>
                <w:highlight w:val="none"/>
                <w:lang w:eastAsia="zh-CN"/>
              </w:rPr>
              <w:t>负责人</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jc w:val="left"/>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rPr>
              <w:t>投标人针对本项目的项目负责人具有人社部或工信部（及其直属机构）颁发的高级信息系统项目管理师证书，得2分。</w:t>
            </w:r>
          </w:p>
          <w:p>
            <w:pPr>
              <w:keepNext w:val="0"/>
              <w:keepLines w:val="0"/>
              <w:suppressLineNumbers w:val="0"/>
              <w:spacing w:before="0" w:beforeAutospacing="0" w:after="0" w:afterAutospacing="0" w:line="360" w:lineRule="auto"/>
              <w:ind w:right="0" w:rightChars="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rPr>
              <w:t>【投标</w:t>
            </w:r>
            <w:r>
              <w:rPr>
                <w:rFonts w:hint="eastAsia" w:ascii="仿宋" w:hAnsi="仿宋" w:eastAsia="仿宋" w:cs="仿宋"/>
                <w:b w:val="0"/>
                <w:bCs w:val="0"/>
                <w:iCs/>
                <w:color w:val="auto"/>
                <w:sz w:val="21"/>
                <w:szCs w:val="21"/>
                <w:highlight w:val="none"/>
                <w:lang w:val="en-US" w:eastAsia="zh-CN"/>
              </w:rPr>
              <w:t>人</w:t>
            </w:r>
            <w:r>
              <w:rPr>
                <w:rFonts w:hint="eastAsia" w:ascii="仿宋" w:hAnsi="仿宋" w:eastAsia="仿宋" w:cs="仿宋"/>
                <w:b w:val="0"/>
                <w:bCs w:val="0"/>
                <w:color w:val="auto"/>
                <w:szCs w:val="21"/>
                <w:highlight w:val="none"/>
                <w:lang w:val="en-US" w:eastAsia="zh-CN"/>
              </w:rPr>
              <w:t>在商务技术文件中</w:t>
            </w:r>
            <w:r>
              <w:rPr>
                <w:rFonts w:hint="eastAsia" w:ascii="仿宋" w:hAnsi="仿宋" w:eastAsia="仿宋" w:cs="仿宋"/>
                <w:b w:val="0"/>
                <w:bCs w:val="0"/>
                <w:iCs/>
                <w:color w:val="auto"/>
                <w:sz w:val="21"/>
                <w:szCs w:val="21"/>
                <w:highlight w:val="none"/>
              </w:rPr>
              <w:t>提供证书及投标单位为其缴纳的截止投标时间（近三个月任意一个月均可）的社保缴费证明</w:t>
            </w:r>
            <w:r>
              <w:rPr>
                <w:rFonts w:hint="eastAsia" w:ascii="仿宋" w:hAnsi="仿宋" w:eastAsia="仿宋" w:cs="仿宋"/>
                <w:b w:val="0"/>
                <w:bCs w:val="0"/>
                <w:iCs/>
                <w:color w:val="auto"/>
                <w:sz w:val="21"/>
                <w:szCs w:val="21"/>
                <w:highlight w:val="none"/>
                <w:lang w:val="en-US" w:eastAsia="zh-CN"/>
              </w:rPr>
              <w:t>扫描件并加盖投标人公章</w:t>
            </w:r>
            <w:r>
              <w:rPr>
                <w:rFonts w:hint="eastAsia" w:ascii="仿宋" w:hAnsi="仿宋" w:eastAsia="仿宋" w:cs="仿宋"/>
                <w:b w:val="0"/>
                <w:bCs w:val="0"/>
                <w:iCs/>
                <w:color w:val="auto"/>
                <w:sz w:val="21"/>
                <w:szCs w:val="21"/>
                <w:highlight w:val="none"/>
              </w:rPr>
              <w:t>】</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lang w:val="en-US" w:eastAsia="zh-CN"/>
              </w:rPr>
              <w:t>技术响应情况</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jc w:val="left"/>
              <w:rPr>
                <w:rFonts w:hint="eastAsia" w:ascii="仿宋" w:hAnsi="仿宋" w:eastAsia="仿宋" w:cs="仿宋"/>
                <w:b w:val="0"/>
                <w:bCs w:val="0"/>
                <w:iCs/>
                <w:color w:val="auto"/>
                <w:sz w:val="21"/>
                <w:szCs w:val="21"/>
                <w:highlight w:val="none"/>
              </w:rPr>
            </w:pPr>
            <w:r>
              <w:rPr>
                <w:rFonts w:hint="default" w:ascii="仿宋" w:hAnsi="仿宋" w:eastAsia="仿宋" w:cs="仿宋"/>
                <w:b w:val="0"/>
                <w:bCs w:val="0"/>
                <w:sz w:val="21"/>
                <w:szCs w:val="21"/>
                <w:highlight w:val="none"/>
              </w:rPr>
              <w:t>据投标人提供投标产品的技术指标进行打分，完全满足招标文件要求的得</w:t>
            </w:r>
            <w:r>
              <w:rPr>
                <w:rFonts w:hint="eastAsia" w:ascii="仿宋" w:hAnsi="仿宋" w:eastAsia="仿宋" w:cs="仿宋"/>
                <w:b w:val="0"/>
                <w:bCs w:val="0"/>
                <w:sz w:val="21"/>
                <w:szCs w:val="21"/>
                <w:highlight w:val="none"/>
                <w:lang w:val="en-US" w:eastAsia="zh-CN"/>
              </w:rPr>
              <w:t>9</w:t>
            </w:r>
            <w:r>
              <w:rPr>
                <w:rFonts w:hint="default" w:ascii="仿宋" w:hAnsi="仿宋" w:eastAsia="仿宋" w:cs="仿宋"/>
                <w:b w:val="0"/>
                <w:bCs w:val="0"/>
                <w:sz w:val="21"/>
                <w:szCs w:val="21"/>
                <w:highlight w:val="none"/>
              </w:rPr>
              <w:t>分，技术参数</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功能要求</w:t>
            </w:r>
            <w:r>
              <w:rPr>
                <w:rFonts w:hint="default" w:ascii="仿宋" w:hAnsi="仿宋" w:eastAsia="仿宋" w:cs="仿宋"/>
                <w:b w:val="0"/>
                <w:bCs w:val="0"/>
                <w:sz w:val="21"/>
                <w:szCs w:val="21"/>
                <w:highlight w:val="none"/>
              </w:rPr>
              <w:t>出现负偏离或缺项的，每一项扣</w:t>
            </w:r>
            <w:r>
              <w:rPr>
                <w:rFonts w:hint="eastAsia" w:ascii="仿宋" w:hAnsi="仿宋" w:eastAsia="仿宋" w:cs="仿宋"/>
                <w:b w:val="0"/>
                <w:bCs w:val="0"/>
                <w:sz w:val="21"/>
                <w:szCs w:val="21"/>
                <w:highlight w:val="none"/>
                <w:lang w:val="en-US" w:eastAsia="zh-CN"/>
              </w:rPr>
              <w:t>0.5</w:t>
            </w:r>
            <w:r>
              <w:rPr>
                <w:rFonts w:hint="default" w:ascii="仿宋" w:hAnsi="仿宋" w:eastAsia="仿宋" w:cs="仿宋"/>
                <w:b w:val="0"/>
                <w:bCs w:val="0"/>
                <w:sz w:val="21"/>
                <w:szCs w:val="21"/>
                <w:highlight w:val="none"/>
              </w:rPr>
              <w:t>分，扣完为止。</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p>
            <w:pPr>
              <w:keepNext w:val="0"/>
              <w:keepLines w:val="0"/>
              <w:suppressLineNumbers w:val="0"/>
              <w:shd w:val="clear" w:color="auto" w:fill="FFFFFF"/>
              <w:spacing w:before="0" w:beforeAutospacing="0" w:after="0" w:afterAutospacing="0" w:line="400" w:lineRule="exact"/>
              <w:ind w:left="0" w:right="0"/>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w:t>
            </w:r>
          </w:p>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tc>
        <w:tc>
          <w:tcPr>
            <w:tcW w:w="1058"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系统实现方案</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iCs/>
                <w:color w:val="auto"/>
                <w:sz w:val="21"/>
                <w:szCs w:val="21"/>
                <w:highlight w:val="none"/>
                <w:lang w:val="en-US" w:eastAsia="zh-CN"/>
              </w:rPr>
            </w:pPr>
            <w:r>
              <w:rPr>
                <w:rFonts w:hint="eastAsia" w:ascii="仿宋" w:hAnsi="仿宋" w:eastAsia="仿宋" w:cs="仿宋"/>
                <w:b w:val="0"/>
                <w:bCs w:val="0"/>
                <w:iCs/>
                <w:color w:val="auto"/>
                <w:sz w:val="21"/>
                <w:szCs w:val="21"/>
                <w:highlight w:val="none"/>
                <w:lang w:val="en-US" w:eastAsia="zh-CN"/>
              </w:rPr>
              <w:t>项目整体理解</w:t>
            </w:r>
          </w:p>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rPr>
              <w:t>根据投标人提供的</w:t>
            </w:r>
            <w:r>
              <w:rPr>
                <w:rFonts w:hint="eastAsia" w:ascii="仿宋" w:hAnsi="仿宋" w:eastAsia="仿宋" w:cs="仿宋"/>
                <w:b w:val="0"/>
                <w:bCs w:val="0"/>
                <w:iCs/>
                <w:color w:val="auto"/>
                <w:sz w:val="21"/>
                <w:szCs w:val="21"/>
                <w:highlight w:val="none"/>
                <w:lang w:val="en-US" w:eastAsia="zh-CN"/>
              </w:rPr>
              <w:t>项目整体</w:t>
            </w:r>
            <w:r>
              <w:rPr>
                <w:rFonts w:hint="eastAsia" w:ascii="仿宋" w:hAnsi="仿宋" w:eastAsia="仿宋" w:cs="仿宋"/>
                <w:b w:val="0"/>
                <w:bCs w:val="0"/>
                <w:iCs/>
                <w:color w:val="auto"/>
                <w:sz w:val="21"/>
                <w:szCs w:val="21"/>
                <w:highlight w:val="none"/>
              </w:rPr>
              <w:t>方案，考察投标人对本项目的背景和需求理解，</w:t>
            </w:r>
            <w:r>
              <w:rPr>
                <w:rFonts w:hint="eastAsia" w:ascii="仿宋" w:hAnsi="仿宋" w:eastAsia="仿宋" w:cs="仿宋"/>
                <w:b w:val="0"/>
                <w:bCs w:val="0"/>
                <w:iCs/>
                <w:color w:val="auto"/>
                <w:sz w:val="21"/>
                <w:szCs w:val="21"/>
                <w:highlight w:val="none"/>
                <w:lang w:val="en-US" w:eastAsia="zh-CN"/>
              </w:rPr>
              <w:t>根据方案的符合性和匹配度</w:t>
            </w:r>
            <w:r>
              <w:rPr>
                <w:rFonts w:hint="eastAsia" w:ascii="仿宋" w:hAnsi="仿宋" w:eastAsia="仿宋" w:cs="仿宋"/>
                <w:b w:val="0"/>
                <w:bCs w:val="0"/>
                <w:iCs/>
                <w:color w:val="auto"/>
                <w:sz w:val="21"/>
                <w:szCs w:val="21"/>
                <w:highlight w:val="none"/>
              </w:rPr>
              <w:t>进行综合评分。（0-5分）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iCs/>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tc>
        <w:tc>
          <w:tcPr>
            <w:tcW w:w="1058"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adjustRightInd/>
              <w:spacing w:before="0" w:beforeAutospacing="0" w:after="0" w:afterAutospacing="0" w:line="260" w:lineRule="exact"/>
              <w:ind w:left="0" w:right="0"/>
              <w:jc w:val="center"/>
              <w:rPr>
                <w:rFonts w:hint="eastAsia" w:ascii="仿宋" w:hAnsi="仿宋" w:eastAsia="仿宋" w:cs="仿宋"/>
                <w:b w:val="0"/>
                <w:bCs w:val="0"/>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rPr>
              <w:t>根据投标人针对本项目系统总体框架的设计方案、业务流程和应用模式与系统的规划方案等，</w:t>
            </w:r>
            <w:r>
              <w:rPr>
                <w:rFonts w:hint="eastAsia" w:ascii="仿宋" w:hAnsi="仿宋" w:eastAsia="仿宋" w:cs="仿宋"/>
                <w:b w:val="0"/>
                <w:bCs w:val="0"/>
                <w:iCs/>
                <w:color w:val="auto"/>
                <w:sz w:val="21"/>
                <w:szCs w:val="21"/>
                <w:highlight w:val="none"/>
                <w:lang w:val="en-US" w:eastAsia="zh-CN"/>
              </w:rPr>
              <w:t>根据方案的符合性和匹配度</w:t>
            </w:r>
            <w:r>
              <w:rPr>
                <w:rFonts w:hint="eastAsia" w:ascii="仿宋" w:hAnsi="仿宋" w:eastAsia="仿宋" w:cs="仿宋"/>
                <w:b w:val="0"/>
                <w:bCs w:val="0"/>
                <w:iCs/>
                <w:color w:val="auto"/>
                <w:sz w:val="21"/>
                <w:szCs w:val="21"/>
                <w:highlight w:val="none"/>
              </w:rPr>
              <w:t>进行综合评分。（0-5分）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tc>
        <w:tc>
          <w:tcPr>
            <w:tcW w:w="1058"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adjustRightInd/>
              <w:spacing w:before="0" w:beforeAutospacing="0" w:after="0" w:afterAutospacing="0" w:line="260" w:lineRule="exact"/>
              <w:ind w:left="0" w:right="0"/>
              <w:jc w:val="center"/>
              <w:rPr>
                <w:rFonts w:hint="eastAsia" w:ascii="仿宋" w:hAnsi="仿宋" w:eastAsia="仿宋" w:cs="仿宋"/>
                <w:b w:val="0"/>
                <w:bCs w:val="0"/>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rPr>
              <w:t>项目实施的进度计划安排，有详尽合理的实施进度计划安排、安装调试进度计划安排，根据其合理性、计划安排的周到性等，</w:t>
            </w:r>
            <w:r>
              <w:rPr>
                <w:rFonts w:hint="eastAsia" w:ascii="仿宋" w:hAnsi="仿宋" w:eastAsia="仿宋" w:cs="仿宋"/>
                <w:b w:val="0"/>
                <w:bCs w:val="0"/>
                <w:iCs/>
                <w:color w:val="auto"/>
                <w:sz w:val="21"/>
                <w:szCs w:val="21"/>
                <w:highlight w:val="none"/>
                <w:lang w:val="en-US" w:eastAsia="zh-CN"/>
              </w:rPr>
              <w:t>根据方案的符合性和匹配度</w:t>
            </w:r>
            <w:r>
              <w:rPr>
                <w:rFonts w:hint="eastAsia" w:ascii="仿宋" w:hAnsi="仿宋" w:eastAsia="仿宋" w:cs="仿宋"/>
                <w:b w:val="0"/>
                <w:bCs w:val="0"/>
                <w:iCs/>
                <w:color w:val="auto"/>
                <w:sz w:val="21"/>
                <w:szCs w:val="21"/>
                <w:highlight w:val="none"/>
              </w:rPr>
              <w:t>进行综合评分。（0-5分）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tc>
        <w:tc>
          <w:tcPr>
            <w:tcW w:w="1058"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adjustRightInd/>
              <w:spacing w:before="0" w:beforeAutospacing="0" w:after="0" w:afterAutospacing="0" w:line="260" w:lineRule="exact"/>
              <w:ind w:left="0" w:right="0"/>
              <w:jc w:val="center"/>
              <w:rPr>
                <w:rFonts w:hint="eastAsia" w:ascii="仿宋" w:hAnsi="仿宋" w:eastAsia="仿宋" w:cs="仿宋"/>
                <w:b w:val="0"/>
                <w:bCs w:val="0"/>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rPr>
              <w:t>针对本项目组织机构、人力资源配备的合理性、完整性，</w:t>
            </w:r>
            <w:r>
              <w:rPr>
                <w:rFonts w:hint="eastAsia" w:ascii="仿宋" w:hAnsi="仿宋" w:eastAsia="仿宋" w:cs="仿宋"/>
                <w:b w:val="0"/>
                <w:bCs w:val="0"/>
                <w:iCs/>
                <w:color w:val="auto"/>
                <w:sz w:val="21"/>
                <w:szCs w:val="21"/>
                <w:highlight w:val="none"/>
                <w:lang w:val="en-US" w:eastAsia="zh-CN"/>
              </w:rPr>
              <w:t>根据方案的符合性和匹配度</w:t>
            </w:r>
            <w:r>
              <w:rPr>
                <w:rFonts w:hint="eastAsia" w:ascii="仿宋" w:hAnsi="仿宋" w:eastAsia="仿宋" w:cs="仿宋"/>
                <w:b w:val="0"/>
                <w:bCs w:val="0"/>
                <w:iCs/>
                <w:color w:val="auto"/>
                <w:sz w:val="21"/>
                <w:szCs w:val="21"/>
                <w:highlight w:val="none"/>
              </w:rPr>
              <w:t>进行综合评分。（0-5分）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iCs/>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tc>
        <w:tc>
          <w:tcPr>
            <w:tcW w:w="1058"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adjustRightInd/>
              <w:spacing w:before="0" w:beforeAutospacing="0" w:after="0" w:afterAutospacing="0" w:line="260" w:lineRule="exact"/>
              <w:ind w:left="0" w:right="0"/>
              <w:jc w:val="center"/>
              <w:rPr>
                <w:rFonts w:hint="eastAsia" w:ascii="仿宋" w:hAnsi="仿宋" w:eastAsia="仿宋" w:cs="仿宋"/>
                <w:b w:val="0"/>
                <w:bCs w:val="0"/>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rPr>
              <w:t>根据投标人针对本项目的验收方案的完整性、可行性等，</w:t>
            </w:r>
            <w:r>
              <w:rPr>
                <w:rFonts w:hint="eastAsia" w:ascii="仿宋" w:hAnsi="仿宋" w:eastAsia="仿宋" w:cs="仿宋"/>
                <w:b w:val="0"/>
                <w:bCs w:val="0"/>
                <w:iCs/>
                <w:color w:val="auto"/>
                <w:sz w:val="21"/>
                <w:szCs w:val="21"/>
                <w:highlight w:val="none"/>
                <w:lang w:val="en-US" w:eastAsia="zh-CN"/>
              </w:rPr>
              <w:t>根据方案的符合性和匹配度</w:t>
            </w:r>
            <w:r>
              <w:rPr>
                <w:rFonts w:hint="eastAsia" w:ascii="仿宋" w:hAnsi="仿宋" w:eastAsia="仿宋" w:cs="仿宋"/>
                <w:b w:val="0"/>
                <w:bCs w:val="0"/>
                <w:iCs/>
                <w:color w:val="auto"/>
                <w:sz w:val="21"/>
                <w:szCs w:val="21"/>
                <w:highlight w:val="none"/>
              </w:rPr>
              <w:t>进行综合评分。（0-</w:t>
            </w:r>
            <w:r>
              <w:rPr>
                <w:rFonts w:hint="eastAsia" w:ascii="仿宋" w:hAnsi="仿宋" w:eastAsia="仿宋" w:cs="仿宋"/>
                <w:b w:val="0"/>
                <w:bCs w:val="0"/>
                <w:iCs/>
                <w:color w:val="auto"/>
                <w:sz w:val="21"/>
                <w:szCs w:val="21"/>
                <w:highlight w:val="none"/>
                <w:lang w:val="en-US" w:eastAsia="zh-CN"/>
              </w:rPr>
              <w:t>5</w:t>
            </w:r>
            <w:r>
              <w:rPr>
                <w:rFonts w:hint="eastAsia" w:ascii="仿宋" w:hAnsi="仿宋" w:eastAsia="仿宋" w:cs="仿宋"/>
                <w:b w:val="0"/>
                <w:bCs w:val="0"/>
                <w:iCs/>
                <w:color w:val="auto"/>
                <w:sz w:val="21"/>
                <w:szCs w:val="21"/>
                <w:highlight w:val="none"/>
              </w:rPr>
              <w:t>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p>
        </w:tc>
        <w:tc>
          <w:tcPr>
            <w:tcW w:w="1058" w:type="dxa"/>
            <w:vMerge w:val="continue"/>
            <w:tcBorders>
              <w:left w:val="single" w:color="auto" w:sz="4" w:space="0"/>
              <w:right w:val="single" w:color="auto" w:sz="4" w:space="0"/>
            </w:tcBorders>
            <w:noWrap w:val="0"/>
            <w:vAlign w:val="center"/>
          </w:tcPr>
          <w:p>
            <w:pPr>
              <w:keepNext w:val="0"/>
              <w:keepLines w:val="0"/>
              <w:suppressLineNumbers w:val="0"/>
              <w:shd w:val="clear" w:color="auto" w:fill="FFFFFF"/>
              <w:adjustRightInd/>
              <w:spacing w:before="0" w:beforeAutospacing="0" w:after="0" w:afterAutospacing="0" w:line="260" w:lineRule="exact"/>
              <w:ind w:left="0" w:right="0"/>
              <w:jc w:val="center"/>
              <w:rPr>
                <w:rFonts w:hint="eastAsia" w:ascii="仿宋" w:hAnsi="仿宋" w:eastAsia="仿宋" w:cs="仿宋"/>
                <w:b w:val="0"/>
                <w:bCs w:val="0"/>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lang w:val="en-US" w:eastAsia="zh-CN"/>
              </w:rPr>
              <w:t>根据投标人针对本项目的运维项目服务方案的完整性、可行性等，根据方案的符合性和匹配度进行综合评分。（0-5分）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w:t>
            </w:r>
          </w:p>
        </w:tc>
        <w:tc>
          <w:tcPr>
            <w:tcW w:w="1058"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售后服务方案</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rPr>
              <w:t>根据投标人售后服务承诺</w:t>
            </w:r>
            <w:r>
              <w:rPr>
                <w:rFonts w:hint="eastAsia" w:ascii="仿宋" w:hAnsi="仿宋" w:eastAsia="仿宋" w:cs="仿宋"/>
                <w:b w:val="0"/>
                <w:bCs w:val="0"/>
                <w:iCs/>
                <w:color w:val="auto"/>
                <w:sz w:val="21"/>
                <w:szCs w:val="21"/>
                <w:highlight w:val="none"/>
                <w:lang w:eastAsia="zh-CN"/>
              </w:rPr>
              <w:t>：</w:t>
            </w:r>
            <w:r>
              <w:rPr>
                <w:rFonts w:hint="eastAsia" w:ascii="仿宋" w:hAnsi="仿宋" w:eastAsia="仿宋" w:cs="仿宋"/>
                <w:b w:val="0"/>
                <w:bCs w:val="0"/>
                <w:iCs/>
                <w:color w:val="auto"/>
                <w:sz w:val="21"/>
                <w:szCs w:val="21"/>
                <w:highlight w:val="none"/>
              </w:rPr>
              <w:t>包括</w:t>
            </w:r>
            <w:r>
              <w:rPr>
                <w:rFonts w:hint="eastAsia" w:ascii="仿宋" w:hAnsi="仿宋" w:eastAsia="仿宋" w:cs="仿宋"/>
                <w:b w:val="0"/>
                <w:bCs w:val="0"/>
                <w:iCs/>
                <w:color w:val="auto"/>
                <w:sz w:val="21"/>
                <w:szCs w:val="21"/>
                <w:highlight w:val="none"/>
                <w:lang w:val="en-US" w:eastAsia="zh-CN"/>
              </w:rPr>
              <w:t>但不限于</w:t>
            </w:r>
            <w:r>
              <w:rPr>
                <w:rFonts w:hint="eastAsia" w:ascii="仿宋" w:hAnsi="仿宋" w:eastAsia="仿宋" w:cs="仿宋"/>
                <w:b w:val="0"/>
                <w:bCs w:val="0"/>
                <w:iCs/>
                <w:color w:val="auto"/>
                <w:sz w:val="21"/>
                <w:szCs w:val="21"/>
                <w:highlight w:val="none"/>
              </w:rPr>
              <w:t>服务期内服务响应和故障排除时间承诺、服务承诺的可行性、完整性以及服务承诺落实的保障措施，技术支持和维护能力等情况及完善程度，是否与采购需求符合性或匹配度进行打分。（0-</w:t>
            </w:r>
            <w:r>
              <w:rPr>
                <w:rFonts w:hint="eastAsia" w:ascii="仿宋" w:hAnsi="仿宋" w:eastAsia="仿宋" w:cs="仿宋"/>
                <w:b w:val="0"/>
                <w:bCs w:val="0"/>
                <w:iCs/>
                <w:color w:val="auto"/>
                <w:sz w:val="21"/>
                <w:szCs w:val="21"/>
                <w:highlight w:val="none"/>
                <w:lang w:val="en-US" w:eastAsia="zh-CN"/>
              </w:rPr>
              <w:t>5</w:t>
            </w:r>
            <w:r>
              <w:rPr>
                <w:rFonts w:hint="eastAsia" w:ascii="仿宋" w:hAnsi="仿宋" w:eastAsia="仿宋" w:cs="仿宋"/>
                <w:b w:val="0"/>
                <w:bCs w:val="0"/>
                <w:iCs/>
                <w:color w:val="auto"/>
                <w:sz w:val="21"/>
                <w:szCs w:val="21"/>
                <w:highlight w:val="none"/>
              </w:rPr>
              <w:t>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highlight w:val="none"/>
                <w:lang w:val="en-US" w:eastAsia="zh-CN"/>
              </w:rPr>
            </w:pPr>
            <w:r>
              <w:rPr>
                <w:rFonts w:hint="eastAsia" w:ascii="仿宋" w:hAnsi="仿宋" w:eastAsia="仿宋" w:cs="仿宋"/>
                <w:b w:val="0"/>
                <w:bCs w:val="0"/>
                <w:iCs/>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9</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auto"/>
              <w:adjustRightInd/>
              <w:spacing w:before="0" w:beforeAutospacing="0" w:after="0" w:afterAutospacing="0" w:line="240" w:lineRule="auto"/>
              <w:ind w:left="0" w:right="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项目培训</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rPr>
              <w:t>提供项目培训方案</w:t>
            </w:r>
          </w:p>
          <w:p>
            <w:pPr>
              <w:keepNext w:val="0"/>
              <w:keepLines w:val="0"/>
              <w:suppressLineNumbers w:val="0"/>
              <w:spacing w:before="0" w:beforeAutospacing="0" w:after="0" w:afterAutospacing="0" w:line="360" w:lineRule="auto"/>
              <w:ind w:right="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rPr>
              <w:t>（1）提供完整项目培训方案，阐述培训对象与内容，针对培训对象制定针对性强的培训计划，并对培训保障、培训流程、培训机构进行详细的阐述，完全满足以上要求并提供详细内容的，得</w:t>
            </w:r>
            <w:r>
              <w:rPr>
                <w:rFonts w:hint="eastAsia" w:ascii="仿宋" w:hAnsi="仿宋" w:eastAsia="仿宋" w:cs="仿宋"/>
                <w:b w:val="0"/>
                <w:bCs w:val="0"/>
                <w:iCs/>
                <w:color w:val="auto"/>
                <w:sz w:val="21"/>
                <w:szCs w:val="21"/>
                <w:highlight w:val="none"/>
                <w:lang w:val="en-US" w:eastAsia="zh-CN"/>
              </w:rPr>
              <w:t>5</w:t>
            </w:r>
            <w:r>
              <w:rPr>
                <w:rFonts w:hint="eastAsia" w:ascii="仿宋" w:hAnsi="仿宋" w:eastAsia="仿宋" w:cs="仿宋"/>
                <w:b w:val="0"/>
                <w:bCs w:val="0"/>
                <w:iCs/>
                <w:color w:val="auto"/>
                <w:sz w:val="21"/>
                <w:szCs w:val="21"/>
                <w:highlight w:val="none"/>
              </w:rPr>
              <w:t>分；</w:t>
            </w:r>
          </w:p>
          <w:p>
            <w:pPr>
              <w:keepNext w:val="0"/>
              <w:keepLines w:val="0"/>
              <w:suppressLineNumbers w:val="0"/>
              <w:spacing w:before="0" w:beforeAutospacing="0" w:after="0" w:afterAutospacing="0" w:line="360" w:lineRule="auto"/>
              <w:ind w:right="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rPr>
              <w:t>（2）提供项目培训方案一般，针对本项目提供培训计划和培训保障措施，满足以上要求并提供内容的，得</w:t>
            </w:r>
            <w:r>
              <w:rPr>
                <w:rFonts w:hint="eastAsia" w:ascii="仿宋" w:hAnsi="仿宋" w:eastAsia="仿宋" w:cs="仿宋"/>
                <w:b w:val="0"/>
                <w:bCs w:val="0"/>
                <w:iCs/>
                <w:color w:val="auto"/>
                <w:sz w:val="21"/>
                <w:szCs w:val="21"/>
                <w:highlight w:val="none"/>
                <w:lang w:val="en-US" w:eastAsia="zh-CN"/>
              </w:rPr>
              <w:t>2.5</w:t>
            </w:r>
            <w:r>
              <w:rPr>
                <w:rFonts w:hint="eastAsia" w:ascii="仿宋" w:hAnsi="仿宋" w:eastAsia="仿宋" w:cs="仿宋"/>
                <w:b w:val="0"/>
                <w:bCs w:val="0"/>
                <w:iCs/>
                <w:color w:val="auto"/>
                <w:sz w:val="21"/>
                <w:szCs w:val="21"/>
                <w:highlight w:val="none"/>
              </w:rPr>
              <w:t>分。</w:t>
            </w:r>
          </w:p>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iCs/>
                <w:color w:val="auto"/>
                <w:sz w:val="21"/>
                <w:szCs w:val="21"/>
                <w:highlight w:val="none"/>
              </w:rPr>
            </w:pPr>
            <w:r>
              <w:rPr>
                <w:rFonts w:hint="eastAsia" w:ascii="仿宋" w:hAnsi="仿宋" w:eastAsia="仿宋" w:cs="仿宋"/>
                <w:b w:val="0"/>
                <w:bCs w:val="0"/>
                <w:iCs/>
                <w:color w:val="auto"/>
                <w:sz w:val="21"/>
                <w:szCs w:val="21"/>
                <w:highlight w:val="none"/>
              </w:rPr>
              <w:t>（3）不提供项目培训方案，不得分。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adjustRightInd/>
              <w:spacing w:before="0" w:beforeAutospacing="0" w:after="0" w:afterAutospacing="0" w:line="260" w:lineRule="exact"/>
              <w:ind w:left="0" w:right="0"/>
              <w:jc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系统演示</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pStyle w:val="80"/>
              <w:widowControl/>
              <w:spacing w:line="360" w:lineRule="auto"/>
              <w:ind w:left="0" w:firstLine="0" w:firstLineChars="0"/>
              <w:rPr>
                <w:rFonts w:hint="eastAsia" w:ascii="仿宋" w:hAnsi="仿宋" w:eastAsia="仿宋" w:cs="仿宋"/>
                <w:b w:val="0"/>
                <w:bCs w:val="0"/>
                <w:iCs/>
                <w:color w:val="auto"/>
                <w:sz w:val="21"/>
                <w:szCs w:val="21"/>
                <w:highlight w:val="none"/>
                <w:lang w:val="en-US" w:eastAsia="zh-CN"/>
              </w:rPr>
            </w:pPr>
            <w:r>
              <w:rPr>
                <w:rFonts w:hint="eastAsia" w:ascii="仿宋" w:hAnsi="仿宋" w:eastAsia="仿宋" w:cs="仿宋"/>
                <w:b w:val="0"/>
                <w:bCs w:val="0"/>
                <w:iCs/>
                <w:color w:val="auto"/>
                <w:sz w:val="21"/>
                <w:szCs w:val="21"/>
                <w:highlight w:val="none"/>
              </w:rPr>
              <w:t>本项目要求进行管理软件功能演示，演示时间不超过</w:t>
            </w:r>
            <w:r>
              <w:rPr>
                <w:rFonts w:hint="eastAsia" w:ascii="仿宋" w:hAnsi="仿宋" w:eastAsia="仿宋" w:cs="仿宋"/>
                <w:b w:val="0"/>
                <w:bCs w:val="0"/>
                <w:iCs/>
                <w:color w:val="auto"/>
                <w:sz w:val="21"/>
                <w:szCs w:val="21"/>
                <w:highlight w:val="none"/>
                <w:lang w:val="en-US" w:eastAsia="zh-CN"/>
              </w:rPr>
              <w:t>20</w:t>
            </w:r>
            <w:r>
              <w:rPr>
                <w:rFonts w:hint="eastAsia" w:ascii="仿宋" w:hAnsi="仿宋" w:eastAsia="仿宋" w:cs="仿宋"/>
                <w:b w:val="0"/>
                <w:bCs w:val="0"/>
                <w:iCs/>
                <w:color w:val="auto"/>
                <w:sz w:val="21"/>
                <w:szCs w:val="21"/>
                <w:highlight w:val="none"/>
              </w:rPr>
              <w:t>分钟，根据演示情况进行打分，具体演示要求详见前附表，演示内容如下：</w:t>
            </w:r>
          </w:p>
          <w:p>
            <w:pPr>
              <w:pStyle w:val="80"/>
              <w:keepNext w:val="0"/>
              <w:keepLines w:val="0"/>
              <w:widowControl/>
              <w:suppressLineNumbers w:val="0"/>
              <w:spacing w:before="0" w:beforeAutospacing="0" w:after="0" w:afterAutospacing="0" w:line="360" w:lineRule="auto"/>
              <w:ind w:left="0" w:leftChars="0" w:right="0" w:firstLine="0" w:firstLineChars="0"/>
              <w:rPr>
                <w:rFonts w:hint="eastAsia" w:ascii="仿宋" w:hAnsi="仿宋" w:eastAsia="仿宋" w:cs="仿宋"/>
                <w:b w:val="0"/>
                <w:bCs w:val="0"/>
                <w:iCs/>
                <w:color w:val="auto"/>
                <w:sz w:val="21"/>
                <w:szCs w:val="21"/>
                <w:highlight w:val="none"/>
                <w:lang w:val="en-US" w:eastAsia="zh-CN"/>
              </w:rPr>
            </w:pPr>
            <w:r>
              <w:rPr>
                <w:rFonts w:hint="eastAsia" w:ascii="仿宋" w:hAnsi="仿宋" w:eastAsia="仿宋" w:cs="仿宋"/>
                <w:b w:val="0"/>
                <w:bCs w:val="0"/>
                <w:iCs/>
                <w:color w:val="auto"/>
                <w:sz w:val="21"/>
                <w:szCs w:val="21"/>
                <w:highlight w:val="none"/>
                <w:lang w:val="en-US" w:eastAsia="zh-CN"/>
              </w:rPr>
              <w:t>1、审理指引：演示从接收到案件后，系统可以通过AI自动分析案件信息、案情和申请人诉求，并根据不同的案件情况自动生成该案件对应的审理步骤、审查要点、庭审提纲等内容，需演示两个案件展示不同案件的审理指引内容（0-3分）</w:t>
            </w:r>
          </w:p>
          <w:p>
            <w:pPr>
              <w:pStyle w:val="80"/>
              <w:keepNext w:val="0"/>
              <w:keepLines w:val="0"/>
              <w:widowControl/>
              <w:suppressLineNumbers w:val="0"/>
              <w:spacing w:before="0" w:beforeAutospacing="0" w:after="0" w:afterAutospacing="0" w:line="360" w:lineRule="auto"/>
              <w:ind w:left="0" w:leftChars="0" w:right="0" w:firstLine="0" w:firstLineChars="0"/>
              <w:rPr>
                <w:rFonts w:hint="eastAsia" w:ascii="仿宋" w:hAnsi="仿宋" w:eastAsia="仿宋" w:cs="仿宋"/>
                <w:b w:val="0"/>
                <w:bCs w:val="0"/>
                <w:iCs/>
                <w:color w:val="auto"/>
                <w:sz w:val="21"/>
                <w:szCs w:val="21"/>
                <w:highlight w:val="none"/>
                <w:lang w:val="en-US" w:eastAsia="zh-CN"/>
              </w:rPr>
            </w:pPr>
            <w:r>
              <w:rPr>
                <w:rFonts w:hint="eastAsia" w:ascii="仿宋" w:hAnsi="仿宋" w:eastAsia="仿宋" w:cs="仿宋"/>
                <w:b w:val="0"/>
                <w:bCs w:val="0"/>
                <w:iCs/>
                <w:color w:val="auto"/>
                <w:sz w:val="21"/>
                <w:szCs w:val="21"/>
                <w:highlight w:val="none"/>
                <w:lang w:val="en-US" w:eastAsia="zh-CN"/>
              </w:rPr>
              <w:t>2、类案智推：演示从接收到案件后，系统可以从案例库中根据结构化标签、仲裁请求以及案件的基本事实与本案例进行智能匹配，推荐出相似案例、适用法条等，并且系统会对智能推荐出的相似案例进行总结分析，给出相应的仲裁策略建议并生成思维导图，需演示两个案件展示不同案件的智推效果（0-4分）</w:t>
            </w:r>
          </w:p>
          <w:p>
            <w:pPr>
              <w:pStyle w:val="80"/>
              <w:keepNext w:val="0"/>
              <w:keepLines w:val="0"/>
              <w:widowControl/>
              <w:suppressLineNumbers w:val="0"/>
              <w:spacing w:before="0" w:beforeAutospacing="0" w:after="0" w:afterAutospacing="0" w:line="360" w:lineRule="auto"/>
              <w:ind w:left="0" w:leftChars="0" w:right="0" w:firstLine="0" w:firstLineChars="0"/>
              <w:rPr>
                <w:rFonts w:hint="eastAsia" w:ascii="仿宋" w:hAnsi="仿宋" w:eastAsia="仿宋" w:cs="仿宋"/>
                <w:b w:val="0"/>
                <w:bCs w:val="0"/>
                <w:iCs/>
                <w:color w:val="auto"/>
                <w:sz w:val="21"/>
                <w:szCs w:val="21"/>
                <w:highlight w:val="none"/>
                <w:lang w:val="en-US" w:eastAsia="zh-CN"/>
              </w:rPr>
            </w:pPr>
            <w:r>
              <w:rPr>
                <w:rFonts w:hint="eastAsia" w:ascii="仿宋" w:hAnsi="仿宋" w:eastAsia="仿宋" w:cs="仿宋"/>
                <w:b w:val="0"/>
                <w:bCs w:val="0"/>
                <w:iCs/>
                <w:color w:val="auto"/>
                <w:sz w:val="21"/>
                <w:szCs w:val="21"/>
                <w:highlight w:val="none"/>
                <w:lang w:val="en-US" w:eastAsia="zh-CN"/>
              </w:rPr>
              <w:t>3、慧审助裁：演示自动生成裁决文书功能，系统通过大语言模型自动分析识别案件中申请人诉求、庭审结果等内容并自动生成基本事实、本委认为、裁决结果等内容，可一键生成裁决文书，需演示两个案件展示不同案件的生成内容（0-4分）</w:t>
            </w:r>
          </w:p>
          <w:p>
            <w:pPr>
              <w:pStyle w:val="80"/>
              <w:keepNext w:val="0"/>
              <w:keepLines w:val="0"/>
              <w:widowControl/>
              <w:suppressLineNumbers w:val="0"/>
              <w:spacing w:before="0" w:beforeAutospacing="0" w:after="0" w:afterAutospacing="0" w:line="360" w:lineRule="auto"/>
              <w:ind w:left="0" w:leftChars="0" w:right="0" w:firstLine="0" w:firstLineChars="0"/>
              <w:rPr>
                <w:rFonts w:hint="eastAsia" w:ascii="仿宋" w:hAnsi="仿宋" w:eastAsia="仿宋" w:cs="仿宋"/>
                <w:b w:val="0"/>
                <w:bCs w:val="0"/>
                <w:iCs/>
                <w:color w:val="auto"/>
                <w:sz w:val="21"/>
                <w:szCs w:val="21"/>
                <w:highlight w:val="none"/>
                <w:lang w:val="en-US" w:eastAsia="zh-CN"/>
              </w:rPr>
            </w:pPr>
            <w:r>
              <w:rPr>
                <w:rFonts w:hint="eastAsia" w:ascii="仿宋" w:hAnsi="仿宋" w:eastAsia="仿宋" w:cs="仿宋"/>
                <w:b w:val="0"/>
                <w:bCs w:val="0"/>
                <w:iCs/>
                <w:color w:val="auto"/>
                <w:sz w:val="21"/>
                <w:szCs w:val="21"/>
                <w:highlight w:val="none"/>
                <w:lang w:val="en-US" w:eastAsia="zh-CN"/>
              </w:rPr>
              <w:t>4、审核辅助：演示对一份裁决文书自动识别出文中裁判异常点，并在文中进行指出、标记功能，需演示两个裁决文书展示不同审核内容（0-3分）</w:t>
            </w:r>
          </w:p>
          <w:p>
            <w:pPr>
              <w:pStyle w:val="80"/>
              <w:keepNext w:val="0"/>
              <w:keepLines w:val="0"/>
              <w:widowControl/>
              <w:suppressLineNumbers w:val="0"/>
              <w:spacing w:before="0" w:beforeAutospacing="0" w:after="0" w:afterAutospacing="0" w:line="360" w:lineRule="auto"/>
              <w:ind w:left="0" w:leftChars="0" w:right="0" w:firstLine="0" w:firstLineChars="0"/>
              <w:rPr>
                <w:rFonts w:hint="eastAsia" w:ascii="仿宋" w:hAnsi="仿宋" w:eastAsia="仿宋" w:cs="仿宋"/>
                <w:b w:val="0"/>
                <w:bCs w:val="0"/>
                <w:iCs/>
                <w:color w:val="auto"/>
                <w:sz w:val="21"/>
                <w:szCs w:val="21"/>
                <w:highlight w:val="none"/>
                <w:lang w:val="en-US" w:eastAsia="zh-CN"/>
              </w:rPr>
            </w:pPr>
            <w:r>
              <w:rPr>
                <w:rFonts w:hint="eastAsia" w:ascii="仿宋" w:hAnsi="仿宋" w:eastAsia="仿宋" w:cs="仿宋"/>
                <w:b w:val="0"/>
                <w:bCs w:val="0"/>
                <w:iCs/>
                <w:color w:val="auto"/>
                <w:sz w:val="21"/>
                <w:szCs w:val="21"/>
                <w:highlight w:val="none"/>
                <w:lang w:val="en-US" w:eastAsia="zh-CN"/>
              </w:rPr>
              <w:t>5、增值式服务：演示通过手机端输入相关劳动纠纷内容，系统给出针对此劳动纠纷所对应的评估结果，并可对评估结果进行评价（0-3分）</w:t>
            </w:r>
          </w:p>
          <w:p>
            <w:pPr>
              <w:pStyle w:val="80"/>
              <w:keepNext w:val="0"/>
              <w:keepLines w:val="0"/>
              <w:widowControl/>
              <w:suppressLineNumbers w:val="0"/>
              <w:spacing w:before="0" w:beforeAutospacing="0" w:after="0" w:afterAutospacing="0" w:line="360" w:lineRule="auto"/>
              <w:ind w:left="0" w:leftChars="0" w:right="0" w:firstLine="0" w:firstLineChars="0"/>
              <w:rPr>
                <w:rFonts w:hint="eastAsia" w:ascii="仿宋" w:hAnsi="仿宋" w:eastAsia="仿宋" w:cs="仿宋"/>
                <w:b w:val="0"/>
                <w:bCs w:val="0"/>
                <w:iCs/>
                <w:color w:val="auto"/>
                <w:sz w:val="21"/>
                <w:szCs w:val="21"/>
                <w:highlight w:val="none"/>
                <w:lang w:val="en-US" w:eastAsia="zh-CN"/>
              </w:rPr>
            </w:pPr>
            <w:r>
              <w:rPr>
                <w:rFonts w:hint="eastAsia" w:ascii="仿宋" w:hAnsi="仿宋" w:eastAsia="仿宋" w:cs="仿宋"/>
                <w:b w:val="0"/>
                <w:bCs w:val="0"/>
                <w:iCs/>
                <w:color w:val="auto"/>
                <w:sz w:val="21"/>
                <w:szCs w:val="21"/>
                <w:highlight w:val="none"/>
                <w:lang w:val="en-US" w:eastAsia="zh-CN"/>
              </w:rPr>
              <w:t>6、信息库智检：演示输入相应查询条件，系统可以查询出案例库、法规库和规则库中与查询条件相符的案件、法规和裁判规则（0-3分）</w:t>
            </w:r>
          </w:p>
          <w:p>
            <w:pPr>
              <w:pStyle w:val="80"/>
              <w:keepNext w:val="0"/>
              <w:keepLines w:val="0"/>
              <w:widowControl/>
              <w:suppressLineNumbers w:val="0"/>
              <w:spacing w:before="0" w:beforeAutospacing="0" w:after="0" w:afterAutospacing="0" w:line="360" w:lineRule="auto"/>
              <w:ind w:left="0" w:leftChars="0" w:right="0" w:firstLine="0" w:firstLineChars="0"/>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iCs/>
                <w:color w:val="auto"/>
                <w:sz w:val="21"/>
                <w:szCs w:val="21"/>
                <w:highlight w:val="none"/>
                <w:lang w:val="en-US" w:eastAsia="zh-CN"/>
              </w:rPr>
              <w:t>演示方式可采用录制视频和PPT两种方式，将演示刻录至U盘并密封封装，在开标截止时间前以邮寄快递方式（建议采用顺丰快递）或现场递交至绍兴市越城区凤林文创园2号楼2楼2704-1室，联系人：杜磊，收件电话：13065779166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color="auto" w:fill="FFFFFF"/>
              <w:spacing w:before="0" w:beforeAutospacing="0" w:after="0" w:afterAutospacing="0" w:line="400" w:lineRule="exact"/>
              <w:ind w:left="0" w:right="0"/>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11</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合理化</w:t>
            </w:r>
          </w:p>
          <w:p>
            <w:pPr>
              <w:keepNext w:val="0"/>
              <w:keepLines w:val="0"/>
              <w:suppressLineNumbers w:val="0"/>
              <w:spacing w:before="0" w:beforeAutospacing="0" w:after="0" w:afterAutospacing="0"/>
              <w:ind w:left="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4"/>
                <w:highlight w:val="none"/>
              </w:rPr>
              <w:t>建议</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right="0" w:rightChars="0"/>
              <w:rPr>
                <w:rFonts w:hint="eastAsia" w:ascii="仿宋" w:hAnsi="仿宋" w:eastAsia="仿宋" w:cs="仿宋"/>
                <w:b w:val="0"/>
                <w:bCs w:val="0"/>
                <w:color w:val="auto"/>
                <w:sz w:val="21"/>
                <w:szCs w:val="21"/>
                <w:highlight w:val="none"/>
              </w:rPr>
            </w:pPr>
            <w:r>
              <w:rPr>
                <w:rFonts w:hint="eastAsia" w:ascii="仿宋" w:hAnsi="仿宋" w:eastAsia="仿宋" w:cs="仿宋"/>
                <w:b w:val="0"/>
                <w:bCs w:val="0"/>
                <w:iCs/>
                <w:color w:val="auto"/>
                <w:sz w:val="21"/>
                <w:szCs w:val="21"/>
                <w:highlight w:val="none"/>
              </w:rPr>
              <w:t>投标人应对系统建设提出合理化建议，</w:t>
            </w:r>
            <w:r>
              <w:rPr>
                <w:rFonts w:hint="eastAsia" w:ascii="仿宋" w:hAnsi="仿宋" w:eastAsia="仿宋" w:cs="仿宋"/>
                <w:b w:val="0"/>
                <w:bCs w:val="0"/>
                <w:iCs/>
                <w:color w:val="auto"/>
                <w:sz w:val="21"/>
                <w:szCs w:val="21"/>
                <w:highlight w:val="none"/>
                <w:lang w:val="en-US" w:eastAsia="zh-CN"/>
              </w:rPr>
              <w:t>包括但</w:t>
            </w:r>
            <w:r>
              <w:rPr>
                <w:rFonts w:hint="eastAsia" w:ascii="仿宋" w:hAnsi="仿宋" w:eastAsia="仿宋" w:cs="仿宋"/>
                <w:b w:val="0"/>
                <w:bCs w:val="0"/>
                <w:iCs/>
                <w:color w:val="auto"/>
                <w:sz w:val="21"/>
                <w:szCs w:val="21"/>
                <w:highlight w:val="none"/>
              </w:rPr>
              <w:t>不限于技术路线、系统架构、应用设计等，考量方案建议的前瞻性、适用性、实用性，0-</w:t>
            </w:r>
            <w:r>
              <w:rPr>
                <w:rFonts w:hint="eastAsia" w:ascii="仿宋" w:hAnsi="仿宋" w:eastAsia="仿宋" w:cs="仿宋"/>
                <w:b w:val="0"/>
                <w:bCs w:val="0"/>
                <w:iCs/>
                <w:color w:val="auto"/>
                <w:sz w:val="21"/>
                <w:szCs w:val="21"/>
                <w:highlight w:val="none"/>
                <w:lang w:val="en-US" w:eastAsia="zh-CN"/>
              </w:rPr>
              <w:t>4</w:t>
            </w:r>
            <w:r>
              <w:rPr>
                <w:rFonts w:hint="eastAsia" w:ascii="仿宋" w:hAnsi="仿宋" w:eastAsia="仿宋" w:cs="仿宋"/>
                <w:b w:val="0"/>
                <w:bCs w:val="0"/>
                <w:iCs/>
                <w:color w:val="auto"/>
                <w:sz w:val="21"/>
                <w:szCs w:val="21"/>
                <w:highlight w:val="none"/>
              </w:rPr>
              <w:t>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iCs/>
                <w:color w:val="auto"/>
                <w:sz w:val="24"/>
                <w:highlight w:val="none"/>
                <w:lang w:val="en-US" w:eastAsia="zh-CN"/>
              </w:rPr>
              <w:t>4</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10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10</w:t>
      </w:r>
    </w:p>
    <w:p>
      <w:pPr>
        <w:pStyle w:val="25"/>
        <w:snapToGrid w:val="0"/>
        <w:spacing w:line="360" w:lineRule="auto"/>
        <w:ind w:firstLine="0" w:firstLineChars="0"/>
        <w:rPr>
          <w:rFonts w:hint="eastAsia" w:ascii="仿宋" w:hAnsi="仿宋" w:eastAsia="仿宋" w:cs="仿宋"/>
          <w:highlight w:val="none"/>
        </w:rPr>
      </w:pPr>
    </w:p>
    <w:p>
      <w:pPr>
        <w:widowControl/>
        <w:adjustRightInd/>
        <w:jc w:val="center"/>
        <w:rPr>
          <w:rFonts w:hint="eastAsia" w:ascii="仿宋" w:hAnsi="仿宋" w:eastAsia="仿宋" w:cs="仿宋"/>
          <w:b/>
          <w:sz w:val="36"/>
          <w:szCs w:val="20"/>
          <w:highlight w:val="none"/>
        </w:rPr>
      </w:pPr>
    </w:p>
    <w:p>
      <w:pPr>
        <w:pStyle w:val="23"/>
        <w:rPr>
          <w:rFonts w:hint="eastAsia" w:ascii="仿宋" w:hAnsi="仿宋" w:eastAsia="仿宋" w:cs="仿宋"/>
          <w:b/>
          <w:sz w:val="36"/>
          <w:szCs w:val="20"/>
          <w:highlight w:val="none"/>
        </w:rPr>
      </w:pPr>
    </w:p>
    <w:p>
      <w:pPr>
        <w:pStyle w:val="24"/>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p>
    <w:p>
      <w:pPr>
        <w:pStyle w:val="23"/>
        <w:rPr>
          <w:rFonts w:hint="eastAsia" w:ascii="仿宋" w:hAnsi="仿宋" w:eastAsia="仿宋" w:cs="仿宋"/>
          <w:b/>
          <w:sz w:val="36"/>
          <w:szCs w:val="20"/>
          <w:highlight w:val="none"/>
        </w:rPr>
      </w:pPr>
    </w:p>
    <w:p>
      <w:pPr>
        <w:pStyle w:val="24"/>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p>
    <w:p>
      <w:pPr>
        <w:widowControl/>
        <w:adjustRightInd/>
        <w:jc w:val="left"/>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8"/>
      <w:r>
        <w:rPr>
          <w:rFonts w:hint="eastAsia" w:ascii="仿宋" w:hAnsi="仿宋" w:eastAsia="仿宋" w:cs="仿宋"/>
          <w:b/>
          <w:sz w:val="36"/>
          <w:szCs w:val="20"/>
          <w:highlight w:val="none"/>
        </w:rPr>
        <w:t xml:space="preserve"> </w:t>
      </w:r>
      <w:bookmarkEnd w:id="39"/>
      <w:r>
        <w:rPr>
          <w:rFonts w:hint="eastAsia" w:ascii="仿宋" w:hAnsi="仿宋" w:eastAsia="仿宋" w:cs="仿宋"/>
          <w:b/>
          <w:sz w:val="36"/>
          <w:szCs w:val="20"/>
          <w:highlight w:val="none"/>
        </w:rPr>
        <w:t>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w:t>
      </w:r>
      <w:r>
        <w:rPr>
          <w:rFonts w:hint="eastAsia" w:ascii="仿宋" w:hAnsi="仿宋" w:eastAsia="仿宋" w:cs="仿宋"/>
          <w:sz w:val="24"/>
          <w:highlight w:val="none"/>
        </w:rPr>
        <w:t>，郑重承诺：</w:t>
      </w:r>
    </w:p>
    <w:p>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highlight w:val="none"/>
        </w:rPr>
      </w:pPr>
    </w:p>
    <w:p>
      <w:pPr>
        <w:spacing w:line="240" w:lineRule="auto"/>
        <w:jc w:val="left"/>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4"/>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pPr>
        <w:pStyle w:val="904"/>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904"/>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904"/>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904"/>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904"/>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w:t>
      </w:r>
      <w:r>
        <w:rPr>
          <w:rFonts w:hint="eastAsia" w:ascii="仿宋" w:hAnsi="仿宋" w:eastAsia="仿宋" w:cs="仿宋"/>
          <w:sz w:val="24"/>
          <w:highlight w:val="none"/>
          <w:lang w:val="zh-CN"/>
        </w:rPr>
        <w:t>…</w:t>
      </w:r>
      <w:r>
        <w:rPr>
          <w:rFonts w:hint="eastAsia" w:ascii="仿宋" w:hAnsi="仿宋" w:eastAsia="仿宋" w:cs="仿宋"/>
          <w:highlight w:val="none"/>
        </w:rPr>
        <w:t>……</w:t>
      </w:r>
      <w:r>
        <w:rPr>
          <w:rFonts w:hint="eastAsia" w:ascii="仿宋" w:hAnsi="仿宋" w:eastAsia="仿宋" w:cs="仿宋"/>
          <w:sz w:val="24"/>
          <w:highlight w:val="none"/>
        </w:rPr>
        <w:t>（页码）</w:t>
      </w:r>
    </w:p>
    <w:p>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8</w:t>
      </w:r>
      <w:r>
        <w:rPr>
          <w:rFonts w:hint="eastAsia" w:ascii="仿宋" w:hAnsi="仿宋" w:eastAsia="仿宋" w:cs="仿宋"/>
          <w:kern w:val="0"/>
          <w:sz w:val="24"/>
          <w:highlight w:val="none"/>
        </w:rPr>
        <w:t>）技术解决方案…………………………………………………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rPr>
        <w:t>）售后服务方案……………………………………………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rPr>
        <w:t>供应商售后服务证明材料……………………………………………………（页码）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rPr>
        <w:t>）项目小组人员名单………………………………………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13</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14</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15</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16</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368" w:rightChars="-175"/>
        <w:jc w:val="both"/>
        <w:rPr>
          <w:rFonts w:hint="eastAsia" w:ascii="仿宋" w:hAnsi="仿宋" w:eastAsia="仿宋" w:cs="仿宋"/>
          <w:b/>
          <w:bCs/>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17</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both"/>
        <w:rPr>
          <w:rFonts w:hint="eastAsia" w:ascii="仿宋" w:hAnsi="仿宋" w:eastAsia="仿宋" w:cs="仿宋"/>
          <w:b/>
          <w:kern w:val="0"/>
          <w:sz w:val="32"/>
          <w:szCs w:val="32"/>
          <w:highlight w:val="none"/>
          <w:lang w:val="zh-CN"/>
        </w:rPr>
      </w:pPr>
    </w:p>
    <w:p>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autoSpaceDE w:val="0"/>
        <w:autoSpaceDN w:val="0"/>
        <w:spacing w:line="360" w:lineRule="auto"/>
        <w:jc w:val="center"/>
        <w:rPr>
          <w:rFonts w:hint="eastAsia" w:ascii="仿宋" w:hAnsi="仿宋" w:eastAsia="仿宋" w:cs="仿宋"/>
          <w:b/>
          <w:kern w:val="0"/>
          <w:sz w:val="32"/>
          <w:szCs w:val="32"/>
          <w:highlight w:val="none"/>
          <w:lang w:val="zh-CN"/>
        </w:rPr>
      </w:pP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both"/>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pPr>
        <w:widowControl/>
        <w:adjustRightInd/>
        <w:jc w:val="left"/>
        <w:rPr>
          <w:rFonts w:hint="eastAsia" w:ascii="仿宋" w:hAnsi="仿宋" w:eastAsia="仿宋" w:cs="仿宋"/>
          <w:b/>
          <w:bCs/>
          <w:sz w:val="32"/>
          <w:szCs w:val="32"/>
          <w:highlight w:val="none"/>
          <w:lang w:eastAsia="zh-CN"/>
        </w:rPr>
      </w:pPr>
    </w:p>
    <w:p>
      <w:pPr>
        <w:widowControl/>
        <w:adjustRightInd/>
        <w:jc w:val="left"/>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eastAsia="zh-CN"/>
        </w:rPr>
        <w:br w:type="page"/>
      </w: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auto"/>
          <w:sz w:val="24"/>
          <w:highlight w:val="none"/>
        </w:rPr>
        <w:t>（采购人）、（采购代</w:t>
      </w:r>
      <w:r>
        <w:rPr>
          <w:rFonts w:hint="eastAsia" w:ascii="仿宋" w:hAnsi="仿宋" w:eastAsia="仿宋" w:cs="仿宋"/>
          <w:sz w:val="24"/>
          <w:highlight w:val="none"/>
        </w:rPr>
        <w:t>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hint="eastAsia" w:ascii="仿宋" w:hAnsi="仿宋" w:eastAsia="仿宋" w:cs="仿宋"/>
          <w:b/>
          <w:bCs/>
          <w:sz w:val="24"/>
          <w:highlight w:val="none"/>
        </w:rPr>
      </w:pPr>
    </w:p>
    <w:p>
      <w:pPr>
        <w:pStyle w:val="79"/>
        <w:jc w:val="center"/>
        <w:rPr>
          <w:rFonts w:hint="eastAsia" w:ascii="仿宋" w:hAnsi="仿宋" w:eastAsia="仿宋" w:cs="仿宋"/>
          <w:b/>
          <w:bCs/>
          <w:sz w:val="24"/>
          <w:highlight w:val="none"/>
        </w:rPr>
      </w:pPr>
    </w:p>
    <w:p>
      <w:pPr>
        <w:spacing w:line="240" w:lineRule="auto"/>
        <w:jc w:val="left"/>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lang w:eastAsia="zh-CN"/>
        </w:rPr>
        <w:br w:type="page"/>
      </w:r>
    </w:p>
    <w:p>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sz w:val="32"/>
          <w:szCs w:val="32"/>
          <w:highlight w:val="none"/>
          <w:lang w:eastAsia="zh-CN"/>
        </w:rPr>
        <w:t>七</w:t>
      </w:r>
      <w:r>
        <w:rPr>
          <w:rFonts w:hint="eastAsia" w:ascii="仿宋" w:hAnsi="仿宋" w:eastAsia="仿宋" w:cs="仿宋"/>
          <w:b/>
          <w:sz w:val="32"/>
          <w:szCs w:val="32"/>
          <w:highlight w:val="none"/>
        </w:rPr>
        <w:t>、</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highlight w:val="none"/>
        </w:rPr>
      </w:pPr>
    </w:p>
    <w:p>
      <w:pPr>
        <w:autoSpaceDE w:val="0"/>
        <w:autoSpaceDN w:val="0"/>
        <w:spacing w:line="360" w:lineRule="auto"/>
        <w:rPr>
          <w:rFonts w:hint="eastAsia"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7"/>
        <w:ind w:firstLine="0"/>
        <w:jc w:val="both"/>
        <w:rPr>
          <w:rFonts w:hint="eastAsia" w:ascii="仿宋" w:hAnsi="仿宋" w:eastAsia="仿宋" w:cs="仿宋"/>
          <w:highlight w:val="none"/>
        </w:rPr>
      </w:pPr>
    </w:p>
    <w:p>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八</w:t>
      </w:r>
      <w:r>
        <w:rPr>
          <w:rFonts w:hint="eastAsia" w:ascii="仿宋" w:hAnsi="仿宋" w:eastAsia="仿宋" w:cs="仿宋"/>
          <w:b/>
          <w:bCs/>
          <w:sz w:val="32"/>
          <w:szCs w:val="32"/>
          <w:highlight w:val="none"/>
        </w:rPr>
        <w:t>、技术解决方案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 w:hAnsi="仿宋" w:eastAsia="仿宋" w:cs="仿宋"/>
          <w:kern w:val="0"/>
          <w:sz w:val="24"/>
          <w:highlight w:val="none"/>
        </w:rPr>
      </w:pPr>
    </w:p>
    <w:p>
      <w:pPr>
        <w:spacing w:line="360" w:lineRule="auto"/>
        <w:jc w:val="center"/>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240" w:lineRule="auto"/>
        <w:jc w:val="left"/>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eastAsia="zh-CN"/>
        </w:rPr>
        <w:br w:type="page"/>
      </w:r>
    </w:p>
    <w:p>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十</w:t>
      </w:r>
      <w:r>
        <w:rPr>
          <w:rFonts w:hint="eastAsia" w:ascii="仿宋" w:hAnsi="仿宋" w:eastAsia="仿宋" w:cs="仿宋"/>
          <w:b/>
          <w:bCs/>
          <w:sz w:val="32"/>
          <w:szCs w:val="32"/>
          <w:highlight w:val="none"/>
        </w:rPr>
        <w:t>、售后服务方案</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pacing w:line="360" w:lineRule="auto"/>
        <w:ind w:firstLine="480" w:firstLineChars="200"/>
        <w:rPr>
          <w:rFonts w:hint="eastAsia" w:ascii="仿宋" w:hAnsi="仿宋" w:eastAsia="仿宋" w:cs="仿宋"/>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 w:hAnsi="仿宋" w:eastAsia="仿宋" w:cs="仿宋"/>
          <w:b/>
          <w:sz w:val="30"/>
          <w:szCs w:val="30"/>
          <w:highlight w:val="none"/>
          <w:lang w:eastAsia="zh-CN"/>
        </w:rPr>
      </w:pPr>
    </w:p>
    <w:p>
      <w:pPr>
        <w:spacing w:line="360" w:lineRule="auto"/>
        <w:jc w:val="center"/>
        <w:rPr>
          <w:rFonts w:hint="eastAsia" w:ascii="仿宋" w:hAnsi="仿宋" w:eastAsia="仿宋" w:cs="仿宋"/>
          <w:b/>
          <w:sz w:val="30"/>
          <w:szCs w:val="30"/>
          <w:highlight w:val="none"/>
          <w:lang w:eastAsia="zh-CN"/>
        </w:rPr>
      </w:pPr>
    </w:p>
    <w:p>
      <w:pPr>
        <w:pStyle w:val="79"/>
        <w:rPr>
          <w:rFonts w:hint="eastAsia" w:ascii="仿宋" w:hAnsi="仿宋" w:eastAsia="仿宋" w:cs="仿宋"/>
          <w:highlight w:val="none"/>
          <w:lang w:eastAsia="zh-CN"/>
        </w:rPr>
      </w:pPr>
    </w:p>
    <w:p>
      <w:pPr>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十一</w:t>
      </w:r>
      <w:r>
        <w:rPr>
          <w:rFonts w:hint="eastAsia" w:ascii="仿宋" w:hAnsi="仿宋" w:eastAsia="仿宋" w:cs="仿宋"/>
          <w:b/>
          <w:sz w:val="30"/>
          <w:szCs w:val="30"/>
          <w:highlight w:val="none"/>
        </w:rPr>
        <w:t>、</w:t>
      </w:r>
      <w:r>
        <w:rPr>
          <w:rFonts w:hint="eastAsia" w:ascii="仿宋" w:hAnsi="仿宋" w:eastAsia="仿宋" w:cs="仿宋"/>
          <w:b/>
          <w:sz w:val="30"/>
          <w:szCs w:val="30"/>
          <w:highlight w:val="none"/>
          <w:lang w:eastAsia="zh-CN"/>
        </w:rPr>
        <w:t>投标人</w:t>
      </w:r>
      <w:r>
        <w:rPr>
          <w:rFonts w:hint="eastAsia" w:ascii="仿宋" w:hAnsi="仿宋" w:eastAsia="仿宋" w:cs="仿宋"/>
          <w:b/>
          <w:sz w:val="30"/>
          <w:szCs w:val="30"/>
          <w:highlight w:val="none"/>
        </w:rPr>
        <w:t>售后服务能力证明材料</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79"/>
        <w:rPr>
          <w:rFonts w:hint="eastAsia" w:ascii="仿宋" w:hAnsi="仿宋" w:eastAsia="仿宋" w:cs="仿宋"/>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79"/>
        <w:rPr>
          <w:rFonts w:hint="eastAsia" w:ascii="仿宋" w:hAnsi="仿宋" w:eastAsia="仿宋" w:cs="仿宋"/>
          <w:highlight w:val="none"/>
        </w:rPr>
      </w:pPr>
    </w:p>
    <w:p>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十二</w:t>
      </w:r>
      <w:r>
        <w:rPr>
          <w:rFonts w:hint="eastAsia" w:ascii="仿宋" w:hAnsi="仿宋" w:eastAsia="仿宋" w:cs="仿宋"/>
          <w:b/>
          <w:bCs/>
          <w:sz w:val="32"/>
          <w:szCs w:val="32"/>
          <w:highlight w:val="none"/>
        </w:rPr>
        <w:t>、项目小组人员名单</w:t>
      </w:r>
    </w:p>
    <w:p>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hint="eastAsia" w:ascii="仿宋" w:hAnsi="仿宋" w:eastAsia="仿宋" w:cs="仿宋"/>
          <w:sz w:val="24"/>
          <w:szCs w:val="20"/>
          <w:highlight w:val="none"/>
        </w:rPr>
      </w:pP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hint="eastAsia" w:ascii="仿宋" w:hAnsi="仿宋" w:eastAsia="仿宋" w:cs="仿宋"/>
          <w:b/>
          <w:bCs/>
          <w:sz w:val="32"/>
          <w:szCs w:val="32"/>
          <w:highlight w:val="none"/>
        </w:rPr>
      </w:pPr>
    </w:p>
    <w:p>
      <w:pPr>
        <w:snapToGrid w:val="0"/>
        <w:spacing w:line="360" w:lineRule="auto"/>
        <w:ind w:right="960"/>
        <w:jc w:val="both"/>
        <w:rPr>
          <w:rFonts w:hint="eastAsia" w:ascii="仿宋" w:hAnsi="仿宋" w:eastAsia="仿宋" w:cs="仿宋"/>
          <w:kern w:val="0"/>
          <w:sz w:val="24"/>
          <w:highlight w:val="none"/>
          <w:lang w:val="zh-CN"/>
        </w:rPr>
      </w:pPr>
    </w:p>
    <w:p>
      <w:pPr>
        <w:snapToGrid w:val="0"/>
        <w:spacing w:line="360" w:lineRule="auto"/>
        <w:ind w:right="960"/>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eastAsia="zh-CN"/>
        </w:rPr>
        <w:t>十三</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rPr>
          <w:rFonts w:hint="eastAsia" w:ascii="仿宋" w:hAnsi="仿宋" w:eastAsia="仿宋" w:cs="仿宋"/>
          <w:sz w:val="18"/>
          <w:szCs w:val="18"/>
          <w:highlight w:val="none"/>
        </w:rPr>
      </w:pPr>
    </w:p>
    <w:p>
      <w:pPr>
        <w:pStyle w:val="79"/>
        <w:rPr>
          <w:rFonts w:hint="eastAsia" w:ascii="仿宋" w:hAnsi="仿宋" w:eastAsia="仿宋" w:cs="仿宋"/>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 w:hAnsi="仿宋" w:eastAsia="仿宋" w:cs="仿宋"/>
          <w:b/>
          <w:bCs/>
          <w:sz w:val="18"/>
          <w:szCs w:val="18"/>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eastAsia="zh-CN"/>
        </w:rPr>
        <w:t>十四</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备品备件及供选择的配套零部件清单</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napToGrid w:val="0"/>
        <w:spacing w:line="360" w:lineRule="auto"/>
        <w:ind w:right="960"/>
        <w:jc w:val="right"/>
        <w:rPr>
          <w:rFonts w:hint="eastAsia" w:ascii="仿宋" w:hAnsi="仿宋" w:eastAsia="仿宋" w:cs="仿宋"/>
          <w:kern w:val="0"/>
          <w:sz w:val="24"/>
          <w:highlight w:val="none"/>
          <w:lang w:val="zh-CN"/>
        </w:rPr>
      </w:pPr>
    </w:p>
    <w:p>
      <w:pPr>
        <w:snapToGrid w:val="0"/>
        <w:spacing w:line="360" w:lineRule="auto"/>
        <w:ind w:right="960"/>
        <w:jc w:val="right"/>
        <w:rPr>
          <w:rFonts w:hint="eastAsia" w:ascii="仿宋" w:hAnsi="仿宋" w:eastAsia="仿宋" w:cs="仿宋"/>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240" w:lineRule="auto"/>
        <w:jc w:val="left"/>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eastAsia="zh-CN"/>
        </w:rPr>
        <w:br w:type="page"/>
      </w:r>
    </w:p>
    <w:p>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eastAsia="zh-CN"/>
        </w:rPr>
        <w:t>十五</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培训计划</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十六</w:t>
      </w:r>
      <w:r>
        <w:rPr>
          <w:rFonts w:hint="eastAsia" w:ascii="仿宋" w:hAnsi="仿宋" w:eastAsia="仿宋" w:cs="仿宋"/>
          <w:b/>
          <w:bCs/>
          <w:sz w:val="32"/>
          <w:szCs w:val="32"/>
          <w:highlight w:val="none"/>
        </w:rPr>
        <w:t>、验收方案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jc w:val="center"/>
        <w:rPr>
          <w:rFonts w:hint="eastAsia"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eastAsia="zh-CN"/>
        </w:rPr>
        <w:t>十七</w:t>
      </w:r>
      <w:r>
        <w:rPr>
          <w:rFonts w:hint="eastAsia" w:ascii="仿宋" w:hAnsi="仿宋" w:eastAsia="仿宋" w:cs="仿宋"/>
          <w:b/>
          <w:bCs/>
          <w:sz w:val="32"/>
          <w:szCs w:val="32"/>
          <w:highlight w:val="none"/>
        </w:rPr>
        <w:t>、认为需要的</w:t>
      </w:r>
      <w:r>
        <w:rPr>
          <w:rFonts w:hint="eastAsia" w:ascii="仿宋" w:hAnsi="仿宋" w:eastAsia="仿宋" w:cs="仿宋"/>
          <w:b/>
          <w:kern w:val="0"/>
          <w:sz w:val="32"/>
          <w:szCs w:val="32"/>
          <w:highlight w:val="none"/>
          <w:lang w:val="zh-CN"/>
        </w:rPr>
        <w:t>其他商务技术（资信）文件或说明</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rPr>
          <w:rFonts w:hint="eastAsia"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rFonts w:hint="eastAsia" w:ascii="仿宋" w:hAnsi="仿宋" w:eastAsia="仿宋" w:cs="仿宋"/>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pPr>
        <w:pStyle w:val="23"/>
        <w:numPr>
          <w:ilvl w:val="0"/>
          <w:numId w:val="0"/>
        </w:numPr>
        <w:snapToGrid w:val="0"/>
        <w:spacing w:line="360" w:lineRule="auto"/>
        <w:rPr>
          <w:rFonts w:hint="eastAsia" w:ascii="仿宋" w:hAnsi="仿宋" w:eastAsia="仿宋" w:cs="仿宋"/>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highlight w:val="none"/>
              </w:rPr>
            </w:pPr>
          </w:p>
        </w:tc>
        <w:tc>
          <w:tcPr>
            <w:tcW w:w="992"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410"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c>
          <w:tcPr>
            <w:tcW w:w="2127" w:type="dxa"/>
          </w:tcPr>
          <w:p>
            <w:pPr>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highlight w:val="none"/>
              </w:rPr>
            </w:pPr>
          </w:p>
        </w:tc>
        <w:tc>
          <w:tcPr>
            <w:tcW w:w="992"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410"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c>
          <w:tcPr>
            <w:tcW w:w="2127" w:type="dxa"/>
          </w:tcPr>
          <w:p>
            <w:pPr>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8647" w:type="dxa"/>
            <w:gridSpan w:val="4"/>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8647" w:type="dxa"/>
            <w:gridSpan w:val="4"/>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24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autoSpaceDN/>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autoSpaceDN/>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61" w:name="_Hlk101131882"/>
      <w:r>
        <w:rPr>
          <w:rFonts w:hint="eastAsia" w:ascii="仿宋" w:hAnsi="仿宋" w:eastAsia="仿宋" w:cs="仿宋"/>
          <w:kern w:val="0"/>
          <w:sz w:val="24"/>
          <w:highlight w:val="none"/>
          <w:u w:val="single"/>
        </w:rPr>
        <w:t>联合体成员X,……</w:t>
      </w:r>
      <w:bookmarkEnd w:id="161"/>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62"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62"/>
      <w:r>
        <w:rPr>
          <w:rFonts w:hint="eastAsia" w:ascii="仿宋" w:hAnsi="仿宋" w:eastAsia="仿宋" w:cs="仿宋"/>
          <w:b/>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63"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3"/>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ind w:firstLine="3666" w:firstLineChars="1100"/>
        <w:rPr>
          <w:rFonts w:hint="eastAsia" w:ascii="仿宋" w:hAnsi="仿宋" w:eastAsia="仿宋" w:cs="仿宋"/>
          <w:b/>
          <w:spacing w:val="6"/>
          <w:sz w:val="32"/>
          <w:szCs w:val="32"/>
          <w:highlight w:val="none"/>
        </w:rPr>
      </w:pPr>
    </w:p>
    <w:p>
      <w:pPr>
        <w:widowControl/>
        <w:adjustRightInd/>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pacing w:line="24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64" w:name="OLE_LINK13"/>
      <w:bookmarkStart w:id="165" w:name="OLE_LINK14"/>
      <w:r>
        <w:rPr>
          <w:rFonts w:hint="eastAsia" w:ascii="仿宋" w:hAnsi="仿宋" w:eastAsia="仿宋" w:cs="仿宋"/>
          <w:b/>
          <w:spacing w:val="6"/>
          <w:sz w:val="32"/>
          <w:szCs w:val="32"/>
          <w:highlight w:val="none"/>
        </w:rPr>
        <w:t>残疾人福利性单位声明函</w:t>
      </w:r>
    </w:p>
    <w:bookmarkEnd w:id="164"/>
    <w:bookmarkEnd w:id="165"/>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rPr>
        <w:t>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23"/>
        <w:rPr>
          <w:rFonts w:hint="eastAsia" w:ascii="仿宋" w:hAnsi="仿宋" w:eastAsia="仿宋" w:cs="仿宋"/>
          <w:highlight w:val="none"/>
        </w:rPr>
      </w:pPr>
    </w:p>
    <w:p>
      <w:pPr>
        <w:snapToGrid/>
        <w:spacing w:line="24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：中小企业声明函</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hint="eastAsia" w:ascii="仿宋" w:hAnsi="仿宋" w:eastAsia="仿宋" w:cs="仿宋"/>
          <w:highlight w:val="none"/>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rFonts w:hint="eastAsia" w:ascii="仿宋" w:hAnsi="仿宋" w:eastAsia="仿宋" w:cs="仿宋"/>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hint="eastAsia" w:ascii="仿宋" w:hAnsi="仿宋" w:eastAsia="仿宋" w:cs="仿宋"/>
          <w:bCs/>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HP Simplified Han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P Simplified Han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P Simplified Hans"/>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HP Simplified Hans">
    <w:panose1 w:val="020B0500000000000000"/>
    <w:charset w:val="86"/>
    <w:family w:val="auto"/>
    <w:pitch w:val="default"/>
    <w:sig w:usb0="A00002BF" w:usb1="38CF7CFA" w:usb2="00000016" w:usb3="00000000" w:csb0="2004011D" w:csb1="41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6" w:name="_Toc131845147"/>
    <w:bookmarkStart w:id="167" w:name="_Toc164085800"/>
    <w:bookmarkStart w:id="168" w:name="_Toc36110187"/>
    <w:bookmarkStart w:id="169" w:name="_Toc91899912"/>
    <w:r>
      <w:rPr>
        <w:rFonts w:hint="eastAsia" w:ascii="仿宋_GB2312" w:eastAsia="仿宋_GB2312"/>
        <w:kern w:val="0"/>
        <w:szCs w:val="21"/>
      </w:rPr>
      <w:t xml:space="preserve"> 页</w:t>
    </w:r>
    <w:bookmarkEnd w:id="166"/>
    <w:bookmarkEnd w:id="167"/>
    <w:bookmarkEnd w:id="168"/>
    <w:bookmarkEnd w:id="169"/>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lang w:val="en-US"/>
      </w:rPr>
    </w:pPr>
    <w:r>
      <w:rPr>
        <w:rFonts w:hint="eastAsia" w:ascii="仿宋" w:hAnsi="仿宋" w:eastAsia="仿宋" w:cs="仿宋"/>
        <w:lang w:val="en-US" w:eastAsia="zh-CN"/>
      </w:rPr>
      <w:t>绍兴衡业工程管理咨询有限公司                                    招标编号：SXHY-2024CG-1106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ascii="仿宋" w:hAnsi="仿宋" w:eastAsia="仿宋" w:cs="仿宋"/>
        <w:lang w:val="en-US" w:eastAsia="zh-CN"/>
      </w:rPr>
    </w:pPr>
    <w:r>
      <w:rPr>
        <w:rFonts w:hint="eastAsia" w:ascii="仿宋" w:hAnsi="仿宋" w:eastAsia="仿宋" w:cs="仿宋"/>
        <w:lang w:val="en-US" w:eastAsia="zh-CN"/>
      </w:rPr>
      <w:t>绍兴衡业工程管理咨询有限公司                                    招标编号：SXHY-2024CG-1106</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eastAsia="仿宋"/>
        <w:lang w:val="en-US" w:eastAsia="zh-CN"/>
      </w:rPr>
      <w:t>绍兴衡业工程管理咨询有限公</w:t>
    </w:r>
    <w:r>
      <w:rPr>
        <w:rFonts w:hint="eastAsia"/>
        <w:lang w:val="en-US" w:eastAsia="zh-CN"/>
      </w:rPr>
      <w:t xml:space="preserve">司  </w:t>
    </w:r>
    <w:r>
      <w:rPr>
        <w:rFonts w:hint="eastAsia" w:eastAsia="仿宋"/>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SXHY-2024CG-1106</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绍兴衡业工程管理咨询有限公司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SXHY-2024CG-1106</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绍兴衡业工程管理咨询有限公司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SXHY-2024CG-1106</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绍兴衡业工程管理咨询有限公司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SXHY-2024CG-1106</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7E8E4EB"/>
    <w:multiLevelType w:val="singleLevel"/>
    <w:tmpl w:val="17E8E4EB"/>
    <w:lvl w:ilvl="0" w:tentative="0">
      <w:start w:val="5"/>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172A27"/>
    <w:rsid w:val="01D431D1"/>
    <w:rsid w:val="02CA4985"/>
    <w:rsid w:val="0BFF3DEF"/>
    <w:rsid w:val="0F096B8F"/>
    <w:rsid w:val="0F63063F"/>
    <w:rsid w:val="13D33268"/>
    <w:rsid w:val="18E60774"/>
    <w:rsid w:val="1D2F1C3B"/>
    <w:rsid w:val="1E165E21"/>
    <w:rsid w:val="253B0AF8"/>
    <w:rsid w:val="29A32652"/>
    <w:rsid w:val="30CD01D9"/>
    <w:rsid w:val="356F298C"/>
    <w:rsid w:val="37F72972"/>
    <w:rsid w:val="39EC7B15"/>
    <w:rsid w:val="3E7876B2"/>
    <w:rsid w:val="3EFFEFED"/>
    <w:rsid w:val="3FDF8E02"/>
    <w:rsid w:val="427E60E8"/>
    <w:rsid w:val="42E5178D"/>
    <w:rsid w:val="42E76919"/>
    <w:rsid w:val="4F4B3D85"/>
    <w:rsid w:val="50E02DEB"/>
    <w:rsid w:val="597B7A65"/>
    <w:rsid w:val="5B6D6074"/>
    <w:rsid w:val="5BC36AFA"/>
    <w:rsid w:val="5BD401F1"/>
    <w:rsid w:val="5F561B6F"/>
    <w:rsid w:val="5F57E5CA"/>
    <w:rsid w:val="64885693"/>
    <w:rsid w:val="669C35D3"/>
    <w:rsid w:val="66FF0A2A"/>
    <w:rsid w:val="680E4980"/>
    <w:rsid w:val="6B12F5CA"/>
    <w:rsid w:val="6B3F6347"/>
    <w:rsid w:val="6BAC1F66"/>
    <w:rsid w:val="6E6ECE85"/>
    <w:rsid w:val="6FC37AD4"/>
    <w:rsid w:val="73113FA1"/>
    <w:rsid w:val="745D55AD"/>
    <w:rsid w:val="77CF7F58"/>
    <w:rsid w:val="78AD1F79"/>
    <w:rsid w:val="7AF6E65A"/>
    <w:rsid w:val="7BF2B070"/>
    <w:rsid w:val="7BF7ADED"/>
    <w:rsid w:val="7D3F0A8C"/>
    <w:rsid w:val="7D701D4E"/>
    <w:rsid w:val="7DFBE033"/>
    <w:rsid w:val="7DFF1482"/>
    <w:rsid w:val="7DFF3A1B"/>
    <w:rsid w:val="7ED72DF0"/>
    <w:rsid w:val="7F76154E"/>
    <w:rsid w:val="7F7D6B0B"/>
    <w:rsid w:val="7FCE9F2A"/>
    <w:rsid w:val="7FFAA0BC"/>
    <w:rsid w:val="9FB50625"/>
    <w:rsid w:val="BE56D120"/>
    <w:rsid w:val="DCE309F7"/>
    <w:rsid w:val="DFF7A720"/>
    <w:rsid w:val="DFFED73E"/>
    <w:rsid w:val="EAFD9951"/>
    <w:rsid w:val="FBAF4A97"/>
    <w:rsid w:val="FF1BDDFF"/>
    <w:rsid w:val="FF3F59ED"/>
    <w:rsid w:val="FF3FB53B"/>
    <w:rsid w:val="FFFFF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autoRedefine/>
    <w:qFormat/>
    <w:uiPriority w:val="0"/>
    <w:pPr>
      <w:ind w:firstLine="420"/>
    </w:pPr>
    <w:rPr>
      <w:rFonts w:hAnsi="Calibri" w:cs="Times New Roman"/>
      <w:snapToGrid/>
      <w:szCs w:val="20"/>
    </w:rPr>
  </w:style>
  <w:style w:type="paragraph" w:styleId="25">
    <w:name w:val="Body Text Indent"/>
    <w:basedOn w:val="1"/>
    <w:link w:val="26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36307</Words>
  <Characters>38371</Characters>
  <Paragraphs>1943</Paragraphs>
  <TotalTime>32</TotalTime>
  <ScaleCrop>false</ScaleCrop>
  <LinksUpToDate>false</LinksUpToDate>
  <CharactersWithSpaces>42454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2021-08-03T00:22:00Z</dcterms:created>
  <dc:creator>玥</dc:creator>
  <cp:lastModifiedBy>-</cp:lastModifiedBy>
  <cp:lastPrinted>2021-12-31T03:06:00Z</cp:lastPrinted>
  <dcterms:modified xsi:type="dcterms:W3CDTF">2024-11-19T08:58:17Z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3185F564ED0042E3A24D74E75A57BBDC_13</vt:lpwstr>
  </property>
</Properties>
</file>