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 xml:space="preserve"> </w:t>
      </w:r>
      <w:bookmarkStart w:id="1" w:name="OLE_LINK4"/>
      <w:r>
        <w:rPr>
          <w:rFonts w:hint="eastAsia" w:ascii="仿宋" w:hAnsi="仿宋" w:eastAsia="仿宋" w:cs="仿宋"/>
          <w:b/>
          <w:bCs/>
          <w:color w:val="auto"/>
          <w:sz w:val="56"/>
          <w:szCs w:val="56"/>
          <w:highlight w:val="none"/>
          <w:lang w:eastAsia="zh-CN"/>
        </w:rPr>
        <w:t>绍兴市口腔医院智能审方系统采购项目</w:t>
      </w:r>
      <w:bookmarkEnd w:id="1"/>
    </w:p>
    <w:p>
      <w:pPr>
        <w:jc w:val="both"/>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jc w:val="both"/>
        <w:rPr>
          <w:rFonts w:hint="eastAsia" w:ascii="仿宋" w:hAnsi="仿宋" w:eastAsia="仿宋" w:cs="仿宋"/>
          <w:b/>
          <w:sz w:val="44"/>
          <w:szCs w:val="44"/>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SXHY-2024CG-0802</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079325215"/>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绍兴衡业工程管理咨询有限公司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九</w:t>
            </w:r>
            <w:r>
              <w:rPr>
                <w:rFonts w:hint="eastAsia" w:ascii="仿宋" w:hAnsi="仿宋" w:eastAsia="仿宋" w:cs="仿宋"/>
                <w:sz w:val="28"/>
                <w:szCs w:val="28"/>
                <w:highlight w:val="none"/>
              </w:rPr>
              <w:t>月</w:t>
            </w:r>
          </w:p>
        </w:tc>
      </w:tr>
    </w:tbl>
    <w:p>
      <w:pPr>
        <w:pStyle w:val="636"/>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2" w:name="_Hlt91233176"/>
      <w:bookmarkEnd w:id="2"/>
      <w:bookmarkStart w:id="3" w:name="_Toc91899869"/>
      <w:r>
        <w:rPr>
          <w:rFonts w:hint="eastAsia" w:ascii="仿宋" w:hAnsi="仿宋" w:eastAsia="仿宋" w:cs="仿宋"/>
          <w:b/>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3"/>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07423"/>
      <w:bookmarkEnd w:id="4"/>
      <w:bookmarkStart w:id="5" w:name="_Hlt74649545"/>
      <w:bookmarkEnd w:id="5"/>
      <w:bookmarkStart w:id="6" w:name="_Hlt74729822"/>
      <w:bookmarkEnd w:id="6"/>
      <w:bookmarkStart w:id="7" w:name="_Hlt74728647"/>
      <w:bookmarkEnd w:id="7"/>
      <w:bookmarkStart w:id="8" w:name="_Toc91899870"/>
      <w:bookmarkStart w:id="9" w:name="第二部分"/>
      <w:bookmarkStart w:id="10"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bookmarkStart w:id="74" w:name="_GoBack"/>
      <w:bookmarkEnd w:id="74"/>
      <w:r>
        <w:rPr>
          <w:rFonts w:hint="eastAsia" w:ascii="仿宋" w:hAnsi="仿宋" w:eastAsia="仿宋" w:cs="仿宋"/>
          <w:color w:val="auto"/>
          <w:sz w:val="24"/>
          <w:highlight w:val="none"/>
          <w:u w:val="single"/>
          <w:lang w:val="en-US" w:eastAsia="zh-CN"/>
        </w:rPr>
        <w:t>绍兴市口腔医院智能审方系统采购项目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 </w:t>
      </w:r>
      <w:r>
        <w:rPr>
          <w:rFonts w:hint="eastAsia" w:ascii="宋体" w:hAnsi="宋体" w:cs="宋体"/>
          <w:sz w:val="24"/>
          <w:szCs w:val="24"/>
          <w:highlight w:val="none"/>
          <w:lang w:eastAsia="zh-CN"/>
        </w:rPr>
        <w:t>SXHY-2024CG-0802</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 xml:space="preserve"> 绍兴市口腔医院智能审方系统采购项目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450000.00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450000.00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 xml:space="preserve"> 绍兴市口腔医院</w:t>
      </w:r>
      <w:bookmarkStart w:id="11" w:name="OLE_LINK11"/>
      <w:r>
        <w:rPr>
          <w:rFonts w:hint="eastAsia" w:ascii="仿宋" w:hAnsi="仿宋" w:eastAsia="仿宋" w:cs="仿宋"/>
          <w:b w:val="0"/>
          <w:bCs/>
          <w:color w:val="auto"/>
          <w:sz w:val="24"/>
          <w:highlight w:val="none"/>
          <w:lang w:eastAsia="zh-CN"/>
        </w:rPr>
        <w:t>智能审方系统</w:t>
      </w:r>
      <w:bookmarkEnd w:id="11"/>
      <w:r>
        <w:rPr>
          <w:rFonts w:hint="eastAsia" w:ascii="仿宋" w:hAnsi="仿宋" w:eastAsia="仿宋" w:cs="仿宋"/>
          <w:b w:val="0"/>
          <w:bCs/>
          <w:color w:val="auto"/>
          <w:sz w:val="24"/>
          <w:highlight w:val="none"/>
          <w:lang w:eastAsia="zh-CN"/>
        </w:rPr>
        <w:t>采购项目</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预算金额：450000.00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lang w:eastAsia="zh-CN"/>
        </w:rPr>
        <w:t>智能审方系统</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lang w:val="en-US" w:eastAsia="zh-CN"/>
        </w:rPr>
        <w:t>标项1，</w:t>
      </w:r>
      <w:r>
        <w:rPr>
          <w:rFonts w:hint="eastAsia" w:ascii="仿宋" w:hAnsi="仿宋" w:eastAsia="仿宋" w:cs="仿宋"/>
          <w:b w:val="0"/>
          <w:bCs/>
          <w:color w:val="auto"/>
          <w:sz w:val="24"/>
          <w:highlight w:val="none"/>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highlight w:val="none"/>
              <w:lang w:eastAsia="zh-CN"/>
            </w:rPr>
            <w:t>□</w:t>
          </w:r>
        </w:sdtContent>
      </w:sdt>
      <w:r>
        <w:rPr>
          <w:rFonts w:hint="eastAsia" w:ascii="仿宋" w:hAnsi="仿宋" w:eastAsia="仿宋" w:cs="仿宋"/>
          <w:b/>
          <w:color w:val="auto"/>
          <w:sz w:val="24"/>
          <w:highlight w:val="none"/>
        </w:rPr>
        <w:t>是，</w:t>
      </w: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highlight w:val="none"/>
              <w:lang w:eastAsia="zh-CN"/>
            </w:rPr>
            <w:t>☑</w:t>
          </w:r>
        </w:sdtContent>
      </w:sdt>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_GB2312" w:hAnsi="仿宋" w:eastAsia="仿宋_GB2312" w:cs="Arial"/>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sz w:val="24"/>
              <w:szCs w:val="24"/>
              <w:highlight w:val="none"/>
              <w:lang w:eastAsia="zh-CN"/>
            </w:rPr>
            <w:t>□</w:t>
          </w:r>
        </w:sdtContent>
      </w:sdt>
      <w:r>
        <w:rPr>
          <w:rFonts w:hint="eastAsia" w:ascii="仿宋" w:hAnsi="仿宋" w:eastAsia="仿宋" w:cs="仿宋"/>
          <w:color w:val="auto"/>
          <w:sz w:val="24"/>
          <w:highlight w:val="none"/>
        </w:rPr>
        <w:t>无；</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sz w:val="24"/>
          <w:szCs w:val="24"/>
          <w:highlight w:val="none"/>
          <w:lang w:eastAsia="zh-CN"/>
        </w:rPr>
        <w:t>☑</w:t>
      </w:r>
      <w:bookmarkStart w:id="12" w:name="OLE_LINK5"/>
      <w:r>
        <w:rPr>
          <w:rFonts w:hint="eastAsia" w:ascii="仿宋" w:hAnsi="仿宋" w:eastAsia="仿宋" w:cs="仿宋"/>
          <w:color w:val="auto"/>
          <w:sz w:val="24"/>
          <w:highlight w:val="none"/>
        </w:rPr>
        <w:t>货物全部由符合政策要求的中小企业制造，提供中小企业声明函；</w:t>
      </w:r>
      <w:bookmarkEnd w:id="12"/>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3"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3"/>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无；</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bookmarkStart w:id="14" w:name="OLE_LINK12"/>
      <w:r>
        <w:rPr>
          <w:rFonts w:hint="eastAsia" w:ascii="仿宋" w:hAnsi="仿宋" w:eastAsia="仿宋" w:cs="仿宋"/>
          <w:color w:val="auto"/>
          <w:sz w:val="24"/>
          <w:highlight w:val="none"/>
        </w:rPr>
        <w:t>政采云平台（https://www.zcygov.cn/）</w:t>
      </w:r>
      <w:bookmarkEnd w:id="14"/>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5" w:name="_Toc28359019"/>
      <w:bookmarkStart w:id="16" w:name="_Toc28359096"/>
      <w:bookmarkStart w:id="17" w:name="_Toc35393637"/>
      <w:bookmarkStart w:id="18" w:name="_Toc35393806"/>
      <w:r>
        <w:rPr>
          <w:rFonts w:hint="eastAsia" w:ascii="仿宋" w:hAnsi="仿宋" w:eastAsia="仿宋" w:cs="仿宋"/>
          <w:color w:val="auto"/>
          <w:sz w:val="24"/>
          <w:szCs w:val="24"/>
          <w:highlight w:val="none"/>
        </w:rPr>
        <w:t>1.采购人信息</w:t>
      </w:r>
      <w:bookmarkEnd w:id="15"/>
      <w:bookmarkEnd w:id="16"/>
      <w:bookmarkEnd w:id="17"/>
      <w:bookmarkEnd w:id="1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19" w:name="OLE_LINK7"/>
      <w:r>
        <w:rPr>
          <w:rFonts w:hint="eastAsia" w:ascii="仿宋" w:hAnsi="仿宋" w:eastAsia="仿宋" w:cs="仿宋"/>
          <w:color w:val="auto"/>
          <w:sz w:val="24"/>
          <w:highlight w:val="none"/>
          <w:lang w:val="en-US" w:eastAsia="zh-CN"/>
        </w:rPr>
        <w:t>绍兴市越城区延安东路399号</w:t>
      </w:r>
      <w:bookmarkEnd w:id="19"/>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单浩涵</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：0575-88551156</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王佳南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0575-88551156</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20" w:name="_Toc28359097"/>
      <w:bookmarkStart w:id="21" w:name="_Toc28359020"/>
      <w:bookmarkStart w:id="22" w:name="_Toc35393807"/>
      <w:bookmarkStart w:id="23" w:name="_Toc35393638"/>
      <w:r>
        <w:rPr>
          <w:rFonts w:hint="eastAsia" w:ascii="仿宋" w:hAnsi="仿宋" w:eastAsia="仿宋" w:cs="仿宋"/>
          <w:color w:val="auto"/>
          <w:sz w:val="24"/>
          <w:szCs w:val="24"/>
          <w:highlight w:val="none"/>
        </w:rPr>
        <w:t>2.采购代理机构信息</w:t>
      </w:r>
      <w:bookmarkEnd w:id="20"/>
      <w:bookmarkEnd w:id="21"/>
      <w:bookmarkEnd w:id="22"/>
      <w:bookmarkEnd w:id="23"/>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绍兴衡业工程管理咨询有限公司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4" w:name="OLE_LINK15"/>
      <w:r>
        <w:rPr>
          <w:rFonts w:hint="eastAsia" w:ascii="仿宋" w:hAnsi="仿宋" w:eastAsia="仿宋" w:cs="仿宋"/>
          <w:color w:val="auto"/>
          <w:sz w:val="24"/>
          <w:highlight w:val="none"/>
          <w:lang w:val="en-US" w:eastAsia="zh-CN"/>
        </w:rPr>
        <w:t>绍兴市越城区凤林文创园2号楼南面2楼</w:t>
      </w:r>
      <w:bookmarkEnd w:id="24"/>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bookmarkStart w:id="25" w:name="OLE_LINK8"/>
      <w:r>
        <w:rPr>
          <w:rFonts w:hint="eastAsia" w:ascii="仿宋" w:hAnsi="仿宋" w:eastAsia="仿宋" w:cs="仿宋"/>
          <w:color w:val="auto"/>
          <w:sz w:val="24"/>
          <w:highlight w:val="none"/>
          <w:lang w:val="en-US" w:eastAsia="zh-CN"/>
        </w:rPr>
        <w:t>许静丽、沈潮颖</w:t>
      </w:r>
      <w:bookmarkEnd w:id="25"/>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15068509660</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孟琴波</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bookmarkStart w:id="26" w:name="OLE_LINK9"/>
      <w:r>
        <w:rPr>
          <w:rFonts w:hint="eastAsia" w:ascii="仿宋" w:hAnsi="仿宋" w:eastAsia="仿宋" w:cs="仿宋"/>
          <w:color w:val="auto"/>
          <w:sz w:val="24"/>
          <w:highlight w:val="none"/>
          <w:lang w:val="en-US" w:eastAsia="zh-CN"/>
        </w:rPr>
        <w:t>15988282224</w:t>
      </w:r>
      <w:bookmarkEnd w:id="26"/>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27" w:name="_Toc28359021"/>
      <w:bookmarkStart w:id="28" w:name="_Toc28359098"/>
      <w:bookmarkStart w:id="29" w:name="_Toc35393639"/>
      <w:bookmarkStart w:id="30"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27"/>
    <w:bookmarkEnd w:id="28"/>
    <w:bookmarkEnd w:id="29"/>
    <w:bookmarkEnd w:id="30"/>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 xml:space="preserve">9697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8"/>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w:t>
            </w:r>
            <w:r>
              <w:rPr>
                <w:rFonts w:hint="eastAsia" w:ascii="仿宋" w:hAnsi="仿宋" w:eastAsia="仿宋" w:cs="仿宋"/>
                <w:sz w:val="24"/>
                <w:highlight w:val="none"/>
                <w:lang w:val="en-US" w:eastAsia="zh-CN"/>
              </w:rPr>
              <w:t>若投标人</w:t>
            </w:r>
            <w:r>
              <w:rPr>
                <w:rFonts w:hint="eastAsia" w:ascii="仿宋" w:hAnsi="仿宋" w:eastAsia="仿宋" w:cs="仿宋"/>
                <w:sz w:val="24"/>
                <w:highlight w:val="none"/>
              </w:rPr>
              <w:t>在评标时</w:t>
            </w:r>
            <w:r>
              <w:rPr>
                <w:rFonts w:hint="eastAsia" w:ascii="仿宋" w:hAnsi="仿宋" w:eastAsia="仿宋" w:cs="仿宋"/>
                <w:sz w:val="24"/>
                <w:highlight w:val="none"/>
                <w:lang w:val="en-US" w:eastAsia="zh-CN"/>
              </w:rPr>
              <w:t>有需求</w:t>
            </w:r>
            <w:r>
              <w:rPr>
                <w:rFonts w:hint="eastAsia" w:ascii="仿宋" w:hAnsi="仿宋" w:eastAsia="仿宋" w:cs="仿宋"/>
                <w:sz w:val="24"/>
                <w:highlight w:val="none"/>
              </w:rPr>
              <w:t>进行现场</w:t>
            </w:r>
            <w:r>
              <w:rPr>
                <w:rFonts w:hint="eastAsia" w:ascii="仿宋" w:hAnsi="仿宋" w:eastAsia="仿宋" w:cs="仿宋"/>
                <w:sz w:val="24"/>
                <w:highlight w:val="none"/>
                <w:lang w:val="en-US" w:eastAsia="zh-CN"/>
              </w:rPr>
              <w:t>讲解方案</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可</w:t>
            </w:r>
            <w:r>
              <w:rPr>
                <w:rFonts w:hint="eastAsia" w:ascii="仿宋" w:hAnsi="仿宋" w:eastAsia="仿宋" w:cs="仿宋"/>
                <w:sz w:val="24"/>
                <w:highlight w:val="none"/>
              </w:rPr>
              <w:t>以PPT</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动画或直接口述</w:t>
            </w:r>
            <w:r>
              <w:rPr>
                <w:rFonts w:hint="eastAsia" w:ascii="仿宋" w:hAnsi="仿宋" w:eastAsia="仿宋" w:cs="仿宋"/>
                <w:sz w:val="24"/>
                <w:highlight w:val="none"/>
              </w:rPr>
              <w:t>等</w:t>
            </w:r>
            <w:r>
              <w:rPr>
                <w:rFonts w:hint="eastAsia" w:ascii="仿宋" w:hAnsi="仿宋" w:eastAsia="仿宋" w:cs="仿宋"/>
                <w:sz w:val="24"/>
                <w:highlight w:val="none"/>
                <w:lang w:val="en-US" w:eastAsia="zh-CN"/>
              </w:rPr>
              <w:t>形式讲解</w:t>
            </w:r>
            <w:r>
              <w:rPr>
                <w:rFonts w:hint="eastAsia" w:ascii="仿宋" w:hAnsi="仿宋" w:eastAsia="仿宋" w:cs="仿宋"/>
                <w:sz w:val="24"/>
                <w:highlight w:val="none"/>
              </w:rPr>
              <w:t>。</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zh-CN"/>
              </w:rPr>
              <w:t>方式二：</w:t>
            </w:r>
            <w:r>
              <w:rPr>
                <w:rFonts w:hint="eastAsia" w:ascii="仿宋" w:hAnsi="仿宋" w:eastAsia="仿宋" w:cs="仿宋"/>
                <w:sz w:val="24"/>
                <w:szCs w:val="24"/>
                <w:highlight w:val="none"/>
                <w:lang w:val="en-US" w:eastAsia="zh-CN"/>
              </w:rPr>
              <w:t>视频</w:t>
            </w:r>
            <w:r>
              <w:rPr>
                <w:rFonts w:hint="eastAsia" w:ascii="仿宋" w:hAnsi="仿宋" w:eastAsia="仿宋" w:cs="仿宋"/>
                <w:sz w:val="24"/>
                <w:szCs w:val="24"/>
                <w:highlight w:val="none"/>
                <w:lang w:val="zh-CN"/>
              </w:rPr>
              <w:t>讲解演示。</w:t>
            </w:r>
            <w:bookmarkStart w:id="31" w:name="OLE_LINK2"/>
            <w:r>
              <w:rPr>
                <w:rFonts w:hint="eastAsia" w:ascii="仿宋" w:hAnsi="仿宋" w:eastAsia="仿宋" w:cs="仿宋"/>
                <w:sz w:val="24"/>
                <w:szCs w:val="24"/>
                <w:highlight w:val="none"/>
                <w:lang w:val="en-US" w:eastAsia="zh-CN"/>
              </w:rPr>
              <w:t>将</w:t>
            </w:r>
            <w:r>
              <w:rPr>
                <w:rFonts w:hint="eastAsia" w:ascii="仿宋" w:hAnsi="仿宋" w:eastAsia="仿宋" w:cs="仿宋"/>
                <w:color w:val="auto"/>
                <w:sz w:val="24"/>
                <w:lang w:eastAsia="zh-Hans"/>
              </w:rPr>
              <w:t>演示录制成视频</w:t>
            </w:r>
            <w:r>
              <w:rPr>
                <w:rFonts w:hint="eastAsia" w:ascii="仿宋" w:hAnsi="仿宋" w:eastAsia="仿宋" w:cs="仿宋"/>
                <w:color w:val="auto"/>
                <w:sz w:val="24"/>
                <w:lang w:val="en-US" w:eastAsia="zh-CN"/>
              </w:rPr>
              <w:t>刻录至U盘并密封封装，在开标截止时间前以</w:t>
            </w:r>
            <w:r>
              <w:rPr>
                <w:rFonts w:hint="eastAsia" w:ascii="仿宋" w:hAnsi="仿宋" w:eastAsia="仿宋" w:cs="仿宋"/>
                <w:sz w:val="24"/>
                <w:lang w:val="en-US" w:eastAsia="zh-CN"/>
              </w:rPr>
              <w:t>邮寄快递方式（建议采用顺丰快递）</w:t>
            </w:r>
            <w:r>
              <w:rPr>
                <w:rFonts w:hint="eastAsia" w:ascii="仿宋" w:hAnsi="仿宋" w:eastAsia="仿宋" w:cs="仿宋"/>
                <w:color w:val="auto"/>
                <w:sz w:val="24"/>
                <w:lang w:val="en-US" w:eastAsia="zh-CN"/>
              </w:rPr>
              <w:t>邮寄至</w:t>
            </w:r>
            <w:r>
              <w:rPr>
                <w:rFonts w:hint="eastAsia" w:ascii="仿宋" w:hAnsi="仿宋" w:eastAsia="仿宋" w:cs="仿宋"/>
                <w:color w:val="auto"/>
                <w:sz w:val="24"/>
                <w:u w:val="single"/>
                <w:lang w:val="en-US" w:eastAsia="zh-CN"/>
              </w:rPr>
              <w:t>绍兴市越城区凤林文创园2号楼2楼2704-1室</w:t>
            </w: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lang w:val="en-US" w:eastAsia="zh-CN"/>
              </w:rPr>
              <w:t>收件人：</w:t>
            </w:r>
            <w:r>
              <w:rPr>
                <w:rFonts w:hint="eastAsia" w:ascii="仿宋" w:hAnsi="仿宋" w:eastAsia="仿宋" w:cs="仿宋"/>
                <w:sz w:val="24"/>
                <w:szCs w:val="24"/>
                <w:highlight w:val="none"/>
                <w:u w:val="single"/>
                <w:lang w:val="en-US" w:eastAsia="zh-CN"/>
              </w:rPr>
              <w:t>许静丽</w:t>
            </w:r>
            <w:r>
              <w:rPr>
                <w:rFonts w:hint="eastAsia" w:ascii="仿宋" w:hAnsi="仿宋" w:eastAsia="仿宋" w:cs="仿宋"/>
                <w:sz w:val="24"/>
                <w:szCs w:val="24"/>
                <w:highlight w:val="none"/>
                <w:lang w:val="en-US" w:eastAsia="zh-CN"/>
              </w:rPr>
              <w:t>，收件电话：</w:t>
            </w:r>
            <w:r>
              <w:rPr>
                <w:rFonts w:hint="eastAsia" w:ascii="仿宋" w:hAnsi="仿宋" w:eastAsia="仿宋" w:cs="仿宋"/>
                <w:sz w:val="24"/>
                <w:szCs w:val="24"/>
                <w:highlight w:val="none"/>
                <w:u w:val="single"/>
                <w:lang w:val="en-US" w:eastAsia="zh-CN"/>
              </w:rPr>
              <w:t>15068509660</w:t>
            </w:r>
            <w:r>
              <w:rPr>
                <w:rFonts w:hint="eastAsia" w:ascii="仿宋" w:hAnsi="仿宋" w:eastAsia="仿宋" w:cs="仿宋"/>
                <w:sz w:val="24"/>
                <w:szCs w:val="24"/>
                <w:highlight w:val="none"/>
                <w:lang w:val="en-US" w:eastAsia="zh-CN"/>
              </w:rPr>
              <w:t>；讲解演示时间不超过10分钟</w:t>
            </w:r>
            <w:r>
              <w:rPr>
                <w:rFonts w:hint="eastAsia" w:ascii="仿宋" w:hAnsi="仿宋" w:eastAsia="仿宋" w:cs="仿宋"/>
                <w:sz w:val="24"/>
                <w:szCs w:val="24"/>
                <w:highlight w:val="none"/>
                <w:lang w:val="zh-CN"/>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w:t>
            </w:r>
            <w:r>
              <w:rPr>
                <w:rFonts w:hint="eastAsia" w:ascii="仿宋" w:hAnsi="仿宋" w:eastAsia="仿宋" w:cs="仿宋"/>
                <w:sz w:val="24"/>
                <w:szCs w:val="24"/>
                <w:highlight w:val="none"/>
                <w:lang w:val="en-US" w:eastAsia="zh-CN"/>
              </w:rPr>
              <w:t>或因U盘读取失败、无法打开等原因</w:t>
            </w:r>
            <w:r>
              <w:rPr>
                <w:rFonts w:hint="eastAsia" w:ascii="仿宋" w:hAnsi="仿宋" w:eastAsia="仿宋" w:cs="仿宋"/>
                <w:sz w:val="24"/>
                <w:szCs w:val="24"/>
                <w:highlight w:val="none"/>
                <w:lang w:val="zh-CN"/>
              </w:rPr>
              <w:t>导致无法演示或者演示效果不理想的，责任自负。</w:t>
            </w:r>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智能审方系统</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val="en-US" w:eastAsia="zh-CN"/>
              </w:rPr>
              <w:t>01标</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软件和信息技术服务业</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中标单位需支付以下费用，并在投标报价中自行考虑：</w:t>
            </w:r>
          </w:p>
          <w:p>
            <w:pPr>
              <w:keepNext w:val="0"/>
              <w:keepLines w:val="0"/>
              <w:kinsoku/>
              <w:wordWrap/>
              <w:overflowPunct/>
              <w:topLinePunct w:val="0"/>
              <w:bidi w:val="0"/>
              <w:spacing w:line="440" w:lineRule="exac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采购代理服务费：</w:t>
            </w:r>
            <w:bookmarkStart w:id="32" w:name="OLE_LINK3"/>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bookmarkStart w:id="33" w:name="OLE_LINK6"/>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按代理协议约定的内容，中标单位需支付以下费用，并在投标报价中自行考虑：根据项目的中标金额，采用差额定率累进法进行计算，具体费率标准如下：中标金额在100万元以下部分为1.5%；100-500万元部分为1.1%；500-1000万元部分为0.8%。</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最终采购代理服务费按上述标准计算后金额的50%收取，</w:t>
            </w:r>
            <w:r>
              <w:rPr>
                <w:rFonts w:hint="eastAsia" w:ascii="仿宋" w:hAnsi="仿宋" w:eastAsia="仿宋" w:cs="仿宋"/>
                <w:b/>
                <w:bCs/>
                <w:sz w:val="24"/>
              </w:rPr>
              <w:t>代理服务费低于2500元可按2500元收取，超过15000元按15000元计。</w:t>
            </w:r>
            <w:bookmarkEnd w:id="32"/>
          </w:p>
          <w:bookmarkEnd w:id="33"/>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开户行：中国民生银行股份有限公司绍兴越北小微企业专营</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  号：170399354</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highlight w:val="none"/>
        </w:rPr>
      </w:pPr>
    </w:p>
    <w:bookmarkEnd w:id="10"/>
    <w:p>
      <w:pPr>
        <w:rPr>
          <w:rFonts w:hint="eastAsia" w:ascii="仿宋" w:hAnsi="仿宋" w:eastAsia="仿宋" w:cs="仿宋"/>
          <w:b/>
          <w:sz w:val="32"/>
          <w:szCs w:val="32"/>
          <w:highlight w:val="none"/>
        </w:rPr>
      </w:pPr>
      <w:bookmarkStart w:id="34" w:name="_Hlt74729768"/>
      <w:bookmarkEnd w:id="34"/>
      <w:bookmarkStart w:id="35" w:name="_Hlt68073093"/>
      <w:bookmarkEnd w:id="35"/>
      <w:bookmarkStart w:id="36" w:name="_Hlt75236011"/>
      <w:bookmarkEnd w:id="36"/>
      <w:bookmarkStart w:id="37" w:name="_Hlt68057669"/>
      <w:bookmarkEnd w:id="37"/>
      <w:bookmarkStart w:id="38" w:name="_Hlt74730295"/>
      <w:bookmarkEnd w:id="38"/>
      <w:bookmarkStart w:id="39" w:name="_Hlt68403820"/>
      <w:bookmarkEnd w:id="39"/>
      <w:bookmarkStart w:id="40" w:name="_Hlt68072998"/>
      <w:bookmarkEnd w:id="40"/>
      <w:bookmarkStart w:id="41" w:name="_Hlt74714665"/>
      <w:bookmarkEnd w:id="41"/>
      <w:bookmarkStart w:id="42" w:name="_Hlt75236101"/>
      <w:bookmarkEnd w:id="42"/>
      <w:bookmarkStart w:id="43" w:name="_Hlt74707468"/>
      <w:bookmarkEnd w:id="43"/>
      <w:bookmarkStart w:id="44" w:name="_Hlt68072990"/>
      <w:bookmarkEnd w:id="44"/>
      <w:bookmarkStart w:id="45" w:name="_Hlt75236290"/>
      <w:bookmarkEnd w:id="45"/>
      <w:bookmarkStart w:id="46" w:name="_Toc164416483"/>
      <w:bookmarkStart w:id="47" w:name="第三部分"/>
      <w:r>
        <w:rPr>
          <w:rFonts w:hint="eastAsia" w:ascii="仿宋" w:hAnsi="仿宋" w:eastAsia="仿宋" w:cs="仿宋"/>
          <w:b/>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3.4支持科技创新创新发展</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平等对待内外资企业和符合条件的破产重整企业，切实保障企业公平竞争，平等维护企业的合法利益。</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hint="eastAsia"/>
          <w:highlight w:val="none"/>
        </w:rPr>
      </w:pPr>
    </w:p>
    <w:p>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1"/>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48"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48"/>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49" w:name="_Toc81372776"/>
      <w:bookmarkStart w:id="50" w:name="_Toc84325929"/>
      <w:bookmarkStart w:id="51" w:name="_Toc81372953"/>
      <w:r>
        <w:rPr>
          <w:rFonts w:hint="eastAsia" w:ascii="仿宋" w:hAnsi="仿宋" w:eastAsia="仿宋" w:cs="仿宋"/>
          <w:b/>
          <w:sz w:val="32"/>
          <w:szCs w:val="32"/>
          <w:highlight w:val="none"/>
        </w:rPr>
        <w:t>五、授予合同</w:t>
      </w:r>
    </w:p>
    <w:bookmarkEnd w:id="49"/>
    <w:bookmarkEnd w:id="50"/>
    <w:bookmarkEnd w:id="51"/>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46"/>
    <w:bookmarkEnd w:id="47"/>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52" w:name="第五部分"/>
      <w:bookmarkStart w:id="53" w:name="_Toc86217003"/>
      <w:r>
        <w:rPr>
          <w:rFonts w:hint="eastAsia" w:ascii="仿宋" w:hAnsi="仿宋" w:eastAsia="仿宋" w:cs="仿宋"/>
          <w:b/>
          <w:sz w:val="36"/>
          <w:szCs w:val="36"/>
          <w:highlight w:val="none"/>
        </w:rPr>
        <w:t>第三部分   招标项目范围及要求</w:t>
      </w:r>
    </w:p>
    <w:p>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sz w:val="24"/>
          <w:highlight w:val="none"/>
        </w:rPr>
      </w:pPr>
      <w:bookmarkStart w:id="54" w:name="_Toc151354173"/>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1.设备（材料）要求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1.1投标响应人投标提供的设备必须是厂商原装的、全新的，型号、性能及指标符合国家及招标文件提出的有关技术、质量、安全标准。</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1.2所有设备在开箱检验时必须完好，无破损，配置与装箱单相符。数量、质量及性能不低于本需求书中提出的要求。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1.3设备外观清洁，标记编号以及盘面显示等字体清晰，明确。铭牌、使用指示、警告指示应以中文或英文及易懂的通用符号来表示；应准确无误地表明设备之型号、规格、制造厂及生产或出厂日期。</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1.4对于影响设备正常工作的必要组成部分，无论在技术规范中指出与否，投标响应人都应提供并在投标响应文件中明确列出。</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1.5所有货物提供出厂合格证等质量证明文件，国外生产的必须有合法的进货渠道证明，如海关报关单、原产地证明、商检证明等。</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1.6所有货物到现场安装使用前，招标人将进行抽样检验或试验。</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2.数量调整</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招标人保留在签约时调整部分方案及定购设备数量和服务的权力，投标响应人应对系统方案中设备和服务明细报价，按投标单价不变的前提下进行调整，双方不得拒绝。</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如遇本次招标没有涉及的设备或服务时，由中标人提供申请，招标人确认后实施。</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3.安装及调试、验收</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中标人应派经招标人认可的有经验和能力、具有相应资质的技术人员，负责系统设备安装工作，在设备安装期间应充分了解设备安装进度要求，解决安装中出现的技术问题。</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3.1中标人负责设备的安装、调试。</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3.2调试所需专用工具设施物料由中标人自备、自费运到现场，完工后自费搬走。</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3.3安装完成后，进行调试、验收按国家有关规范标准（国家无验收规范标准的按双方合同规定的要求）进行。</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3.4设备的拆箱、通电、调试等各项工作由中标人负责，但必须在招标人指定人员的参与下进行。在实际实施前必须先经招标人同意方可进行。调试的原始记录须经各方签字后作为验收的文件之一。</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3.5所有的招标设备应按照国家有关技术标准在制造厂检查和试验合格，以表明其运行性能、安全性能以及设备材料和结构在电气、机械上的完整性。</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4.技术培训</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4.1中标人须对招标人的技术人员培训。投标响应人须在投标响应文件中提供详细的培训计划，包括培训内容、培训时间、培训费用等。</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4.2中标人提供的负责培训的人员应具备同类设备五年以上的经验。</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4.3技术培训费用应包含在投标总价中。    </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4.4技术培训至少应包括下列内容：</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4.4.1原理、构成和功能的描述。</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4.4.2常见故障的处理或排除。</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4.4.3各系统部件（设备）的检查、调整和维护。</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4.4.4对使用者关于设备基本操作技能的培训。</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5.售后服务</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5.1投标响应人须提供经调试、试运行、验收合格后至少3年的质保期(投标响应人可根据自身实力作出更长时间的质保承诺)。在此期间，投标响应人应免费处理因质量发生的故障，并进行正常保养。</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6. 服务要求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6.1设备包修期内（各标项内已有要求的除外），如出现故障，中标人在接到电话6小时内到达采购人指定地点，</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 中标人提供的设备，必须符合招标文件及其投标响应文件规定的要求，如有不符，采购人可以无条件退货，造成的损失由中标人承担。</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7. 项目实施人员费用</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中标人应自行承担选派专业人员的住宿、就餐和交通等费用。</w:t>
      </w:r>
    </w:p>
    <w:p>
      <w:pPr>
        <w:adjustRightInd w:val="0"/>
        <w:spacing w:line="336" w:lineRule="auto"/>
        <w:jc w:val="both"/>
        <w:rPr>
          <w:rFonts w:hint="default"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8.招标项目设备（或服务）名称及数量：</w:t>
      </w:r>
    </w:p>
    <w:bookmarkEnd w:id="54"/>
    <w:p>
      <w:pPr>
        <w:spacing w:line="440" w:lineRule="exact"/>
        <w:rPr>
          <w:rFonts w:ascii="宋体" w:hAnsi="宋体"/>
          <w:b/>
          <w:sz w:val="24"/>
          <w:highlight w:val="none"/>
        </w:rPr>
      </w:pPr>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绍兴市口腔医院智能审方系统采购项目</w:t>
      </w:r>
      <w:r>
        <w:rPr>
          <w:rFonts w:hint="eastAsia" w:ascii="仿宋" w:hAnsi="仿宋" w:eastAsia="仿宋" w:cs="Arial"/>
          <w:b/>
          <w:bCs/>
          <w:color w:val="000000" w:themeColor="text1"/>
          <w:sz w:val="24"/>
          <w:highlight w:val="none"/>
          <w14:textFill>
            <w14:solidFill>
              <w14:schemeClr w14:val="tx1"/>
            </w14:solidFill>
          </w14:textFill>
        </w:rPr>
        <w:t xml:space="preserve"> </w:t>
      </w:r>
      <w:r>
        <w:rPr>
          <w:rFonts w:hint="eastAsia" w:ascii="仿宋" w:hAnsi="仿宋" w:eastAsia="仿宋" w:cs="Arial"/>
          <w:b/>
          <w:bCs/>
          <w:color w:val="000000" w:themeColor="text1"/>
          <w:sz w:val="24"/>
          <w:highlight w:val="none"/>
          <w:lang w:val="en-US" w:eastAsia="zh-CN"/>
          <w14:textFill>
            <w14:solidFill>
              <w14:schemeClr w14:val="tx1"/>
            </w14:solidFill>
          </w14:textFill>
        </w:rPr>
        <w:t>上限</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450000.00</w:t>
      </w:r>
      <w:r>
        <w:rPr>
          <w:rFonts w:hint="eastAsia" w:ascii="仿宋" w:hAnsi="仿宋" w:eastAsia="仿宋" w:cs="Arial"/>
          <w:b/>
          <w:bCs/>
          <w:color w:val="000000" w:themeColor="text1"/>
          <w:sz w:val="24"/>
          <w:highlight w:val="none"/>
          <w14:textFill>
            <w14:solidFill>
              <w14:schemeClr w14:val="tx1"/>
            </w14:solidFill>
          </w14:textFill>
        </w:rPr>
        <w:t>元</w:t>
      </w:r>
    </w:p>
    <w:p>
      <w:pPr>
        <w:pStyle w:val="2"/>
        <w:spacing w:line="360" w:lineRule="auto"/>
        <w:ind w:firstLine="0" w:firstLineChars="0"/>
        <w:rPr>
          <w:rFonts w:hint="eastAsia" w:ascii="仿宋" w:hAnsi="仿宋" w:eastAsia="仿宋" w:cs="仿宋"/>
          <w:b/>
          <w:sz w:val="24"/>
        </w:rPr>
      </w:pPr>
    </w:p>
    <w:p>
      <w:pPr>
        <w:keepNext w:val="0"/>
        <w:keepLines w:val="0"/>
        <w:pageBreakBefore w:val="0"/>
        <w:kinsoku/>
        <w:wordWrap/>
        <w:overflowPunct/>
        <w:topLinePunct w:val="0"/>
        <w:bidi w:val="0"/>
        <w:adjustRightInd w:val="0"/>
        <w:spacing w:line="24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一、采购内容一览表</w:t>
      </w:r>
    </w:p>
    <w:tbl>
      <w:tblPr>
        <w:tblStyle w:val="62"/>
        <w:tblW w:w="4965" w:type="pct"/>
        <w:tblInd w:w="55"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70"/>
        <w:gridCol w:w="2471"/>
        <w:gridCol w:w="826"/>
        <w:gridCol w:w="2471"/>
        <w:gridCol w:w="192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455"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序号</w:t>
            </w:r>
          </w:p>
        </w:tc>
        <w:tc>
          <w:tcPr>
            <w:tcW w:w="1459"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采购内容</w:t>
            </w:r>
          </w:p>
        </w:tc>
        <w:tc>
          <w:tcPr>
            <w:tcW w:w="488"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数量</w:t>
            </w:r>
          </w:p>
        </w:tc>
        <w:tc>
          <w:tcPr>
            <w:tcW w:w="1459"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工期</w:t>
            </w:r>
          </w:p>
        </w:tc>
        <w:tc>
          <w:tcPr>
            <w:tcW w:w="1136"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目的地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455"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w:t>
            </w:r>
          </w:p>
        </w:tc>
        <w:tc>
          <w:tcPr>
            <w:tcW w:w="1459"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firstLine="480" w:firstLineChars="20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智能审方系统</w:t>
            </w:r>
          </w:p>
        </w:tc>
        <w:tc>
          <w:tcPr>
            <w:tcW w:w="488"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center"/>
              <w:rPr>
                <w:rFonts w:hint="eastAsia" w:ascii="仿宋" w:hAnsi="仿宋" w:eastAsia="仿宋" w:cs="仿宋"/>
                <w:color w:val="auto"/>
                <w:sz w:val="24"/>
                <w:szCs w:val="24"/>
                <w:highlight w:val="none"/>
                <w:lang w:val="en-GB"/>
              </w:rPr>
            </w:pPr>
            <w:r>
              <w:rPr>
                <w:rFonts w:hint="eastAsia" w:ascii="仿宋" w:hAnsi="仿宋" w:eastAsia="仿宋" w:cs="仿宋"/>
                <w:color w:val="auto"/>
                <w:sz w:val="24"/>
                <w:szCs w:val="24"/>
                <w:highlight w:val="none"/>
                <w:lang w:val="en-GB"/>
              </w:rPr>
              <w:t>1套</w:t>
            </w:r>
          </w:p>
        </w:tc>
        <w:tc>
          <w:tcPr>
            <w:tcW w:w="1459"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合同签订后</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个月</w:t>
            </w:r>
          </w:p>
        </w:tc>
        <w:tc>
          <w:tcPr>
            <w:tcW w:w="1136" w:type="pct"/>
            <w:noWrap w:val="0"/>
            <w:vAlign w:val="center"/>
          </w:tcPr>
          <w:p>
            <w:pPr>
              <w:keepNext w:val="0"/>
              <w:keepLines w:val="0"/>
              <w:pageBreakBefore w:val="0"/>
              <w:suppressLineNumbers w:val="0"/>
              <w:kinsoku/>
              <w:wordWrap/>
              <w:overflowPunct/>
              <w:topLinePunct w:val="0"/>
              <w:bidi w:val="0"/>
              <w:adjustRightInd w:val="0"/>
              <w:spacing w:before="0" w:beforeAutospacing="0" w:after="0" w:afterAutospacing="0" w:line="240" w:lineRule="auto"/>
              <w:ind w:left="0" w:right="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绍兴市</w:t>
            </w:r>
            <w:r>
              <w:rPr>
                <w:rFonts w:hint="eastAsia" w:ascii="仿宋" w:hAnsi="仿宋" w:eastAsia="仿宋" w:cs="仿宋"/>
                <w:color w:val="auto"/>
                <w:sz w:val="24"/>
                <w:szCs w:val="24"/>
                <w:highlight w:val="none"/>
                <w:lang w:eastAsia="zh-CN"/>
              </w:rPr>
              <w:t>口腔</w:t>
            </w:r>
            <w:r>
              <w:rPr>
                <w:rFonts w:hint="eastAsia" w:ascii="仿宋" w:hAnsi="仿宋" w:eastAsia="仿宋" w:cs="仿宋"/>
                <w:color w:val="auto"/>
                <w:sz w:val="24"/>
                <w:szCs w:val="24"/>
                <w:highlight w:val="none"/>
                <w:lang w:val="en-US" w:eastAsia="zh-CN"/>
              </w:rPr>
              <w:t>医院</w:t>
            </w:r>
          </w:p>
        </w:tc>
      </w:tr>
    </w:tbl>
    <w:p>
      <w:pPr>
        <w:keepNext w:val="0"/>
        <w:keepLines w:val="0"/>
        <w:pageBreakBefore w:val="0"/>
        <w:numPr>
          <w:ilvl w:val="0"/>
          <w:numId w:val="0"/>
        </w:numPr>
        <w:kinsoku/>
        <w:wordWrap/>
        <w:overflowPunct/>
        <w:topLinePunct w:val="0"/>
        <w:bidi w:val="0"/>
        <w:adjustRightInd w:val="0"/>
        <w:spacing w:line="336"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二、</w:t>
      </w:r>
      <w:r>
        <w:rPr>
          <w:rFonts w:hint="eastAsia" w:ascii="仿宋" w:hAnsi="仿宋" w:eastAsia="仿宋" w:cs="仿宋"/>
          <w:b/>
          <w:bCs/>
          <w:color w:val="auto"/>
          <w:sz w:val="24"/>
          <w:szCs w:val="24"/>
          <w:highlight w:val="none"/>
        </w:rPr>
        <w:t>招标技术要求</w:t>
      </w:r>
    </w:p>
    <w:p>
      <w:pPr>
        <w:keepNext w:val="0"/>
        <w:keepLines w:val="0"/>
        <w:pageBreakBefore w:val="0"/>
        <w:numPr>
          <w:ilvl w:val="0"/>
          <w:numId w:val="0"/>
        </w:numPr>
        <w:tabs>
          <w:tab w:val="left" w:pos="540"/>
        </w:tabs>
        <w:kinsoku/>
        <w:wordWrap/>
        <w:overflowPunct/>
        <w:topLinePunct w:val="0"/>
        <w:autoSpaceDE w:val="0"/>
        <w:autoSpaceDN w:val="0"/>
        <w:bidi w:val="0"/>
        <w:adjustRightInd w:val="0"/>
        <w:snapToGrid w:val="0"/>
        <w:spacing w:line="336" w:lineRule="auto"/>
        <w:jc w:val="left"/>
        <w:textAlignment w:val="baseline"/>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1、</w:t>
      </w:r>
      <w:r>
        <w:rPr>
          <w:rFonts w:hint="eastAsia" w:ascii="仿宋" w:hAnsi="仿宋" w:eastAsia="仿宋" w:cs="仿宋"/>
          <w:b/>
          <w:bCs/>
          <w:color w:val="auto"/>
          <w:sz w:val="24"/>
          <w:szCs w:val="24"/>
          <w:highlight w:val="none"/>
        </w:rPr>
        <w:t>总体技术要求</w:t>
      </w:r>
    </w:p>
    <w:p>
      <w:pPr>
        <w:keepNext w:val="0"/>
        <w:keepLines w:val="0"/>
        <w:pageBreakBefore w:val="0"/>
        <w:numPr>
          <w:ilvl w:val="0"/>
          <w:numId w:val="0"/>
        </w:numPr>
        <w:shd w:val="clear" w:color="auto" w:fill="FFFFFF"/>
        <w:kinsoku/>
        <w:wordWrap/>
        <w:overflowPunct/>
        <w:topLinePunct w:val="0"/>
        <w:bidi w:val="0"/>
        <w:adjustRightInd w:val="0"/>
        <w:spacing w:before="0" w:after="0"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1.1</w:t>
      </w:r>
      <w:r>
        <w:rPr>
          <w:rFonts w:hint="eastAsia" w:ascii="仿宋" w:hAnsi="仿宋" w:eastAsia="仿宋" w:cs="仿宋"/>
          <w:color w:val="auto"/>
          <w:kern w:val="0"/>
          <w:sz w:val="24"/>
          <w:szCs w:val="24"/>
          <w:highlight w:val="none"/>
        </w:rPr>
        <w:t>系统设计科学、合理，系统使用方便。</w:t>
      </w:r>
    </w:p>
    <w:p>
      <w:pPr>
        <w:keepNext w:val="0"/>
        <w:keepLines w:val="0"/>
        <w:pageBreakBefore w:val="0"/>
        <w:numPr>
          <w:ilvl w:val="0"/>
          <w:numId w:val="0"/>
        </w:numPr>
        <w:shd w:val="clear" w:color="auto" w:fill="FFFFFF"/>
        <w:kinsoku/>
        <w:wordWrap/>
        <w:overflowPunct/>
        <w:topLinePunct w:val="0"/>
        <w:bidi w:val="0"/>
        <w:adjustRightInd w:val="0"/>
        <w:spacing w:before="0" w:after="0"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投标人应提供覆盖全面的知识库。</w:t>
      </w:r>
    </w:p>
    <w:p>
      <w:pPr>
        <w:keepNext w:val="0"/>
        <w:keepLines w:val="0"/>
        <w:pageBreakBefore w:val="0"/>
        <w:numPr>
          <w:ilvl w:val="0"/>
          <w:numId w:val="0"/>
        </w:numPr>
        <w:shd w:val="clear" w:color="auto" w:fill="FFFFFF"/>
        <w:kinsoku/>
        <w:wordWrap/>
        <w:overflowPunct/>
        <w:topLinePunct w:val="0"/>
        <w:bidi w:val="0"/>
        <w:adjustRightInd w:val="0"/>
        <w:spacing w:before="0" w:after="0"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1.3</w:t>
      </w:r>
      <w:r>
        <w:rPr>
          <w:rFonts w:hint="eastAsia" w:ascii="仿宋" w:hAnsi="仿宋" w:eastAsia="仿宋" w:cs="仿宋"/>
          <w:color w:val="auto"/>
          <w:kern w:val="0"/>
          <w:sz w:val="24"/>
          <w:szCs w:val="24"/>
          <w:highlight w:val="none"/>
        </w:rPr>
        <w:t>西药/中成药：参照NMPA，排除原料药及其它，覆盖药品品种</w:t>
      </w:r>
      <w:r>
        <w:rPr>
          <w:rFonts w:hint="eastAsia" w:ascii="仿宋" w:hAnsi="仿宋" w:eastAsia="仿宋" w:cs="仿宋"/>
          <w:color w:val="000000"/>
          <w:kern w:val="0"/>
          <w:sz w:val="24"/>
          <w:szCs w:val="24"/>
          <w:highlight w:val="none"/>
          <w:lang w:val="en-US" w:eastAsia="zh-CN"/>
        </w:rPr>
        <w:t>满足医院实际需要</w:t>
      </w:r>
      <w:r>
        <w:rPr>
          <w:rFonts w:hint="eastAsia" w:ascii="仿宋" w:hAnsi="仿宋" w:eastAsia="仿宋" w:cs="仿宋"/>
          <w:color w:val="auto"/>
          <w:kern w:val="0"/>
          <w:sz w:val="24"/>
          <w:szCs w:val="24"/>
          <w:highlight w:val="none"/>
        </w:rPr>
        <w:t>；</w:t>
      </w:r>
    </w:p>
    <w:p>
      <w:pPr>
        <w:keepNext w:val="0"/>
        <w:keepLines w:val="0"/>
        <w:pageBreakBefore w:val="0"/>
        <w:numPr>
          <w:ilvl w:val="0"/>
          <w:numId w:val="0"/>
        </w:numPr>
        <w:shd w:val="clear" w:color="auto" w:fill="FFFFFF"/>
        <w:kinsoku/>
        <w:wordWrap/>
        <w:overflowPunct/>
        <w:topLinePunct w:val="0"/>
        <w:bidi w:val="0"/>
        <w:adjustRightInd w:val="0"/>
        <w:spacing w:before="0" w:after="0"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1.4</w:t>
      </w:r>
      <w:r>
        <w:rPr>
          <w:rFonts w:hint="eastAsia" w:ascii="仿宋" w:hAnsi="仿宋" w:eastAsia="仿宋" w:cs="仿宋"/>
          <w:color w:val="auto"/>
          <w:kern w:val="0"/>
          <w:sz w:val="24"/>
          <w:szCs w:val="24"/>
          <w:highlight w:val="none"/>
        </w:rPr>
        <w:t>投标人须承诺完全开放全部知识库（说明书、规则和文献，且不限于现有的药品），用户依据权限可以完全自主查看、新增、修改、删除和审核</w:t>
      </w:r>
    </w:p>
    <w:p>
      <w:pPr>
        <w:keepNext w:val="0"/>
        <w:keepLines w:val="0"/>
        <w:pageBreakBefore w:val="0"/>
        <w:numPr>
          <w:ilvl w:val="0"/>
          <w:numId w:val="0"/>
        </w:numPr>
        <w:shd w:val="clear" w:color="auto" w:fill="FFFFFF"/>
        <w:kinsoku/>
        <w:wordWrap/>
        <w:overflowPunct/>
        <w:topLinePunct w:val="0"/>
        <w:bidi w:val="0"/>
        <w:adjustRightInd w:val="0"/>
        <w:spacing w:before="0" w:after="0"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要求以B/S架构部署，软件系统以浏览器为统一操作界面。</w:t>
      </w:r>
    </w:p>
    <w:p>
      <w:pPr>
        <w:keepNext w:val="0"/>
        <w:keepLines w:val="0"/>
        <w:pageBreakBefore w:val="0"/>
        <w:numPr>
          <w:ilvl w:val="0"/>
          <w:numId w:val="0"/>
        </w:numPr>
        <w:shd w:val="clear" w:color="auto" w:fill="FFFFFF"/>
        <w:kinsoku/>
        <w:wordWrap/>
        <w:overflowPunct/>
        <w:topLinePunct w:val="0"/>
        <w:bidi w:val="0"/>
        <w:adjustRightInd w:val="0"/>
        <w:spacing w:before="0" w:after="0"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1.6</w:t>
      </w:r>
      <w:r>
        <w:rPr>
          <w:rFonts w:hint="eastAsia" w:ascii="仿宋" w:hAnsi="仿宋" w:eastAsia="仿宋" w:cs="仿宋"/>
          <w:color w:val="auto"/>
          <w:kern w:val="0"/>
          <w:sz w:val="24"/>
          <w:szCs w:val="24"/>
          <w:highlight w:val="none"/>
        </w:rPr>
        <w:t>系统和医院信息系统的对接，可通过多种接口方式进行，以达到实时干预、实时审方、实时分析的效果。</w:t>
      </w:r>
    </w:p>
    <w:p>
      <w:pPr>
        <w:keepNext w:val="0"/>
        <w:keepLines w:val="0"/>
        <w:pageBreakBefore w:val="0"/>
        <w:numPr>
          <w:ilvl w:val="0"/>
          <w:numId w:val="0"/>
        </w:numPr>
        <w:kinsoku/>
        <w:wordWrap/>
        <w:overflowPunct/>
        <w:topLinePunct w:val="0"/>
        <w:bidi w:val="0"/>
        <w:adjustRightInd w:val="0"/>
        <w:spacing w:before="0" w:after="0" w:line="336"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bidi="ar"/>
        </w:rPr>
        <w:t>1.7</w:t>
      </w:r>
      <w:r>
        <w:rPr>
          <w:rFonts w:hint="eastAsia" w:ascii="仿宋" w:hAnsi="仿宋" w:eastAsia="仿宋" w:cs="仿宋"/>
          <w:color w:val="auto"/>
          <w:sz w:val="24"/>
          <w:szCs w:val="24"/>
          <w:highlight w:val="none"/>
          <w:lang w:bidi="ar"/>
        </w:rPr>
        <w:t>部署系统所需的操作系统和数据库软件系统由投标人提供并安装，</w:t>
      </w:r>
      <w:r>
        <w:rPr>
          <w:rFonts w:hint="eastAsia" w:ascii="仿宋" w:hAnsi="仿宋" w:eastAsia="仿宋" w:cs="仿宋"/>
          <w:color w:val="auto"/>
          <w:sz w:val="24"/>
          <w:szCs w:val="24"/>
          <w:highlight w:val="none"/>
          <w:lang w:val="en-US" w:eastAsia="zh-CN" w:bidi="ar"/>
        </w:rPr>
        <w:t>该项目知识产权归采购人所有。</w:t>
      </w:r>
    </w:p>
    <w:p>
      <w:pPr>
        <w:pStyle w:val="60"/>
        <w:keepNext w:val="0"/>
        <w:keepLines w:val="0"/>
        <w:pageBreakBefore w:val="0"/>
        <w:kinsoku/>
        <w:wordWrap/>
        <w:overflowPunct/>
        <w:topLinePunct w:val="0"/>
        <w:bidi w:val="0"/>
        <w:adjustRightInd w:val="0"/>
        <w:spacing w:line="336"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1.8支持原系统自定义规则库迁移至新系统中。</w:t>
      </w:r>
    </w:p>
    <w:p>
      <w:pPr>
        <w:keepNext w:val="0"/>
        <w:keepLines w:val="0"/>
        <w:pageBreakBefore w:val="0"/>
        <w:kinsoku/>
        <w:wordWrap/>
        <w:overflowPunct/>
        <w:topLinePunct w:val="0"/>
        <w:bidi w:val="0"/>
        <w:adjustRightInd w:val="0"/>
        <w:spacing w:line="336"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2、功能要求</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7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522" w:type="dxa"/>
            <w:gridSpan w:val="2"/>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一、信息查询功能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1.1</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可查看已上市药品的完整说明书</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优先展示用户自定义添加的药品说明书</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1.2</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支持通过提取说明书提纲中内容的方式将说明书生成药品的药物手册</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支持药物手册的查看和批量导出操作</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1.3</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提供</w:t>
            </w:r>
            <w:r>
              <w:rPr>
                <w:rFonts w:hint="eastAsia" w:ascii="仿宋" w:hAnsi="仿宋" w:eastAsia="仿宋" w:cs="仿宋"/>
                <w:color w:val="auto"/>
                <w:highlight w:val="none"/>
                <w:vertAlign w:val="baseline"/>
                <w:lang w:val="en-US" w:eastAsia="zh-CN"/>
              </w:rPr>
              <w:t>不少于</w:t>
            </w:r>
            <w:r>
              <w:rPr>
                <w:rFonts w:hint="eastAsia" w:ascii="仿宋" w:hAnsi="仿宋" w:eastAsia="仿宋" w:cs="仿宋"/>
                <w:color w:val="auto"/>
                <w:highlight w:val="none"/>
                <w:vertAlign w:val="baseline"/>
              </w:rPr>
              <w:t>7类</w:t>
            </w:r>
            <w:r>
              <w:rPr>
                <w:rFonts w:hint="eastAsia" w:ascii="仿宋" w:hAnsi="仿宋" w:eastAsia="仿宋" w:cs="仿宋"/>
                <w:color w:val="auto"/>
                <w:highlight w:val="none"/>
                <w:vertAlign w:val="baseline"/>
                <w:lang w:val="en-US" w:eastAsia="zh-CN"/>
              </w:rPr>
              <w:t>临床</w:t>
            </w:r>
            <w:r>
              <w:rPr>
                <w:rFonts w:hint="eastAsia" w:ascii="仿宋" w:hAnsi="仿宋" w:eastAsia="仿宋" w:cs="仿宋"/>
                <w:color w:val="auto"/>
                <w:highlight w:val="none"/>
                <w:vertAlign w:val="baseline"/>
              </w:rPr>
              <w:t>医学相关计算公式的应用计算</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1.4</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可查询《国家基本药物处方集（201</w:t>
            </w:r>
            <w:r>
              <w:rPr>
                <w:rFonts w:hint="eastAsia" w:ascii="仿宋" w:hAnsi="仿宋" w:eastAsia="仿宋" w:cs="仿宋"/>
                <w:color w:val="auto"/>
                <w:highlight w:val="none"/>
                <w:vertAlign w:val="baseline"/>
                <w:lang w:val="en-US" w:eastAsia="zh-CN"/>
              </w:rPr>
              <w:t>8</w:t>
            </w:r>
            <w:r>
              <w:rPr>
                <w:rFonts w:hint="eastAsia" w:ascii="仿宋" w:hAnsi="仿宋" w:eastAsia="仿宋" w:cs="仿宋"/>
                <w:color w:val="auto"/>
                <w:highlight w:val="none"/>
                <w:vertAlign w:val="baseline"/>
              </w:rPr>
              <w:t>版）》、《中华人民共和国药典(2020年版)》、《新编药物学（17版）》、中国国家处方集（2010版）》、《国家基本药物临床应用指南（2012版）》、《临床注射药物应用指南(2014版)》等书籍摘抄；可查询国家药品监督管理局发布的药品警戒快讯、说明书修订公告、药品不良反应信息通报；可查询国家卫健委和药品监督管理局发布的通知公告和法律法规</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1.5</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支持用户自定义维护文献、杂志，参考文献等内容；自定义相关资料内容均支持自主查询</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1.6</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支持用户对药品说明书内容进行自定义维护与更新；说明书查询时，优先展示自定义添加的说明书</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二、规则库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2.1</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系统提供1套药品说明书规则集</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说明书规则集源于药品说明书标准维护，规则经过数百家医疗机构多年实践验证、累计优化；规则库覆盖用户全部药品及其它已上市药品的各项合理性审查内容；同时支持不同的问题审查结果，进行警示级别的区分</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▲2.2</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需支持用户引用其他医疗机构的用药管理规则，并在此基础上根据本院的实际临床用药情况进行调整，形成本院自有规则集。</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需提供系统内关于可</w:t>
            </w:r>
            <w:r>
              <w:rPr>
                <w:rFonts w:hint="eastAsia" w:ascii="仿宋" w:hAnsi="仿宋" w:eastAsia="仿宋" w:cs="仿宋"/>
                <w:color w:val="auto"/>
                <w:highlight w:val="none"/>
                <w:vertAlign w:val="baseline"/>
              </w:rPr>
              <w:t>支持用户引用其他医疗机构的用药管理规则</w:t>
            </w:r>
            <w:r>
              <w:rPr>
                <w:rFonts w:hint="eastAsia" w:ascii="仿宋" w:hAnsi="仿宋" w:eastAsia="仿宋" w:cs="仿宋"/>
                <w:color w:val="auto"/>
                <w:highlight w:val="none"/>
                <w:vertAlign w:val="baseline"/>
                <w:lang w:val="en-US" w:eastAsia="zh-CN"/>
              </w:rPr>
              <w:t>的截图</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▲2.3</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rPr>
              <w:t>说明书规则集中的规则内容会根据说明书的修订进行新增、修改；当用户系统知识包更新后，系统可根据用户使用规则的引用情况对更新的内容做出更新提醒，用户可根据自身业务需求对更新的规则进行全部更新、部分更新、或不更新操作。当用户系统知识包更新后，系统可根据用户药品比对情况对新增的规则内容做出新增提醒，用户可根据自身业务需求对新增的规则进行全部更新、部分更新、或不更新操作</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需提供系统内关于</w:t>
            </w:r>
            <w:r>
              <w:rPr>
                <w:rFonts w:hint="eastAsia" w:ascii="仿宋" w:hAnsi="仿宋" w:eastAsia="仿宋" w:cs="仿宋"/>
                <w:color w:val="auto"/>
                <w:highlight w:val="none"/>
                <w:vertAlign w:val="baseline"/>
              </w:rPr>
              <w:t>用户可根据自身业务需求对新增的规则进行全部更新、部分更新、或不更新操作</w:t>
            </w:r>
            <w:r>
              <w:rPr>
                <w:rFonts w:hint="eastAsia" w:ascii="仿宋" w:hAnsi="仿宋" w:eastAsia="仿宋" w:cs="仿宋"/>
                <w:color w:val="auto"/>
                <w:highlight w:val="none"/>
                <w:vertAlign w:val="baseline"/>
                <w:lang w:val="en-US" w:eastAsia="zh-CN"/>
              </w:rPr>
              <w:t>的截图</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三、审查功能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3.1</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通过采用警示级别的设置，实现按严重程度对审查出的不合理问题进行区分：</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0级</w:t>
            </w:r>
            <w:r>
              <w:rPr>
                <w:rFonts w:hint="eastAsia" w:ascii="仿宋" w:hAnsi="仿宋" w:eastAsia="仿宋" w:cs="仿宋"/>
                <w:color w:val="auto"/>
                <w:highlight w:val="none"/>
                <w:vertAlign w:val="baseline"/>
              </w:rPr>
              <w:tab/>
            </w:r>
            <w:r>
              <w:rPr>
                <w:rFonts w:hint="eastAsia" w:ascii="仿宋" w:hAnsi="仿宋" w:eastAsia="仿宋" w:cs="仿宋"/>
                <w:color w:val="auto"/>
                <w:highlight w:val="none"/>
                <w:vertAlign w:val="baseline"/>
              </w:rPr>
              <w:t>用于点评及报表统计使用，不提醒</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1级</w:t>
            </w:r>
            <w:r>
              <w:rPr>
                <w:rFonts w:hint="eastAsia" w:ascii="仿宋" w:hAnsi="仿宋" w:eastAsia="仿宋" w:cs="仿宋"/>
                <w:color w:val="auto"/>
                <w:highlight w:val="none"/>
                <w:vertAlign w:val="baseline"/>
              </w:rPr>
              <w:tab/>
            </w:r>
            <w:r>
              <w:rPr>
                <w:rFonts w:hint="eastAsia" w:ascii="仿宋" w:hAnsi="仿宋" w:eastAsia="仿宋" w:cs="仿宋"/>
                <w:color w:val="auto"/>
                <w:highlight w:val="none"/>
                <w:vertAlign w:val="baseline"/>
              </w:rPr>
              <w:t>患教规则，用于患者用药指导单打印</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2级</w:t>
            </w:r>
            <w:r>
              <w:rPr>
                <w:rFonts w:hint="eastAsia" w:ascii="仿宋" w:hAnsi="仿宋" w:eastAsia="仿宋" w:cs="仿宋"/>
                <w:color w:val="auto"/>
                <w:highlight w:val="none"/>
                <w:vertAlign w:val="baseline"/>
              </w:rPr>
              <w:tab/>
            </w:r>
            <w:r>
              <w:rPr>
                <w:rFonts w:hint="eastAsia" w:ascii="仿宋" w:hAnsi="仿宋" w:eastAsia="仿宋" w:cs="仿宋"/>
                <w:color w:val="auto"/>
                <w:highlight w:val="none"/>
                <w:vertAlign w:val="baseline"/>
              </w:rPr>
              <w:t>没有资料、无试验、无可参考文献</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3级</w:t>
            </w:r>
            <w:r>
              <w:rPr>
                <w:rFonts w:hint="eastAsia" w:ascii="仿宋" w:hAnsi="仿宋" w:eastAsia="仿宋" w:cs="仿宋"/>
                <w:color w:val="auto"/>
                <w:highlight w:val="none"/>
                <w:vertAlign w:val="baseline"/>
              </w:rPr>
              <w:tab/>
            </w:r>
            <w:r>
              <w:rPr>
                <w:rFonts w:hint="eastAsia" w:ascii="仿宋" w:hAnsi="仿宋" w:eastAsia="仿宋" w:cs="仿宋"/>
                <w:color w:val="auto"/>
                <w:highlight w:val="none"/>
                <w:vertAlign w:val="baseline"/>
              </w:rPr>
              <w:t>提醒规则:如孕妇、哺乳期妇女用药尚不明确;儿童、老年人用药尚不明确;严重程度较低的相互作用</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4级</w:t>
            </w:r>
            <w:r>
              <w:rPr>
                <w:rFonts w:hint="eastAsia" w:ascii="仿宋" w:hAnsi="仿宋" w:eastAsia="仿宋" w:cs="仿宋"/>
                <w:color w:val="auto"/>
                <w:highlight w:val="none"/>
                <w:vertAlign w:val="baseline"/>
              </w:rPr>
              <w:tab/>
            </w:r>
            <w:r>
              <w:rPr>
                <w:rFonts w:hint="eastAsia" w:ascii="仿宋" w:hAnsi="仿宋" w:eastAsia="仿宋" w:cs="仿宋"/>
                <w:color w:val="auto"/>
                <w:highlight w:val="none"/>
                <w:vertAlign w:val="baseline"/>
              </w:rPr>
              <w:t>孕妇、哺乳期妇女慎用;儿童、老年人慎用;谨慎合用的相互作用;溶媒选择及用量问题;给药频率;给药剂量;肾功能不全者慎用</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5级</w:t>
            </w:r>
            <w:r>
              <w:rPr>
                <w:rFonts w:hint="eastAsia" w:ascii="仿宋" w:hAnsi="仿宋" w:eastAsia="仿宋" w:cs="仿宋"/>
                <w:color w:val="auto"/>
                <w:highlight w:val="none"/>
                <w:vertAlign w:val="baseline"/>
              </w:rPr>
              <w:tab/>
            </w:r>
            <w:r>
              <w:rPr>
                <w:rFonts w:hint="eastAsia" w:ascii="仿宋" w:hAnsi="仿宋" w:eastAsia="仿宋" w:cs="仿宋"/>
                <w:color w:val="auto"/>
                <w:highlight w:val="none"/>
                <w:vertAlign w:val="baseline"/>
              </w:rPr>
              <w:t>孕妇、哺乳期妇女禁用;儿童、老年人禁用;禁止合用、避免合用的相互作用;给药途径问题;配伍禁忌;重复用药;过敏;用药极量;肾功能不全者禁用;医院可根据实际管理需求调整等级为其他级别</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6级、7级为空，医院可自定义管控内容</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8级为空，医院可自定义禁止医生处方保存的内容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3.2</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通过采用警示类型的设置，对审查出的不合理问题按照错误类型进行问题归类。支持审查的问题有“用药建议、用药提醒、管理规定、适宜性分析、规范性分析、超常性分析”等。支持自定义添加提示类型</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rPr>
            </w:pPr>
            <w:r>
              <w:rPr>
                <w:rFonts w:hint="eastAsia" w:ascii="仿宋" w:hAnsi="仿宋" w:eastAsia="仿宋" w:cs="仿宋"/>
                <w:color w:val="auto"/>
                <w:highlight w:val="none"/>
                <w:vertAlign w:val="baseline"/>
                <w:lang w:val="en-US" w:eastAsia="zh-CN"/>
              </w:rPr>
              <w:t>3.3</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将检验指标与相关药品进行关联，实现检验指标在该药品用法用量、禁忌症、相互作用审查中的应用；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3.4</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rPr>
              <w:t>系统支持结合患者诊断、检验指标、年龄</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体重、性别</w:t>
            </w:r>
            <w:r>
              <w:rPr>
                <w:rFonts w:hint="eastAsia" w:ascii="仿宋" w:hAnsi="仿宋" w:eastAsia="仿宋" w:cs="仿宋"/>
                <w:color w:val="auto"/>
                <w:highlight w:val="none"/>
                <w:vertAlign w:val="baseline"/>
              </w:rPr>
              <w:t>等信息，实现对药品适应症、禁忌症的合理性审查</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覆盖用户全部药品。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rPr>
            </w:pPr>
            <w:r>
              <w:rPr>
                <w:rFonts w:hint="eastAsia" w:ascii="仿宋" w:hAnsi="仿宋" w:eastAsia="仿宋" w:cs="仿宋"/>
                <w:color w:val="auto"/>
                <w:highlight w:val="none"/>
                <w:vertAlign w:val="baseline"/>
                <w:lang w:val="en-US" w:eastAsia="zh-CN"/>
              </w:rPr>
              <w:t>3.5</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rPr>
              <w:t>实现处方/医嘱药品的给药途径的合理性的审查；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rPr>
            </w:pPr>
            <w:r>
              <w:rPr>
                <w:rFonts w:hint="eastAsia" w:ascii="仿宋" w:hAnsi="仿宋" w:eastAsia="仿宋" w:cs="仿宋"/>
                <w:color w:val="auto"/>
                <w:highlight w:val="none"/>
                <w:vertAlign w:val="baseline"/>
                <w:lang w:val="en-US" w:eastAsia="zh-CN"/>
              </w:rPr>
              <w:t>3.6</w:t>
            </w:r>
          </w:p>
        </w:tc>
        <w:tc>
          <w:tcPr>
            <w:tcW w:w="7494" w:type="dxa"/>
            <w:noWrap w:val="0"/>
            <w:vAlign w:val="top"/>
          </w:tcPr>
          <w:p>
            <w:pPr>
              <w:keepNext w:val="0"/>
              <w:keepLines w:val="0"/>
              <w:suppressLineNumbers w:val="0"/>
              <w:spacing w:before="0" w:beforeAutospacing="0" w:after="0" w:afterAutospacing="0"/>
              <w:ind w:left="0" w:right="0"/>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rPr>
              <w:t>系统支持根据患者年龄、性别、体重、诊断、各项检验指标，结合药品的给药途径等信息对药品剂量</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给药频率、给药时机</w:t>
            </w:r>
            <w:r>
              <w:rPr>
                <w:rFonts w:hint="eastAsia" w:ascii="仿宋" w:hAnsi="仿宋" w:eastAsia="仿宋" w:cs="仿宋"/>
                <w:color w:val="auto"/>
                <w:highlight w:val="none"/>
                <w:vertAlign w:val="baseline"/>
                <w:lang w:val="en-US" w:eastAsia="zh-CN"/>
              </w:rPr>
              <w:t>等</w:t>
            </w:r>
            <w:r>
              <w:rPr>
                <w:rFonts w:hint="eastAsia" w:ascii="仿宋" w:hAnsi="仿宋" w:eastAsia="仿宋" w:cs="仿宋"/>
                <w:color w:val="auto"/>
                <w:highlight w:val="none"/>
                <w:vertAlign w:val="baseline"/>
              </w:rPr>
              <w:t>进行合理性审查：实现校正剂量</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异常剂量</w:t>
            </w:r>
            <w:r>
              <w:rPr>
                <w:rFonts w:hint="eastAsia" w:ascii="仿宋" w:hAnsi="仿宋" w:eastAsia="仿宋" w:cs="仿宋"/>
                <w:color w:val="auto"/>
                <w:highlight w:val="none"/>
                <w:vertAlign w:val="baseline"/>
                <w:lang w:val="en-US" w:eastAsia="zh-CN"/>
              </w:rPr>
              <w:t>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3.7</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lang w:val="en-US" w:eastAsia="zh-CN"/>
              </w:rPr>
              <w:t>用药疗程的审查：</w:t>
            </w:r>
            <w:r>
              <w:rPr>
                <w:rFonts w:hint="eastAsia" w:ascii="仿宋" w:hAnsi="仿宋" w:eastAsia="仿宋" w:cs="仿宋"/>
                <w:color w:val="auto"/>
                <w:highlight w:val="none"/>
                <w:vertAlign w:val="baseline"/>
              </w:rPr>
              <w:t>在门诊药嘱用药时，支持特定药品的用药疗程的管控，限制医生仅能在规定疗程内进行开药；在住院医嘱用药时，支持按在用药品配置药品累计使用最大天数的管控；触发审查时，超出用药天数的限制，给予医生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3.8</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lang w:val="en-US" w:eastAsia="zh-CN"/>
              </w:rPr>
              <w:t>相互作用的审查：</w:t>
            </w:r>
            <w:r>
              <w:rPr>
                <w:rFonts w:hint="eastAsia" w:ascii="仿宋" w:hAnsi="仿宋" w:eastAsia="仿宋" w:cs="仿宋"/>
                <w:color w:val="auto"/>
                <w:highlight w:val="none"/>
                <w:vertAlign w:val="baseline"/>
              </w:rPr>
              <w:t>结合病人的具体情况【如：诊断、检验值、合用药品（剂量、频率、给药途径）】等信息，实现可根据不同药品名称在实际用药中是否存在不良相互作用的精准审查；实现含有乙醇的药品与特定药物不良相互作用的审查，提示可能存在双硫仑样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3.9</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重复用药的审查</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实现可根据不同药品名称或药品成分在实际用药中重复治疗的审查，提示处方/医嘱中的两个或多个药品同属某个药物治疗分类，可能存在重复用药的问题</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实现病人用药处方/医嘱中的同一个全身给药的药品（排除溶媒等药品）重复开具的审查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3.10</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配伍的审查</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实现注射剂在开具时，实现配伍审查，提示同组药嘱中是否存在溶媒用量、溶媒选择、稀释（小容量注射剂）、配伍、及钾离子浓度不合理的问题</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实现《400种中西药注射剂临床配伍应用检索表》、《459种中西药注射剂临床配伍应用检索表》的应用；对于必须先用注射用水稀释的注射剂，实现其同组药嘱中是否添加注射用水的审查</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rPr>
            </w:pPr>
            <w:r>
              <w:rPr>
                <w:rFonts w:hint="eastAsia" w:ascii="仿宋" w:hAnsi="仿宋" w:eastAsia="仿宋" w:cs="仿宋"/>
                <w:color w:val="auto"/>
                <w:highlight w:val="none"/>
                <w:vertAlign w:val="baseline"/>
                <w:lang w:val="en-US" w:eastAsia="zh-CN"/>
              </w:rPr>
              <w:t>3.11</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特殊人群用药审查</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实现用药处方/医嘱中是否存在特殊人群（妊娠期妇女、哺乳期妇女、老年人、儿童等）中的禁用及慎用的药品；根据患者传入的相关数据计算得出患者CTP评分、诊断，审查肝功能不全患者是否存在禁用和慎用的药品</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通过结合病人的诊断、eGFR指标值（可选择公式： Cockcroft-Gault 公式和CKD-EPI 公式）、是否透析状态等指标，判断患者肾功能状态，审查肾功能不全患者是否存在禁用和慎用的药品</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3.12</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过敏的审查</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在获取病人既往过敏原或过敏类信息的基础上，提示病人用药处方中是否存在与病人既往过敏药品、食物相关的、可能导致类似过敏反应的药品</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3.13</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根据国家药品监督管理局发布的不良反应信息通报，提醒医生在使用相关药品时需要注意的问题</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3.14</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处方/医嘱中注射药品需要避光输注、冲管的，提醒医生用药需要注意该问题；处方/医嘱中注射药品有特殊的滴速、输注速度，告知医生其适宜的滴速、输注速度</w:t>
            </w:r>
            <w:r>
              <w:rPr>
                <w:rFonts w:hint="eastAsia" w:ascii="仿宋" w:hAnsi="仿宋" w:eastAsia="仿宋" w:cs="仿宋"/>
                <w:color w:val="auto"/>
                <w:highlight w:val="none"/>
                <w:vertAlign w:val="baseline"/>
                <w:lang w:eastAsia="zh-CN"/>
              </w:rPr>
              <w:t>，备注：在某类药品上直接编辑提示规则，不论医生对药品的使用正确与否，均给予提示。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3.15</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提供规则模板，可按《抗菌药物临床应用指导原则(2015年版)》实现抗菌药物越权用药的管控；实现处方/医嘱中是否存在作用机制相同药品重复应用的审查（同重复用药）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3.16</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对已上市精、麻、毒、放、高危药品，维护精神药品、麻醉药品、毒性药品、放射性药品、高危药品的属性标志，用户可采用属性进行规则自定义，实现相关药品的管控</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提供一类、二类精神药品管控规则模板，可按《处方管理办法》实现用药疗程天数管控；提供麻醉药品提供管控规则模板，可按《处方管理办法》实现用药疗程天数的管控</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3.17</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支持用户自定义药品规则，能够对所有使用规则进行新增、修改和删除，实现对用药适应症、禁忌症、用法用量、给药途径、相互作用、重复用药、特殊人群、配伍、过敏、不良反应等精准审查，规则审核后立即生效</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提供130+判断条件，支持用户自定义编辑复杂规则判断，使药品的使用更加符合用户的实际用药情况；提供40+代表药品特点的属性（如单胺氧化酶抑制剂、磺胺结构类药品），支持用户在自定义规则中使用；可实现对q8h，q12h，q6h等特殊给药频率合理性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3.18</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支持用户自定义管理规则，实现对整体用药的管控，包括门、急诊处方药品超多日用量、门诊输液审查（可限定科室、疾病）；药品品种（名称和品种数）、药品发药数量、处方金额等（可限定患者病历号、处方时间、科室、来源（门诊、急诊或住院）等</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支持用户自定义单病种的用药审查，控制“指定疾病的药品”只能在指定疾病下才能使用</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支持用户自定义医保结算管控规则，控制“指定疾病的医保药品”在未患该疾病患者使用医保结算的管控</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四、干预系统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4.1</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支持在医生开方阶段对处方/医嘱的用药合理性进行实时审查，并给予医生提示，对于严重的用药问题可以直接在医生端进行拦截；支持对处方/医嘱中用法用量、相互作用、配伍禁忌、重复用药、禁忌症、适应症、特殊人群用药、妊娠期用药、哺乳期用药、过敏、给药途径等不合理用药情况进行自动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4.2</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支持处方/医嘱及干预结果的自动采集和保存，支持药师实时查看医生开具的处方/医嘱及发生的用药问题；支持药师对具体审查结果对应的知识库规则进行确认/待查操作，或对知识库进行修改完善</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支持医生登入系统，查看本人的全部问题处方和处方审核结果；支持科主任/医院管理人员登入系统，查看本科室或本院的全部问题处方/医嘱及审核结果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4.3</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支持图表化展示实时干预效果：实时统计当日处方数、干预处方数、拦截处方数、审查次数、干预率及拦截率；实时统计当日住院患者数、干预患者数、拦截患者数、审查次数、干预率及拦截率；支持展示干预效果趋势图；支持展示警示信息发生数柱状图；支持展示门诊/住院干预量科室前十名；支持展示警示信息发生数药品前十名。支持干预效果分析统计，包括：支持按医院/科室/医生维度查看处方总数、审查次数、干预处方数、拦截处方数等指标；支持按医院/科室维度查看住院患者总数、审查次数、干预患者数、拦截患者数等指标；支持按医院/科室/医生维度查看医生对门诊问题处方的处理情况，包括更换药物、修正错误、忽略错误及删除处方的处方数及占比；支持按医院/科室/医生查看门诊处方不同等级或类型警示信息的发生次数、发生处方数及占比；支持按医院/科室查看住院患者不同等级或类型警示信息的发生次数、发生患者数及占比；支持按医院/科室/医生查看不同等级或类型警示信息的发生次数、发生患者数及占比；支持按药品展示不同类型或等级警示信息的发生次数、发生处方数、发生患者数及占比</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五、审方系统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5.1</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系统提供审方药师门诊审方工作平台，支持审方药师在患者缴费前完成门诊处方的实时审查；系统提供审方药师住院审方工作平台，支持审方药师在医嘱调剂前完成住院医嘱的实时审查</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系统按照预设的用药规则对处方/医嘱进行自动审查，包括过敏、禁忌症、适应症、特殊人群、配伍、相互作用、重复用药、给药途径、给药时机、给药剂量、给药频率、疗程审查等；再交由药师可选取全部或部分处方/医嘱进行人工审核；审方药师可将审核不合理的处方/医嘱打回到医生端，由医生进行双签或修改，直到处方/医嘱审核通过，进入调剂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5.2</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可按照科室、医疗组、诊断、药品属性、警示信息设置一个或多个审方方案；对于不需要人工审核的处方/医嘱，支持处方/医嘱自动通过；可按照来源、门诊/住院科室等条件设置药师的审方权限；支持按单张处方审查</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门诊审方模式：支持按患者合并审查；住院审方模式：支持一组一个任务来审查，会合并历史</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住院审方模式：支持多组在一起审查，会合并历史</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5.3</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支持展示患者信息、待审(或已审）处方/医嘱信息及系统自动审查结果；支持一体化展示住院患者信息汇总，包括诊断、检查检验信息、手术信息、生命体征趋势图等；支持在药师审核任务时，展示干预阶段医生预先填写的特别用药理由</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支持审方药师查看待审核处方/医嘱任务总量及分配给自己的待审处方/医嘱任务；门急诊可按科室、医生、处方号进行任务筛选；住院可按病区、医嘱类型、患者号进行任务筛选；紧急标记的处方/医嘱优先审核</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审方药师选择多张处方/医嘱批量审核通过</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审方药师在审核处方/医嘱时，对系统根据处方/医嘱跑出的警示信息内容进行确认，并支持人工输入审核意见及用药建议；支持药师自定义设置审核意见模板；支持审方药师根据问题的严重程度选择是否强制要求医生修改处方/医嘱；支持待审处方/医嘱超过规定时间，自动超时通过，并支持自定义超时时间</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打回后医生超时未处理提示，且可以对提示时间进行设置；处方/医嘱打回后，当医生对打回的处方/医嘱进行双签后，在药师界面显示双签理由并通过任务；无药师上岗在线时任务全部自动通过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5.4</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lang w:val="en-US" w:eastAsia="zh-CN"/>
              </w:rPr>
              <w:t>支持</w:t>
            </w:r>
            <w:r>
              <w:rPr>
                <w:rFonts w:hint="eastAsia" w:ascii="仿宋" w:hAnsi="仿宋" w:eastAsia="仿宋" w:cs="仿宋"/>
                <w:color w:val="auto"/>
                <w:highlight w:val="none"/>
                <w:vertAlign w:val="baseline"/>
              </w:rPr>
              <w:t>查看进入审方系统的全部处方或医嘱</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可</w:t>
            </w:r>
            <w:r>
              <w:rPr>
                <w:rFonts w:hint="eastAsia" w:ascii="仿宋" w:hAnsi="仿宋" w:eastAsia="仿宋" w:cs="仿宋"/>
                <w:color w:val="auto"/>
                <w:highlight w:val="none"/>
                <w:vertAlign w:val="baseline"/>
              </w:rPr>
              <w:t>按日期、科室、审方药师、审核状态、警示类型筛选查看处方/医嘱</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支持</w:t>
            </w:r>
            <w:r>
              <w:rPr>
                <w:rFonts w:hint="eastAsia" w:ascii="仿宋" w:hAnsi="仿宋" w:eastAsia="仿宋" w:cs="仿宋"/>
                <w:color w:val="auto"/>
                <w:highlight w:val="none"/>
                <w:vertAlign w:val="baseline"/>
              </w:rPr>
              <w:t>从机构、科室、医生等角度统计处方/医嘱数量及审查概况，包括自动通过处方数/医嘱组数、药师打回、药师通过处方数/医嘱组数等指标；支持统计各审方药师审核的处方数/医嘱组数、审核通过、审核打回的处方数/医嘱组数等指标；统计药师审核的处方/医嘱中各问题类型的发生的情况，包括打回处方数/医嘱组数、医生双签、医生修改处方数/医嘱组数等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六、分析系统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6.1</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支持处方/医嘱每天自动导入合理用药管理系统，并支持全处方/出院医嘱的自动审查；支持门诊按单张处方和按患者当天所有处方合并点评</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支持对处方/医嘱中用法用量、相互作用、配伍禁忌、重复用药、禁忌症、适应症、特殊人群用药、妊娠期用药、哺乳期用药、过敏、给药途径等不合理用药情况进行自动审查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6.2</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支持药师根据医院的实际用药情况，对系统点评出来的警示信息进行确认待查操作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6.3</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支持全处方点评和全医嘱点评；支持特定条件下处方/医嘱的抽样点评；支持通过自定义模板的方式保留抽取条件和分配方案，对处方/医嘱进行抽样点评；支持对特定药品进行专项点评，如抗菌药物专项、基药专项等</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多种样本抽取方式，对于门诊，支持全部抽取，或按数量、按百分比、按每个医生指定的数量、按指定百分比的医生每人指定数量、按每个科室指定的数量随机抽取处方数据；对于住院，支持按数量、按百分比、按每个科室、病区、医疗组指定的数量或百分比随机抽取医嘱数据；支持在抽样时设置点评样本中需要显示的警示信息类型、状态和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6.4</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支持处方/医嘱点评任务分配，将抽取的处方/医嘱分配给多个药师进行人工点评；支持点评药师查看分配给自己的点评任务，并支持按点评状态、医生审阅状态、警示类型、警示等级进行任务筛选</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处方/医嘱的批量点评，即批量确认机评结果为人工点评结果；支持点评药师在点评处方/医嘱时，对系统点评产生的警示信息内容进行确认，并支持人工输入点评结果，填写人工点评结果时支持选择问题代码、药品名称或者直接填写人工点评内容；支持人工点评结果的区分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6.5</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支持处方/医嘱明细页面一体化展示患者信息、处方/医嘱信息、检查检验信息、手术信息、电子病历信息及系统自动审查结果</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支持点击警示信息后，在药品明细页面只展示警示信息相关问题药品；支持在药师点评时，展示审方阶段或干预阶段医生预先填写的特别用药理由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6.6</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支持用户自定义问题代码与警示类型的对应关系，同时支持按对应关系自动生成问题代码；支持问题代码在点评界面的展示和导出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6.7</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处方点评</w:t>
            </w:r>
            <w:r>
              <w:rPr>
                <w:rFonts w:hint="eastAsia" w:ascii="仿宋" w:hAnsi="仿宋" w:eastAsia="仿宋" w:cs="仿宋"/>
                <w:color w:val="auto"/>
                <w:highlight w:val="none"/>
                <w:vertAlign w:val="baseline"/>
                <w:lang w:val="en-US" w:eastAsia="zh-CN"/>
              </w:rPr>
              <w:t>和住院医嘱</w:t>
            </w:r>
            <w:r>
              <w:rPr>
                <w:rFonts w:hint="eastAsia" w:ascii="仿宋" w:hAnsi="仿宋" w:eastAsia="仿宋" w:cs="仿宋"/>
                <w:color w:val="auto"/>
                <w:highlight w:val="none"/>
                <w:vertAlign w:val="baseline"/>
              </w:rPr>
              <w:t>项目结束后，支持按机构、按科室和按医生生成项目报表，包括点评处方数、处方人次数、用药品种数、抗菌药物品种数、合格处方百分率等统计数据，满足处方点评的要求</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支持</w:t>
            </w:r>
            <w:r>
              <w:rPr>
                <w:rFonts w:hint="eastAsia" w:ascii="仿宋" w:hAnsi="仿宋" w:eastAsia="仿宋" w:cs="仿宋"/>
                <w:color w:val="auto"/>
                <w:highlight w:val="none"/>
                <w:vertAlign w:val="baseline"/>
              </w:rPr>
              <w:t>导出成excel文件；支持用户自定义设置样本导出方案，提供可选择的处方或医嘱点评样本导出字段</w:t>
            </w:r>
            <w:r>
              <w:rPr>
                <w:rFonts w:hint="eastAsia" w:ascii="仿宋" w:hAnsi="仿宋" w:eastAsia="仿宋" w:cs="仿宋"/>
                <w:color w:val="auto"/>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6.8</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支持科主任/医院管理人员登入系统，查看管理科室/管理机构的处方/医嘱及点评结果；支持医生登入系统查看本人的不合理处方或医嘱，在点评未结束时可对药师的点评结果进行申述，并支持填入申述理由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七、统计报表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7.1</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b/>
                <w:bCs/>
                <w:color w:val="auto"/>
                <w:highlight w:val="none"/>
                <w:vertAlign w:val="baseline"/>
              </w:rPr>
            </w:pPr>
            <w:r>
              <w:rPr>
                <w:rFonts w:hint="eastAsia" w:ascii="仿宋" w:hAnsi="仿宋" w:eastAsia="仿宋" w:cs="仿宋"/>
                <w:b/>
                <w:bCs/>
                <w:color w:val="auto"/>
                <w:highlight w:val="none"/>
                <w:vertAlign w:val="baseline"/>
              </w:rPr>
              <w:t>常用上报报表（</w:t>
            </w:r>
            <w:r>
              <w:rPr>
                <w:rFonts w:hint="eastAsia" w:ascii="仿宋" w:hAnsi="仿宋" w:eastAsia="仿宋" w:cs="仿宋"/>
                <w:b/>
                <w:bCs/>
                <w:color w:val="auto"/>
                <w:highlight w:val="none"/>
                <w:vertAlign w:val="baseline"/>
                <w:lang w:val="en-US" w:eastAsia="zh-CN"/>
              </w:rPr>
              <w:t>3</w:t>
            </w:r>
            <w:r>
              <w:rPr>
                <w:rFonts w:hint="eastAsia" w:ascii="仿宋" w:hAnsi="仿宋" w:eastAsia="仿宋" w:cs="仿宋"/>
                <w:b/>
                <w:bCs/>
                <w:color w:val="auto"/>
                <w:highlight w:val="none"/>
                <w:vertAlign w:val="baseline"/>
              </w:rPr>
              <w:t>张）</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二级公立医院绩效考核指标统计表</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药事管理专业医疗质量控制指标（</w:t>
            </w:r>
            <w:r>
              <w:rPr>
                <w:rFonts w:hint="eastAsia" w:ascii="仿宋" w:hAnsi="仿宋" w:eastAsia="仿宋" w:cs="仿宋"/>
                <w:color w:val="auto"/>
                <w:highlight w:val="none"/>
                <w:vertAlign w:val="baseline"/>
                <w:lang w:val="en-US" w:eastAsia="zh-CN"/>
              </w:rPr>
              <w:t>最新</w:t>
            </w:r>
            <w:r>
              <w:rPr>
                <w:rFonts w:hint="eastAsia" w:ascii="仿宋" w:hAnsi="仿宋" w:eastAsia="仿宋" w:cs="仿宋"/>
                <w:color w:val="auto"/>
                <w:highlight w:val="none"/>
                <w:vertAlign w:val="baseline"/>
              </w:rPr>
              <w:t>版）</w:t>
            </w:r>
            <w:r>
              <w:rPr>
                <w:rFonts w:hint="eastAsia" w:ascii="仿宋" w:hAnsi="仿宋" w:eastAsia="仿宋" w:cs="仿宋"/>
                <w:color w:val="auto"/>
                <w:highlight w:val="none"/>
                <w:vertAlign w:val="baseline"/>
                <w:lang w:eastAsia="zh-CN"/>
              </w:rPr>
              <w:t>、</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抗菌药物临床应用管理评价指标（</w:t>
            </w:r>
            <w:r>
              <w:rPr>
                <w:rFonts w:hint="eastAsia" w:ascii="仿宋" w:hAnsi="仿宋" w:eastAsia="仿宋" w:cs="仿宋"/>
                <w:color w:val="auto"/>
                <w:highlight w:val="none"/>
                <w:vertAlign w:val="baseline"/>
                <w:lang w:val="en-US" w:eastAsia="zh-CN"/>
              </w:rPr>
              <w:t>最新</w:t>
            </w:r>
            <w:r>
              <w:rPr>
                <w:rFonts w:hint="eastAsia" w:ascii="仿宋" w:hAnsi="仿宋" w:eastAsia="仿宋" w:cs="仿宋"/>
                <w:color w:val="auto"/>
                <w:highlight w:val="none"/>
                <w:vertAlign w:val="baseline"/>
              </w:rPr>
              <w:t>版）</w:t>
            </w:r>
          </w:p>
          <w:p>
            <w:pPr>
              <w:keepNext w:val="0"/>
              <w:keepLines w:val="0"/>
              <w:suppressLineNumbers w:val="0"/>
              <w:spacing w:before="0" w:beforeAutospacing="0" w:after="0" w:afterAutospacing="0"/>
              <w:ind w:left="0" w:right="0"/>
              <w:rPr>
                <w:rFonts w:hint="eastAsia" w:ascii="仿宋" w:hAnsi="仿宋" w:eastAsia="仿宋" w:cs="仿宋"/>
                <w:b/>
                <w:bCs/>
                <w:color w:val="auto"/>
                <w:highlight w:val="none"/>
                <w:vertAlign w:val="baseline"/>
              </w:rPr>
            </w:pPr>
            <w:r>
              <w:rPr>
                <w:rFonts w:hint="eastAsia" w:ascii="仿宋" w:hAnsi="仿宋" w:eastAsia="仿宋" w:cs="仿宋"/>
                <w:b/>
                <w:bCs/>
                <w:color w:val="auto"/>
                <w:highlight w:val="none"/>
                <w:vertAlign w:val="baseline"/>
              </w:rPr>
              <w:t>抗菌药物专项 （</w:t>
            </w:r>
            <w:r>
              <w:rPr>
                <w:rFonts w:hint="eastAsia" w:ascii="仿宋" w:hAnsi="仿宋" w:eastAsia="仿宋" w:cs="仿宋"/>
                <w:b/>
                <w:bCs/>
                <w:color w:val="auto"/>
                <w:highlight w:val="none"/>
                <w:vertAlign w:val="baseline"/>
                <w:lang w:val="en-US" w:eastAsia="zh-CN"/>
              </w:rPr>
              <w:t>7</w:t>
            </w:r>
            <w:r>
              <w:rPr>
                <w:rFonts w:hint="eastAsia" w:ascii="仿宋" w:hAnsi="仿宋" w:eastAsia="仿宋" w:cs="仿宋"/>
                <w:b/>
                <w:bCs/>
                <w:color w:val="auto"/>
                <w:highlight w:val="none"/>
                <w:vertAlign w:val="baseline"/>
              </w:rPr>
              <w:t>张）</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门诊抗菌药物使用情况汇总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急诊</w:t>
            </w:r>
            <w:r>
              <w:rPr>
                <w:rFonts w:hint="eastAsia" w:ascii="仿宋" w:hAnsi="仿宋" w:eastAsia="仿宋" w:cs="仿宋"/>
                <w:color w:val="auto"/>
                <w:highlight w:val="none"/>
                <w:vertAlign w:val="baseline"/>
              </w:rPr>
              <w:t>抗菌药物使用情况汇总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住院抗菌药物使用情况汇总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住院抗菌药物送检情况分析</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门诊抗菌药物使用分析</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急</w:t>
            </w:r>
            <w:r>
              <w:rPr>
                <w:rFonts w:hint="eastAsia" w:ascii="仿宋" w:hAnsi="仿宋" w:eastAsia="仿宋" w:cs="仿宋"/>
                <w:color w:val="auto"/>
                <w:highlight w:val="none"/>
                <w:vertAlign w:val="baseline"/>
              </w:rPr>
              <w:t>诊抗菌药物使用分析</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住院抗菌药物使用分析</w:t>
            </w:r>
          </w:p>
          <w:p>
            <w:pPr>
              <w:keepNext w:val="0"/>
              <w:keepLines w:val="0"/>
              <w:suppressLineNumbers w:val="0"/>
              <w:spacing w:before="0" w:beforeAutospacing="0" w:after="0" w:afterAutospacing="0"/>
              <w:ind w:left="0" w:right="0"/>
              <w:rPr>
                <w:rFonts w:hint="eastAsia" w:ascii="仿宋" w:hAnsi="仿宋" w:eastAsia="仿宋" w:cs="仿宋"/>
                <w:b/>
                <w:bCs/>
                <w:color w:val="auto"/>
                <w:highlight w:val="none"/>
                <w:vertAlign w:val="baseline"/>
              </w:rPr>
            </w:pPr>
            <w:r>
              <w:rPr>
                <w:rFonts w:hint="eastAsia" w:ascii="仿宋" w:hAnsi="仿宋" w:eastAsia="仿宋" w:cs="仿宋"/>
                <w:b/>
                <w:bCs/>
                <w:color w:val="auto"/>
                <w:highlight w:val="none"/>
                <w:vertAlign w:val="baseline"/>
              </w:rPr>
              <w:t>基本药物专项（</w:t>
            </w:r>
            <w:r>
              <w:rPr>
                <w:rFonts w:hint="eastAsia" w:ascii="仿宋" w:hAnsi="仿宋" w:eastAsia="仿宋" w:cs="仿宋"/>
                <w:b/>
                <w:bCs/>
                <w:color w:val="auto"/>
                <w:highlight w:val="none"/>
                <w:vertAlign w:val="baseline"/>
                <w:lang w:val="en-US" w:eastAsia="zh-CN"/>
              </w:rPr>
              <w:t>3</w:t>
            </w:r>
            <w:r>
              <w:rPr>
                <w:rFonts w:hint="eastAsia" w:ascii="仿宋" w:hAnsi="仿宋" w:eastAsia="仿宋" w:cs="仿宋"/>
                <w:b/>
                <w:bCs/>
                <w:color w:val="auto"/>
                <w:highlight w:val="none"/>
                <w:vertAlign w:val="baseline"/>
              </w:rPr>
              <w:t>张）</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门诊基本药物使用情况汇总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急</w:t>
            </w:r>
            <w:r>
              <w:rPr>
                <w:rFonts w:hint="eastAsia" w:ascii="仿宋" w:hAnsi="仿宋" w:eastAsia="仿宋" w:cs="仿宋"/>
                <w:color w:val="auto"/>
                <w:highlight w:val="none"/>
                <w:vertAlign w:val="baseline"/>
              </w:rPr>
              <w:t>诊基本药物使用情况汇总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住院基本药物使用情况汇总</w:t>
            </w:r>
          </w:p>
          <w:p>
            <w:pPr>
              <w:keepNext w:val="0"/>
              <w:keepLines w:val="0"/>
              <w:suppressLineNumbers w:val="0"/>
              <w:spacing w:before="0" w:beforeAutospacing="0" w:after="0" w:afterAutospacing="0"/>
              <w:ind w:left="0" w:right="0"/>
              <w:rPr>
                <w:rFonts w:hint="eastAsia" w:ascii="仿宋" w:hAnsi="仿宋" w:eastAsia="仿宋" w:cs="仿宋"/>
                <w:b/>
                <w:bCs/>
                <w:color w:val="auto"/>
                <w:highlight w:val="none"/>
                <w:vertAlign w:val="baseline"/>
                <w:lang w:eastAsia="zh-CN"/>
              </w:rPr>
            </w:pPr>
            <w:r>
              <w:rPr>
                <w:rFonts w:hint="eastAsia" w:ascii="仿宋" w:hAnsi="仿宋" w:eastAsia="仿宋" w:cs="仿宋"/>
                <w:b/>
                <w:bCs/>
                <w:color w:val="auto"/>
                <w:highlight w:val="none"/>
                <w:vertAlign w:val="baseline"/>
              </w:rPr>
              <w:t>输液药物专项（</w:t>
            </w:r>
            <w:r>
              <w:rPr>
                <w:rFonts w:hint="eastAsia" w:ascii="仿宋" w:hAnsi="仿宋" w:eastAsia="仿宋" w:cs="仿宋"/>
                <w:b/>
                <w:bCs/>
                <w:color w:val="auto"/>
                <w:highlight w:val="none"/>
                <w:vertAlign w:val="baseline"/>
                <w:lang w:val="en-US" w:eastAsia="zh-CN"/>
              </w:rPr>
              <w:t>4</w:t>
            </w:r>
            <w:r>
              <w:rPr>
                <w:rFonts w:hint="eastAsia" w:ascii="仿宋" w:hAnsi="仿宋" w:eastAsia="仿宋" w:cs="仿宋"/>
                <w:b/>
                <w:bCs/>
                <w:color w:val="auto"/>
                <w:highlight w:val="none"/>
                <w:vertAlign w:val="baseline"/>
              </w:rPr>
              <w:t>张）</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lang w:val="en-US" w:eastAsia="zh-CN"/>
              </w:rPr>
              <w:t>急</w:t>
            </w:r>
            <w:r>
              <w:rPr>
                <w:rFonts w:hint="eastAsia" w:ascii="仿宋" w:hAnsi="仿宋" w:eastAsia="仿宋" w:cs="仿宋"/>
                <w:color w:val="auto"/>
                <w:highlight w:val="none"/>
                <w:vertAlign w:val="baseline"/>
              </w:rPr>
              <w:t>诊输液药物使用情况汇总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急诊</w:t>
            </w:r>
            <w:r>
              <w:rPr>
                <w:rFonts w:hint="eastAsia" w:ascii="仿宋" w:hAnsi="仿宋" w:eastAsia="仿宋" w:cs="仿宋"/>
                <w:color w:val="auto"/>
                <w:highlight w:val="none"/>
                <w:vertAlign w:val="baseline"/>
              </w:rPr>
              <w:t>抗菌药物输液情况汇总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住院输液药物使用情况汇总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住院抗菌药物输液情况汇总</w:t>
            </w:r>
          </w:p>
          <w:p>
            <w:pPr>
              <w:keepNext w:val="0"/>
              <w:keepLines w:val="0"/>
              <w:suppressLineNumbers w:val="0"/>
              <w:spacing w:before="0" w:beforeAutospacing="0" w:after="0" w:afterAutospacing="0"/>
              <w:ind w:left="0" w:right="0"/>
              <w:rPr>
                <w:rFonts w:hint="eastAsia" w:ascii="仿宋" w:hAnsi="仿宋" w:eastAsia="仿宋" w:cs="仿宋"/>
                <w:b/>
                <w:bCs/>
                <w:color w:val="auto"/>
                <w:highlight w:val="none"/>
                <w:vertAlign w:val="baseline"/>
              </w:rPr>
            </w:pPr>
            <w:r>
              <w:rPr>
                <w:rFonts w:hint="eastAsia" w:ascii="仿宋" w:hAnsi="仿宋" w:eastAsia="仿宋" w:cs="仿宋"/>
                <w:b/>
                <w:bCs/>
                <w:color w:val="auto"/>
                <w:highlight w:val="none"/>
                <w:vertAlign w:val="baseline"/>
              </w:rPr>
              <w:t>质子泵专项 （2张）</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lang w:val="en-US" w:eastAsia="zh-CN"/>
              </w:rPr>
              <w:t>急</w:t>
            </w:r>
            <w:r>
              <w:rPr>
                <w:rFonts w:hint="eastAsia" w:ascii="仿宋" w:hAnsi="仿宋" w:eastAsia="仿宋" w:cs="仿宋"/>
                <w:color w:val="auto"/>
                <w:highlight w:val="none"/>
                <w:vertAlign w:val="baseline"/>
              </w:rPr>
              <w:t>诊质子泵抑制剂使用情况汇总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住院质子泵抑制剂使用情况汇总</w:t>
            </w:r>
          </w:p>
          <w:p>
            <w:pPr>
              <w:keepNext w:val="0"/>
              <w:keepLines w:val="0"/>
              <w:suppressLineNumbers w:val="0"/>
              <w:spacing w:before="0" w:beforeAutospacing="0" w:after="0" w:afterAutospacing="0"/>
              <w:ind w:left="0" w:right="0"/>
              <w:rPr>
                <w:rFonts w:hint="eastAsia" w:ascii="仿宋" w:hAnsi="仿宋" w:eastAsia="仿宋" w:cs="仿宋"/>
                <w:b/>
                <w:bCs/>
                <w:color w:val="auto"/>
                <w:highlight w:val="none"/>
                <w:vertAlign w:val="baseline"/>
              </w:rPr>
            </w:pPr>
            <w:r>
              <w:rPr>
                <w:rFonts w:hint="eastAsia" w:ascii="仿宋" w:hAnsi="仿宋" w:eastAsia="仿宋" w:cs="仿宋"/>
                <w:b/>
                <w:bCs/>
                <w:color w:val="auto"/>
                <w:highlight w:val="none"/>
                <w:vertAlign w:val="baseline"/>
              </w:rPr>
              <w:t>重点监控药品（</w:t>
            </w:r>
            <w:r>
              <w:rPr>
                <w:rFonts w:hint="eastAsia" w:ascii="仿宋" w:hAnsi="仿宋" w:eastAsia="仿宋" w:cs="仿宋"/>
                <w:b/>
                <w:bCs/>
                <w:color w:val="auto"/>
                <w:highlight w:val="none"/>
                <w:vertAlign w:val="baseline"/>
                <w:lang w:val="en-US" w:eastAsia="zh-CN"/>
              </w:rPr>
              <w:t>3</w:t>
            </w:r>
            <w:r>
              <w:rPr>
                <w:rFonts w:hint="eastAsia" w:ascii="仿宋" w:hAnsi="仿宋" w:eastAsia="仿宋" w:cs="仿宋"/>
                <w:b/>
                <w:bCs/>
                <w:color w:val="auto"/>
                <w:highlight w:val="none"/>
                <w:vertAlign w:val="baseline"/>
              </w:rPr>
              <w:t>张）</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门诊国家重点监控药品使用情况汇总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急诊</w:t>
            </w:r>
            <w:r>
              <w:rPr>
                <w:rFonts w:hint="eastAsia" w:ascii="仿宋" w:hAnsi="仿宋" w:eastAsia="仿宋" w:cs="仿宋"/>
                <w:color w:val="auto"/>
                <w:highlight w:val="none"/>
                <w:vertAlign w:val="baseline"/>
              </w:rPr>
              <w:t>国家重点监控药品使用情况汇总</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住院国家重点监控药品使用情况汇总</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b/>
                <w:bCs/>
                <w:color w:val="auto"/>
                <w:highlight w:val="none"/>
                <w:vertAlign w:val="baseline"/>
              </w:rPr>
              <w:t>手术用药专项（2张</w:t>
            </w:r>
            <w:r>
              <w:rPr>
                <w:rFonts w:hint="eastAsia" w:ascii="仿宋" w:hAnsi="仿宋" w:eastAsia="仿宋" w:cs="仿宋"/>
                <w:b/>
                <w:bCs/>
                <w:color w:val="auto"/>
                <w:highlight w:val="none"/>
                <w:vertAlign w:val="baseline"/>
                <w:lang w:eastAsia="zh-CN"/>
              </w:rPr>
              <w:t>）</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围手术期抗菌药物使用情况表</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I类切口手术汇总表</w:t>
            </w:r>
          </w:p>
          <w:p>
            <w:pPr>
              <w:keepNext w:val="0"/>
              <w:keepLines w:val="0"/>
              <w:suppressLineNumbers w:val="0"/>
              <w:spacing w:before="0" w:beforeAutospacing="0" w:after="0" w:afterAutospacing="0"/>
              <w:ind w:left="0" w:right="0"/>
              <w:rPr>
                <w:rFonts w:hint="eastAsia" w:ascii="仿宋" w:hAnsi="仿宋" w:eastAsia="仿宋" w:cs="仿宋"/>
                <w:b/>
                <w:bCs/>
                <w:color w:val="auto"/>
                <w:highlight w:val="none"/>
                <w:vertAlign w:val="baseline"/>
                <w:lang w:eastAsia="zh-CN"/>
              </w:rPr>
            </w:pPr>
            <w:r>
              <w:rPr>
                <w:rFonts w:hint="eastAsia" w:ascii="仿宋" w:hAnsi="仿宋" w:eastAsia="仿宋" w:cs="仿宋"/>
                <w:b/>
                <w:bCs/>
                <w:color w:val="auto"/>
                <w:highlight w:val="none"/>
                <w:vertAlign w:val="baseline"/>
              </w:rPr>
              <w:t>药品使用分析（</w:t>
            </w:r>
            <w:r>
              <w:rPr>
                <w:rFonts w:hint="eastAsia" w:ascii="仿宋" w:hAnsi="仿宋" w:eastAsia="仿宋" w:cs="仿宋"/>
                <w:b/>
                <w:bCs/>
                <w:color w:val="auto"/>
                <w:highlight w:val="none"/>
                <w:vertAlign w:val="baseline"/>
                <w:lang w:val="en-US" w:eastAsia="zh-CN"/>
              </w:rPr>
              <w:t>4</w:t>
            </w:r>
            <w:r>
              <w:rPr>
                <w:rFonts w:hint="eastAsia" w:ascii="仿宋" w:hAnsi="仿宋" w:eastAsia="仿宋" w:cs="仿宋"/>
                <w:b/>
                <w:bCs/>
                <w:color w:val="auto"/>
                <w:highlight w:val="none"/>
                <w:vertAlign w:val="baseline"/>
              </w:rPr>
              <w:t>张）</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eastAsia="zh-CN"/>
              </w:rPr>
            </w:pPr>
            <w:r>
              <w:rPr>
                <w:rFonts w:hint="eastAsia" w:ascii="仿宋" w:hAnsi="仿宋" w:eastAsia="仿宋" w:cs="仿宋"/>
                <w:color w:val="auto"/>
                <w:highlight w:val="none"/>
                <w:vertAlign w:val="baseline"/>
              </w:rPr>
              <w:t>全院药品使用分析</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门诊药品用量分析</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lang w:val="en-US" w:eastAsia="zh-CN"/>
              </w:rPr>
              <w:t>急诊</w:t>
            </w:r>
            <w:r>
              <w:rPr>
                <w:rFonts w:hint="eastAsia" w:ascii="仿宋" w:hAnsi="仿宋" w:eastAsia="仿宋" w:cs="仿宋"/>
                <w:color w:val="auto"/>
                <w:highlight w:val="none"/>
                <w:vertAlign w:val="baseline"/>
              </w:rPr>
              <w:t>药品用量分析</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住院药品用量分析</w:t>
            </w:r>
            <w:r>
              <w:rPr>
                <w:rFonts w:hint="eastAsia" w:ascii="仿宋" w:hAnsi="仿宋" w:eastAsia="仿宋" w:cs="仿宋"/>
                <w:color w:val="auto"/>
                <w:highlight w:val="none"/>
                <w:vertAlign w:val="baseline"/>
                <w:lang w:eastAsia="zh-CN"/>
              </w:rPr>
              <w:t>。</w:t>
            </w:r>
          </w:p>
          <w:p>
            <w:pPr>
              <w:keepNext w:val="0"/>
              <w:keepLines w:val="0"/>
              <w:suppressLineNumbers w:val="0"/>
              <w:spacing w:before="0" w:beforeAutospacing="0" w:after="0" w:afterAutospacing="0"/>
              <w:ind w:left="0" w:right="0"/>
              <w:rPr>
                <w:rFonts w:hint="eastAsia" w:ascii="仿宋" w:hAnsi="仿宋" w:eastAsia="仿宋" w:cs="仿宋"/>
                <w:b/>
                <w:bCs/>
                <w:color w:val="auto"/>
                <w:highlight w:val="none"/>
                <w:vertAlign w:val="baseline"/>
                <w:lang w:eastAsia="zh-CN"/>
              </w:rPr>
            </w:pPr>
            <w:r>
              <w:rPr>
                <w:rFonts w:hint="eastAsia" w:ascii="仿宋" w:hAnsi="仿宋" w:eastAsia="仿宋" w:cs="仿宋"/>
                <w:b/>
                <w:bCs/>
                <w:color w:val="auto"/>
                <w:highlight w:val="none"/>
                <w:vertAlign w:val="baseline"/>
              </w:rPr>
              <w:t>药品适宜性分析报表（</w:t>
            </w:r>
            <w:r>
              <w:rPr>
                <w:rFonts w:hint="eastAsia" w:ascii="仿宋" w:hAnsi="仿宋" w:eastAsia="仿宋" w:cs="仿宋"/>
                <w:b/>
                <w:bCs/>
                <w:color w:val="auto"/>
                <w:highlight w:val="none"/>
                <w:vertAlign w:val="baseline"/>
                <w:lang w:val="en-US" w:eastAsia="zh-CN"/>
              </w:rPr>
              <w:t>4</w:t>
            </w:r>
            <w:r>
              <w:rPr>
                <w:rFonts w:hint="eastAsia" w:ascii="仿宋" w:hAnsi="仿宋" w:eastAsia="仿宋" w:cs="仿宋"/>
                <w:b/>
                <w:bCs/>
                <w:color w:val="auto"/>
                <w:highlight w:val="none"/>
                <w:vertAlign w:val="baseline"/>
              </w:rPr>
              <w:t>张）</w:t>
            </w:r>
          </w:p>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门诊用药适宜性分析</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住院用药适宜性分析</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门诊药品用药问题统计</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住院药品用药问题统计</w:t>
            </w:r>
          </w:p>
          <w:p>
            <w:pPr>
              <w:keepNext w:val="0"/>
              <w:keepLines w:val="0"/>
              <w:suppressLineNumbers w:val="0"/>
              <w:spacing w:before="0" w:beforeAutospacing="0" w:after="0" w:afterAutospacing="0"/>
              <w:ind w:left="0" w:right="0"/>
              <w:rPr>
                <w:rFonts w:hint="eastAsia" w:ascii="仿宋" w:hAnsi="仿宋" w:eastAsia="仿宋" w:cs="仿宋"/>
                <w:b/>
                <w:bCs/>
                <w:color w:val="auto"/>
                <w:highlight w:val="none"/>
                <w:vertAlign w:val="baseline"/>
                <w:lang w:eastAsia="zh-CN"/>
              </w:rPr>
            </w:pPr>
            <w:r>
              <w:rPr>
                <w:rFonts w:hint="eastAsia" w:ascii="仿宋" w:hAnsi="仿宋" w:eastAsia="仿宋" w:cs="仿宋"/>
                <w:b/>
                <w:bCs/>
                <w:color w:val="auto"/>
                <w:highlight w:val="none"/>
                <w:vertAlign w:val="baseline"/>
              </w:rPr>
              <w:t>药品使用排名（2张）</w:t>
            </w:r>
          </w:p>
          <w:p>
            <w:pPr>
              <w:keepNext w:val="0"/>
              <w:keepLines w:val="0"/>
              <w:suppressLineNumbers w:val="0"/>
              <w:spacing w:before="0" w:beforeAutospacing="0" w:after="0" w:afterAutospacing="0"/>
              <w:ind w:left="0" w:right="0"/>
              <w:rPr>
                <w:rFonts w:hint="eastAsia" w:eastAsia="仿宋"/>
                <w:lang w:eastAsia="zh-CN"/>
              </w:rPr>
            </w:pPr>
            <w:r>
              <w:rPr>
                <w:rFonts w:hint="eastAsia" w:ascii="仿宋" w:hAnsi="仿宋" w:eastAsia="仿宋" w:cs="仿宋"/>
                <w:color w:val="auto"/>
                <w:highlight w:val="none"/>
                <w:vertAlign w:val="baseline"/>
              </w:rPr>
              <w:t>全院药品使用排名</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全院医生用药排名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7.2</w:t>
            </w:r>
          </w:p>
        </w:tc>
        <w:tc>
          <w:tcPr>
            <w:tcW w:w="7494" w:type="dxa"/>
            <w:noWrap w:val="0"/>
            <w:vAlign w:val="top"/>
          </w:tcPr>
          <w:p>
            <w:pPr>
              <w:keepNext w:val="0"/>
              <w:keepLines w:val="0"/>
              <w:suppressLineNumbers w:val="0"/>
              <w:spacing w:before="0" w:beforeAutospacing="0" w:after="0" w:afterAutospacing="0"/>
              <w:ind w:left="0" w:right="0"/>
              <w:rPr>
                <w:rFonts w:hint="eastAsia" w:ascii="仿宋" w:hAnsi="仿宋" w:eastAsia="仿宋" w:cs="仿宋"/>
                <w:color w:val="auto"/>
                <w:highlight w:val="none"/>
                <w:vertAlign w:val="baseline"/>
              </w:rPr>
            </w:pPr>
            <w:r>
              <w:rPr>
                <w:rFonts w:hint="eastAsia" w:ascii="仿宋" w:hAnsi="仿宋" w:eastAsia="仿宋" w:cs="仿宋"/>
                <w:color w:val="auto"/>
                <w:highlight w:val="none"/>
                <w:vertAlign w:val="baseline"/>
              </w:rPr>
              <w:t>支持报表按机构</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科室</w:t>
            </w:r>
            <w:r>
              <w:rPr>
                <w:rFonts w:hint="eastAsia" w:ascii="仿宋" w:hAnsi="仿宋" w:eastAsia="仿宋" w:cs="仿宋"/>
                <w:color w:val="auto"/>
                <w:highlight w:val="none"/>
                <w:vertAlign w:val="baseline"/>
                <w:lang w:eastAsia="zh-CN"/>
              </w:rPr>
              <w:t>、</w:t>
            </w:r>
            <w:r>
              <w:rPr>
                <w:rFonts w:hint="eastAsia" w:ascii="仿宋" w:hAnsi="仿宋" w:eastAsia="仿宋" w:cs="仿宋"/>
                <w:color w:val="auto"/>
                <w:highlight w:val="none"/>
                <w:vertAlign w:val="baseline"/>
              </w:rPr>
              <w:t>医生（或医疗组）的下钻展示，并支持按条件筛选报表统计结果；支持按月、季度、年自动生成周期性报表，同时支持用户手动生成非周期性报表数据；支持在线调整报表的显示内容，包括显示哪些指标及指标显示顺序；支持具体指标统计结果的点击排序；支持数据有变化时，提醒用户重新生成报表；支持报表导出，导出格式为excel格式；支持配置报表查看、报表生成、报表管理、报表填写的用户权限</w:t>
            </w:r>
          </w:p>
        </w:tc>
      </w:tr>
    </w:tbl>
    <w:p>
      <w:pPr>
        <w:keepNext w:val="0"/>
        <w:keepLines w:val="0"/>
        <w:pageBreakBefore w:val="0"/>
        <w:kinsoku/>
        <w:wordWrap/>
        <w:overflowPunct/>
        <w:topLinePunct w:val="0"/>
        <w:bidi w:val="0"/>
        <w:adjustRightInd w:val="0"/>
        <w:spacing w:line="336" w:lineRule="auto"/>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三、商务要求</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w:t>
      </w:r>
      <w:r>
        <w:rPr>
          <w:rFonts w:hint="eastAsia" w:ascii="仿宋" w:hAnsi="仿宋" w:eastAsia="仿宋" w:cs="仿宋"/>
          <w:b/>
          <w:bCs/>
          <w:color w:val="auto"/>
          <w:kern w:val="0"/>
          <w:sz w:val="24"/>
          <w:szCs w:val="24"/>
          <w:highlight w:val="none"/>
        </w:rPr>
        <w:t>售后服务要求</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1.1服务期</w:t>
      </w:r>
      <w:r>
        <w:rPr>
          <w:rFonts w:hint="eastAsia" w:ascii="仿宋" w:hAnsi="仿宋" w:eastAsia="仿宋" w:cs="仿宋"/>
          <w:color w:val="auto"/>
          <w:kern w:val="0"/>
          <w:sz w:val="24"/>
          <w:szCs w:val="24"/>
          <w:highlight w:val="none"/>
        </w:rPr>
        <w:t>要求：</w:t>
      </w:r>
      <w:r>
        <w:rPr>
          <w:rFonts w:hint="eastAsia" w:ascii="仿宋" w:hAnsi="仿宋" w:eastAsia="仿宋" w:cs="仿宋"/>
          <w:color w:val="auto"/>
          <w:kern w:val="0"/>
          <w:sz w:val="24"/>
          <w:szCs w:val="24"/>
          <w:highlight w:val="none"/>
          <w:lang w:val="en-US" w:eastAsia="zh-CN"/>
        </w:rPr>
        <w:t>本项目验收完成后，免费提供一年质保服务</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lang w:val="en-US" w:eastAsia="zh-CN" w:bidi="ar-SA"/>
        </w:rPr>
        <w:t>维保期内</w:t>
      </w:r>
      <w:r>
        <w:rPr>
          <w:rFonts w:hint="default" w:ascii="仿宋" w:hAnsi="仿宋" w:eastAsia="仿宋" w:cs="仿宋"/>
          <w:color w:val="auto"/>
          <w:sz w:val="24"/>
          <w:szCs w:val="24"/>
          <w:highlight w:val="none"/>
          <w:lang w:val="en-US" w:eastAsia="zh-CN" w:bidi="ar-SA"/>
        </w:rPr>
        <w:t>未</w:t>
      </w:r>
      <w:r>
        <w:rPr>
          <w:rFonts w:hint="eastAsia" w:ascii="仿宋" w:hAnsi="仿宋" w:eastAsia="仿宋" w:cs="仿宋"/>
          <w:color w:val="auto"/>
          <w:sz w:val="24"/>
          <w:szCs w:val="24"/>
          <w:highlight w:val="none"/>
          <w:lang w:val="en-US" w:eastAsia="zh-CN" w:bidi="ar-SA"/>
        </w:rPr>
        <w:t>涉及产品框架改造，中标方应按医院业务需求修改，不收取任何费用。</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技术支持要求：</w:t>
      </w:r>
      <w:r>
        <w:rPr>
          <w:rFonts w:hint="eastAsia" w:ascii="仿宋" w:hAnsi="仿宋" w:eastAsia="仿宋" w:cs="仿宋"/>
          <w:color w:val="auto"/>
          <w:kern w:val="0"/>
          <w:sz w:val="24"/>
          <w:szCs w:val="24"/>
          <w:highlight w:val="none"/>
          <w:lang w:val="en-US" w:eastAsia="zh-CN"/>
        </w:rPr>
        <w:t>服务期</w:t>
      </w:r>
      <w:r>
        <w:rPr>
          <w:rFonts w:hint="eastAsia" w:ascii="仿宋" w:hAnsi="仿宋" w:eastAsia="仿宋" w:cs="仿宋"/>
          <w:color w:val="auto"/>
          <w:kern w:val="0"/>
          <w:sz w:val="24"/>
          <w:szCs w:val="24"/>
          <w:highlight w:val="none"/>
        </w:rPr>
        <w:t>内出现问题，</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小时内响应，</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小时内到达现场，24小时内解决问题，提供不间断的服务直到系统正常运行，提供固定1名技术客服人员随时提供技术服务。</w:t>
      </w:r>
    </w:p>
    <w:p>
      <w:pPr>
        <w:pStyle w:val="60"/>
        <w:keepNext w:val="0"/>
        <w:keepLines w:val="0"/>
        <w:pageBreakBefore w:val="0"/>
        <w:kinsoku/>
        <w:wordWrap/>
        <w:overflowPunct/>
        <w:topLinePunct w:val="0"/>
        <w:bidi w:val="0"/>
        <w:adjustRightInd w:val="0"/>
        <w:spacing w:after="0" w:line="336"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热线电话服务提供技术咨询、故障诊断、故障排除、以及现场支持等具体的技术支持工作，并对客户投诉做出相应处理。</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1.4</w:t>
      </w:r>
      <w:r>
        <w:rPr>
          <w:rFonts w:hint="eastAsia" w:ascii="仿宋" w:hAnsi="仿宋" w:eastAsia="仿宋" w:cs="仿宋"/>
          <w:color w:val="auto"/>
          <w:kern w:val="0"/>
          <w:sz w:val="24"/>
          <w:szCs w:val="24"/>
          <w:highlight w:val="none"/>
        </w:rPr>
        <w:t>免费升级服务：供应商应伴随软件产品的更新，为采购人提供升级服务。</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sz w:val="24"/>
          <w:szCs w:val="24"/>
          <w:highlight w:val="none"/>
        </w:rPr>
        <w:t>定期巡检与调优系统，复杂的运行环境等种种原因会造成系统性能的逐渐下降。通过定期的技术检查，可及时排除故障隐患，以免问题发生后影响业务运作，还能及时调优系统性能，使系统始终处于高效率运行状态。</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1.6</w:t>
      </w:r>
      <w:r>
        <w:rPr>
          <w:rFonts w:hint="eastAsia" w:ascii="仿宋" w:hAnsi="仿宋" w:eastAsia="仿宋" w:cs="仿宋"/>
          <w:color w:val="auto"/>
          <w:kern w:val="0"/>
          <w:sz w:val="24"/>
          <w:szCs w:val="24"/>
          <w:highlight w:val="none"/>
        </w:rPr>
        <w:t>用药支持服务：供应商应根据</w:t>
      </w: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color w:val="auto"/>
          <w:kern w:val="0"/>
          <w:sz w:val="24"/>
          <w:szCs w:val="24"/>
          <w:highlight w:val="none"/>
        </w:rPr>
        <w:t>需求，提供用药管理的应用建议、临床用药管理方案及现场支持服务等。</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1.7</w:t>
      </w:r>
      <w:r>
        <w:rPr>
          <w:rFonts w:hint="eastAsia" w:ascii="仿宋" w:hAnsi="仿宋" w:eastAsia="仿宋" w:cs="仿宋"/>
          <w:color w:val="auto"/>
          <w:kern w:val="0"/>
          <w:sz w:val="24"/>
          <w:szCs w:val="24"/>
          <w:highlight w:val="none"/>
        </w:rPr>
        <w:t>免费知识库更新服务：在服务期内，供应商提供1年4次知识库的更新服务。</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b/>
          <w:bCs/>
          <w:color w:val="auto"/>
          <w:kern w:val="0"/>
          <w:sz w:val="24"/>
          <w:szCs w:val="24"/>
          <w:highlight w:val="none"/>
        </w:rPr>
      </w:pPr>
      <w:bookmarkStart w:id="55" w:name="_Toc13333"/>
      <w:r>
        <w:rPr>
          <w:rFonts w:hint="eastAsia" w:ascii="仿宋" w:hAnsi="仿宋" w:eastAsia="仿宋" w:cs="仿宋"/>
          <w:b/>
          <w:bCs/>
          <w:color w:val="auto"/>
          <w:kern w:val="0"/>
          <w:sz w:val="24"/>
          <w:szCs w:val="24"/>
          <w:highlight w:val="none"/>
          <w:lang w:val="en-US" w:eastAsia="zh-CN"/>
        </w:rPr>
        <w:t>2.</w:t>
      </w:r>
      <w:r>
        <w:rPr>
          <w:rFonts w:hint="eastAsia" w:ascii="仿宋" w:hAnsi="仿宋" w:eastAsia="仿宋" w:cs="仿宋"/>
          <w:b/>
          <w:bCs/>
          <w:color w:val="auto"/>
          <w:kern w:val="0"/>
          <w:sz w:val="24"/>
          <w:szCs w:val="24"/>
          <w:highlight w:val="none"/>
        </w:rPr>
        <w:t>培训要求</w:t>
      </w:r>
      <w:bookmarkEnd w:id="55"/>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2.1</w:t>
      </w:r>
      <w:r>
        <w:rPr>
          <w:rFonts w:hint="eastAsia" w:ascii="仿宋" w:hAnsi="仿宋" w:eastAsia="仿宋" w:cs="仿宋"/>
          <w:color w:val="auto"/>
          <w:kern w:val="0"/>
          <w:sz w:val="24"/>
          <w:szCs w:val="24"/>
          <w:highlight w:val="none"/>
        </w:rPr>
        <w:t>供应商须在投标文件中提供详细的培训计划，包括培训内容、培训时间等。须根据医疗机构规模组织针对系统的维护及操作培训，从现场调试开始，对操作人员进行现场培训，直到操作人员能使系统正常运行为止。</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2.2</w:t>
      </w:r>
      <w:r>
        <w:rPr>
          <w:rFonts w:hint="eastAsia" w:ascii="仿宋" w:hAnsi="仿宋" w:eastAsia="仿宋" w:cs="仿宋"/>
          <w:color w:val="auto"/>
          <w:kern w:val="0"/>
          <w:sz w:val="24"/>
          <w:szCs w:val="24"/>
          <w:highlight w:val="none"/>
        </w:rPr>
        <w:t>供应商派出的培训教员应具备丰富的相同课程教学经验，培训分角色进行，各种使用角色分批培训，力争达到最好的培训效果。</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2.3</w:t>
      </w:r>
      <w:r>
        <w:rPr>
          <w:rFonts w:hint="eastAsia" w:ascii="仿宋" w:hAnsi="仿宋" w:eastAsia="仿宋" w:cs="仿宋"/>
          <w:color w:val="auto"/>
          <w:kern w:val="0"/>
          <w:sz w:val="24"/>
          <w:szCs w:val="24"/>
          <w:highlight w:val="none"/>
        </w:rPr>
        <w:t>所有的培训费用均应包含在投标报价中。</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b/>
          <w:bCs/>
          <w:color w:val="auto"/>
          <w:kern w:val="0"/>
          <w:sz w:val="24"/>
          <w:szCs w:val="24"/>
          <w:highlight w:val="none"/>
        </w:rPr>
      </w:pPr>
      <w:bookmarkStart w:id="56" w:name="_Toc26456"/>
      <w:r>
        <w:rPr>
          <w:rFonts w:hint="eastAsia" w:ascii="仿宋" w:hAnsi="仿宋" w:eastAsia="仿宋" w:cs="仿宋"/>
          <w:b/>
          <w:bCs/>
          <w:color w:val="auto"/>
          <w:kern w:val="0"/>
          <w:sz w:val="24"/>
          <w:szCs w:val="24"/>
          <w:highlight w:val="none"/>
          <w:lang w:val="en-US" w:eastAsia="zh-CN"/>
        </w:rPr>
        <w:t>3.</w:t>
      </w:r>
      <w:r>
        <w:rPr>
          <w:rFonts w:hint="eastAsia" w:ascii="仿宋" w:hAnsi="仿宋" w:eastAsia="仿宋" w:cs="仿宋"/>
          <w:b/>
          <w:bCs/>
          <w:color w:val="auto"/>
          <w:kern w:val="0"/>
          <w:sz w:val="24"/>
          <w:szCs w:val="24"/>
          <w:highlight w:val="none"/>
        </w:rPr>
        <w:t>工期要求</w:t>
      </w:r>
      <w:bookmarkEnd w:id="56"/>
      <w:r>
        <w:rPr>
          <w:rFonts w:hint="eastAsia" w:ascii="仿宋" w:hAnsi="仿宋" w:eastAsia="仿宋" w:cs="仿宋"/>
          <w:b/>
          <w:bCs/>
          <w:color w:val="auto"/>
          <w:kern w:val="0"/>
          <w:sz w:val="24"/>
          <w:szCs w:val="24"/>
          <w:highlight w:val="none"/>
          <w:lang w:eastAsia="zh-CN"/>
        </w:rPr>
        <w:t>：</w:t>
      </w:r>
      <w:r>
        <w:rPr>
          <w:rFonts w:hint="eastAsia" w:ascii="仿宋" w:hAnsi="仿宋" w:eastAsia="仿宋" w:cs="仿宋"/>
          <w:color w:val="auto"/>
          <w:sz w:val="24"/>
          <w:szCs w:val="24"/>
          <w:highlight w:val="none"/>
        </w:rPr>
        <w:t>合同签订后</w:t>
      </w:r>
      <w:r>
        <w:rPr>
          <w:rFonts w:hint="eastAsia" w:ascii="仿宋" w:hAnsi="仿宋" w:eastAsia="仿宋" w:cs="仿宋"/>
          <w:color w:val="auto"/>
          <w:kern w:val="0"/>
          <w:sz w:val="24"/>
          <w:szCs w:val="24"/>
          <w:highlight w:val="none"/>
          <w:lang w:val="en-US" w:eastAsia="zh-CN"/>
        </w:rPr>
        <w:t>6个月</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b/>
          <w:bCs/>
          <w:color w:val="auto"/>
          <w:kern w:val="0"/>
          <w:sz w:val="24"/>
          <w:szCs w:val="24"/>
          <w:highlight w:val="none"/>
        </w:rPr>
      </w:pPr>
      <w:bookmarkStart w:id="57" w:name="_Toc17650"/>
      <w:r>
        <w:rPr>
          <w:rFonts w:hint="eastAsia" w:ascii="仿宋" w:hAnsi="仿宋" w:eastAsia="仿宋" w:cs="仿宋"/>
          <w:b/>
          <w:bCs/>
          <w:color w:val="auto"/>
          <w:kern w:val="0"/>
          <w:sz w:val="24"/>
          <w:szCs w:val="24"/>
          <w:highlight w:val="none"/>
          <w:lang w:val="en-US" w:eastAsia="zh-CN"/>
        </w:rPr>
        <w:t>4.</w:t>
      </w:r>
      <w:r>
        <w:rPr>
          <w:rFonts w:hint="eastAsia" w:ascii="仿宋" w:hAnsi="仿宋" w:eastAsia="仿宋" w:cs="仿宋"/>
          <w:b/>
          <w:bCs/>
          <w:color w:val="auto"/>
          <w:kern w:val="0"/>
          <w:sz w:val="24"/>
          <w:szCs w:val="24"/>
          <w:highlight w:val="none"/>
        </w:rPr>
        <w:t>验收要求</w:t>
      </w:r>
      <w:bookmarkEnd w:id="57"/>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rPr>
        <w:t>软件安装、开发实施并调试完成后，经过</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的认可后，由</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组织初验。软件安装调试完成并通过初步验收后，投入试运行，在试运行期间，供应商应使任何故障或问题都能在收到故障通知后尽快（节、假日也不例外）被修复和解决，并给出详细修复细节报告，所有试运行期间软件的修改和变化都应在试运行结束后提供书面和电子文档给</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。试运行时间为15日，之后若无功能性缺陷及重大故障，由</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组织终验。</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4.2</w:t>
      </w:r>
      <w:r>
        <w:rPr>
          <w:rFonts w:hint="eastAsia" w:ascii="仿宋" w:hAnsi="仿宋" w:eastAsia="仿宋" w:cs="仿宋"/>
          <w:color w:val="auto"/>
          <w:kern w:val="0"/>
          <w:sz w:val="24"/>
          <w:szCs w:val="24"/>
          <w:highlight w:val="none"/>
        </w:rPr>
        <w:t xml:space="preserve">项目最终验收时，中标供应商将如下项目文档完整移交采购人，主要提交如下内容（包括但不限于）： </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提交的技术文档包括：</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（1）项目建设方案；</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（2）管理员手册及运行维护方案、用户操作手册；</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（3）系统备份方案；</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（4）应急方案。</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供应商在项目验收时向</w:t>
      </w: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color w:val="auto"/>
          <w:kern w:val="0"/>
          <w:sz w:val="24"/>
          <w:szCs w:val="24"/>
          <w:highlight w:val="none"/>
        </w:rPr>
        <w:t>随软件交付完整的技术文档，提交的技术文档内容必须与所提供的产品相一致，并应尽可能详细。</w:t>
      </w:r>
    </w:p>
    <w:p>
      <w:pPr>
        <w:keepNext w:val="0"/>
        <w:keepLines w:val="0"/>
        <w:pageBreakBefore w:val="0"/>
        <w:widowControl/>
        <w:kinsoku/>
        <w:wordWrap/>
        <w:overflowPunct/>
        <w:topLinePunct w:val="0"/>
        <w:bidi w:val="0"/>
        <w:adjustRightInd w:val="0"/>
        <w:spacing w:line="336"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4.3</w:t>
      </w:r>
      <w:r>
        <w:rPr>
          <w:rFonts w:hint="eastAsia" w:ascii="仿宋" w:hAnsi="仿宋" w:eastAsia="仿宋" w:cs="仿宋"/>
          <w:color w:val="auto"/>
          <w:kern w:val="0"/>
          <w:sz w:val="24"/>
          <w:szCs w:val="24"/>
          <w:highlight w:val="none"/>
        </w:rPr>
        <w:t>验收形式：</w:t>
      </w: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color w:val="auto"/>
          <w:kern w:val="0"/>
          <w:sz w:val="24"/>
          <w:szCs w:val="24"/>
          <w:highlight w:val="none"/>
        </w:rPr>
        <w:t>出具正式《验收报告》，并由</w:t>
      </w: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color w:val="auto"/>
          <w:kern w:val="0"/>
          <w:sz w:val="24"/>
          <w:szCs w:val="24"/>
          <w:highlight w:val="none"/>
        </w:rPr>
        <w:t>签字盖章。</w:t>
      </w:r>
    </w:p>
    <w:p>
      <w:pPr>
        <w:keepNext w:val="0"/>
        <w:keepLines w:val="0"/>
        <w:pageBreakBefore w:val="0"/>
        <w:numPr>
          <w:ilvl w:val="0"/>
          <w:numId w:val="0"/>
        </w:numPr>
        <w:kinsoku/>
        <w:wordWrap/>
        <w:overflowPunct/>
        <w:topLinePunct w:val="0"/>
        <w:bidi w:val="0"/>
        <w:adjustRightInd w:val="0"/>
        <w:spacing w:line="336" w:lineRule="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5.</w:t>
      </w:r>
      <w:r>
        <w:rPr>
          <w:rFonts w:hint="eastAsia" w:ascii="仿宋" w:hAnsi="仿宋" w:eastAsia="仿宋" w:cs="仿宋"/>
          <w:b/>
          <w:bCs/>
          <w:color w:val="auto"/>
          <w:kern w:val="0"/>
          <w:sz w:val="24"/>
          <w:szCs w:val="24"/>
          <w:highlight w:val="none"/>
        </w:rPr>
        <w:t>付款方式</w:t>
      </w:r>
      <w:r>
        <w:rPr>
          <w:rFonts w:hint="eastAsia" w:ascii="仿宋" w:hAnsi="仿宋" w:eastAsia="仿宋" w:cs="仿宋"/>
          <w:b/>
          <w:bCs/>
          <w:color w:val="auto"/>
          <w:kern w:val="0"/>
          <w:sz w:val="24"/>
          <w:szCs w:val="24"/>
          <w:highlight w:val="none"/>
        </w:rPr>
        <w:tab/>
      </w:r>
    </w:p>
    <w:p>
      <w:pPr>
        <w:keepNext w:val="0"/>
        <w:keepLines w:val="0"/>
        <w:pageBreakBefore w:val="0"/>
        <w:numPr>
          <w:ilvl w:val="0"/>
          <w:numId w:val="0"/>
        </w:numPr>
        <w:kinsoku/>
        <w:wordWrap/>
        <w:overflowPunct/>
        <w:topLinePunct w:val="0"/>
        <w:bidi w:val="0"/>
        <w:adjustRightInd w:val="0"/>
        <w:spacing w:line="336" w:lineRule="auto"/>
        <w:ind w:firstLine="480" w:firstLineChars="20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按《浙江省财政厅关于进一步发挥政府采购政策 功能全力推动经济稳进提质的通知》（浙财采监〔2022〕3号）文件要求执行，具体付款方式由双方协商后在合同中明确</w:t>
      </w:r>
      <w:r>
        <w:rPr>
          <w:rFonts w:hint="eastAsia" w:ascii="仿宋" w:hAnsi="仿宋" w:eastAsia="仿宋" w:cs="仿宋"/>
          <w:color w:val="auto"/>
          <w:sz w:val="24"/>
          <w:szCs w:val="24"/>
          <w:highlight w:val="none"/>
          <w:lang w:eastAsia="zh-CN"/>
        </w:rPr>
        <w:t>。</w:t>
      </w:r>
    </w:p>
    <w:p>
      <w:pPr>
        <w:keepNext w:val="0"/>
        <w:keepLines w:val="0"/>
        <w:pageBreakBefore w:val="0"/>
        <w:widowControl/>
        <w:numPr>
          <w:ilvl w:val="0"/>
          <w:numId w:val="0"/>
        </w:numPr>
        <w:kinsoku/>
        <w:wordWrap/>
        <w:overflowPunct/>
        <w:topLinePunct w:val="0"/>
        <w:bidi w:val="0"/>
        <w:adjustRightInd w:val="0"/>
        <w:spacing w:line="336"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rPr>
        <w:t>6.</w:t>
      </w:r>
      <w:r>
        <w:rPr>
          <w:rFonts w:hint="eastAsia" w:ascii="仿宋" w:hAnsi="仿宋" w:eastAsia="仿宋" w:cs="仿宋"/>
          <w:b/>
          <w:bCs/>
          <w:color w:val="auto"/>
          <w:kern w:val="0"/>
          <w:sz w:val="24"/>
          <w:szCs w:val="24"/>
          <w:highlight w:val="none"/>
        </w:rPr>
        <w:t>报价方式</w:t>
      </w:r>
    </w:p>
    <w:p>
      <w:pPr>
        <w:pStyle w:val="964"/>
        <w:keepNext w:val="0"/>
        <w:keepLines w:val="0"/>
        <w:pageBreakBefore w:val="0"/>
        <w:numPr>
          <w:ilvl w:val="0"/>
          <w:numId w:val="0"/>
        </w:numPr>
        <w:kinsoku/>
        <w:wordWrap/>
        <w:overflowPunct/>
        <w:topLinePunct w:val="0"/>
        <w:bidi w:val="0"/>
        <w:adjustRightInd w:val="0"/>
        <w:spacing w:line="336" w:lineRule="auto"/>
        <w:ind w:leftChars="0" w:right="0" w:right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投标总价应包括本项目整个工期所需的一切人工、材料费、工具、设备、保险、交通、利润、验收、税金（包含须由供应商承担的各种税费）</w:t>
      </w:r>
      <w:r>
        <w:rPr>
          <w:rFonts w:hint="eastAsia" w:ascii="仿宋" w:hAnsi="仿宋" w:eastAsia="仿宋" w:cs="仿宋"/>
          <w:b w:val="0"/>
          <w:bCs w:val="0"/>
          <w:color w:val="auto"/>
          <w:kern w:val="0"/>
          <w:sz w:val="24"/>
          <w:szCs w:val="24"/>
          <w:highlight w:val="none"/>
          <w:lang w:val="en-US" w:eastAsia="zh-CN"/>
        </w:rPr>
        <w:t>、</w:t>
      </w:r>
      <w:r>
        <w:rPr>
          <w:rFonts w:hint="eastAsia" w:ascii="仿宋" w:hAnsi="仿宋" w:eastAsia="仿宋" w:cs="仿宋"/>
          <w:b w:val="0"/>
          <w:bCs w:val="0"/>
          <w:color w:val="auto"/>
          <w:kern w:val="0"/>
          <w:sz w:val="24"/>
          <w:szCs w:val="24"/>
          <w:highlight w:val="none"/>
        </w:rPr>
        <w:t>质保期内各类费用、</w:t>
      </w:r>
      <w:r>
        <w:rPr>
          <w:rFonts w:hint="eastAsia" w:ascii="仿宋" w:hAnsi="仿宋" w:eastAsia="仿宋" w:cs="仿宋"/>
          <w:b w:val="0"/>
          <w:bCs w:val="0"/>
          <w:color w:val="auto"/>
          <w:sz w:val="24"/>
          <w:szCs w:val="24"/>
          <w:highlight w:val="none"/>
        </w:rPr>
        <w:t>其它需供应商承担的费用及潜在可能涉及的一切费用。供应商应认真计算可能发生的各相关费用并计入投标报价内，在项目实施过程中不得藉此要求增加任何费用。</w:t>
      </w:r>
    </w:p>
    <w:p>
      <w:pPr>
        <w:pStyle w:val="964"/>
        <w:keepNext w:val="0"/>
        <w:keepLines w:val="0"/>
        <w:pageBreakBefore w:val="0"/>
        <w:numPr>
          <w:ilvl w:val="0"/>
          <w:numId w:val="0"/>
        </w:numPr>
        <w:kinsoku/>
        <w:wordWrap/>
        <w:overflowPunct/>
        <w:topLinePunct w:val="0"/>
        <w:bidi w:val="0"/>
        <w:adjustRightInd w:val="0"/>
        <w:spacing w:line="336" w:lineRule="auto"/>
        <w:ind w:right="0" w:rightChars="0"/>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lang w:eastAsia="zh-CN"/>
        </w:rPr>
        <w:t>其他要求</w:t>
      </w:r>
    </w:p>
    <w:p>
      <w:pPr>
        <w:pStyle w:val="965"/>
        <w:keepNext w:val="0"/>
        <w:keepLines w:val="0"/>
        <w:pageBreakBefore w:val="0"/>
        <w:kinsoku/>
        <w:wordWrap/>
        <w:overflowPunct/>
        <w:topLinePunct w:val="0"/>
        <w:bidi w:val="0"/>
        <w:adjustRightInd w:val="0"/>
        <w:spacing w:line="336" w:lineRule="auto"/>
        <w:ind w:left="0" w:leftChars="0" w:firstLine="0" w:firstLineChars="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7.1支持达到互联互通成熟度测评四级信息建设要求。</w:t>
      </w:r>
    </w:p>
    <w:p>
      <w:pPr>
        <w:pStyle w:val="965"/>
        <w:keepNext w:val="0"/>
        <w:keepLines w:val="0"/>
        <w:pageBreakBefore w:val="0"/>
        <w:tabs>
          <w:tab w:val="left" w:pos="1660"/>
        </w:tabs>
        <w:kinsoku/>
        <w:wordWrap/>
        <w:overflowPunct/>
        <w:topLinePunct w:val="0"/>
        <w:bidi w:val="0"/>
        <w:adjustRightInd w:val="0"/>
        <w:spacing w:line="336" w:lineRule="auto"/>
        <w:ind w:left="0" w:leftChars="0" w:firstLine="0" w:firstLineChars="0"/>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7.2该系统免费开放接口供其它系统使用及认证。</w:t>
      </w:r>
    </w:p>
    <w:p>
      <w:pPr>
        <w:pStyle w:val="965"/>
        <w:keepNext w:val="0"/>
        <w:keepLines w:val="0"/>
        <w:pageBreakBefore w:val="0"/>
        <w:tabs>
          <w:tab w:val="left" w:pos="1660"/>
        </w:tabs>
        <w:kinsoku/>
        <w:wordWrap/>
        <w:overflowPunct/>
        <w:topLinePunct w:val="0"/>
        <w:bidi w:val="0"/>
        <w:adjustRightInd w:val="0"/>
        <w:spacing w:line="336" w:lineRule="auto"/>
        <w:ind w:left="0" w:leftChars="0" w:firstLine="0" w:firstLineChars="0"/>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7.3系统应符合应用系统等保要求。</w:t>
      </w:r>
    </w:p>
    <w:p>
      <w:pPr>
        <w:pStyle w:val="965"/>
        <w:keepNext w:val="0"/>
        <w:keepLines w:val="0"/>
        <w:pageBreakBefore w:val="0"/>
        <w:shd w:val="clear" w:color="auto" w:fill="auto"/>
        <w:tabs>
          <w:tab w:val="left" w:pos="1660"/>
        </w:tabs>
        <w:kinsoku/>
        <w:wordWrap/>
        <w:overflowPunct/>
        <w:topLinePunct w:val="0"/>
        <w:bidi w:val="0"/>
        <w:adjustRightInd w:val="0"/>
        <w:spacing w:after="60" w:line="336" w:lineRule="auto"/>
        <w:ind w:left="0" w:leftChars="0" w:firstLine="0" w:firstLineChars="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7.4本项目建设单位按照信息系统工程监理的有关规定，已委托具有信息系统工程相应监理资质的工程监理单位，对项目建设进行工程监理，供应商须接受监理单位按照“四控、三管、一协调”的要求开展实施工作，确保项目建设质量。</w:t>
      </w:r>
    </w:p>
    <w:p>
      <w:pPr>
        <w:pStyle w:val="79"/>
        <w:rPr>
          <w:rFonts w:hint="eastAsia" w:ascii="仿宋" w:hAnsi="仿宋" w:eastAsia="仿宋" w:cs="仿宋"/>
          <w:color w:val="auto"/>
          <w:kern w:val="0"/>
          <w:szCs w:val="21"/>
          <w:highlight w:val="none"/>
        </w:rPr>
      </w:pPr>
    </w:p>
    <w:p>
      <w:pPr>
        <w:pStyle w:val="79"/>
        <w:rPr>
          <w:rFonts w:hint="eastAsia" w:ascii="仿宋" w:hAnsi="仿宋" w:eastAsia="仿宋" w:cs="仿宋"/>
          <w:color w:val="auto"/>
          <w:kern w:val="0"/>
          <w:szCs w:val="21"/>
          <w:highlight w:val="none"/>
        </w:rPr>
      </w:pPr>
    </w:p>
    <w:p>
      <w:pPr>
        <w:pStyle w:val="79"/>
        <w:rPr>
          <w:rFonts w:hint="eastAsia" w:ascii="仿宋" w:hAnsi="仿宋" w:eastAsia="仿宋" w:cs="仿宋"/>
          <w:color w:val="auto"/>
          <w:kern w:val="0"/>
          <w:szCs w:val="21"/>
          <w:highlight w:val="none"/>
        </w:rPr>
      </w:pPr>
    </w:p>
    <w:p>
      <w:pPr>
        <w:pStyle w:val="79"/>
        <w:rPr>
          <w:rFonts w:hint="eastAsia" w:ascii="仿宋" w:hAnsi="仿宋" w:eastAsia="仿宋" w:cs="仿宋"/>
          <w:color w:val="auto"/>
          <w:kern w:val="0"/>
          <w:szCs w:val="21"/>
          <w:highlight w:val="none"/>
        </w:rPr>
      </w:pPr>
    </w:p>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pStyle w:val="23"/>
        <w:spacing w:after="0"/>
        <w:jc w:val="center"/>
        <w:rPr>
          <w:rFonts w:hint="eastAsia" w:ascii="仿宋" w:hAnsi="仿宋" w:eastAsia="仿宋" w:cs="仿宋"/>
          <w:b/>
          <w:bCs/>
          <w:spacing w:val="-20"/>
          <w:kern w:val="44"/>
          <w:sz w:val="48"/>
          <w:szCs w:val="48"/>
          <w:highlight w:val="none"/>
        </w:rPr>
      </w:pPr>
    </w:p>
    <w:p>
      <w:pPr>
        <w:pStyle w:val="23"/>
        <w:spacing w:after="0"/>
        <w:jc w:val="center"/>
        <w:rPr>
          <w:rFonts w:hint="eastAsia" w:ascii="仿宋" w:hAnsi="仿宋" w:eastAsia="仿宋" w:cs="仿宋"/>
          <w:b/>
          <w:bCs/>
          <w:spacing w:val="-20"/>
          <w:kern w:val="44"/>
          <w:sz w:val="48"/>
          <w:szCs w:val="48"/>
          <w:highlight w:val="none"/>
        </w:rPr>
      </w:pPr>
    </w:p>
    <w:p>
      <w:pPr>
        <w:pStyle w:val="23"/>
        <w:spacing w:after="0"/>
        <w:jc w:val="center"/>
        <w:rPr>
          <w:rFonts w:hint="eastAsia" w:ascii="仿宋" w:hAnsi="仿宋" w:eastAsia="仿宋" w:cs="仿宋"/>
          <w:b/>
          <w:bCs/>
          <w:spacing w:val="-20"/>
          <w:kern w:val="44"/>
          <w:sz w:val="48"/>
          <w:szCs w:val="48"/>
          <w:highlight w:val="none"/>
        </w:rPr>
      </w:pPr>
    </w:p>
    <w:p>
      <w:pPr>
        <w:pStyle w:val="23"/>
        <w:spacing w:after="0"/>
        <w:jc w:val="center"/>
        <w:rPr>
          <w:rFonts w:hint="eastAsia" w:ascii="仿宋" w:hAnsi="仿宋" w:eastAsia="仿宋" w:cs="仿宋"/>
          <w:b/>
          <w:bCs/>
          <w:spacing w:val="-20"/>
          <w:kern w:val="44"/>
          <w:sz w:val="48"/>
          <w:szCs w:val="48"/>
          <w:highlight w:val="none"/>
        </w:rPr>
      </w:pPr>
    </w:p>
    <w:p>
      <w:pPr>
        <w:pStyle w:val="23"/>
        <w:spacing w:after="0"/>
        <w:jc w:val="center"/>
        <w:rPr>
          <w:rFonts w:hint="eastAsia"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w:t>
      </w:r>
      <w:r>
        <w:rPr>
          <w:rFonts w:hint="eastAsia" w:ascii="仿宋" w:hAnsi="仿宋" w:eastAsia="仿宋" w:cs="仿宋"/>
          <w:b/>
          <w:bCs/>
          <w:spacing w:val="-20"/>
          <w:kern w:val="44"/>
          <w:sz w:val="48"/>
          <w:szCs w:val="48"/>
          <w:highlight w:val="none"/>
          <w:lang w:eastAsia="zh-CN"/>
        </w:rPr>
        <w:t>货物买卖</w:t>
      </w:r>
      <w:r>
        <w:rPr>
          <w:rFonts w:hint="eastAsia" w:ascii="仿宋" w:hAnsi="仿宋" w:eastAsia="仿宋" w:cs="仿宋"/>
          <w:b/>
          <w:bCs/>
          <w:spacing w:val="-20"/>
          <w:kern w:val="44"/>
          <w:sz w:val="48"/>
          <w:szCs w:val="48"/>
          <w:highlight w:val="none"/>
        </w:rPr>
        <w:t>合同</w:t>
      </w:r>
    </w:p>
    <w:p>
      <w:pPr>
        <w:pStyle w:val="23"/>
        <w:spacing w:after="0"/>
        <w:jc w:val="center"/>
        <w:rPr>
          <w:rFonts w:hint="eastAsia" w:ascii="仿宋" w:hAnsi="仿宋" w:eastAsia="仿宋" w:cs="仿宋"/>
          <w:b/>
          <w:bCs/>
          <w:spacing w:val="-20"/>
          <w:kern w:val="44"/>
          <w:sz w:val="48"/>
          <w:szCs w:val="48"/>
          <w:highlight w:val="none"/>
          <w:lang w:eastAsia="zh-CN"/>
        </w:rPr>
      </w:pPr>
      <w:r>
        <w:rPr>
          <w:rFonts w:hint="eastAsia" w:ascii="仿宋" w:hAnsi="仿宋" w:eastAsia="仿宋" w:cs="仿宋"/>
          <w:b/>
          <w:bCs/>
          <w:spacing w:val="-20"/>
          <w:kern w:val="44"/>
          <w:sz w:val="48"/>
          <w:szCs w:val="48"/>
          <w:highlight w:val="none"/>
          <w:lang w:eastAsia="zh-CN"/>
        </w:rPr>
        <w:t>（试行）</w:t>
      </w:r>
    </w:p>
    <w:p>
      <w:pPr>
        <w:rPr>
          <w:rFonts w:hint="eastAsia" w:ascii="仿宋" w:hAnsi="仿宋" w:eastAsia="仿宋" w:cs="仿宋"/>
          <w:b/>
          <w:bCs/>
          <w:spacing w:val="-20"/>
          <w:kern w:val="44"/>
          <w:sz w:val="40"/>
          <w:szCs w:val="40"/>
          <w:highlight w:val="none"/>
        </w:rPr>
      </w:pPr>
    </w:p>
    <w:p>
      <w:pPr>
        <w:rPr>
          <w:rFonts w:hint="eastAsia" w:ascii="仿宋" w:hAnsi="仿宋" w:eastAsia="仿宋" w:cs="仿宋"/>
          <w:b/>
          <w:bCs/>
          <w:spacing w:val="-20"/>
          <w:kern w:val="44"/>
          <w:sz w:val="40"/>
          <w:szCs w:val="40"/>
          <w:highlight w:val="none"/>
        </w:rPr>
      </w:pPr>
    </w:p>
    <w:p>
      <w:pPr>
        <w:rPr>
          <w:rFonts w:hint="eastAsia" w:ascii="仿宋" w:hAnsi="仿宋" w:eastAsia="仿宋" w:cs="仿宋"/>
          <w:b/>
          <w:bCs/>
          <w:spacing w:val="-20"/>
          <w:kern w:val="44"/>
          <w:sz w:val="40"/>
          <w:szCs w:val="40"/>
          <w:highlight w:val="none"/>
        </w:rPr>
      </w:pP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pPr>
        <w:rPr>
          <w:rFonts w:hint="eastAsia" w:ascii="仿宋" w:hAnsi="仿宋" w:eastAsia="仿宋" w:cs="仿宋"/>
          <w:highlight w:val="none"/>
        </w:rPr>
      </w:pPr>
    </w:p>
    <w:p>
      <w:pPr>
        <w:rPr>
          <w:rFonts w:hint="eastAsia" w:ascii="仿宋" w:hAnsi="仿宋" w:eastAsia="仿宋" w:cs="仿宋"/>
          <w:sz w:val="44"/>
          <w:szCs w:val="44"/>
          <w:highlight w:val="none"/>
        </w:rPr>
      </w:pPr>
      <w:r>
        <w:rPr>
          <w:rFonts w:hint="eastAsia" w:ascii="仿宋" w:hAnsi="仿宋" w:eastAsia="仿宋" w:cs="仿宋"/>
          <w:sz w:val="44"/>
          <w:szCs w:val="44"/>
          <w:highlight w:val="none"/>
        </w:rPr>
        <w:br w:type="page"/>
      </w:r>
    </w:p>
    <w:p>
      <w:pPr>
        <w:rPr>
          <w:rFonts w:hint="eastAsia" w:ascii="仿宋" w:hAnsi="仿宋" w:eastAsia="仿宋" w:cs="仿宋"/>
          <w:sz w:val="44"/>
          <w:szCs w:val="44"/>
          <w:highlight w:val="none"/>
        </w:rPr>
      </w:pPr>
    </w:p>
    <w:p>
      <w:pPr>
        <w:rPr>
          <w:rFonts w:hint="eastAsia" w:ascii="仿宋" w:hAnsi="仿宋" w:eastAsia="仿宋" w:cs="仿宋"/>
          <w:sz w:val="44"/>
          <w:szCs w:val="44"/>
          <w:highlight w:val="none"/>
        </w:rPr>
      </w:pPr>
    </w:p>
    <w:p>
      <w:pPr>
        <w:jc w:val="center"/>
        <w:rPr>
          <w:rFonts w:hint="eastAsia" w:ascii="仿宋" w:hAnsi="仿宋" w:eastAsia="仿宋" w:cs="仿宋"/>
          <w:sz w:val="44"/>
          <w:szCs w:val="44"/>
          <w:highlight w:val="none"/>
          <w:lang w:eastAsia="zh-CN"/>
        </w:rPr>
      </w:pPr>
      <w:r>
        <w:rPr>
          <w:rFonts w:hint="eastAsia" w:ascii="仿宋" w:hAnsi="仿宋" w:eastAsia="仿宋" w:cs="仿宋"/>
          <w:sz w:val="44"/>
          <w:szCs w:val="44"/>
          <w:highlight w:val="none"/>
          <w:lang w:eastAsia="zh-CN"/>
        </w:rPr>
        <w:t>使</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用</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说</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明</w:t>
      </w:r>
    </w:p>
    <w:p>
      <w:pPr>
        <w:ind w:firstLine="640" w:firstLineChars="200"/>
        <w:rPr>
          <w:rFonts w:hint="eastAsia" w:ascii="仿宋" w:hAnsi="仿宋" w:eastAsia="仿宋" w:cs="仿宋"/>
          <w:sz w:val="32"/>
          <w:szCs w:val="32"/>
          <w:highlight w:val="none"/>
          <w:lang w:val="en-US" w:eastAsia="zh-CN"/>
        </w:rPr>
      </w:pP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sz w:val="44"/>
          <w:szCs w:val="44"/>
          <w:highlight w:val="none"/>
          <w:lang w:val="en-US" w:eastAsia="zh-CN"/>
        </w:rPr>
      </w:pPr>
      <w:r>
        <w:rPr>
          <w:rFonts w:hint="eastAsia" w:ascii="仿宋" w:hAnsi="仿宋" w:eastAsia="仿宋" w:cs="仿宋"/>
          <w:sz w:val="44"/>
          <w:szCs w:val="44"/>
          <w:highlight w:val="none"/>
          <w:lang w:val="en-US" w:eastAsia="zh-CN"/>
        </w:rPr>
        <w:t xml:space="preserve">   </w:t>
      </w:r>
      <w:r>
        <w:rPr>
          <w:rFonts w:hint="eastAsia" w:ascii="仿宋" w:hAnsi="仿宋" w:eastAsia="仿宋" w:cs="仿宋"/>
          <w:sz w:val="32"/>
          <w:szCs w:val="32"/>
          <w:highlight w:val="none"/>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sz w:val="44"/>
          <w:szCs w:val="4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adjustRightInd w:val="0"/>
        <w:snapToGrid w:val="0"/>
        <w:spacing w:beforeLines="0" w:line="400" w:lineRule="exact"/>
        <w:ind w:left="0" w:leftChars="0" w:firstLine="0" w:firstLineChars="0"/>
        <w:jc w:val="center"/>
        <w:rPr>
          <w:rFonts w:hint="eastAsia" w:ascii="仿宋" w:hAnsi="仿宋" w:eastAsia="仿宋" w:cs="仿宋"/>
          <w:b w:val="0"/>
          <w:bCs w:val="0"/>
          <w:sz w:val="28"/>
          <w:szCs w:val="28"/>
          <w:highlight w:val="none"/>
        </w:rPr>
      </w:pPr>
      <w:bookmarkStart w:id="58" w:name="_Toc22209"/>
      <w:r>
        <w:rPr>
          <w:rFonts w:hint="eastAsia" w:ascii="仿宋" w:hAnsi="仿宋" w:eastAsia="仿宋" w:cs="仿宋"/>
          <w:b w:val="0"/>
          <w:bCs w:val="0"/>
          <w:sz w:val="28"/>
          <w:szCs w:val="28"/>
          <w:highlight w:val="none"/>
        </w:rPr>
        <w:t>第一节 政府采购合同协议书</w:t>
      </w:r>
      <w:bookmarkEnd w:id="58"/>
    </w:p>
    <w:p>
      <w:pPr>
        <w:pStyle w:val="4"/>
        <w:adjustRightInd w:val="0"/>
        <w:snapToGrid w:val="0"/>
        <w:spacing w:beforeLines="0" w:line="400" w:lineRule="exact"/>
        <w:jc w:val="center"/>
        <w:rPr>
          <w:rFonts w:hint="eastAsia" w:ascii="仿宋" w:hAnsi="仿宋" w:eastAsia="仿宋" w:cs="仿宋"/>
          <w:b w:val="0"/>
          <w:bCs w:val="0"/>
          <w:sz w:val="28"/>
          <w:szCs w:val="28"/>
          <w:highlight w:val="none"/>
        </w:rPr>
      </w:pP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w:t>
      </w:r>
      <w:r>
        <w:rPr>
          <w:rFonts w:hint="eastAsia" w:ascii="仿宋" w:hAnsi="仿宋" w:eastAsia="仿宋" w:cs="仿宋"/>
          <w:szCs w:val="21"/>
          <w:highlight w:val="none"/>
          <w:lang w:eastAsia="zh-CN"/>
        </w:rPr>
        <w:t>、受采购人委托签订合同的单位</w:t>
      </w:r>
      <w:r>
        <w:rPr>
          <w:rFonts w:hint="eastAsia" w:ascii="仿宋" w:hAnsi="仿宋" w:eastAsia="仿宋" w:cs="仿宋"/>
          <w:szCs w:val="21"/>
          <w:highlight w:val="none"/>
        </w:rPr>
        <w:t>或采购</w:t>
      </w:r>
      <w:r>
        <w:rPr>
          <w:rFonts w:hint="eastAsia" w:ascii="仿宋" w:hAnsi="仿宋" w:eastAsia="仿宋" w:cs="仿宋"/>
          <w:szCs w:val="21"/>
          <w:highlight w:val="none"/>
          <w:lang w:val="en-US" w:eastAsia="zh-CN"/>
        </w:rPr>
        <w:tab/>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文件约定的合同甲方）</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乙方</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highlight w:val="none"/>
          <w:lang w:eastAsia="zh-CN"/>
        </w:rPr>
        <w:t>乙方</w:t>
      </w:r>
      <w:r>
        <w:rPr>
          <w:rFonts w:hint="eastAsia" w:ascii="仿宋" w:hAnsi="仿宋" w:eastAsia="仿宋" w:cs="仿宋"/>
          <w:szCs w:val="21"/>
          <w:highlight w:val="none"/>
          <w:lang w:val="en-US" w:eastAsia="zh-CN"/>
        </w:rPr>
        <w:t>3</w:t>
      </w:r>
      <w:r>
        <w:rPr>
          <w:rFonts w:hint="eastAsia" w:ascii="仿宋" w:hAnsi="仿宋" w:eastAsia="仿宋" w:cs="仿宋"/>
          <w:highlight w:val="none"/>
          <w:lang w:val="en-US" w:eastAsia="zh-CN"/>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pPr>
        <w:spacing w:beforeLines="0" w:line="400" w:lineRule="exact"/>
        <w:rPr>
          <w:rFonts w:hint="eastAsia" w:ascii="仿宋" w:hAnsi="仿宋" w:eastAsia="仿宋" w:cs="仿宋"/>
          <w:highlight w:val="none"/>
          <w:lang w:val="en-US" w:eastAsia="zh-CN"/>
        </w:rPr>
      </w:pPr>
    </w:p>
    <w:p>
      <w:pPr>
        <w:pStyle w:val="24"/>
        <w:adjustRightInd w:val="0"/>
        <w:snapToGrid w:val="0"/>
        <w:spacing w:before="0" w:beforeLines="0"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依据《中华人民共和国民法典》</w:t>
      </w:r>
      <w:r>
        <w:rPr>
          <w:rFonts w:hint="eastAsia" w:ascii="仿宋" w:hAnsi="仿宋" w:eastAsia="仿宋" w:cs="仿宋"/>
          <w:szCs w:val="21"/>
          <w:highlight w:val="none"/>
          <w:lang w:eastAsia="zh-CN"/>
        </w:rPr>
        <w:t>、</w:t>
      </w:r>
      <w:r>
        <w:rPr>
          <w:rFonts w:hint="eastAsia" w:ascii="仿宋" w:hAnsi="仿宋" w:eastAsia="仿宋" w:cs="仿宋"/>
          <w:szCs w:val="21"/>
          <w:highlight w:val="none"/>
        </w:rPr>
        <w:t>《中华人民共和国政府采购法》等有关的法律法规，以及</w:t>
      </w:r>
      <w:r>
        <w:rPr>
          <w:rFonts w:hint="eastAsia" w:ascii="仿宋" w:hAnsi="仿宋" w:eastAsia="仿宋" w:cs="仿宋"/>
          <w:i w:val="0"/>
          <w:iCs w:val="0"/>
          <w:szCs w:val="21"/>
          <w:highlight w:val="none"/>
          <w:u w:val="none"/>
          <w:lang w:eastAsia="zh-CN"/>
        </w:rPr>
        <w:t>本采购项目</w:t>
      </w:r>
      <w:r>
        <w:rPr>
          <w:rFonts w:hint="eastAsia" w:ascii="仿宋" w:hAnsi="仿宋" w:eastAsia="仿宋" w:cs="仿宋"/>
          <w:szCs w:val="21"/>
          <w:highlight w:val="none"/>
        </w:rPr>
        <w:t>的</w:t>
      </w:r>
      <w:r>
        <w:rPr>
          <w:rFonts w:hint="eastAsia" w:ascii="仿宋" w:hAnsi="仿宋" w:eastAsia="仿宋" w:cs="仿宋"/>
          <w:szCs w:val="21"/>
          <w:highlight w:val="none"/>
          <w:lang w:eastAsia="zh-CN"/>
        </w:rPr>
        <w:t>招标</w:t>
      </w:r>
      <w:r>
        <w:rPr>
          <w:rFonts w:hint="eastAsia" w:ascii="仿宋" w:hAnsi="仿宋" w:eastAsia="仿宋" w:cs="仿宋"/>
          <w:szCs w:val="21"/>
          <w:highlight w:val="none"/>
          <w:lang w:val="en-US" w:eastAsia="zh-CN"/>
        </w:rPr>
        <w:t>/谈判</w:t>
      </w:r>
      <w:r>
        <w:rPr>
          <w:rFonts w:hint="eastAsia" w:ascii="仿宋" w:hAnsi="仿宋" w:eastAsia="仿宋" w:cs="仿宋"/>
          <w:szCs w:val="21"/>
          <w:highlight w:val="none"/>
          <w:lang w:eastAsia="zh-CN"/>
        </w:rPr>
        <w:t>文件等</w:t>
      </w:r>
      <w:r>
        <w:rPr>
          <w:rFonts w:hint="eastAsia" w:ascii="仿宋" w:hAnsi="仿宋" w:eastAsia="仿宋" w:cs="仿宋"/>
          <w:szCs w:val="21"/>
          <w:highlight w:val="none"/>
        </w:rPr>
        <w:t>采购文件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 xml:space="preserve">乙方的《投标（响应）文件》及《中标（成交）通知书》，甲乙双方同意签订本合同。具体情况及要求如下：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项目信息</w:t>
      </w:r>
    </w:p>
    <w:p>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pPr>
        <w:pStyle w:val="24"/>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highlight w:val="none"/>
          <w:u w:val="none"/>
          <w:lang w:val="en-US" w:eastAsia="zh-CN"/>
        </w:rPr>
      </w:pPr>
      <w:r>
        <w:rPr>
          <w:rFonts w:hint="eastAsia" w:ascii="仿宋" w:hAnsi="仿宋" w:eastAsia="仿宋" w:cs="仿宋"/>
          <w:szCs w:val="21"/>
          <w:highlight w:val="none"/>
          <w:u w:val="none"/>
          <w:lang w:val="en-US" w:eastAsia="zh-CN"/>
        </w:rPr>
        <w:t xml:space="preserve">         采购项目编号：</w:t>
      </w:r>
      <w:r>
        <w:rPr>
          <w:rFonts w:hint="eastAsia" w:ascii="仿宋" w:hAnsi="仿宋" w:eastAsia="仿宋" w:cs="仿宋"/>
          <w:szCs w:val="21"/>
          <w:highlight w:val="none"/>
          <w:u w:val="single"/>
        </w:rPr>
        <w:t xml:space="preserve">                                          </w:t>
      </w:r>
    </w:p>
    <w:p>
      <w:pPr>
        <w:pStyle w:val="24"/>
        <w:adjustRightInd w:val="0"/>
        <w:snapToGrid w:val="0"/>
        <w:spacing w:before="0" w:beforeLines="0"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（3）项目内容：</w:t>
      </w:r>
    </w:p>
    <w:p>
      <w:pPr>
        <w:adjustRightInd w:val="0"/>
        <w:snapToGrid w:val="0"/>
        <w:spacing w:before="0" w:beforeLines="0" w:line="400" w:lineRule="exact"/>
        <w:ind w:firstLine="420" w:firstLineChars="20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采购标的及数量</w:t>
      </w:r>
      <w:r>
        <w:rPr>
          <w:rFonts w:hint="eastAsia" w:ascii="仿宋" w:hAnsi="仿宋" w:eastAsia="仿宋" w:cs="仿宋"/>
          <w:szCs w:val="21"/>
          <w:highlight w:val="none"/>
          <w:lang w:val="en-US" w:eastAsia="zh-CN"/>
        </w:rPr>
        <w:t>（台/套</w:t>
      </w:r>
      <w:r>
        <w:rPr>
          <w:rFonts w:hint="eastAsia" w:ascii="仿宋" w:hAnsi="仿宋" w:eastAsia="仿宋" w:cs="仿宋"/>
          <w:szCs w:val="21"/>
          <w:highlight w:val="none"/>
          <w:lang w:val="en" w:eastAsia="zh-CN"/>
        </w:rPr>
        <w:t>/个/架/组等</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highlight w:val="none"/>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lang w:val="en-US" w:eastAsia="zh-CN"/>
        </w:rPr>
        <w:t>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 w:eastAsia="zh-CN"/>
        </w:rPr>
        <w:t xml:space="preserve">     </w:t>
      </w:r>
      <w:r>
        <w:rPr>
          <w:rFonts w:hint="eastAsia" w:ascii="仿宋" w:hAnsi="仿宋" w:eastAsia="仿宋" w:cs="仿宋"/>
          <w:szCs w:val="21"/>
          <w:highlight w:val="none"/>
          <w:lang w:val="en-US" w:eastAsia="zh-CN"/>
        </w:rPr>
        <w:t>规格型号：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945" w:firstLineChars="45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①涉及信息类产品，请填写该产品关键部件的品牌、型号：</w:t>
      </w:r>
    </w:p>
    <w:p>
      <w:pPr>
        <w:numPr>
          <w:ilvl w:val="0"/>
          <w:numId w:val="0"/>
        </w:numPr>
        <w:adjustRightInd w:val="0"/>
        <w:snapToGrid w:val="0"/>
        <w:spacing w:before="0" w:beforeLines="0" w:line="400" w:lineRule="exact"/>
        <w:ind w:firstLine="420" w:firstLineChars="200"/>
        <w:rPr>
          <w:rFonts w:hint="eastAsia" w:ascii="仿宋" w:hAnsi="仿宋" w:eastAsia="仿宋" w:cs="仿宋"/>
          <w:kern w:val="0"/>
          <w:szCs w:val="21"/>
          <w:highlight w:val="none"/>
          <w:u w:val="single"/>
          <w:lang w:val="en-US" w:eastAsia="zh-CN"/>
        </w:rPr>
      </w:pPr>
      <w:r>
        <w:rPr>
          <w:rFonts w:hint="eastAsia" w:ascii="仿宋" w:hAnsi="仿宋" w:eastAsia="仿宋" w:cs="仿宋"/>
          <w:szCs w:val="21"/>
          <w:highlight w:val="none"/>
          <w:lang w:val="en-US" w:eastAsia="zh-CN"/>
        </w:rPr>
        <w:t xml:space="preserve">     标的名称：</w:t>
      </w:r>
      <w:r>
        <w:rPr>
          <w:rFonts w:hint="eastAsia" w:ascii="仿宋" w:hAnsi="仿宋" w:eastAsia="仿宋" w:cs="仿宋"/>
          <w:kern w:val="0"/>
          <w:szCs w:val="21"/>
          <w:highlight w:val="none"/>
          <w:u w:val="single"/>
          <w:lang w:val="en-US" w:eastAsia="zh-CN"/>
        </w:rPr>
        <w:t xml:space="preserve">      </w:t>
      </w:r>
      <w:r>
        <w:rPr>
          <w:rFonts w:hint="eastAsia" w:ascii="仿宋" w:hAnsi="仿宋" w:eastAsia="仿宋" w:cs="仿宋"/>
          <w:kern w:val="0"/>
          <w:szCs w:val="21"/>
          <w:highlight w:val="none"/>
          <w:u w:val="single"/>
          <w:lang w:val="en" w:eastAsia="zh-CN"/>
        </w:rPr>
        <w:t xml:space="preserve">               </w:t>
      </w:r>
      <w:r>
        <w:rPr>
          <w:rFonts w:hint="eastAsia" w:ascii="仿宋" w:hAnsi="仿宋" w:eastAsia="仿宋" w:cs="仿宋"/>
          <w:kern w:val="0"/>
          <w:szCs w:val="21"/>
          <w:highlight w:val="none"/>
          <w:u w:val="singl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关键部件：</w:t>
      </w:r>
      <w:r>
        <w:rPr>
          <w:rFonts w:hint="eastAsia" w:ascii="仿宋" w:hAnsi="仿宋" w:eastAsia="仿宋" w:cs="仿宋"/>
          <w:kern w:val="0"/>
          <w:szCs w:val="21"/>
          <w:highlight w:val="none"/>
          <w:u w:val="single"/>
          <w:lang w:val="en-US" w:eastAsia="zh-CN"/>
        </w:rPr>
        <w:t xml:space="preserve">          </w:t>
      </w:r>
      <w:r>
        <w:rPr>
          <w:rFonts w:hint="eastAsia" w:ascii="仿宋" w:hAnsi="仿宋" w:eastAsia="仿宋" w:cs="仿宋"/>
          <w:kern w:val="0"/>
          <w:szCs w:val="21"/>
          <w:highlight w:val="none"/>
          <w:u w:val="none"/>
          <w:lang w:val="en-US" w:eastAsia="zh-CN"/>
        </w:rPr>
        <w:t xml:space="preserve"> </w:t>
      </w:r>
      <w:r>
        <w:rPr>
          <w:rFonts w:hint="eastAsia" w:ascii="仿宋" w:hAnsi="仿宋" w:eastAsia="仿宋" w:cs="仿宋"/>
          <w:szCs w:val="21"/>
          <w:highlight w:val="none"/>
          <w:lang w:val="en-US" w:eastAsia="zh-CN"/>
        </w:rPr>
        <w:t>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lang w:val="en-US" w:eastAsia="zh-CN"/>
        </w:rPr>
        <w:t>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w:t>
      </w:r>
    </w:p>
    <w:p>
      <w:pPr>
        <w:pStyle w:val="963"/>
        <w:spacing w:beforeLine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w:t>
      </w:r>
      <w:r>
        <w:rPr>
          <w:rFonts w:hint="eastAsia" w:ascii="仿宋" w:hAnsi="仿宋" w:eastAsia="仿宋" w:cs="仿宋"/>
          <w:kern w:val="2"/>
          <w:sz w:val="21"/>
          <w:szCs w:val="21"/>
          <w:highlight w:val="none"/>
          <w:lang w:val="en-US" w:eastAsia="zh-CN"/>
        </w:rPr>
        <w:t>关键部件</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品牌：</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型号：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w:t>
      </w:r>
    </w:p>
    <w:p>
      <w:pPr>
        <w:pStyle w:val="963"/>
        <w:spacing w:beforeLine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关键部件：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品牌：</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型号：</w:t>
      </w:r>
      <w:r>
        <w:rPr>
          <w:rFonts w:hint="eastAsia" w:ascii="仿宋" w:hAnsi="仿宋" w:eastAsia="仿宋" w:cs="仿宋"/>
          <w:sz w:val="21"/>
          <w:szCs w:val="21"/>
          <w:highlight w:val="none"/>
          <w:u w:val="single"/>
          <w:lang w:val="en-US" w:eastAsia="zh-CN"/>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②涉及车辆采购，请填写是否属于新能源汽车：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highlight w:val="none"/>
          <w:lang w:val="en-US" w:eastAsia="zh-CN"/>
        </w:rPr>
      </w:pPr>
      <w:r>
        <w:rPr>
          <w:rFonts w:hint="eastAsia" w:ascii="仿宋" w:hAnsi="仿宋" w:eastAsia="仿宋" w:cs="仿宋"/>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rPr>
        <w:t>是</w:t>
      </w:r>
      <w:r>
        <w:rPr>
          <w:rFonts w:hint="eastAsia" w:ascii="仿宋" w:hAnsi="仿宋" w:eastAsia="仿宋" w:cs="仿宋"/>
          <w:iCs w:val="0"/>
          <w:sz w:val="21"/>
          <w:szCs w:val="21"/>
          <w:highlight w:val="none"/>
          <w:lang w:eastAsia="zh-CN"/>
        </w:rPr>
        <w:t>，《政府采购品目分类目录》底级品目名称</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数量：</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金额：</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iCs w:val="0"/>
          <w:sz w:val="21"/>
          <w:szCs w:val="21"/>
          <w:highlight w:val="none"/>
          <w:lang w:val="en-US" w:eastAsia="zh-CN"/>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highlight w:val="none"/>
          <w:lang w:eastAsia="zh-CN"/>
        </w:rPr>
      </w:pP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否</w:t>
      </w:r>
    </w:p>
    <w:p>
      <w:pPr>
        <w:pStyle w:val="963"/>
        <w:numPr>
          <w:ilvl w:val="0"/>
          <w:numId w:val="0"/>
        </w:numPr>
        <w:adjustRightInd w:val="0"/>
        <w:snapToGrid w:val="0"/>
        <w:spacing w:before="0" w:beforeLines="0" w:line="400" w:lineRule="exact"/>
        <w:ind w:left="0" w:firstLine="0" w:firstLineChars="0"/>
        <w:rPr>
          <w:rFonts w:hint="eastAsia" w:ascii="仿宋" w:hAnsi="仿宋" w:eastAsia="仿宋" w:cs="仿宋"/>
          <w:iCs w:val="0"/>
          <w:sz w:val="21"/>
          <w:szCs w:val="21"/>
          <w:highlight w:val="none"/>
          <w:lang w:val="en-US" w:eastAsia="zh-CN"/>
        </w:rPr>
      </w:pP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lang w:val="en" w:eastAsia="zh-CN"/>
        </w:rPr>
        <w:t>4</w:t>
      </w:r>
      <w:r>
        <w:rPr>
          <w:rFonts w:hint="eastAsia" w:ascii="仿宋" w:hAnsi="仿宋" w:eastAsia="仿宋" w:cs="仿宋"/>
          <w:iCs w:val="0"/>
          <w:sz w:val="21"/>
          <w:szCs w:val="21"/>
          <w:highlight w:val="none"/>
          <w:lang w:val="en-US" w:eastAsia="zh-CN"/>
        </w:rPr>
        <w:t>）政府采购组织形式：</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政府集中采购</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val="en-US" w:eastAsia="zh-CN"/>
        </w:rPr>
        <w:t xml:space="preserve">部门集中采购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val="en-US" w:eastAsia="zh-CN"/>
        </w:rPr>
        <w:t>分散采购</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lang w:eastAsia="zh-CN"/>
        </w:rPr>
      </w:pPr>
      <w:r>
        <w:rPr>
          <w:rFonts w:hint="eastAsia" w:ascii="仿宋" w:hAnsi="仿宋" w:eastAsia="仿宋" w:cs="仿宋"/>
          <w:iCs w:val="0"/>
          <w:sz w:val="21"/>
          <w:szCs w:val="21"/>
          <w:highlight w:val="none"/>
          <w:lang w:val="en-US" w:eastAsia="zh-CN"/>
        </w:rPr>
        <w:t>（</w:t>
      </w:r>
      <w:r>
        <w:rPr>
          <w:rFonts w:hint="eastAsia" w:ascii="仿宋" w:hAnsi="仿宋" w:eastAsia="仿宋" w:cs="仿宋"/>
          <w:iCs w:val="0"/>
          <w:sz w:val="21"/>
          <w:szCs w:val="21"/>
          <w:highlight w:val="none"/>
          <w:lang w:val="en" w:eastAsia="zh-CN"/>
        </w:rPr>
        <w:t>5</w:t>
      </w:r>
      <w:r>
        <w:rPr>
          <w:rFonts w:hint="eastAsia" w:ascii="仿宋" w:hAnsi="仿宋" w:eastAsia="仿宋" w:cs="仿宋"/>
          <w:iCs w:val="0"/>
          <w:sz w:val="21"/>
          <w:szCs w:val="21"/>
          <w:highlight w:val="none"/>
          <w:lang w:val="en-US" w:eastAsia="zh-CN"/>
        </w:rPr>
        <w:t>）政府采购方式：</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公开招标</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邀请招标</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竞争性谈判</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竞争性磋商</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u w:val="single"/>
          <w:lang w:val="en-US"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询价</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单一来源</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框架协议</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其他：</w:t>
      </w:r>
      <w:r>
        <w:rPr>
          <w:rFonts w:hint="eastAsia" w:ascii="仿宋" w:hAnsi="仿宋" w:eastAsia="仿宋" w:cs="仿宋"/>
          <w:iCs w:val="0"/>
          <w:sz w:val="21"/>
          <w:szCs w:val="21"/>
          <w:highlight w:val="none"/>
          <w:u w:val="single"/>
          <w:lang w:val="en-US" w:eastAsia="zh-CN"/>
        </w:rPr>
        <w:t xml:space="preserve">          </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u w:val="none"/>
          <w:lang w:val="en-US" w:eastAsia="zh-CN"/>
        </w:rPr>
      </w:pPr>
      <w:r>
        <w:rPr>
          <w:rFonts w:hint="eastAsia" w:ascii="仿宋" w:hAnsi="仿宋" w:eastAsia="仿宋" w:cs="仿宋"/>
          <w:iCs w:val="0"/>
          <w:sz w:val="21"/>
          <w:szCs w:val="21"/>
          <w:highlight w:val="none"/>
          <w:u w:val="none"/>
          <w:lang w:val="en-US" w:eastAsia="zh-CN"/>
        </w:rPr>
        <w:t>（注：在框架协议采购的第二阶段，可选择使用该合同文本）</w:t>
      </w:r>
    </w:p>
    <w:p>
      <w:pPr>
        <w:pStyle w:val="963"/>
        <w:numPr>
          <w:ilvl w:val="0"/>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highlight w:val="none"/>
          <w:lang w:val="en-US" w:eastAsia="zh-CN" w:bidi="ar-SA"/>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val="en" w:eastAsia="zh-CN"/>
        </w:rPr>
        <w:t>6</w:t>
      </w:r>
      <w:r>
        <w:rPr>
          <w:rFonts w:hint="eastAsia" w:ascii="仿宋" w:hAnsi="仿宋" w:eastAsia="仿宋" w:cs="仿宋"/>
          <w:szCs w:val="21"/>
          <w:highlight w:val="none"/>
          <w:lang w:val="en-US" w:eastAsia="zh-CN"/>
        </w:rPr>
        <w:t>）</w:t>
      </w:r>
      <w:r>
        <w:rPr>
          <w:rFonts w:hint="eastAsia" w:ascii="仿宋" w:hAnsi="仿宋" w:eastAsia="仿宋" w:cs="仿宋"/>
          <w:w w:val="100"/>
          <w:kern w:val="2"/>
          <w:sz w:val="21"/>
          <w:szCs w:val="21"/>
          <w:highlight w:val="none"/>
          <w:lang w:val="en-US" w:eastAsia="zh-CN" w:bidi="ar-SA"/>
        </w:rPr>
        <w:t>中标（成交）采购标的制造商是否为中小企业：</w:t>
      </w:r>
      <w:r>
        <w:rPr>
          <w:rFonts w:hint="eastAsia" w:ascii="仿宋" w:hAnsi="仿宋" w:eastAsia="仿宋" w:cs="仿宋"/>
          <w:w w:val="100"/>
          <w:kern w:val="2"/>
          <w:sz w:val="21"/>
          <w:szCs w:val="21"/>
          <w:highlight w:val="none"/>
          <w:lang w:val="en-US" w:eastAsia="zh-CN" w:bidi="ar-SA"/>
        </w:rPr>
        <w:sym w:font="Wingdings" w:char="00A8"/>
      </w:r>
      <w:r>
        <w:rPr>
          <w:rFonts w:hint="eastAsia" w:ascii="仿宋" w:hAnsi="仿宋" w:eastAsia="仿宋" w:cs="仿宋"/>
          <w:w w:val="100"/>
          <w:kern w:val="2"/>
          <w:sz w:val="21"/>
          <w:szCs w:val="21"/>
          <w:highlight w:val="none"/>
          <w:lang w:val="en-US" w:eastAsia="zh-CN" w:bidi="ar-SA"/>
        </w:rPr>
        <w:t xml:space="preserve">是      </w:t>
      </w:r>
      <w:r>
        <w:rPr>
          <w:rFonts w:hint="eastAsia" w:ascii="仿宋" w:hAnsi="仿宋" w:eastAsia="仿宋" w:cs="仿宋"/>
          <w:w w:val="100"/>
          <w:kern w:val="2"/>
          <w:sz w:val="21"/>
          <w:szCs w:val="21"/>
          <w:highlight w:val="none"/>
          <w:lang w:val="en-US" w:eastAsia="zh-CN" w:bidi="ar-SA"/>
        </w:rPr>
        <w:sym w:font="Wingdings" w:char="00A8"/>
      </w:r>
      <w:r>
        <w:rPr>
          <w:rFonts w:hint="eastAsia" w:ascii="仿宋" w:hAnsi="仿宋" w:eastAsia="仿宋" w:cs="仿宋"/>
          <w:w w:val="100"/>
          <w:kern w:val="2"/>
          <w:sz w:val="21"/>
          <w:szCs w:val="21"/>
          <w:highlight w:val="none"/>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w w:val="100"/>
          <w:szCs w:val="21"/>
          <w:highlight w:val="none"/>
          <w:lang w:val="en-US" w:eastAsia="zh-CN"/>
        </w:rPr>
        <w:t xml:space="preserve">         本合同</w:t>
      </w:r>
      <w:r>
        <w:rPr>
          <w:rFonts w:hint="eastAsia" w:ascii="仿宋" w:hAnsi="仿宋" w:eastAsia="仿宋" w:cs="仿宋"/>
          <w:w w:val="100"/>
          <w:szCs w:val="21"/>
          <w:highlight w:val="none"/>
        </w:rPr>
        <w:t>是否</w:t>
      </w:r>
      <w:r>
        <w:rPr>
          <w:rFonts w:hint="eastAsia" w:ascii="仿宋" w:hAnsi="仿宋" w:eastAsia="仿宋" w:cs="仿宋"/>
          <w:w w:val="100"/>
          <w:szCs w:val="21"/>
          <w:highlight w:val="none"/>
          <w:lang w:eastAsia="zh-CN"/>
        </w:rPr>
        <w:t>为专门面向</w:t>
      </w:r>
      <w:r>
        <w:rPr>
          <w:rFonts w:hint="eastAsia" w:ascii="仿宋" w:hAnsi="仿宋" w:eastAsia="仿宋" w:cs="仿宋"/>
          <w:w w:val="100"/>
          <w:szCs w:val="21"/>
          <w:highlight w:val="none"/>
        </w:rPr>
        <w:t>中小企业</w:t>
      </w:r>
      <w:r>
        <w:rPr>
          <w:rFonts w:hint="eastAsia" w:ascii="仿宋" w:hAnsi="仿宋" w:eastAsia="仿宋" w:cs="仿宋"/>
          <w:w w:val="100"/>
          <w:szCs w:val="21"/>
          <w:highlight w:val="none"/>
          <w:lang w:eastAsia="zh-CN"/>
        </w:rPr>
        <w:t>的采</w:t>
      </w:r>
      <w:r>
        <w:rPr>
          <w:rFonts w:hint="eastAsia" w:ascii="仿宋" w:hAnsi="仿宋" w:eastAsia="仿宋" w:cs="仿宋"/>
          <w:w w:val="100"/>
          <w:szCs w:val="21"/>
          <w:highlight w:val="none"/>
          <w:shd w:val="clear" w:color="auto" w:fill="auto"/>
          <w:lang w:eastAsia="zh-CN"/>
        </w:rPr>
        <w:t>购</w:t>
      </w:r>
      <w:r>
        <w:rPr>
          <w:rFonts w:hint="eastAsia" w:ascii="仿宋" w:hAnsi="仿宋" w:eastAsia="仿宋" w:cs="仿宋"/>
          <w:w w:val="100"/>
          <w:szCs w:val="21"/>
          <w:highlight w:val="none"/>
          <w:shd w:val="clear" w:color="auto" w:fill="auto"/>
        </w:rPr>
        <w:t>合同</w:t>
      </w:r>
      <w:r>
        <w:rPr>
          <w:rFonts w:hint="eastAsia" w:ascii="仿宋" w:hAnsi="仿宋" w:eastAsia="仿宋" w:cs="仿宋"/>
          <w:w w:val="100"/>
          <w:szCs w:val="21"/>
          <w:highlight w:val="none"/>
          <w:shd w:val="clear" w:color="auto" w:fill="auto"/>
          <w:lang w:eastAsia="zh-CN"/>
        </w:rPr>
        <w:t>（中小企业预留合同）</w:t>
      </w:r>
      <w:r>
        <w:rPr>
          <w:rFonts w:hint="eastAsia" w:ascii="仿宋" w:hAnsi="仿宋" w:eastAsia="仿宋" w:cs="仿宋"/>
          <w:szCs w:val="21"/>
          <w:highlight w:val="none"/>
          <w:shd w:val="clear" w:color="auto" w:fill="auto"/>
        </w:rPr>
        <w:t>：</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highlight w:val="none"/>
        </w:rPr>
      </w:pPr>
      <w:r>
        <w:rPr>
          <w:rFonts w:hint="eastAsia" w:ascii="仿宋" w:hAnsi="仿宋" w:eastAsia="仿宋" w:cs="仿宋"/>
          <w:highlight w:val="none"/>
          <w:lang w:val="en-US" w:eastAsia="zh-CN"/>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highlight w:val="none"/>
        </w:rPr>
      </w:pPr>
      <w:r>
        <w:rPr>
          <w:rFonts w:hint="eastAsia" w:ascii="仿宋" w:hAnsi="仿宋" w:eastAsia="仿宋" w:cs="仿宋"/>
          <w:highlight w:val="none"/>
          <w:lang w:val="en-US" w:eastAsia="zh-CN"/>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snapToGrid w:val="0"/>
        <w:spacing w:beforeLines="0" w:line="400" w:lineRule="exact"/>
        <w:ind w:firstLine="0" w:firstLineChars="0"/>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eastAsia="zh-C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分包主要内容：</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highlight w:val="none"/>
        </w:rPr>
        <w:t>：</w:t>
      </w:r>
    </w:p>
    <w:p>
      <w:pPr>
        <w:adjustRightInd w:val="0"/>
        <w:snapToGrid w:val="0"/>
        <w:spacing w:beforeLines="0" w:line="400" w:lineRule="exact"/>
        <w:ind w:firstLine="840" w:firstLineChars="40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小微型企业</w:t>
      </w:r>
      <w:r>
        <w:rPr>
          <w:rFonts w:hint="eastAsia" w:ascii="仿宋" w:hAnsi="仿宋" w:eastAsia="仿宋" w:cs="仿宋"/>
          <w:iCs/>
          <w:szCs w:val="21"/>
          <w:highlight w:val="none"/>
          <w:lang w:val="en-US" w:eastAsia="zh-CN"/>
        </w:rPr>
        <w:t xml:space="preserve">  </w:t>
      </w:r>
    </w:p>
    <w:p>
      <w:pPr>
        <w:adjustRightInd w:val="0"/>
        <w:snapToGrid w:val="0"/>
        <w:spacing w:beforeLines="0" w:line="400" w:lineRule="exact"/>
        <w:ind w:firstLine="840" w:firstLineChars="400"/>
        <w:rPr>
          <w:rFonts w:hint="eastAsia" w:ascii="仿宋" w:hAnsi="仿宋" w:eastAsia="仿宋" w:cs="仿宋"/>
          <w:highlight w:val="none"/>
          <w:u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残疾人福利性单位</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监狱</w:t>
      </w:r>
      <w:r>
        <w:rPr>
          <w:rFonts w:hint="eastAsia" w:ascii="仿宋" w:hAnsi="仿宋" w:eastAsia="仿宋" w:cs="仿宋"/>
          <w:iCs/>
          <w:szCs w:val="21"/>
          <w:highlight w:val="none"/>
        </w:rPr>
        <w:t>企业</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其他</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pStyle w:val="963"/>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pPr>
        <w:numPr>
          <w:ilvl w:val="0"/>
          <w:numId w:val="0"/>
        </w:numPr>
        <w:adjustRightInd w:val="0"/>
        <w:snapToGrid w:val="0"/>
        <w:spacing w:before="0" w:beforeLines="0" w:line="400" w:lineRule="exact"/>
        <w:ind w:firstLine="420" w:firstLineChars="20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w:t>
      </w:r>
      <w:r>
        <w:rPr>
          <w:rFonts w:hint="eastAsia" w:ascii="仿宋" w:hAnsi="仿宋" w:eastAsia="仿宋" w:cs="仿宋"/>
          <w:b w:val="0"/>
          <w:bCs w:val="0"/>
          <w:sz w:val="21"/>
          <w:szCs w:val="21"/>
          <w:highlight w:val="none"/>
          <w:u w:val="none"/>
          <w:lang w:val="en" w:eastAsia="zh-CN"/>
        </w:rPr>
        <w:t>9</w:t>
      </w:r>
      <w:r>
        <w:rPr>
          <w:rFonts w:hint="eastAsia" w:ascii="仿宋" w:hAnsi="仿宋" w:eastAsia="仿宋" w:cs="仿宋"/>
          <w:b w:val="0"/>
          <w:bCs w:val="0"/>
          <w:sz w:val="21"/>
          <w:szCs w:val="21"/>
          <w:highlight w:val="none"/>
          <w:u w:val="none"/>
          <w:lang w:val="en-US" w:eastAsia="zh-CN"/>
        </w:rPr>
        <w:t>）是否涉及进口产品：</w:t>
      </w:r>
    </w:p>
    <w:p>
      <w:pPr>
        <w:numPr>
          <w:ilvl w:val="0"/>
          <w:numId w:val="0"/>
        </w:numPr>
        <w:adjustRightInd w:val="0"/>
        <w:snapToGrid w:val="0"/>
        <w:spacing w:before="0" w:beforeLines="0" w:line="400" w:lineRule="exact"/>
        <w:ind w:firstLine="840" w:firstLineChars="400"/>
        <w:rPr>
          <w:rFonts w:hint="eastAsia" w:ascii="仿宋" w:hAnsi="仿宋" w:eastAsia="仿宋" w:cs="仿宋"/>
          <w:szCs w:val="21"/>
          <w:highlight w:val="none"/>
          <w:u w:val="single"/>
          <w:lang w:val="en-US" w:eastAsia="zh-CN"/>
        </w:rPr>
      </w:pP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，《政府采购品目分类目录》底级品目名称</w:t>
      </w:r>
      <w:r>
        <w:rPr>
          <w:rFonts w:hint="eastAsia" w:ascii="仿宋" w:hAnsi="仿宋" w:eastAsia="仿宋" w:cs="仿宋"/>
          <w:szCs w:val="21"/>
          <w:highlight w:val="none"/>
          <w:lang w:val="en-US" w:eastAsia="zh-CN"/>
        </w:rPr>
        <w:t>：</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金额：</w:t>
      </w:r>
      <w:r>
        <w:rPr>
          <w:rFonts w:hint="eastAsia" w:ascii="仿宋" w:hAnsi="仿宋" w:eastAsia="仿宋" w:cs="仿宋"/>
          <w:szCs w:val="21"/>
          <w:highlight w:val="none"/>
          <w:u w:val="single"/>
          <w:lang w:val="en-US" w:eastAsia="zh-CN"/>
        </w:rPr>
        <w:t xml:space="preserve">        </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highlight w:val="none"/>
        </w:rPr>
      </w:pPr>
      <w:r>
        <w:rPr>
          <w:rFonts w:hint="eastAsia" w:ascii="仿宋" w:hAnsi="仿宋" w:eastAsia="仿宋" w:cs="仿宋"/>
          <w:szCs w:val="21"/>
          <w:highlight w:val="none"/>
          <w:lang w:val="en-US" w:eastAsia="zh-CN"/>
        </w:rPr>
        <w:t xml:space="preserve">        国别：</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规格型号：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val="0"/>
          <w:szCs w:val="21"/>
          <w:highlight w:val="non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u w:val="none"/>
          <w:lang w:val="en-US" w:eastAsia="zh-CN"/>
        </w:rPr>
      </w:pP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（1</w:t>
      </w:r>
      <w:r>
        <w:rPr>
          <w:rFonts w:hint="eastAsia" w:ascii="仿宋" w:hAnsi="仿宋" w:eastAsia="仿宋" w:cs="仿宋"/>
          <w:b w:val="0"/>
          <w:bCs w:val="0"/>
          <w:sz w:val="21"/>
          <w:szCs w:val="21"/>
          <w:highlight w:val="none"/>
          <w:u w:val="none"/>
          <w:lang w:val="en" w:eastAsia="zh-CN"/>
        </w:rPr>
        <w:t>0</w:t>
      </w:r>
      <w:r>
        <w:rPr>
          <w:rFonts w:hint="eastAsia" w:ascii="仿宋" w:hAnsi="仿宋" w:eastAsia="仿宋" w:cs="仿宋"/>
          <w:b w:val="0"/>
          <w:bCs w:val="0"/>
          <w:sz w:val="21"/>
          <w:szCs w:val="21"/>
          <w:highlight w:val="none"/>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，《节能产品政府采购品目清单》的底级品目名称：</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highlight w:val="none"/>
        </w:rPr>
      </w:pPr>
      <w:r>
        <w:rPr>
          <w:rFonts w:hint="eastAsia" w:ascii="仿宋" w:hAnsi="仿宋" w:eastAsia="仿宋" w:cs="仿宋"/>
          <w:iCs/>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是否涉及环境标志产品：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highlight w:val="none"/>
          <w:lang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，《环境标志产品政府采购品目清单》的底级品目名称：</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kern w:val="2"/>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b w:val="0"/>
          <w:bCs w:val="0"/>
          <w:kern w:val="2"/>
          <w:sz w:val="21"/>
          <w:szCs w:val="21"/>
          <w:highlight w:val="none"/>
          <w:u w:val="none"/>
          <w:lang w:val="en-US" w:eastAsia="zh-CN"/>
        </w:rPr>
        <w:t>是否涉及绿色产品：</w:t>
      </w:r>
      <w:r>
        <w:rPr>
          <w:rFonts w:hint="eastAsia" w:ascii="仿宋" w:hAnsi="仿宋" w:eastAsia="仿宋" w:cs="仿宋"/>
          <w:iCs w:val="0"/>
          <w:kern w:val="2"/>
          <w:sz w:val="21"/>
          <w:szCs w:val="21"/>
          <w:highlight w:val="none"/>
          <w:u w:val="none"/>
          <w:lang w:val="en-US" w:eastAsia="zh-CN"/>
        </w:rPr>
        <w:t xml:space="preserve"> </w:t>
      </w:r>
    </w:p>
    <w:p>
      <w:pPr>
        <w:pStyle w:val="963"/>
        <w:spacing w:beforeLines="0"/>
        <w:ind w:firstLine="420" w:firstLineChars="0"/>
        <w:rPr>
          <w:rFonts w:hint="eastAsia" w:ascii="仿宋" w:hAnsi="仿宋" w:eastAsia="仿宋" w:cs="仿宋"/>
          <w:szCs w:val="21"/>
          <w:highlight w:val="none"/>
          <w:u w:val="single"/>
          <w:lang w:val="en-US" w:eastAsia="zh-CN"/>
        </w:rPr>
      </w:pPr>
      <w:r>
        <w:rPr>
          <w:rFonts w:hint="eastAsia" w:ascii="仿宋" w:hAnsi="仿宋" w:eastAsia="仿宋" w:cs="仿宋"/>
          <w:iCs w:val="0"/>
          <w:kern w:val="2"/>
          <w:sz w:val="21"/>
          <w:szCs w:val="21"/>
          <w:highlight w:val="none"/>
          <w:u w:val="none"/>
          <w:lang w:val="en-US" w:eastAsia="zh-CN"/>
        </w:rPr>
        <w:t xml:space="preserve">     </w:t>
      </w:r>
      <w:r>
        <w:rPr>
          <w:rFonts w:hint="eastAsia" w:ascii="仿宋" w:hAnsi="仿宋" w:eastAsia="仿宋" w:cs="仿宋"/>
          <w:iCs w:val="0"/>
          <w:kern w:val="2"/>
          <w:sz w:val="21"/>
          <w:szCs w:val="21"/>
          <w:highlight w:val="none"/>
          <w:u w:val="none"/>
        </w:rPr>
        <w:sym w:font="Wingdings" w:char="00A8"/>
      </w:r>
      <w:r>
        <w:rPr>
          <w:rFonts w:hint="eastAsia" w:ascii="仿宋" w:hAnsi="仿宋" w:eastAsia="仿宋" w:cs="仿宋"/>
          <w:iCs w:val="0"/>
          <w:kern w:val="2"/>
          <w:sz w:val="21"/>
          <w:szCs w:val="21"/>
          <w:highlight w:val="none"/>
          <w:u w:val="none"/>
        </w:rPr>
        <w:t>是</w:t>
      </w:r>
      <w:r>
        <w:rPr>
          <w:rFonts w:hint="eastAsia" w:ascii="仿宋" w:hAnsi="仿宋" w:eastAsia="仿宋" w:cs="仿宋"/>
          <w:iCs w:val="0"/>
          <w:kern w:val="2"/>
          <w:sz w:val="21"/>
          <w:szCs w:val="21"/>
          <w:highlight w:val="none"/>
          <w:u w:val="none"/>
          <w:lang w:eastAsia="zh-CN"/>
        </w:rPr>
        <w:t>，绿色产品政府采购相关政策确定的底级品目名称：</w:t>
      </w:r>
      <w:r>
        <w:rPr>
          <w:rFonts w:hint="eastAsia" w:ascii="仿宋" w:hAnsi="仿宋" w:eastAsia="仿宋" w:cs="仿宋"/>
          <w:szCs w:val="21"/>
          <w:highlight w:val="none"/>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pStyle w:val="963"/>
        <w:spacing w:beforeLines="0"/>
        <w:ind w:firstLine="42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iCs w:val="0"/>
          <w:kern w:val="2"/>
          <w:sz w:val="21"/>
          <w:szCs w:val="21"/>
          <w:highlight w:val="none"/>
          <w:u w:val="none"/>
          <w:lang w:val="en-US" w:eastAsia="zh-CN"/>
        </w:rPr>
        <w:t xml:space="preserve">     </w:t>
      </w:r>
      <w:r>
        <w:rPr>
          <w:rFonts w:hint="eastAsia" w:ascii="仿宋" w:hAnsi="仿宋" w:eastAsia="仿宋" w:cs="仿宋"/>
          <w:iCs w:val="0"/>
          <w:kern w:val="2"/>
          <w:sz w:val="21"/>
          <w:szCs w:val="21"/>
          <w:highlight w:val="none"/>
          <w:u w:val="none"/>
        </w:rPr>
        <w:sym w:font="Wingdings" w:char="00A8"/>
      </w:r>
      <w:r>
        <w:rPr>
          <w:rFonts w:hint="eastAsia" w:ascii="仿宋" w:hAnsi="仿宋" w:eastAsia="仿宋" w:cs="仿宋"/>
          <w:iCs w:val="0"/>
          <w:kern w:val="2"/>
          <w:sz w:val="21"/>
          <w:szCs w:val="21"/>
          <w:highlight w:val="none"/>
          <w:u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（1</w:t>
      </w:r>
      <w:r>
        <w:rPr>
          <w:rFonts w:hint="eastAsia" w:ascii="仿宋" w:hAnsi="仿宋" w:eastAsia="仿宋" w:cs="仿宋"/>
          <w:szCs w:val="21"/>
          <w:highlight w:val="none"/>
          <w:lang w:val="en" w:eastAsia="zh-CN"/>
        </w:rPr>
        <w:t>1</w:t>
      </w:r>
      <w:r>
        <w:rPr>
          <w:rFonts w:hint="eastAsia" w:ascii="仿宋" w:hAnsi="仿宋" w:eastAsia="仿宋" w:cs="仿宋"/>
          <w:szCs w:val="21"/>
          <w:highlight w:val="none"/>
          <w:lang w:val="en-US" w:eastAsia="zh-CN"/>
        </w:rPr>
        <w:t>）涉及商品包装和快递包装的，是否参考</w:t>
      </w:r>
      <w:r>
        <w:rPr>
          <w:rFonts w:hint="eastAsia" w:ascii="仿宋" w:hAnsi="仿宋" w:eastAsia="仿宋" w:cs="仿宋"/>
          <w:szCs w:val="21"/>
          <w:highlight w:val="none"/>
        </w:rPr>
        <w:t>《商品包装政府采购需求标准（试行）》、《快递包装政府采购需求标准（试行）》</w:t>
      </w:r>
      <w:r>
        <w:rPr>
          <w:rFonts w:hint="eastAsia" w:ascii="仿宋" w:hAnsi="仿宋" w:eastAsia="仿宋" w:cs="仿宋"/>
          <w:szCs w:val="21"/>
          <w:highlight w:val="none"/>
          <w:lang w:eastAsia="zh-CN"/>
        </w:rPr>
        <w:t>明确产品及相关快递服务的具体包装要求：</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highlight w:val="none"/>
          <w:lang w:val="en-US" w:eastAsia="zh-CN"/>
        </w:rPr>
      </w:pP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 xml:space="preserve">是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lang w:eastAsia="zh-CN"/>
        </w:rPr>
        <w:t>不涉及</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left="0"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大写：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分包金额</w:t>
      </w:r>
      <w:r>
        <w:rPr>
          <w:rFonts w:hint="eastAsia" w:ascii="仿宋" w:hAnsi="仿宋" w:eastAsia="仿宋" w:cs="仿宋"/>
          <w:szCs w:val="21"/>
          <w:highlight w:val="none"/>
          <w:lang w:eastAsia="zh-CN"/>
        </w:rPr>
        <w:t>（如有）</w:t>
      </w:r>
      <w:r>
        <w:rPr>
          <w:rFonts w:hint="eastAsia" w:ascii="仿宋" w:hAnsi="仿宋" w:eastAsia="仿宋" w:cs="仿宋"/>
          <w:szCs w:val="21"/>
          <w:highlight w:val="none"/>
        </w:rPr>
        <w:t>小写：</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大写：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lang w:eastAsia="zh-CN"/>
        </w:rPr>
        <w:t>）</w:t>
      </w:r>
      <w:r>
        <w:rPr>
          <w:rFonts w:hint="eastAsia" w:ascii="仿宋" w:hAnsi="仿宋" w:eastAsia="仿宋" w:cs="仿宋"/>
          <w:szCs w:val="21"/>
          <w:highlight w:val="none"/>
        </w:rPr>
        <w:t>合同定价方式</w:t>
      </w:r>
      <w:r>
        <w:rPr>
          <w:rFonts w:hint="eastAsia" w:ascii="仿宋" w:hAnsi="仿宋" w:eastAsia="仿宋" w:cs="仿宋"/>
          <w:szCs w:val="21"/>
          <w:highlight w:val="none"/>
          <w:lang w:eastAsia="zh-CN"/>
        </w:rPr>
        <w:t>（采用组合定价方式的，可以勾选多项）</w:t>
      </w:r>
      <w:r>
        <w:rPr>
          <w:rFonts w:hint="eastAsia" w:ascii="仿宋" w:hAnsi="仿宋" w:eastAsia="仿宋" w:cs="仿宋"/>
          <w:szCs w:val="21"/>
          <w:highlight w:val="none"/>
        </w:rPr>
        <w:t>：</w:t>
      </w:r>
    </w:p>
    <w:p>
      <w:pPr>
        <w:adjustRightInd w:val="0"/>
        <w:snapToGrid w:val="0"/>
        <w:spacing w:before="0" w:beforeLines="0" w:line="400" w:lineRule="exact"/>
        <w:ind w:firstLine="420" w:firstLineChars="200"/>
        <w:rPr>
          <w:rFonts w:hint="eastAsia" w:ascii="仿宋" w:hAnsi="仿宋" w:eastAsia="仿宋" w:cs="仿宋"/>
          <w:szCs w:val="21"/>
          <w:highlight w:val="none"/>
          <w:lang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固定单价</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固定费率</w:t>
      </w: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绩效激励</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其他</w:t>
      </w:r>
      <w:r>
        <w:rPr>
          <w:rFonts w:hint="eastAsia" w:ascii="仿宋" w:hAnsi="仿宋" w:eastAsia="仿宋" w:cs="仿宋"/>
          <w:szCs w:val="21"/>
          <w:highlight w:val="none"/>
          <w:u w:val="single"/>
        </w:rPr>
        <w:t xml:space="preserve">       </w:t>
      </w:r>
    </w:p>
    <w:p>
      <w:pPr>
        <w:pStyle w:val="790"/>
        <w:spacing w:beforeLines="0" w:line="400" w:lineRule="exact"/>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3</w:t>
      </w:r>
      <w:r>
        <w:rPr>
          <w:rFonts w:hint="eastAsia" w:ascii="仿宋" w:hAnsi="仿宋" w:eastAsia="仿宋" w:cs="仿宋"/>
          <w:highlight w:val="none"/>
        </w:rPr>
        <w:t>）付款方式（按项目实际勾选填写）：</w:t>
      </w:r>
    </w:p>
    <w:p>
      <w:pPr>
        <w:adjustRightInd w:val="0"/>
        <w:snapToGrid w:val="0"/>
        <w:spacing w:before="0" w:beforeLines="0"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w:t>
      </w:r>
      <w:r>
        <w:rPr>
          <w:rFonts w:hint="eastAsia" w:ascii="仿宋" w:hAnsi="仿宋" w:eastAsia="仿宋" w:cs="仿宋"/>
          <w:szCs w:val="21"/>
          <w:highlight w:val="none"/>
          <w:u w:val="single"/>
          <w:lang w:eastAsia="zh-CN"/>
        </w:rPr>
        <w:t>明确</w:t>
      </w:r>
      <w:r>
        <w:rPr>
          <w:rFonts w:hint="eastAsia" w:ascii="仿宋" w:hAnsi="仿宋" w:eastAsia="仿宋" w:cs="仿宋"/>
          <w:szCs w:val="21"/>
          <w:highlight w:val="none"/>
          <w:u w:val="single"/>
        </w:rPr>
        <w:t>一次性支付合同款项</w:t>
      </w:r>
      <w:r>
        <w:rPr>
          <w:rFonts w:hint="eastAsia" w:ascii="仿宋" w:hAnsi="仿宋" w:eastAsia="仿宋" w:cs="仿宋"/>
          <w:szCs w:val="21"/>
          <w:highlight w:val="none"/>
          <w:u w:val="single"/>
          <w:lang w:eastAsia="zh-CN"/>
        </w:rPr>
        <w:t>的条件</w:t>
      </w:r>
      <w:r>
        <w:rPr>
          <w:rFonts w:hint="eastAsia" w:ascii="仿宋" w:hAnsi="仿宋" w:eastAsia="仿宋" w:cs="仿宋"/>
          <w:szCs w:val="21"/>
          <w:highlight w:val="none"/>
          <w:u w:val="single"/>
        </w:rPr>
        <w:t xml:space="preserve">）                    </w:t>
      </w:r>
    </w:p>
    <w:p>
      <w:pPr>
        <w:snapToGrid w:val="0"/>
        <w:spacing w:beforeLines="0" w:line="400" w:lineRule="exact"/>
        <w:ind w:firstLine="630" w:firstLineChars="300"/>
        <w:rPr>
          <w:rFonts w:hint="eastAsia"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w:t>
      </w:r>
      <w:r>
        <w:rPr>
          <w:rFonts w:hint="eastAsia" w:ascii="仿宋" w:hAnsi="仿宋" w:eastAsia="仿宋" w:cs="仿宋"/>
          <w:szCs w:val="21"/>
          <w:highlight w:val="none"/>
          <w:u w:val="single"/>
          <w:lang w:eastAsia="zh-CN"/>
        </w:rPr>
        <w:t>，各期支付条件应与分期履约验收情况挂钩</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none"/>
          <w:lang w:eastAsia="zh-CN"/>
        </w:rPr>
        <w:t>，</w:t>
      </w:r>
      <w:r>
        <w:rPr>
          <w:rFonts w:hint="eastAsia" w:ascii="仿宋" w:hAnsi="仿宋" w:eastAsia="仿宋" w:cs="仿宋"/>
          <w:szCs w:val="21"/>
          <w:highlight w:val="none"/>
          <w:lang w:eastAsia="zh-CN"/>
        </w:rPr>
        <w:t>其中涉及预付款的</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pPr>
        <w:numPr>
          <w:ilvl w:val="0"/>
          <w:numId w:val="1"/>
        </w:numPr>
        <w:adjustRightInd w:val="0"/>
        <w:snapToGrid w:val="0"/>
        <w:spacing w:before="0" w:beforeLines="0" w:line="400" w:lineRule="exact"/>
        <w:ind w:firstLine="422" w:firstLineChars="200"/>
        <w:rPr>
          <w:rFonts w:hint="eastAsia" w:ascii="仿宋" w:hAnsi="仿宋" w:eastAsia="仿宋" w:cs="仿宋"/>
          <w:b/>
          <w:bCs w:val="0"/>
          <w:szCs w:val="21"/>
          <w:highlight w:val="none"/>
          <w:u w:val="single"/>
        </w:rPr>
      </w:pPr>
      <w:r>
        <w:rPr>
          <w:rFonts w:hint="eastAsia" w:ascii="仿宋" w:hAnsi="仿宋" w:eastAsia="仿宋" w:cs="仿宋"/>
          <w:b/>
          <w:bCs w:val="0"/>
          <w:szCs w:val="21"/>
          <w:highlight w:val="none"/>
        </w:rPr>
        <w:t>合同履行</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pPr>
        <w:adjustRightInd w:val="0"/>
        <w:snapToGrid w:val="0"/>
        <w:spacing w:before="0" w:beforeLines="0"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szCs w:val="21"/>
          <w:highlight w:val="none"/>
        </w:rPr>
        <w:t>（2）</w:t>
      </w:r>
      <w:r>
        <w:rPr>
          <w:rFonts w:hint="eastAsia" w:ascii="仿宋" w:hAnsi="仿宋" w:eastAsia="仿宋" w:cs="仿宋"/>
          <w:szCs w:val="21"/>
          <w:highlight w:val="none"/>
          <w:lang w:eastAsia="zh-CN"/>
        </w:rPr>
        <w:t>履约</w:t>
      </w:r>
      <w:r>
        <w:rPr>
          <w:rFonts w:hint="eastAsia" w:ascii="仿宋" w:hAnsi="仿宋" w:eastAsia="仿宋" w:cs="仿宋"/>
          <w:szCs w:val="21"/>
          <w:highlight w:val="none"/>
        </w:rPr>
        <w:t>地点</w:t>
      </w:r>
      <w:r>
        <w:rPr>
          <w:rFonts w:hint="eastAsia" w:ascii="仿宋" w:hAnsi="仿宋" w:eastAsia="仿宋" w:cs="仿宋"/>
          <w:b w:val="0"/>
          <w:bCs/>
          <w:szCs w:val="21"/>
          <w:highlight w:val="none"/>
        </w:rPr>
        <w:t>：</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sz w:val="21"/>
          <w:szCs w:val="21"/>
          <w:highlight w:val="none"/>
          <w:lang w:eastAsia="zh-CN"/>
        </w:rPr>
      </w:pPr>
      <w:r>
        <w:rPr>
          <w:rFonts w:hint="eastAsia" w:ascii="仿宋" w:hAnsi="仿宋" w:eastAsia="仿宋" w:cs="仿宋"/>
          <w:bCs/>
          <w:szCs w:val="21"/>
          <w:highlight w:val="none"/>
        </w:rPr>
        <w:t>（3）履约担保：</w:t>
      </w:r>
      <w:r>
        <w:rPr>
          <w:rFonts w:hint="eastAsia" w:ascii="仿宋" w:hAnsi="仿宋" w:eastAsia="仿宋" w:cs="仿宋"/>
          <w:sz w:val="21"/>
          <w:highlight w:val="none"/>
          <w:lang w:val="en-US" w:eastAsia="zh-CN"/>
        </w:rPr>
        <w:t>是否收取履约保证金：</w:t>
      </w:r>
      <w:r>
        <w:rPr>
          <w:rFonts w:hint="eastAsia" w:ascii="仿宋" w:hAnsi="仿宋" w:eastAsia="仿宋" w:cs="仿宋"/>
          <w:sz w:val="21"/>
          <w:szCs w:val="21"/>
          <w:highlight w:val="none"/>
        </w:rPr>
        <w:sym w:font="Wingdings" w:char="00A8"/>
      </w:r>
      <w:r>
        <w:rPr>
          <w:rFonts w:hint="eastAsia" w:ascii="仿宋" w:hAnsi="仿宋" w:eastAsia="仿宋" w:cs="仿宋"/>
          <w:sz w:val="21"/>
          <w:szCs w:val="21"/>
          <w:highlight w:val="none"/>
          <w:lang w:eastAsia="zh-CN"/>
        </w:rPr>
        <w:t>是</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sz w:val="21"/>
          <w:szCs w:val="21"/>
          <w:highlight w:val="none"/>
          <w:lang w:eastAsia="zh-CN"/>
        </w:rPr>
        <w:t>否</w:t>
      </w:r>
    </w:p>
    <w:p>
      <w:pPr>
        <w:pStyle w:val="963"/>
        <w:spacing w:beforeLines="0"/>
        <w:rPr>
          <w:rFonts w:hint="eastAsia" w:ascii="仿宋" w:hAnsi="仿宋" w:eastAsia="仿宋" w:cs="仿宋"/>
          <w:sz w:val="21"/>
          <w:highlight w:val="none"/>
          <w:lang w:val="en-US" w:eastAsia="zh-CN"/>
        </w:rPr>
      </w:pPr>
      <w:r>
        <w:rPr>
          <w:rFonts w:hint="eastAsia" w:ascii="仿宋" w:hAnsi="仿宋" w:eastAsia="仿宋" w:cs="仿宋"/>
          <w:bCs/>
          <w:szCs w:val="21"/>
          <w:highlight w:val="none"/>
          <w:u w:val="none"/>
          <w:lang w:val="en-US" w:eastAsia="zh-CN"/>
        </w:rPr>
        <w:t xml:space="preserve">  </w:t>
      </w:r>
      <w:r>
        <w:rPr>
          <w:rFonts w:hint="eastAsia" w:ascii="仿宋" w:hAnsi="仿宋" w:eastAsia="仿宋" w:cs="仿宋"/>
          <w:sz w:val="21"/>
          <w:highlight w:val="none"/>
          <w:lang w:val="en-US" w:eastAsia="zh-CN"/>
        </w:rPr>
        <w:t xml:space="preserve">  收取履约保证金形式：</w:t>
      </w:r>
      <w:r>
        <w:rPr>
          <w:rFonts w:hint="eastAsia" w:ascii="仿宋" w:hAnsi="仿宋" w:eastAsia="仿宋" w:cs="仿宋"/>
          <w:bCs/>
          <w:sz w:val="21"/>
          <w:szCs w:val="21"/>
          <w:highlight w:val="none"/>
          <w:u w:val="single"/>
        </w:rPr>
        <w:t xml:space="preserve">                            </w:t>
      </w:r>
    </w:p>
    <w:p>
      <w:pPr>
        <w:pStyle w:val="963"/>
        <w:spacing w:beforeLines="0"/>
        <w:rPr>
          <w:rFonts w:hint="eastAsia" w:ascii="仿宋" w:hAnsi="仿宋" w:eastAsia="仿宋" w:cs="仿宋"/>
          <w:sz w:val="21"/>
          <w:highlight w:val="none"/>
          <w:lang w:val="en-US" w:eastAsia="zh-CN"/>
        </w:rPr>
      </w:pPr>
      <w:r>
        <w:rPr>
          <w:rFonts w:hint="eastAsia" w:ascii="仿宋" w:hAnsi="仿宋" w:eastAsia="仿宋" w:cs="仿宋"/>
          <w:sz w:val="21"/>
          <w:highlight w:val="none"/>
          <w:lang w:val="en-US" w:eastAsia="zh-CN"/>
        </w:rPr>
        <w:t xml:space="preserve">    收取履约保证金金额：</w:t>
      </w:r>
      <w:r>
        <w:rPr>
          <w:rFonts w:hint="eastAsia" w:ascii="仿宋" w:hAnsi="仿宋" w:eastAsia="仿宋" w:cs="仿宋"/>
          <w:bCs/>
          <w:sz w:val="21"/>
          <w:szCs w:val="21"/>
          <w:highlight w:val="none"/>
          <w:u w:val="single"/>
        </w:rPr>
        <w:t xml:space="preserve">                            </w:t>
      </w:r>
    </w:p>
    <w:p>
      <w:pPr>
        <w:snapToGrid w:val="0"/>
        <w:spacing w:beforeLines="0" w:line="400" w:lineRule="exact"/>
        <w:ind w:firstLine="420" w:firstLineChars="200"/>
        <w:rPr>
          <w:rFonts w:hint="eastAsia" w:ascii="仿宋" w:hAnsi="仿宋" w:eastAsia="仿宋" w:cs="仿宋"/>
          <w:sz w:val="21"/>
          <w:highlight w:val="none"/>
          <w:lang w:val="en-US" w:eastAsia="zh-CN"/>
        </w:rPr>
      </w:pPr>
      <w:r>
        <w:rPr>
          <w:rFonts w:hint="eastAsia" w:ascii="仿宋" w:hAnsi="仿宋" w:eastAsia="仿宋" w:cs="仿宋"/>
          <w:bCs/>
          <w:szCs w:val="21"/>
          <w:highlight w:val="none"/>
          <w:u w:val="none"/>
          <w:lang w:val="en-US" w:eastAsia="zh-CN"/>
        </w:rPr>
        <w:t xml:space="preserve">    履约担保期限</w:t>
      </w:r>
      <w:r>
        <w:rPr>
          <w:rFonts w:hint="eastAsia" w:ascii="仿宋" w:hAnsi="仿宋" w:eastAsia="仿宋" w:cs="仿宋"/>
          <w:bCs/>
          <w:szCs w:val="21"/>
          <w:highlight w:val="none"/>
          <w:u w:val="none"/>
          <w:lang w:eastAsia="zh-CN"/>
        </w:rPr>
        <w:t>：</w:t>
      </w:r>
      <w:r>
        <w:rPr>
          <w:rFonts w:hint="eastAsia" w:ascii="仿宋" w:hAnsi="仿宋" w:eastAsia="仿宋" w:cs="仿宋"/>
          <w:bCs/>
          <w:sz w:val="21"/>
          <w:szCs w:val="21"/>
          <w:highlight w:val="none"/>
          <w:u w:val="single"/>
        </w:rPr>
        <w:t xml:space="preserve">      </w:t>
      </w:r>
      <w:r>
        <w:rPr>
          <w:rFonts w:hint="eastAsia" w:ascii="仿宋" w:hAnsi="仿宋" w:eastAsia="仿宋" w:cs="仿宋"/>
          <w:bCs/>
          <w:sz w:val="21"/>
          <w:szCs w:val="21"/>
          <w:highlight w:val="none"/>
          <w:u w:val="single"/>
          <w:lang w:val="en-US" w:eastAsia="zh-CN"/>
        </w:rPr>
        <w:t xml:space="preserve">                     </w:t>
      </w:r>
      <w:r>
        <w:rPr>
          <w:rFonts w:hint="eastAsia" w:ascii="仿宋" w:hAnsi="仿宋" w:eastAsia="仿宋" w:cs="仿宋"/>
          <w:bCs/>
          <w:sz w:val="21"/>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bCs/>
          <w:szCs w:val="21"/>
          <w:highlight w:val="none"/>
        </w:rPr>
        <w:t>（5）</w:t>
      </w:r>
      <w:r>
        <w:rPr>
          <w:rFonts w:hint="eastAsia" w:ascii="仿宋" w:hAnsi="仿宋" w:eastAsia="仿宋" w:cs="仿宋"/>
          <w:bCs/>
          <w:szCs w:val="21"/>
          <w:highlight w:val="none"/>
          <w:lang w:eastAsia="zh-CN"/>
        </w:rPr>
        <w:t>风险处置措施和替代方案</w:t>
      </w:r>
      <w:r>
        <w:rPr>
          <w:rFonts w:hint="eastAsia" w:ascii="仿宋" w:hAnsi="仿宋" w:eastAsia="仿宋" w:cs="仿宋"/>
          <w:bCs/>
          <w:szCs w:val="21"/>
          <w:highlight w:val="none"/>
        </w:rPr>
        <w:t>：</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szCs w:val="21"/>
          <w:highlight w:val="none"/>
          <w:u w:val="single"/>
        </w:rPr>
        <w:t xml:space="preserve">              </w:t>
      </w:r>
      <w:r>
        <w:rPr>
          <w:rFonts w:hint="eastAsia" w:ascii="仿宋" w:hAnsi="仿宋" w:eastAsia="仿宋" w:cs="仿宋"/>
          <w:szCs w:val="21"/>
          <w:highlight w:val="none"/>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合同验收</w:t>
      </w:r>
    </w:p>
    <w:p>
      <w:pPr>
        <w:numPr>
          <w:ilvl w:val="0"/>
          <w:numId w:val="3"/>
        </w:num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委托第三方组织</w:t>
      </w:r>
    </w:p>
    <w:p>
      <w:pPr>
        <w:numPr>
          <w:ilvl w:val="0"/>
          <w:numId w:val="0"/>
        </w:numPr>
        <w:adjustRightInd w:val="0"/>
        <w:snapToGrid w:val="0"/>
        <w:spacing w:before="0" w:beforeLines="0" w:line="400" w:lineRule="exact"/>
        <w:rPr>
          <w:rFonts w:hint="eastAsia" w:ascii="仿宋" w:hAnsi="仿宋" w:eastAsia="仿宋" w:cs="仿宋"/>
          <w:bCs/>
          <w:szCs w:val="21"/>
          <w:highlight w:val="none"/>
        </w:rPr>
      </w:pPr>
      <w:r>
        <w:rPr>
          <w:rFonts w:hint="eastAsia" w:ascii="仿宋" w:hAnsi="仿宋" w:eastAsia="仿宋" w:cs="仿宋"/>
          <w:bCs/>
          <w:szCs w:val="21"/>
          <w:highlight w:val="none"/>
          <w:lang w:val="en-US" w:eastAsia="zh-CN"/>
        </w:rPr>
        <w:t xml:space="preserve">         </w:t>
      </w:r>
      <w:r>
        <w:rPr>
          <w:rFonts w:hint="eastAsia" w:ascii="仿宋" w:hAnsi="仿宋" w:eastAsia="仿宋" w:cs="仿宋"/>
          <w:bCs/>
          <w:szCs w:val="21"/>
          <w:highlight w:val="none"/>
        </w:rPr>
        <w:t>验收主体：</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bCs/>
          <w:szCs w:val="21"/>
          <w:highlight w:val="none"/>
        </w:rPr>
      </w:pPr>
      <w:r>
        <w:rPr>
          <w:rFonts w:hint="eastAsia" w:ascii="仿宋" w:hAnsi="仿宋" w:eastAsia="仿宋" w:cs="仿宋"/>
          <w:bCs/>
          <w:szCs w:val="21"/>
          <w:highlight w:val="none"/>
          <w:lang w:val="en-US" w:eastAsia="zh-CN"/>
        </w:rPr>
        <w:t xml:space="preserve">        </w:t>
      </w:r>
      <w:r>
        <w:rPr>
          <w:rFonts w:hint="eastAsia" w:ascii="仿宋" w:hAnsi="仿宋" w:eastAsia="仿宋" w:cs="仿宋"/>
          <w:bCs/>
          <w:szCs w:val="21"/>
          <w:highlight w:val="none"/>
        </w:rPr>
        <w:t>是否邀请本项目的其他供应商</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是否邀请专家</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是否邀请服务对象</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是否邀请第三方检测机构</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lang w:eastAsia="zh-CN"/>
        </w:rPr>
        <w:t>是否进行抽查检测：</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lang w:eastAsia="zh-CN"/>
        </w:rPr>
        <w:t>，抽查比例：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r>
        <w:rPr>
          <w:rFonts w:hint="eastAsia" w:ascii="仿宋" w:hAnsi="仿宋" w:eastAsia="仿宋" w:cs="仿宋"/>
          <w:bCs/>
          <w:szCs w:val="21"/>
          <w:highlight w:val="none"/>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u w:val="single"/>
          <w:lang w:eastAsia="zh-CN"/>
        </w:rPr>
      </w:pPr>
      <w:r>
        <w:rPr>
          <w:rFonts w:hint="eastAsia" w:ascii="仿宋" w:hAnsi="仿宋" w:eastAsia="仿宋" w:cs="仿宋"/>
          <w:bCs/>
          <w:szCs w:val="21"/>
          <w:highlight w:val="none"/>
          <w:lang w:val="en-US" w:eastAsia="zh-CN"/>
        </w:rPr>
        <w:t>是否存在破坏性检测：</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（计划于何时验收/供应商提出验收申请之日起   日内组织验收）</w:t>
      </w:r>
      <w:r>
        <w:rPr>
          <w:rFonts w:hint="eastAsia" w:ascii="仿宋" w:hAnsi="仿宋" w:eastAsia="仿宋" w:cs="仿宋"/>
          <w:bCs/>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一次性验收         </w:t>
      </w:r>
    </w:p>
    <w:p>
      <w:pPr>
        <w:adjustRightInd w:val="0"/>
        <w:snapToGrid w:val="0"/>
        <w:spacing w:before="0" w:beforeLines="0" w:line="400" w:lineRule="exact"/>
        <w:ind w:firstLine="0" w:firstLineChars="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eastAsia="zh-CN"/>
        </w:rPr>
        <w:t>（应明确分期</w:t>
      </w:r>
      <w:r>
        <w:rPr>
          <w:rFonts w:hint="eastAsia" w:ascii="仿宋" w:hAnsi="仿宋" w:eastAsia="仿宋" w:cs="仿宋"/>
          <w:bCs/>
          <w:szCs w:val="21"/>
          <w:highlight w:val="none"/>
          <w:u w:val="single"/>
          <w:lang w:val="en" w:eastAsia="zh-CN"/>
        </w:rPr>
        <w:t>/分项验收的工作安排</w:t>
      </w:r>
      <w:r>
        <w:rPr>
          <w:rFonts w:hint="eastAsia" w:ascii="仿宋" w:hAnsi="仿宋" w:eastAsia="仿宋" w:cs="仿宋"/>
          <w:bCs/>
          <w:szCs w:val="21"/>
          <w:highlight w:val="none"/>
          <w:u w:val="single"/>
          <w:lang w:eastAsia="zh-CN"/>
        </w:rPr>
        <w:t>）</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pPr>
        <w:pStyle w:val="963"/>
        <w:spacing w:beforeLines="0"/>
        <w:rPr>
          <w:rFonts w:hint="eastAsia" w:ascii="仿宋" w:hAnsi="仿宋" w:eastAsia="仿宋" w:cs="仿宋"/>
          <w:sz w:val="21"/>
          <w:highlight w:val="none"/>
          <w:lang w:eastAsia="zh-CN"/>
        </w:rPr>
      </w:pPr>
      <w:r>
        <w:rPr>
          <w:rFonts w:hint="eastAsia" w:ascii="仿宋" w:hAnsi="仿宋" w:eastAsia="仿宋" w:cs="仿宋"/>
          <w:bCs/>
          <w:sz w:val="21"/>
          <w:szCs w:val="21"/>
          <w:highlight w:val="none"/>
          <w:u w:val="none"/>
          <w:lang w:eastAsia="zh-CN"/>
        </w:rPr>
        <w:t>（</w:t>
      </w:r>
      <w:r>
        <w:rPr>
          <w:rFonts w:hint="eastAsia" w:ascii="仿宋" w:hAnsi="仿宋" w:eastAsia="仿宋" w:cs="仿宋"/>
          <w:bCs/>
          <w:sz w:val="21"/>
          <w:szCs w:val="21"/>
          <w:highlight w:val="none"/>
          <w:u w:val="none"/>
          <w:lang w:val="en-US" w:eastAsia="zh-CN"/>
        </w:rPr>
        <w:t>7</w:t>
      </w:r>
      <w:r>
        <w:rPr>
          <w:rFonts w:hint="eastAsia" w:ascii="仿宋" w:hAnsi="仿宋" w:eastAsia="仿宋" w:cs="仿宋"/>
          <w:bCs/>
          <w:sz w:val="21"/>
          <w:szCs w:val="21"/>
          <w:highlight w:val="none"/>
          <w:u w:val="none"/>
          <w:lang w:eastAsia="zh-CN"/>
        </w:rPr>
        <w:t>）是否以采购活动中供应商提供的样品作为参考：</w:t>
      </w:r>
      <w:r>
        <w:rPr>
          <w:rFonts w:hint="eastAsia" w:ascii="仿宋" w:hAnsi="仿宋" w:eastAsia="仿宋" w:cs="仿宋"/>
          <w:sz w:val="21"/>
          <w:szCs w:val="21"/>
          <w:highlight w:val="none"/>
        </w:rPr>
        <w:sym w:font="Wingdings" w:char="00A8"/>
      </w:r>
      <w:r>
        <w:rPr>
          <w:rFonts w:hint="eastAsia" w:ascii="仿宋" w:hAnsi="仿宋" w:eastAsia="仿宋" w:cs="仿宋"/>
          <w:bCs/>
          <w:sz w:val="21"/>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 w:val="21"/>
          <w:szCs w:val="21"/>
          <w:highlight w:val="none"/>
        </w:rPr>
        <w:t>否</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w:t>
      </w:r>
      <w:r>
        <w:rPr>
          <w:rFonts w:hint="eastAsia" w:ascii="仿宋" w:hAnsi="仿宋" w:eastAsia="仿宋" w:cs="仿宋"/>
          <w:bCs/>
          <w:i w:val="0"/>
          <w:iCs w:val="0"/>
          <w:szCs w:val="21"/>
          <w:highlight w:val="none"/>
          <w:u w:val="single"/>
        </w:rPr>
        <w:t>（产权过户登记等）</w:t>
      </w:r>
      <w:r>
        <w:rPr>
          <w:rFonts w:hint="eastAsia" w:ascii="仿宋" w:hAnsi="仿宋" w:eastAsia="仿宋" w:cs="仿宋"/>
          <w:bCs/>
          <w:szCs w:val="21"/>
          <w:highlight w:val="none"/>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组成合同的文件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）政府采购合同专用条款</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）投标（响应）文件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（6）采购文件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（7）有关技术文件，图纸</w:t>
      </w:r>
    </w:p>
    <w:p>
      <w:pPr>
        <w:pStyle w:val="963"/>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合同生效</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合同份数</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w:t>
      </w:r>
      <w:r>
        <w:rPr>
          <w:rFonts w:hint="eastAsia" w:ascii="仿宋" w:hAnsi="仿宋" w:eastAsia="仿宋" w:cs="仿宋"/>
          <w:szCs w:val="21"/>
          <w:highlight w:val="none"/>
          <w:lang w:eastAsia="zh-CN"/>
        </w:rPr>
        <w:t>甲方</w:t>
      </w:r>
      <w:r>
        <w:rPr>
          <w:rFonts w:hint="eastAsia" w:ascii="仿宋" w:hAnsi="仿宋" w:eastAsia="仿宋" w:cs="仿宋"/>
          <w:szCs w:val="21"/>
          <w:highlight w:val="none"/>
        </w:rPr>
        <w:t>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w:t>
      </w:r>
      <w:r>
        <w:rPr>
          <w:rFonts w:hint="eastAsia" w:ascii="仿宋" w:hAnsi="仿宋" w:eastAsia="仿宋" w:cs="仿宋"/>
          <w:szCs w:val="21"/>
          <w:highlight w:val="none"/>
          <w:lang w:eastAsia="zh-CN"/>
        </w:rPr>
        <w:t>乙方</w:t>
      </w:r>
      <w:r>
        <w:rPr>
          <w:rFonts w:hint="eastAsia" w:ascii="仿宋" w:hAnsi="仿宋" w:eastAsia="仿宋" w:cs="仿宋"/>
          <w:szCs w:val="21"/>
          <w:highlight w:val="none"/>
        </w:rPr>
        <w:t>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highlight w:val="none"/>
        </w:rPr>
      </w:pPr>
      <w:r>
        <w:rPr>
          <w:rFonts w:hint="eastAsia" w:ascii="仿宋" w:hAnsi="仿宋" w:eastAsia="仿宋" w:cs="仿宋"/>
          <w:szCs w:val="21"/>
          <w:highlight w:val="none"/>
        </w:rPr>
        <w:t>附件：具体标</w:t>
      </w:r>
      <w:r>
        <w:rPr>
          <w:rFonts w:hint="eastAsia" w:ascii="仿宋" w:hAnsi="仿宋" w:eastAsia="仿宋" w:cs="仿宋"/>
          <w:szCs w:val="21"/>
          <w:highlight w:val="none"/>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highlight w:val="none"/>
        </w:rPr>
        <w:t>、联合协议、分包</w:t>
      </w:r>
      <w:r>
        <w:rPr>
          <w:rFonts w:hint="eastAsia" w:ascii="仿宋" w:hAnsi="仿宋" w:eastAsia="仿宋" w:cs="仿宋"/>
          <w:szCs w:val="21"/>
          <w:highlight w:val="none"/>
          <w:lang w:eastAsia="zh-CN"/>
        </w:rPr>
        <w:t>意向</w:t>
      </w:r>
      <w:r>
        <w:rPr>
          <w:rFonts w:hint="eastAsia" w:ascii="仿宋" w:hAnsi="仿宋" w:eastAsia="仿宋" w:cs="仿宋"/>
          <w:szCs w:val="21"/>
          <w:highlight w:val="none"/>
        </w:rPr>
        <w:t>协议等。</w:t>
      </w:r>
    </w:p>
    <w:p>
      <w:pPr>
        <w:pStyle w:val="790"/>
        <w:spacing w:beforeLines="0" w:line="400" w:lineRule="exact"/>
        <w:rPr>
          <w:rFonts w:hint="eastAsia" w:ascii="仿宋" w:hAnsi="仿宋" w:eastAsia="仿宋" w:cs="仿宋"/>
          <w:highlight w:val="none"/>
        </w:rPr>
      </w:pPr>
    </w:p>
    <w:p>
      <w:pPr>
        <w:pStyle w:val="4"/>
        <w:spacing w:beforeLines="0" w:line="400" w:lineRule="exact"/>
        <w:rPr>
          <w:rFonts w:hint="eastAsia" w:ascii="仿宋" w:hAnsi="仿宋" w:eastAsia="仿宋" w:cs="仿宋"/>
          <w:b w:val="0"/>
          <w:bCs w:val="0"/>
          <w:sz w:val="21"/>
          <w:szCs w:val="21"/>
          <w:highlight w:val="none"/>
          <w:lang w:val="en-US" w:eastAsia="zh-CN"/>
        </w:rPr>
      </w:pPr>
      <w:r>
        <w:rPr>
          <w:rFonts w:hint="eastAsia" w:ascii="仿宋" w:hAnsi="仿宋" w:eastAsia="仿宋" w:cs="仿宋"/>
          <w:highlight w:val="none"/>
          <w:lang w:val="en"/>
        </w:rPr>
        <w:t xml:space="preserve">   </w:t>
      </w:r>
    </w:p>
    <w:p>
      <w:pPr>
        <w:rPr>
          <w:rFonts w:hint="eastAsia" w:ascii="仿宋" w:hAnsi="仿宋" w:eastAsia="仿宋" w:cs="仿宋"/>
          <w:highlight w:val="none"/>
        </w:rPr>
      </w:pPr>
      <w:r>
        <w:rPr>
          <w:rFonts w:hint="eastAsia" w:ascii="仿宋" w:hAnsi="仿宋" w:eastAsia="仿宋" w:cs="仿宋"/>
          <w:highlight w:val="none"/>
        </w:rPr>
        <w:br w:type="page"/>
      </w:r>
    </w:p>
    <w:p>
      <w:pPr>
        <w:pStyle w:val="790"/>
        <w:rPr>
          <w:rFonts w:hint="eastAsia" w:ascii="仿宋" w:hAnsi="仿宋" w:eastAsia="仿宋" w:cs="仿宋"/>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szCs w:val="21"/>
                <w:highlight w:val="none"/>
              </w:rPr>
              <w:t>甲方（采购人</w:t>
            </w:r>
            <w:r>
              <w:rPr>
                <w:rFonts w:hint="eastAsia" w:ascii="仿宋" w:hAnsi="仿宋" w:eastAsia="仿宋" w:cs="仿宋"/>
                <w:szCs w:val="21"/>
                <w:highlight w:val="none"/>
                <w:lang w:eastAsia="zh-CN"/>
              </w:rPr>
              <w:t>、受采购人委托签订合同的单位</w:t>
            </w:r>
            <w:r>
              <w:rPr>
                <w:rFonts w:hint="eastAsia" w:ascii="仿宋" w:hAnsi="仿宋" w:eastAsia="仿宋" w:cs="仿宋"/>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szCs w:val="21"/>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单位名称（公章</w:t>
            </w:r>
            <w:r>
              <w:rPr>
                <w:rFonts w:hint="eastAsia" w:ascii="仿宋" w:hAnsi="仿宋" w:eastAsia="仿宋" w:cs="仿宋"/>
                <w:szCs w:val="21"/>
                <w:highlight w:val="none"/>
                <w:lang w:eastAsia="zh-CN"/>
              </w:rPr>
              <w:t>或合同章</w:t>
            </w:r>
            <w:r>
              <w:rPr>
                <w:rFonts w:hint="eastAsia" w:ascii="仿宋" w:hAnsi="仿宋" w:eastAsia="仿宋" w:cs="仿宋"/>
                <w:szCs w:val="21"/>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单位名称（公章</w:t>
            </w:r>
            <w:r>
              <w:rPr>
                <w:rFonts w:hint="eastAsia" w:ascii="仿宋" w:hAnsi="仿宋" w:eastAsia="仿宋" w:cs="仿宋"/>
                <w:szCs w:val="21"/>
                <w:highlight w:val="none"/>
                <w:lang w:eastAsia="zh-CN"/>
              </w:rPr>
              <w:t>或合同章</w:t>
            </w:r>
            <w:r>
              <w:rPr>
                <w:rFonts w:hint="eastAsia" w:ascii="仿宋" w:hAnsi="仿宋" w:eastAsia="仿宋" w:cs="仿宋"/>
                <w:szCs w:val="21"/>
                <w:highlight w:val="none"/>
              </w:rPr>
              <w:t>）</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pPr>
              <w:adjustRightInd w:val="0"/>
              <w:snapToGrid w:val="0"/>
              <w:spacing w:line="300" w:lineRule="exact"/>
              <w:ind w:firstLine="100" w:firstLineChars="48"/>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住</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住</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pStyle w:val="24"/>
              <w:adjustRightInd w:val="0"/>
              <w:snapToGrid w:val="0"/>
              <w:spacing w:before="156" w:beforeLines="50" w:after="0" w:line="360" w:lineRule="auto"/>
              <w:ind w:left="0" w:leftChars="0"/>
              <w:jc w:val="left"/>
              <w:rPr>
                <w:rFonts w:hint="eastAsia"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pPr>
        <w:pStyle w:val="4"/>
        <w:adjustRightInd w:val="0"/>
        <w:snapToGrid w:val="0"/>
        <w:spacing w:before="156" w:beforeLines="50"/>
        <w:jc w:val="center"/>
        <w:rPr>
          <w:rFonts w:hint="eastAsia" w:ascii="仿宋" w:hAnsi="仿宋" w:eastAsia="仿宋" w:cs="仿宋"/>
          <w:sz w:val="28"/>
          <w:szCs w:val="28"/>
          <w:highlight w:val="none"/>
        </w:rPr>
      </w:pPr>
      <w:r>
        <w:rPr>
          <w:rFonts w:hint="eastAsia" w:ascii="仿宋" w:hAnsi="仿宋" w:eastAsia="仿宋" w:cs="仿宋"/>
          <w:sz w:val="21"/>
          <w:szCs w:val="21"/>
          <w:highlight w:val="none"/>
          <w:u w:val="single"/>
        </w:rPr>
        <w:br w:type="page"/>
      </w:r>
      <w:bookmarkStart w:id="59" w:name="_Toc27624"/>
      <w:r>
        <w:rPr>
          <w:rFonts w:hint="eastAsia" w:ascii="仿宋" w:hAnsi="仿宋" w:eastAsia="仿宋" w:cs="仿宋"/>
          <w:b w:val="0"/>
          <w:bCs w:val="0"/>
          <w:sz w:val="28"/>
          <w:szCs w:val="28"/>
          <w:highlight w:val="none"/>
        </w:rPr>
        <w:t>第二节 政府采购合同通用条款</w:t>
      </w:r>
      <w:bookmarkEnd w:id="59"/>
    </w:p>
    <w:p>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 xml:space="preserve"> </w:t>
      </w:r>
      <w:r>
        <w:rPr>
          <w:rFonts w:hint="eastAsia" w:ascii="仿宋" w:hAnsi="仿宋" w:eastAsia="仿宋" w:cs="仿宋"/>
          <w:b/>
          <w:bCs/>
          <w:sz w:val="24"/>
          <w:highlight w:val="none"/>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szCs w:val="21"/>
          <w:highlight w:val="none"/>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szCs w:val="21"/>
          <w:highlight w:val="none"/>
        </w:rPr>
        <w:t>合同当事人意思表示达成一致的任何协议，包括签署的</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r>
        <w:rPr>
          <w:rFonts w:hint="eastAsia" w:ascii="仿宋" w:hAnsi="仿宋" w:eastAsia="仿宋" w:cs="仿宋"/>
          <w:szCs w:val="21"/>
          <w:highlight w:val="none"/>
        </w:rPr>
        <w:t>政府采购合同专用条款</w:t>
      </w:r>
      <w:r>
        <w:rPr>
          <w:rFonts w:hint="eastAsia" w:ascii="仿宋" w:hAnsi="仿宋" w:eastAsia="仿宋" w:cs="仿宋"/>
          <w:szCs w:val="21"/>
          <w:highlight w:val="none"/>
          <w:lang w:eastAsia="zh-CN"/>
        </w:rPr>
        <w:t>，</w:t>
      </w:r>
      <w:r>
        <w:rPr>
          <w:rFonts w:hint="eastAsia" w:ascii="仿宋" w:hAnsi="仿宋" w:eastAsia="仿宋" w:cs="仿宋"/>
          <w:szCs w:val="21"/>
          <w:highlight w:val="none"/>
        </w:rPr>
        <w:t>政府采购合同通用条款</w:t>
      </w:r>
      <w:r>
        <w:rPr>
          <w:rFonts w:hint="eastAsia" w:ascii="仿宋" w:hAnsi="仿宋" w:eastAsia="仿宋" w:cs="仿宋"/>
          <w:szCs w:val="21"/>
          <w:highlight w:val="none"/>
          <w:lang w:eastAsia="zh-CN"/>
        </w:rPr>
        <w:t>，</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r>
        <w:rPr>
          <w:rFonts w:hint="eastAsia" w:ascii="仿宋" w:hAnsi="仿宋" w:eastAsia="仿宋" w:cs="仿宋"/>
          <w:color w:val="auto"/>
          <w:szCs w:val="21"/>
          <w:highlight w:val="none"/>
          <w:lang w:eastAsia="zh-CN"/>
        </w:rPr>
        <w:t>，</w:t>
      </w:r>
      <w:r>
        <w:rPr>
          <w:rFonts w:hint="eastAsia" w:ascii="仿宋" w:hAnsi="仿宋" w:eastAsia="仿宋" w:cs="仿宋"/>
          <w:szCs w:val="21"/>
          <w:highlight w:val="none"/>
        </w:rPr>
        <w:t>投标（响应）文件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采购文件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有关技术文件</w:t>
      </w:r>
      <w:r>
        <w:rPr>
          <w:rFonts w:hint="eastAsia" w:ascii="仿宋" w:hAnsi="仿宋" w:eastAsia="仿宋" w:cs="仿宋"/>
          <w:szCs w:val="21"/>
          <w:highlight w:val="none"/>
          <w:lang w:eastAsia="zh-CN"/>
        </w:rPr>
        <w:t>和</w:t>
      </w:r>
      <w:r>
        <w:rPr>
          <w:rFonts w:hint="eastAsia" w:ascii="仿宋" w:hAnsi="仿宋" w:eastAsia="仿宋" w:cs="仿宋"/>
          <w:szCs w:val="21"/>
          <w:highlight w:val="none"/>
        </w:rPr>
        <w:t>图纸</w:t>
      </w:r>
      <w:r>
        <w:rPr>
          <w:rFonts w:hint="eastAsia" w:ascii="仿宋" w:hAnsi="仿宋" w:eastAsia="仿宋" w:cs="仿宋"/>
          <w:szCs w:val="21"/>
          <w:highlight w:val="none"/>
          <w:lang w:eastAsia="zh-CN"/>
        </w:rPr>
        <w:t>，以及</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szCs w:val="21"/>
          <w:highlight w:val="none"/>
        </w:rPr>
        <w:t>包括软件）及相关的其备品备件、工具、手册及</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技术资料和材料</w:t>
      </w:r>
      <w:r>
        <w:rPr>
          <w:rFonts w:hint="eastAsia" w:ascii="仿宋" w:hAnsi="仿宋" w:eastAsia="仿宋" w:cs="仿宋"/>
          <w:color w:val="000000"/>
          <w:szCs w:val="21"/>
          <w:highlight w:val="none"/>
          <w:lang w:eastAsia="zh-CN"/>
        </w:rPr>
        <w:t>等</w:t>
      </w:r>
      <w:r>
        <w:rPr>
          <w:rFonts w:hint="eastAsia" w:ascii="仿宋" w:hAnsi="仿宋" w:eastAsia="仿宋" w:cs="仿宋"/>
          <w:color w:val="000000"/>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4</w:t>
      </w:r>
      <w:r>
        <w:rPr>
          <w:rFonts w:hint="eastAsia" w:ascii="仿宋" w:hAnsi="仿宋" w:eastAsia="仿宋" w:cs="仿宋"/>
          <w:color w:val="000000"/>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szCs w:val="21"/>
          <w:highlight w:val="none"/>
        </w:rPr>
        <w:t>服务”系指根据合同规定，乙方应提供的</w:t>
      </w:r>
      <w:r>
        <w:rPr>
          <w:rFonts w:hint="eastAsia" w:ascii="仿宋" w:hAnsi="仿宋" w:eastAsia="仿宋" w:cs="仿宋"/>
          <w:color w:val="000000"/>
          <w:szCs w:val="21"/>
          <w:highlight w:val="none"/>
          <w:lang w:val="en-US" w:eastAsia="zh-CN"/>
        </w:rPr>
        <w:t>与货物有关的</w:t>
      </w:r>
      <w:r>
        <w:rPr>
          <w:rFonts w:hint="eastAsia" w:ascii="仿宋" w:hAnsi="仿宋" w:eastAsia="仿宋" w:cs="仿宋"/>
          <w:color w:val="000000"/>
          <w:szCs w:val="21"/>
          <w:highlight w:val="none"/>
        </w:rPr>
        <w:t>技术、管理和</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服务，包括但不限于：管理和质量保证、运输、保险、检验、现场准备、安装、集成、调试、培训、维修、</w:t>
      </w:r>
      <w:r>
        <w:rPr>
          <w:rFonts w:hint="eastAsia" w:ascii="仿宋" w:hAnsi="仿宋" w:eastAsia="仿宋" w:cs="仿宋"/>
          <w:color w:val="000000"/>
          <w:szCs w:val="21"/>
          <w:highlight w:val="none"/>
          <w:lang w:eastAsia="zh-CN"/>
        </w:rPr>
        <w:t>废弃处置、</w:t>
      </w:r>
      <w:r>
        <w:rPr>
          <w:rFonts w:hint="eastAsia" w:ascii="仿宋" w:hAnsi="仿宋" w:eastAsia="仿宋" w:cs="仿宋"/>
          <w:color w:val="000000"/>
          <w:szCs w:val="21"/>
          <w:highlight w:val="none"/>
        </w:rPr>
        <w:t>技术支持等以及合同中规定乙方应承担的</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义务。</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）“分包”系指中标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供应商按采购文件、投标（响应）文件的规定，根据分包意向协议，将中标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w:t>
      </w:r>
      <w:r>
        <w:rPr>
          <w:rFonts w:hint="eastAsia" w:ascii="仿宋" w:hAnsi="仿宋" w:eastAsia="仿宋" w:cs="仿宋"/>
          <w:szCs w:val="21"/>
          <w:highlight w:val="none"/>
        </w:rPr>
        <w:t>“联合体”系指</w:t>
      </w:r>
      <w:r>
        <w:rPr>
          <w:rFonts w:hint="eastAsia" w:ascii="仿宋" w:hAnsi="仿宋" w:eastAsia="仿宋" w:cs="仿宋"/>
          <w:szCs w:val="21"/>
          <w:highlight w:val="none"/>
          <w:lang w:eastAsia="zh-CN"/>
        </w:rPr>
        <w:t>由</w:t>
      </w:r>
      <w:r>
        <w:rPr>
          <w:rFonts w:hint="eastAsia" w:ascii="仿宋" w:hAnsi="仿宋" w:eastAsia="仿宋" w:cs="仿宋"/>
          <w:szCs w:val="21"/>
          <w:highlight w:val="none"/>
        </w:rPr>
        <w:t>两个以上的自然人、法人或者</w:t>
      </w:r>
      <w:r>
        <w:rPr>
          <w:rFonts w:hint="eastAsia" w:ascii="仿宋" w:hAnsi="仿宋" w:eastAsia="仿宋" w:cs="仿宋"/>
          <w:szCs w:val="21"/>
          <w:highlight w:val="none"/>
          <w:lang w:val="en-US" w:eastAsia="zh-CN"/>
        </w:rPr>
        <w:t>非法人</w:t>
      </w:r>
      <w:r>
        <w:rPr>
          <w:rFonts w:hint="eastAsia" w:ascii="仿宋" w:hAnsi="仿宋" w:eastAsia="仿宋" w:cs="仿宋"/>
          <w:szCs w:val="21"/>
          <w:highlight w:val="none"/>
        </w:rPr>
        <w:t>组织组成，</w:t>
      </w:r>
      <w:r>
        <w:rPr>
          <w:rFonts w:hint="eastAsia" w:ascii="仿宋" w:hAnsi="仿宋" w:eastAsia="仿宋" w:cs="仿宋"/>
          <w:szCs w:val="21"/>
          <w:highlight w:val="none"/>
          <w:lang w:eastAsia="zh-CN"/>
        </w:rPr>
        <w:t>以一个供应商的身份共同参加政府采购的主体</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szCs w:val="21"/>
          <w:highlight w:val="none"/>
          <w:lang w:eastAsia="zh-CN"/>
        </w:rPr>
        <w:t>甲方</w:t>
      </w:r>
      <w:r>
        <w:rPr>
          <w:rFonts w:hint="eastAsia" w:ascii="仿宋" w:hAnsi="仿宋" w:eastAsia="仿宋" w:cs="仿宋"/>
          <w:color w:val="000000"/>
          <w:szCs w:val="21"/>
          <w:highlight w:val="none"/>
        </w:rPr>
        <w:t>承担连带责任。联合体具体要求见【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7</w:t>
      </w:r>
      <w:r>
        <w:rPr>
          <w:rFonts w:hint="eastAsia" w:ascii="仿宋" w:hAnsi="仿宋" w:eastAsia="仿宋" w:cs="仿宋"/>
          <w:color w:val="000000"/>
          <w:szCs w:val="21"/>
          <w:highlight w:val="none"/>
        </w:rPr>
        <w:t>）其他术语解释，见【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numPr>
          <w:ilvl w:val="0"/>
          <w:numId w:val="4"/>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szCs w:val="21"/>
          <w:highlight w:val="none"/>
        </w:rPr>
      </w:pPr>
      <w:r>
        <w:rPr>
          <w:rFonts w:hint="eastAsia" w:ascii="仿宋" w:hAnsi="仿宋" w:eastAsia="仿宋" w:cs="仿宋"/>
          <w:color w:val="000000"/>
          <w:szCs w:val="21"/>
          <w:highlight w:val="none"/>
          <w:lang w:eastAsia="zh-CN"/>
        </w:rPr>
        <w:t>2</w:t>
      </w:r>
      <w:r>
        <w:rPr>
          <w:rFonts w:hint="eastAsia" w:ascii="仿宋" w:hAnsi="仿宋" w:eastAsia="仿宋" w:cs="仿宋"/>
          <w:color w:val="000000"/>
          <w:szCs w:val="21"/>
          <w:highlight w:val="none"/>
        </w:rPr>
        <w:t>.1 合同标的及金额应与中标（成交）结果一致。乙方为履行本合同而发生的所有费用均应包含在合同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中，甲方不再另行支付</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任何费用。</w:t>
      </w:r>
    </w:p>
    <w:p>
      <w:pPr>
        <w:adjustRightInd w:val="0"/>
        <w:snapToGrid w:val="0"/>
        <w:spacing w:before="0" w:line="40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lang w:eastAsia="zh-CN"/>
        </w:rPr>
        <w:t>3</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3</w:t>
      </w:r>
      <w:r>
        <w:rPr>
          <w:rFonts w:hint="eastAsia" w:ascii="仿宋" w:hAnsi="仿宋" w:eastAsia="仿宋" w:cs="仿宋"/>
          <w:color w:val="000000"/>
          <w:szCs w:val="21"/>
          <w:highlight w:val="none"/>
        </w:rPr>
        <w:t xml:space="preserve">.1 </w:t>
      </w:r>
      <w:r>
        <w:rPr>
          <w:rFonts w:hint="eastAsia" w:ascii="仿宋" w:hAnsi="仿宋" w:eastAsia="仿宋" w:cs="仿宋"/>
          <w:szCs w:val="21"/>
          <w:highlight w:val="none"/>
        </w:rPr>
        <w:t>乙方应当在约定的时间、地点</w:t>
      </w:r>
      <w:r>
        <w:rPr>
          <w:rFonts w:hint="eastAsia" w:ascii="仿宋" w:hAnsi="仿宋" w:eastAsia="仿宋" w:cs="仿宋"/>
          <w:szCs w:val="21"/>
          <w:highlight w:val="none"/>
          <w:lang w:eastAsia="zh-CN"/>
        </w:rPr>
        <w:t>，按照约定</w:t>
      </w:r>
      <w:r>
        <w:rPr>
          <w:rFonts w:hint="eastAsia" w:ascii="仿宋" w:hAnsi="仿宋" w:eastAsia="仿宋" w:cs="仿宋"/>
          <w:szCs w:val="21"/>
          <w:highlight w:val="none"/>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4</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.1 签署合同后，甲方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highlight w:val="none"/>
          <w:lang w:val="en-US" w:eastAsia="zh-CN"/>
        </w:rPr>
      </w:pPr>
      <w:r>
        <w:rPr>
          <w:rFonts w:hint="eastAsia" w:ascii="仿宋" w:hAnsi="仿宋" w:eastAsia="仿宋" w:cs="仿宋"/>
          <w:color w:val="000000"/>
          <w:szCs w:val="21"/>
          <w:highlight w:val="none"/>
          <w:lang w:val="en-US" w:eastAsia="zh-CN"/>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szCs w:val="21"/>
          <w:highlight w:val="none"/>
          <w:lang w:val="en-US" w:eastAsia="zh-CN"/>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 xml:space="preserve"> 甲方应当根据合同约定</w:t>
      </w:r>
      <w:r>
        <w:rPr>
          <w:rFonts w:hint="eastAsia" w:ascii="仿宋" w:hAnsi="仿宋" w:eastAsia="仿宋" w:cs="仿宋"/>
          <w:color w:val="000000"/>
          <w:szCs w:val="21"/>
          <w:highlight w:val="none"/>
          <w:lang w:eastAsia="zh-CN"/>
        </w:rPr>
        <w:t>及</w:t>
      </w:r>
      <w:r>
        <w:rPr>
          <w:rFonts w:hint="eastAsia" w:ascii="仿宋" w:hAnsi="仿宋" w:eastAsia="仿宋" w:cs="仿宋"/>
          <w:color w:val="000000"/>
          <w:szCs w:val="21"/>
          <w:highlight w:val="none"/>
        </w:rPr>
        <w:t>时向乙方支付</w:t>
      </w:r>
      <w:r>
        <w:rPr>
          <w:rFonts w:hint="eastAsia" w:ascii="仿宋" w:hAnsi="仿宋" w:eastAsia="仿宋" w:cs="仿宋"/>
          <w:color w:val="000000"/>
          <w:szCs w:val="21"/>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 xml:space="preserve"> 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lang w:eastAsia="zh-CN"/>
        </w:rPr>
        <w:t>约定应</w:t>
      </w:r>
      <w:r>
        <w:rPr>
          <w:rFonts w:hint="eastAsia" w:ascii="仿宋" w:hAnsi="仿宋" w:eastAsia="仿宋" w:cs="仿宋"/>
          <w:color w:val="000000"/>
          <w:szCs w:val="21"/>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5</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.1 签署合同后，乙方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.2 乙方应按照合同要求履约，充分合理安排，确保提供的货物</w:t>
      </w:r>
      <w:r>
        <w:rPr>
          <w:rFonts w:hint="eastAsia" w:ascii="仿宋" w:hAnsi="仿宋" w:eastAsia="仿宋" w:cs="仿宋"/>
          <w:color w:val="000000"/>
          <w:szCs w:val="21"/>
          <w:highlight w:val="none"/>
          <w:lang w:eastAsia="zh-CN"/>
        </w:rPr>
        <w:t>及相关</w:t>
      </w:r>
      <w:r>
        <w:rPr>
          <w:rFonts w:hint="eastAsia" w:ascii="仿宋" w:hAnsi="仿宋" w:eastAsia="仿宋" w:cs="仿宋"/>
          <w:color w:val="000000"/>
          <w:szCs w:val="21"/>
          <w:highlight w:val="none"/>
        </w:rPr>
        <w:t>服务符合合同</w:t>
      </w:r>
      <w:r>
        <w:rPr>
          <w:rFonts w:hint="eastAsia" w:ascii="仿宋" w:hAnsi="仿宋" w:eastAsia="仿宋" w:cs="仿宋"/>
          <w:color w:val="000000"/>
          <w:szCs w:val="21"/>
          <w:highlight w:val="none"/>
          <w:lang w:eastAsia="zh-CN"/>
        </w:rPr>
        <w:t>有关</w:t>
      </w:r>
      <w:r>
        <w:rPr>
          <w:rFonts w:hint="eastAsia" w:ascii="仿宋" w:hAnsi="仿宋" w:eastAsia="仿宋" w:cs="仿宋"/>
          <w:color w:val="000000"/>
          <w:szCs w:val="21"/>
          <w:highlight w:val="none"/>
        </w:rPr>
        <w:t>要求。接受项目行业管理部门及政府有关部门的指导，配合甲方的履约检查</w:t>
      </w:r>
      <w:r>
        <w:rPr>
          <w:rFonts w:hint="eastAsia" w:ascii="仿宋" w:hAnsi="仿宋" w:eastAsia="仿宋" w:cs="仿宋"/>
          <w:color w:val="000000"/>
          <w:szCs w:val="21"/>
          <w:highlight w:val="none"/>
          <w:lang w:eastAsia="zh-CN"/>
        </w:rPr>
        <w:t>及验收</w:t>
      </w:r>
      <w:r>
        <w:rPr>
          <w:rFonts w:hint="eastAsia" w:ascii="仿宋" w:hAnsi="仿宋" w:eastAsia="仿宋" w:cs="仿宋"/>
          <w:color w:val="000000"/>
          <w:szCs w:val="21"/>
          <w:highlight w:val="none"/>
        </w:rPr>
        <w:t>，并负责项目实施过程中的所有协调工作。</w:t>
      </w:r>
    </w:p>
    <w:p>
      <w:pPr>
        <w:pStyle w:val="23"/>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.3乙方有权根据合同约定向甲方收取</w:t>
      </w:r>
      <w:r>
        <w:rPr>
          <w:rFonts w:hint="eastAsia" w:ascii="仿宋" w:hAnsi="仿宋" w:eastAsia="仿宋" w:cs="仿宋"/>
          <w:color w:val="000000"/>
          <w:szCs w:val="21"/>
          <w:highlight w:val="none"/>
          <w:lang w:eastAsia="zh-CN"/>
        </w:rPr>
        <w:t>合同价款</w:t>
      </w:r>
      <w:r>
        <w:rPr>
          <w:rFonts w:hint="eastAsia" w:ascii="仿宋" w:hAnsi="仿宋" w:eastAsia="仿宋" w:cs="仿宋"/>
          <w:color w:val="000000"/>
          <w:szCs w:val="21"/>
          <w:highlight w:val="none"/>
        </w:rPr>
        <w:t>。</w:t>
      </w:r>
    </w:p>
    <w:p>
      <w:pPr>
        <w:pStyle w:val="23"/>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.4国家法律法规规定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约定应</w:t>
      </w:r>
      <w:r>
        <w:rPr>
          <w:rFonts w:hint="eastAsia" w:ascii="仿宋" w:hAnsi="仿宋" w:eastAsia="仿宋" w:cs="仿宋"/>
          <w:color w:val="000000"/>
          <w:szCs w:val="21"/>
          <w:highlight w:val="none"/>
        </w:rPr>
        <w:t>由乙方承担的其他义务和责任。</w:t>
      </w:r>
    </w:p>
    <w:p>
      <w:pPr>
        <w:numPr>
          <w:ilvl w:val="0"/>
          <w:numId w:val="5"/>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合同履</w:t>
      </w:r>
      <w:r>
        <w:rPr>
          <w:rFonts w:hint="eastAsia" w:ascii="仿宋" w:hAnsi="仿宋" w:eastAsia="仿宋" w:cs="仿宋"/>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highlight w:val="none"/>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7</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货物包装、运输</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rPr>
        <w:t>保险</w:t>
      </w:r>
      <w:r>
        <w:rPr>
          <w:rFonts w:hint="eastAsia" w:ascii="仿宋" w:hAnsi="仿宋" w:eastAsia="仿宋" w:cs="仿宋"/>
          <w:b/>
          <w:bCs/>
          <w:color w:val="000000"/>
          <w:sz w:val="24"/>
          <w:highlight w:val="none"/>
          <w:lang w:eastAsia="zh-CN"/>
        </w:rPr>
        <w:t>和交付</w:t>
      </w:r>
      <w:r>
        <w:rPr>
          <w:rFonts w:hint="eastAsia" w:ascii="仿宋" w:hAnsi="仿宋" w:eastAsia="仿宋" w:cs="仿宋"/>
          <w:b/>
          <w:bCs/>
          <w:color w:val="000000"/>
          <w:sz w:val="24"/>
          <w:highlight w:val="none"/>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.1 本合同</w:t>
      </w:r>
      <w:r>
        <w:rPr>
          <w:rFonts w:hint="eastAsia" w:ascii="仿宋" w:hAnsi="仿宋" w:eastAsia="仿宋" w:cs="仿宋"/>
          <w:bCs/>
          <w:color w:val="000000"/>
          <w:szCs w:val="21"/>
          <w:highlight w:val="none"/>
        </w:rPr>
        <w:t>涉及商品包装</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rPr>
        <w:t>快递包装的，</w:t>
      </w:r>
      <w:r>
        <w:rPr>
          <w:rFonts w:hint="eastAsia" w:ascii="仿宋" w:hAnsi="仿宋" w:eastAsia="仿宋" w:cs="仿宋"/>
          <w:color w:val="000000"/>
          <w:szCs w:val="21"/>
          <w:highlight w:val="none"/>
        </w:rPr>
        <w:t>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包装应适应远距离运输、防潮、防震、防锈和防野蛮装卸等要求，确保货物安全无损地运抵</w:t>
      </w:r>
      <w:r>
        <w:rPr>
          <w:rFonts w:hint="eastAsia" w:ascii="仿宋" w:hAnsi="仿宋" w:eastAsia="仿宋" w:cs="仿宋"/>
          <w:b/>
          <w:color w:val="000000"/>
          <w:szCs w:val="21"/>
          <w:highlight w:val="none"/>
        </w:rPr>
        <w:t>【政府采购合同专用条款】</w:t>
      </w:r>
      <w:r>
        <w:rPr>
          <w:rFonts w:hint="eastAsia" w:ascii="仿宋" w:hAnsi="仿宋" w:eastAsia="仿宋" w:cs="仿宋"/>
          <w:b w:val="0"/>
          <w:bCs/>
          <w:color w:val="000000"/>
          <w:szCs w:val="21"/>
          <w:highlight w:val="none"/>
          <w:lang w:eastAsia="zh-CN"/>
        </w:rPr>
        <w:t>约定的</w:t>
      </w:r>
      <w:r>
        <w:rPr>
          <w:rFonts w:hint="eastAsia" w:ascii="仿宋" w:hAnsi="仿宋" w:eastAsia="仿宋" w:cs="仿宋"/>
          <w:color w:val="000000"/>
          <w:szCs w:val="21"/>
          <w:highlight w:val="none"/>
        </w:rPr>
        <w:t>指定现场。</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.2 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乙方负责办理将货物运抵本合同规定的交货地点</w:t>
      </w:r>
      <w:r>
        <w:rPr>
          <w:rFonts w:hint="eastAsia" w:ascii="仿宋" w:hAnsi="仿宋" w:eastAsia="仿宋" w:cs="仿宋"/>
          <w:color w:val="000000"/>
          <w:szCs w:val="21"/>
          <w:highlight w:val="none"/>
          <w:lang w:eastAsia="zh-CN"/>
        </w:rPr>
        <w:t>，并装卸、交付至甲方</w:t>
      </w:r>
      <w:r>
        <w:rPr>
          <w:rFonts w:hint="eastAsia" w:ascii="仿宋" w:hAnsi="仿宋" w:eastAsia="仿宋" w:cs="仿宋"/>
          <w:color w:val="000000"/>
          <w:szCs w:val="21"/>
          <w:highlight w:val="none"/>
        </w:rPr>
        <w:t>的一切运输事项，相关费用应</w:t>
      </w:r>
      <w:r>
        <w:rPr>
          <w:rFonts w:hint="eastAsia" w:ascii="仿宋" w:hAnsi="仿宋" w:eastAsia="仿宋" w:cs="仿宋"/>
          <w:color w:val="000000"/>
          <w:szCs w:val="21"/>
          <w:highlight w:val="none"/>
          <w:lang w:eastAsia="zh-CN"/>
        </w:rPr>
        <w:t>包含</w:t>
      </w:r>
      <w:r>
        <w:rPr>
          <w:rFonts w:hint="eastAsia" w:ascii="仿宋" w:hAnsi="仿宋" w:eastAsia="仿宋" w:cs="仿宋"/>
          <w:color w:val="000000"/>
          <w:szCs w:val="21"/>
          <w:highlight w:val="none"/>
        </w:rPr>
        <w:t>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.3 货物保险要求按</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规定执行</w:t>
      </w:r>
      <w:r>
        <w:rPr>
          <w:rFonts w:hint="eastAsia" w:ascii="仿宋" w:hAnsi="仿宋" w:eastAsia="仿宋" w:cs="仿宋"/>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 xml:space="preserve">.4 </w:t>
      </w:r>
      <w:r>
        <w:rPr>
          <w:rFonts w:hint="eastAsia" w:ascii="仿宋" w:hAnsi="仿宋" w:eastAsia="仿宋" w:cs="仿宋"/>
          <w:color w:val="000000"/>
          <w:szCs w:val="21"/>
          <w:highlight w:val="none"/>
          <w:lang w:val="en-US" w:eastAsia="zh-CN"/>
        </w:rPr>
        <w:t>除采购活动</w:t>
      </w:r>
      <w:r>
        <w:rPr>
          <w:rFonts w:hint="eastAsia" w:ascii="仿宋" w:hAnsi="仿宋" w:eastAsia="仿宋" w:cs="仿宋"/>
          <w:color w:val="000000"/>
          <w:szCs w:val="21"/>
          <w:highlight w:val="none"/>
        </w:rPr>
        <w:t>对商品包装</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w:t>
      </w:r>
      <w:r>
        <w:rPr>
          <w:rFonts w:hint="eastAsia" w:ascii="仿宋" w:hAnsi="仿宋" w:eastAsia="仿宋" w:cs="仿宋"/>
          <w:color w:val="000000"/>
          <w:szCs w:val="21"/>
          <w:highlight w:val="none"/>
          <w:lang w:val="en-US" w:eastAsia="zh-CN"/>
        </w:rPr>
        <w:t>达成具体约定外</w:t>
      </w:r>
      <w:r>
        <w:rPr>
          <w:rFonts w:hint="eastAsia" w:ascii="仿宋" w:hAnsi="仿宋" w:eastAsia="仿宋" w:cs="仿宋"/>
          <w:color w:val="000000"/>
          <w:szCs w:val="21"/>
          <w:highlight w:val="none"/>
        </w:rPr>
        <w:t>，乙方提供产品及相关快递服务</w:t>
      </w:r>
      <w:r>
        <w:rPr>
          <w:rFonts w:hint="eastAsia" w:ascii="仿宋" w:hAnsi="仿宋" w:eastAsia="仿宋" w:cs="仿宋"/>
          <w:color w:val="000000"/>
          <w:szCs w:val="21"/>
          <w:highlight w:val="none"/>
          <w:lang w:val="en-US" w:eastAsia="zh-CN"/>
        </w:rPr>
        <w:t>涉及到</w:t>
      </w:r>
      <w:r>
        <w:rPr>
          <w:rFonts w:hint="eastAsia" w:ascii="仿宋" w:hAnsi="仿宋" w:eastAsia="仿宋" w:cs="仿宋"/>
          <w:color w:val="000000"/>
          <w:szCs w:val="21"/>
          <w:highlight w:val="none"/>
        </w:rPr>
        <w:t>具体包装要求</w:t>
      </w:r>
      <w:r>
        <w:rPr>
          <w:rFonts w:hint="eastAsia" w:ascii="仿宋" w:hAnsi="仿宋" w:eastAsia="仿宋" w:cs="仿宋"/>
          <w:color w:val="000000"/>
          <w:szCs w:val="21"/>
          <w:highlight w:val="none"/>
          <w:lang w:val="en-US" w:eastAsia="zh-CN"/>
        </w:rPr>
        <w:t>的，</w:t>
      </w:r>
      <w:r>
        <w:rPr>
          <w:rFonts w:hint="eastAsia" w:ascii="仿宋" w:hAnsi="仿宋" w:eastAsia="仿宋" w:cs="仿宋"/>
          <w:color w:val="000000"/>
          <w:szCs w:val="21"/>
          <w:highlight w:val="none"/>
        </w:rPr>
        <w:t>应</w:t>
      </w:r>
      <w:r>
        <w:rPr>
          <w:rFonts w:hint="eastAsia" w:ascii="仿宋" w:hAnsi="仿宋" w:eastAsia="仿宋" w:cs="仿宋"/>
          <w:color w:val="000000"/>
          <w:szCs w:val="21"/>
          <w:highlight w:val="none"/>
          <w:lang w:val="en-US" w:eastAsia="zh-CN"/>
        </w:rPr>
        <w:t>不低于</w:t>
      </w:r>
      <w:r>
        <w:rPr>
          <w:rFonts w:hint="eastAsia" w:ascii="仿宋" w:hAnsi="仿宋" w:eastAsia="仿宋" w:cs="仿宋"/>
          <w:color w:val="000000"/>
          <w:szCs w:val="21"/>
          <w:highlight w:val="none"/>
        </w:rPr>
        <w:t>《商品包装政府采购需求标准（试行）</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快递包装政府采购需求标准（试行）》</w:t>
      </w:r>
      <w:r>
        <w:rPr>
          <w:rFonts w:hint="eastAsia" w:ascii="仿宋" w:hAnsi="仿宋" w:eastAsia="仿宋" w:cs="仿宋"/>
          <w:color w:val="000000"/>
          <w:szCs w:val="21"/>
          <w:highlight w:val="none"/>
          <w:lang w:val="en-US" w:eastAsia="zh-CN"/>
        </w:rPr>
        <w:t>标准</w:t>
      </w:r>
      <w:r>
        <w:rPr>
          <w:rFonts w:hint="eastAsia" w:ascii="仿宋" w:hAnsi="仿宋" w:eastAsia="仿宋" w:cs="仿宋"/>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 xml:space="preserve">7.5 </w:t>
      </w:r>
      <w:r>
        <w:rPr>
          <w:rFonts w:hint="eastAsia" w:ascii="仿宋" w:hAnsi="仿宋" w:eastAsia="仿宋" w:cs="仿宋"/>
          <w:color w:val="000000"/>
          <w:szCs w:val="21"/>
          <w:highlight w:val="none"/>
        </w:rPr>
        <w:t>乙方在运输到达之前</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提前通知</w:t>
      </w:r>
      <w:r>
        <w:rPr>
          <w:rFonts w:hint="eastAsia" w:ascii="仿宋" w:hAnsi="仿宋" w:eastAsia="仿宋" w:cs="仿宋"/>
          <w:color w:val="000000"/>
          <w:szCs w:val="21"/>
          <w:highlight w:val="none"/>
          <w:lang w:eastAsia="zh-CN"/>
        </w:rPr>
        <w:t>甲方</w:t>
      </w:r>
      <w:r>
        <w:rPr>
          <w:rFonts w:hint="eastAsia" w:ascii="仿宋" w:hAnsi="仿宋" w:eastAsia="仿宋" w:cs="仿宋"/>
          <w:color w:val="000000"/>
          <w:szCs w:val="21"/>
          <w:highlight w:val="none"/>
        </w:rPr>
        <w:t>，并提示货物运输装卸的注意事项</w:t>
      </w:r>
      <w:r>
        <w:rPr>
          <w:rFonts w:hint="eastAsia" w:ascii="仿宋" w:hAnsi="仿宋" w:eastAsia="仿宋" w:cs="仿宋"/>
          <w:color w:val="000000"/>
          <w:szCs w:val="21"/>
          <w:highlight w:val="none"/>
          <w:lang w:eastAsia="zh-CN"/>
        </w:rPr>
        <w:t>，甲方配合乙方做好货物的接收工作。</w:t>
      </w:r>
    </w:p>
    <w:p>
      <w:pPr>
        <w:pStyle w:val="963"/>
        <w:rPr>
          <w:rFonts w:hint="eastAsia" w:ascii="仿宋" w:hAnsi="仿宋" w:eastAsia="仿宋" w:cs="仿宋"/>
          <w:sz w:val="21"/>
          <w:highlight w:val="none"/>
          <w:lang w:val="en-US" w:eastAsia="zh-CN"/>
        </w:rPr>
      </w:pPr>
      <w:r>
        <w:rPr>
          <w:rFonts w:hint="eastAsia" w:ascii="仿宋" w:hAnsi="仿宋" w:eastAsia="仿宋" w:cs="仿宋"/>
          <w:color w:val="000000"/>
          <w:kern w:val="2"/>
          <w:sz w:val="21"/>
          <w:szCs w:val="21"/>
          <w:highlight w:val="none"/>
          <w:lang w:val="en-US" w:eastAsia="zh-CN"/>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kern w:val="2"/>
          <w:sz w:val="21"/>
          <w:szCs w:val="21"/>
          <w:highlight w:val="none"/>
          <w:lang w:eastAsia="zh-CN"/>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sz w:val="24"/>
          <w:highlight w:val="none"/>
          <w:lang w:eastAsia="zh-CN"/>
        </w:rPr>
        <w:t>8</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auto"/>
          <w:sz w:val="24"/>
          <w:highlight w:val="none"/>
        </w:rPr>
        <w:t>质量标准和保证</w:t>
      </w:r>
    </w:p>
    <w:p>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highlight w:val="none"/>
          <w:lang w:eastAsia="zh-CN"/>
        </w:rPr>
        <w:t>约</w:t>
      </w:r>
      <w:r>
        <w:rPr>
          <w:rFonts w:hint="eastAsia" w:ascii="仿宋" w:hAnsi="仿宋" w:eastAsia="仿宋" w:cs="仿宋"/>
          <w:color w:val="000000"/>
          <w:szCs w:val="21"/>
          <w:highlight w:val="none"/>
        </w:rPr>
        <w:t>定的</w:t>
      </w:r>
      <w:r>
        <w:rPr>
          <w:rFonts w:hint="eastAsia" w:ascii="仿宋" w:hAnsi="仿宋" w:eastAsia="仿宋" w:cs="仿宋"/>
          <w:szCs w:val="21"/>
          <w:highlight w:val="none"/>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highlight w:val="none"/>
        </w:rPr>
        <w:t>在其使用寿命期内具</w:t>
      </w:r>
      <w:r>
        <w:rPr>
          <w:rFonts w:hint="eastAsia" w:ascii="仿宋" w:hAnsi="仿宋" w:eastAsia="仿宋" w:cs="仿宋"/>
          <w:szCs w:val="21"/>
          <w:highlight w:val="none"/>
          <w:lang w:eastAsia="zh-CN"/>
        </w:rPr>
        <w:t>备合同约定</w:t>
      </w:r>
      <w:r>
        <w:rPr>
          <w:rFonts w:hint="eastAsia" w:ascii="仿宋" w:hAnsi="仿宋" w:eastAsia="仿宋" w:cs="仿宋"/>
          <w:szCs w:val="21"/>
          <w:highlight w:val="none"/>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000000"/>
          <w:szCs w:val="21"/>
          <w:highlight w:val="none"/>
          <w:lang w:eastAsia="zh-CN"/>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 xml:space="preserve">.2 </w:t>
      </w:r>
      <w:r>
        <w:rPr>
          <w:rFonts w:hint="eastAsia" w:ascii="仿宋" w:hAnsi="仿宋" w:eastAsia="仿宋" w:cs="仿宋"/>
          <w:szCs w:val="15"/>
          <w:highlight w:val="none"/>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.3 如甲方使用</w:t>
      </w:r>
      <w:r>
        <w:rPr>
          <w:rFonts w:hint="eastAsia" w:ascii="仿宋" w:hAnsi="仿宋" w:eastAsia="仿宋" w:cs="仿宋"/>
          <w:color w:val="000000"/>
          <w:szCs w:val="21"/>
          <w:highlight w:val="none"/>
          <w:lang w:val="en-US" w:eastAsia="zh-CN"/>
        </w:rPr>
        <w:t>上述</w:t>
      </w:r>
      <w:r>
        <w:rPr>
          <w:rFonts w:hint="eastAsia" w:ascii="仿宋" w:hAnsi="仿宋" w:eastAsia="仿宋" w:cs="仿宋"/>
          <w:color w:val="000000"/>
          <w:szCs w:val="21"/>
          <w:highlight w:val="none"/>
        </w:rPr>
        <w:t>货物构成</w:t>
      </w:r>
      <w:r>
        <w:rPr>
          <w:rFonts w:hint="eastAsia" w:ascii="仿宋" w:hAnsi="仿宋" w:eastAsia="仿宋" w:cs="仿宋"/>
          <w:color w:val="000000"/>
          <w:szCs w:val="21"/>
          <w:highlight w:val="none"/>
          <w:lang w:val="en-US" w:eastAsia="zh-CN"/>
        </w:rPr>
        <w:t>对第三人</w:t>
      </w:r>
      <w:r>
        <w:rPr>
          <w:rFonts w:hint="eastAsia" w:ascii="仿宋" w:hAnsi="仿宋" w:eastAsia="仿宋" w:cs="仿宋"/>
          <w:color w:val="000000"/>
          <w:szCs w:val="21"/>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w:t>
      </w:r>
      <w:r>
        <w:rPr>
          <w:rFonts w:hint="eastAsia" w:ascii="仿宋" w:hAnsi="仿宋" w:eastAsia="仿宋" w:cs="仿宋"/>
          <w:b/>
          <w:bCs/>
          <w:color w:val="000000"/>
          <w:sz w:val="24"/>
          <w:highlight w:val="none"/>
          <w:lang w:eastAsia="zh-CN"/>
        </w:rPr>
        <w:t>0</w:t>
      </w:r>
      <w:r>
        <w:rPr>
          <w:rFonts w:hint="eastAsia" w:ascii="仿宋" w:hAnsi="仿宋" w:eastAsia="仿宋" w:cs="仿宋"/>
          <w:b/>
          <w:bCs/>
          <w:color w:val="000000"/>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rPr>
        <w:t>1</w:t>
      </w:r>
      <w:r>
        <w:rPr>
          <w:rFonts w:hint="eastAsia" w:ascii="仿宋" w:hAnsi="仿宋" w:eastAsia="仿宋" w:cs="仿宋"/>
          <w:color w:val="000000"/>
          <w:szCs w:val="21"/>
          <w:highlight w:val="none"/>
          <w:lang w:eastAsia="zh-CN"/>
        </w:rPr>
        <w:t>0</w:t>
      </w:r>
      <w:r>
        <w:rPr>
          <w:rFonts w:hint="eastAsia" w:ascii="仿宋" w:hAnsi="仿宋" w:eastAsia="仿宋" w:cs="仿宋"/>
          <w:color w:val="000000"/>
          <w:szCs w:val="21"/>
          <w:highlight w:val="none"/>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60"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60"/>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szCs w:val="15"/>
          <w:highlight w:val="none"/>
        </w:rPr>
      </w:pPr>
      <w:r>
        <w:rPr>
          <w:rFonts w:hint="eastAsia" w:ascii="仿宋" w:hAnsi="仿宋" w:eastAsia="仿宋" w:cs="仿宋"/>
          <w:szCs w:val="15"/>
          <w:highlight w:val="none"/>
          <w:lang w:val="en-US" w:eastAsia="zh-CN"/>
        </w:rPr>
        <w:t xml:space="preserve">11.1 </w:t>
      </w:r>
      <w:r>
        <w:rPr>
          <w:rFonts w:hint="eastAsia" w:ascii="仿宋" w:hAnsi="仿宋" w:eastAsia="仿宋" w:cs="仿宋"/>
          <w:szCs w:val="15"/>
          <w:highlight w:val="none"/>
        </w:rPr>
        <w:t>甲、乙双方</w:t>
      </w:r>
      <w:r>
        <w:rPr>
          <w:rFonts w:hint="eastAsia" w:ascii="仿宋" w:hAnsi="仿宋" w:eastAsia="仿宋" w:cs="仿宋"/>
          <w:szCs w:val="15"/>
          <w:highlight w:val="none"/>
          <w:lang w:eastAsia="zh-CN"/>
        </w:rPr>
        <w:t>对</w:t>
      </w:r>
      <w:r>
        <w:rPr>
          <w:rFonts w:hint="eastAsia" w:ascii="仿宋" w:hAnsi="仿宋" w:eastAsia="仿宋" w:cs="仿宋"/>
          <w:szCs w:val="15"/>
          <w:highlight w:val="none"/>
        </w:rPr>
        <w:t>采购和合同履行过程中所获悉的</w:t>
      </w:r>
      <w:r>
        <w:rPr>
          <w:rFonts w:hint="eastAsia" w:ascii="仿宋" w:hAnsi="仿宋" w:eastAsia="仿宋" w:cs="仿宋"/>
          <w:szCs w:val="15"/>
          <w:highlight w:val="none"/>
          <w:lang w:eastAsia="zh-CN"/>
        </w:rPr>
        <w:t>国家秘密、工作秘密、</w:t>
      </w:r>
      <w:r>
        <w:rPr>
          <w:rFonts w:hint="eastAsia" w:ascii="仿宋" w:hAnsi="仿宋" w:eastAsia="仿宋" w:cs="仿宋"/>
          <w:szCs w:val="15"/>
          <w:highlight w:val="none"/>
        </w:rPr>
        <w:t>商业秘密或者其他应当保密的信息，均有保密义务</w:t>
      </w:r>
      <w:r>
        <w:rPr>
          <w:rFonts w:hint="eastAsia" w:ascii="仿宋" w:hAnsi="仿宋" w:eastAsia="仿宋" w:cs="仿宋"/>
          <w:szCs w:val="15"/>
          <w:highlight w:val="none"/>
          <w:lang w:eastAsia="zh-CN"/>
        </w:rPr>
        <w:t>且不受合同有效期所限，直至该信息成为公开信息</w:t>
      </w:r>
      <w:r>
        <w:rPr>
          <w:rFonts w:hint="eastAsia" w:ascii="仿宋" w:hAnsi="仿宋" w:eastAsia="仿宋" w:cs="仿宋"/>
          <w:szCs w:val="15"/>
          <w:highlight w:val="none"/>
        </w:rPr>
        <w:t>。泄露、不正当地使用</w:t>
      </w:r>
      <w:r>
        <w:rPr>
          <w:rFonts w:hint="eastAsia" w:ascii="仿宋" w:hAnsi="仿宋" w:eastAsia="仿宋" w:cs="仿宋"/>
          <w:szCs w:val="15"/>
          <w:highlight w:val="none"/>
          <w:lang w:eastAsia="zh-CN"/>
        </w:rPr>
        <w:t>国家秘密、工作秘密、</w:t>
      </w:r>
      <w:r>
        <w:rPr>
          <w:rFonts w:hint="eastAsia" w:ascii="仿宋" w:hAnsi="仿宋" w:eastAsia="仿宋" w:cs="仿宋"/>
          <w:szCs w:val="15"/>
          <w:highlight w:val="none"/>
        </w:rPr>
        <w:t>商业秘密或者</w:t>
      </w:r>
      <w:r>
        <w:rPr>
          <w:rFonts w:hint="eastAsia" w:ascii="仿宋" w:hAnsi="仿宋" w:eastAsia="仿宋" w:cs="仿宋"/>
          <w:szCs w:val="15"/>
          <w:highlight w:val="none"/>
          <w:lang w:eastAsia="zh-CN"/>
        </w:rPr>
        <w:t>其他应当保密的</w:t>
      </w:r>
      <w:r>
        <w:rPr>
          <w:rFonts w:hint="eastAsia" w:ascii="仿宋" w:hAnsi="仿宋" w:eastAsia="仿宋" w:cs="仿宋"/>
          <w:szCs w:val="15"/>
          <w:highlight w:val="none"/>
        </w:rPr>
        <w:t>信息，应当承担</w:t>
      </w:r>
      <w:r>
        <w:rPr>
          <w:rFonts w:hint="eastAsia" w:ascii="仿宋" w:hAnsi="仿宋" w:eastAsia="仿宋" w:cs="仿宋"/>
          <w:szCs w:val="15"/>
          <w:highlight w:val="none"/>
          <w:lang w:eastAsia="zh-CN"/>
        </w:rPr>
        <w:t>相应</w:t>
      </w:r>
      <w:r>
        <w:rPr>
          <w:rFonts w:hint="eastAsia" w:ascii="仿宋" w:hAnsi="仿宋" w:eastAsia="仿宋" w:cs="仿宋"/>
          <w:szCs w:val="15"/>
          <w:highlight w:val="none"/>
        </w:rPr>
        <w:t>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highlight w:val="none"/>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highlight w:val="none"/>
          <w:lang w:eastAsia="zh-CN"/>
        </w:rPr>
        <w:t>；</w:t>
      </w:r>
    </w:p>
    <w:p>
      <w:pPr>
        <w:pStyle w:val="963"/>
        <w:rPr>
          <w:rFonts w:hint="eastAsia" w:ascii="仿宋" w:hAnsi="仿宋" w:eastAsia="仿宋" w:cs="仿宋"/>
          <w:sz w:val="21"/>
          <w:szCs w:val="21"/>
          <w:highlight w:val="none"/>
        </w:rPr>
      </w:pPr>
      <w:r>
        <w:rPr>
          <w:rFonts w:hint="eastAsia" w:ascii="仿宋" w:hAnsi="仿宋" w:eastAsia="仿宋" w:cs="仿宋"/>
          <w:sz w:val="21"/>
          <w:szCs w:val="21"/>
          <w:highlight w:val="none"/>
        </w:rPr>
        <w:t>（5）依照法律、行政法规的规定或者按照</w:t>
      </w:r>
      <w:r>
        <w:rPr>
          <w:rFonts w:hint="eastAsia" w:ascii="仿宋" w:hAnsi="仿宋" w:eastAsia="仿宋" w:cs="仿宋"/>
          <w:b/>
          <w:bCs/>
          <w:sz w:val="21"/>
          <w:szCs w:val="21"/>
          <w:highlight w:val="none"/>
        </w:rPr>
        <w:t>【政府采购合同专用条款】</w:t>
      </w:r>
      <w:r>
        <w:rPr>
          <w:rFonts w:hint="eastAsia" w:ascii="仿宋" w:hAnsi="仿宋" w:eastAsia="仿宋" w:cs="仿宋"/>
          <w:sz w:val="21"/>
          <w:szCs w:val="21"/>
          <w:highlight w:val="none"/>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w:t>
      </w:r>
      <w:r>
        <w:rPr>
          <w:rFonts w:hint="eastAsia" w:ascii="仿宋" w:hAnsi="仿宋" w:eastAsia="仿宋" w:cs="仿宋"/>
          <w:sz w:val="21"/>
          <w:highlight w:val="none"/>
          <w:lang w:eastAsia="zh-CN"/>
        </w:rPr>
        <w:t>及时告知</w:t>
      </w:r>
      <w:r>
        <w:rPr>
          <w:rFonts w:hint="eastAsia" w:ascii="仿宋" w:hAnsi="仿宋" w:eastAsia="仿宋" w:cs="仿宋"/>
          <w:sz w:val="21"/>
          <w:highlight w:val="none"/>
        </w:rPr>
        <w:t>甲方，致使</w:t>
      </w:r>
      <w:r>
        <w:rPr>
          <w:rFonts w:hint="eastAsia" w:ascii="仿宋" w:hAnsi="仿宋" w:eastAsia="仿宋" w:cs="仿宋"/>
          <w:sz w:val="21"/>
          <w:highlight w:val="none"/>
          <w:lang w:eastAsia="zh-CN"/>
        </w:rPr>
        <w:t>合同</w:t>
      </w:r>
      <w:r>
        <w:rPr>
          <w:rFonts w:hint="eastAsia" w:ascii="仿宋" w:hAnsi="仿宋" w:eastAsia="仿宋" w:cs="仿宋"/>
          <w:sz w:val="21"/>
          <w:highlight w:val="none"/>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sz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szCs w:val="21"/>
          <w:highlight w:val="none"/>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highlight w:val="none"/>
        </w:rPr>
        <w:t>并追究乙方的违约责</w:t>
      </w:r>
      <w:r>
        <w:rPr>
          <w:rFonts w:hint="eastAsia" w:ascii="仿宋" w:hAnsi="仿宋" w:eastAsia="仿宋" w:cs="仿宋"/>
          <w:szCs w:val="21"/>
          <w:highlight w:val="none"/>
          <w:lang w:val="en-US" w:eastAsia="zh-CN"/>
        </w:rPr>
        <w:t>任</w:t>
      </w:r>
      <w:r>
        <w:rPr>
          <w:rFonts w:hint="eastAsia" w:ascii="仿宋" w:hAnsi="仿宋" w:eastAsia="仿宋" w:cs="仿宋"/>
          <w:color w:val="auto"/>
          <w:szCs w:val="21"/>
          <w:highlight w:val="none"/>
        </w:rPr>
        <w:t>。</w:t>
      </w:r>
    </w:p>
    <w:p>
      <w:pPr>
        <w:pStyle w:val="963"/>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highlight w:val="none"/>
        </w:rPr>
        <w:t>中止</w:t>
      </w:r>
      <w:r>
        <w:rPr>
          <w:rFonts w:hint="eastAsia" w:ascii="仿宋" w:hAnsi="仿宋" w:eastAsia="仿宋" w:cs="仿宋"/>
          <w:sz w:val="21"/>
          <w:highlight w:val="none"/>
          <w:lang w:eastAsia="zh-CN"/>
        </w:rPr>
        <w:t>或者终止</w:t>
      </w:r>
      <w:r>
        <w:rPr>
          <w:rFonts w:hint="eastAsia" w:ascii="仿宋" w:hAnsi="仿宋" w:eastAsia="仿宋" w:cs="仿宋"/>
          <w:sz w:val="21"/>
          <w:highlight w:val="none"/>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.1 因本合同及合同有关事项发生的争议，由</w:t>
      </w:r>
      <w:r>
        <w:rPr>
          <w:rFonts w:hint="eastAsia" w:ascii="仿宋" w:hAnsi="仿宋" w:eastAsia="仿宋" w:cs="仿宋"/>
          <w:sz w:val="21"/>
          <w:highlight w:val="none"/>
          <w:lang w:eastAsia="zh-CN"/>
        </w:rPr>
        <w:t>甲乙双</w:t>
      </w:r>
      <w:r>
        <w:rPr>
          <w:rFonts w:hint="eastAsia" w:ascii="仿宋" w:hAnsi="仿宋" w:eastAsia="仿宋" w:cs="仿宋"/>
          <w:sz w:val="21"/>
          <w:highlight w:val="none"/>
        </w:rPr>
        <w:t>方友好协商解决。协商不成时，可以</w:t>
      </w:r>
      <w:r>
        <w:rPr>
          <w:rFonts w:hint="eastAsia" w:ascii="仿宋" w:hAnsi="仿宋" w:eastAsia="仿宋" w:cs="仿宋"/>
          <w:sz w:val="21"/>
          <w:highlight w:val="none"/>
          <w:lang w:eastAsia="zh-CN"/>
        </w:rPr>
        <w:t>向有关组织申请</w:t>
      </w:r>
      <w:r>
        <w:rPr>
          <w:rFonts w:hint="eastAsia" w:ascii="仿宋" w:hAnsi="仿宋" w:eastAsia="仿宋" w:cs="仿宋"/>
          <w:sz w:val="21"/>
          <w:highlight w:val="none"/>
        </w:rPr>
        <w:t>调解。合同一方或</w:t>
      </w:r>
      <w:r>
        <w:rPr>
          <w:rFonts w:hint="eastAsia" w:ascii="仿宋" w:hAnsi="仿宋" w:eastAsia="仿宋" w:cs="仿宋"/>
          <w:sz w:val="21"/>
          <w:highlight w:val="none"/>
          <w:lang w:eastAsia="zh-CN"/>
        </w:rPr>
        <w:t>双</w:t>
      </w:r>
      <w:r>
        <w:rPr>
          <w:rFonts w:hint="eastAsia" w:ascii="仿宋" w:hAnsi="仿宋" w:eastAsia="仿宋" w:cs="仿宋"/>
          <w:sz w:val="21"/>
          <w:highlight w:val="none"/>
        </w:rPr>
        <w:t>方不愿调解或调解不成的，可以通过仲裁或诉讼的方式解决争议。</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.3 如</w:t>
      </w:r>
      <w:r>
        <w:rPr>
          <w:rFonts w:hint="eastAsia" w:ascii="仿宋" w:hAnsi="仿宋" w:eastAsia="仿宋" w:cs="仿宋"/>
          <w:sz w:val="21"/>
          <w:highlight w:val="none"/>
          <w:lang w:eastAsia="zh-CN"/>
        </w:rPr>
        <w:t>甲乙双方</w:t>
      </w:r>
      <w:r>
        <w:rPr>
          <w:rFonts w:hint="eastAsia" w:ascii="仿宋" w:hAnsi="仿宋" w:eastAsia="仿宋" w:cs="仿宋"/>
          <w:sz w:val="21"/>
          <w:highlight w:val="none"/>
        </w:rPr>
        <w:t>有争议的事项不影响合同其他部分的履行，在争议解决期间，合同其他部分应</w:t>
      </w:r>
      <w:r>
        <w:rPr>
          <w:rFonts w:hint="eastAsia" w:ascii="仿宋" w:hAnsi="仿宋" w:eastAsia="仿宋" w:cs="仿宋"/>
          <w:sz w:val="21"/>
          <w:highlight w:val="none"/>
          <w:lang w:eastAsia="zh-CN"/>
        </w:rPr>
        <w:t>当</w:t>
      </w:r>
      <w:r>
        <w:rPr>
          <w:rFonts w:hint="eastAsia" w:ascii="仿宋" w:hAnsi="仿宋" w:eastAsia="仿宋" w:cs="仿宋"/>
          <w:sz w:val="21"/>
          <w:highlight w:val="none"/>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highlight w:val="none"/>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highlight w:val="none"/>
          <w:lang w:eastAsia="zh-CN"/>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1</w:t>
      </w:r>
      <w:r>
        <w:rPr>
          <w:rFonts w:hint="eastAsia" w:ascii="仿宋" w:hAnsi="仿宋" w:eastAsia="仿宋" w:cs="仿宋"/>
          <w:sz w:val="21"/>
          <w:highlight w:val="none"/>
        </w:rPr>
        <w:t>.1 本合同的订立、生效、解释、履行及与本合同有关的争议解决，均适用法律、行政法规。</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1</w:t>
      </w:r>
      <w:r>
        <w:rPr>
          <w:rFonts w:hint="eastAsia" w:ascii="仿宋" w:hAnsi="仿宋" w:eastAsia="仿宋" w:cs="仿宋"/>
          <w:sz w:val="21"/>
          <w:highlight w:val="none"/>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2</w:t>
      </w:r>
      <w:r>
        <w:rPr>
          <w:rFonts w:hint="eastAsia" w:ascii="仿宋" w:hAnsi="仿宋" w:eastAsia="仿宋" w:cs="仿宋"/>
          <w:sz w:val="21"/>
          <w:highlight w:val="none"/>
        </w:rPr>
        <w:t>.1</w:t>
      </w: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本合同任何一方向对方发出的通知、信件、数据电文等，应当发送至本合同第一部分《政府采购合同协议书》所约定的通讯地址、联系人、联系电话或电子邮箱。</w:t>
      </w:r>
    </w:p>
    <w:p>
      <w:pPr>
        <w:pStyle w:val="963"/>
        <w:ind w:firstLine="0" w:firstLineChars="0"/>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2</w:t>
      </w:r>
      <w:r>
        <w:rPr>
          <w:rFonts w:hint="eastAsia" w:ascii="仿宋" w:hAnsi="仿宋" w:eastAsia="仿宋" w:cs="仿宋"/>
          <w:sz w:val="21"/>
          <w:highlight w:val="none"/>
          <w:lang w:val="en-US" w:eastAsia="zh-CN"/>
        </w:rPr>
        <w:t>2</w:t>
      </w:r>
      <w:r>
        <w:rPr>
          <w:rFonts w:hint="eastAsia" w:ascii="仿宋" w:hAnsi="仿宋" w:eastAsia="仿宋" w:cs="仿宋"/>
          <w:sz w:val="21"/>
          <w:highlight w:val="none"/>
        </w:rPr>
        <w:t>.2</w:t>
      </w: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一方当事人变更名称、</w:t>
      </w:r>
      <w:r>
        <w:rPr>
          <w:rFonts w:hint="eastAsia" w:ascii="仿宋" w:hAnsi="仿宋" w:eastAsia="仿宋" w:cs="仿宋"/>
          <w:sz w:val="21"/>
          <w:highlight w:val="none"/>
          <w:lang w:eastAsia="zh-CN"/>
        </w:rPr>
        <w:t>住所</w:t>
      </w:r>
      <w:r>
        <w:rPr>
          <w:rFonts w:hint="eastAsia" w:ascii="仿宋" w:hAnsi="仿宋" w:eastAsia="仿宋" w:cs="仿宋"/>
          <w:sz w:val="21"/>
          <w:highlight w:val="none"/>
        </w:rPr>
        <w:t>、联系人、联系电话或电子邮箱</w:t>
      </w:r>
      <w:r>
        <w:rPr>
          <w:rFonts w:hint="eastAsia" w:ascii="仿宋" w:hAnsi="仿宋" w:eastAsia="仿宋" w:cs="仿宋"/>
          <w:sz w:val="21"/>
          <w:highlight w:val="none"/>
          <w:lang w:eastAsia="zh-CN"/>
        </w:rPr>
        <w:t>等信息</w:t>
      </w:r>
      <w:r>
        <w:rPr>
          <w:rFonts w:hint="eastAsia" w:ascii="仿宋" w:hAnsi="仿宋" w:eastAsia="仿宋" w:cs="仿宋"/>
          <w:sz w:val="21"/>
          <w:highlight w:val="none"/>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highlight w:val="none"/>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61" w:name="_Toc20313"/>
    </w:p>
    <w:p>
      <w:pPr>
        <w:adjustRightInd w:val="0"/>
        <w:snapToGrid w:val="0"/>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br w:type="page"/>
      </w:r>
    </w:p>
    <w:p>
      <w:pPr>
        <w:pStyle w:val="4"/>
        <w:adjustRightInd w:val="0"/>
        <w:snapToGrid w:val="0"/>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第三节 政府采购合同专用条款</w:t>
      </w:r>
      <w:bookmarkEnd w:id="61"/>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第1.2（</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lang w:eastAsia="zh-CN"/>
              </w:rPr>
              <w:t>联合体具体要求</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第1.2（</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其他术语解释</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4.4款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履约验收中甲方提出异议或作出说明的期限</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4.6款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约定甲方承担的其他义务和责任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第二节</w:t>
            </w:r>
          </w:p>
          <w:p>
            <w:pPr>
              <w:snapToGrid w:val="0"/>
              <w:jc w:val="center"/>
              <w:rPr>
                <w:rFonts w:hint="eastAsia" w:ascii="仿宋" w:hAnsi="仿宋" w:eastAsia="仿宋" w:cs="仿宋"/>
                <w:highlight w:val="none"/>
                <w:lang w:val="en-US"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5.4款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约定乙方承担的其他义务和责任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第二节</w:t>
            </w:r>
          </w:p>
          <w:p>
            <w:pPr>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6.1款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履行合同义务的顺序</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包装</w:t>
            </w:r>
            <w:r>
              <w:rPr>
                <w:rFonts w:hint="eastAsia" w:ascii="仿宋" w:hAnsi="仿宋" w:eastAsia="仿宋" w:cs="仿宋"/>
                <w:szCs w:val="21"/>
                <w:highlight w:val="none"/>
                <w:lang w:eastAsia="zh-CN"/>
              </w:rPr>
              <w:t>特殊要求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仿宋" w:hAnsi="仿宋" w:eastAsia="仿宋" w:cs="仿宋"/>
                <w:szCs w:val="21"/>
                <w:highlight w:val="none"/>
              </w:rPr>
            </w:pP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指定现场</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.2</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运输特殊要求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.3</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保险要求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.2（1）项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质量保证期</w:t>
            </w:r>
          </w:p>
        </w:tc>
        <w:tc>
          <w:tcPr>
            <w:tcW w:w="5170" w:type="dxa"/>
            <w:noWrap w:val="0"/>
            <w:vAlign w:val="center"/>
          </w:tcPr>
          <w:p>
            <w:pPr>
              <w:autoSpaceDE w:val="0"/>
              <w:autoSpaceDN w:val="0"/>
              <w:adjustRightInd w:val="0"/>
              <w:snapToGrid w:val="0"/>
              <w:ind w:firstLine="420" w:firstLineChars="20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.2（3）项</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货物质量缺陷</w:t>
            </w:r>
          </w:p>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响应时间</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第二节</w:t>
            </w:r>
          </w:p>
          <w:p>
            <w:pPr>
              <w:pStyle w:val="963"/>
              <w:ind w:firstLine="0" w:firstLineChars="0"/>
              <w:jc w:val="center"/>
              <w:rPr>
                <w:rFonts w:hint="eastAsia" w:ascii="仿宋" w:hAnsi="仿宋" w:eastAsia="仿宋" w:cs="仿宋"/>
                <w:highlight w:val="none"/>
                <w:lang w:val="en-US" w:eastAsia="zh-CN"/>
              </w:rPr>
            </w:pPr>
            <w:r>
              <w:rPr>
                <w:rFonts w:hint="eastAsia" w:ascii="仿宋" w:hAnsi="仿宋" w:eastAsia="仿宋" w:cs="仿宋"/>
                <w:szCs w:val="21"/>
                <w:highlight w:val="none"/>
                <w:lang w:val="en-US" w:eastAsia="zh-CN"/>
              </w:rPr>
              <w:t>第11.1款</w:t>
            </w:r>
          </w:p>
        </w:tc>
        <w:tc>
          <w:tcPr>
            <w:tcW w:w="1742" w:type="dxa"/>
            <w:noWrap w:val="0"/>
            <w:vAlign w:val="center"/>
          </w:tcPr>
          <w:p>
            <w:pPr>
              <w:adjustRightInd w:val="0"/>
              <w:snapToGrid w:val="0"/>
              <w:jc w:val="both"/>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其他应当保密的信息</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.2款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rPr>
              <w:t>合同价款支付</w:t>
            </w:r>
            <w:r>
              <w:rPr>
                <w:rFonts w:hint="eastAsia" w:ascii="仿宋" w:hAnsi="仿宋" w:eastAsia="仿宋" w:cs="仿宋"/>
                <w:szCs w:val="21"/>
                <w:highlight w:val="none"/>
                <w:lang w:eastAsia="zh-CN"/>
              </w:rPr>
              <w:t>时间</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13.2</w:t>
            </w:r>
            <w:r>
              <w:rPr>
                <w:rFonts w:hint="eastAsia" w:ascii="仿宋" w:hAnsi="仿宋" w:eastAsia="仿宋" w:cs="仿宋"/>
                <w:szCs w:val="21"/>
                <w:highlight w:val="none"/>
              </w:rPr>
              <w:t>款</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履约保证金不予退还的情形</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13.3</w:t>
            </w:r>
            <w:r>
              <w:rPr>
                <w:rFonts w:hint="eastAsia" w:ascii="仿宋" w:hAnsi="仿宋" w:eastAsia="仿宋" w:cs="仿宋"/>
                <w:szCs w:val="21"/>
                <w:highlight w:val="none"/>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履约保证金退还时间及</w:t>
            </w:r>
            <w:r>
              <w:rPr>
                <w:rFonts w:hint="eastAsia" w:ascii="仿宋" w:hAnsi="仿宋" w:eastAsia="仿宋" w:cs="仿宋"/>
                <w:szCs w:val="21"/>
                <w:highlight w:val="none"/>
                <w:lang w:eastAsia="zh-CN"/>
              </w:rPr>
              <w:t>逾期退还的</w:t>
            </w:r>
            <w:r>
              <w:rPr>
                <w:rFonts w:hint="eastAsia" w:ascii="仿宋" w:hAnsi="仿宋" w:eastAsia="仿宋" w:cs="仿宋"/>
                <w:szCs w:val="21"/>
                <w:highlight w:val="none"/>
              </w:rPr>
              <w:t>违约金</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运行监督、维修期限</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货物回收的约定</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1款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.2（2）项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.4</w:t>
            </w:r>
            <w:r>
              <w:rPr>
                <w:rFonts w:hint="eastAsia" w:ascii="仿宋" w:hAnsi="仿宋" w:eastAsia="仿宋" w:cs="仿宋"/>
                <w:szCs w:val="21"/>
                <w:highlight w:val="none"/>
                <w:lang w:val="en-US" w:eastAsia="zh-CN"/>
              </w:rPr>
              <w:t>款</w:t>
            </w:r>
          </w:p>
        </w:tc>
        <w:tc>
          <w:tcPr>
            <w:tcW w:w="1742" w:type="dxa"/>
            <w:tcBorders>
              <w:left w:val="single" w:color="auto" w:sz="2" w:space="0"/>
              <w:bottom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19</w:t>
            </w:r>
            <w:r>
              <w:rPr>
                <w:rFonts w:hint="eastAsia" w:ascii="仿宋" w:hAnsi="仿宋" w:eastAsia="仿宋" w:cs="仿宋"/>
                <w:szCs w:val="21"/>
                <w:highlight w:val="none"/>
              </w:rPr>
              <w:t>.2</w:t>
            </w:r>
            <w:r>
              <w:rPr>
                <w:rFonts w:hint="eastAsia" w:ascii="仿宋" w:hAnsi="仿宋" w:eastAsia="仿宋" w:cs="仿宋"/>
                <w:szCs w:val="21"/>
                <w:highlight w:val="none"/>
                <w:lang w:val="en-US" w:eastAsia="zh-CN"/>
              </w:rPr>
              <w:t>款</w:t>
            </w:r>
          </w:p>
        </w:tc>
        <w:tc>
          <w:tcPr>
            <w:tcW w:w="1742" w:type="dxa"/>
            <w:tcBorders>
              <w:top w:val="single" w:color="auto" w:sz="2" w:space="0"/>
              <w:left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lang w:val="en-US" w:eastAsia="zh-CN"/>
              </w:rPr>
              <w:t>解决争议的方法</w:t>
            </w:r>
          </w:p>
        </w:tc>
        <w:tc>
          <w:tcPr>
            <w:tcW w:w="5170"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仿宋" w:hAnsi="仿宋" w:eastAsia="仿宋" w:cs="仿宋"/>
                <w:b w:val="0"/>
                <w:bCs w:val="0"/>
                <w:iCs/>
                <w:szCs w:val="21"/>
                <w:highlight w:val="none"/>
              </w:rPr>
            </w:pPr>
            <w:r>
              <w:rPr>
                <w:rFonts w:hint="eastAsia" w:ascii="仿宋" w:hAnsi="仿宋" w:eastAsia="仿宋" w:cs="仿宋"/>
                <w:b w:val="0"/>
                <w:bCs w:val="0"/>
                <w:iCs/>
                <w:szCs w:val="21"/>
                <w:highlight w:val="none"/>
              </w:rPr>
              <w:t>因本合同及合同有关事项发生的争议，按下列第</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种方式解决：</w:t>
            </w:r>
          </w:p>
          <w:p>
            <w:pPr>
              <w:autoSpaceDE w:val="0"/>
              <w:autoSpaceDN w:val="0"/>
              <w:adjustRightInd w:val="0"/>
              <w:snapToGrid w:val="0"/>
              <w:spacing w:line="400" w:lineRule="exact"/>
              <w:jc w:val="left"/>
              <w:rPr>
                <w:rFonts w:hint="eastAsia" w:ascii="仿宋" w:hAnsi="仿宋" w:eastAsia="仿宋" w:cs="仿宋"/>
                <w:b w:val="0"/>
                <w:bCs w:val="0"/>
                <w:iCs/>
                <w:szCs w:val="21"/>
                <w:highlight w:val="none"/>
              </w:rPr>
            </w:pPr>
            <w:r>
              <w:rPr>
                <w:rFonts w:hint="eastAsia" w:ascii="仿宋" w:hAnsi="仿宋" w:eastAsia="仿宋" w:cs="仿宋"/>
                <w:b w:val="0"/>
                <w:bCs w:val="0"/>
                <w:iCs/>
                <w:szCs w:val="21"/>
                <w:highlight w:val="none"/>
              </w:rPr>
              <w:t>（1）向</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仲裁委员会申请仲裁，仲裁地点为</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w:t>
            </w:r>
          </w:p>
          <w:p>
            <w:pPr>
              <w:adjustRightInd w:val="0"/>
              <w:snapToGrid w:val="0"/>
              <w:ind w:firstLine="0" w:firstLineChars="0"/>
              <w:jc w:val="left"/>
              <w:rPr>
                <w:rFonts w:hint="eastAsia" w:ascii="仿宋" w:hAnsi="仿宋" w:eastAsia="仿宋" w:cs="仿宋"/>
                <w:szCs w:val="21"/>
                <w:highlight w:val="none"/>
                <w:u w:val="single"/>
              </w:rPr>
            </w:pPr>
            <w:r>
              <w:rPr>
                <w:rFonts w:hint="eastAsia" w:ascii="仿宋" w:hAnsi="仿宋" w:eastAsia="仿宋" w:cs="仿宋"/>
                <w:b w:val="0"/>
                <w:bCs w:val="0"/>
                <w:iCs/>
                <w:szCs w:val="21"/>
                <w:highlight w:val="none"/>
              </w:rPr>
              <w:t>（2）向</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第2</w:t>
            </w:r>
            <w:r>
              <w:rPr>
                <w:rFonts w:hint="eastAsia" w:ascii="仿宋" w:hAnsi="仿宋" w:eastAsia="仿宋" w:cs="仿宋"/>
                <w:szCs w:val="21"/>
                <w:highlight w:val="none"/>
                <w:lang w:val="en-US" w:eastAsia="zh-CN"/>
              </w:rPr>
              <w:t>3.1</w:t>
            </w:r>
            <w:r>
              <w:rPr>
                <w:rFonts w:hint="eastAsia" w:ascii="仿宋" w:hAnsi="仿宋" w:eastAsia="仿宋" w:cs="仿宋"/>
                <w:szCs w:val="21"/>
                <w:highlight w:val="none"/>
                <w:lang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bCs/>
                <w:color w:val="auto"/>
                <w:szCs w:val="21"/>
                <w:highlight w:val="none"/>
                <w:lang w:eastAsia="zh-CN"/>
              </w:rPr>
              <w:t>其他专用条款</w:t>
            </w:r>
          </w:p>
        </w:tc>
        <w:tc>
          <w:tcPr>
            <w:tcW w:w="5170" w:type="dxa"/>
            <w:noWrap w:val="0"/>
            <w:vAlign w:val="center"/>
          </w:tcPr>
          <w:p>
            <w:pPr>
              <w:adjustRightInd w:val="0"/>
              <w:snapToGrid w:val="0"/>
              <w:jc w:val="left"/>
              <w:rPr>
                <w:rFonts w:hint="eastAsia" w:ascii="仿宋" w:hAnsi="仿宋" w:eastAsia="仿宋" w:cs="仿宋"/>
                <w:szCs w:val="21"/>
                <w:highlight w:val="none"/>
                <w:lang w:val="en-US" w:eastAsia="zh-CN"/>
              </w:rPr>
            </w:pPr>
          </w:p>
        </w:tc>
      </w:tr>
    </w:tbl>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70</w:t>
      </w:r>
      <w:r>
        <w:rPr>
          <w:rFonts w:hint="eastAsia" w:ascii="仿宋" w:hAnsi="仿宋" w:eastAsia="仿宋" w:cs="仿宋"/>
          <w:b/>
          <w:bCs/>
          <w:iCs/>
          <w:sz w:val="24"/>
          <w:highlight w:val="none"/>
        </w:rPr>
        <w:t>分）</w:t>
      </w:r>
    </w:p>
    <w:tbl>
      <w:tblPr>
        <w:tblStyle w:val="62"/>
        <w:tblW w:w="9371"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6"/>
        <w:gridCol w:w="1292"/>
        <w:gridCol w:w="6510"/>
        <w:gridCol w:w="813"/>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tcBorders>
              <w:top w:val="double" w:color="auto" w:sz="4" w:space="0"/>
              <w:left w:val="double" w:color="auto" w:sz="4" w:space="0"/>
              <w:bottom w:val="nil"/>
              <w:right w:val="single" w:color="000000" w:sz="6"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序号</w:t>
            </w:r>
          </w:p>
        </w:tc>
        <w:tc>
          <w:tcPr>
            <w:tcW w:w="7802" w:type="dxa"/>
            <w:gridSpan w:val="2"/>
            <w:tcBorders>
              <w:top w:val="double" w:color="auto" w:sz="4" w:space="0"/>
              <w:left w:val="double" w:color="auto" w:sz="4" w:space="0"/>
              <w:bottom w:val="nil"/>
              <w:right w:val="single" w:color="000000" w:sz="6"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评分内容</w:t>
            </w:r>
          </w:p>
        </w:tc>
        <w:tc>
          <w:tcPr>
            <w:tcW w:w="813" w:type="dxa"/>
            <w:tcBorders>
              <w:top w:val="double" w:color="auto" w:sz="4" w:space="0"/>
              <w:left w:val="single" w:color="000000" w:sz="6" w:space="0"/>
              <w:bottom w:val="nil"/>
              <w:right w:val="doub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分值</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restart"/>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292" w:type="dxa"/>
            <w:vMerge w:val="restart"/>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投标人资信</w:t>
            </w:r>
          </w:p>
        </w:tc>
        <w:tc>
          <w:tcPr>
            <w:tcW w:w="6510" w:type="dxa"/>
            <w:noWrap w:val="0"/>
            <w:vAlign w:val="center"/>
          </w:tcPr>
          <w:p>
            <w:pPr>
              <w:pStyle w:val="966"/>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投标人具有知识产权管理体系认证证书（认证范围需包含合理用药）</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具有信息安全服务资质认证证书、具有信息安全管理体系认证证书、ITSS信息技术服务标准认证的</w:t>
            </w:r>
            <w:r>
              <w:rPr>
                <w:rFonts w:hint="eastAsia" w:ascii="仿宋" w:hAnsi="仿宋" w:eastAsia="仿宋" w:cs="仿宋"/>
                <w:color w:val="auto"/>
                <w:sz w:val="21"/>
                <w:szCs w:val="21"/>
                <w:highlight w:val="none"/>
              </w:rPr>
              <w:t>每个得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分，最多得</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分。提供证书</w:t>
            </w:r>
            <w:r>
              <w:rPr>
                <w:rFonts w:hint="eastAsia" w:ascii="仿宋" w:hAnsi="仿宋" w:eastAsia="仿宋" w:cs="仿宋"/>
                <w:color w:val="auto"/>
                <w:sz w:val="21"/>
                <w:szCs w:val="21"/>
                <w:highlight w:val="none"/>
                <w:lang w:val="en-US" w:eastAsia="zh-CN"/>
              </w:rPr>
              <w:t>扫描件加盖投标人公章</w:t>
            </w:r>
            <w:r>
              <w:rPr>
                <w:rFonts w:hint="eastAsia" w:ascii="仿宋" w:hAnsi="仿宋" w:eastAsia="仿宋" w:cs="仿宋"/>
                <w:color w:val="auto"/>
                <w:sz w:val="21"/>
                <w:szCs w:val="21"/>
                <w:highlight w:val="none"/>
              </w:rPr>
              <w:t>，否则不得分。</w:t>
            </w:r>
          </w:p>
        </w:tc>
        <w:tc>
          <w:tcPr>
            <w:tcW w:w="813" w:type="dxa"/>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4</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continue"/>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1292" w:type="dxa"/>
            <w:vMerge w:val="continue"/>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6510" w:type="dxa"/>
            <w:tcBorders>
              <w:bottom w:val="single" w:color="auto" w:sz="4" w:space="0"/>
            </w:tcBorders>
            <w:noWrap w:val="0"/>
            <w:vAlign w:val="center"/>
          </w:tcPr>
          <w:p>
            <w:pPr>
              <w:pStyle w:val="966"/>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w:t>
            </w:r>
            <w:r>
              <w:rPr>
                <w:rFonts w:hint="eastAsia" w:ascii="仿宋" w:hAnsi="仿宋" w:eastAsia="仿宋" w:cs="仿宋"/>
                <w:color w:val="auto"/>
                <w:sz w:val="21"/>
                <w:szCs w:val="21"/>
                <w:highlight w:val="none"/>
                <w:lang w:val="en-US" w:eastAsia="zh-CN"/>
              </w:rPr>
              <w:t>与项目相适应的软件著作权证书（如：药师临床辅助决策、医院智慧用药、药学政策上报报表、患者用药管理、用药评价等类似软件著作权证书）</w:t>
            </w:r>
            <w:r>
              <w:rPr>
                <w:rFonts w:hint="eastAsia" w:ascii="仿宋" w:hAnsi="仿宋" w:eastAsia="仿宋" w:cs="仿宋"/>
                <w:color w:val="auto"/>
                <w:sz w:val="21"/>
                <w:szCs w:val="21"/>
                <w:highlight w:val="none"/>
              </w:rPr>
              <w:t>，每个证书得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分，最多得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分，提供证书</w:t>
            </w:r>
            <w:r>
              <w:rPr>
                <w:rFonts w:hint="eastAsia" w:ascii="仿宋" w:hAnsi="仿宋" w:eastAsia="仿宋" w:cs="仿宋"/>
                <w:color w:val="auto"/>
                <w:sz w:val="21"/>
                <w:szCs w:val="21"/>
                <w:highlight w:val="none"/>
                <w:lang w:val="en-US" w:eastAsia="zh-CN"/>
              </w:rPr>
              <w:t>扫描件加盖投标人公章</w:t>
            </w:r>
            <w:r>
              <w:rPr>
                <w:rFonts w:hint="eastAsia" w:ascii="仿宋" w:hAnsi="仿宋" w:eastAsia="仿宋" w:cs="仿宋"/>
                <w:color w:val="auto"/>
                <w:sz w:val="21"/>
                <w:szCs w:val="21"/>
                <w:highlight w:val="none"/>
              </w:rPr>
              <w:t>，否则不得分。</w:t>
            </w:r>
          </w:p>
        </w:tc>
        <w:tc>
          <w:tcPr>
            <w:tcW w:w="813" w:type="dxa"/>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continue"/>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bCs/>
                <w:iCs/>
                <w:color w:val="auto"/>
                <w:sz w:val="21"/>
                <w:szCs w:val="21"/>
                <w:highlight w:val="none"/>
              </w:rPr>
            </w:pPr>
          </w:p>
        </w:tc>
        <w:tc>
          <w:tcPr>
            <w:tcW w:w="1292" w:type="dxa"/>
            <w:tcBorders>
              <w:top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bCs/>
                <w:iCs/>
                <w:color w:val="auto"/>
                <w:sz w:val="21"/>
                <w:szCs w:val="21"/>
                <w:highlight w:val="none"/>
              </w:rPr>
            </w:pPr>
            <w:r>
              <w:rPr>
                <w:rFonts w:hint="eastAsia" w:ascii="仿宋" w:hAnsi="仿宋" w:eastAsia="仿宋" w:cs="仿宋"/>
                <w:color w:val="auto"/>
                <w:sz w:val="21"/>
                <w:szCs w:val="21"/>
                <w:highlight w:val="none"/>
                <w:lang w:val="en-US" w:eastAsia="zh-CN"/>
              </w:rPr>
              <w:t>投标</w:t>
            </w:r>
            <w:r>
              <w:rPr>
                <w:rFonts w:hint="eastAsia" w:ascii="仿宋" w:hAnsi="仿宋" w:eastAsia="仿宋" w:cs="仿宋"/>
                <w:color w:val="auto"/>
                <w:sz w:val="21"/>
                <w:szCs w:val="21"/>
                <w:highlight w:val="none"/>
              </w:rPr>
              <w:t>业绩</w:t>
            </w:r>
          </w:p>
        </w:tc>
        <w:tc>
          <w:tcPr>
            <w:tcW w:w="6510" w:type="dxa"/>
            <w:tcBorders>
              <w:top w:val="single" w:color="auto" w:sz="4" w:space="0"/>
            </w:tcBorders>
            <w:noWrap w:val="0"/>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bCs/>
                <w:iCs/>
                <w:color w:val="auto"/>
                <w:sz w:val="21"/>
                <w:szCs w:val="21"/>
                <w:highlight w:val="none"/>
                <w:lang w:eastAsia="zh-CN"/>
              </w:rPr>
            </w:pPr>
            <w:r>
              <w:rPr>
                <w:rFonts w:hint="eastAsia" w:ascii="仿宋" w:hAnsi="仿宋" w:eastAsia="仿宋" w:cs="仿宋"/>
                <w:bCs/>
                <w:iCs/>
                <w:color w:val="auto"/>
                <w:sz w:val="21"/>
                <w:szCs w:val="21"/>
                <w:highlight w:val="none"/>
              </w:rPr>
              <w:t>投标人具有</w:t>
            </w:r>
            <w:r>
              <w:rPr>
                <w:rFonts w:hint="eastAsia" w:ascii="仿宋" w:hAnsi="仿宋" w:eastAsia="仿宋" w:cs="仿宋"/>
                <w:bCs/>
                <w:iCs/>
                <w:color w:val="auto"/>
                <w:sz w:val="21"/>
                <w:szCs w:val="21"/>
                <w:highlight w:val="none"/>
                <w:lang w:val="en-US" w:eastAsia="zh-CN"/>
              </w:rPr>
              <w:t>2021年1月1日（以合同签订时间为准）以来</w:t>
            </w:r>
            <w:r>
              <w:rPr>
                <w:rFonts w:hint="eastAsia" w:ascii="仿宋" w:hAnsi="仿宋" w:eastAsia="仿宋" w:cs="仿宋"/>
                <w:bCs/>
                <w:iCs/>
                <w:color w:val="auto"/>
                <w:sz w:val="21"/>
                <w:szCs w:val="21"/>
                <w:highlight w:val="none"/>
              </w:rPr>
              <w:t>实施</w:t>
            </w:r>
            <w:r>
              <w:rPr>
                <w:rFonts w:hint="eastAsia" w:ascii="仿宋" w:hAnsi="仿宋" w:eastAsia="仿宋" w:cs="仿宋"/>
                <w:bCs/>
                <w:iCs/>
                <w:color w:val="auto"/>
                <w:sz w:val="21"/>
                <w:szCs w:val="21"/>
                <w:highlight w:val="none"/>
                <w:lang w:val="en-US" w:eastAsia="zh-CN"/>
              </w:rPr>
              <w:t>类似</w:t>
            </w:r>
            <w:r>
              <w:rPr>
                <w:rFonts w:hint="eastAsia" w:ascii="仿宋" w:hAnsi="仿宋" w:eastAsia="仿宋" w:cs="仿宋"/>
                <w:bCs/>
                <w:iCs/>
                <w:color w:val="auto"/>
                <w:sz w:val="21"/>
                <w:szCs w:val="21"/>
                <w:highlight w:val="none"/>
              </w:rPr>
              <w:t>系统软件项目成功应用案例，每提供1个得1分，最高得</w:t>
            </w:r>
            <w:r>
              <w:rPr>
                <w:rFonts w:hint="eastAsia" w:ascii="仿宋" w:hAnsi="仿宋" w:eastAsia="仿宋" w:cs="仿宋"/>
                <w:bCs/>
                <w:iCs/>
                <w:color w:val="auto"/>
                <w:sz w:val="21"/>
                <w:szCs w:val="21"/>
                <w:highlight w:val="none"/>
                <w:lang w:val="en-US" w:eastAsia="zh-CN"/>
              </w:rPr>
              <w:t>3</w:t>
            </w:r>
            <w:r>
              <w:rPr>
                <w:rFonts w:hint="eastAsia" w:ascii="仿宋" w:hAnsi="仿宋" w:eastAsia="仿宋" w:cs="仿宋"/>
                <w:bCs/>
                <w:iCs/>
                <w:color w:val="auto"/>
                <w:sz w:val="21"/>
                <w:szCs w:val="21"/>
                <w:highlight w:val="none"/>
              </w:rPr>
              <w:t>分。</w:t>
            </w:r>
            <w:r>
              <w:rPr>
                <w:rFonts w:hint="eastAsia" w:ascii="仿宋" w:hAnsi="仿宋" w:eastAsia="仿宋" w:cs="仿宋"/>
                <w:bCs/>
                <w:iCs/>
                <w:color w:val="auto"/>
                <w:sz w:val="21"/>
                <w:szCs w:val="21"/>
                <w:highlight w:val="none"/>
                <w:lang w:val="en-US" w:eastAsia="zh-CN"/>
              </w:rPr>
              <w:t>同时</w:t>
            </w:r>
            <w:r>
              <w:rPr>
                <w:rFonts w:hint="eastAsia" w:ascii="仿宋" w:hAnsi="仿宋" w:eastAsia="仿宋" w:cs="仿宋"/>
                <w:bCs/>
                <w:iCs/>
                <w:color w:val="auto"/>
                <w:sz w:val="21"/>
                <w:szCs w:val="21"/>
                <w:highlight w:val="none"/>
              </w:rPr>
              <w:t>提供合同</w:t>
            </w:r>
            <w:r>
              <w:rPr>
                <w:rFonts w:hint="eastAsia" w:ascii="仿宋" w:hAnsi="仿宋" w:eastAsia="仿宋" w:cs="仿宋"/>
                <w:bCs/>
                <w:iCs/>
                <w:color w:val="auto"/>
                <w:sz w:val="21"/>
                <w:szCs w:val="21"/>
                <w:highlight w:val="none"/>
                <w:lang w:val="en-US" w:eastAsia="zh-CN"/>
              </w:rPr>
              <w:t>和用户出具的验收合格证明扫描件加盖投标人公章</w:t>
            </w:r>
            <w:r>
              <w:rPr>
                <w:rFonts w:hint="eastAsia" w:ascii="仿宋" w:hAnsi="仿宋" w:eastAsia="仿宋" w:cs="仿宋"/>
                <w:bCs/>
                <w:iCs/>
                <w:color w:val="auto"/>
                <w:sz w:val="21"/>
                <w:szCs w:val="21"/>
                <w:highlight w:val="none"/>
              </w:rPr>
              <w:t>，否则不得分。</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72" w:hRule="atLeast"/>
          <w:jc w:val="center"/>
        </w:trPr>
        <w:tc>
          <w:tcPr>
            <w:tcW w:w="756"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292"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现场演示</w:t>
            </w:r>
          </w:p>
        </w:tc>
        <w:tc>
          <w:tcPr>
            <w:tcW w:w="6510" w:type="dxa"/>
            <w:noWrap w:val="0"/>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重点业务模块演示，投标人对下述项目逐一进行演示，评标委员会根据演示效果进行评分（根据每项演示要求的完成度进行打分，每项3分，最高15分，仅提供PPT演示每项得1分，最高5分）。</w:t>
            </w:r>
          </w:p>
          <w:p>
            <w:pPr>
              <w:keepNext w:val="0"/>
              <w:keepLines w:val="0"/>
              <w:widowControl w:val="0"/>
              <w:numPr>
                <w:ilvl w:val="0"/>
                <w:numId w:val="8"/>
              </w:numPr>
              <w:suppressLineNumbers w:val="0"/>
              <w:spacing w:before="0" w:beforeAutospacing="0" w:after="0" w:afterAutospacing="0"/>
              <w:ind w:left="0" w:right="0"/>
              <w:jc w:val="both"/>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处方点评和住院医嘱项目结束后，支持按机构、按科室和按医生生成项目报表，包括点评处方数、处方人次数、用药品种数、抗菌药物品种数等统计数据，满足处方点评的要求。支持导出成excel文件；支持用户自定义设置样本导出方案，提供可选择的处方或医嘱点评样本导出字段。（0-3分）</w:t>
            </w:r>
          </w:p>
          <w:p>
            <w:pPr>
              <w:keepNext w:val="0"/>
              <w:keepLines w:val="0"/>
              <w:widowControl w:val="0"/>
              <w:numPr>
                <w:ilvl w:val="0"/>
                <w:numId w:val="8"/>
              </w:numPr>
              <w:suppressLineNumbers w:val="0"/>
              <w:spacing w:before="0" w:beforeAutospacing="0" w:after="0" w:afterAutospacing="0"/>
              <w:ind w:left="0" w:right="0"/>
              <w:jc w:val="both"/>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处方明细页面一体化展示患者信息、处方信息、检查检验信息、手术信息、电子病历信息及系统自动审查结果（0-3分）</w:t>
            </w:r>
          </w:p>
          <w:p>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支持一体化展示住院患者信息汇总，包括诊断、检查检验信息、手术信息、生命体征趋势图等（0-3分）</w:t>
            </w:r>
          </w:p>
          <w:p>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支持审方药师在审核医嘱时，支持人工输入审核意见及用药建议；支持药师自定义设置审核意见模板（0-3分）</w:t>
            </w:r>
          </w:p>
          <w:p>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抗菌药物专项表格 （7张）</w:t>
            </w:r>
          </w:p>
          <w:p>
            <w:pPr>
              <w:keepNext w:val="0"/>
              <w:keepLines w:val="0"/>
              <w:widowControl w:val="0"/>
              <w:suppressLineNumbers w:val="0"/>
              <w:spacing w:before="0" w:beforeAutospacing="0" w:after="0" w:afterAutospacing="0"/>
              <w:ind w:left="0" w:leftChars="0" w:right="0"/>
              <w:jc w:val="both"/>
              <w:rPr>
                <w:rFonts w:hint="eastAsia" w:ascii="仿宋" w:hAnsi="仿宋" w:eastAsia="仿宋" w:cs="仿宋"/>
                <w:kern w:val="2"/>
                <w:sz w:val="21"/>
                <w:szCs w:val="21"/>
                <w:highlight w:val="none"/>
                <w:lang w:val="en-US" w:eastAsia="zh-CN" w:bidi="ar"/>
              </w:rPr>
            </w:pPr>
            <w:r>
              <w:rPr>
                <w:rFonts w:hint="eastAsia" w:ascii="仿宋" w:hAnsi="仿宋" w:eastAsia="仿宋" w:cs="仿宋"/>
                <w:kern w:val="2"/>
                <w:sz w:val="21"/>
                <w:szCs w:val="21"/>
                <w:highlight w:val="none"/>
                <w:lang w:val="en-US" w:eastAsia="zh-CN" w:bidi="ar"/>
              </w:rPr>
              <w:t>门诊抗菌药物使用情况汇总、急诊抗菌药物使用情况汇总、住院抗菌药物使用情况汇总、住院抗菌药物送检情况分析、门诊抗菌药物使用分析、急诊抗菌药物使用分析、住院抗菌药物使用分析（0-3分）</w:t>
            </w:r>
          </w:p>
          <w:p>
            <w:pPr>
              <w:keepNext w:val="0"/>
              <w:keepLines w:val="0"/>
              <w:widowControl w:val="0"/>
              <w:suppressLineNumbers w:val="0"/>
              <w:spacing w:before="0" w:beforeAutospacing="0" w:after="0" w:afterAutospacing="0"/>
              <w:ind w:left="0" w:leftChars="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kern w:val="2"/>
                <w:sz w:val="21"/>
                <w:szCs w:val="21"/>
                <w:highlight w:val="none"/>
                <w:lang w:val="en-US" w:eastAsia="zh-CN" w:bidi="ar"/>
              </w:rPr>
              <w:t>注：投标人对以上内容进行演示视频录制，并刻录拷贝至U盘在投标截止时间前密封提交，可以邮寄或现场递交，地址：绍兴市越城区凤林文创园2号楼南面2楼2704-1室，联系人：许静丽；邮寄建议采用EMS或顺丰，邮件寄出后请及时联系代理机构工作人员并告知邮件单号，请寄件人在邮件外包装注明投标项目名称，投标人名称，被授权人姓名及联系电话, 邮寄以签收时间为准，逾期送达或未按照招标文件要求密封将予以拒收；现场递交的，应即交即走。</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jc w:val="center"/>
        </w:trPr>
        <w:tc>
          <w:tcPr>
            <w:tcW w:w="756"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292"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软件产品技术参数与功能指标</w:t>
            </w:r>
          </w:p>
        </w:tc>
        <w:tc>
          <w:tcPr>
            <w:tcW w:w="6510" w:type="dxa"/>
            <w:noWrap w:val="0"/>
            <w:vAlign w:val="center"/>
          </w:tcPr>
          <w:p>
            <w:pPr>
              <w:pStyle w:val="966"/>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技术规格指标全部符合得</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分。对标注“▲”性能指标及技术参数负偏或缺漏项的每项扣</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val="en-US" w:eastAsia="zh-CN"/>
              </w:rPr>
              <w:t>其余</w:t>
            </w:r>
            <w:r>
              <w:rPr>
                <w:rFonts w:hint="eastAsia" w:ascii="仿宋" w:hAnsi="仿宋" w:eastAsia="仿宋" w:cs="仿宋"/>
                <w:color w:val="auto"/>
                <w:sz w:val="21"/>
                <w:szCs w:val="21"/>
                <w:highlight w:val="none"/>
              </w:rPr>
              <w:t>非关键的性能指标及技术参数负偏或缺漏项的每项扣</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扣完为止</w:t>
            </w:r>
            <w:r>
              <w:rPr>
                <w:rFonts w:hint="eastAsia" w:ascii="仿宋" w:hAnsi="仿宋" w:eastAsia="仿宋" w:cs="仿宋"/>
                <w:color w:val="auto"/>
                <w:sz w:val="21"/>
                <w:szCs w:val="21"/>
                <w:highlight w:val="none"/>
                <w:lang w:eastAsia="zh-CN"/>
              </w:rPr>
              <w:t>。</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jc w:val="center"/>
        </w:trPr>
        <w:tc>
          <w:tcPr>
            <w:tcW w:w="756"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292"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数据接口承诺</w:t>
            </w:r>
          </w:p>
        </w:tc>
        <w:tc>
          <w:tcPr>
            <w:tcW w:w="6510" w:type="dxa"/>
            <w:noWrap w:val="0"/>
            <w:vAlign w:val="center"/>
          </w:tcPr>
          <w:p>
            <w:pPr>
              <w:pStyle w:val="966"/>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投标人承诺该项目所涉及的数据项、数据接口遵循相关标准和规范且无条件开放共享，所有源代码提供给采购人，得2分。承诺函格式自拟，不承诺不得分。</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3" w:hRule="atLeast"/>
          <w:jc w:val="center"/>
        </w:trPr>
        <w:tc>
          <w:tcPr>
            <w:tcW w:w="756" w:type="dxa"/>
            <w:vMerge w:val="restart"/>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292" w:type="dxa"/>
            <w:vMerge w:val="restart"/>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项目实施、培训、测试和验收</w:t>
            </w:r>
          </w:p>
        </w:tc>
        <w:tc>
          <w:tcPr>
            <w:tcW w:w="6510" w:type="dxa"/>
            <w:noWrap w:val="0"/>
            <w:vAlign w:val="center"/>
          </w:tcPr>
          <w:p>
            <w:pPr>
              <w:pStyle w:val="966"/>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项目实施方案，根据方案的完善性和科学性进行评审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0-2分。</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continue"/>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1292" w:type="dxa"/>
            <w:vMerge w:val="continue"/>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6510" w:type="dxa"/>
            <w:noWrap w:val="0"/>
            <w:vAlign w:val="center"/>
          </w:tcPr>
          <w:p>
            <w:pPr>
              <w:pStyle w:val="966"/>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培训方案，根据培训计划、内容、方式和人员安排等进行评审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0-2分。</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continue"/>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1292" w:type="dxa"/>
            <w:vMerge w:val="continue"/>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6510" w:type="dxa"/>
            <w:noWrap w:val="0"/>
            <w:vAlign w:val="center"/>
          </w:tcPr>
          <w:p>
            <w:pPr>
              <w:pStyle w:val="966"/>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对投标人提出的功能测试、试运行及验收方案的合理性、可行性情况等进行评审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0-2分。</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restart"/>
            <w:noWrap w:val="0"/>
            <w:vAlign w:val="center"/>
          </w:tcPr>
          <w:p>
            <w:pPr>
              <w:keepNext w:val="0"/>
              <w:keepLines w:val="0"/>
              <w:suppressLineNumbers w:val="0"/>
              <w:shd w:val="clear" w:color="auto" w:fill="FFFFFF"/>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292" w:type="dxa"/>
            <w:vMerge w:val="restart"/>
            <w:noWrap w:val="0"/>
            <w:vAlign w:val="center"/>
          </w:tcPr>
          <w:p>
            <w:pPr>
              <w:keepNext w:val="0"/>
              <w:keepLines w:val="0"/>
              <w:suppressLineNumbers w:val="0"/>
              <w:shd w:val="clear" w:color="auto" w:fill="FFFFFF"/>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质量保证措施和建设工期承诺</w:t>
            </w:r>
          </w:p>
        </w:tc>
        <w:tc>
          <w:tcPr>
            <w:tcW w:w="6510" w:type="dxa"/>
            <w:noWrap w:val="0"/>
            <w:vAlign w:val="center"/>
          </w:tcPr>
          <w:p>
            <w:pPr>
              <w:keepNext w:val="0"/>
              <w:keepLines w:val="0"/>
              <w:suppressLineNumbers w:val="0"/>
              <w:shd w:val="clear" w:color="auto" w:fill="FFFFFF"/>
              <w:spacing w:before="0" w:beforeAutospacing="0" w:after="0" w:afterAutospacing="0" w:line="240" w:lineRule="auto"/>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质量保证措施，根据投标人提供的质量保证目标、质量保证措施和体系实施内容进行评审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0-3分。</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continue"/>
            <w:noWrap w:val="0"/>
            <w:vAlign w:val="center"/>
          </w:tcPr>
          <w:p>
            <w:pPr>
              <w:keepNext w:val="0"/>
              <w:keepLines w:val="0"/>
              <w:suppressLineNumbers w:val="0"/>
              <w:shd w:val="clear" w:color="auto" w:fill="FFFFFF"/>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1292" w:type="dxa"/>
            <w:vMerge w:val="continue"/>
            <w:noWrap w:val="0"/>
            <w:vAlign w:val="center"/>
          </w:tcPr>
          <w:p>
            <w:pPr>
              <w:keepNext w:val="0"/>
              <w:keepLines w:val="0"/>
              <w:suppressLineNumbers w:val="0"/>
              <w:shd w:val="clear" w:color="auto" w:fill="FFFFFF"/>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6510" w:type="dxa"/>
            <w:noWrap w:val="0"/>
            <w:vAlign w:val="center"/>
          </w:tcPr>
          <w:p>
            <w:pPr>
              <w:keepNext w:val="0"/>
              <w:keepLines w:val="0"/>
              <w:suppressLineNumbers w:val="0"/>
              <w:shd w:val="clear" w:color="auto" w:fill="FFFFFF"/>
              <w:spacing w:before="0" w:beforeAutospacing="0" w:after="0" w:afterAutospacing="0" w:line="240" w:lineRule="auto"/>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根据投标人完成软件开发、安装调试、系统上线运行、验收，确保按时交付、正常运行的措施情况等情况进行评审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0-3分。</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restart"/>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292" w:type="dxa"/>
            <w:vMerge w:val="restart"/>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项目实施小组</w:t>
            </w:r>
          </w:p>
        </w:tc>
        <w:tc>
          <w:tcPr>
            <w:tcW w:w="6510" w:type="dxa"/>
            <w:noWrap w:val="0"/>
            <w:vAlign w:val="center"/>
          </w:tcPr>
          <w:p>
            <w:pPr>
              <w:keepNext w:val="0"/>
              <w:keepLines w:val="0"/>
              <w:suppressLineNumbers w:val="0"/>
              <w:shd w:val="clear" w:color="auto" w:fill="FFFFFF"/>
              <w:spacing w:before="0" w:beforeAutospacing="0" w:after="0" w:afterAutospacing="0" w:line="240" w:lineRule="auto"/>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项目实施小组成员中应</w:t>
            </w:r>
            <w:r>
              <w:rPr>
                <w:rFonts w:hint="eastAsia" w:ascii="仿宋" w:hAnsi="仿宋" w:eastAsia="仿宋" w:cs="仿宋"/>
                <w:color w:val="auto"/>
                <w:sz w:val="21"/>
                <w:szCs w:val="21"/>
                <w:highlight w:val="none"/>
              </w:rPr>
              <w:t>具有药学</w:t>
            </w:r>
            <w:r>
              <w:rPr>
                <w:rFonts w:hint="eastAsia" w:ascii="仿宋" w:hAnsi="仿宋" w:eastAsia="仿宋" w:cs="仿宋"/>
                <w:color w:val="auto"/>
                <w:sz w:val="21"/>
                <w:szCs w:val="21"/>
                <w:highlight w:val="none"/>
                <w:lang w:val="en-US" w:eastAsia="zh-CN"/>
              </w:rPr>
              <w:t>相关</w:t>
            </w:r>
            <w:r>
              <w:rPr>
                <w:rFonts w:hint="eastAsia" w:ascii="仿宋" w:hAnsi="仿宋" w:eastAsia="仿宋" w:cs="仿宋"/>
                <w:color w:val="auto"/>
                <w:sz w:val="21"/>
                <w:szCs w:val="21"/>
                <w:highlight w:val="none"/>
              </w:rPr>
              <w:t>专业背景，</w:t>
            </w:r>
            <w:r>
              <w:rPr>
                <w:rFonts w:hint="eastAsia" w:ascii="仿宋" w:hAnsi="仿宋" w:eastAsia="仿宋" w:cs="仿宋"/>
                <w:color w:val="auto"/>
                <w:sz w:val="21"/>
                <w:szCs w:val="21"/>
                <w:highlight w:val="none"/>
                <w:lang w:val="en-US" w:eastAsia="zh-CN"/>
              </w:rPr>
              <w:t>副主任药师</w:t>
            </w:r>
            <w:r>
              <w:rPr>
                <w:rFonts w:hint="eastAsia" w:ascii="仿宋" w:hAnsi="仿宋" w:eastAsia="仿宋" w:cs="仿宋"/>
                <w:color w:val="auto"/>
                <w:sz w:val="21"/>
                <w:szCs w:val="21"/>
                <w:highlight w:val="none"/>
              </w:rPr>
              <w:t>及以上职称</w:t>
            </w:r>
            <w:r>
              <w:rPr>
                <w:rFonts w:hint="eastAsia" w:ascii="仿宋" w:hAnsi="仿宋" w:eastAsia="仿宋" w:cs="仿宋"/>
                <w:color w:val="auto"/>
                <w:sz w:val="21"/>
                <w:szCs w:val="21"/>
                <w:highlight w:val="none"/>
                <w:lang w:val="en-US" w:eastAsia="zh-CN"/>
              </w:rPr>
              <w:t>人员至少一名</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备注：提供相应证书复印件及公司</w:t>
            </w:r>
            <w:bookmarkStart w:id="62" w:name="OLE_LINK1"/>
            <w:r>
              <w:rPr>
                <w:rFonts w:hint="eastAsia" w:ascii="仿宋" w:hAnsi="仿宋" w:eastAsia="仿宋" w:cs="仿宋"/>
                <w:color w:val="auto"/>
                <w:sz w:val="21"/>
                <w:szCs w:val="21"/>
                <w:highlight w:val="none"/>
                <w:lang w:val="en-US" w:eastAsia="zh-CN"/>
              </w:rPr>
              <w:t>近一个月</w:t>
            </w:r>
            <w:bookmarkEnd w:id="62"/>
            <w:r>
              <w:rPr>
                <w:rFonts w:hint="eastAsia" w:ascii="仿宋" w:hAnsi="仿宋" w:eastAsia="仿宋" w:cs="仿宋"/>
                <w:color w:val="auto"/>
                <w:sz w:val="21"/>
                <w:szCs w:val="21"/>
                <w:highlight w:val="none"/>
                <w:lang w:val="en-US" w:eastAsia="zh-CN"/>
              </w:rPr>
              <w:t>缴纳社保的证明文件或相应的缴纳公积金证明</w:t>
            </w:r>
            <w:r>
              <w:rPr>
                <w:rFonts w:hint="eastAsia" w:ascii="仿宋" w:hAnsi="仿宋" w:eastAsia="仿宋" w:cs="仿宋"/>
                <w:color w:val="auto"/>
                <w:sz w:val="21"/>
                <w:szCs w:val="21"/>
                <w:highlight w:val="none"/>
              </w:rPr>
              <w:t>。</w:t>
            </w:r>
          </w:p>
        </w:tc>
        <w:tc>
          <w:tcPr>
            <w:tcW w:w="813"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continue"/>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1292" w:type="dxa"/>
            <w:vMerge w:val="continue"/>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6510" w:type="dxa"/>
            <w:noWrap w:val="0"/>
            <w:vAlign w:val="center"/>
          </w:tcPr>
          <w:p>
            <w:pPr>
              <w:keepNext w:val="0"/>
              <w:keepLines w:val="0"/>
              <w:suppressLineNumbers w:val="0"/>
              <w:shd w:val="clear" w:color="auto" w:fill="FFFFFF"/>
              <w:spacing w:before="0" w:beforeAutospacing="0" w:after="0" w:afterAutospacing="0" w:line="240" w:lineRule="auto"/>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项目实施小组成员中应</w:t>
            </w:r>
            <w:r>
              <w:rPr>
                <w:rFonts w:hint="eastAsia" w:ascii="仿宋" w:hAnsi="仿宋" w:eastAsia="仿宋" w:cs="仿宋"/>
                <w:color w:val="auto"/>
                <w:sz w:val="21"/>
                <w:szCs w:val="21"/>
                <w:highlight w:val="none"/>
              </w:rPr>
              <w:t>具有药学</w:t>
            </w:r>
            <w:r>
              <w:rPr>
                <w:rFonts w:hint="eastAsia" w:ascii="仿宋" w:hAnsi="仿宋" w:eastAsia="仿宋" w:cs="仿宋"/>
                <w:color w:val="auto"/>
                <w:sz w:val="21"/>
                <w:szCs w:val="21"/>
                <w:highlight w:val="none"/>
                <w:lang w:val="en-US" w:eastAsia="zh-CN"/>
              </w:rPr>
              <w:t>相关</w:t>
            </w:r>
            <w:r>
              <w:rPr>
                <w:rFonts w:hint="eastAsia" w:ascii="仿宋" w:hAnsi="仿宋" w:eastAsia="仿宋" w:cs="仿宋"/>
                <w:color w:val="auto"/>
                <w:sz w:val="21"/>
                <w:szCs w:val="21"/>
                <w:highlight w:val="none"/>
              </w:rPr>
              <w:t>专业背景</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执业药师证书</w:t>
            </w:r>
            <w:r>
              <w:rPr>
                <w:rFonts w:hint="eastAsia" w:ascii="仿宋" w:hAnsi="仿宋" w:eastAsia="仿宋" w:cs="仿宋"/>
                <w:color w:val="auto"/>
                <w:sz w:val="21"/>
                <w:szCs w:val="21"/>
                <w:highlight w:val="none"/>
                <w:lang w:val="en-US" w:eastAsia="zh-CN"/>
              </w:rPr>
              <w:t>人员至少一名（不与前述人员重复）</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备注：提供相应证书复印件及公司近一个月缴纳社保的证明文件或相应的缴纳公积金证明</w:t>
            </w:r>
            <w:r>
              <w:rPr>
                <w:rFonts w:hint="eastAsia" w:ascii="仿宋" w:hAnsi="仿宋" w:eastAsia="仿宋" w:cs="仿宋"/>
                <w:color w:val="auto"/>
                <w:sz w:val="21"/>
                <w:szCs w:val="21"/>
                <w:highlight w:val="none"/>
              </w:rPr>
              <w:t>。</w:t>
            </w:r>
          </w:p>
        </w:tc>
        <w:tc>
          <w:tcPr>
            <w:tcW w:w="813"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vMerge w:val="continue"/>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1292" w:type="dxa"/>
            <w:vMerge w:val="continue"/>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p>
        </w:tc>
        <w:tc>
          <w:tcPr>
            <w:tcW w:w="6510" w:type="dxa"/>
            <w:noWrap w:val="0"/>
            <w:vAlign w:val="center"/>
          </w:tcPr>
          <w:p>
            <w:pPr>
              <w:pStyle w:val="96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项目实施小组成员中</w:t>
            </w:r>
            <w:bookmarkStart w:id="63" w:name="OLE_LINK10"/>
            <w:r>
              <w:rPr>
                <w:rFonts w:hint="eastAsia" w:ascii="仿宋" w:hAnsi="仿宋" w:eastAsia="仿宋" w:cs="仿宋"/>
                <w:color w:val="auto"/>
                <w:sz w:val="21"/>
                <w:szCs w:val="21"/>
                <w:highlight w:val="none"/>
              </w:rPr>
              <w:t>应具有</w:t>
            </w:r>
            <w:bookmarkEnd w:id="63"/>
            <w:r>
              <w:rPr>
                <w:rFonts w:hint="eastAsia" w:ascii="仿宋" w:hAnsi="仿宋" w:eastAsia="仿宋" w:cs="仿宋"/>
                <w:color w:val="auto"/>
                <w:sz w:val="21"/>
                <w:szCs w:val="21"/>
                <w:highlight w:val="none"/>
                <w:lang w:val="en-US" w:eastAsia="zh-CN"/>
              </w:rPr>
              <w:t>计算机信息相关专业背景，有软件开发工程师证书或数据库管理工程师证书的至少一名。备注：提供相应证书复印件及公司近一个月缴纳社保的证明文件或相应的缴纳公积金证明</w:t>
            </w:r>
            <w:r>
              <w:rPr>
                <w:rFonts w:hint="eastAsia" w:ascii="仿宋" w:hAnsi="仿宋" w:eastAsia="仿宋" w:cs="仿宋"/>
                <w:color w:val="auto"/>
                <w:sz w:val="21"/>
                <w:szCs w:val="21"/>
                <w:highlight w:val="none"/>
              </w:rPr>
              <w:t>。</w:t>
            </w:r>
          </w:p>
        </w:tc>
        <w:tc>
          <w:tcPr>
            <w:tcW w:w="813"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noWrap w:val="0"/>
            <w:vAlign w:val="center"/>
          </w:tcPr>
          <w:p>
            <w:pPr>
              <w:keepNext w:val="0"/>
              <w:keepLines w:val="0"/>
              <w:suppressLineNumbers w:val="0"/>
              <w:shd w:val="clear" w:color="auto" w:fill="FFFFFF"/>
              <w:spacing w:before="0" w:beforeAutospacing="0" w:after="0" w:afterAutospacing="0" w:line="240" w:lineRule="auto"/>
              <w:ind w:left="0" w:right="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8</w:t>
            </w:r>
          </w:p>
        </w:tc>
        <w:tc>
          <w:tcPr>
            <w:tcW w:w="1292" w:type="dxa"/>
            <w:noWrap w:val="0"/>
            <w:vAlign w:val="center"/>
          </w:tcPr>
          <w:p>
            <w:pPr>
              <w:keepNext w:val="0"/>
              <w:keepLines w:val="0"/>
              <w:suppressLineNumbers w:val="0"/>
              <w:shd w:val="clear" w:color="auto" w:fill="FFFFFF"/>
              <w:spacing w:before="0" w:beforeAutospacing="0" w:after="0" w:afterAutospacing="0" w:line="240" w:lineRule="auto"/>
              <w:ind w:left="0" w:right="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应急预案</w:t>
            </w:r>
          </w:p>
        </w:tc>
        <w:tc>
          <w:tcPr>
            <w:tcW w:w="6510" w:type="dxa"/>
            <w:noWrap w:val="0"/>
            <w:vAlign w:val="center"/>
          </w:tcPr>
          <w:p>
            <w:pPr>
              <w:keepNext w:val="0"/>
              <w:keepLines w:val="0"/>
              <w:suppressLineNumbers w:val="0"/>
              <w:shd w:val="clear" w:color="auto" w:fill="FFFFFF"/>
              <w:spacing w:before="0" w:beforeAutospacing="0" w:after="0" w:afterAutospacing="0" w:line="240" w:lineRule="auto"/>
              <w:ind w:left="0" w:right="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系统的应急方案设计是否合理，是否充分考虑用户实际使用需求，是否符合本项目对当前和未来发展的要求进行评审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0-2分。</w:t>
            </w:r>
          </w:p>
        </w:tc>
        <w:tc>
          <w:tcPr>
            <w:tcW w:w="813"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56" w:type="dxa"/>
            <w:noWrap w:val="0"/>
            <w:vAlign w:val="center"/>
          </w:tcPr>
          <w:p>
            <w:pPr>
              <w:keepNext w:val="0"/>
              <w:keepLines w:val="0"/>
              <w:suppressLineNumbers w:val="0"/>
              <w:shd w:val="clear" w:color="auto" w:fill="FFFFFF"/>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1292" w:type="dxa"/>
            <w:noWrap w:val="0"/>
            <w:vAlign w:val="center"/>
          </w:tcPr>
          <w:p>
            <w:pPr>
              <w:keepNext w:val="0"/>
              <w:keepLines w:val="0"/>
              <w:suppressLineNumbers w:val="0"/>
              <w:shd w:val="clear" w:color="auto" w:fill="FFFFFF"/>
              <w:spacing w:before="0" w:beforeAutospacing="0" w:after="0" w:afterAutospacing="0" w:line="24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w:t>
            </w:r>
          </w:p>
        </w:tc>
        <w:tc>
          <w:tcPr>
            <w:tcW w:w="6510" w:type="dxa"/>
            <w:noWrap w:val="0"/>
            <w:vAlign w:val="center"/>
          </w:tcPr>
          <w:p>
            <w:pPr>
              <w:keepNext w:val="0"/>
              <w:keepLines w:val="0"/>
              <w:suppressLineNumbers w:val="0"/>
              <w:shd w:val="clear" w:color="auto" w:fill="FFFFFF"/>
              <w:spacing w:before="0" w:beforeAutospacing="0" w:after="0" w:afterAutospacing="0" w:line="240" w:lineRule="auto"/>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投标人提供的售后维护机构和人员等情况，是否具有较强售后服务能力以及较强的专业技术队伍，能提供快速的售后服务响应，根据提供的方案进行评审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0-3分。</w:t>
            </w:r>
          </w:p>
        </w:tc>
        <w:tc>
          <w:tcPr>
            <w:tcW w:w="813" w:type="dxa"/>
            <w:noWrap w:val="0"/>
            <w:vAlign w:val="center"/>
          </w:tcPr>
          <w:p>
            <w:pPr>
              <w:pStyle w:val="966"/>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30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30</w:t>
      </w: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bookmarkEnd w:id="52"/>
    <w:bookmarkEnd w:id="53"/>
    <w:p>
      <w:pPr>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rPr>
          <w:rFonts w:hint="eastAsia"/>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4"/>
        <w:numPr>
          <w:ilvl w:val="0"/>
          <w:numId w:val="9"/>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pPr>
        <w:pStyle w:val="904"/>
        <w:numPr>
          <w:ilvl w:val="0"/>
          <w:numId w:val="9"/>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pPr>
        <w:pStyle w:val="904"/>
        <w:numPr>
          <w:ilvl w:val="0"/>
          <w:numId w:val="9"/>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pPr>
        <w:pStyle w:val="904"/>
        <w:numPr>
          <w:ilvl w:val="0"/>
          <w:numId w:val="9"/>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pPr>
        <w:pStyle w:val="904"/>
        <w:numPr>
          <w:ilvl w:val="0"/>
          <w:numId w:val="9"/>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pPr>
        <w:pStyle w:val="904"/>
        <w:numPr>
          <w:ilvl w:val="0"/>
          <w:numId w:val="9"/>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snapToGrid w:val="0"/>
        <w:spacing w:line="360" w:lineRule="auto"/>
        <w:jc w:val="center"/>
        <w:rPr>
          <w:rFonts w:hint="eastAsia" w:ascii="仿宋" w:hAnsi="仿宋" w:eastAsia="仿宋" w:cs="仿宋"/>
          <w:b/>
          <w:kern w:val="0"/>
          <w:sz w:val="32"/>
          <w:szCs w:val="32"/>
          <w:highlight w:val="none"/>
        </w:rPr>
      </w:pPr>
    </w:p>
    <w:p>
      <w:pPr>
        <w:snapToGrid w:val="0"/>
        <w:spacing w:line="360" w:lineRule="auto"/>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b/>
          <w:sz w:val="30"/>
          <w:szCs w:val="30"/>
          <w:highlight w:val="none"/>
          <w:lang w:eastAsia="zh-CN"/>
        </w:rPr>
      </w:pPr>
      <w:r>
        <w:rPr>
          <w:rFonts w:hint="eastAsia" w:ascii="仿宋" w:hAnsi="仿宋" w:eastAsia="仿宋" w:cs="仿宋"/>
          <w:b/>
          <w:sz w:val="30"/>
          <w:szCs w:val="30"/>
          <w:highlight w:val="none"/>
          <w:lang w:eastAsia="zh-CN"/>
        </w:rPr>
        <w:br w:type="page"/>
      </w:r>
    </w:p>
    <w:p>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hint="eastAsia" w:ascii="仿宋" w:hAnsi="仿宋" w:eastAsia="仿宋" w:cs="仿宋"/>
          <w:b/>
          <w:bCs/>
          <w:sz w:val="32"/>
          <w:szCs w:val="32"/>
          <w:highlight w:val="none"/>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rPr>
          <w:rFonts w:hint="eastAsia" w:ascii="仿宋_GB2312" w:hAnsi="仿宋_GB2312" w:eastAsia="仿宋_GB2312" w:cs="仿宋_GB2312"/>
          <w:b/>
          <w:sz w:val="32"/>
          <w:szCs w:val="32"/>
          <w:highlight w:val="none"/>
          <w:lang w:eastAsia="zh-CN"/>
        </w:rPr>
      </w:pPr>
      <w:r>
        <w:rPr>
          <w:rFonts w:hint="eastAsia" w:ascii="仿宋_GB2312" w:hAnsi="仿宋_GB2312" w:eastAsia="仿宋_GB2312" w:cs="仿宋_GB2312"/>
          <w:b/>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8"/>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pPr>
        <w:spacing w:line="336" w:lineRule="auto"/>
        <w:ind w:firstLine="3600" w:firstLineChars="1500"/>
        <w:rPr>
          <w:rFonts w:hint="eastAsia" w:ascii="仿宋" w:hAnsi="仿宋" w:eastAsia="仿宋" w:cs="仿宋"/>
          <w:sz w:val="24"/>
          <w:highlight w:val="none"/>
        </w:rPr>
      </w:pPr>
    </w:p>
    <w:p>
      <w:pPr>
        <w:pStyle w:val="80"/>
        <w:rPr>
          <w:rFonts w:hint="eastAsia"/>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sz w:val="24"/>
          <w:szCs w:val="20"/>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hint="eastAsia" w:ascii="仿宋_GB2312" w:hAnsi="仿宋_GB2312" w:eastAsia="仿宋_GB2312" w:cs="仿宋_GB2312"/>
          <w:kern w:val="0"/>
          <w:sz w:val="24"/>
          <w:highlight w:val="none"/>
          <w:lang w:val="zh-CN"/>
        </w:rPr>
      </w:pPr>
      <w:r>
        <w:rPr>
          <w:rFonts w:hint="eastAsia" w:ascii="仿宋" w:hAnsi="仿宋" w:eastAsia="仿宋" w:cs="仿宋"/>
          <w:sz w:val="24"/>
          <w:highlight w:val="none"/>
        </w:rPr>
        <w:t xml:space="preserve">     日期：  年   月   日</w:t>
      </w: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br w:type="page"/>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24"/>
          <w:highlight w:val="none"/>
        </w:rPr>
      </w:pPr>
    </w:p>
    <w:p>
      <w:pPr>
        <w:pStyle w:val="80"/>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rFonts w:hint="eastAsia"/>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p>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64" w:name="_Hlk101259491"/>
      <w:r>
        <w:rPr>
          <w:rFonts w:hint="eastAsia" w:ascii="仿宋" w:hAnsi="仿宋" w:eastAsia="仿宋" w:cs="仿宋"/>
          <w:color w:val="auto"/>
          <w:sz w:val="32"/>
          <w:szCs w:val="32"/>
          <w:highlight w:val="none"/>
        </w:rPr>
        <w:t>（如果有）</w:t>
      </w:r>
      <w:bookmarkEnd w:id="64"/>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highlight w:val="none"/>
        </w:rPr>
      </w:pPr>
    </w:p>
    <w:p>
      <w:pPr>
        <w:pStyle w:val="81"/>
        <w:rPr>
          <w:rFonts w:hint="eastAsia"/>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65" w:name="_Toc465665161"/>
      <w:r>
        <w:rPr>
          <w:rFonts w:hint="eastAsia" w:ascii="仿宋" w:hAnsi="仿宋" w:eastAsia="仿宋" w:cs="仿宋"/>
          <w:highlight w:val="none"/>
        </w:rPr>
        <w:t>附件</w:t>
      </w:r>
      <w:bookmarkEnd w:id="65"/>
    </w:p>
    <w:p>
      <w:pPr>
        <w:spacing w:line="360" w:lineRule="auto"/>
        <w:rPr>
          <w:rFonts w:hint="eastAsia" w:ascii="仿宋" w:hAnsi="仿宋" w:eastAsia="仿宋" w:cs="仿宋"/>
          <w:b/>
          <w:sz w:val="24"/>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rFonts w:hint="eastAsia"/>
          <w:highlight w:val="none"/>
        </w:rPr>
      </w:pP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hint="eastAsia" w:ascii="仿宋" w:hAnsi="仿宋" w:eastAsia="仿宋" w:cs="仿宋"/>
          <w:kern w:val="0"/>
          <w:sz w:val="24"/>
          <w:highlight w:val="none"/>
          <w:lang w:val="zh-CN"/>
        </w:rPr>
      </w:pPr>
      <w:bookmarkStart w:id="66"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66"/>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4"/>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67"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67"/>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highlight w:val="none"/>
        </w:rPr>
      </w:pPr>
    </w:p>
    <w:p>
      <w:pPr>
        <w:spacing w:line="360" w:lineRule="auto"/>
        <w:jc w:val="both"/>
        <w:rPr>
          <w:rFonts w:hint="eastAsia" w:ascii="仿宋" w:hAnsi="仿宋" w:eastAsia="仿宋" w:cs="仿宋"/>
          <w:b/>
          <w:spacing w:val="6"/>
          <w:sz w:val="32"/>
          <w:szCs w:val="32"/>
          <w:highlight w:val="none"/>
        </w:rPr>
      </w:pPr>
      <w:bookmarkStart w:id="68" w:name="OLE_LINK13"/>
      <w:bookmarkStart w:id="69" w:name="OLE_LINK14"/>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68"/>
    <w:bookmarkEnd w:id="69"/>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rFonts w:hint="eastAsia"/>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ascii="宋体" w:hAnsi="宋体" w:cs="宋体"/>
          <w:bCs/>
          <w:sz w:val="24"/>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70" w:name="_Toc164085800"/>
    <w:bookmarkStart w:id="71" w:name="_Toc91899912"/>
    <w:bookmarkStart w:id="72" w:name="_Toc131845147"/>
    <w:bookmarkStart w:id="73" w:name="_Toc36110187"/>
    <w:r>
      <w:rPr>
        <w:rFonts w:hint="eastAsia" w:ascii="仿宋_GB2312" w:eastAsia="仿宋_GB2312"/>
        <w:kern w:val="0"/>
        <w:szCs w:val="21"/>
      </w:rPr>
      <w:t xml:space="preserve"> 页</w:t>
    </w:r>
    <w:bookmarkEnd w:id="70"/>
    <w:bookmarkEnd w:id="71"/>
    <w:bookmarkEnd w:id="72"/>
    <w:bookmarkEnd w:id="7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SXHY-2024CG-0802 </w:t>
    </w:r>
  </w:p>
  <w:p>
    <w:pPr>
      <w:pStyle w:val="40"/>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eastAsia="仿宋"/>
        <w:lang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SXHY-2024CG-0802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eastAsia="仿宋"/>
        <w:lang w:val="en-US" w:eastAsia="zh-CN"/>
      </w:rPr>
    </w:pPr>
    <w:r>
      <w:rPr>
        <w:rFonts w:hint="eastAsia" w:eastAsia="仿宋"/>
        <w:lang w:val="en-US" w:eastAsia="zh-CN"/>
      </w:rPr>
      <w:t xml:space="preserve">绍兴衡业工程管理咨询有限公司                                            文件编号: SXHY-2024CG-0802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SXHY-2024CG-0802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 w:hAnsi="仿宋" w:eastAsia="仿宋" w:cs="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w:t>
    </w:r>
    <w:r>
      <w:rPr>
        <w:rFonts w:hint="eastAsia" w:eastAsia="仿宋"/>
        <w:lang w:val="en-US" w:eastAsia="zh-CN"/>
      </w:rPr>
      <w:t>SXHY-2024CG-0802</w:t>
    </w:r>
  </w:p>
  <w:p>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SXHY-2024CG-0802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ascii="仿宋_GB2312" w:eastAsia="仿宋_GB2312"/>
        <w:b/>
        <w:i/>
        <w:sz w:val="18"/>
        <w:u w:val="single"/>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SXHY-2024CG-0802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SXHY-2024CG-0802 </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SXHY-2024CG-0802 </w:t>
    </w:r>
  </w:p>
  <w:p>
    <w:pPr>
      <w:pStyle w:val="40"/>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0"/>
    <w:multiLevelType w:val="singleLevel"/>
    <w:tmpl w:val="00000000"/>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083863A8"/>
    <w:multiLevelType w:val="multilevel"/>
    <w:tmpl w:val="083863A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7A0F6431"/>
    <w:multiLevelType w:val="singleLevel"/>
    <w:tmpl w:val="7A0F6431"/>
    <w:lvl w:ilvl="0" w:tentative="0">
      <w:start w:val="1"/>
      <w:numFmt w:val="decimal"/>
      <w:suff w:val="space"/>
      <w:lvlText w:val="%1."/>
      <w:lvlJc w:val="left"/>
    </w:lvl>
  </w:abstractNum>
  <w:num w:numId="1">
    <w:abstractNumId w:val="9"/>
  </w:num>
  <w:num w:numId="2">
    <w:abstractNumId w:val="1"/>
  </w:num>
  <w:num w:numId="3">
    <w:abstractNumId w:val="5"/>
  </w:num>
  <w:num w:numId="4">
    <w:abstractNumId w:val="3"/>
  </w:num>
  <w:num w:numId="5">
    <w:abstractNumId w:val="2"/>
  </w:num>
  <w:num w:numId="6">
    <w:abstractNumId w:val="0"/>
  </w:num>
  <w:num w:numId="7">
    <w:abstractNumId w:val="4"/>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000000"/>
    <w:rsid w:val="033C726B"/>
    <w:rsid w:val="033E089E"/>
    <w:rsid w:val="03E65742"/>
    <w:rsid w:val="06530D39"/>
    <w:rsid w:val="06D74677"/>
    <w:rsid w:val="0983157E"/>
    <w:rsid w:val="0A7E2172"/>
    <w:rsid w:val="0B526BA9"/>
    <w:rsid w:val="0CDB6505"/>
    <w:rsid w:val="0E062686"/>
    <w:rsid w:val="0F37024A"/>
    <w:rsid w:val="0FA0239A"/>
    <w:rsid w:val="14127BE9"/>
    <w:rsid w:val="167C0399"/>
    <w:rsid w:val="168F36E8"/>
    <w:rsid w:val="169E17AF"/>
    <w:rsid w:val="189C1534"/>
    <w:rsid w:val="18C55116"/>
    <w:rsid w:val="18CC08C9"/>
    <w:rsid w:val="19231FC9"/>
    <w:rsid w:val="19A2795B"/>
    <w:rsid w:val="1B30618D"/>
    <w:rsid w:val="1B6B4856"/>
    <w:rsid w:val="1D213429"/>
    <w:rsid w:val="1EEF0745"/>
    <w:rsid w:val="1FA24FDA"/>
    <w:rsid w:val="206E7FAD"/>
    <w:rsid w:val="24BD6FD2"/>
    <w:rsid w:val="25ED4F2A"/>
    <w:rsid w:val="29AE039D"/>
    <w:rsid w:val="29B14753"/>
    <w:rsid w:val="2CDA6E57"/>
    <w:rsid w:val="309C6CF0"/>
    <w:rsid w:val="32E457F2"/>
    <w:rsid w:val="34CF7038"/>
    <w:rsid w:val="397F78A8"/>
    <w:rsid w:val="3BA46740"/>
    <w:rsid w:val="3E3E0860"/>
    <w:rsid w:val="3F326AC0"/>
    <w:rsid w:val="3FF5610C"/>
    <w:rsid w:val="42570214"/>
    <w:rsid w:val="44D337B1"/>
    <w:rsid w:val="48997943"/>
    <w:rsid w:val="49183287"/>
    <w:rsid w:val="49462D46"/>
    <w:rsid w:val="4B746B8B"/>
    <w:rsid w:val="4DE4148C"/>
    <w:rsid w:val="4E2D30EC"/>
    <w:rsid w:val="4F793642"/>
    <w:rsid w:val="4FAE554B"/>
    <w:rsid w:val="50C301CB"/>
    <w:rsid w:val="51493CCB"/>
    <w:rsid w:val="55410BF9"/>
    <w:rsid w:val="56D945EB"/>
    <w:rsid w:val="56E56820"/>
    <w:rsid w:val="572B7780"/>
    <w:rsid w:val="57DAE6E1"/>
    <w:rsid w:val="591C5ECF"/>
    <w:rsid w:val="5F665FB3"/>
    <w:rsid w:val="60BF6BE9"/>
    <w:rsid w:val="637C5083"/>
    <w:rsid w:val="642152E2"/>
    <w:rsid w:val="65077AE2"/>
    <w:rsid w:val="669C4DB0"/>
    <w:rsid w:val="67D13A63"/>
    <w:rsid w:val="6AEF1016"/>
    <w:rsid w:val="6D6E2993"/>
    <w:rsid w:val="6DA10A3F"/>
    <w:rsid w:val="6FBA36AB"/>
    <w:rsid w:val="729E74BD"/>
    <w:rsid w:val="72BA2D9D"/>
    <w:rsid w:val="74403953"/>
    <w:rsid w:val="748A0E80"/>
    <w:rsid w:val="74BD7C19"/>
    <w:rsid w:val="74EA1D5F"/>
    <w:rsid w:val="7A7C4022"/>
    <w:rsid w:val="7A8375C8"/>
    <w:rsid w:val="7A89014F"/>
    <w:rsid w:val="7E0B3D48"/>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1"/>
    <w:autoRedefine/>
    <w:qFormat/>
    <w:uiPriority w:val="0"/>
    <w:pPr>
      <w:ind w:left="100" w:leftChars="2500"/>
    </w:pPr>
    <w:rPr>
      <w:rFonts w:ascii="宋体"/>
      <w:sz w:val="24"/>
      <w:szCs w:val="21"/>
      <w:lang w:val="zh-CN"/>
    </w:rPr>
  </w:style>
  <w:style w:type="paragraph" w:styleId="36">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8"/>
    <w:autoRedefine/>
    <w:qFormat/>
    <w:uiPriority w:val="0"/>
    <w:rPr>
      <w:sz w:val="18"/>
      <w:szCs w:val="18"/>
    </w:rPr>
  </w:style>
  <w:style w:type="paragraph" w:styleId="39">
    <w:name w:val="footer"/>
    <w:basedOn w:val="1"/>
    <w:link w:val="382"/>
    <w:autoRedefine/>
    <w:qFormat/>
    <w:uiPriority w:val="99"/>
    <w:pPr>
      <w:tabs>
        <w:tab w:val="center" w:pos="4153"/>
        <w:tab w:val="right" w:pos="8306"/>
      </w:tabs>
      <w:snapToGrid w:val="0"/>
      <w:jc w:val="left"/>
    </w:pPr>
    <w:rPr>
      <w:sz w:val="18"/>
      <w:szCs w:val="18"/>
    </w:rPr>
  </w:style>
  <w:style w:type="paragraph" w:styleId="40">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2"/>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autoRedefine/>
    <w:qFormat/>
    <w:uiPriority w:val="0"/>
    <w:rPr>
      <w:b/>
      <w:bCs/>
    </w:rPr>
  </w:style>
  <w:style w:type="paragraph" w:styleId="60">
    <w:name w:val="Body Text First Indent"/>
    <w:basedOn w:val="23"/>
    <w:next w:val="1"/>
    <w:link w:val="320"/>
    <w:autoRedefine/>
    <w:qFormat/>
    <w:uiPriority w:val="0"/>
    <w:pPr>
      <w:ind w:firstLine="420"/>
    </w:pPr>
    <w:rPr>
      <w:rFonts w:hAnsi="Calibri" w:cs="Times New Roman"/>
      <w:snapToGrid/>
      <w:szCs w:val="20"/>
    </w:rPr>
  </w:style>
  <w:style w:type="paragraph" w:styleId="61">
    <w:name w:val="Body Text First Indent 2"/>
    <w:basedOn w:val="24"/>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59"/>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349d8ccd-87a8-4174-b318-483ee852d82b"/>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6"/>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4"/>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5"/>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0"/>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8"/>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2"/>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29"/>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6"/>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4"/>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8"/>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6"/>
    <w:autoRedefine/>
    <w:qFormat/>
    <w:uiPriority w:val="0"/>
    <w:rPr>
      <w:rFonts w:ascii="黑体" w:hAnsi="Courier New" w:eastAsia="黑体"/>
    </w:rPr>
  </w:style>
  <w:style w:type="character" w:customStyle="1" w:styleId="301">
    <w:name w:val="正文文本 2 Char1"/>
    <w:link w:val="55"/>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6"/>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49"/>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0"/>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0"/>
    <w:rPr>
      <w:kern w:val="2"/>
      <w:sz w:val="21"/>
      <w:szCs w:val="24"/>
    </w:rPr>
  </w:style>
  <w:style w:type="character" w:customStyle="1" w:styleId="344">
    <w:name w:val="签名 Char"/>
    <w:link w:val="41"/>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2"/>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39"/>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0"/>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2"/>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5"/>
    <w:next w:val="52"/>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7"/>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4">
    <w:name w:val="DAS正文"/>
    <w:basedOn w:val="1"/>
    <w:autoRedefine/>
    <w:qFormat/>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965">
    <w:name w:val="Body text|1"/>
    <w:basedOn w:val="1"/>
    <w:autoRedefine/>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966">
    <w:name w:val="_Style 2"/>
    <w:autoRedefine/>
    <w:qFormat/>
    <w:uiPriority w:val="34"/>
    <w:pPr>
      <w:adjustRightInd w:val="0"/>
      <w:snapToGrid w:val="0"/>
    </w:pPr>
    <w:rPr>
      <w:rFonts w:ascii="Tahoma" w:hAnsi="Tahoma" w:eastAsia="宋体" w:cs="Tahoma"/>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48388</Words>
  <Characters>51196</Characters>
  <Paragraphs>2030</Paragraphs>
  <TotalTime>16</TotalTime>
  <ScaleCrop>false</ScaleCrop>
  <LinksUpToDate>false</LinksUpToDate>
  <CharactersWithSpaces>59587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cp:lastModifiedBy>
  <cp:lastPrinted>2021-12-28T11:06:00Z</cp:lastPrinted>
  <dcterms:modified xsi:type="dcterms:W3CDTF">2024-09-09T08:33:43Z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2110687903F246AC845DD5FF74567090_13</vt:lpwstr>
  </property>
</Properties>
</file>