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 xml:space="preserve"> 绍兴市口腔医院数据库权限管控系统采购项目</w:t>
      </w:r>
    </w:p>
    <w:p>
      <w:pPr>
        <w:jc w:val="both"/>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SXHY-2024CG-0608</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079325215"/>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绍兴市口腔医院数据库权限管控系统采购项目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w:t>
      </w:r>
      <w:r>
        <w:rPr>
          <w:rFonts w:hint="eastAsia" w:ascii="宋体" w:hAnsi="宋体" w:cs="宋体"/>
          <w:sz w:val="24"/>
          <w:szCs w:val="24"/>
          <w:highlight w:val="none"/>
          <w:lang w:eastAsia="zh-CN"/>
        </w:rPr>
        <w:t>SXHY-2024CG-0608</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 xml:space="preserve"> 绍兴市口腔医院数据库权限管控系统采购项目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260000.00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260000.00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 xml:space="preserve"> 绍兴市口腔医院数据库权限管控系统采购项目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预算金额：260000.00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eastAsia="zh-CN"/>
        </w:rPr>
        <w:t>数据库权限管控系统</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是，</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仿宋" w:eastAsia="仿宋_GB2312" w:cs="Arial"/>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sz w:val="24"/>
              <w:szCs w:val="24"/>
              <w:highlight w:val="none"/>
              <w:lang w:eastAsia="zh-CN"/>
            </w:rPr>
            <w:t>□</w:t>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806"/>
      <w:bookmarkStart w:id="13" w:name="_Toc2835909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绍兴市越城区延安东路399号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王佳南</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：0575-88551156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单浩涵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0575-88551156</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97"/>
      <w:bookmarkStart w:id="16" w:name="_Toc35393807"/>
      <w:bookmarkStart w:id="17" w:name="_Toc35393638"/>
      <w:bookmarkStart w:id="18" w:name="_Toc28359020"/>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绍兴衡业工程管理咨询有限公司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绍兴市越城区凤林文创园2号楼南面2楼</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许静丽、沈潮颖</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15068509660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孟琴波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15988282224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35393808"/>
      <w:bookmarkStart w:id="21" w:name="_Toc2835909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 xml:space="preserve">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w:t>
            </w:r>
            <w:r>
              <w:rPr>
                <w:rFonts w:hint="eastAsia" w:ascii="仿宋" w:hAnsi="仿宋" w:eastAsia="仿宋" w:cs="仿宋"/>
                <w:sz w:val="24"/>
                <w:highlight w:val="none"/>
                <w:lang w:val="en-US" w:eastAsia="zh-CN"/>
              </w:rPr>
              <w:t>若投标人</w:t>
            </w:r>
            <w:r>
              <w:rPr>
                <w:rFonts w:hint="eastAsia" w:ascii="仿宋" w:hAnsi="仿宋" w:eastAsia="仿宋" w:cs="仿宋"/>
                <w:sz w:val="24"/>
                <w:highlight w:val="none"/>
              </w:rPr>
              <w:t>在评标时</w:t>
            </w:r>
            <w:r>
              <w:rPr>
                <w:rFonts w:hint="eastAsia" w:ascii="仿宋" w:hAnsi="仿宋" w:eastAsia="仿宋" w:cs="仿宋"/>
                <w:sz w:val="24"/>
                <w:highlight w:val="none"/>
                <w:lang w:val="en-US" w:eastAsia="zh-CN"/>
              </w:rPr>
              <w:t>有需求</w:t>
            </w:r>
            <w:r>
              <w:rPr>
                <w:rFonts w:hint="eastAsia" w:ascii="仿宋" w:hAnsi="仿宋" w:eastAsia="仿宋" w:cs="仿宋"/>
                <w:sz w:val="24"/>
                <w:highlight w:val="none"/>
              </w:rPr>
              <w:t>进行现场</w:t>
            </w:r>
            <w:r>
              <w:rPr>
                <w:rFonts w:hint="eastAsia" w:ascii="仿宋" w:hAnsi="仿宋" w:eastAsia="仿宋" w:cs="仿宋"/>
                <w:sz w:val="24"/>
                <w:highlight w:val="none"/>
                <w:lang w:val="en-US" w:eastAsia="zh-CN"/>
              </w:rPr>
              <w:t>讲解方案</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可</w:t>
            </w:r>
            <w:r>
              <w:rPr>
                <w:rFonts w:hint="eastAsia" w:ascii="仿宋" w:hAnsi="仿宋" w:eastAsia="仿宋" w:cs="仿宋"/>
                <w:sz w:val="24"/>
                <w:highlight w:val="none"/>
              </w:rPr>
              <w:t>以PPT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动画或直接口述</w:t>
            </w:r>
            <w:r>
              <w:rPr>
                <w:rFonts w:hint="eastAsia" w:ascii="仿宋" w:hAnsi="仿宋" w:eastAsia="仿宋" w:cs="仿宋"/>
                <w:sz w:val="24"/>
                <w:highlight w:val="none"/>
              </w:rPr>
              <w:t>等</w:t>
            </w:r>
            <w:r>
              <w:rPr>
                <w:rFonts w:hint="eastAsia" w:ascii="仿宋" w:hAnsi="仿宋" w:eastAsia="仿宋" w:cs="仿宋"/>
                <w:sz w:val="24"/>
                <w:highlight w:val="none"/>
                <w:lang w:val="en-US" w:eastAsia="zh-CN"/>
              </w:rPr>
              <w:t>形式讲解</w:t>
            </w:r>
            <w:r>
              <w:rPr>
                <w:rFonts w:hint="eastAsia" w:ascii="仿宋" w:hAnsi="仿宋" w:eastAsia="仿宋" w:cs="仿宋"/>
                <w:sz w:val="24"/>
                <w:highlight w:val="none"/>
              </w:rPr>
              <w:t>。</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en-US" w:eastAsia="zh-CN"/>
              </w:rPr>
              <w:t>/</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w:t>
            </w:r>
            <w:r>
              <w:rPr>
                <w:rFonts w:hint="eastAsia" w:ascii="仿宋" w:hAnsi="仿宋" w:eastAsia="仿宋" w:cs="仿宋"/>
                <w:sz w:val="24"/>
                <w:szCs w:val="24"/>
                <w:highlight w:val="none"/>
                <w:lang w:val="en-US" w:eastAsia="zh-CN"/>
              </w:rPr>
              <w:t>予</w:t>
            </w:r>
            <w:r>
              <w:rPr>
                <w:rFonts w:hint="eastAsia" w:ascii="仿宋" w:hAnsi="仿宋" w:eastAsia="仿宋" w:cs="仿宋"/>
                <w:sz w:val="24"/>
                <w:szCs w:val="24"/>
                <w:highlight w:val="none"/>
                <w:lang w:val="zh-CN"/>
              </w:rPr>
              <w:t>讲解演示，</w:t>
            </w:r>
            <w:r>
              <w:rPr>
                <w:rFonts w:hint="eastAsia" w:ascii="仿宋" w:hAnsi="仿宋" w:eastAsia="仿宋" w:cs="仿宋"/>
                <w:sz w:val="24"/>
                <w:szCs w:val="24"/>
                <w:highlight w:val="none"/>
                <w:lang w:val="en-US" w:eastAsia="zh-CN"/>
              </w:rPr>
              <w:t>讲解演示时间每个单位不超过10分钟（含设备调试等）</w:t>
            </w:r>
            <w:r>
              <w:rPr>
                <w:rFonts w:hint="eastAsia" w:ascii="仿宋" w:hAnsi="仿宋" w:eastAsia="仿宋" w:cs="仿宋"/>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宋体"/>
                <w:sz w:val="24"/>
                <w:highlight w:val="none"/>
                <w:u w:val="single"/>
                <w:lang w:val="en-US" w:eastAsia="zh-CN"/>
              </w:rPr>
              <w:t>数据库权限管控系统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1.以中标通知中确定的中标总金额作为服务费的计算基数，具体比例参照《国家计委关于印发&lt;招标代理服务收费管理暂行办法&gt;的通知》（计价格[2002]1980号）文件规定的收费基准价格</w:t>
            </w:r>
            <w:r>
              <w:rPr>
                <w:rFonts w:hint="eastAsia" w:ascii="仿宋" w:hAnsi="仿宋" w:eastAsia="仿宋" w:cs="仿宋"/>
                <w:color w:val="000000" w:themeColor="text1"/>
                <w:sz w:val="24"/>
                <w:highlight w:val="none"/>
                <w:lang w:val="en-US" w:eastAsia="zh-CN"/>
                <w14:textFill>
                  <w14:solidFill>
                    <w14:schemeClr w14:val="tx1"/>
                  </w14:solidFill>
                </w14:textFill>
              </w:rPr>
              <w:t>的50%</w:t>
            </w:r>
            <w:r>
              <w:rPr>
                <w:rFonts w:hint="eastAsia" w:ascii="仿宋" w:hAnsi="仿宋" w:eastAsia="仿宋" w:cs="仿宋"/>
                <w:color w:val="000000" w:themeColor="text1"/>
                <w:sz w:val="24"/>
                <w:highlight w:val="none"/>
                <w14:textFill>
                  <w14:solidFill>
                    <w14:schemeClr w14:val="tx1"/>
                  </w14:solidFill>
                </w14:textFill>
              </w:rPr>
              <w:t>执行</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sz w:val="24"/>
              </w:rPr>
              <w:t>代理服务费低于2500元可按2500元收取，超过15000元按15000元计。</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rPr>
          <w:rFonts w:hint="eastAsia" w:ascii="仿宋" w:hAnsi="仿宋" w:eastAsia="仿宋" w:cs="仿宋"/>
          <w:b/>
          <w:sz w:val="32"/>
          <w:szCs w:val="32"/>
          <w:highlight w:val="none"/>
        </w:rPr>
      </w:pPr>
      <w:bookmarkStart w:id="23" w:name="_Hlt68072998"/>
      <w:bookmarkEnd w:id="23"/>
      <w:bookmarkStart w:id="24" w:name="_Hlt68403820"/>
      <w:bookmarkEnd w:id="24"/>
      <w:bookmarkStart w:id="25" w:name="_Hlt75236101"/>
      <w:bookmarkEnd w:id="25"/>
      <w:bookmarkStart w:id="26" w:name="_Hlt68057669"/>
      <w:bookmarkEnd w:id="26"/>
      <w:bookmarkStart w:id="27" w:name="_Hlt68072990"/>
      <w:bookmarkEnd w:id="27"/>
      <w:bookmarkStart w:id="28" w:name="_Hlt74729768"/>
      <w:bookmarkEnd w:id="28"/>
      <w:bookmarkStart w:id="29" w:name="_Hlt75236290"/>
      <w:bookmarkEnd w:id="29"/>
      <w:bookmarkStart w:id="30" w:name="_Hlt74707468"/>
      <w:bookmarkEnd w:id="30"/>
      <w:bookmarkStart w:id="31" w:name="_Hlt74730295"/>
      <w:bookmarkEnd w:id="31"/>
      <w:bookmarkStart w:id="32" w:name="_Hlt75236011"/>
      <w:bookmarkEnd w:id="32"/>
      <w:bookmarkStart w:id="33" w:name="_Hlt74714665"/>
      <w:bookmarkEnd w:id="33"/>
      <w:bookmarkStart w:id="34" w:name="_Hlt68073093"/>
      <w:bookmarkEnd w:id="34"/>
      <w:bookmarkStart w:id="35" w:name="_Toc164416483"/>
      <w:bookmarkStart w:id="36" w:name="第三部分"/>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highlight w:val="none"/>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1"/>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7"/>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8" w:name="_Toc81372953"/>
      <w:bookmarkStart w:id="39" w:name="_Toc81372776"/>
      <w:bookmarkStart w:id="40" w:name="_Toc84325929"/>
      <w:r>
        <w:rPr>
          <w:rFonts w:hint="eastAsia" w:ascii="仿宋" w:hAnsi="仿宋" w:eastAsia="仿宋" w:cs="仿宋"/>
          <w:b/>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无。</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1" w:name="_Toc86217003"/>
      <w:bookmarkStart w:id="42" w:name="第五部分"/>
      <w:r>
        <w:rPr>
          <w:rFonts w:hint="eastAsia" w:ascii="仿宋" w:hAnsi="仿宋" w:eastAsia="仿宋" w:cs="仿宋"/>
          <w:b/>
          <w:sz w:val="36"/>
          <w:szCs w:val="36"/>
          <w:highlight w:val="none"/>
        </w:rPr>
        <w:t>第三部分   招标项目范围及要求</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sz w:val="24"/>
          <w:highlight w:val="none"/>
        </w:rPr>
      </w:pPr>
      <w:bookmarkStart w:id="43" w:name="_Toc151354173"/>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1.设备（材料）要求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1.1投标响应人投标提供的设备必须是厂商原装的、全新的，型号、性能及指标符合国家及招标文件提出的有关技术、质量、安全标准。</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1.2所有设备在开箱检验时必须完好，无破损，配置与装箱单相符。数量、质量及性能不低于本需求书中提出的要求。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1.3设备外观清洁，标记编号以及盘面显示等字体清晰，明确。铭牌、使用指示、警告指示应以中文或英文及易懂的通用符号来表示；应准确无误地表明设备之型号、规格、制造厂及生产或出厂日期。</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1.4对于影响设备正常工作的必要组成部分，无论在技术规范中指出与否，投标响应人都应提供并在投标响应文件中明确列出。</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1.5所有货物提供出厂合格证等质量证明文件，国外生产的必须有合法的进货渠道证明，如海关报关单、原产地证明、商检证明等。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1.6所有货物到现场安装使用前，招标人将进行抽样检验或试验。</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2.数量调整</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招标人保留在签约时调整部分方案及定购设备数量和服务的权力，投标响应人应对系统方案中设备和服务明细报价，按投标单价不变的前提下进行调整，双方不得拒绝。</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如遇本次招标没有涉及的设备或服务时，由中标人提供申请，招标人确认后实施。</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3.安装及调试、验收</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中标人应派经招标人认可的有经验和能力、具有相应资质的技术人员，负责系统设备安装工作，在设备安装期间应充分了解设备安装进度要求，解决安装中出现的技术问题。</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3.1中标人负责设备的安装、调试。</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3.2调试所需专用工具设施物料由中标人自备、自费运到现场，完工后自费搬走。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3.3安装完成后，进行调试、验收按国家有关规范标准（国家无验收规范标准的按双方合同规定的要求）进行。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3.4设备的拆箱、通电、调试等各项工作由中标人负责，但必须在招标人指定人员的参与下进行。在实际实施前必须先经招标人同意方可进行。调试的原始记录须经各方签字后作为验收的文件之一。</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3.5所有的招标设备应按照国家有关技术标准在制造厂检查和试验合格，以表明其运行性能、安全性能以及设备材料和结构在电气、机械上的完整性。</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4.技术培训</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4.1中标人须对招标人的技术人员培训。投标响应人须在投标响应文件中提供详细的培训计划，包括培训内容、培训时间、培训费用等。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4.2中标人提供的负责培训的人员应具备同类设备五年以上的经验。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4.3技术培训费用应包含在投标总价中。    </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4.4技术培训至少应包括下列内容：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4.4.1原理、构成和功能的描述。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4.4.2常见故障的处理或排除。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4.4.3各系统部件（设备）的检查、调整和维护。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4.4.4对使用者关于设备基本操作技能的培训。</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5.售后服务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5.1投标响应人须提供经调试、试运行、验收合格后至少3年的质保期(投标响应人可根据自身实力作出更长时间的质保承诺)。在此期间，投标响应人应免费处理因质量发生的故障，并进行正常保养。</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6. 服务要求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6.1设备包修期内（各标项内已有要求的除外），如出现故障，中标人在接到电话6小时内到达采购人指定地点，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 中标人提供的设备，必须符合招标文件及其投标响应文件规定的要求，如有不符，采购人可以无条件退货，造成的损失由中标人承担。</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7. 项目实施人员费用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中标人应自行承担选派专业人员的住宿、就餐和交通等费用。</w:t>
      </w:r>
    </w:p>
    <w:p>
      <w:pPr>
        <w:adjustRightInd w:val="0"/>
        <w:spacing w:line="336" w:lineRule="auto"/>
        <w:jc w:val="both"/>
        <w:rPr>
          <w:rFonts w:hint="default"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8.招标项目设备（或服务）名称及数量：</w:t>
      </w:r>
    </w:p>
    <w:bookmarkEnd w:id="43"/>
    <w:p>
      <w:pPr>
        <w:spacing w:line="440" w:lineRule="exact"/>
        <w:rPr>
          <w:rFonts w:ascii="宋体" w:hAnsi="宋体"/>
          <w:b/>
          <w:sz w:val="24"/>
          <w:highlight w:val="none"/>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绍兴市口腔医院数据库权限管控系统采购项目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260000.00</w:t>
      </w:r>
      <w:r>
        <w:rPr>
          <w:rFonts w:hint="eastAsia" w:ascii="仿宋" w:hAnsi="仿宋" w:eastAsia="仿宋" w:cs="Arial"/>
          <w:b/>
          <w:bCs/>
          <w:color w:val="000000" w:themeColor="text1"/>
          <w:sz w:val="24"/>
          <w:highlight w:val="none"/>
          <w14:textFill>
            <w14:solidFill>
              <w14:schemeClr w14:val="tx1"/>
            </w14:solidFill>
          </w14:textFill>
        </w:rPr>
        <w:t>元</w:t>
      </w:r>
    </w:p>
    <w:tbl>
      <w:tblPr>
        <w:tblStyle w:val="63"/>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1420" w:type="dxa"/>
            <w:vAlign w:val="top"/>
          </w:tcPr>
          <w:p>
            <w:pPr>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指标项</w:t>
            </w:r>
          </w:p>
        </w:tc>
        <w:tc>
          <w:tcPr>
            <w:tcW w:w="7088" w:type="dxa"/>
            <w:vAlign w:val="top"/>
          </w:tcPr>
          <w:p>
            <w:pPr>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配置</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支持不少于6个数据库实例授权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性能指标</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至少支持最大在线会话数1000个;最少支持最大运维SQL吞吐量在1000条/秒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硬件规格</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2U机架式设备:双电源,至少具备6个电口,至少具备2个扩展槽位,至少具备2个万兆光口（含光模块），至少具备32G内存,至少具备2T存储空间。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数据库支持</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支持主流商用数据库</w:t>
            </w:r>
            <w:r>
              <w:rPr>
                <w:rFonts w:hint="eastAsia" w:ascii="仿宋" w:hAnsi="仿宋" w:eastAsia="仿宋" w:cs="仿宋"/>
                <w:color w:val="000000" w:themeColor="text1"/>
                <w:kern w:val="0"/>
                <w:sz w:val="24"/>
                <w:szCs w:val="24"/>
                <w:lang w:val="en-US" w:eastAsia="zh-CN"/>
                <w14:textFill>
                  <w14:solidFill>
                    <w14:schemeClr w14:val="tx1"/>
                  </w14:solidFill>
                </w14:textFill>
              </w:rPr>
              <w:t>包含但不限于</w:t>
            </w:r>
            <w:r>
              <w:rPr>
                <w:rFonts w:hint="eastAsia" w:ascii="仿宋" w:hAnsi="仿宋" w:eastAsia="仿宋" w:cs="仿宋"/>
                <w:color w:val="000000" w:themeColor="text1"/>
                <w:kern w:val="0"/>
                <w:sz w:val="24"/>
                <w:szCs w:val="24"/>
                <w14:textFill>
                  <w14:solidFill>
                    <w14:schemeClr w14:val="tx1"/>
                  </w14:solidFill>
                </w14:textFill>
              </w:rPr>
              <w:t>：ORACLE、SQL SERVER、HANA、Informix、Sybase、Cache、OceanBase、TIDB、MySQL、Mariadb</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为满足未来国产化转型需求，需要该系统支持国产化系统、硬件、数据库等，包含但不限于主流国产化系统、硬件、数据库等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部署模式</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支持多种部署方式，包括但不限于反向代理、透明代理、透明代理NAT、路由网关部署。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数据智能发现</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具备敏感数据探测能力，自动发现SCHEMA</w:t>
            </w:r>
            <w:bookmarkStart w:id="44" w:name="_Hlk118541362"/>
            <w:r>
              <w:rPr>
                <w:rFonts w:hint="eastAsia" w:ascii="仿宋" w:hAnsi="仿宋" w:eastAsia="仿宋" w:cs="仿宋"/>
                <w:color w:val="000000" w:themeColor="text1"/>
                <w:kern w:val="0"/>
                <w:sz w:val="24"/>
                <w:szCs w:val="24"/>
                <w14:textFill>
                  <w14:solidFill>
                    <w14:schemeClr w14:val="tx1"/>
                  </w14:solidFill>
                </w14:textFill>
              </w:rPr>
              <w:t>（包括未知SCHEMA）</w:t>
            </w:r>
            <w:bookmarkEnd w:id="44"/>
            <w:r>
              <w:rPr>
                <w:rFonts w:hint="eastAsia" w:ascii="仿宋" w:hAnsi="仿宋" w:eastAsia="仿宋" w:cs="仿宋"/>
                <w:color w:val="000000" w:themeColor="text1"/>
                <w:kern w:val="0"/>
                <w:sz w:val="24"/>
                <w:szCs w:val="24"/>
                <w14:textFill>
                  <w14:solidFill>
                    <w14:schemeClr w14:val="tx1"/>
                  </w14:solidFill>
                </w14:textFill>
              </w:rPr>
              <w:t>、表、列中的敏感资产，系统内置的敏感数据类型包括以下信息类型：</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个人敏感信息</w:t>
            </w:r>
            <w:r>
              <w:rPr>
                <w:rFonts w:hint="eastAsia" w:ascii="仿宋" w:hAnsi="仿宋" w:eastAsia="仿宋" w:cs="仿宋"/>
                <w:color w:val="000000" w:themeColor="text1"/>
                <w:kern w:val="0"/>
                <w:sz w:val="24"/>
                <w:szCs w:val="24"/>
                <w:lang w:val="en-US" w:eastAsia="zh-CN"/>
                <w14:textFill>
                  <w14:solidFill>
                    <w14:schemeClr w14:val="tx1"/>
                  </w14:solidFill>
                </w14:textFill>
              </w:rPr>
              <w:t>包含但不限于</w:t>
            </w:r>
            <w:r>
              <w:rPr>
                <w:rFonts w:hint="eastAsia" w:ascii="仿宋" w:hAnsi="仿宋" w:eastAsia="仿宋" w:cs="仿宋"/>
                <w:color w:val="000000" w:themeColor="text1"/>
                <w:kern w:val="0"/>
                <w:sz w:val="24"/>
                <w:szCs w:val="24"/>
                <w14:textFill>
                  <w14:solidFill>
                    <w14:schemeClr w14:val="tx1"/>
                  </w14:solidFill>
                </w14:textFill>
              </w:rPr>
              <w:t>：中文姓名、身份证、银行卡、医师资格证书、医师执业证书、护照、港澳通行证、永久居住证等信息；</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机构敏感信息</w:t>
            </w:r>
            <w:r>
              <w:rPr>
                <w:rFonts w:hint="eastAsia" w:ascii="仿宋" w:hAnsi="仿宋" w:eastAsia="仿宋" w:cs="仿宋"/>
                <w:color w:val="000000" w:themeColor="text1"/>
                <w:kern w:val="0"/>
                <w:sz w:val="24"/>
                <w:szCs w:val="24"/>
                <w:lang w:val="en-US" w:eastAsia="zh-CN"/>
                <w14:textFill>
                  <w14:solidFill>
                    <w14:schemeClr w14:val="tx1"/>
                  </w14:solidFill>
                </w14:textFill>
              </w:rPr>
              <w:t>包含但不限于</w:t>
            </w:r>
            <w:r>
              <w:rPr>
                <w:rFonts w:hint="eastAsia" w:ascii="仿宋" w:hAnsi="仿宋" w:eastAsia="仿宋" w:cs="仿宋"/>
                <w:color w:val="000000" w:themeColor="text1"/>
                <w:kern w:val="0"/>
                <w:sz w:val="24"/>
                <w:szCs w:val="24"/>
                <w14:textFill>
                  <w14:solidFill>
                    <w14:schemeClr w14:val="tx1"/>
                  </w14:solidFill>
                </w14:textFill>
              </w:rPr>
              <w:t>：组织机构代码、组织机构名称、医疗机构登记号、营业执照、社会统一信用代码、税务登记证等信息；</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其它基础信息</w:t>
            </w:r>
            <w:r>
              <w:rPr>
                <w:rFonts w:hint="eastAsia" w:ascii="仿宋" w:hAnsi="仿宋" w:eastAsia="仿宋" w:cs="仿宋"/>
                <w:color w:val="000000" w:themeColor="text1"/>
                <w:kern w:val="0"/>
                <w:sz w:val="24"/>
                <w:szCs w:val="24"/>
                <w:lang w:val="en-US" w:eastAsia="zh-CN"/>
                <w14:textFill>
                  <w14:solidFill>
                    <w14:schemeClr w14:val="tx1"/>
                  </w14:solidFill>
                </w14:textFill>
              </w:rPr>
              <w:t>包含但不限于</w:t>
            </w:r>
            <w:r>
              <w:rPr>
                <w:rFonts w:hint="eastAsia" w:ascii="仿宋" w:hAnsi="仿宋" w:eastAsia="仿宋" w:cs="仿宋"/>
                <w:color w:val="000000" w:themeColor="text1"/>
                <w:kern w:val="0"/>
                <w:sz w:val="24"/>
                <w:szCs w:val="24"/>
                <w14:textFill>
                  <w14:solidFill>
                    <w14:schemeClr w14:val="tx1"/>
                  </w14:solidFill>
                </w14:textFill>
              </w:rPr>
              <w:t>：电话、电子邮箱、地址、IP地址等。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20" w:type="dxa"/>
            <w:vMerge w:val="restart"/>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身份准入</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支持身份的多因素认证，包括但不限于应用程序名、IP地址、数据库用户、数字证书、身份敏感标签、时间、身份类别、有效时间、应用用户名、终端IP等因素的任意组合。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420" w:type="dxa"/>
            <w:vMerge w:val="continue"/>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支持为敏感数据管理人员身份分发唯一的数字证书，每张数字证书只能载入一个唯一的U盾，实现在数据库用户密码被泄露的情形下，仍能阻止非法用户登陆目标数据库。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直连数据库</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支持在反向代理模式下，在数据库服务器上安装安全代理插件，对通过SQL管理工具或本地等直连数据库的违规连接行为进行准入控制，防止非法人员绕过安全系统，违规对数据库进行访问。</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▲支持通过应用（包括业务应用，数据库运维工具等）的指纹信息识别是否为真实应用，针对假冒应用访问数据库，进行拦截阻断或告警。（提供软件功能截图）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20" w:type="dxa"/>
            <w:vMerge w:val="restart"/>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安全登陆</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▲支持数据库运维工具免密登陆功能，数据库管理人员</w:t>
            </w:r>
            <w:r>
              <w:rPr>
                <w:rFonts w:hint="eastAsia" w:ascii="仿宋" w:hAnsi="仿宋" w:eastAsia="仿宋" w:cs="仿宋"/>
                <w:color w:val="000000" w:themeColor="text1"/>
                <w:kern w:val="0"/>
                <w:sz w:val="24"/>
                <w:szCs w:val="24"/>
                <w:lang w:val="en-US" w:eastAsia="zh-CN"/>
                <w14:textFill>
                  <w14:solidFill>
                    <w14:schemeClr w14:val="tx1"/>
                  </w14:solidFill>
                </w14:textFill>
              </w:rPr>
              <w:t>可</w:t>
            </w:r>
            <w:r>
              <w:rPr>
                <w:rFonts w:hint="eastAsia" w:ascii="仿宋" w:hAnsi="仿宋" w:eastAsia="仿宋" w:cs="仿宋"/>
                <w:color w:val="000000" w:themeColor="text1"/>
                <w:kern w:val="0"/>
                <w:sz w:val="24"/>
                <w:szCs w:val="24"/>
                <w14:textFill>
                  <w14:solidFill>
                    <w14:schemeClr w14:val="tx1"/>
                  </w14:solidFill>
                </w14:textFill>
              </w:rPr>
              <w:t>通过Toad或SQL DEVELOPER等工具登陆运维数据库时，通过数据库账号与数字证书的绑定，</w:t>
            </w:r>
            <w:r>
              <w:rPr>
                <w:rFonts w:hint="eastAsia" w:ascii="仿宋" w:hAnsi="仿宋" w:eastAsia="仿宋" w:cs="仿宋"/>
                <w:color w:val="000000" w:themeColor="text1"/>
                <w:kern w:val="0"/>
                <w:sz w:val="24"/>
                <w:szCs w:val="24"/>
                <w:lang w:val="en-US" w:eastAsia="zh-CN"/>
                <w14:textFill>
                  <w14:solidFill>
                    <w14:schemeClr w14:val="tx1"/>
                  </w14:solidFill>
                </w14:textFill>
              </w:rPr>
              <w:t>实现</w:t>
            </w:r>
            <w:r>
              <w:rPr>
                <w:rFonts w:hint="eastAsia" w:ascii="仿宋" w:hAnsi="仿宋" w:eastAsia="仿宋" w:cs="仿宋"/>
                <w:color w:val="000000" w:themeColor="text1"/>
                <w:kern w:val="0"/>
                <w:sz w:val="24"/>
                <w:szCs w:val="24"/>
                <w14:textFill>
                  <w14:solidFill>
                    <w14:schemeClr w14:val="tx1"/>
                  </w14:solidFill>
                </w14:textFill>
              </w:rPr>
              <w:t>在运维PC工具中无需输入数据库用户名密码即可登陆已授权访问的数据库（提供软件功能截图）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420" w:type="dxa"/>
            <w:vMerge w:val="continue"/>
            <w:vAlign w:val="top"/>
          </w:tcPr>
          <w:p>
            <w:pPr>
              <w:rPr>
                <w:rFonts w:hint="eastAsia" w:ascii="仿宋" w:hAnsi="仿宋" w:eastAsia="仿宋" w:cs="仿宋"/>
                <w:color w:val="000000" w:themeColor="text1"/>
                <w:kern w:val="0"/>
                <w:sz w:val="24"/>
                <w:szCs w:val="24"/>
                <w14:textFill>
                  <w14:solidFill>
                    <w14:schemeClr w14:val="tx1"/>
                  </w14:solidFill>
                </w14:textFill>
              </w:rPr>
            </w:pP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支持</w:t>
            </w:r>
            <w:r>
              <w:rPr>
                <w:rFonts w:hint="eastAsia" w:ascii="仿宋" w:hAnsi="仿宋" w:eastAsia="仿宋" w:cs="仿宋"/>
                <w:color w:val="000000" w:themeColor="text1"/>
                <w:kern w:val="0"/>
                <w:sz w:val="24"/>
                <w:szCs w:val="24"/>
                <w14:textFill>
                  <w14:solidFill>
                    <w14:schemeClr w14:val="tx1"/>
                  </w14:solidFill>
                </w14:textFill>
              </w:rPr>
              <w:t>账号托管功能，运维人员使用分配运维账号，运维用户与数据库用户及密码进行绑定，运维人员在不知道数据库真实密码的情况下，即可完成对数据库的运维和管理</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支持日志记录</w:t>
            </w:r>
            <w:r>
              <w:rPr>
                <w:rFonts w:hint="eastAsia" w:ascii="仿宋" w:hAnsi="仿宋" w:eastAsia="仿宋" w:cs="仿宋"/>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访问控制</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支持数据库授权管理控制，包括数据库角色权限管理、数据库对象权限管控、数据库系统权限管理，主要如下：</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1）支持针对数据库账号的角色权限进行授权控制；</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2）支持针对数据库账号的数据库对象访问权限进行授权控制；</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3）支持针对数据库账号进行数据库系统操作权限授权。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敏感数据脱敏</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支持运维侧脱敏，针对不同运维人员返回对应的预授权结果，脱敏规则需要支持多种脱敏算法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误操作恢复</w:t>
            </w:r>
          </w:p>
        </w:tc>
        <w:tc>
          <w:tcPr>
            <w:tcW w:w="7088" w:type="dxa"/>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▲支持oracle、SQL server、mysql数据库的误删除恢复，当</w:t>
            </w:r>
            <w:r>
              <w:rPr>
                <w:rFonts w:hint="eastAsia" w:ascii="仿宋" w:hAnsi="仿宋" w:eastAsia="仿宋" w:cs="仿宋"/>
                <w:color w:val="000000" w:themeColor="text1"/>
                <w:kern w:val="0"/>
                <w:sz w:val="24"/>
                <w:szCs w:val="24"/>
                <w:lang w:val="en-US" w:eastAsia="zh-CN"/>
                <w14:textFill>
                  <w14:solidFill>
                    <w14:schemeClr w14:val="tx1"/>
                  </w14:solidFill>
                </w14:textFill>
              </w:rPr>
              <w:t>发生</w:t>
            </w:r>
            <w:r>
              <w:rPr>
                <w:rFonts w:hint="eastAsia" w:ascii="仿宋" w:hAnsi="仿宋" w:eastAsia="仿宋" w:cs="仿宋"/>
                <w:color w:val="000000" w:themeColor="text1"/>
                <w:kern w:val="0"/>
                <w:sz w:val="24"/>
                <w:szCs w:val="24"/>
                <w14:textFill>
                  <w14:solidFill>
                    <w14:schemeClr w14:val="tx1"/>
                  </w14:solidFill>
                </w14:textFill>
              </w:rPr>
              <w:t>误删除敏感数据时，系统</w:t>
            </w:r>
            <w:r>
              <w:rPr>
                <w:rFonts w:hint="eastAsia" w:ascii="仿宋" w:hAnsi="仿宋" w:eastAsia="仿宋" w:cs="仿宋"/>
                <w:color w:val="000000" w:themeColor="text1"/>
                <w:kern w:val="0"/>
                <w:sz w:val="24"/>
                <w:szCs w:val="24"/>
                <w:lang w:val="en-US" w:eastAsia="zh-CN"/>
                <w14:textFill>
                  <w14:solidFill>
                    <w14:schemeClr w14:val="tx1"/>
                  </w14:solidFill>
                </w14:textFill>
              </w:rPr>
              <w:t>需</w:t>
            </w:r>
            <w:r>
              <w:rPr>
                <w:rFonts w:hint="eastAsia" w:ascii="仿宋" w:hAnsi="仿宋" w:eastAsia="仿宋" w:cs="仿宋"/>
                <w:color w:val="000000" w:themeColor="text1"/>
                <w:kern w:val="0"/>
                <w:sz w:val="24"/>
                <w:szCs w:val="24"/>
                <w14:textFill>
                  <w14:solidFill>
                    <w14:schemeClr w14:val="tx1"/>
                  </w14:solidFill>
                </w14:textFill>
              </w:rPr>
              <w:t>记录操作的时间、数据库名称、操作类型、操作的对象类型、SCHEMA名称、对象名称、当前状态、使用的SQL语句等信息，并提供一键恢复的功能。（提供软件功能截图）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420" w:type="dxa"/>
            <w:vAlign w:val="center"/>
          </w:tcPr>
          <w:p>
            <w:pPr>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告警</w:t>
            </w:r>
          </w:p>
        </w:tc>
        <w:tc>
          <w:tcPr>
            <w:tcW w:w="7088" w:type="dxa"/>
            <w:noWrap/>
            <w:vAlign w:val="top"/>
          </w:tcPr>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支持以图形、列表等方式查看告警信息，以列表形式展现的告警信息应当包含</w:t>
            </w:r>
            <w:r>
              <w:rPr>
                <w:rFonts w:hint="eastAsia" w:ascii="仿宋" w:hAnsi="仿宋" w:eastAsia="仿宋" w:cs="仿宋"/>
                <w:color w:val="000000" w:themeColor="text1"/>
                <w:kern w:val="0"/>
                <w:sz w:val="24"/>
                <w:szCs w:val="24"/>
                <w:lang w:val="en-US" w:eastAsia="zh-CN"/>
                <w14:textFill>
                  <w14:solidFill>
                    <w14:schemeClr w14:val="tx1"/>
                  </w14:solidFill>
                </w14:textFill>
              </w:rPr>
              <w:t>但不限于</w:t>
            </w:r>
            <w:r>
              <w:rPr>
                <w:rFonts w:hint="eastAsia" w:ascii="仿宋" w:hAnsi="仿宋" w:eastAsia="仿宋" w:cs="仿宋"/>
                <w:color w:val="000000" w:themeColor="text1"/>
                <w:kern w:val="0"/>
                <w:sz w:val="24"/>
                <w:szCs w:val="24"/>
                <w14:textFill>
                  <w14:solidFill>
                    <w14:schemeClr w14:val="tx1"/>
                  </w14:solidFill>
                </w14:textFill>
              </w:rPr>
              <w:t>告警时间、告警内容、告警等级、用户IP、数据库代理IP、事件等。</w:t>
            </w:r>
          </w:p>
        </w:tc>
      </w:tr>
    </w:tbl>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注：1.中标人在签订合同前须向招标人提供标书要求的原厂三年维保承诺函原件及 (复印件无效，服务承诺书要求有明确服务年限)。由原厂工程师和原厂认证工程师到本地完成安装实施、数据库安全加固和网络安全等配置调整工作,不得影响原有业务系统，要求做好原有系统相关的原有服务器数据库系统配置及版本升级等工作，本项目涉及招标人内部业务系统及原有系统调整，中标人必须保证原有系统正常营业，如需原来中标人协助请自行协商，招标人不再承担任何费用。</w:t>
      </w:r>
    </w:p>
    <w:p>
      <w:pPr>
        <w:numPr>
          <w:ilvl w:val="0"/>
          <w:numId w:val="0"/>
        </w:num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vertAlign w:val="baseline"/>
          <w:lang w:val="en-US" w:eastAsia="zh-CN" w:bidi="ar-SA"/>
        </w:rPr>
        <w:t>2.</w:t>
      </w:r>
      <w:r>
        <w:rPr>
          <w:rFonts w:hint="eastAsia" w:ascii="仿宋" w:hAnsi="仿宋" w:eastAsia="仿宋" w:cs="仿宋"/>
          <w:b w:val="0"/>
          <w:bCs w:val="0"/>
          <w:i w:val="0"/>
          <w:iCs w:val="0"/>
          <w:color w:val="auto"/>
          <w:kern w:val="2"/>
          <w:sz w:val="24"/>
          <w:szCs w:val="24"/>
          <w:highlight w:val="none"/>
          <w:vertAlign w:val="baseline"/>
          <w:lang w:val="en-US" w:eastAsia="zh-CN" w:bidi="ar-SA"/>
        </w:rPr>
        <w:t>中标人在合同签订之日起45天内完成项目建设（用户根据工程进度需要延迟的除外）。要求在合同签订后15天内设备到货，并在开箱后根椐招标人要求完成安装调试，安装过程中用户不负责保管，直至系统正式上线的所有费用均包含在投标报价内。</w:t>
      </w:r>
    </w:p>
    <w:p>
      <w:pPr>
        <w:numPr>
          <w:ilvl w:val="0"/>
          <w:numId w:val="0"/>
        </w:numPr>
        <w:adjustRightInd w:val="0"/>
        <w:spacing w:line="336" w:lineRule="auto"/>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3.付款方式：</w:t>
      </w:r>
      <w:r>
        <w:rPr>
          <w:rFonts w:hint="eastAsia" w:ascii="仿宋" w:hAnsi="仿宋" w:eastAsia="仿宋" w:cs="仿宋"/>
          <w:sz w:val="24"/>
          <w:szCs w:val="24"/>
        </w:rPr>
        <w:t>按《浙江省财政厅关于进一步发挥政府采购政策功能全力推动经济稳进提质的通知》（浙财采监〔2022〕3号）文件要求执行，具体付款方式由双方协商后在合同中明确。</w:t>
      </w: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w:t>
      </w:r>
      <w:r>
        <w:rPr>
          <w:rFonts w:hint="eastAsia" w:ascii="仿宋" w:hAnsi="仿宋" w:eastAsia="仿宋" w:cs="仿宋"/>
          <w:b/>
          <w:bCs/>
          <w:spacing w:val="-20"/>
          <w:kern w:val="44"/>
          <w:sz w:val="48"/>
          <w:szCs w:val="48"/>
          <w:highlight w:val="none"/>
          <w:lang w:eastAsia="zh-CN"/>
        </w:rPr>
        <w:t>货物买卖</w:t>
      </w:r>
      <w:r>
        <w:rPr>
          <w:rFonts w:hint="eastAsia" w:ascii="仿宋" w:hAnsi="仿宋" w:eastAsia="仿宋" w:cs="仿宋"/>
          <w:b/>
          <w:bCs/>
          <w:spacing w:val="-20"/>
          <w:kern w:val="44"/>
          <w:sz w:val="48"/>
          <w:szCs w:val="48"/>
          <w:highlight w:val="none"/>
        </w:rPr>
        <w:t>合同</w:t>
      </w:r>
    </w:p>
    <w:p>
      <w:pPr>
        <w:pStyle w:val="23"/>
        <w:spacing w:after="0"/>
        <w:jc w:val="center"/>
        <w:rPr>
          <w:rFonts w:hint="eastAsia" w:ascii="仿宋" w:hAnsi="仿宋" w:eastAsia="仿宋" w:cs="仿宋"/>
          <w:b/>
          <w:bCs/>
          <w:spacing w:val="-20"/>
          <w:kern w:val="44"/>
          <w:sz w:val="48"/>
          <w:szCs w:val="48"/>
          <w:highlight w:val="none"/>
          <w:lang w:eastAsia="zh-CN"/>
        </w:rPr>
      </w:pPr>
      <w:r>
        <w:rPr>
          <w:rFonts w:hint="eastAsia" w:ascii="仿宋" w:hAnsi="仿宋" w:eastAsia="仿宋" w:cs="仿宋"/>
          <w:b/>
          <w:bCs/>
          <w:spacing w:val="-20"/>
          <w:kern w:val="44"/>
          <w:sz w:val="48"/>
          <w:szCs w:val="48"/>
          <w:highlight w:val="none"/>
          <w:lang w:eastAsia="zh-CN"/>
        </w:rPr>
        <w:t>（试行）</w:t>
      </w: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pPr>
        <w:rPr>
          <w:rFonts w:hint="eastAsia" w:ascii="仿宋" w:hAnsi="仿宋" w:eastAsia="仿宋" w:cs="仿宋"/>
          <w:highlight w:val="none"/>
        </w:rPr>
      </w:pPr>
    </w:p>
    <w:p>
      <w:pPr>
        <w:rPr>
          <w:rFonts w:hint="eastAsia" w:ascii="仿宋" w:hAnsi="仿宋" w:eastAsia="仿宋" w:cs="仿宋"/>
          <w:sz w:val="44"/>
          <w:szCs w:val="44"/>
          <w:highlight w:val="none"/>
        </w:rPr>
      </w:pPr>
      <w:r>
        <w:rPr>
          <w:rFonts w:hint="eastAsia" w:ascii="仿宋" w:hAnsi="仿宋" w:eastAsia="仿宋" w:cs="仿宋"/>
          <w:sz w:val="44"/>
          <w:szCs w:val="44"/>
          <w:highlight w:val="none"/>
        </w:rPr>
        <w:br w:type="page"/>
      </w:r>
    </w:p>
    <w:p>
      <w:pPr>
        <w:rPr>
          <w:rFonts w:hint="eastAsia" w:ascii="仿宋" w:hAnsi="仿宋" w:eastAsia="仿宋" w:cs="仿宋"/>
          <w:sz w:val="44"/>
          <w:szCs w:val="44"/>
          <w:highlight w:val="none"/>
        </w:rPr>
      </w:pPr>
    </w:p>
    <w:p>
      <w:pPr>
        <w:rPr>
          <w:rFonts w:hint="eastAsia" w:ascii="仿宋" w:hAnsi="仿宋" w:eastAsia="仿宋" w:cs="仿宋"/>
          <w:sz w:val="44"/>
          <w:szCs w:val="44"/>
          <w:highlight w:val="none"/>
        </w:rPr>
      </w:pPr>
    </w:p>
    <w:p>
      <w:pPr>
        <w:jc w:val="center"/>
        <w:rPr>
          <w:rFonts w:hint="eastAsia" w:ascii="仿宋" w:hAnsi="仿宋" w:eastAsia="仿宋" w:cs="仿宋"/>
          <w:sz w:val="44"/>
          <w:szCs w:val="44"/>
          <w:highlight w:val="none"/>
          <w:lang w:eastAsia="zh-CN"/>
        </w:rPr>
      </w:pPr>
      <w:r>
        <w:rPr>
          <w:rFonts w:hint="eastAsia" w:ascii="仿宋" w:hAnsi="仿宋" w:eastAsia="仿宋" w:cs="仿宋"/>
          <w:sz w:val="44"/>
          <w:szCs w:val="44"/>
          <w:highlight w:val="none"/>
          <w:lang w:eastAsia="zh-CN"/>
        </w:rPr>
        <w:t>使</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用</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说</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明</w:t>
      </w:r>
    </w:p>
    <w:p>
      <w:pPr>
        <w:ind w:firstLine="640" w:firstLineChars="200"/>
        <w:rPr>
          <w:rFonts w:hint="eastAsia" w:ascii="仿宋" w:hAnsi="仿宋" w:eastAsia="仿宋" w:cs="仿宋"/>
          <w:sz w:val="32"/>
          <w:szCs w:val="32"/>
          <w:highlight w:val="none"/>
          <w:lang w:val="en-US" w:eastAsia="zh-CN"/>
        </w:rPr>
      </w:pP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highlight w:val="none"/>
          <w:lang w:val="en-US" w:eastAsia="zh-CN"/>
        </w:rPr>
      </w:pPr>
      <w:r>
        <w:rPr>
          <w:rFonts w:hint="eastAsia" w:ascii="仿宋" w:hAnsi="仿宋" w:eastAsia="仿宋" w:cs="仿宋"/>
          <w:sz w:val="44"/>
          <w:szCs w:val="44"/>
          <w:highlight w:val="none"/>
          <w:lang w:val="en-US" w:eastAsia="zh-CN"/>
        </w:rPr>
        <w:t xml:space="preserve">   </w:t>
      </w:r>
      <w:r>
        <w:rPr>
          <w:rFonts w:hint="eastAsia" w:ascii="仿宋" w:hAnsi="仿宋" w:eastAsia="仿宋" w:cs="仿宋"/>
          <w:sz w:val="32"/>
          <w:szCs w:val="32"/>
          <w:highlight w:val="none"/>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adjustRightInd w:val="0"/>
        <w:snapToGrid w:val="0"/>
        <w:spacing w:beforeLines="0" w:line="400" w:lineRule="exact"/>
        <w:ind w:left="0" w:leftChars="0" w:firstLine="0" w:firstLineChars="0"/>
        <w:jc w:val="center"/>
        <w:rPr>
          <w:rFonts w:hint="eastAsia" w:ascii="仿宋" w:hAnsi="仿宋" w:eastAsia="仿宋" w:cs="仿宋"/>
          <w:b w:val="0"/>
          <w:bCs w:val="0"/>
          <w:sz w:val="28"/>
          <w:szCs w:val="28"/>
          <w:highlight w:val="none"/>
        </w:rPr>
      </w:pPr>
      <w:bookmarkStart w:id="45" w:name="_Toc22209"/>
      <w:r>
        <w:rPr>
          <w:rFonts w:hint="eastAsia" w:ascii="仿宋" w:hAnsi="仿宋" w:eastAsia="仿宋" w:cs="仿宋"/>
          <w:b w:val="0"/>
          <w:bCs w:val="0"/>
          <w:sz w:val="28"/>
          <w:szCs w:val="28"/>
          <w:highlight w:val="none"/>
        </w:rPr>
        <w:t>第一节 政府采购合同协议书</w:t>
      </w:r>
      <w:bookmarkEnd w:id="45"/>
    </w:p>
    <w:p>
      <w:pPr>
        <w:pStyle w:val="3"/>
        <w:adjustRightInd w:val="0"/>
        <w:snapToGrid w:val="0"/>
        <w:spacing w:beforeLines="0" w:line="400" w:lineRule="exact"/>
        <w:jc w:val="center"/>
        <w:rPr>
          <w:rFonts w:hint="eastAsia" w:ascii="仿宋" w:hAnsi="仿宋" w:eastAsia="仿宋" w:cs="仿宋"/>
          <w:b w:val="0"/>
          <w:bCs w:val="0"/>
          <w:sz w:val="28"/>
          <w:szCs w:val="28"/>
          <w:highlight w:val="none"/>
        </w:rPr>
      </w:pP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w:t>
      </w:r>
      <w:r>
        <w:rPr>
          <w:rFonts w:hint="eastAsia" w:ascii="仿宋" w:hAnsi="仿宋" w:eastAsia="仿宋" w:cs="仿宋"/>
          <w:szCs w:val="21"/>
          <w:highlight w:val="none"/>
          <w:lang w:val="en-US" w:eastAsia="zh-CN"/>
        </w:rPr>
        <w:tab/>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文件约定的合同甲方）</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highlight w:val="none"/>
          <w:lang w:eastAsia="zh-CN"/>
        </w:rPr>
        <w:t>乙方</w:t>
      </w:r>
      <w:r>
        <w:rPr>
          <w:rFonts w:hint="eastAsia" w:ascii="仿宋" w:hAnsi="仿宋" w:eastAsia="仿宋" w:cs="仿宋"/>
          <w:szCs w:val="21"/>
          <w:highlight w:val="none"/>
          <w:lang w:val="en-US" w:eastAsia="zh-CN"/>
        </w:rPr>
        <w:t>3</w:t>
      </w:r>
      <w:r>
        <w:rPr>
          <w:rFonts w:hint="eastAsia" w:ascii="仿宋" w:hAnsi="仿宋" w:eastAsia="仿宋" w:cs="仿宋"/>
          <w:highlight w:val="none"/>
          <w:lang w:val="en-US" w:eastAsia="zh-CN"/>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spacing w:beforeLines="0" w:line="400" w:lineRule="exact"/>
        <w:rPr>
          <w:rFonts w:hint="eastAsia" w:ascii="仿宋" w:hAnsi="仿宋" w:eastAsia="仿宋" w:cs="仿宋"/>
          <w:highlight w:val="none"/>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依据《中华人民共和国民法典》</w:t>
      </w:r>
      <w:r>
        <w:rPr>
          <w:rFonts w:hint="eastAsia" w:ascii="仿宋" w:hAnsi="仿宋" w:eastAsia="仿宋" w:cs="仿宋"/>
          <w:szCs w:val="21"/>
          <w:highlight w:val="none"/>
          <w:lang w:eastAsia="zh-CN"/>
        </w:rPr>
        <w:t>、</w:t>
      </w:r>
      <w:r>
        <w:rPr>
          <w:rFonts w:hint="eastAsia" w:ascii="仿宋" w:hAnsi="仿宋" w:eastAsia="仿宋" w:cs="仿宋"/>
          <w:szCs w:val="21"/>
          <w:highlight w:val="none"/>
        </w:rPr>
        <w:t>《中华人民共和国政府采购法》等有关的法律法规，以及</w:t>
      </w:r>
      <w:r>
        <w:rPr>
          <w:rFonts w:hint="eastAsia" w:ascii="仿宋" w:hAnsi="仿宋" w:eastAsia="仿宋" w:cs="仿宋"/>
          <w:i w:val="0"/>
          <w:iCs w:val="0"/>
          <w:szCs w:val="21"/>
          <w:highlight w:val="none"/>
          <w:u w:val="none"/>
          <w:lang w:eastAsia="zh-CN"/>
        </w:rPr>
        <w:t>本采购项目</w:t>
      </w:r>
      <w:r>
        <w:rPr>
          <w:rFonts w:hint="eastAsia" w:ascii="仿宋" w:hAnsi="仿宋" w:eastAsia="仿宋" w:cs="仿宋"/>
          <w:szCs w:val="21"/>
          <w:highlight w:val="none"/>
        </w:rPr>
        <w:t>的</w:t>
      </w:r>
      <w:r>
        <w:rPr>
          <w:rFonts w:hint="eastAsia" w:ascii="仿宋" w:hAnsi="仿宋" w:eastAsia="仿宋" w:cs="仿宋"/>
          <w:szCs w:val="21"/>
          <w:highlight w:val="none"/>
          <w:lang w:eastAsia="zh-CN"/>
        </w:rPr>
        <w:t>招标</w:t>
      </w:r>
      <w:r>
        <w:rPr>
          <w:rFonts w:hint="eastAsia" w:ascii="仿宋" w:hAnsi="仿宋" w:eastAsia="仿宋" w:cs="仿宋"/>
          <w:szCs w:val="21"/>
          <w:highlight w:val="none"/>
          <w:lang w:val="en-US" w:eastAsia="zh-CN"/>
        </w:rPr>
        <w:t>/谈判</w:t>
      </w:r>
      <w:r>
        <w:rPr>
          <w:rFonts w:hint="eastAsia" w:ascii="仿宋" w:hAnsi="仿宋" w:eastAsia="仿宋" w:cs="仿宋"/>
          <w:szCs w:val="21"/>
          <w:highlight w:val="none"/>
          <w:lang w:eastAsia="zh-CN"/>
        </w:rPr>
        <w:t>文件等</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 xml:space="preserve">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项目信息</w:t>
      </w:r>
    </w:p>
    <w:p>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highlight w:val="none"/>
          <w:u w:val="none"/>
          <w:lang w:val="en-US" w:eastAsia="zh-CN"/>
        </w:rPr>
      </w:pPr>
      <w:r>
        <w:rPr>
          <w:rFonts w:hint="eastAsia" w:ascii="仿宋" w:hAnsi="仿宋" w:eastAsia="仿宋" w:cs="仿宋"/>
          <w:szCs w:val="21"/>
          <w:highlight w:val="none"/>
          <w:u w:val="none"/>
          <w:lang w:val="en-US" w:eastAsia="zh-CN"/>
        </w:rPr>
        <w:t xml:space="preserve">         采购项目编号：</w:t>
      </w:r>
      <w:r>
        <w:rPr>
          <w:rFonts w:hint="eastAsia" w:ascii="仿宋" w:hAnsi="仿宋" w:eastAsia="仿宋" w:cs="仿宋"/>
          <w:szCs w:val="21"/>
          <w:highlight w:val="none"/>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（3）项目内容：</w:t>
      </w:r>
    </w:p>
    <w:p>
      <w:p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采购标的及数量</w:t>
      </w:r>
      <w:r>
        <w:rPr>
          <w:rFonts w:hint="eastAsia" w:ascii="仿宋" w:hAnsi="仿宋" w:eastAsia="仿宋" w:cs="仿宋"/>
          <w:szCs w:val="21"/>
          <w:highlight w:val="none"/>
          <w:lang w:val="en-US" w:eastAsia="zh-CN"/>
        </w:rPr>
        <w:t>（台/套</w:t>
      </w:r>
      <w:r>
        <w:rPr>
          <w:rFonts w:hint="eastAsia" w:ascii="仿宋" w:hAnsi="仿宋" w:eastAsia="仿宋" w:cs="仿宋"/>
          <w:szCs w:val="21"/>
          <w:highlight w:val="none"/>
          <w:lang w:val="en" w:eastAsia="zh-CN"/>
        </w:rPr>
        <w:t>/个/架/组等</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 w:eastAsia="zh-CN"/>
        </w:rPr>
        <w:t xml:space="preserve">     </w:t>
      </w:r>
      <w:r>
        <w:rPr>
          <w:rFonts w:hint="eastAsia" w:ascii="仿宋" w:hAnsi="仿宋" w:eastAsia="仿宋" w:cs="仿宋"/>
          <w:szCs w:val="21"/>
          <w:highlight w:val="none"/>
          <w:lang w:val="en-US" w:eastAsia="zh-CN"/>
        </w:rPr>
        <w:t>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kern w:val="0"/>
          <w:szCs w:val="21"/>
          <w:highlight w:val="none"/>
          <w:u w:val="single"/>
          <w:lang w:val="en-US" w:eastAsia="zh-CN"/>
        </w:rPr>
      </w:pPr>
      <w:r>
        <w:rPr>
          <w:rFonts w:hint="eastAsia" w:ascii="仿宋" w:hAnsi="仿宋" w:eastAsia="仿宋" w:cs="仿宋"/>
          <w:szCs w:val="21"/>
          <w:highlight w:val="none"/>
          <w:lang w:val="en-US" w:eastAsia="zh-CN"/>
        </w:rPr>
        <w:t xml:space="preserve">     标的名称：</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single"/>
          <w:lang w:val="en" w:eastAsia="zh-CN"/>
        </w:rPr>
        <w:t xml:space="preserve">               </w:t>
      </w:r>
      <w:r>
        <w:rPr>
          <w:rFonts w:hint="eastAsia" w:ascii="仿宋" w:hAnsi="仿宋" w:eastAsia="仿宋" w:cs="仿宋"/>
          <w:kern w:val="0"/>
          <w:szCs w:val="21"/>
          <w:highlight w:val="none"/>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关键部件：</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kern w:val="2"/>
          <w:sz w:val="21"/>
          <w:szCs w:val="21"/>
          <w:highlight w:val="none"/>
          <w:lang w:val="en-US" w:eastAsia="zh-CN"/>
        </w:rPr>
        <w:t>关键部件</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关键部件：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②涉及车辆采购，请填写是否属于新能源汽车：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rPr>
        <w:t>是</w:t>
      </w:r>
      <w:r>
        <w:rPr>
          <w:rFonts w:hint="eastAsia" w:ascii="仿宋" w:hAnsi="仿宋" w:eastAsia="仿宋" w:cs="仿宋"/>
          <w:iCs w:val="0"/>
          <w:sz w:val="21"/>
          <w:szCs w:val="21"/>
          <w:highlight w:val="none"/>
          <w:lang w:eastAsia="zh-CN"/>
        </w:rPr>
        <w:t>，《政府采购品目分类目录》底级品目名称</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数量：</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金额：</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iCs w:val="0"/>
          <w:sz w:val="21"/>
          <w:szCs w:val="21"/>
          <w:highlight w:val="non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否</w:t>
      </w:r>
    </w:p>
    <w:p>
      <w:pPr>
        <w:pStyle w:val="963"/>
        <w:numPr>
          <w:ilvl w:val="0"/>
          <w:numId w:val="0"/>
        </w:numPr>
        <w:adjustRightInd w:val="0"/>
        <w:snapToGrid w:val="0"/>
        <w:spacing w:before="0" w:beforeLines="0" w:line="400" w:lineRule="exact"/>
        <w:ind w:left="0"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lang w:val="en" w:eastAsia="zh-CN"/>
        </w:rPr>
        <w:t>4</w:t>
      </w:r>
      <w:r>
        <w:rPr>
          <w:rFonts w:hint="eastAsia" w:ascii="仿宋" w:hAnsi="仿宋" w:eastAsia="仿宋" w:cs="仿宋"/>
          <w:iCs w:val="0"/>
          <w:sz w:val="21"/>
          <w:szCs w:val="21"/>
          <w:highlight w:val="none"/>
          <w:lang w:val="en-US" w:eastAsia="zh-CN"/>
        </w:rPr>
        <w:t>）政府采购组织形式：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政府集中采购</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 xml:space="preserve">部门集中采购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分散采购</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w:t>
      </w:r>
      <w:r>
        <w:rPr>
          <w:rFonts w:hint="eastAsia" w:ascii="仿宋" w:hAnsi="仿宋" w:eastAsia="仿宋" w:cs="仿宋"/>
          <w:iCs w:val="0"/>
          <w:sz w:val="21"/>
          <w:szCs w:val="21"/>
          <w:highlight w:val="none"/>
          <w:lang w:val="en" w:eastAsia="zh-CN"/>
        </w:rPr>
        <w:t>5</w:t>
      </w:r>
      <w:r>
        <w:rPr>
          <w:rFonts w:hint="eastAsia" w:ascii="仿宋" w:hAnsi="仿宋" w:eastAsia="仿宋" w:cs="仿宋"/>
          <w:iCs w:val="0"/>
          <w:sz w:val="21"/>
          <w:szCs w:val="21"/>
          <w:highlight w:val="none"/>
          <w:lang w:val="en-US" w:eastAsia="zh-CN"/>
        </w:rPr>
        <w:t>）政府采购方式：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公开招标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邀请招标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竞争性谈判</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竞争性磋商</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single"/>
          <w:lang w:val="en-US"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询价</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单一来源</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框架协议</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其他：</w:t>
      </w:r>
      <w:r>
        <w:rPr>
          <w:rFonts w:hint="eastAsia" w:ascii="仿宋" w:hAnsi="仿宋" w:eastAsia="仿宋" w:cs="仿宋"/>
          <w:iCs w:val="0"/>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none"/>
          <w:lang w:val="en-US" w:eastAsia="zh-CN"/>
        </w:rPr>
      </w:pPr>
      <w:r>
        <w:rPr>
          <w:rFonts w:hint="eastAsia" w:ascii="仿宋" w:hAnsi="仿宋" w:eastAsia="仿宋" w:cs="仿宋"/>
          <w:iCs w:val="0"/>
          <w:sz w:val="21"/>
          <w:szCs w:val="21"/>
          <w:highlight w:val="none"/>
          <w:u w:val="none"/>
          <w:lang w:val="en-US" w:eastAsia="zh-CN"/>
        </w:rPr>
        <w:t>（注：在框架协议采购的第二阶段，可选择使用该合同文本）</w:t>
      </w:r>
    </w:p>
    <w:p>
      <w:pPr>
        <w:pStyle w:val="963"/>
        <w:numPr>
          <w:ilvl w:val="0"/>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highlight w:val="none"/>
          <w:lang w:val="en-US" w:eastAsia="zh-CN" w:bidi="ar-SA"/>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val="en" w:eastAsia="zh-CN"/>
        </w:rPr>
        <w:t>6</w:t>
      </w:r>
      <w:r>
        <w:rPr>
          <w:rFonts w:hint="eastAsia" w:ascii="仿宋" w:hAnsi="仿宋" w:eastAsia="仿宋" w:cs="仿宋"/>
          <w:szCs w:val="21"/>
          <w:highlight w:val="none"/>
          <w:lang w:val="en-US" w:eastAsia="zh-CN"/>
        </w:rPr>
        <w:t>）</w:t>
      </w:r>
      <w:r>
        <w:rPr>
          <w:rFonts w:hint="eastAsia" w:ascii="仿宋" w:hAnsi="仿宋" w:eastAsia="仿宋" w:cs="仿宋"/>
          <w:w w:val="100"/>
          <w:kern w:val="2"/>
          <w:sz w:val="21"/>
          <w:szCs w:val="21"/>
          <w:highlight w:val="none"/>
          <w:lang w:val="en-US" w:eastAsia="zh-CN" w:bidi="ar-SA"/>
        </w:rPr>
        <w:t>中标（成交）采购标的制造商是否为中小企业：</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 xml:space="preserve">是      </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w w:val="100"/>
          <w:szCs w:val="21"/>
          <w:highlight w:val="none"/>
          <w:lang w:val="en-US" w:eastAsia="zh-CN"/>
        </w:rPr>
        <w:t xml:space="preserve">         本合同</w:t>
      </w:r>
      <w:r>
        <w:rPr>
          <w:rFonts w:hint="eastAsia" w:ascii="仿宋" w:hAnsi="仿宋" w:eastAsia="仿宋" w:cs="仿宋"/>
          <w:w w:val="100"/>
          <w:szCs w:val="21"/>
          <w:highlight w:val="none"/>
        </w:rPr>
        <w:t>是否</w:t>
      </w:r>
      <w:r>
        <w:rPr>
          <w:rFonts w:hint="eastAsia" w:ascii="仿宋" w:hAnsi="仿宋" w:eastAsia="仿宋" w:cs="仿宋"/>
          <w:w w:val="100"/>
          <w:szCs w:val="21"/>
          <w:highlight w:val="none"/>
          <w:lang w:eastAsia="zh-CN"/>
        </w:rPr>
        <w:t>为专门面向</w:t>
      </w:r>
      <w:r>
        <w:rPr>
          <w:rFonts w:hint="eastAsia" w:ascii="仿宋" w:hAnsi="仿宋" w:eastAsia="仿宋" w:cs="仿宋"/>
          <w:w w:val="100"/>
          <w:szCs w:val="21"/>
          <w:highlight w:val="none"/>
        </w:rPr>
        <w:t>中小企业</w:t>
      </w:r>
      <w:r>
        <w:rPr>
          <w:rFonts w:hint="eastAsia" w:ascii="仿宋" w:hAnsi="仿宋" w:eastAsia="仿宋" w:cs="仿宋"/>
          <w:w w:val="100"/>
          <w:szCs w:val="21"/>
          <w:highlight w:val="none"/>
          <w:lang w:eastAsia="zh-CN"/>
        </w:rPr>
        <w:t>的采</w:t>
      </w:r>
      <w:r>
        <w:rPr>
          <w:rFonts w:hint="eastAsia" w:ascii="仿宋" w:hAnsi="仿宋" w:eastAsia="仿宋" w:cs="仿宋"/>
          <w:w w:val="100"/>
          <w:szCs w:val="21"/>
          <w:highlight w:val="none"/>
          <w:shd w:val="clear" w:color="auto" w:fill="auto"/>
          <w:lang w:eastAsia="zh-CN"/>
        </w:rPr>
        <w:t>购</w:t>
      </w:r>
      <w:r>
        <w:rPr>
          <w:rFonts w:hint="eastAsia" w:ascii="仿宋" w:hAnsi="仿宋" w:eastAsia="仿宋" w:cs="仿宋"/>
          <w:w w:val="100"/>
          <w:szCs w:val="21"/>
          <w:highlight w:val="none"/>
          <w:shd w:val="clear" w:color="auto" w:fill="auto"/>
        </w:rPr>
        <w:t>合同</w:t>
      </w:r>
      <w:r>
        <w:rPr>
          <w:rFonts w:hint="eastAsia" w:ascii="仿宋" w:hAnsi="仿宋" w:eastAsia="仿宋" w:cs="仿宋"/>
          <w:w w:val="100"/>
          <w:szCs w:val="21"/>
          <w:highlight w:val="none"/>
          <w:shd w:val="clear" w:color="auto" w:fill="auto"/>
          <w:lang w:eastAsia="zh-CN"/>
        </w:rPr>
        <w:t>（中小企业预留合同）</w:t>
      </w:r>
      <w:r>
        <w:rPr>
          <w:rFonts w:hint="eastAsia" w:ascii="仿宋" w:hAnsi="仿宋" w:eastAsia="仿宋" w:cs="仿宋"/>
          <w:szCs w:val="21"/>
          <w:highlight w:val="none"/>
          <w:shd w:val="clear" w:color="auto" w:fill="auto"/>
        </w:rPr>
        <w:t>：</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snapToGrid w:val="0"/>
        <w:spacing w:beforeLines="0" w:line="400" w:lineRule="exact"/>
        <w:ind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eastAsia="zh-C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分包主要内容：</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highlight w:val="none"/>
        </w:rPr>
        <w:t>：</w:t>
      </w:r>
    </w:p>
    <w:p>
      <w:pPr>
        <w:adjustRightInd w:val="0"/>
        <w:snapToGrid w:val="0"/>
        <w:spacing w:beforeLines="0" w:line="400" w:lineRule="exact"/>
        <w:ind w:firstLine="840" w:firstLineChars="40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小微型企业</w:t>
      </w:r>
      <w:r>
        <w:rPr>
          <w:rFonts w:hint="eastAsia" w:ascii="仿宋" w:hAnsi="仿宋" w:eastAsia="仿宋" w:cs="仿宋"/>
          <w:iCs/>
          <w:szCs w:val="21"/>
          <w:highlight w:val="none"/>
          <w:lang w:val="en-US" w:eastAsia="zh-CN"/>
        </w:rPr>
        <w:t xml:space="preserve">  </w:t>
      </w:r>
    </w:p>
    <w:p>
      <w:pPr>
        <w:adjustRightInd w:val="0"/>
        <w:snapToGrid w:val="0"/>
        <w:spacing w:beforeLines="0" w:line="400" w:lineRule="exact"/>
        <w:ind w:firstLine="840" w:firstLineChars="400"/>
        <w:rPr>
          <w:rFonts w:hint="eastAsia" w:ascii="仿宋" w:hAnsi="仿宋" w:eastAsia="仿宋" w:cs="仿宋"/>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残疾人福利性单位</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监狱</w:t>
      </w:r>
      <w:r>
        <w:rPr>
          <w:rFonts w:hint="eastAsia" w:ascii="仿宋" w:hAnsi="仿宋" w:eastAsia="仿宋" w:cs="仿宋"/>
          <w:iCs/>
          <w:szCs w:val="21"/>
          <w:highlight w:val="none"/>
        </w:rPr>
        <w:t>企业</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96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w:t>
      </w:r>
      <w:r>
        <w:rPr>
          <w:rFonts w:hint="eastAsia" w:ascii="仿宋" w:hAnsi="仿宋" w:eastAsia="仿宋" w:cs="仿宋"/>
          <w:b w:val="0"/>
          <w:bCs w:val="0"/>
          <w:sz w:val="21"/>
          <w:szCs w:val="21"/>
          <w:highlight w:val="none"/>
          <w:u w:val="none"/>
          <w:lang w:val="en" w:eastAsia="zh-CN"/>
        </w:rPr>
        <w:t>9</w:t>
      </w:r>
      <w:r>
        <w:rPr>
          <w:rFonts w:hint="eastAsia" w:ascii="仿宋" w:hAnsi="仿宋" w:eastAsia="仿宋" w:cs="仿宋"/>
          <w:b w:val="0"/>
          <w:bCs w:val="0"/>
          <w:sz w:val="21"/>
          <w:szCs w:val="21"/>
          <w:highlight w:val="none"/>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szCs w:val="21"/>
          <w:highlight w:val="none"/>
          <w:u w:val="singl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，《政府采购品目分类目录》底级品目名称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金额：</w:t>
      </w:r>
      <w:r>
        <w:rPr>
          <w:rFonts w:hint="eastAsia" w:ascii="仿宋" w:hAnsi="仿宋" w:eastAsia="仿宋" w:cs="仿宋"/>
          <w:szCs w:val="21"/>
          <w:highlight w:val="none"/>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rPr>
      </w:pPr>
      <w:r>
        <w:rPr>
          <w:rFonts w:hint="eastAsia" w:ascii="仿宋" w:hAnsi="仿宋" w:eastAsia="仿宋" w:cs="仿宋"/>
          <w:szCs w:val="21"/>
          <w:highlight w:val="none"/>
          <w:lang w:val="en-US" w:eastAsia="zh-CN"/>
        </w:rPr>
        <w:t xml:space="preserve">        国别：</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val="0"/>
          <w:szCs w:val="21"/>
          <w:highlight w:val="non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u w:val="non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（1</w:t>
      </w:r>
      <w:r>
        <w:rPr>
          <w:rFonts w:hint="eastAsia" w:ascii="仿宋" w:hAnsi="仿宋" w:eastAsia="仿宋" w:cs="仿宋"/>
          <w:b w:val="0"/>
          <w:bCs w:val="0"/>
          <w:sz w:val="21"/>
          <w:szCs w:val="21"/>
          <w:highlight w:val="none"/>
          <w:u w:val="none"/>
          <w:lang w:val="en" w:eastAsia="zh-CN"/>
        </w:rPr>
        <w:t>0</w:t>
      </w:r>
      <w:r>
        <w:rPr>
          <w:rFonts w:hint="eastAsia" w:ascii="仿宋" w:hAnsi="仿宋" w:eastAsia="仿宋" w:cs="仿宋"/>
          <w:b w:val="0"/>
          <w:bCs w:val="0"/>
          <w:sz w:val="21"/>
          <w:szCs w:val="21"/>
          <w:highlight w:val="none"/>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，《节能产品政府采购品目清单》的底级品目名称：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lang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，《环境标志产品政府采购品目清单》的底级品目名称：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b w:val="0"/>
          <w:bCs w:val="0"/>
          <w:kern w:val="2"/>
          <w:sz w:val="21"/>
          <w:szCs w:val="21"/>
          <w:highlight w:val="none"/>
          <w:u w:val="none"/>
          <w:lang w:val="en-US" w:eastAsia="zh-CN"/>
        </w:rPr>
        <w:t>是否涉及绿色产品：</w:t>
      </w:r>
      <w:r>
        <w:rPr>
          <w:rFonts w:hint="eastAsia" w:ascii="仿宋" w:hAnsi="仿宋" w:eastAsia="仿宋" w:cs="仿宋"/>
          <w:iCs w:val="0"/>
          <w:kern w:val="2"/>
          <w:sz w:val="21"/>
          <w:szCs w:val="21"/>
          <w:highlight w:val="none"/>
          <w:u w:val="none"/>
          <w:lang w:val="en-US" w:eastAsia="zh-CN"/>
        </w:rPr>
        <w:t xml:space="preserve"> </w:t>
      </w:r>
    </w:p>
    <w:p>
      <w:pPr>
        <w:pStyle w:val="963"/>
        <w:spacing w:beforeLines="0"/>
        <w:ind w:firstLine="420" w:firstLineChars="0"/>
        <w:rPr>
          <w:rFonts w:hint="eastAsia" w:ascii="仿宋" w:hAnsi="仿宋" w:eastAsia="仿宋" w:cs="仿宋"/>
          <w:szCs w:val="21"/>
          <w:highlight w:val="none"/>
          <w:u w:val="singl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是</w:t>
      </w:r>
      <w:r>
        <w:rPr>
          <w:rFonts w:hint="eastAsia" w:ascii="仿宋" w:hAnsi="仿宋" w:eastAsia="仿宋" w:cs="仿宋"/>
          <w:iCs w:val="0"/>
          <w:kern w:val="2"/>
          <w:sz w:val="21"/>
          <w:szCs w:val="21"/>
          <w:highlight w:val="none"/>
          <w:u w:val="none"/>
          <w:lang w:eastAsia="zh-CN"/>
        </w:rPr>
        <w:t>，绿色产品政府采购相关政策确定的底级品目名称：</w:t>
      </w:r>
      <w:r>
        <w:rPr>
          <w:rFonts w:hint="eastAsia" w:ascii="仿宋" w:hAnsi="仿宋" w:eastAsia="仿宋" w:cs="仿宋"/>
          <w:szCs w:val="21"/>
          <w:highlight w:val="none"/>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pStyle w:val="963"/>
        <w:spacing w:beforeLines="0"/>
        <w:ind w:firstLine="42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（1</w:t>
      </w:r>
      <w:r>
        <w:rPr>
          <w:rFonts w:hint="eastAsia" w:ascii="仿宋" w:hAnsi="仿宋" w:eastAsia="仿宋" w:cs="仿宋"/>
          <w:szCs w:val="21"/>
          <w:highlight w:val="none"/>
          <w:lang w:val="en" w:eastAsia="zh-CN"/>
        </w:rPr>
        <w:t>1</w:t>
      </w:r>
      <w:r>
        <w:rPr>
          <w:rFonts w:hint="eastAsia" w:ascii="仿宋" w:hAnsi="仿宋" w:eastAsia="仿宋" w:cs="仿宋"/>
          <w:szCs w:val="21"/>
          <w:highlight w:val="none"/>
          <w:lang w:val="en-US" w:eastAsia="zh-CN"/>
        </w:rPr>
        <w:t>）涉及商品包装和快递包装的，是否参考</w:t>
      </w:r>
      <w:r>
        <w:rPr>
          <w:rFonts w:hint="eastAsia" w:ascii="仿宋" w:hAnsi="仿宋" w:eastAsia="仿宋" w:cs="仿宋"/>
          <w:szCs w:val="21"/>
          <w:highlight w:val="none"/>
        </w:rPr>
        <w:t>《商品包装政府采购需求标准（试行）》、《快递包装政府采购需求标准（试行）》</w:t>
      </w:r>
      <w:r>
        <w:rPr>
          <w:rFonts w:hint="eastAsia" w:ascii="仿宋" w:hAnsi="仿宋" w:eastAsia="仿宋" w:cs="仿宋"/>
          <w:szCs w:val="21"/>
          <w:highlight w:val="none"/>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lang w:val="en-US" w:eastAsia="zh-CN"/>
        </w:rPr>
      </w:pP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 xml:space="preserve">是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不涉及</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分包金额</w:t>
      </w:r>
      <w:r>
        <w:rPr>
          <w:rFonts w:hint="eastAsia" w:ascii="仿宋" w:hAnsi="仿宋" w:eastAsia="仿宋" w:cs="仿宋"/>
          <w:szCs w:val="21"/>
          <w:highlight w:val="none"/>
          <w:lang w:eastAsia="zh-CN"/>
        </w:rPr>
        <w:t>（如有）</w:t>
      </w:r>
      <w:r>
        <w:rPr>
          <w:rFonts w:hint="eastAsia" w:ascii="仿宋" w:hAnsi="仿宋" w:eastAsia="仿宋" w:cs="仿宋"/>
          <w:szCs w:val="21"/>
          <w:highlight w:val="none"/>
        </w:rPr>
        <w:t>小写：</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w:t>
      </w:r>
      <w:r>
        <w:rPr>
          <w:rFonts w:hint="eastAsia" w:ascii="仿宋" w:hAnsi="仿宋" w:eastAsia="仿宋" w:cs="仿宋"/>
          <w:szCs w:val="21"/>
          <w:highlight w:val="none"/>
        </w:rPr>
        <w:t>合同定价方式</w:t>
      </w:r>
      <w:r>
        <w:rPr>
          <w:rFonts w:hint="eastAsia" w:ascii="仿宋" w:hAnsi="仿宋" w:eastAsia="仿宋" w:cs="仿宋"/>
          <w:szCs w:val="21"/>
          <w:highlight w:val="none"/>
          <w:lang w:eastAsia="zh-CN"/>
        </w:rPr>
        <w:t>（采用组合定价方式的，可以勾选多项）</w:t>
      </w:r>
      <w:r>
        <w:rPr>
          <w:rFonts w:hint="eastAsia" w:ascii="仿宋" w:hAnsi="仿宋" w:eastAsia="仿宋" w:cs="仿宋"/>
          <w:szCs w:val="21"/>
          <w:highlight w:val="none"/>
        </w:rPr>
        <w:t>：</w:t>
      </w:r>
    </w:p>
    <w:p>
      <w:pPr>
        <w:adjustRightInd w:val="0"/>
        <w:snapToGrid w:val="0"/>
        <w:spacing w:before="0" w:beforeLines="0"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固定单价</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固定费率</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绩效激励</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r>
        <w:rPr>
          <w:rFonts w:hint="eastAsia" w:ascii="仿宋" w:hAnsi="仿宋" w:eastAsia="仿宋" w:cs="仿宋"/>
          <w:szCs w:val="21"/>
          <w:highlight w:val="none"/>
          <w:u w:val="single"/>
        </w:rPr>
        <w:t xml:space="preserve">       </w:t>
      </w:r>
    </w:p>
    <w:p>
      <w:pPr>
        <w:pStyle w:val="790"/>
        <w:spacing w:beforeLines="0"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w:t>
      </w:r>
      <w:r>
        <w:rPr>
          <w:rFonts w:hint="eastAsia" w:ascii="仿宋" w:hAnsi="仿宋" w:eastAsia="仿宋" w:cs="仿宋"/>
          <w:szCs w:val="21"/>
          <w:highlight w:val="none"/>
          <w:u w:val="single"/>
          <w:lang w:eastAsia="zh-CN"/>
        </w:rPr>
        <w:t>明确</w:t>
      </w:r>
      <w:r>
        <w:rPr>
          <w:rFonts w:hint="eastAsia" w:ascii="仿宋" w:hAnsi="仿宋" w:eastAsia="仿宋" w:cs="仿宋"/>
          <w:szCs w:val="21"/>
          <w:highlight w:val="none"/>
          <w:u w:val="single"/>
        </w:rPr>
        <w:t>一次性支付合同款项</w:t>
      </w:r>
      <w:r>
        <w:rPr>
          <w:rFonts w:hint="eastAsia" w:ascii="仿宋" w:hAnsi="仿宋" w:eastAsia="仿宋" w:cs="仿宋"/>
          <w:szCs w:val="21"/>
          <w:highlight w:val="none"/>
          <w:u w:val="single"/>
          <w:lang w:eastAsia="zh-CN"/>
        </w:rPr>
        <w:t>的条件</w:t>
      </w:r>
      <w:r>
        <w:rPr>
          <w:rFonts w:hint="eastAsia" w:ascii="仿宋" w:hAnsi="仿宋" w:eastAsia="仿宋" w:cs="仿宋"/>
          <w:szCs w:val="21"/>
          <w:highlight w:val="none"/>
          <w:u w:val="single"/>
        </w:rPr>
        <w:t xml:space="preserve">）                    </w:t>
      </w:r>
    </w:p>
    <w:p>
      <w:pPr>
        <w:snapToGrid w:val="0"/>
        <w:spacing w:beforeLines="0" w:line="400" w:lineRule="exact"/>
        <w:ind w:firstLine="630" w:firstLineChars="300"/>
        <w:rPr>
          <w:rFonts w:hint="eastAsia"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w:t>
      </w:r>
      <w:r>
        <w:rPr>
          <w:rFonts w:hint="eastAsia" w:ascii="仿宋" w:hAnsi="仿宋" w:eastAsia="仿宋" w:cs="仿宋"/>
          <w:szCs w:val="21"/>
          <w:highlight w:val="none"/>
          <w:u w:val="single"/>
          <w:lang w:eastAsia="zh-CN"/>
        </w:rPr>
        <w:t>，各期支付条件应与分期履约验收情况挂钩</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none"/>
          <w:lang w:eastAsia="zh-CN"/>
        </w:rPr>
        <w:t>，</w:t>
      </w:r>
      <w:r>
        <w:rPr>
          <w:rFonts w:hint="eastAsia" w:ascii="仿宋" w:hAnsi="仿宋" w:eastAsia="仿宋" w:cs="仿宋"/>
          <w:szCs w:val="21"/>
          <w:highlight w:val="none"/>
          <w:lang w:eastAsia="zh-CN"/>
        </w:rPr>
        <w:t>其中涉及预付款的</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pPr>
        <w:numPr>
          <w:ilvl w:val="0"/>
          <w:numId w:val="1"/>
        </w:numPr>
        <w:adjustRightInd w:val="0"/>
        <w:snapToGrid w:val="0"/>
        <w:spacing w:before="0" w:beforeLines="0" w:line="400" w:lineRule="exact"/>
        <w:ind w:firstLine="422" w:firstLineChars="200"/>
        <w:rPr>
          <w:rFonts w:hint="eastAsia" w:ascii="仿宋" w:hAnsi="仿宋" w:eastAsia="仿宋" w:cs="仿宋"/>
          <w:b/>
          <w:bCs w:val="0"/>
          <w:szCs w:val="21"/>
          <w:highlight w:val="none"/>
          <w:u w:val="single"/>
        </w:rPr>
      </w:pPr>
      <w:r>
        <w:rPr>
          <w:rFonts w:hint="eastAsia" w:ascii="仿宋" w:hAnsi="仿宋" w:eastAsia="仿宋" w:cs="仿宋"/>
          <w:b/>
          <w:bCs w:val="0"/>
          <w:szCs w:val="21"/>
          <w:highlight w:val="none"/>
        </w:rPr>
        <w:t>合同履行</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szCs w:val="21"/>
          <w:highlight w:val="none"/>
        </w:rPr>
        <w:t>（2）</w:t>
      </w:r>
      <w:r>
        <w:rPr>
          <w:rFonts w:hint="eastAsia" w:ascii="仿宋" w:hAnsi="仿宋" w:eastAsia="仿宋" w:cs="仿宋"/>
          <w:szCs w:val="21"/>
          <w:highlight w:val="none"/>
          <w:lang w:eastAsia="zh-CN"/>
        </w:rPr>
        <w:t>履约</w:t>
      </w:r>
      <w:r>
        <w:rPr>
          <w:rFonts w:hint="eastAsia" w:ascii="仿宋" w:hAnsi="仿宋" w:eastAsia="仿宋" w:cs="仿宋"/>
          <w:szCs w:val="21"/>
          <w:highlight w:val="none"/>
        </w:rPr>
        <w:t>地点</w:t>
      </w:r>
      <w:r>
        <w:rPr>
          <w:rFonts w:hint="eastAsia" w:ascii="仿宋" w:hAnsi="仿宋" w:eastAsia="仿宋" w:cs="仿宋"/>
          <w:b w:val="0"/>
          <w:bCs/>
          <w:szCs w:val="21"/>
          <w:highlight w:val="none"/>
        </w:rPr>
        <w:t>：</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highlight w:val="none"/>
          <w:lang w:eastAsia="zh-CN"/>
        </w:rPr>
      </w:pPr>
      <w:r>
        <w:rPr>
          <w:rFonts w:hint="eastAsia" w:ascii="仿宋" w:hAnsi="仿宋" w:eastAsia="仿宋" w:cs="仿宋"/>
          <w:bCs/>
          <w:szCs w:val="21"/>
          <w:highlight w:val="none"/>
        </w:rPr>
        <w:t>（3）履约担保：</w:t>
      </w:r>
      <w:r>
        <w:rPr>
          <w:rFonts w:hint="eastAsia" w:ascii="仿宋" w:hAnsi="仿宋" w:eastAsia="仿宋" w:cs="仿宋"/>
          <w:sz w:val="21"/>
          <w:highlight w:val="none"/>
          <w:lang w:val="en-US" w:eastAsia="zh-CN"/>
        </w:rPr>
        <w:t>是否收取履约保证金：</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是</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否</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w:t>
      </w:r>
      <w:r>
        <w:rPr>
          <w:rFonts w:hint="eastAsia" w:ascii="仿宋" w:hAnsi="仿宋" w:eastAsia="仿宋" w:cs="仿宋"/>
          <w:sz w:val="21"/>
          <w:highlight w:val="none"/>
          <w:lang w:val="en-US" w:eastAsia="zh-CN"/>
        </w:rPr>
        <w:t xml:space="preserve">  收取履约保证金形式：</w:t>
      </w:r>
      <w:r>
        <w:rPr>
          <w:rFonts w:hint="eastAsia" w:ascii="仿宋" w:hAnsi="仿宋" w:eastAsia="仿宋" w:cs="仿宋"/>
          <w:bCs/>
          <w:sz w:val="21"/>
          <w:szCs w:val="21"/>
          <w:highlight w:val="none"/>
          <w:u w:val="single"/>
        </w:rPr>
        <w:t xml:space="preserve">                            </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t xml:space="preserve">    收取履约保证金金额：</w:t>
      </w:r>
      <w:r>
        <w:rPr>
          <w:rFonts w:hint="eastAsia" w:ascii="仿宋" w:hAnsi="仿宋" w:eastAsia="仿宋" w:cs="仿宋"/>
          <w:bCs/>
          <w:sz w:val="21"/>
          <w:szCs w:val="21"/>
          <w:highlight w:val="none"/>
          <w:u w:val="single"/>
        </w:rPr>
        <w:t xml:space="preserve">                            </w:t>
      </w:r>
    </w:p>
    <w:p>
      <w:pPr>
        <w:snapToGrid w:val="0"/>
        <w:spacing w:beforeLines="0" w:line="400" w:lineRule="exact"/>
        <w:ind w:firstLine="420" w:firstLineChars="20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履约担保期限</w:t>
      </w:r>
      <w:r>
        <w:rPr>
          <w:rFonts w:hint="eastAsia" w:ascii="仿宋" w:hAnsi="仿宋" w:eastAsia="仿宋" w:cs="仿宋"/>
          <w:bCs/>
          <w:szCs w:val="21"/>
          <w:highlight w:val="none"/>
          <w:u w:val="none"/>
          <w:lang w:eastAsia="zh-CN"/>
        </w:rPr>
        <w:t>：</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 xml:space="preserve">                     </w:t>
      </w:r>
      <w:r>
        <w:rPr>
          <w:rFonts w:hint="eastAsia" w:ascii="仿宋" w:hAnsi="仿宋" w:eastAsia="仿宋" w:cs="仿宋"/>
          <w:bCs/>
          <w:sz w:val="21"/>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bCs/>
          <w:szCs w:val="21"/>
          <w:highlight w:val="none"/>
        </w:rPr>
        <w:t>（5）</w:t>
      </w:r>
      <w:r>
        <w:rPr>
          <w:rFonts w:hint="eastAsia" w:ascii="仿宋" w:hAnsi="仿宋" w:eastAsia="仿宋" w:cs="仿宋"/>
          <w:bCs/>
          <w:szCs w:val="21"/>
          <w:highlight w:val="none"/>
          <w:lang w:eastAsia="zh-CN"/>
        </w:rPr>
        <w:t>风险处置措施和替代方案</w:t>
      </w:r>
      <w:r>
        <w:rPr>
          <w:rFonts w:hint="eastAsia" w:ascii="仿宋" w:hAnsi="仿宋" w:eastAsia="仿宋" w:cs="仿宋"/>
          <w:bCs/>
          <w:szCs w:val="21"/>
          <w:highlight w:val="none"/>
        </w:rPr>
        <w:t>：</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szCs w:val="21"/>
          <w:highlight w:val="none"/>
          <w:u w:val="single"/>
        </w:rPr>
        <w:t xml:space="preserve">              </w:t>
      </w:r>
      <w:r>
        <w:rPr>
          <w:rFonts w:hint="eastAsia" w:ascii="仿宋" w:hAnsi="仿宋" w:eastAsia="仿宋" w:cs="仿宋"/>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合同验收</w:t>
      </w:r>
    </w:p>
    <w:p>
      <w:pPr>
        <w:numPr>
          <w:ilvl w:val="0"/>
          <w:numId w:val="3"/>
        </w:num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委托第三方组织</w:t>
      </w:r>
    </w:p>
    <w:p>
      <w:pPr>
        <w:numPr>
          <w:ilvl w:val="0"/>
          <w:numId w:val="0"/>
        </w:numPr>
        <w:adjustRightInd w:val="0"/>
        <w:snapToGrid w:val="0"/>
        <w:spacing w:before="0" w:beforeLines="0" w:line="400" w:lineRule="exact"/>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验收主体：</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是否邀请本项目的其他供应商</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是否邀请专家</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是否邀请服务对象</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是否邀请第三方检测机构</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lang w:eastAsia="zh-CN"/>
        </w:rPr>
        <w:t>是否进行抽查检测：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lang w:eastAsia="zh-CN"/>
        </w:rPr>
      </w:pPr>
      <w:r>
        <w:rPr>
          <w:rFonts w:hint="eastAsia" w:ascii="仿宋" w:hAnsi="仿宋" w:eastAsia="仿宋" w:cs="仿宋"/>
          <w:bCs/>
          <w:szCs w:val="21"/>
          <w:highlight w:val="none"/>
          <w:lang w:val="en-US" w:eastAsia="zh-CN"/>
        </w:rPr>
        <w:t>是否存在破坏性检测：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（计划于何时验收/供应商提出验收申请之日起   日内组织验收）</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（应明确分期</w:t>
      </w:r>
      <w:r>
        <w:rPr>
          <w:rFonts w:hint="eastAsia" w:ascii="仿宋" w:hAnsi="仿宋" w:eastAsia="仿宋" w:cs="仿宋"/>
          <w:bCs/>
          <w:szCs w:val="21"/>
          <w:highlight w:val="none"/>
          <w:u w:val="single"/>
          <w:lang w:val="en" w:eastAsia="zh-CN"/>
        </w:rPr>
        <w:t>/分项验收的工作安排</w:t>
      </w:r>
      <w:r>
        <w:rPr>
          <w:rFonts w:hint="eastAsia" w:ascii="仿宋" w:hAnsi="仿宋" w:eastAsia="仿宋" w:cs="仿宋"/>
          <w:bCs/>
          <w:szCs w:val="21"/>
          <w:highlight w:val="none"/>
          <w:u w:val="singl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pPr>
        <w:pStyle w:val="963"/>
        <w:spacing w:beforeLines="0"/>
        <w:rPr>
          <w:rFonts w:hint="eastAsia" w:ascii="仿宋" w:hAnsi="仿宋" w:eastAsia="仿宋" w:cs="仿宋"/>
          <w:sz w:val="21"/>
          <w:highlight w:val="none"/>
          <w:lang w:eastAsia="zh-CN"/>
        </w:rPr>
      </w:pPr>
      <w:r>
        <w:rPr>
          <w:rFonts w:hint="eastAsia" w:ascii="仿宋" w:hAnsi="仿宋" w:eastAsia="仿宋" w:cs="仿宋"/>
          <w:bCs/>
          <w:sz w:val="21"/>
          <w:szCs w:val="21"/>
          <w:highlight w:val="none"/>
          <w:u w:val="none"/>
          <w:lang w:eastAsia="zh-CN"/>
        </w:rPr>
        <w:t>（</w:t>
      </w:r>
      <w:r>
        <w:rPr>
          <w:rFonts w:hint="eastAsia" w:ascii="仿宋" w:hAnsi="仿宋" w:eastAsia="仿宋" w:cs="仿宋"/>
          <w:bCs/>
          <w:sz w:val="21"/>
          <w:szCs w:val="21"/>
          <w:highlight w:val="none"/>
          <w:u w:val="none"/>
          <w:lang w:val="en-US" w:eastAsia="zh-CN"/>
        </w:rPr>
        <w:t>7</w:t>
      </w:r>
      <w:r>
        <w:rPr>
          <w:rFonts w:hint="eastAsia" w:ascii="仿宋" w:hAnsi="仿宋" w:eastAsia="仿宋" w:cs="仿宋"/>
          <w:bCs/>
          <w:sz w:val="21"/>
          <w:szCs w:val="21"/>
          <w:highlight w:val="none"/>
          <w:u w:val="none"/>
          <w:lang w:eastAsia="zh-CN"/>
        </w:rPr>
        <w:t>）是否以采购活动中供应商提供的样品作为参考：</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否</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w:t>
      </w:r>
      <w:r>
        <w:rPr>
          <w:rFonts w:hint="eastAsia" w:ascii="仿宋" w:hAnsi="仿宋" w:eastAsia="仿宋" w:cs="仿宋"/>
          <w:bCs/>
          <w:i w:val="0"/>
          <w:iCs w:val="0"/>
          <w:szCs w:val="21"/>
          <w:highlight w:val="none"/>
          <w:u w:val="single"/>
        </w:rPr>
        <w:t>（产权过户登记等）</w:t>
      </w:r>
      <w:r>
        <w:rPr>
          <w:rFonts w:hint="eastAsia" w:ascii="仿宋" w:hAnsi="仿宋" w:eastAsia="仿宋" w:cs="仿宋"/>
          <w:bCs/>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组成合同的文件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）投标（响应）文件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（6）采购文件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（7）有关技术文件，图纸</w:t>
      </w:r>
    </w:p>
    <w:p>
      <w:pPr>
        <w:pStyle w:val="96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合同生效</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合同份数</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甲方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乙方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highlight w:val="none"/>
        </w:rPr>
      </w:pPr>
      <w:r>
        <w:rPr>
          <w:rFonts w:hint="eastAsia" w:ascii="仿宋" w:hAnsi="仿宋" w:eastAsia="仿宋" w:cs="仿宋"/>
          <w:szCs w:val="21"/>
          <w:highlight w:val="none"/>
        </w:rPr>
        <w:t>附件：具体标</w:t>
      </w:r>
      <w:r>
        <w:rPr>
          <w:rFonts w:hint="eastAsia" w:ascii="仿宋" w:hAnsi="仿宋" w:eastAsia="仿宋" w:cs="仿宋"/>
          <w:szCs w:val="21"/>
          <w:highlight w:val="none"/>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highlight w:val="none"/>
        </w:rPr>
        <w:t>、联合协议、分包</w:t>
      </w:r>
      <w:r>
        <w:rPr>
          <w:rFonts w:hint="eastAsia" w:ascii="仿宋" w:hAnsi="仿宋" w:eastAsia="仿宋" w:cs="仿宋"/>
          <w:szCs w:val="21"/>
          <w:highlight w:val="none"/>
          <w:lang w:eastAsia="zh-CN"/>
        </w:rPr>
        <w:t>意向</w:t>
      </w:r>
      <w:r>
        <w:rPr>
          <w:rFonts w:hint="eastAsia" w:ascii="仿宋" w:hAnsi="仿宋" w:eastAsia="仿宋" w:cs="仿宋"/>
          <w:szCs w:val="21"/>
          <w:highlight w:val="none"/>
        </w:rPr>
        <w:t>协议等。</w:t>
      </w:r>
    </w:p>
    <w:p>
      <w:pPr>
        <w:pStyle w:val="790"/>
        <w:spacing w:beforeLines="0" w:line="400" w:lineRule="exact"/>
        <w:rPr>
          <w:rFonts w:hint="eastAsia" w:ascii="仿宋" w:hAnsi="仿宋" w:eastAsia="仿宋" w:cs="仿宋"/>
          <w:highlight w:val="none"/>
        </w:rPr>
      </w:pPr>
    </w:p>
    <w:p>
      <w:pPr>
        <w:pStyle w:val="3"/>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highlight w:val="none"/>
          <w:lang w:val="en"/>
        </w:rPr>
        <w:t xml:space="preserve">   </w:t>
      </w:r>
    </w:p>
    <w:p>
      <w:pPr>
        <w:rPr>
          <w:rFonts w:hint="eastAsia" w:ascii="仿宋" w:hAnsi="仿宋" w:eastAsia="仿宋" w:cs="仿宋"/>
          <w:highlight w:val="none"/>
        </w:rPr>
      </w:pPr>
      <w:r>
        <w:rPr>
          <w:rFonts w:hint="eastAsia" w:ascii="仿宋" w:hAnsi="仿宋" w:eastAsia="仿宋" w:cs="仿宋"/>
          <w:highlight w:val="none"/>
        </w:rPr>
        <w:br w:type="page"/>
      </w:r>
    </w:p>
    <w:p>
      <w:pPr>
        <w:pStyle w:val="790"/>
        <w:rPr>
          <w:rFonts w:hint="eastAsia" w:ascii="仿宋" w:hAnsi="仿宋" w:eastAsia="仿宋" w:cs="仿宋"/>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甲方（采购人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ind w:firstLine="100" w:firstLineChars="48"/>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4"/>
              <w:adjustRightInd w:val="0"/>
              <w:snapToGrid w:val="0"/>
              <w:spacing w:before="156" w:beforeLines="50" w:after="0" w:line="360" w:lineRule="auto"/>
              <w:ind w:left="0" w:leftChars="0"/>
              <w:jc w:val="left"/>
              <w:rPr>
                <w:rFonts w:hint="eastAsia"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sz w:val="28"/>
          <w:szCs w:val="28"/>
          <w:highlight w:val="none"/>
        </w:rPr>
      </w:pPr>
      <w:r>
        <w:rPr>
          <w:rFonts w:hint="eastAsia" w:ascii="仿宋" w:hAnsi="仿宋" w:eastAsia="仿宋" w:cs="仿宋"/>
          <w:sz w:val="21"/>
          <w:szCs w:val="21"/>
          <w:highlight w:val="none"/>
          <w:u w:val="single"/>
        </w:rPr>
        <w:br w:type="page"/>
      </w:r>
      <w:bookmarkStart w:id="46" w:name="_Toc27624"/>
      <w:r>
        <w:rPr>
          <w:rFonts w:hint="eastAsia" w:ascii="仿宋" w:hAnsi="仿宋" w:eastAsia="仿宋" w:cs="仿宋"/>
          <w:b w:val="0"/>
          <w:bCs w:val="0"/>
          <w:sz w:val="28"/>
          <w:szCs w:val="28"/>
          <w:highlight w:val="none"/>
        </w:rPr>
        <w:t>第二节 政府采购合同通用条款</w:t>
      </w:r>
      <w:bookmarkEnd w:id="46"/>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 xml:space="preserve"> </w:t>
      </w:r>
      <w:r>
        <w:rPr>
          <w:rFonts w:hint="eastAsia" w:ascii="仿宋" w:hAnsi="仿宋" w:eastAsia="仿宋" w:cs="仿宋"/>
          <w:b/>
          <w:bCs/>
          <w:sz w:val="24"/>
          <w:highlight w:val="none"/>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szCs w:val="21"/>
          <w:highlight w:val="none"/>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szCs w:val="21"/>
          <w:highlight w:val="none"/>
        </w:rPr>
        <w:t>政府采购合同专用条款</w:t>
      </w:r>
      <w:r>
        <w:rPr>
          <w:rFonts w:hint="eastAsia" w:ascii="仿宋" w:hAnsi="仿宋" w:eastAsia="仿宋" w:cs="仿宋"/>
          <w:szCs w:val="21"/>
          <w:highlight w:val="none"/>
          <w:lang w:eastAsia="zh-CN"/>
        </w:rPr>
        <w:t>，</w:t>
      </w:r>
      <w:r>
        <w:rPr>
          <w:rFonts w:hint="eastAsia" w:ascii="仿宋" w:hAnsi="仿宋" w:eastAsia="仿宋" w:cs="仿宋"/>
          <w:szCs w:val="21"/>
          <w:highlight w:val="none"/>
        </w:rPr>
        <w:t>政府采购合同通用条款</w:t>
      </w:r>
      <w:r>
        <w:rPr>
          <w:rFonts w:hint="eastAsia" w:ascii="仿宋" w:hAnsi="仿宋" w:eastAsia="仿宋" w:cs="仿宋"/>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投标（响应）文件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有关技术文件</w:t>
      </w:r>
      <w:r>
        <w:rPr>
          <w:rFonts w:hint="eastAsia" w:ascii="仿宋" w:hAnsi="仿宋" w:eastAsia="仿宋" w:cs="仿宋"/>
          <w:szCs w:val="21"/>
          <w:highlight w:val="none"/>
          <w:lang w:eastAsia="zh-CN"/>
        </w:rPr>
        <w:t>和</w:t>
      </w:r>
      <w:r>
        <w:rPr>
          <w:rFonts w:hint="eastAsia" w:ascii="仿宋" w:hAnsi="仿宋" w:eastAsia="仿宋" w:cs="仿宋"/>
          <w:szCs w:val="21"/>
          <w:highlight w:val="none"/>
        </w:rPr>
        <w:t>图纸</w:t>
      </w:r>
      <w:r>
        <w:rPr>
          <w:rFonts w:hint="eastAsia" w:ascii="仿宋" w:hAnsi="仿宋" w:eastAsia="仿宋" w:cs="仿宋"/>
          <w:szCs w:val="21"/>
          <w:highlight w:val="none"/>
          <w:lang w:eastAsia="zh-CN"/>
        </w:rPr>
        <w:t>，以及</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w:t>
      </w:r>
      <w:r>
        <w:rPr>
          <w:rFonts w:hint="eastAsia" w:ascii="仿宋" w:hAnsi="仿宋" w:eastAsia="仿宋" w:cs="仿宋"/>
          <w:color w:val="000000"/>
          <w:szCs w:val="21"/>
          <w:highlight w:val="none"/>
          <w:lang w:eastAsia="zh-CN"/>
        </w:rPr>
        <w:t>等</w:t>
      </w:r>
      <w:r>
        <w:rPr>
          <w:rFonts w:hint="eastAsia" w:ascii="仿宋" w:hAnsi="仿宋" w:eastAsia="仿宋" w:cs="仿宋"/>
          <w:color w:val="000000"/>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szCs w:val="21"/>
          <w:highlight w:val="none"/>
        </w:rPr>
        <w:t>服务”系指根据合同规定，乙方应提供的</w:t>
      </w:r>
      <w:r>
        <w:rPr>
          <w:rFonts w:hint="eastAsia" w:ascii="仿宋" w:hAnsi="仿宋" w:eastAsia="仿宋" w:cs="仿宋"/>
          <w:color w:val="000000"/>
          <w:szCs w:val="21"/>
          <w:highlight w:val="none"/>
          <w:lang w:val="en-US" w:eastAsia="zh-CN"/>
        </w:rPr>
        <w:t>与货物有关的</w:t>
      </w:r>
      <w:r>
        <w:rPr>
          <w:rFonts w:hint="eastAsia" w:ascii="仿宋" w:hAnsi="仿宋" w:eastAsia="仿宋" w:cs="仿宋"/>
          <w:color w:val="000000"/>
          <w:szCs w:val="21"/>
          <w:highlight w:val="none"/>
        </w:rPr>
        <w:t>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w:t>
      </w:r>
      <w:r>
        <w:rPr>
          <w:rFonts w:hint="eastAsia" w:ascii="仿宋" w:hAnsi="仿宋" w:eastAsia="仿宋" w:cs="仿宋"/>
          <w:color w:val="000000"/>
          <w:szCs w:val="21"/>
          <w:highlight w:val="none"/>
          <w:lang w:eastAsia="zh-CN"/>
        </w:rPr>
        <w:t>废弃处置、</w:t>
      </w:r>
      <w:r>
        <w:rPr>
          <w:rFonts w:hint="eastAsia" w:ascii="仿宋" w:hAnsi="仿宋" w:eastAsia="仿宋" w:cs="仿宋"/>
          <w:color w:val="000000"/>
          <w:szCs w:val="21"/>
          <w:highlight w:val="none"/>
        </w:rPr>
        <w:t>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）“分包”系指中标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供应商按采购文件、投标（响应）文件的规定，根据分包意向协议，将中标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项目中的部分履约内容，分给具</w:t>
      </w:r>
      <w:bookmarkStart w:id="59" w:name="_GoBack"/>
      <w:bookmarkEnd w:id="59"/>
      <w:r>
        <w:rPr>
          <w:rFonts w:hint="eastAsia" w:ascii="仿宋" w:hAnsi="仿宋" w:eastAsia="仿宋" w:cs="仿宋"/>
          <w:color w:val="000000"/>
          <w:szCs w:val="21"/>
          <w:highlight w:val="none"/>
        </w:rPr>
        <w:t>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w:t>
      </w:r>
      <w:r>
        <w:rPr>
          <w:rFonts w:hint="eastAsia" w:ascii="仿宋" w:hAnsi="仿宋" w:eastAsia="仿宋" w:cs="仿宋"/>
          <w:szCs w:val="21"/>
          <w:highlight w:val="none"/>
        </w:rPr>
        <w:t>“联合体”系指</w:t>
      </w:r>
      <w:r>
        <w:rPr>
          <w:rFonts w:hint="eastAsia" w:ascii="仿宋" w:hAnsi="仿宋" w:eastAsia="仿宋" w:cs="仿宋"/>
          <w:szCs w:val="21"/>
          <w:highlight w:val="none"/>
          <w:lang w:eastAsia="zh-CN"/>
        </w:rPr>
        <w:t>由</w:t>
      </w:r>
      <w:r>
        <w:rPr>
          <w:rFonts w:hint="eastAsia" w:ascii="仿宋" w:hAnsi="仿宋" w:eastAsia="仿宋" w:cs="仿宋"/>
          <w:szCs w:val="21"/>
          <w:highlight w:val="none"/>
        </w:rPr>
        <w:t>两个以上的自然人、法人或者</w:t>
      </w:r>
      <w:r>
        <w:rPr>
          <w:rFonts w:hint="eastAsia" w:ascii="仿宋" w:hAnsi="仿宋" w:eastAsia="仿宋" w:cs="仿宋"/>
          <w:szCs w:val="21"/>
          <w:highlight w:val="none"/>
          <w:lang w:val="en-US" w:eastAsia="zh-CN"/>
        </w:rPr>
        <w:t>非法人</w:t>
      </w:r>
      <w:r>
        <w:rPr>
          <w:rFonts w:hint="eastAsia" w:ascii="仿宋" w:hAnsi="仿宋" w:eastAsia="仿宋" w:cs="仿宋"/>
          <w:szCs w:val="21"/>
          <w:highlight w:val="none"/>
        </w:rPr>
        <w:t>组织组成，</w:t>
      </w:r>
      <w:r>
        <w:rPr>
          <w:rFonts w:hint="eastAsia" w:ascii="仿宋" w:hAnsi="仿宋" w:eastAsia="仿宋" w:cs="仿宋"/>
          <w:szCs w:val="21"/>
          <w:highlight w:val="none"/>
          <w:lang w:eastAsia="zh-CN"/>
        </w:rPr>
        <w:t>以一个供应商的身份共同参加政府采购的主体</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承担连带责任。联合体具体要求见【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lang w:eastAsia="zh-CN"/>
        </w:rPr>
        <w:t>2</w:t>
      </w:r>
      <w:r>
        <w:rPr>
          <w:rFonts w:hint="eastAsia" w:ascii="仿宋" w:hAnsi="仿宋" w:eastAsia="仿宋" w:cs="仿宋"/>
          <w:color w:val="000000"/>
          <w:szCs w:val="21"/>
          <w:highlight w:val="none"/>
        </w:rPr>
        <w:t>.1 合同标的及金额应与中标（成交）结果一致。乙方为履行本合同而发生的所有费用均应包含在合同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pPr>
        <w:adjustRightInd w:val="0"/>
        <w:snapToGrid w:val="0"/>
        <w:spacing w:before="0"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3</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3</w:t>
      </w:r>
      <w:r>
        <w:rPr>
          <w:rFonts w:hint="eastAsia" w:ascii="仿宋" w:hAnsi="仿宋" w:eastAsia="仿宋" w:cs="仿宋"/>
          <w:color w:val="000000"/>
          <w:szCs w:val="21"/>
          <w:highlight w:val="none"/>
        </w:rPr>
        <w:t xml:space="preserve">.1 </w:t>
      </w:r>
      <w:r>
        <w:rPr>
          <w:rFonts w:hint="eastAsia" w:ascii="仿宋" w:hAnsi="仿宋" w:eastAsia="仿宋" w:cs="仿宋"/>
          <w:szCs w:val="21"/>
          <w:highlight w:val="none"/>
        </w:rPr>
        <w:t>乙方应当在约定的时间、地点</w:t>
      </w:r>
      <w:r>
        <w:rPr>
          <w:rFonts w:hint="eastAsia" w:ascii="仿宋" w:hAnsi="仿宋" w:eastAsia="仿宋" w:cs="仿宋"/>
          <w:szCs w:val="21"/>
          <w:highlight w:val="none"/>
          <w:lang w:eastAsia="zh-CN"/>
        </w:rPr>
        <w:t>，按照约定</w:t>
      </w:r>
      <w:r>
        <w:rPr>
          <w:rFonts w:hint="eastAsia" w:ascii="仿宋" w:hAnsi="仿宋" w:eastAsia="仿宋" w:cs="仿宋"/>
          <w:szCs w:val="21"/>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4</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.1 签署合同后，甲方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highlight w:val="none"/>
          <w:lang w:val="en-US" w:eastAsia="zh-CN"/>
        </w:rPr>
      </w:pPr>
      <w:r>
        <w:rPr>
          <w:rFonts w:hint="eastAsia" w:ascii="仿宋" w:hAnsi="仿宋" w:eastAsia="仿宋" w:cs="仿宋"/>
          <w:color w:val="000000"/>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 xml:space="preserve"> 甲方应当根据合同约定</w:t>
      </w:r>
      <w:r>
        <w:rPr>
          <w:rFonts w:hint="eastAsia" w:ascii="仿宋" w:hAnsi="仿宋" w:eastAsia="仿宋" w:cs="仿宋"/>
          <w:color w:val="000000"/>
          <w:szCs w:val="21"/>
          <w:highlight w:val="none"/>
          <w:lang w:eastAsia="zh-CN"/>
        </w:rPr>
        <w:t>及</w:t>
      </w:r>
      <w:r>
        <w:rPr>
          <w:rFonts w:hint="eastAsia" w:ascii="仿宋" w:hAnsi="仿宋" w:eastAsia="仿宋" w:cs="仿宋"/>
          <w:color w:val="000000"/>
          <w:szCs w:val="21"/>
          <w:highlight w:val="none"/>
        </w:rPr>
        <w:t>时向乙方支付</w:t>
      </w:r>
      <w:r>
        <w:rPr>
          <w:rFonts w:hint="eastAsia" w:ascii="仿宋" w:hAnsi="仿宋" w:eastAsia="仿宋" w:cs="仿宋"/>
          <w:color w:val="000000"/>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 xml:space="preserve"> 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lang w:eastAsia="zh-CN"/>
        </w:rPr>
        <w:t>约定应</w:t>
      </w:r>
      <w:r>
        <w:rPr>
          <w:rFonts w:hint="eastAsia" w:ascii="仿宋" w:hAnsi="仿宋" w:eastAsia="仿宋" w:cs="仿宋"/>
          <w:color w:val="000000"/>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5</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.1 签署合同后，乙方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.2 乙方应按照合同要求履约，充分合理安排，确保提供的货物</w:t>
      </w:r>
      <w:r>
        <w:rPr>
          <w:rFonts w:hint="eastAsia" w:ascii="仿宋" w:hAnsi="仿宋" w:eastAsia="仿宋" w:cs="仿宋"/>
          <w:color w:val="000000"/>
          <w:szCs w:val="21"/>
          <w:highlight w:val="none"/>
          <w:lang w:eastAsia="zh-CN"/>
        </w:rPr>
        <w:t>及相关</w:t>
      </w:r>
      <w:r>
        <w:rPr>
          <w:rFonts w:hint="eastAsia" w:ascii="仿宋" w:hAnsi="仿宋" w:eastAsia="仿宋" w:cs="仿宋"/>
          <w:color w:val="000000"/>
          <w:szCs w:val="21"/>
          <w:highlight w:val="none"/>
        </w:rPr>
        <w:t>服务符合合同</w:t>
      </w:r>
      <w:r>
        <w:rPr>
          <w:rFonts w:hint="eastAsia" w:ascii="仿宋" w:hAnsi="仿宋" w:eastAsia="仿宋" w:cs="仿宋"/>
          <w:color w:val="000000"/>
          <w:szCs w:val="21"/>
          <w:highlight w:val="none"/>
          <w:lang w:eastAsia="zh-CN"/>
        </w:rPr>
        <w:t>有关</w:t>
      </w:r>
      <w:r>
        <w:rPr>
          <w:rFonts w:hint="eastAsia" w:ascii="仿宋" w:hAnsi="仿宋" w:eastAsia="仿宋" w:cs="仿宋"/>
          <w:color w:val="000000"/>
          <w:szCs w:val="21"/>
          <w:highlight w:val="none"/>
        </w:rPr>
        <w:t>要求。接受项目行业管理部门及政府有关部门的指导，配合甲方的履约检查</w:t>
      </w:r>
      <w:r>
        <w:rPr>
          <w:rFonts w:hint="eastAsia" w:ascii="仿宋" w:hAnsi="仿宋" w:eastAsia="仿宋" w:cs="仿宋"/>
          <w:color w:val="000000"/>
          <w:szCs w:val="21"/>
          <w:highlight w:val="none"/>
          <w:lang w:eastAsia="zh-CN"/>
        </w:rPr>
        <w:t>及验收</w:t>
      </w:r>
      <w:r>
        <w:rPr>
          <w:rFonts w:hint="eastAsia" w:ascii="仿宋" w:hAnsi="仿宋" w:eastAsia="仿宋" w:cs="仿宋"/>
          <w:color w:val="000000"/>
          <w:szCs w:val="21"/>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.3乙方有权根据合同约定向甲方收取</w:t>
      </w:r>
      <w:r>
        <w:rPr>
          <w:rFonts w:hint="eastAsia" w:ascii="仿宋" w:hAnsi="仿宋" w:eastAsia="仿宋" w:cs="仿宋"/>
          <w:color w:val="000000"/>
          <w:szCs w:val="21"/>
          <w:highlight w:val="none"/>
          <w:lang w:eastAsia="zh-CN"/>
        </w:rPr>
        <w:t>合同价款</w:t>
      </w:r>
      <w:r>
        <w:rPr>
          <w:rFonts w:hint="eastAsia" w:ascii="仿宋" w:hAnsi="仿宋" w:eastAsia="仿宋" w:cs="仿宋"/>
          <w:color w:val="000000"/>
          <w:szCs w:val="21"/>
          <w:highlight w:val="none"/>
        </w:rPr>
        <w:t>。</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.4国家法律法规规定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szCs w:val="21"/>
          <w:highlight w:val="none"/>
        </w:rPr>
        <w:t>由乙方承担的其他义务和责任。</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w:t>
      </w:r>
      <w:r>
        <w:rPr>
          <w:rFonts w:hint="eastAsia" w:ascii="仿宋" w:hAnsi="仿宋" w:eastAsia="仿宋" w:cs="仿宋"/>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7</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货物包装、运输</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保险</w:t>
      </w:r>
      <w:r>
        <w:rPr>
          <w:rFonts w:hint="eastAsia" w:ascii="仿宋" w:hAnsi="仿宋" w:eastAsia="仿宋" w:cs="仿宋"/>
          <w:b/>
          <w:bCs/>
          <w:color w:val="000000"/>
          <w:sz w:val="24"/>
          <w:highlight w:val="none"/>
          <w:lang w:eastAsia="zh-CN"/>
        </w:rPr>
        <w:t>和交付</w:t>
      </w:r>
      <w:r>
        <w:rPr>
          <w:rFonts w:hint="eastAsia" w:ascii="仿宋" w:hAnsi="仿宋" w:eastAsia="仿宋" w:cs="仿宋"/>
          <w:b/>
          <w:bCs/>
          <w:color w:val="000000"/>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.1 本合同</w:t>
      </w:r>
      <w:r>
        <w:rPr>
          <w:rFonts w:hint="eastAsia" w:ascii="仿宋" w:hAnsi="仿宋" w:eastAsia="仿宋" w:cs="仿宋"/>
          <w:bCs/>
          <w:color w:val="000000"/>
          <w:szCs w:val="21"/>
          <w:highlight w:val="none"/>
        </w:rPr>
        <w:t>涉及商品包装</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rPr>
        <w:t>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 w:val="0"/>
          <w:bCs/>
          <w:color w:val="000000"/>
          <w:szCs w:val="21"/>
          <w:highlight w:val="none"/>
          <w:lang w:eastAsia="zh-CN"/>
        </w:rPr>
        <w:t>约定的</w:t>
      </w:r>
      <w:r>
        <w:rPr>
          <w:rFonts w:hint="eastAsia" w:ascii="仿宋" w:hAnsi="仿宋" w:eastAsia="仿宋" w:cs="仿宋"/>
          <w:color w:val="000000"/>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乙方负责办理将货物运抵本合同规定的交货地点</w:t>
      </w:r>
      <w:r>
        <w:rPr>
          <w:rFonts w:hint="eastAsia" w:ascii="仿宋" w:hAnsi="仿宋" w:eastAsia="仿宋" w:cs="仿宋"/>
          <w:color w:val="000000"/>
          <w:szCs w:val="21"/>
          <w:highlight w:val="none"/>
          <w:lang w:eastAsia="zh-CN"/>
        </w:rPr>
        <w:t>，并装卸、交付至甲方</w:t>
      </w:r>
      <w:r>
        <w:rPr>
          <w:rFonts w:hint="eastAsia" w:ascii="仿宋" w:hAnsi="仿宋" w:eastAsia="仿宋" w:cs="仿宋"/>
          <w:color w:val="000000"/>
          <w:szCs w:val="21"/>
          <w:highlight w:val="none"/>
        </w:rPr>
        <w:t>的一切运输事项，相关费用应</w:t>
      </w:r>
      <w:r>
        <w:rPr>
          <w:rFonts w:hint="eastAsia" w:ascii="仿宋" w:hAnsi="仿宋" w:eastAsia="仿宋" w:cs="仿宋"/>
          <w:color w:val="000000"/>
          <w:szCs w:val="21"/>
          <w:highlight w:val="none"/>
          <w:lang w:eastAsia="zh-CN"/>
        </w:rPr>
        <w:t>包含</w:t>
      </w:r>
      <w:r>
        <w:rPr>
          <w:rFonts w:hint="eastAsia" w:ascii="仿宋" w:hAnsi="仿宋" w:eastAsia="仿宋" w:cs="仿宋"/>
          <w:color w:val="000000"/>
          <w:szCs w:val="21"/>
          <w:highlight w:val="none"/>
        </w:rPr>
        <w:t>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 xml:space="preserve">.4 </w:t>
      </w:r>
      <w:r>
        <w:rPr>
          <w:rFonts w:hint="eastAsia" w:ascii="仿宋" w:hAnsi="仿宋" w:eastAsia="仿宋" w:cs="仿宋"/>
          <w:color w:val="000000"/>
          <w:szCs w:val="21"/>
          <w:highlight w:val="none"/>
          <w:lang w:val="en-US" w:eastAsia="zh-CN"/>
        </w:rPr>
        <w:t>除采购活动</w:t>
      </w:r>
      <w:r>
        <w:rPr>
          <w:rFonts w:hint="eastAsia" w:ascii="仿宋" w:hAnsi="仿宋" w:eastAsia="仿宋" w:cs="仿宋"/>
          <w:color w:val="000000"/>
          <w:szCs w:val="21"/>
          <w:highlight w:val="none"/>
        </w:rPr>
        <w:t>对商品包装</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w:t>
      </w:r>
      <w:r>
        <w:rPr>
          <w:rFonts w:hint="eastAsia" w:ascii="仿宋" w:hAnsi="仿宋" w:eastAsia="仿宋" w:cs="仿宋"/>
          <w:color w:val="000000"/>
          <w:szCs w:val="21"/>
          <w:highlight w:val="none"/>
          <w:lang w:val="en-US" w:eastAsia="zh-CN"/>
        </w:rPr>
        <w:t>达成具体约定外</w:t>
      </w:r>
      <w:r>
        <w:rPr>
          <w:rFonts w:hint="eastAsia" w:ascii="仿宋" w:hAnsi="仿宋" w:eastAsia="仿宋" w:cs="仿宋"/>
          <w:color w:val="000000"/>
          <w:szCs w:val="21"/>
          <w:highlight w:val="none"/>
        </w:rPr>
        <w:t>，乙方提供产品及相关快递服务</w:t>
      </w:r>
      <w:r>
        <w:rPr>
          <w:rFonts w:hint="eastAsia" w:ascii="仿宋" w:hAnsi="仿宋" w:eastAsia="仿宋" w:cs="仿宋"/>
          <w:color w:val="000000"/>
          <w:szCs w:val="21"/>
          <w:highlight w:val="none"/>
          <w:lang w:val="en-US" w:eastAsia="zh-CN"/>
        </w:rPr>
        <w:t>涉及到</w:t>
      </w:r>
      <w:r>
        <w:rPr>
          <w:rFonts w:hint="eastAsia" w:ascii="仿宋" w:hAnsi="仿宋" w:eastAsia="仿宋" w:cs="仿宋"/>
          <w:color w:val="000000"/>
          <w:szCs w:val="21"/>
          <w:highlight w:val="none"/>
        </w:rPr>
        <w:t>具体包装要求</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应</w:t>
      </w:r>
      <w:r>
        <w:rPr>
          <w:rFonts w:hint="eastAsia" w:ascii="仿宋" w:hAnsi="仿宋" w:eastAsia="仿宋" w:cs="仿宋"/>
          <w:color w:val="000000"/>
          <w:szCs w:val="21"/>
          <w:highlight w:val="none"/>
          <w:lang w:val="en-US" w:eastAsia="zh-CN"/>
        </w:rPr>
        <w:t>不低于</w:t>
      </w:r>
      <w:r>
        <w:rPr>
          <w:rFonts w:hint="eastAsia" w:ascii="仿宋" w:hAnsi="仿宋" w:eastAsia="仿宋" w:cs="仿宋"/>
          <w:color w:val="000000"/>
          <w:szCs w:val="21"/>
          <w:highlight w:val="none"/>
        </w:rPr>
        <w:t>《商品包装政府采购需求标准（试行）</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快递包装政府采购需求标准（试行）》</w:t>
      </w:r>
      <w:r>
        <w:rPr>
          <w:rFonts w:hint="eastAsia" w:ascii="仿宋" w:hAnsi="仿宋" w:eastAsia="仿宋" w:cs="仿宋"/>
          <w:color w:val="000000"/>
          <w:szCs w:val="21"/>
          <w:highlight w:val="none"/>
          <w:lang w:val="en-US" w:eastAsia="zh-CN"/>
        </w:rPr>
        <w:t>标准</w:t>
      </w:r>
      <w:r>
        <w:rPr>
          <w:rFonts w:hint="eastAsia" w:ascii="仿宋" w:hAnsi="仿宋" w:eastAsia="仿宋" w:cs="仿宋"/>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 xml:space="preserve">7.5 </w:t>
      </w:r>
      <w:r>
        <w:rPr>
          <w:rFonts w:hint="eastAsia" w:ascii="仿宋" w:hAnsi="仿宋" w:eastAsia="仿宋" w:cs="仿宋"/>
          <w:color w:val="000000"/>
          <w:szCs w:val="21"/>
          <w:highlight w:val="none"/>
        </w:rPr>
        <w:t>乙方在运输到达之前</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提前通知</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，并提示货物运输装卸的注意事项</w:t>
      </w:r>
      <w:r>
        <w:rPr>
          <w:rFonts w:hint="eastAsia" w:ascii="仿宋" w:hAnsi="仿宋" w:eastAsia="仿宋" w:cs="仿宋"/>
          <w:color w:val="000000"/>
          <w:szCs w:val="21"/>
          <w:highlight w:val="none"/>
          <w:lang w:eastAsia="zh-CN"/>
        </w:rPr>
        <w:t>，甲方配合乙方做好货物的接收工作。</w:t>
      </w:r>
    </w:p>
    <w:p>
      <w:pPr>
        <w:pStyle w:val="963"/>
        <w:rPr>
          <w:rFonts w:hint="eastAsia" w:ascii="仿宋" w:hAnsi="仿宋" w:eastAsia="仿宋" w:cs="仿宋"/>
          <w:sz w:val="21"/>
          <w:highlight w:val="none"/>
          <w:lang w:val="en-US" w:eastAsia="zh-CN"/>
        </w:rPr>
      </w:pPr>
      <w:r>
        <w:rPr>
          <w:rFonts w:hint="eastAsia" w:ascii="仿宋" w:hAnsi="仿宋" w:eastAsia="仿宋" w:cs="仿宋"/>
          <w:color w:val="000000"/>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sz w:val="24"/>
          <w:highlight w:val="none"/>
          <w:lang w:eastAsia="zh-CN"/>
        </w:rPr>
        <w:t>8</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highlight w:val="none"/>
          <w:lang w:eastAsia="zh-CN"/>
        </w:rPr>
        <w:t>约</w:t>
      </w:r>
      <w:r>
        <w:rPr>
          <w:rFonts w:hint="eastAsia" w:ascii="仿宋" w:hAnsi="仿宋" w:eastAsia="仿宋" w:cs="仿宋"/>
          <w:color w:val="000000"/>
          <w:szCs w:val="21"/>
          <w:highlight w:val="none"/>
        </w:rPr>
        <w:t>定的</w:t>
      </w:r>
      <w:r>
        <w:rPr>
          <w:rFonts w:hint="eastAsia" w:ascii="仿宋" w:hAnsi="仿宋" w:eastAsia="仿宋" w:cs="仿宋"/>
          <w:szCs w:val="21"/>
          <w:highlight w:val="none"/>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highlight w:val="none"/>
        </w:rPr>
        <w:t>在其使用寿命期内具</w:t>
      </w:r>
      <w:r>
        <w:rPr>
          <w:rFonts w:hint="eastAsia" w:ascii="仿宋" w:hAnsi="仿宋" w:eastAsia="仿宋" w:cs="仿宋"/>
          <w:szCs w:val="21"/>
          <w:highlight w:val="none"/>
          <w:lang w:eastAsia="zh-CN"/>
        </w:rPr>
        <w:t>备合同约定</w:t>
      </w:r>
      <w:r>
        <w:rPr>
          <w:rFonts w:hint="eastAsia" w:ascii="仿宋" w:hAnsi="仿宋" w:eastAsia="仿宋" w:cs="仿宋"/>
          <w:szCs w:val="21"/>
          <w:highlight w:val="none"/>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 xml:space="preserve">.2 </w:t>
      </w:r>
      <w:r>
        <w:rPr>
          <w:rFonts w:hint="eastAsia" w:ascii="仿宋" w:hAnsi="仿宋" w:eastAsia="仿宋" w:cs="仿宋"/>
          <w:szCs w:val="15"/>
          <w:highlight w:val="none"/>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.3 如甲方使用</w:t>
      </w:r>
      <w:r>
        <w:rPr>
          <w:rFonts w:hint="eastAsia" w:ascii="仿宋" w:hAnsi="仿宋" w:eastAsia="仿宋" w:cs="仿宋"/>
          <w:color w:val="000000"/>
          <w:szCs w:val="21"/>
          <w:highlight w:val="none"/>
          <w:lang w:val="en-US" w:eastAsia="zh-CN"/>
        </w:rPr>
        <w:t>上述</w:t>
      </w:r>
      <w:r>
        <w:rPr>
          <w:rFonts w:hint="eastAsia" w:ascii="仿宋" w:hAnsi="仿宋" w:eastAsia="仿宋" w:cs="仿宋"/>
          <w:color w:val="000000"/>
          <w:szCs w:val="21"/>
          <w:highlight w:val="none"/>
        </w:rPr>
        <w:t>货物构成</w:t>
      </w:r>
      <w:r>
        <w:rPr>
          <w:rFonts w:hint="eastAsia" w:ascii="仿宋" w:hAnsi="仿宋" w:eastAsia="仿宋" w:cs="仿宋"/>
          <w:color w:val="000000"/>
          <w:szCs w:val="21"/>
          <w:highlight w:val="none"/>
          <w:lang w:val="en-US" w:eastAsia="zh-CN"/>
        </w:rPr>
        <w:t>对第三人</w:t>
      </w:r>
      <w:r>
        <w:rPr>
          <w:rFonts w:hint="eastAsia" w:ascii="仿宋" w:hAnsi="仿宋" w:eastAsia="仿宋" w:cs="仿宋"/>
          <w:color w:val="000000"/>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w:t>
      </w:r>
      <w:r>
        <w:rPr>
          <w:rFonts w:hint="eastAsia" w:ascii="仿宋" w:hAnsi="仿宋" w:eastAsia="仿宋" w:cs="仿宋"/>
          <w:b/>
          <w:bCs/>
          <w:color w:val="000000"/>
          <w:sz w:val="24"/>
          <w:highlight w:val="none"/>
          <w:lang w:eastAsia="zh-CN"/>
        </w:rPr>
        <w:t>0</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rPr>
        <w:t>1</w:t>
      </w:r>
      <w:r>
        <w:rPr>
          <w:rFonts w:hint="eastAsia" w:ascii="仿宋" w:hAnsi="仿宋" w:eastAsia="仿宋" w:cs="仿宋"/>
          <w:color w:val="000000"/>
          <w:szCs w:val="21"/>
          <w:highlight w:val="none"/>
          <w:lang w:eastAsia="zh-CN"/>
        </w:rPr>
        <w:t>0</w:t>
      </w:r>
      <w:r>
        <w:rPr>
          <w:rFonts w:hint="eastAsia" w:ascii="仿宋" w:hAnsi="仿宋" w:eastAsia="仿宋" w:cs="仿宋"/>
          <w:color w:val="000000"/>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47"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highlight w:val="none"/>
        </w:rPr>
      </w:pPr>
      <w:r>
        <w:rPr>
          <w:rFonts w:hint="eastAsia" w:ascii="仿宋" w:hAnsi="仿宋" w:eastAsia="仿宋" w:cs="仿宋"/>
          <w:szCs w:val="15"/>
          <w:highlight w:val="none"/>
          <w:lang w:val="en-US" w:eastAsia="zh-CN"/>
        </w:rPr>
        <w:t xml:space="preserve">11.1 </w:t>
      </w:r>
      <w:r>
        <w:rPr>
          <w:rFonts w:hint="eastAsia" w:ascii="仿宋" w:hAnsi="仿宋" w:eastAsia="仿宋" w:cs="仿宋"/>
          <w:szCs w:val="15"/>
          <w:highlight w:val="none"/>
        </w:rPr>
        <w:t>甲、乙双方</w:t>
      </w:r>
      <w:r>
        <w:rPr>
          <w:rFonts w:hint="eastAsia" w:ascii="仿宋" w:hAnsi="仿宋" w:eastAsia="仿宋" w:cs="仿宋"/>
          <w:szCs w:val="15"/>
          <w:highlight w:val="none"/>
          <w:lang w:eastAsia="zh-CN"/>
        </w:rPr>
        <w:t>对</w:t>
      </w:r>
      <w:r>
        <w:rPr>
          <w:rFonts w:hint="eastAsia" w:ascii="仿宋" w:hAnsi="仿宋" w:eastAsia="仿宋" w:cs="仿宋"/>
          <w:szCs w:val="15"/>
          <w:highlight w:val="none"/>
        </w:rPr>
        <w:t>采购和合同履行过程中所获悉的</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商业秘密或者其他应当保密的信息，均有保密义务</w:t>
      </w:r>
      <w:r>
        <w:rPr>
          <w:rFonts w:hint="eastAsia" w:ascii="仿宋" w:hAnsi="仿宋" w:eastAsia="仿宋" w:cs="仿宋"/>
          <w:szCs w:val="15"/>
          <w:highlight w:val="none"/>
          <w:lang w:eastAsia="zh-CN"/>
        </w:rPr>
        <w:t>且不受合同有效期所限，直至该信息成为公开信息</w:t>
      </w:r>
      <w:r>
        <w:rPr>
          <w:rFonts w:hint="eastAsia" w:ascii="仿宋" w:hAnsi="仿宋" w:eastAsia="仿宋" w:cs="仿宋"/>
          <w:szCs w:val="15"/>
          <w:highlight w:val="none"/>
        </w:rPr>
        <w:t>。泄露、不正当地使用</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w:t>
      </w:r>
      <w:r>
        <w:rPr>
          <w:rFonts w:hint="eastAsia" w:ascii="仿宋" w:hAnsi="仿宋" w:eastAsia="仿宋" w:cs="仿宋"/>
          <w:szCs w:val="15"/>
          <w:highlight w:val="none"/>
          <w:lang w:eastAsia="zh-CN"/>
        </w:rPr>
        <w:t>其他应当保密的</w:t>
      </w:r>
      <w:r>
        <w:rPr>
          <w:rFonts w:hint="eastAsia" w:ascii="仿宋" w:hAnsi="仿宋" w:eastAsia="仿宋" w:cs="仿宋"/>
          <w:szCs w:val="15"/>
          <w:highlight w:val="none"/>
        </w:rPr>
        <w:t>信息，应当承担</w:t>
      </w:r>
      <w:r>
        <w:rPr>
          <w:rFonts w:hint="eastAsia" w:ascii="仿宋" w:hAnsi="仿宋" w:eastAsia="仿宋" w:cs="仿宋"/>
          <w:szCs w:val="15"/>
          <w:highlight w:val="none"/>
          <w:lang w:eastAsia="zh-CN"/>
        </w:rPr>
        <w:t>相应</w:t>
      </w:r>
      <w:r>
        <w:rPr>
          <w:rFonts w:hint="eastAsia" w:ascii="仿宋" w:hAnsi="仿宋" w:eastAsia="仿宋" w:cs="仿宋"/>
          <w:szCs w:val="15"/>
          <w:highlight w:val="none"/>
        </w:rPr>
        <w:t>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highlight w:val="none"/>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highlight w:val="none"/>
          <w:lang w:eastAsia="zh-CN"/>
        </w:rPr>
        <w:t>；</w:t>
      </w:r>
    </w:p>
    <w:p>
      <w:pPr>
        <w:pStyle w:val="963"/>
        <w:rPr>
          <w:rFonts w:hint="eastAsia" w:ascii="仿宋" w:hAnsi="仿宋" w:eastAsia="仿宋" w:cs="仿宋"/>
          <w:sz w:val="21"/>
          <w:szCs w:val="21"/>
          <w:highlight w:val="none"/>
        </w:rPr>
      </w:pPr>
      <w:r>
        <w:rPr>
          <w:rFonts w:hint="eastAsia" w:ascii="仿宋" w:hAnsi="仿宋" w:eastAsia="仿宋" w:cs="仿宋"/>
          <w:sz w:val="21"/>
          <w:szCs w:val="21"/>
          <w:highlight w:val="none"/>
        </w:rPr>
        <w:t>（5）依照法律、行政法规的规定或者按照</w:t>
      </w:r>
      <w:r>
        <w:rPr>
          <w:rFonts w:hint="eastAsia" w:ascii="仿宋" w:hAnsi="仿宋" w:eastAsia="仿宋" w:cs="仿宋"/>
          <w:b/>
          <w:bCs/>
          <w:sz w:val="21"/>
          <w:szCs w:val="21"/>
          <w:highlight w:val="none"/>
        </w:rPr>
        <w:t>【政府采购合同专用条款】</w:t>
      </w:r>
      <w:r>
        <w:rPr>
          <w:rFonts w:hint="eastAsia" w:ascii="仿宋" w:hAnsi="仿宋" w:eastAsia="仿宋" w:cs="仿宋"/>
          <w:sz w:val="21"/>
          <w:szCs w:val="21"/>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w:t>
      </w:r>
      <w:r>
        <w:rPr>
          <w:rFonts w:hint="eastAsia" w:ascii="仿宋" w:hAnsi="仿宋" w:eastAsia="仿宋" w:cs="仿宋"/>
          <w:sz w:val="21"/>
          <w:highlight w:val="none"/>
          <w:lang w:eastAsia="zh-CN"/>
        </w:rPr>
        <w:t>及时告知</w:t>
      </w:r>
      <w:r>
        <w:rPr>
          <w:rFonts w:hint="eastAsia" w:ascii="仿宋" w:hAnsi="仿宋" w:eastAsia="仿宋" w:cs="仿宋"/>
          <w:sz w:val="21"/>
          <w:highlight w:val="none"/>
        </w:rPr>
        <w:t>甲方，致使</w:t>
      </w:r>
      <w:r>
        <w:rPr>
          <w:rFonts w:hint="eastAsia" w:ascii="仿宋" w:hAnsi="仿宋" w:eastAsia="仿宋" w:cs="仿宋"/>
          <w:sz w:val="21"/>
          <w:highlight w:val="none"/>
          <w:lang w:eastAsia="zh-CN"/>
        </w:rPr>
        <w:t>合同</w:t>
      </w:r>
      <w:r>
        <w:rPr>
          <w:rFonts w:hint="eastAsia" w:ascii="仿宋" w:hAnsi="仿宋" w:eastAsia="仿宋" w:cs="仿宋"/>
          <w:sz w:val="21"/>
          <w:highlight w:val="none"/>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并追究乙方的违约责</w:t>
      </w:r>
      <w:r>
        <w:rPr>
          <w:rFonts w:hint="eastAsia" w:ascii="仿宋" w:hAnsi="仿宋" w:eastAsia="仿宋" w:cs="仿宋"/>
          <w:szCs w:val="21"/>
          <w:highlight w:val="none"/>
          <w:lang w:val="en-US" w:eastAsia="zh-CN"/>
        </w:rPr>
        <w:t>任</w:t>
      </w:r>
      <w:r>
        <w:rPr>
          <w:rFonts w:hint="eastAsia" w:ascii="仿宋" w:hAnsi="仿宋" w:eastAsia="仿宋" w:cs="仿宋"/>
          <w:color w:val="auto"/>
          <w:szCs w:val="21"/>
          <w:highlight w:val="none"/>
        </w:rPr>
        <w:t>。</w:t>
      </w:r>
    </w:p>
    <w:p>
      <w:pPr>
        <w:pStyle w:val="96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highlight w:val="none"/>
        </w:rPr>
        <w:t>中止</w:t>
      </w:r>
      <w:r>
        <w:rPr>
          <w:rFonts w:hint="eastAsia" w:ascii="仿宋" w:hAnsi="仿宋" w:eastAsia="仿宋" w:cs="仿宋"/>
          <w:sz w:val="21"/>
          <w:highlight w:val="none"/>
          <w:lang w:eastAsia="zh-CN"/>
        </w:rPr>
        <w:t>或者终止</w:t>
      </w:r>
      <w:r>
        <w:rPr>
          <w:rFonts w:hint="eastAsia" w:ascii="仿宋" w:hAnsi="仿宋" w:eastAsia="仿宋" w:cs="仿宋"/>
          <w:sz w:val="21"/>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.1 因本合同及合同有关事项发生的争议，由</w:t>
      </w:r>
      <w:r>
        <w:rPr>
          <w:rFonts w:hint="eastAsia" w:ascii="仿宋" w:hAnsi="仿宋" w:eastAsia="仿宋" w:cs="仿宋"/>
          <w:sz w:val="21"/>
          <w:highlight w:val="none"/>
          <w:lang w:eastAsia="zh-CN"/>
        </w:rPr>
        <w:t>甲乙双</w:t>
      </w:r>
      <w:r>
        <w:rPr>
          <w:rFonts w:hint="eastAsia" w:ascii="仿宋" w:hAnsi="仿宋" w:eastAsia="仿宋" w:cs="仿宋"/>
          <w:sz w:val="21"/>
          <w:highlight w:val="none"/>
        </w:rPr>
        <w:t>方友好协商解决。协商不成时，可以</w:t>
      </w:r>
      <w:r>
        <w:rPr>
          <w:rFonts w:hint="eastAsia" w:ascii="仿宋" w:hAnsi="仿宋" w:eastAsia="仿宋" w:cs="仿宋"/>
          <w:sz w:val="21"/>
          <w:highlight w:val="none"/>
          <w:lang w:eastAsia="zh-CN"/>
        </w:rPr>
        <w:t>向有关组织申请</w:t>
      </w:r>
      <w:r>
        <w:rPr>
          <w:rFonts w:hint="eastAsia" w:ascii="仿宋" w:hAnsi="仿宋" w:eastAsia="仿宋" w:cs="仿宋"/>
          <w:sz w:val="21"/>
          <w:highlight w:val="none"/>
        </w:rPr>
        <w:t>调解。合同一方或</w:t>
      </w:r>
      <w:r>
        <w:rPr>
          <w:rFonts w:hint="eastAsia" w:ascii="仿宋" w:hAnsi="仿宋" w:eastAsia="仿宋" w:cs="仿宋"/>
          <w:sz w:val="21"/>
          <w:highlight w:val="none"/>
          <w:lang w:eastAsia="zh-CN"/>
        </w:rPr>
        <w:t>双</w:t>
      </w:r>
      <w:r>
        <w:rPr>
          <w:rFonts w:hint="eastAsia" w:ascii="仿宋" w:hAnsi="仿宋" w:eastAsia="仿宋" w:cs="仿宋"/>
          <w:sz w:val="21"/>
          <w:highlight w:val="none"/>
        </w:rPr>
        <w:t>方不愿调解或调解不成的，可以通过仲裁或诉讼的方式解决争议。</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.3 如</w:t>
      </w:r>
      <w:r>
        <w:rPr>
          <w:rFonts w:hint="eastAsia" w:ascii="仿宋" w:hAnsi="仿宋" w:eastAsia="仿宋" w:cs="仿宋"/>
          <w:sz w:val="21"/>
          <w:highlight w:val="none"/>
          <w:lang w:eastAsia="zh-CN"/>
        </w:rPr>
        <w:t>甲乙双方</w:t>
      </w:r>
      <w:r>
        <w:rPr>
          <w:rFonts w:hint="eastAsia" w:ascii="仿宋" w:hAnsi="仿宋" w:eastAsia="仿宋" w:cs="仿宋"/>
          <w:sz w:val="21"/>
          <w:highlight w:val="none"/>
        </w:rPr>
        <w:t>有争议的事项不影响合同其他部分的履行，在争议解决期间，合同其他部分应</w:t>
      </w:r>
      <w:r>
        <w:rPr>
          <w:rFonts w:hint="eastAsia" w:ascii="仿宋" w:hAnsi="仿宋" w:eastAsia="仿宋" w:cs="仿宋"/>
          <w:sz w:val="21"/>
          <w:highlight w:val="none"/>
          <w:lang w:eastAsia="zh-CN"/>
        </w:rPr>
        <w:t>当</w:t>
      </w:r>
      <w:r>
        <w:rPr>
          <w:rFonts w:hint="eastAsia" w:ascii="仿宋" w:hAnsi="仿宋" w:eastAsia="仿宋" w:cs="仿宋"/>
          <w:sz w:val="21"/>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highlight w:val="none"/>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highlight w:val="none"/>
          <w:lang w:eastAsia="zh-CN"/>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.1 本合同的订立、生效、解释、履行及与本合同有关的争议解决，均适用法律、行政法规。</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.1</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一方当事人变更名称、</w:t>
      </w:r>
      <w:r>
        <w:rPr>
          <w:rFonts w:hint="eastAsia" w:ascii="仿宋" w:hAnsi="仿宋" w:eastAsia="仿宋" w:cs="仿宋"/>
          <w:sz w:val="21"/>
          <w:highlight w:val="none"/>
          <w:lang w:eastAsia="zh-CN"/>
        </w:rPr>
        <w:t>住所</w:t>
      </w:r>
      <w:r>
        <w:rPr>
          <w:rFonts w:hint="eastAsia" w:ascii="仿宋" w:hAnsi="仿宋" w:eastAsia="仿宋" w:cs="仿宋"/>
          <w:sz w:val="21"/>
          <w:highlight w:val="none"/>
        </w:rPr>
        <w:t>、联系人、联系电话或电子邮箱</w:t>
      </w:r>
      <w:r>
        <w:rPr>
          <w:rFonts w:hint="eastAsia" w:ascii="仿宋" w:hAnsi="仿宋" w:eastAsia="仿宋" w:cs="仿宋"/>
          <w:sz w:val="21"/>
          <w:highlight w:val="none"/>
          <w:lang w:eastAsia="zh-CN"/>
        </w:rPr>
        <w:t>等信息</w:t>
      </w:r>
      <w:r>
        <w:rPr>
          <w:rFonts w:hint="eastAsia" w:ascii="仿宋" w:hAnsi="仿宋" w:eastAsia="仿宋" w:cs="仿宋"/>
          <w:sz w:val="21"/>
          <w:highlight w:val="none"/>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8" w:name="_Toc20313"/>
    </w:p>
    <w:p>
      <w:pPr>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br w:type="page"/>
      </w:r>
    </w:p>
    <w:p>
      <w:pPr>
        <w:pStyle w:val="3"/>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第三节 政府采购合同专用条款</w:t>
      </w:r>
      <w:bookmarkEnd w:id="4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eastAsia="zh-CN"/>
              </w:rPr>
              <w:t>联合体具体要求</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其他术语解释</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4.6款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约定甲方承担的其他义务和责任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5.4款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约定乙方承担的其他义务和责任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6.1款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履行合同义务的顺序</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包装</w:t>
            </w:r>
            <w:r>
              <w:rPr>
                <w:rFonts w:hint="eastAsia" w:ascii="仿宋" w:hAnsi="仿宋" w:eastAsia="仿宋" w:cs="仿宋"/>
                <w:szCs w:val="21"/>
                <w:highlight w:val="none"/>
                <w:lang w:eastAsia="zh-CN"/>
              </w:rPr>
              <w:t>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Cs w:val="21"/>
                <w:highlight w:val="none"/>
              </w:rPr>
            </w:pP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指定现场</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运输特殊要求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.3</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保险要求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.2（1）项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.2（3）项</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货物质量缺陷</w:t>
            </w:r>
          </w:p>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响应时间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第二节</w:t>
            </w:r>
          </w:p>
          <w:p>
            <w:pPr>
              <w:pStyle w:val="963"/>
              <w:ind w:firstLine="0" w:firstLineChars="0"/>
              <w:jc w:val="center"/>
              <w:rPr>
                <w:rFonts w:hint="eastAsia" w:ascii="仿宋" w:hAnsi="仿宋" w:eastAsia="仿宋" w:cs="仿宋"/>
                <w:highlight w:val="none"/>
                <w:lang w:val="en-US" w:eastAsia="zh-CN"/>
              </w:rPr>
            </w:pPr>
            <w:r>
              <w:rPr>
                <w:rFonts w:hint="eastAsia" w:ascii="仿宋" w:hAnsi="仿宋" w:eastAsia="仿宋" w:cs="仿宋"/>
                <w:szCs w:val="21"/>
                <w:highlight w:val="none"/>
                <w:lang w:val="en-US" w:eastAsia="zh-CN"/>
              </w:rPr>
              <w:t>第11.1款</w:t>
            </w:r>
          </w:p>
        </w:tc>
        <w:tc>
          <w:tcPr>
            <w:tcW w:w="1742" w:type="dxa"/>
            <w:noWrap w:val="0"/>
            <w:vAlign w:val="center"/>
          </w:tcPr>
          <w:p>
            <w:pPr>
              <w:adjustRightInd w:val="0"/>
              <w:snapToGrid w:val="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其他应当保密的信息</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.2款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rPr>
              <w:t>合同价款支付</w:t>
            </w:r>
            <w:r>
              <w:rPr>
                <w:rFonts w:hint="eastAsia" w:ascii="仿宋" w:hAnsi="仿宋" w:eastAsia="仿宋" w:cs="仿宋"/>
                <w:szCs w:val="21"/>
                <w:highlight w:val="none"/>
                <w:lang w:eastAsia="zh-CN"/>
              </w:rPr>
              <w:t>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13.2</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履约保证金不予退还的情形</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13.3</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履约保证金退还时间及</w:t>
            </w:r>
            <w:r>
              <w:rPr>
                <w:rFonts w:hint="eastAsia" w:ascii="仿宋" w:hAnsi="仿宋" w:eastAsia="仿宋" w:cs="仿宋"/>
                <w:szCs w:val="21"/>
                <w:highlight w:val="none"/>
                <w:lang w:eastAsia="zh-CN"/>
              </w:rPr>
              <w:t>逾期退还的</w:t>
            </w:r>
            <w:r>
              <w:rPr>
                <w:rFonts w:hint="eastAsia" w:ascii="仿宋" w:hAnsi="仿宋" w:eastAsia="仿宋" w:cs="仿宋"/>
                <w:szCs w:val="21"/>
                <w:highlight w:val="none"/>
              </w:rPr>
              <w:t>违约金</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运行监督、维修期限</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货物回收的约定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1款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.2（2）项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.4</w:t>
            </w:r>
            <w:r>
              <w:rPr>
                <w:rFonts w:hint="eastAsia" w:ascii="仿宋" w:hAnsi="仿宋" w:eastAsia="仿宋" w:cs="仿宋"/>
                <w:szCs w:val="21"/>
                <w:highlight w:val="none"/>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19</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因本合同及合同有关事项发生的争议，按下列第</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（1）向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仲裁委员会申请仲裁，仲裁地点为</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w:t>
            </w:r>
          </w:p>
          <w:p>
            <w:pPr>
              <w:adjustRightInd w:val="0"/>
              <w:snapToGrid w:val="0"/>
              <w:ind w:firstLine="0" w:firstLineChars="0"/>
              <w:jc w:val="left"/>
              <w:rPr>
                <w:rFonts w:hint="eastAsia" w:ascii="仿宋" w:hAnsi="仿宋" w:eastAsia="仿宋" w:cs="仿宋"/>
                <w:szCs w:val="21"/>
                <w:highlight w:val="none"/>
                <w:u w:val="single"/>
              </w:rPr>
            </w:pPr>
            <w:r>
              <w:rPr>
                <w:rFonts w:hint="eastAsia" w:ascii="仿宋" w:hAnsi="仿宋" w:eastAsia="仿宋" w:cs="仿宋"/>
                <w:b w:val="0"/>
                <w:bCs w:val="0"/>
                <w:iCs/>
                <w:szCs w:val="21"/>
                <w:highlight w:val="none"/>
              </w:rPr>
              <w:t>（2）向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第2</w:t>
            </w:r>
            <w:r>
              <w:rPr>
                <w:rFonts w:hint="eastAsia" w:ascii="仿宋" w:hAnsi="仿宋" w:eastAsia="仿宋" w:cs="仿宋"/>
                <w:szCs w:val="21"/>
                <w:highlight w:val="none"/>
                <w:lang w:val="en-US" w:eastAsia="zh-CN"/>
              </w:rPr>
              <w:t>3.1</w:t>
            </w:r>
            <w:r>
              <w:rPr>
                <w:rFonts w:hint="eastAsia" w:ascii="仿宋" w:hAnsi="仿宋" w:eastAsia="仿宋" w:cs="仿宋"/>
                <w:szCs w:val="21"/>
                <w:highlight w:val="none"/>
                <w:lang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bCs/>
                <w:color w:val="auto"/>
                <w:szCs w:val="21"/>
                <w:highlight w:val="none"/>
                <w:lang w:eastAsia="zh-CN"/>
              </w:rPr>
              <w:t>其他专用条款</w:t>
            </w:r>
          </w:p>
        </w:tc>
        <w:tc>
          <w:tcPr>
            <w:tcW w:w="5170" w:type="dxa"/>
            <w:noWrap w:val="0"/>
            <w:vAlign w:val="center"/>
          </w:tcPr>
          <w:p>
            <w:pPr>
              <w:adjustRightInd w:val="0"/>
              <w:snapToGrid w:val="0"/>
              <w:jc w:val="left"/>
              <w:rPr>
                <w:rFonts w:hint="eastAsia" w:ascii="仿宋" w:hAnsi="仿宋" w:eastAsia="仿宋" w:cs="仿宋"/>
                <w:szCs w:val="21"/>
                <w:highlight w:val="none"/>
                <w:lang w:val="en-US" w:eastAsia="zh-CN"/>
              </w:rPr>
            </w:pPr>
          </w:p>
        </w:tc>
      </w:tr>
    </w:tbl>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2"/>
        <w:tblW w:w="931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66"/>
        <w:gridCol w:w="7338"/>
        <w:gridCol w:w="7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评审内容</w:t>
            </w:r>
          </w:p>
        </w:tc>
        <w:tc>
          <w:tcPr>
            <w:tcW w:w="733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评分标准</w:t>
            </w:r>
          </w:p>
        </w:tc>
        <w:tc>
          <w:tcPr>
            <w:tcW w:w="70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技术参数响应情况</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技术参数响应情况：对应于招标文件针对招标项目的各项要求，完全满足指标参数得28分。打“▲”为主要性能指标，每有一项负偏离扣2分；其他指标，每有一项负偏离扣1分，扣完为止。</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综合能力</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1、投标人或所投产品厂商同时具备ISO9001</w:t>
            </w:r>
            <w:r>
              <w:rPr>
                <w:rFonts w:hint="eastAsia" w:ascii="仿宋" w:hAnsi="仿宋" w:eastAsia="仿宋" w:cs="仿宋"/>
                <w:sz w:val="24"/>
                <w:highlight w:val="none"/>
                <w:lang w:eastAsia="zh-CN"/>
              </w:rPr>
              <w:t>、</w:t>
            </w:r>
            <w:r>
              <w:rPr>
                <w:rFonts w:hint="eastAsia" w:ascii="仿宋" w:hAnsi="仿宋" w:eastAsia="仿宋" w:cs="仿宋"/>
                <w:sz w:val="24"/>
                <w:highlight w:val="none"/>
              </w:rPr>
              <w:t>ISO27001</w:t>
            </w:r>
            <w:r>
              <w:rPr>
                <w:rFonts w:hint="eastAsia" w:ascii="仿宋" w:hAnsi="仿宋" w:eastAsia="仿宋" w:cs="仿宋"/>
                <w:sz w:val="24"/>
                <w:highlight w:val="none"/>
                <w:lang w:eastAsia="zh-CN"/>
              </w:rPr>
              <w:t>、</w:t>
            </w:r>
            <w:r>
              <w:rPr>
                <w:rFonts w:hint="eastAsia" w:ascii="仿宋" w:hAnsi="仿宋" w:eastAsia="仿宋" w:cs="仿宋"/>
                <w:sz w:val="24"/>
                <w:highlight w:val="none"/>
              </w:rPr>
              <w:t>ISO20000证书。</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、投标人或所投产品厂商具备成熟度三级及以上的ITSS(信息技术服务标准)认证资格。</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、投标人或所投产品厂商为国家网络与信息安全信息通报机制技术支持单位。</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、所投产品厂商具备政府</w:t>
            </w:r>
            <w:r>
              <w:rPr>
                <w:rFonts w:hint="eastAsia" w:ascii="仿宋" w:hAnsi="仿宋" w:eastAsia="仿宋" w:cs="仿宋"/>
                <w:sz w:val="24"/>
                <w:highlight w:val="none"/>
                <w:lang w:val="en-US" w:eastAsia="zh-CN"/>
              </w:rPr>
              <w:t>部门</w:t>
            </w:r>
            <w:r>
              <w:rPr>
                <w:rFonts w:hint="eastAsia" w:ascii="仿宋" w:hAnsi="仿宋" w:eastAsia="仿宋" w:cs="仿宋"/>
                <w:sz w:val="24"/>
                <w:highlight w:val="none"/>
              </w:rPr>
              <w:t>颁布的地市级及以上专利示范企业证书。</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rPr>
              <w:t>以上资质要求满足一条得2分，投标</w:t>
            </w:r>
            <w:r>
              <w:rPr>
                <w:rFonts w:hint="eastAsia" w:ascii="仿宋" w:hAnsi="仿宋" w:eastAsia="仿宋" w:cs="仿宋"/>
                <w:sz w:val="24"/>
                <w:highlight w:val="none"/>
                <w:lang w:val="en-US" w:eastAsia="zh-CN"/>
              </w:rPr>
              <w:t>文件中</w:t>
            </w:r>
            <w:r>
              <w:rPr>
                <w:rFonts w:hint="eastAsia" w:ascii="仿宋" w:hAnsi="仿宋" w:eastAsia="仿宋" w:cs="仿宋"/>
                <w:sz w:val="24"/>
                <w:highlight w:val="none"/>
              </w:rPr>
              <w:t>提供相关</w:t>
            </w:r>
            <w:r>
              <w:rPr>
                <w:rFonts w:hint="eastAsia" w:ascii="仿宋" w:hAnsi="仿宋" w:eastAsia="仿宋" w:cs="仿宋"/>
                <w:sz w:val="24"/>
                <w:highlight w:val="none"/>
                <w:lang w:val="en-US" w:eastAsia="zh-CN"/>
              </w:rPr>
              <w:t>证书或</w:t>
            </w:r>
            <w:r>
              <w:rPr>
                <w:rFonts w:hint="eastAsia" w:ascii="仿宋" w:hAnsi="仿宋" w:eastAsia="仿宋" w:cs="仿宋"/>
                <w:sz w:val="24"/>
                <w:highlight w:val="none"/>
              </w:rPr>
              <w:t>证明</w:t>
            </w:r>
            <w:r>
              <w:rPr>
                <w:rFonts w:hint="eastAsia" w:ascii="仿宋" w:hAnsi="仿宋" w:eastAsia="仿宋" w:cs="仿宋"/>
                <w:sz w:val="24"/>
                <w:highlight w:val="none"/>
                <w:lang w:val="en-US" w:eastAsia="zh-CN"/>
              </w:rPr>
              <w:t>材料扫描件或照片并加盖投标人公章。</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企业业绩</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所投产品近三年（2021年1月1日至今）类似项目业绩证明每具有一个得1分，最高得3分，需提供合同</w:t>
            </w:r>
            <w:r>
              <w:rPr>
                <w:rFonts w:hint="eastAsia" w:ascii="仿宋" w:hAnsi="仿宋" w:eastAsia="仿宋" w:cs="仿宋"/>
                <w:sz w:val="24"/>
                <w:highlight w:val="none"/>
                <w:lang w:val="en-US" w:eastAsia="zh-CN"/>
              </w:rPr>
              <w:t>扫描件并加盖公章</w:t>
            </w:r>
            <w:r>
              <w:rPr>
                <w:rFonts w:hint="eastAsia" w:ascii="仿宋" w:hAnsi="仿宋" w:eastAsia="仿宋" w:cs="仿宋"/>
                <w:sz w:val="24"/>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6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项目设计方案</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能够对采购人的实际需求提出合理的设计方案，功能模块、实现思路和关键技术的实施方案具备较强的落地性和实施性，有完善的质量保障体系，可行的质量保障措施,投标人提出的实施方案和应急方案，能够识别风险且有风险应对措施，0-8分</w:t>
            </w:r>
            <w:r>
              <w:rPr>
                <w:rFonts w:hint="eastAsia" w:ascii="仿宋" w:hAnsi="仿宋" w:eastAsia="仿宋" w:cs="仿宋"/>
                <w:sz w:val="24"/>
                <w:highlight w:val="none"/>
                <w:lang w:eastAsia="zh-CN"/>
              </w:rPr>
              <w:t>。</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126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产品资质</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所投产品</w:t>
            </w:r>
            <w:r>
              <w:rPr>
                <w:rFonts w:hint="eastAsia" w:ascii="仿宋" w:hAnsi="仿宋" w:eastAsia="仿宋" w:cs="仿宋"/>
                <w:sz w:val="24"/>
                <w:highlight w:val="none"/>
              </w:rPr>
              <w:t>具备ISCCC颁发的《IT产品信息安全认证证书》，每提供1个得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分，最高得2分。</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126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产品兼容性要求</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提供6种以上主流国产化兼容性证书，包括但不限于国产数据库（南大通用、巨杉、神舟通用、瀚高等）、主流国产服务器（长江计算、中科可控等）、主流国产操作系统（统信UOS、中标麒麟等）、国产主流芯片（兆芯等），每提供1个得1分，最高得6分。</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原厂售后服务能力</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本项目要求所投产品厂商提供售后实施服务和维保服务，需要为本项目配备固定的服务团队，人员要求如下：</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1、服务人员具备ORACLE ACE认证资质，每名得1分，最多2分；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2、服务人员具备 ORACLE OCM资质，每名得1分，最多2分；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注：提供社保部门出具的所投产品厂商为上述人员缴纳</w:t>
            </w:r>
            <w:r>
              <w:rPr>
                <w:rFonts w:hint="eastAsia" w:ascii="仿宋" w:hAnsi="仿宋" w:eastAsia="仿宋" w:cs="仿宋"/>
                <w:sz w:val="24"/>
                <w:highlight w:val="none"/>
                <w:lang w:val="en-US" w:eastAsia="zh-CN"/>
              </w:rPr>
              <w:t>近1个月的</w:t>
            </w:r>
            <w:r>
              <w:rPr>
                <w:rFonts w:hint="eastAsia" w:ascii="仿宋" w:hAnsi="仿宋" w:eastAsia="仿宋" w:cs="仿宋"/>
                <w:sz w:val="24"/>
                <w:highlight w:val="none"/>
              </w:rPr>
              <w:t>社保证明资料</w:t>
            </w:r>
            <w:r>
              <w:rPr>
                <w:rFonts w:hint="eastAsia" w:ascii="仿宋" w:hAnsi="仿宋" w:eastAsia="仿宋" w:cs="仿宋"/>
                <w:sz w:val="24"/>
                <w:highlight w:val="none"/>
                <w:lang w:val="en-US" w:eastAsia="zh-CN"/>
              </w:rPr>
              <w:t>及证书或证明材料原件扫描件并加盖投标人公章</w:t>
            </w:r>
            <w:r>
              <w:rPr>
                <w:rFonts w:hint="eastAsia" w:ascii="仿宋" w:hAnsi="仿宋" w:eastAsia="仿宋" w:cs="仿宋"/>
                <w:sz w:val="24"/>
                <w:highlight w:val="none"/>
              </w:rPr>
              <w:t>，否则不得分</w:t>
            </w:r>
            <w:r>
              <w:rPr>
                <w:rFonts w:hint="eastAsia" w:ascii="仿宋" w:hAnsi="仿宋" w:eastAsia="仿宋" w:cs="仿宋"/>
                <w:sz w:val="24"/>
                <w:highlight w:val="none"/>
                <w:lang w:eastAsia="zh-CN"/>
              </w:rPr>
              <w:t>。</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培训方案</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根据所投产品厂商提供的培训方案进行打分，</w:t>
            </w:r>
            <w:r>
              <w:rPr>
                <w:rFonts w:hint="eastAsia" w:ascii="仿宋" w:hAnsi="仿宋" w:eastAsia="仿宋" w:cs="仿宋"/>
                <w:sz w:val="24"/>
                <w:highlight w:val="none"/>
                <w:lang w:val="en-US" w:eastAsia="zh-CN"/>
              </w:rPr>
              <w:t>包括但不限于培训次数、培训时间、培训讲师安排、培训场地安排等，</w:t>
            </w:r>
            <w:r>
              <w:rPr>
                <w:rFonts w:hint="eastAsia" w:ascii="仿宋" w:hAnsi="仿宋" w:eastAsia="仿宋" w:cs="仿宋"/>
                <w:sz w:val="24"/>
                <w:highlight w:val="none"/>
              </w:rPr>
              <w:t>0-</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售后服务方案</w:t>
            </w:r>
          </w:p>
        </w:tc>
        <w:tc>
          <w:tcPr>
            <w:tcW w:w="73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根据所投产品厂商提供的售后服务方案进行打分，</w:t>
            </w:r>
            <w:r>
              <w:rPr>
                <w:rFonts w:hint="eastAsia" w:ascii="仿宋" w:hAnsi="仿宋" w:eastAsia="仿宋" w:cs="仿宋"/>
                <w:sz w:val="24"/>
                <w:highlight w:val="none"/>
                <w:lang w:val="en-US" w:eastAsia="zh-CN"/>
              </w:rPr>
              <w:t>包括但不限于售后服务响应时间、售后服务机构数量及地址、售后服务人员安排等，</w:t>
            </w:r>
            <w:r>
              <w:rPr>
                <w:rFonts w:hint="eastAsia" w:ascii="仿宋" w:hAnsi="仿宋" w:eastAsia="仿宋" w:cs="仿宋"/>
                <w:sz w:val="24"/>
                <w:highlight w:val="none"/>
              </w:rPr>
              <w:t>0-</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41"/>
    <w:bookmarkEnd w:id="42"/>
    <w:p>
      <w:pPr>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lang w:eastAsia="zh-CN"/>
        </w:rPr>
        <w:br w:type="page"/>
      </w: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sz w:val="24"/>
          <w:szCs w:val="20"/>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9" w:name="_Hlk101259491"/>
      <w:r>
        <w:rPr>
          <w:rFonts w:hint="eastAsia" w:ascii="仿宋" w:hAnsi="仿宋" w:eastAsia="仿宋" w:cs="仿宋"/>
          <w:color w:val="auto"/>
          <w:sz w:val="32"/>
          <w:szCs w:val="32"/>
          <w:highlight w:val="none"/>
        </w:rPr>
        <w:t>（如果有）</w:t>
      </w:r>
      <w:bookmarkEnd w:id="49"/>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highlight w:val="none"/>
        </w:rPr>
      </w:pPr>
    </w:p>
    <w:p>
      <w:pPr>
        <w:pStyle w:val="81"/>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50" w:name="_Toc465665161"/>
      <w:r>
        <w:rPr>
          <w:rFonts w:hint="eastAsia" w:ascii="仿宋" w:hAnsi="仿宋" w:eastAsia="仿宋" w:cs="仿宋"/>
          <w:highlight w:val="none"/>
        </w:rPr>
        <w:t>附件</w:t>
      </w:r>
      <w:bookmarkEnd w:id="50"/>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51"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51"/>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52"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52"/>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53" w:name="OLE_LINK14"/>
      <w:bookmarkStart w:id="54" w:name="OLE_LINK13"/>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53"/>
    <w:bookmarkEnd w:id="54"/>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 w:name="_Toc164085800"/>
    <w:bookmarkStart w:id="56" w:name="_Toc36110187"/>
    <w:bookmarkStart w:id="57" w:name="_Toc91899912"/>
    <w:bookmarkStart w:id="58" w:name="_Toc131845147"/>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 </w:t>
    </w:r>
  </w:p>
  <w:p>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val="en-US" w:eastAsia="zh-CN"/>
      </w:rPr>
    </w:pPr>
    <w:r>
      <w:rPr>
        <w:rFonts w:hint="eastAsia" w:eastAsia="仿宋"/>
        <w:lang w:val="en-US" w:eastAsia="zh-CN"/>
      </w:rPr>
      <w:t xml:space="preserve">绍兴衡业工程管理咨询有限公司                                            文件编号: SXHY-2024CG-0608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SXHY-2024CG-0608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w:t>
    </w:r>
    <w:r>
      <w:rPr>
        <w:rFonts w:hint="eastAsia" w:eastAsia="仿宋"/>
        <w:lang w:val="en-US" w:eastAsia="zh-CN"/>
      </w:rPr>
      <w:t>SXHY-2024CG-0608</w:t>
    </w:r>
  </w:p>
  <w:p>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SXHY-2024CG-0608 </w:t>
    </w:r>
  </w:p>
  <w:p>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33C726B"/>
    <w:rsid w:val="033E089E"/>
    <w:rsid w:val="03E65742"/>
    <w:rsid w:val="06530D39"/>
    <w:rsid w:val="06D74677"/>
    <w:rsid w:val="0983157E"/>
    <w:rsid w:val="0B526BA9"/>
    <w:rsid w:val="0CDB6505"/>
    <w:rsid w:val="0E062686"/>
    <w:rsid w:val="0F37024A"/>
    <w:rsid w:val="0FA0239A"/>
    <w:rsid w:val="14127BE9"/>
    <w:rsid w:val="169E17AF"/>
    <w:rsid w:val="189C1534"/>
    <w:rsid w:val="18C55116"/>
    <w:rsid w:val="18CC08C9"/>
    <w:rsid w:val="19A2795B"/>
    <w:rsid w:val="1B30618D"/>
    <w:rsid w:val="1B6B4856"/>
    <w:rsid w:val="1D213429"/>
    <w:rsid w:val="1EEF0745"/>
    <w:rsid w:val="1FA24FDA"/>
    <w:rsid w:val="206E7FAD"/>
    <w:rsid w:val="25ED4F2A"/>
    <w:rsid w:val="29AE039D"/>
    <w:rsid w:val="29B14753"/>
    <w:rsid w:val="2CDA6E57"/>
    <w:rsid w:val="32E457F2"/>
    <w:rsid w:val="34CF7038"/>
    <w:rsid w:val="397F78A8"/>
    <w:rsid w:val="3BA46740"/>
    <w:rsid w:val="3E3E0860"/>
    <w:rsid w:val="3F326AC0"/>
    <w:rsid w:val="3FF5610C"/>
    <w:rsid w:val="42570214"/>
    <w:rsid w:val="44D337B1"/>
    <w:rsid w:val="48997943"/>
    <w:rsid w:val="4B746B8B"/>
    <w:rsid w:val="4DE4148C"/>
    <w:rsid w:val="4E2D30EC"/>
    <w:rsid w:val="4FAE554B"/>
    <w:rsid w:val="50C301CB"/>
    <w:rsid w:val="51493CCB"/>
    <w:rsid w:val="56D945EB"/>
    <w:rsid w:val="56E56820"/>
    <w:rsid w:val="57DAE6E1"/>
    <w:rsid w:val="591C5ECF"/>
    <w:rsid w:val="5F665FB3"/>
    <w:rsid w:val="60BF6BE9"/>
    <w:rsid w:val="637C5083"/>
    <w:rsid w:val="642152E2"/>
    <w:rsid w:val="65077AE2"/>
    <w:rsid w:val="669C4DB0"/>
    <w:rsid w:val="67D13A63"/>
    <w:rsid w:val="6AEF1016"/>
    <w:rsid w:val="6DA10A3F"/>
    <w:rsid w:val="6FBA36AB"/>
    <w:rsid w:val="729E74BD"/>
    <w:rsid w:val="72BA2D9D"/>
    <w:rsid w:val="74403953"/>
    <w:rsid w:val="748A0E80"/>
    <w:rsid w:val="74EA1D5F"/>
    <w:rsid w:val="7A89014F"/>
    <w:rsid w:val="7E0B3D48"/>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1"/>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8"/>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1"/>
    <w:link w:val="320"/>
    <w:autoRedefine/>
    <w:qFormat/>
    <w:uiPriority w:val="0"/>
    <w:pPr>
      <w:ind w:firstLine="420"/>
    </w:pPr>
    <w:rPr>
      <w:rFonts w:hAnsi="Calibri" w:cs="Times New Roman"/>
      <w:snapToGrid/>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59"/>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349d8ccd-87a8-4174-b318-483ee852d82b"/>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6"/>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5"/>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8"/>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29"/>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4"/>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48388</Words>
  <Characters>51196</Characters>
  <Paragraphs>2030</Paragraphs>
  <TotalTime>21</TotalTime>
  <ScaleCrop>false</ScaleCrop>
  <LinksUpToDate>false</LinksUpToDate>
  <CharactersWithSpaces>59587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2024-06-27T06:58:46Z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C467109262374623A995C2EB032E7133_13</vt:lpwstr>
  </property>
</Properties>
</file>