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24D22">
      <w:pPr>
        <w:snapToGrid w:val="0"/>
        <w:spacing w:line="360" w:lineRule="auto"/>
        <w:jc w:val="center"/>
        <w:rPr>
          <w:rFonts w:hint="eastAsia" w:ascii="仿宋" w:hAnsi="仿宋" w:eastAsia="仿宋" w:cs="仿宋"/>
          <w:b/>
          <w:color w:val="auto"/>
          <w:sz w:val="40"/>
          <w:szCs w:val="40"/>
          <w:highlight w:val="none"/>
          <w:lang w:eastAsia="zh-CN"/>
        </w:rPr>
      </w:pPr>
    </w:p>
    <w:p w14:paraId="2097A29F">
      <w:pPr>
        <w:snapToGrid w:val="0"/>
        <w:spacing w:line="360" w:lineRule="auto"/>
        <w:jc w:val="center"/>
        <w:rPr>
          <w:rFonts w:hint="eastAsia" w:ascii="仿宋" w:hAnsi="仿宋" w:eastAsia="仿宋" w:cs="仿宋"/>
          <w:color w:val="000000"/>
          <w:sz w:val="32"/>
          <w:szCs w:val="32"/>
          <w:highlight w:val="none"/>
        </w:rPr>
      </w:pPr>
      <w:r>
        <w:rPr>
          <w:rFonts w:hint="eastAsia" w:ascii="仿宋" w:hAnsi="仿宋" w:eastAsia="仿宋" w:cs="仿宋"/>
          <w:b/>
          <w:color w:val="auto"/>
          <w:sz w:val="44"/>
          <w:szCs w:val="44"/>
          <w:highlight w:val="none"/>
          <w:lang w:eastAsia="zh-CN"/>
        </w:rPr>
        <w:t>钱清街道2025年窨井养护管理服务项目</w:t>
      </w:r>
    </w:p>
    <w:p w14:paraId="43055338">
      <w:pPr>
        <w:snapToGrid w:val="0"/>
        <w:spacing w:line="360" w:lineRule="auto"/>
        <w:jc w:val="center"/>
        <w:rPr>
          <w:rFonts w:hint="eastAsia" w:ascii="仿宋" w:hAnsi="仿宋" w:eastAsia="仿宋" w:cs="仿宋"/>
          <w:color w:val="000000"/>
          <w:sz w:val="30"/>
          <w:szCs w:val="30"/>
          <w:highlight w:val="none"/>
        </w:rPr>
      </w:pPr>
    </w:p>
    <w:p w14:paraId="236DFE21">
      <w:pPr>
        <w:snapToGrid w:val="0"/>
        <w:spacing w:line="360" w:lineRule="auto"/>
        <w:jc w:val="center"/>
        <w:rPr>
          <w:rFonts w:hint="default" w:ascii="仿宋" w:hAnsi="仿宋" w:eastAsia="仿宋" w:cs="仿宋"/>
          <w:color w:val="FF0000"/>
          <w:sz w:val="30"/>
          <w:szCs w:val="30"/>
          <w:highlight w:val="none"/>
          <w:lang w:val="en-US" w:eastAsia="zh-CN"/>
        </w:rPr>
      </w:pPr>
      <w:r>
        <w:rPr>
          <w:rFonts w:hint="eastAsia" w:ascii="仿宋" w:hAnsi="仿宋" w:eastAsia="仿宋" w:cs="仿宋"/>
          <w:color w:val="000000"/>
          <w:sz w:val="30"/>
          <w:szCs w:val="30"/>
          <w:highlight w:val="none"/>
        </w:rPr>
        <w:t>项目编号:</w:t>
      </w:r>
      <w:r>
        <w:rPr>
          <w:rFonts w:hint="eastAsia" w:ascii="仿宋" w:hAnsi="仿宋" w:eastAsia="仿宋" w:cs="仿宋"/>
          <w:color w:val="000000"/>
          <w:sz w:val="30"/>
          <w:szCs w:val="30"/>
          <w:highlight w:val="none"/>
          <w:lang w:val="en-US" w:eastAsia="zh-CN"/>
        </w:rPr>
        <w:t xml:space="preserve"> 绍柯采[2025]375号  </w:t>
      </w:r>
    </w:p>
    <w:p w14:paraId="798C8EF6">
      <w:pPr>
        <w:spacing w:line="360" w:lineRule="auto"/>
        <w:jc w:val="center"/>
        <w:rPr>
          <w:rFonts w:hint="eastAsia" w:ascii="仿宋" w:hAnsi="仿宋" w:eastAsia="仿宋" w:cs="仿宋"/>
          <w:b/>
          <w:color w:val="auto"/>
          <w:sz w:val="44"/>
          <w:szCs w:val="44"/>
          <w:highlight w:val="none"/>
        </w:rPr>
      </w:pPr>
    </w:p>
    <w:p w14:paraId="0E9E346A">
      <w:pPr>
        <w:pStyle w:val="6"/>
        <w:rPr>
          <w:rFonts w:hint="eastAsia"/>
          <w:highlight w:val="none"/>
        </w:rPr>
      </w:pPr>
    </w:p>
    <w:p w14:paraId="6C95D603">
      <w:pPr>
        <w:rPr>
          <w:rFonts w:hint="eastAsia"/>
          <w:highlight w:val="none"/>
        </w:rPr>
      </w:pPr>
    </w:p>
    <w:p w14:paraId="2FB00420">
      <w:pPr>
        <w:pStyle w:val="6"/>
        <w:rPr>
          <w:rFonts w:hint="eastAsia"/>
          <w:highlight w:val="none"/>
        </w:rPr>
      </w:pPr>
    </w:p>
    <w:p w14:paraId="20F2D591">
      <w:pPr>
        <w:rPr>
          <w:rFonts w:hint="eastAsia"/>
          <w:highlight w:val="none"/>
        </w:rPr>
      </w:pPr>
    </w:p>
    <w:p w14:paraId="6BC0646E">
      <w:pPr>
        <w:spacing w:line="360" w:lineRule="auto"/>
        <w:jc w:val="center"/>
        <w:rPr>
          <w:rFonts w:hint="eastAsia" w:ascii="仿宋" w:hAnsi="仿宋" w:eastAsia="仿宋" w:cs="仿宋"/>
          <w:b/>
          <w:color w:val="auto"/>
          <w:sz w:val="44"/>
          <w:szCs w:val="44"/>
          <w:highlight w:val="none"/>
        </w:rPr>
      </w:pPr>
    </w:p>
    <w:p w14:paraId="6D01E3DD">
      <w:pPr>
        <w:jc w:val="center"/>
        <w:outlineLvl w:val="0"/>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公开招标文件</w:t>
      </w:r>
    </w:p>
    <w:p w14:paraId="46E059E6">
      <w:pPr>
        <w:pStyle w:val="4"/>
        <w:numPr>
          <w:ilvl w:val="0"/>
          <w:numId w:val="0"/>
        </w:numPr>
        <w:ind w:leftChars="0"/>
        <w:rPr>
          <w:rFonts w:hint="eastAsia" w:ascii="仿宋" w:hAnsi="仿宋" w:eastAsia="仿宋" w:cs="仿宋"/>
          <w:b w:val="0"/>
          <w:color w:val="auto"/>
          <w:sz w:val="56"/>
          <w:szCs w:val="56"/>
          <w:highlight w:val="none"/>
        </w:rPr>
      </w:pPr>
    </w:p>
    <w:p w14:paraId="548A9C1F">
      <w:pPr>
        <w:jc w:val="center"/>
        <w:rPr>
          <w:rFonts w:hint="eastAsia" w:ascii="仿宋" w:hAnsi="仿宋" w:eastAsia="仿宋" w:cs="仿宋"/>
          <w:color w:val="auto"/>
          <w:highlight w:val="none"/>
        </w:rPr>
      </w:pPr>
      <w:r>
        <w:rPr>
          <w:rFonts w:hint="eastAsia" w:ascii="仿宋" w:hAnsi="仿宋" w:eastAsia="仿宋" w:cs="仿宋"/>
          <w:b/>
          <w:color w:val="auto"/>
          <w:sz w:val="44"/>
          <w:szCs w:val="44"/>
          <w:highlight w:val="none"/>
        </w:rPr>
        <w:t>（电子招投标）</w:t>
      </w:r>
    </w:p>
    <w:p w14:paraId="65E94F50">
      <w:pPr>
        <w:spacing w:line="360" w:lineRule="auto"/>
        <w:jc w:val="center"/>
        <w:rPr>
          <w:rFonts w:hint="eastAsia" w:ascii="仿宋" w:hAnsi="仿宋" w:eastAsia="仿宋" w:cs="仿宋"/>
          <w:b/>
          <w:color w:val="auto"/>
          <w:sz w:val="24"/>
          <w:highlight w:val="none"/>
        </w:rPr>
      </w:pPr>
    </w:p>
    <w:p w14:paraId="632D7DF9">
      <w:pPr>
        <w:pStyle w:val="7"/>
        <w:rPr>
          <w:rFonts w:hint="eastAsia" w:ascii="仿宋" w:hAnsi="仿宋" w:eastAsia="仿宋" w:cs="仿宋"/>
          <w:b/>
          <w:color w:val="auto"/>
          <w:sz w:val="24"/>
          <w:highlight w:val="none"/>
        </w:rPr>
      </w:pPr>
    </w:p>
    <w:p w14:paraId="5FA36221">
      <w:pPr>
        <w:pStyle w:val="7"/>
        <w:rPr>
          <w:rFonts w:hint="eastAsia" w:ascii="仿宋" w:hAnsi="仿宋" w:eastAsia="仿宋" w:cs="仿宋"/>
          <w:b/>
          <w:color w:val="auto"/>
          <w:sz w:val="24"/>
          <w:highlight w:val="none"/>
        </w:rPr>
      </w:pPr>
    </w:p>
    <w:p w14:paraId="56CAE989">
      <w:pPr>
        <w:pStyle w:val="7"/>
        <w:rPr>
          <w:rFonts w:hint="eastAsia" w:ascii="仿宋" w:hAnsi="仿宋" w:eastAsia="仿宋" w:cs="仿宋"/>
          <w:b/>
          <w:color w:val="auto"/>
          <w:sz w:val="24"/>
          <w:highlight w:val="none"/>
        </w:rPr>
      </w:pPr>
    </w:p>
    <w:p w14:paraId="0E672298">
      <w:pPr>
        <w:rPr>
          <w:rFonts w:hint="eastAsia"/>
          <w:highlight w:val="none"/>
        </w:rPr>
      </w:pPr>
    </w:p>
    <w:p w14:paraId="156F527E">
      <w:pPr>
        <w:pStyle w:val="7"/>
        <w:rPr>
          <w:rFonts w:hint="eastAsia" w:ascii="仿宋" w:hAnsi="仿宋" w:eastAsia="仿宋" w:cs="仿宋"/>
          <w:b/>
          <w:color w:val="auto"/>
          <w:sz w:val="24"/>
          <w:highlight w:val="none"/>
        </w:rPr>
      </w:pPr>
    </w:p>
    <w:p w14:paraId="65B1E00A">
      <w:pPr>
        <w:spacing w:line="360" w:lineRule="auto"/>
        <w:jc w:val="center"/>
        <w:rPr>
          <w:rFonts w:hint="eastAsia" w:ascii="仿宋" w:hAnsi="仿宋" w:eastAsia="仿宋" w:cs="仿宋"/>
          <w:b/>
          <w:color w:val="auto"/>
          <w:sz w:val="24"/>
          <w:highlight w:val="none"/>
        </w:rPr>
      </w:pPr>
    </w:p>
    <w:p w14:paraId="56590E55">
      <w:pPr>
        <w:spacing w:line="360" w:lineRule="auto"/>
        <w:jc w:val="center"/>
        <w:rPr>
          <w:rFonts w:hint="eastAsia" w:ascii="仿宋" w:hAnsi="仿宋" w:eastAsia="仿宋" w:cs="仿宋"/>
          <w:b/>
          <w:color w:val="auto"/>
          <w:sz w:val="24"/>
          <w:highlight w:val="none"/>
        </w:rPr>
      </w:pPr>
    </w:p>
    <w:p w14:paraId="705DC271">
      <w:pPr>
        <w:snapToGrid w:val="0"/>
        <w:spacing w:line="360" w:lineRule="auto"/>
        <w:ind w:firstLine="1600" w:firstLineChars="5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eastAsia="zh-CN"/>
        </w:rPr>
        <w:t>采购单位：绍兴市柯桥区钱清街道办事处</w:t>
      </w:r>
    </w:p>
    <w:p w14:paraId="303833FC">
      <w:pPr>
        <w:snapToGrid w:val="0"/>
        <w:spacing w:line="360" w:lineRule="auto"/>
        <w:ind w:firstLine="1600" w:firstLineChars="5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eastAsia="zh-CN"/>
        </w:rPr>
        <w:t xml:space="preserve">采购代理机构：浙江金邦工程管理咨询有限公司 </w:t>
      </w:r>
    </w:p>
    <w:p w14:paraId="356AC91A">
      <w:pPr>
        <w:snapToGrid w:val="0"/>
        <w:spacing w:line="360" w:lineRule="auto"/>
        <w:ind w:firstLine="3840" w:firstLineChars="12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val="en-US" w:eastAsia="zh-CN"/>
        </w:rPr>
        <w:t>2025</w:t>
      </w:r>
      <w:r>
        <w:rPr>
          <w:rFonts w:hint="eastAsia" w:ascii="仿宋" w:hAnsi="仿宋" w:eastAsia="仿宋" w:cs="仿宋_GB2312"/>
          <w:color w:val="auto"/>
          <w:sz w:val="32"/>
          <w:szCs w:val="32"/>
          <w:highlight w:val="none"/>
          <w:lang w:eastAsia="zh-CN"/>
        </w:rPr>
        <w:t>年</w:t>
      </w:r>
      <w:r>
        <w:rPr>
          <w:rFonts w:hint="eastAsia" w:ascii="仿宋" w:hAnsi="仿宋" w:eastAsia="仿宋" w:cs="仿宋_GB2312"/>
          <w:color w:val="auto"/>
          <w:sz w:val="32"/>
          <w:szCs w:val="32"/>
          <w:highlight w:val="none"/>
          <w:lang w:val="en-US" w:eastAsia="zh-CN"/>
        </w:rPr>
        <w:t>3</w:t>
      </w:r>
      <w:r>
        <w:rPr>
          <w:rFonts w:hint="eastAsia" w:ascii="仿宋" w:hAnsi="仿宋" w:eastAsia="仿宋" w:cs="仿宋_GB2312"/>
          <w:color w:val="auto"/>
          <w:sz w:val="32"/>
          <w:szCs w:val="32"/>
          <w:highlight w:val="none"/>
          <w:lang w:eastAsia="zh-CN"/>
        </w:rPr>
        <w:t>月</w:t>
      </w:r>
    </w:p>
    <w:p w14:paraId="2C6ECB22">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color w:val="auto"/>
          <w:sz w:val="24"/>
          <w:highlight w:val="none"/>
        </w:rPr>
        <w:br w:type="page"/>
      </w:r>
      <w:bookmarkStart w:id="0" w:name="_Hlt67893495"/>
      <w:bookmarkEnd w:id="0"/>
      <w:r>
        <w:rPr>
          <w:rFonts w:hint="eastAsia" w:ascii="仿宋" w:hAnsi="仿宋" w:eastAsia="仿宋" w:cs="仿宋"/>
          <w:b/>
          <w:color w:val="auto"/>
          <w:sz w:val="48"/>
          <w:szCs w:val="48"/>
          <w:highlight w:val="none"/>
        </w:rPr>
        <w:t>目  录</w:t>
      </w:r>
    </w:p>
    <w:p w14:paraId="41E59606">
      <w:pPr>
        <w:spacing w:line="360" w:lineRule="auto"/>
        <w:rPr>
          <w:rFonts w:hint="eastAsia" w:ascii="仿宋" w:hAnsi="仿宋" w:eastAsia="仿宋" w:cs="仿宋"/>
          <w:color w:val="auto"/>
          <w:sz w:val="32"/>
          <w:szCs w:val="32"/>
          <w:highlight w:val="none"/>
        </w:rPr>
      </w:pPr>
    </w:p>
    <w:p w14:paraId="5AEC1C2C">
      <w:pPr>
        <w:spacing w:line="360" w:lineRule="auto"/>
        <w:rPr>
          <w:rFonts w:hint="eastAsia" w:ascii="仿宋" w:hAnsi="仿宋" w:eastAsia="仿宋" w:cs="仿宋"/>
          <w:color w:val="auto"/>
          <w:sz w:val="32"/>
          <w:szCs w:val="32"/>
          <w:highlight w:val="none"/>
        </w:rPr>
      </w:pPr>
    </w:p>
    <w:p w14:paraId="49166E5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BCD448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7B36D6E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2B7E84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评标方法及评分标准</w:t>
      </w:r>
    </w:p>
    <w:p w14:paraId="0E498CB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5F343B1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C95EE98">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1A0CD4B">
      <w:pPr>
        <w:spacing w:line="360" w:lineRule="auto"/>
        <w:ind w:firstLine="549" w:firstLineChars="229"/>
        <w:rPr>
          <w:rFonts w:hint="eastAsia" w:ascii="仿宋" w:hAnsi="仿宋" w:eastAsia="仿宋" w:cs="仿宋"/>
          <w:color w:val="auto"/>
          <w:sz w:val="24"/>
          <w:highlight w:val="none"/>
        </w:rPr>
      </w:pPr>
    </w:p>
    <w:p w14:paraId="3BE8C5E6">
      <w:pPr>
        <w:spacing w:line="360" w:lineRule="auto"/>
        <w:ind w:firstLine="549" w:firstLineChars="229"/>
        <w:rPr>
          <w:rFonts w:hint="eastAsia" w:ascii="仿宋" w:hAnsi="仿宋" w:eastAsia="仿宋" w:cs="仿宋"/>
          <w:color w:val="auto"/>
          <w:sz w:val="24"/>
          <w:highlight w:val="none"/>
        </w:rPr>
      </w:pPr>
    </w:p>
    <w:p w14:paraId="13E4EDED">
      <w:pPr>
        <w:spacing w:line="360" w:lineRule="auto"/>
        <w:ind w:firstLine="549" w:firstLineChars="229"/>
        <w:rPr>
          <w:rFonts w:hint="eastAsia" w:ascii="仿宋" w:hAnsi="仿宋" w:eastAsia="仿宋" w:cs="仿宋"/>
          <w:color w:val="auto"/>
          <w:sz w:val="24"/>
          <w:highlight w:val="none"/>
        </w:rPr>
      </w:pPr>
    </w:p>
    <w:p w14:paraId="61AFD29F">
      <w:pPr>
        <w:spacing w:line="360" w:lineRule="auto"/>
        <w:ind w:firstLine="549" w:firstLineChars="229"/>
        <w:rPr>
          <w:rFonts w:hint="eastAsia" w:ascii="仿宋" w:hAnsi="仿宋" w:eastAsia="仿宋" w:cs="仿宋"/>
          <w:color w:val="auto"/>
          <w:sz w:val="24"/>
          <w:highlight w:val="none"/>
        </w:rPr>
      </w:pPr>
    </w:p>
    <w:p w14:paraId="1F04D3CC">
      <w:pPr>
        <w:spacing w:line="360" w:lineRule="auto"/>
        <w:ind w:firstLine="549" w:firstLineChars="229"/>
        <w:rPr>
          <w:rFonts w:hint="eastAsia" w:ascii="仿宋" w:hAnsi="仿宋" w:eastAsia="仿宋" w:cs="仿宋"/>
          <w:color w:val="auto"/>
          <w:sz w:val="24"/>
          <w:highlight w:val="none"/>
        </w:rPr>
      </w:pPr>
    </w:p>
    <w:p w14:paraId="4966FCE6">
      <w:pPr>
        <w:spacing w:line="360" w:lineRule="auto"/>
        <w:ind w:firstLine="549" w:firstLineChars="229"/>
        <w:rPr>
          <w:rFonts w:hint="eastAsia" w:ascii="仿宋" w:hAnsi="仿宋" w:eastAsia="仿宋" w:cs="仿宋"/>
          <w:color w:val="auto"/>
          <w:sz w:val="24"/>
          <w:highlight w:val="none"/>
        </w:rPr>
      </w:pPr>
    </w:p>
    <w:p w14:paraId="243FE30E">
      <w:pPr>
        <w:spacing w:line="360" w:lineRule="auto"/>
        <w:ind w:firstLine="549" w:firstLineChars="229"/>
        <w:rPr>
          <w:rFonts w:hint="eastAsia" w:ascii="仿宋" w:hAnsi="仿宋" w:eastAsia="仿宋" w:cs="仿宋"/>
          <w:color w:val="auto"/>
          <w:sz w:val="24"/>
          <w:highlight w:val="none"/>
        </w:rPr>
      </w:pPr>
    </w:p>
    <w:p w14:paraId="281B591C">
      <w:pPr>
        <w:spacing w:line="360" w:lineRule="auto"/>
        <w:ind w:firstLine="549" w:firstLineChars="229"/>
        <w:rPr>
          <w:rFonts w:hint="eastAsia" w:ascii="仿宋" w:hAnsi="仿宋" w:eastAsia="仿宋" w:cs="仿宋"/>
          <w:color w:val="auto"/>
          <w:sz w:val="24"/>
          <w:highlight w:val="none"/>
        </w:rPr>
      </w:pPr>
    </w:p>
    <w:p w14:paraId="22A2B0F0">
      <w:pPr>
        <w:spacing w:line="360" w:lineRule="auto"/>
        <w:ind w:firstLine="549" w:firstLineChars="229"/>
        <w:rPr>
          <w:rFonts w:hint="eastAsia" w:ascii="仿宋" w:hAnsi="仿宋" w:eastAsia="仿宋" w:cs="仿宋"/>
          <w:color w:val="auto"/>
          <w:sz w:val="24"/>
          <w:highlight w:val="none"/>
        </w:rPr>
      </w:pPr>
    </w:p>
    <w:p w14:paraId="47016268">
      <w:pPr>
        <w:spacing w:line="360" w:lineRule="auto"/>
        <w:ind w:firstLine="549" w:firstLineChars="229"/>
        <w:rPr>
          <w:rFonts w:hint="eastAsia" w:ascii="仿宋" w:hAnsi="仿宋" w:eastAsia="仿宋" w:cs="仿宋"/>
          <w:color w:val="auto"/>
          <w:sz w:val="24"/>
          <w:highlight w:val="none"/>
        </w:rPr>
      </w:pPr>
    </w:p>
    <w:p w14:paraId="68E4070A">
      <w:pPr>
        <w:spacing w:line="360" w:lineRule="auto"/>
        <w:ind w:firstLine="549" w:firstLineChars="229"/>
        <w:rPr>
          <w:rFonts w:hint="eastAsia" w:ascii="仿宋" w:hAnsi="仿宋" w:eastAsia="仿宋" w:cs="仿宋"/>
          <w:color w:val="auto"/>
          <w:sz w:val="24"/>
          <w:highlight w:val="none"/>
        </w:rPr>
      </w:pPr>
    </w:p>
    <w:p w14:paraId="0FA79FC1">
      <w:pPr>
        <w:spacing w:line="360" w:lineRule="auto"/>
        <w:ind w:firstLine="549" w:firstLineChars="229"/>
        <w:rPr>
          <w:rFonts w:hint="eastAsia" w:ascii="仿宋" w:hAnsi="仿宋" w:eastAsia="仿宋" w:cs="仿宋"/>
          <w:color w:val="auto"/>
          <w:sz w:val="24"/>
          <w:highlight w:val="none"/>
        </w:rPr>
      </w:pPr>
    </w:p>
    <w:p w14:paraId="3012504B">
      <w:pPr>
        <w:spacing w:line="360" w:lineRule="auto"/>
        <w:rPr>
          <w:rFonts w:hint="eastAsia" w:ascii="仿宋" w:hAnsi="仿宋" w:eastAsia="仿宋" w:cs="仿宋"/>
          <w:color w:val="auto"/>
          <w:sz w:val="24"/>
          <w:highlight w:val="none"/>
        </w:rPr>
      </w:pPr>
    </w:p>
    <w:p w14:paraId="04805E73">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102D9262">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项目概况</w:t>
      </w:r>
    </w:p>
    <w:p w14:paraId="124133A5">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u w:val="single"/>
          <w:lang w:eastAsia="zh-CN"/>
        </w:rPr>
        <w:t>钱清街道2025年窨井养护管理服务项目</w:t>
      </w:r>
      <w:r>
        <w:rPr>
          <w:rFonts w:hint="eastAsia" w:ascii="仿宋" w:hAnsi="仿宋" w:eastAsia="仿宋" w:cs="仿宋"/>
          <w:color w:val="auto"/>
          <w:sz w:val="24"/>
          <w:szCs w:val="28"/>
          <w:highlight w:val="none"/>
        </w:rPr>
        <w:t>招标项目的潜在投标人应在</w:t>
      </w:r>
      <w:r>
        <w:rPr>
          <w:rFonts w:hint="eastAsia" w:ascii="仿宋" w:hAnsi="仿宋" w:eastAsia="仿宋" w:cs="仿宋"/>
          <w:color w:val="auto"/>
          <w:sz w:val="24"/>
          <w:szCs w:val="28"/>
          <w:highlight w:val="none"/>
          <w:u w:val="single"/>
        </w:rPr>
        <w:t>政采云系统在线</w:t>
      </w:r>
      <w:r>
        <w:rPr>
          <w:rFonts w:hint="eastAsia" w:ascii="仿宋" w:hAnsi="仿宋" w:eastAsia="仿宋" w:cs="仿宋"/>
          <w:color w:val="auto"/>
          <w:sz w:val="24"/>
          <w:szCs w:val="28"/>
          <w:highlight w:val="none"/>
        </w:rPr>
        <w:t>获取招标文件，并于</w:t>
      </w:r>
      <w:r>
        <w:rPr>
          <w:rFonts w:hint="eastAsia" w:ascii="仿宋" w:hAnsi="仿宋" w:eastAsia="仿宋" w:cs="仿宋"/>
          <w:color w:val="auto"/>
          <w:sz w:val="24"/>
          <w:szCs w:val="28"/>
          <w:highlight w:val="none"/>
          <w:u w:val="single"/>
          <w:lang w:val="en-US" w:eastAsia="zh-CN"/>
        </w:rPr>
        <w:t>2025</w:t>
      </w:r>
      <w:r>
        <w:rPr>
          <w:rFonts w:hint="eastAsia" w:ascii="仿宋" w:hAnsi="仿宋" w:eastAsia="仿宋" w:cs="仿宋"/>
          <w:bCs/>
          <w:color w:val="auto"/>
          <w:sz w:val="24"/>
          <w:szCs w:val="28"/>
          <w:highlight w:val="none"/>
          <w:u w:val="single"/>
        </w:rPr>
        <w:t>年</w:t>
      </w:r>
      <w:r>
        <w:rPr>
          <w:rFonts w:hint="eastAsia" w:ascii="仿宋" w:hAnsi="仿宋" w:eastAsia="仿宋" w:cs="仿宋"/>
          <w:bCs/>
          <w:color w:val="auto"/>
          <w:sz w:val="24"/>
          <w:szCs w:val="28"/>
          <w:highlight w:val="none"/>
          <w:u w:val="single"/>
          <w:lang w:val="en-US" w:eastAsia="zh-CN"/>
        </w:rPr>
        <w:t>4</w:t>
      </w:r>
      <w:r>
        <w:rPr>
          <w:rFonts w:hint="eastAsia" w:ascii="仿宋" w:hAnsi="仿宋" w:eastAsia="仿宋" w:cs="仿宋"/>
          <w:bCs/>
          <w:color w:val="auto"/>
          <w:sz w:val="24"/>
          <w:szCs w:val="28"/>
          <w:highlight w:val="none"/>
          <w:u w:val="single"/>
        </w:rPr>
        <w:t>月</w:t>
      </w:r>
      <w:r>
        <w:rPr>
          <w:rFonts w:hint="eastAsia" w:ascii="仿宋" w:hAnsi="仿宋" w:eastAsia="仿宋" w:cs="仿宋"/>
          <w:bCs/>
          <w:color w:val="auto"/>
          <w:sz w:val="24"/>
          <w:szCs w:val="28"/>
          <w:highlight w:val="none"/>
          <w:u w:val="single"/>
          <w:lang w:val="en-US" w:eastAsia="zh-CN"/>
        </w:rPr>
        <w:t>10</w:t>
      </w:r>
      <w:r>
        <w:rPr>
          <w:rFonts w:hint="eastAsia" w:ascii="仿宋" w:hAnsi="仿宋" w:eastAsia="仿宋" w:cs="仿宋"/>
          <w:bCs/>
          <w:color w:val="auto"/>
          <w:sz w:val="24"/>
          <w:szCs w:val="28"/>
          <w:highlight w:val="none"/>
          <w:u w:val="single"/>
        </w:rPr>
        <w:t>日</w:t>
      </w:r>
      <w:r>
        <w:rPr>
          <w:rFonts w:hint="eastAsia" w:ascii="仿宋" w:hAnsi="仿宋" w:eastAsia="仿宋" w:cs="仿宋"/>
          <w:bCs/>
          <w:color w:val="auto"/>
          <w:sz w:val="24"/>
          <w:szCs w:val="28"/>
          <w:highlight w:val="none"/>
          <w:u w:val="single"/>
          <w:lang w:val="en-US" w:eastAsia="zh-CN"/>
        </w:rPr>
        <w:t>9</w:t>
      </w:r>
      <w:r>
        <w:rPr>
          <w:rFonts w:hint="eastAsia" w:ascii="仿宋" w:hAnsi="仿宋" w:eastAsia="仿宋" w:cs="仿宋"/>
          <w:bCs/>
          <w:color w:val="auto"/>
          <w:sz w:val="24"/>
          <w:szCs w:val="28"/>
          <w:highlight w:val="none"/>
          <w:u w:val="single"/>
        </w:rPr>
        <w:t>点</w:t>
      </w:r>
      <w:r>
        <w:rPr>
          <w:rFonts w:hint="eastAsia" w:ascii="仿宋" w:hAnsi="仿宋" w:eastAsia="仿宋" w:cs="仿宋"/>
          <w:bCs/>
          <w:color w:val="auto"/>
          <w:sz w:val="24"/>
          <w:szCs w:val="28"/>
          <w:highlight w:val="none"/>
          <w:u w:val="single"/>
          <w:lang w:val="en-US" w:eastAsia="zh-CN"/>
        </w:rPr>
        <w:t>00</w:t>
      </w:r>
      <w:r>
        <w:rPr>
          <w:rFonts w:hint="eastAsia" w:ascii="仿宋" w:hAnsi="仿宋" w:eastAsia="仿宋" w:cs="仿宋"/>
          <w:bCs/>
          <w:color w:val="auto"/>
          <w:sz w:val="24"/>
          <w:szCs w:val="28"/>
          <w:highlight w:val="none"/>
          <w:u w:val="single"/>
        </w:rPr>
        <w:t>分（</w:t>
      </w:r>
      <w:r>
        <w:rPr>
          <w:rFonts w:hint="eastAsia" w:ascii="仿宋" w:hAnsi="仿宋" w:eastAsia="仿宋" w:cs="仿宋"/>
          <w:bCs/>
          <w:color w:val="auto"/>
          <w:sz w:val="24"/>
          <w:szCs w:val="28"/>
          <w:highlight w:val="none"/>
        </w:rPr>
        <w:t>北京时间）前递交投标文件</w:t>
      </w:r>
      <w:r>
        <w:rPr>
          <w:rFonts w:hint="eastAsia" w:ascii="仿宋" w:hAnsi="仿宋" w:eastAsia="仿宋" w:cs="仿宋"/>
          <w:color w:val="auto"/>
          <w:sz w:val="24"/>
          <w:szCs w:val="28"/>
          <w:highlight w:val="none"/>
        </w:rPr>
        <w:t>。</w:t>
      </w:r>
    </w:p>
    <w:p w14:paraId="43048648">
      <w:pPr>
        <w:rPr>
          <w:rFonts w:hint="eastAsia" w:ascii="仿宋" w:hAnsi="仿宋" w:eastAsia="仿宋" w:cs="仿宋"/>
          <w:color w:val="auto"/>
          <w:sz w:val="24"/>
          <w:szCs w:val="28"/>
          <w:highlight w:val="none"/>
        </w:rPr>
      </w:pPr>
    </w:p>
    <w:p w14:paraId="791D6CF2">
      <w:pPr>
        <w:pStyle w:val="4"/>
        <w:pageBreakBefore w:val="0"/>
        <w:widowControl w:val="0"/>
        <w:numPr>
          <w:ilvl w:val="0"/>
          <w:numId w:val="0"/>
        </w:numPr>
        <w:kinsoku/>
        <w:wordWrap/>
        <w:overflowPunct/>
        <w:topLinePunct w:val="0"/>
        <w:autoSpaceDE/>
        <w:autoSpaceDN/>
        <w:bidi w:val="0"/>
        <w:snapToGrid/>
        <w:spacing w:line="336" w:lineRule="auto"/>
        <w:textAlignment w:val="auto"/>
        <w:rPr>
          <w:rFonts w:hint="eastAsia" w:ascii="仿宋" w:hAnsi="仿宋" w:eastAsia="仿宋" w:cs="仿宋"/>
          <w:color w:val="auto"/>
          <w:sz w:val="24"/>
          <w:szCs w:val="28"/>
          <w:highlight w:val="none"/>
        </w:rPr>
      </w:pPr>
      <w:bookmarkStart w:id="11" w:name="_Toc28359079"/>
      <w:bookmarkStart w:id="12" w:name="_Toc28359002"/>
      <w:bookmarkStart w:id="13" w:name="_Toc35393621"/>
      <w:bookmarkStart w:id="14" w:name="_Toc35393790"/>
      <w:bookmarkStart w:id="15" w:name="_Hlk24379207"/>
      <w:r>
        <w:rPr>
          <w:rFonts w:hint="eastAsia" w:ascii="仿宋" w:hAnsi="仿宋" w:eastAsia="仿宋" w:cs="仿宋"/>
          <w:color w:val="auto"/>
          <w:sz w:val="24"/>
          <w:szCs w:val="28"/>
          <w:highlight w:val="none"/>
        </w:rPr>
        <w:t>一、项目基本情况</w:t>
      </w:r>
      <w:bookmarkEnd w:id="11"/>
      <w:bookmarkEnd w:id="12"/>
      <w:bookmarkEnd w:id="13"/>
      <w:bookmarkEnd w:id="14"/>
    </w:p>
    <w:bookmarkEnd w:id="15"/>
    <w:p w14:paraId="7800E43C">
      <w:pPr>
        <w:pageBreakBefore w:val="0"/>
        <w:widowControl w:val="0"/>
        <w:kinsoku/>
        <w:wordWrap/>
        <w:overflowPunct/>
        <w:topLinePunct w:val="0"/>
        <w:autoSpaceDE/>
        <w:autoSpaceDN/>
        <w:bidi w:val="0"/>
        <w:snapToGrid/>
        <w:spacing w:line="336" w:lineRule="auto"/>
        <w:ind w:left="420" w:leftChars="200"/>
        <w:jc w:val="left"/>
        <w:textAlignment w:val="auto"/>
        <w:rPr>
          <w:rFonts w:hint="eastAsia" w:ascii="仿宋" w:hAnsi="仿宋" w:eastAsia="仿宋" w:cs="仿宋"/>
          <w:color w:val="000000"/>
          <w:sz w:val="24"/>
          <w:szCs w:val="28"/>
          <w:highlight w:val="none"/>
          <w:lang w:eastAsia="zh-CN"/>
        </w:rPr>
      </w:pPr>
      <w:r>
        <w:rPr>
          <w:rFonts w:hint="eastAsia" w:ascii="仿宋" w:hAnsi="仿宋" w:eastAsia="仿宋" w:cs="仿宋"/>
          <w:color w:val="000000"/>
          <w:sz w:val="24"/>
          <w:szCs w:val="28"/>
          <w:highlight w:val="none"/>
        </w:rPr>
        <w:t>项目编号：绍柯采[2025]375号</w:t>
      </w:r>
      <w:r>
        <w:rPr>
          <w:rFonts w:hint="eastAsia" w:ascii="仿宋" w:hAnsi="仿宋" w:eastAsia="仿宋" w:cs="仿宋"/>
          <w:color w:val="000000"/>
          <w:sz w:val="24"/>
          <w:szCs w:val="28"/>
          <w:highlight w:val="none"/>
          <w:lang w:val="en-US" w:eastAsia="zh-CN"/>
        </w:rPr>
        <w:t xml:space="preserve">   </w:t>
      </w:r>
    </w:p>
    <w:p w14:paraId="229C89EC">
      <w:pPr>
        <w:pageBreakBefore w:val="0"/>
        <w:widowControl w:val="0"/>
        <w:kinsoku/>
        <w:wordWrap/>
        <w:overflowPunct/>
        <w:topLinePunct w:val="0"/>
        <w:autoSpaceDE/>
        <w:autoSpaceDN/>
        <w:bidi w:val="0"/>
        <w:snapToGrid/>
        <w:spacing w:line="336" w:lineRule="auto"/>
        <w:ind w:left="420" w:leftChars="200"/>
        <w:jc w:val="left"/>
        <w:textAlignment w:val="auto"/>
        <w:rPr>
          <w:rFonts w:hint="eastAsia" w:ascii="仿宋" w:hAnsi="仿宋" w:eastAsia="仿宋" w:cs="仿宋"/>
          <w:color w:val="000000"/>
          <w:w w:val="95"/>
          <w:sz w:val="24"/>
          <w:szCs w:val="28"/>
          <w:highlight w:val="none"/>
          <w:lang w:eastAsia="zh-CN"/>
        </w:rPr>
      </w:pPr>
      <w:r>
        <w:rPr>
          <w:rFonts w:hint="eastAsia" w:ascii="仿宋" w:hAnsi="仿宋" w:eastAsia="仿宋" w:cs="仿宋"/>
          <w:color w:val="000000"/>
          <w:sz w:val="24"/>
          <w:szCs w:val="28"/>
          <w:highlight w:val="none"/>
        </w:rPr>
        <w:t>项目名称：</w:t>
      </w:r>
      <w:r>
        <w:rPr>
          <w:rFonts w:hint="eastAsia" w:ascii="仿宋" w:hAnsi="仿宋" w:eastAsia="仿宋"/>
          <w:color w:val="auto"/>
          <w:sz w:val="24"/>
          <w:szCs w:val="28"/>
          <w:highlight w:val="none"/>
          <w:u w:val="none"/>
          <w:lang w:eastAsia="zh-CN"/>
        </w:rPr>
        <w:t>钱清街道2025年窨井养护管理服务项目</w:t>
      </w:r>
      <w:r>
        <w:rPr>
          <w:rFonts w:hint="eastAsia" w:ascii="仿宋" w:hAnsi="仿宋" w:eastAsia="仿宋"/>
          <w:color w:val="auto"/>
          <w:sz w:val="24"/>
          <w:szCs w:val="28"/>
          <w:highlight w:val="none"/>
        </w:rPr>
        <w:t xml:space="preserve"> </w:t>
      </w:r>
    </w:p>
    <w:p w14:paraId="107F8A3A">
      <w:pPr>
        <w:pageBreakBefore w:val="0"/>
        <w:widowControl w:val="0"/>
        <w:kinsoku/>
        <w:wordWrap/>
        <w:overflowPunct/>
        <w:topLinePunct w:val="0"/>
        <w:autoSpaceDE/>
        <w:autoSpaceDN/>
        <w:bidi w:val="0"/>
        <w:snapToGrid/>
        <w:spacing w:line="336" w:lineRule="auto"/>
        <w:ind w:left="420" w:leftChars="200"/>
        <w:jc w:val="left"/>
        <w:textAlignment w:val="auto"/>
        <w:rPr>
          <w:rFonts w:hint="default" w:ascii="仿宋" w:hAnsi="仿宋" w:eastAsia="仿宋" w:cs="仿宋"/>
          <w:color w:val="000000"/>
          <w:sz w:val="24"/>
          <w:szCs w:val="28"/>
          <w:highlight w:val="none"/>
          <w:lang w:val="en-US" w:eastAsia="zh-CN"/>
        </w:rPr>
      </w:pPr>
      <w:r>
        <w:rPr>
          <w:rFonts w:hint="eastAsia" w:ascii="仿宋" w:hAnsi="仿宋" w:eastAsia="仿宋" w:cs="仿宋"/>
          <w:color w:val="000000"/>
          <w:sz w:val="24"/>
          <w:szCs w:val="28"/>
          <w:highlight w:val="none"/>
        </w:rPr>
        <w:t>预算金额（元）：</w:t>
      </w:r>
      <w:r>
        <w:rPr>
          <w:rFonts w:hint="eastAsia" w:ascii="仿宋" w:hAnsi="仿宋" w:eastAsia="仿宋"/>
          <w:sz w:val="24"/>
          <w:szCs w:val="28"/>
          <w:highlight w:val="none"/>
          <w:lang w:val="en-US" w:eastAsia="zh-CN"/>
        </w:rPr>
        <w:t>300000</w:t>
      </w:r>
    </w:p>
    <w:p w14:paraId="380F15D6">
      <w:pPr>
        <w:pageBreakBefore w:val="0"/>
        <w:widowControl w:val="0"/>
        <w:kinsoku/>
        <w:wordWrap/>
        <w:overflowPunct/>
        <w:topLinePunct w:val="0"/>
        <w:autoSpaceDE/>
        <w:autoSpaceDN/>
        <w:bidi w:val="0"/>
        <w:snapToGrid/>
        <w:spacing w:line="336" w:lineRule="auto"/>
        <w:ind w:left="420" w:leftChars="200"/>
        <w:jc w:val="left"/>
        <w:textAlignment w:val="auto"/>
        <w:rPr>
          <w:rFonts w:hint="eastAsia" w:ascii="仿宋" w:hAnsi="仿宋" w:eastAsia="仿宋" w:cs="仿宋"/>
          <w:color w:val="000000"/>
          <w:sz w:val="24"/>
          <w:szCs w:val="28"/>
          <w:highlight w:val="none"/>
          <w:lang w:val="en-US"/>
        </w:rPr>
      </w:pPr>
      <w:r>
        <w:rPr>
          <w:rFonts w:hint="eastAsia" w:ascii="仿宋" w:hAnsi="仿宋" w:eastAsia="仿宋" w:cs="仿宋"/>
          <w:color w:val="000000"/>
          <w:sz w:val="24"/>
          <w:szCs w:val="28"/>
          <w:highlight w:val="none"/>
        </w:rPr>
        <w:t>最高限价（元）：</w:t>
      </w:r>
      <w:r>
        <w:rPr>
          <w:rFonts w:hint="eastAsia" w:ascii="仿宋" w:hAnsi="仿宋" w:eastAsia="仿宋"/>
          <w:sz w:val="24"/>
          <w:szCs w:val="28"/>
          <w:highlight w:val="none"/>
          <w:lang w:val="en-US" w:eastAsia="zh-CN"/>
        </w:rPr>
        <w:t>300000</w:t>
      </w:r>
    </w:p>
    <w:p w14:paraId="1D1FB60B">
      <w:pPr>
        <w:pageBreakBefore w:val="0"/>
        <w:widowControl w:val="0"/>
        <w:kinsoku/>
        <w:wordWrap/>
        <w:overflowPunct/>
        <w:topLinePunct w:val="0"/>
        <w:autoSpaceDE/>
        <w:autoSpaceDN/>
        <w:bidi w:val="0"/>
        <w:snapToGrid/>
        <w:spacing w:line="336" w:lineRule="auto"/>
        <w:ind w:left="420" w:leftChars="200"/>
        <w:jc w:val="left"/>
        <w:textAlignment w:val="auto"/>
        <w:rPr>
          <w:rFonts w:hint="eastAsia" w:ascii="仿宋" w:hAnsi="仿宋" w:eastAsia="仿宋" w:cs="仿宋"/>
          <w:b/>
          <w:color w:val="000000"/>
          <w:sz w:val="24"/>
          <w:szCs w:val="28"/>
          <w:highlight w:val="none"/>
        </w:rPr>
      </w:pPr>
      <w:r>
        <w:rPr>
          <w:rFonts w:hint="eastAsia" w:ascii="仿宋" w:hAnsi="仿宋" w:eastAsia="仿宋" w:cs="仿宋"/>
          <w:color w:val="000000"/>
          <w:sz w:val="24"/>
          <w:szCs w:val="28"/>
          <w:highlight w:val="none"/>
        </w:rPr>
        <w:t xml:space="preserve">采购需求：详见招标文件 </w:t>
      </w:r>
    </w:p>
    <w:p w14:paraId="426CF6F9">
      <w:pPr>
        <w:pageBreakBefore w:val="0"/>
        <w:widowControl w:val="0"/>
        <w:kinsoku/>
        <w:wordWrap/>
        <w:overflowPunct/>
        <w:topLinePunct w:val="0"/>
        <w:autoSpaceDE/>
        <w:autoSpaceDN/>
        <w:bidi w:val="0"/>
        <w:snapToGrid/>
        <w:spacing w:line="336" w:lineRule="auto"/>
        <w:ind w:left="420" w:leftChars="200"/>
        <w:jc w:val="left"/>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标项一：</w:t>
      </w:r>
    </w:p>
    <w:p w14:paraId="252C442F">
      <w:pPr>
        <w:pageBreakBefore w:val="0"/>
        <w:widowControl w:val="0"/>
        <w:kinsoku/>
        <w:wordWrap/>
        <w:overflowPunct/>
        <w:topLinePunct w:val="0"/>
        <w:autoSpaceDE/>
        <w:autoSpaceDN/>
        <w:bidi w:val="0"/>
        <w:snapToGrid/>
        <w:spacing w:line="336" w:lineRule="auto"/>
        <w:ind w:left="420" w:leftChars="200"/>
        <w:jc w:val="left"/>
        <w:textAlignment w:val="auto"/>
        <w:rPr>
          <w:rFonts w:hint="eastAsia" w:ascii="仿宋" w:hAnsi="仿宋" w:eastAsia="仿宋" w:cs="仿宋"/>
          <w:color w:val="000000"/>
          <w:w w:val="95"/>
          <w:sz w:val="24"/>
          <w:szCs w:val="28"/>
          <w:highlight w:val="none"/>
          <w:lang w:eastAsia="zh-CN"/>
        </w:rPr>
      </w:pPr>
      <w:r>
        <w:rPr>
          <w:rFonts w:hint="eastAsia" w:ascii="仿宋" w:hAnsi="仿宋" w:eastAsia="仿宋" w:cs="仿宋"/>
          <w:color w:val="000000"/>
          <w:sz w:val="24"/>
          <w:szCs w:val="28"/>
          <w:highlight w:val="none"/>
        </w:rPr>
        <w:t>标项名称：</w:t>
      </w:r>
      <w:r>
        <w:rPr>
          <w:rFonts w:hint="eastAsia" w:ascii="仿宋" w:hAnsi="仿宋" w:eastAsia="仿宋"/>
          <w:color w:val="auto"/>
          <w:sz w:val="24"/>
          <w:szCs w:val="28"/>
          <w:highlight w:val="none"/>
          <w:u w:val="none"/>
          <w:lang w:eastAsia="zh-CN"/>
        </w:rPr>
        <w:t>钱清街道2025年窨井养护管理服务项目</w:t>
      </w:r>
      <w:r>
        <w:rPr>
          <w:rFonts w:hint="eastAsia" w:ascii="仿宋" w:hAnsi="仿宋" w:eastAsia="仿宋"/>
          <w:color w:val="auto"/>
          <w:sz w:val="24"/>
          <w:szCs w:val="28"/>
          <w:highlight w:val="none"/>
        </w:rPr>
        <w:t xml:space="preserve"> </w:t>
      </w:r>
    </w:p>
    <w:p w14:paraId="266861C6">
      <w:pPr>
        <w:pageBreakBefore w:val="0"/>
        <w:widowControl w:val="0"/>
        <w:kinsoku/>
        <w:wordWrap/>
        <w:overflowPunct/>
        <w:topLinePunct w:val="0"/>
        <w:autoSpaceDE/>
        <w:autoSpaceDN/>
        <w:bidi w:val="0"/>
        <w:snapToGrid/>
        <w:spacing w:line="336" w:lineRule="auto"/>
        <w:ind w:left="420" w:leftChars="200"/>
        <w:jc w:val="left"/>
        <w:textAlignment w:val="auto"/>
        <w:rPr>
          <w:rFonts w:hint="eastAsia" w:ascii="仿宋" w:hAnsi="仿宋" w:eastAsia="仿宋" w:cs="仿宋"/>
          <w:color w:val="000000"/>
          <w:sz w:val="24"/>
          <w:szCs w:val="28"/>
          <w:highlight w:val="none"/>
          <w:lang w:eastAsia="zh-CN"/>
        </w:rPr>
      </w:pPr>
      <w:r>
        <w:rPr>
          <w:rFonts w:hint="eastAsia" w:ascii="仿宋" w:hAnsi="仿宋" w:eastAsia="仿宋" w:cs="仿宋"/>
          <w:color w:val="000000"/>
          <w:sz w:val="24"/>
          <w:szCs w:val="28"/>
          <w:highlight w:val="none"/>
        </w:rPr>
        <w:t>数量：</w:t>
      </w:r>
      <w:r>
        <w:rPr>
          <w:rFonts w:hint="eastAsia" w:ascii="仿宋" w:hAnsi="仿宋" w:eastAsia="仿宋" w:cs="仿宋"/>
          <w:color w:val="000000"/>
          <w:sz w:val="24"/>
          <w:szCs w:val="28"/>
          <w:highlight w:val="none"/>
          <w:lang w:val="en-US" w:eastAsia="zh-CN"/>
        </w:rPr>
        <w:t>1</w:t>
      </w:r>
    </w:p>
    <w:p w14:paraId="6EF3FF7A">
      <w:pPr>
        <w:pageBreakBefore w:val="0"/>
        <w:widowControl w:val="0"/>
        <w:kinsoku/>
        <w:wordWrap/>
        <w:overflowPunct/>
        <w:topLinePunct w:val="0"/>
        <w:autoSpaceDE/>
        <w:autoSpaceDN/>
        <w:bidi w:val="0"/>
        <w:snapToGrid/>
        <w:spacing w:line="336" w:lineRule="auto"/>
        <w:ind w:left="420" w:leftChars="200"/>
        <w:jc w:val="left"/>
        <w:textAlignment w:val="auto"/>
        <w:rPr>
          <w:rFonts w:hint="eastAsia" w:ascii="仿宋" w:hAnsi="仿宋" w:eastAsia="仿宋" w:cs="Times New Roman"/>
          <w:color w:val="auto"/>
          <w:sz w:val="24"/>
          <w:szCs w:val="28"/>
          <w:highlight w:val="none"/>
          <w:lang w:val="en-US" w:eastAsia="zh-CN"/>
        </w:rPr>
      </w:pPr>
      <w:r>
        <w:rPr>
          <w:rFonts w:hint="eastAsia" w:ascii="仿宋" w:hAnsi="仿宋" w:eastAsia="仿宋" w:cs="仿宋"/>
          <w:color w:val="000000"/>
          <w:sz w:val="24"/>
          <w:szCs w:val="28"/>
          <w:highlight w:val="none"/>
        </w:rPr>
        <w:t>预算金额（元）:</w:t>
      </w:r>
      <w:r>
        <w:rPr>
          <w:rFonts w:hint="eastAsia" w:ascii="仿宋" w:hAnsi="仿宋" w:eastAsia="仿宋"/>
          <w:sz w:val="24"/>
          <w:szCs w:val="28"/>
          <w:highlight w:val="none"/>
          <w:lang w:val="en-US" w:eastAsia="zh-CN"/>
        </w:rPr>
        <w:t>300000</w:t>
      </w:r>
    </w:p>
    <w:p w14:paraId="32B4F9C6">
      <w:pPr>
        <w:pageBreakBefore w:val="0"/>
        <w:widowControl w:val="0"/>
        <w:kinsoku/>
        <w:wordWrap/>
        <w:overflowPunct/>
        <w:topLinePunct w:val="0"/>
        <w:autoSpaceDE/>
        <w:autoSpaceDN/>
        <w:bidi w:val="0"/>
        <w:snapToGrid/>
        <w:spacing w:line="336" w:lineRule="auto"/>
        <w:ind w:left="420" w:leftChars="200"/>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简要规格描述或项目基本概况介绍、用途：</w:t>
      </w:r>
      <w:r>
        <w:rPr>
          <w:rFonts w:hint="eastAsia" w:ascii="仿宋" w:hAnsi="仿宋" w:eastAsia="仿宋" w:cs="仿宋"/>
          <w:color w:val="auto"/>
          <w:sz w:val="24"/>
          <w:szCs w:val="28"/>
          <w:highlight w:val="none"/>
          <w:u w:val="single"/>
        </w:rPr>
        <w:t>本次采购内容为钱清街道全街道公共区域7269只窨井(现有物业小区外围的各类窖井1254只、无物业小区内外窖井2400只，各市政道路窖井3615只)的养护管理服务，集镇范围内窨井管道疏通等进行年度招标，损坏、丢失率按现场计,由各投标供应商自行踏勘现场，养护人员为2人1车。</w:t>
      </w:r>
    </w:p>
    <w:p w14:paraId="0A47905D">
      <w:pPr>
        <w:pageBreakBefore w:val="0"/>
        <w:widowControl w:val="0"/>
        <w:kinsoku/>
        <w:wordWrap/>
        <w:overflowPunct/>
        <w:topLinePunct w:val="0"/>
        <w:autoSpaceDE/>
        <w:autoSpaceDN/>
        <w:bidi w:val="0"/>
        <w:snapToGrid/>
        <w:spacing w:line="336" w:lineRule="auto"/>
        <w:ind w:left="420" w:leftChars="200"/>
        <w:jc w:val="left"/>
        <w:textAlignment w:val="auto"/>
        <w:rPr>
          <w:rFonts w:hint="eastAsia" w:ascii="仿宋" w:hAnsi="仿宋" w:eastAsia="仿宋" w:cs="仿宋"/>
          <w:color w:val="auto"/>
          <w:sz w:val="24"/>
          <w:szCs w:val="28"/>
          <w:highlight w:val="none"/>
          <w:u w:val="single"/>
          <w:lang w:val="en-US" w:eastAsia="zh-CN"/>
        </w:rPr>
      </w:pPr>
      <w:r>
        <w:rPr>
          <w:rFonts w:hint="eastAsia" w:ascii="仿宋" w:hAnsi="仿宋" w:eastAsia="仿宋" w:cs="仿宋"/>
          <w:color w:val="auto"/>
          <w:sz w:val="24"/>
          <w:szCs w:val="28"/>
          <w:highlight w:val="none"/>
        </w:rPr>
        <w:t>备注：</w:t>
      </w:r>
      <w:r>
        <w:rPr>
          <w:rFonts w:hint="eastAsia" w:ascii="仿宋" w:hAnsi="仿宋" w:eastAsia="仿宋" w:cs="仿宋"/>
          <w:color w:val="auto"/>
          <w:sz w:val="24"/>
          <w:szCs w:val="28"/>
          <w:highlight w:val="none"/>
          <w:lang w:val="en-US" w:eastAsia="zh-CN"/>
        </w:rPr>
        <w:t>/</w:t>
      </w:r>
    </w:p>
    <w:p w14:paraId="3FDCC2C4">
      <w:pPr>
        <w:pageBreakBefore w:val="0"/>
        <w:widowControl w:val="0"/>
        <w:kinsoku/>
        <w:wordWrap/>
        <w:overflowPunct/>
        <w:topLinePunct w:val="0"/>
        <w:autoSpaceDE/>
        <w:autoSpaceDN/>
        <w:bidi w:val="0"/>
        <w:snapToGrid/>
        <w:spacing w:line="336" w:lineRule="auto"/>
        <w:ind w:left="420" w:leftChars="200"/>
        <w:jc w:val="left"/>
        <w:textAlignment w:val="auto"/>
        <w:rPr>
          <w:rFonts w:hint="eastAsia" w:ascii="仿宋" w:hAnsi="仿宋" w:eastAsia="仿宋" w:cs="仿宋"/>
          <w:color w:val="auto"/>
          <w:sz w:val="24"/>
          <w:szCs w:val="28"/>
          <w:highlight w:val="none"/>
          <w:u w:val="single"/>
          <w:lang w:eastAsia="zh-CN"/>
        </w:rPr>
      </w:pPr>
      <w:r>
        <w:rPr>
          <w:rFonts w:hint="eastAsia" w:ascii="仿宋" w:hAnsi="仿宋" w:eastAsia="仿宋" w:cs="仿宋"/>
          <w:color w:val="auto"/>
          <w:sz w:val="24"/>
          <w:szCs w:val="28"/>
          <w:highlight w:val="none"/>
        </w:rPr>
        <w:t>合同履行期限：</w:t>
      </w:r>
      <w:r>
        <w:rPr>
          <w:rFonts w:hint="eastAsia" w:ascii="仿宋" w:hAnsi="仿宋" w:eastAsia="仿宋" w:cs="Times New Roman"/>
          <w:color w:val="auto"/>
          <w:sz w:val="24"/>
          <w:szCs w:val="28"/>
          <w:highlight w:val="none"/>
        </w:rPr>
        <w:t>自合同签订之日起</w:t>
      </w:r>
      <w:r>
        <w:rPr>
          <w:rFonts w:hint="eastAsia" w:ascii="仿宋" w:hAnsi="仿宋" w:eastAsia="仿宋" w:cs="Times New Roman"/>
          <w:color w:val="auto"/>
          <w:sz w:val="24"/>
          <w:szCs w:val="28"/>
          <w:highlight w:val="none"/>
          <w:lang w:val="en-US" w:eastAsia="zh-CN"/>
        </w:rPr>
        <w:t>一</w:t>
      </w:r>
      <w:r>
        <w:rPr>
          <w:rFonts w:hint="eastAsia" w:ascii="仿宋" w:hAnsi="仿宋" w:eastAsia="仿宋" w:cs="Times New Roman"/>
          <w:color w:val="auto"/>
          <w:sz w:val="24"/>
          <w:szCs w:val="28"/>
          <w:highlight w:val="none"/>
        </w:rPr>
        <w:t>年。</w:t>
      </w:r>
    </w:p>
    <w:p w14:paraId="06673F75">
      <w:pPr>
        <w:pageBreakBefore w:val="0"/>
        <w:widowControl w:val="0"/>
        <w:kinsoku/>
        <w:wordWrap/>
        <w:overflowPunct/>
        <w:topLinePunct w:val="0"/>
        <w:autoSpaceDE/>
        <w:autoSpaceDN/>
        <w:bidi w:val="0"/>
        <w:snapToGrid/>
        <w:spacing w:line="336" w:lineRule="auto"/>
        <w:ind w:left="420" w:left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本项目</w:t>
      </w:r>
      <w:r>
        <w:rPr>
          <w:rFonts w:hint="eastAsia" w:ascii="仿宋" w:hAnsi="仿宋" w:eastAsia="仿宋" w:cs="仿宋"/>
          <w:b/>
          <w:bCs/>
          <w:color w:val="auto"/>
          <w:sz w:val="24"/>
          <w:szCs w:val="28"/>
          <w:highlight w:val="none"/>
        </w:rPr>
        <w:t>（否）</w:t>
      </w:r>
      <w:r>
        <w:rPr>
          <w:rFonts w:hint="eastAsia" w:ascii="仿宋" w:hAnsi="仿宋" w:eastAsia="仿宋" w:cs="仿宋"/>
          <w:color w:val="auto"/>
          <w:sz w:val="24"/>
          <w:szCs w:val="28"/>
          <w:highlight w:val="none"/>
        </w:rPr>
        <w:t>接受联合体投标。</w:t>
      </w:r>
    </w:p>
    <w:p w14:paraId="6EB45606">
      <w:pPr>
        <w:pStyle w:val="4"/>
        <w:pageBreakBefore w:val="0"/>
        <w:widowControl w:val="0"/>
        <w:numPr>
          <w:ilvl w:val="0"/>
          <w:numId w:val="0"/>
        </w:numPr>
        <w:kinsoku/>
        <w:wordWrap/>
        <w:overflowPunct/>
        <w:topLinePunct w:val="0"/>
        <w:autoSpaceDE/>
        <w:autoSpaceDN/>
        <w:bidi w:val="0"/>
        <w:snapToGrid/>
        <w:spacing w:line="336" w:lineRule="auto"/>
        <w:textAlignment w:val="auto"/>
        <w:rPr>
          <w:rFonts w:hint="eastAsia" w:ascii="仿宋" w:hAnsi="仿宋" w:eastAsia="仿宋" w:cs="仿宋"/>
          <w:color w:val="auto"/>
          <w:sz w:val="24"/>
          <w:szCs w:val="28"/>
          <w:highlight w:val="none"/>
        </w:rPr>
      </w:pPr>
      <w:bookmarkStart w:id="16" w:name="_Toc35393622"/>
      <w:bookmarkStart w:id="17" w:name="_Toc28359080"/>
      <w:bookmarkStart w:id="18" w:name="_Toc35393791"/>
      <w:bookmarkStart w:id="19" w:name="_Toc28359003"/>
      <w:r>
        <w:rPr>
          <w:rFonts w:hint="eastAsia" w:ascii="仿宋" w:hAnsi="仿宋" w:eastAsia="仿宋" w:cs="仿宋"/>
          <w:color w:val="auto"/>
          <w:sz w:val="24"/>
          <w:szCs w:val="28"/>
          <w:highlight w:val="none"/>
        </w:rPr>
        <w:t>二、申请人的资格要求：</w:t>
      </w:r>
      <w:bookmarkEnd w:id="16"/>
      <w:bookmarkEnd w:id="17"/>
      <w:bookmarkEnd w:id="18"/>
      <w:bookmarkEnd w:id="19"/>
    </w:p>
    <w:p w14:paraId="6DADFFC8">
      <w:pPr>
        <w:pageBreakBefore w:val="0"/>
        <w:widowControl w:val="0"/>
        <w:kinsoku/>
        <w:wordWrap/>
        <w:overflowPunct/>
        <w:topLinePunct w:val="0"/>
        <w:autoSpaceDE/>
        <w:autoSpaceDN/>
        <w:bidi w:val="0"/>
        <w:snapToGrid/>
        <w:spacing w:line="336"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14:paraId="26D0D843">
      <w:pPr>
        <w:pageBreakBefore w:val="0"/>
        <w:widowControl w:val="0"/>
        <w:kinsoku/>
        <w:wordWrap/>
        <w:overflowPunct/>
        <w:topLinePunct w:val="0"/>
        <w:autoSpaceDE/>
        <w:autoSpaceDN/>
        <w:bidi w:val="0"/>
        <w:snapToGrid/>
        <w:spacing w:line="336" w:lineRule="auto"/>
        <w:ind w:firstLine="480" w:firstLineChars="200"/>
        <w:jc w:val="left"/>
        <w:textAlignment w:val="auto"/>
        <w:rPr>
          <w:rFonts w:hint="eastAsia" w:ascii="仿宋" w:hAnsi="仿宋" w:eastAsia="仿宋" w:cs="仿宋"/>
          <w:color w:val="auto"/>
          <w:sz w:val="24"/>
          <w:szCs w:val="28"/>
          <w:highlight w:val="none"/>
        </w:rPr>
      </w:pPr>
      <w:bookmarkStart w:id="20" w:name="_Toc28359081"/>
      <w:bookmarkStart w:id="21" w:name="_Toc28359004"/>
      <w:r>
        <w:rPr>
          <w:rFonts w:hint="eastAsia" w:ascii="仿宋" w:hAnsi="仿宋" w:eastAsia="仿宋" w:cs="仿宋"/>
          <w:color w:val="auto"/>
          <w:sz w:val="24"/>
          <w:szCs w:val="28"/>
          <w:highlight w:val="none"/>
        </w:rPr>
        <w:t>落实政府采购政策需满足的资格要求：</w:t>
      </w:r>
    </w:p>
    <w:p w14:paraId="73D79500">
      <w:pPr>
        <w:pageBreakBefore w:val="0"/>
        <w:widowControl w:val="0"/>
        <w:kinsoku/>
        <w:wordWrap/>
        <w:overflowPunct/>
        <w:topLinePunct w:val="0"/>
        <w:autoSpaceDE/>
        <w:autoSpaceDN/>
        <w:bidi w:val="0"/>
        <w:snapToGrid/>
        <w:spacing w:line="336" w:lineRule="auto"/>
        <w:ind w:firstLine="480" w:firstLineChars="200"/>
        <w:textAlignment w:val="auto"/>
        <w:rPr>
          <w:rFonts w:ascii="仿宋" w:hAnsi="仿宋" w:eastAsia="仿宋" w:cs="宋体"/>
          <w:sz w:val="24"/>
          <w:highlight w:val="none"/>
        </w:rPr>
      </w:pPr>
      <w:r>
        <w:rPr>
          <w:rFonts w:ascii="Wingdings" w:hAnsi="Wingdings" w:cs="宋体"/>
          <w:color w:val="auto"/>
          <w:kern w:val="0"/>
          <w:sz w:val="24"/>
          <w:highlight w:val="none"/>
        </w:rPr>
        <w:sym w:font="Wingdings" w:char="00FE"/>
      </w:r>
      <w:r>
        <w:rPr>
          <w:rFonts w:hint="eastAsia" w:ascii="仿宋" w:hAnsi="仿宋" w:eastAsia="仿宋" w:cs="宋体"/>
          <w:kern w:val="0"/>
          <w:sz w:val="24"/>
          <w:highlight w:val="none"/>
        </w:rPr>
        <w:t>专</w:t>
      </w:r>
      <w:r>
        <w:rPr>
          <w:rFonts w:hint="eastAsia" w:ascii="仿宋" w:hAnsi="仿宋" w:eastAsia="仿宋" w:cs="宋体"/>
          <w:sz w:val="24"/>
          <w:highlight w:val="none"/>
        </w:rPr>
        <w:t>门面向中小企业</w:t>
      </w:r>
    </w:p>
    <w:p w14:paraId="29308124">
      <w:pPr>
        <w:pageBreakBefore w:val="0"/>
        <w:widowControl w:val="0"/>
        <w:kinsoku/>
        <w:wordWrap/>
        <w:overflowPunct/>
        <w:topLinePunct w:val="0"/>
        <w:autoSpaceDE/>
        <w:autoSpaceDN/>
        <w:bidi w:val="0"/>
        <w:snapToGrid/>
        <w:spacing w:line="336" w:lineRule="auto"/>
        <w:ind w:firstLine="897" w:firstLineChars="374"/>
        <w:textAlignment w:val="auto"/>
        <w:rPr>
          <w:rFonts w:ascii="仿宋" w:hAnsi="仿宋" w:eastAsia="仿宋" w:cs="宋体"/>
          <w:sz w:val="24"/>
          <w:highlight w:val="none"/>
          <w:u w:val="single"/>
        </w:rPr>
      </w:pPr>
      <w:r>
        <w:rPr>
          <w:rFonts w:hint="eastAsia" w:ascii="仿宋" w:hAnsi="MS Gothic" w:eastAsia="MS Gothic" w:cs="宋体"/>
          <w:kern w:val="0"/>
          <w:sz w:val="24"/>
          <w:highlight w:val="none"/>
        </w:rPr>
        <w:t>☐</w:t>
      </w:r>
      <w:r>
        <w:rPr>
          <w:rFonts w:hint="eastAsia" w:ascii="仿宋" w:hAnsi="仿宋" w:eastAsia="仿宋" w:cs="宋体"/>
          <w:sz w:val="24"/>
          <w:highlight w:val="none"/>
        </w:rPr>
        <w:t>货物全部由符合政策要求的中小企业制造，提供中小企业声明函；</w:t>
      </w:r>
    </w:p>
    <w:p w14:paraId="0A4B2E9A">
      <w:pPr>
        <w:pageBreakBefore w:val="0"/>
        <w:widowControl w:val="0"/>
        <w:kinsoku/>
        <w:wordWrap/>
        <w:overflowPunct/>
        <w:topLinePunct w:val="0"/>
        <w:autoSpaceDE/>
        <w:autoSpaceDN/>
        <w:bidi w:val="0"/>
        <w:snapToGrid/>
        <w:spacing w:line="336" w:lineRule="auto"/>
        <w:ind w:firstLine="897" w:firstLineChars="374"/>
        <w:textAlignment w:val="auto"/>
        <w:rPr>
          <w:rFonts w:hint="eastAsia" w:ascii="仿宋" w:hAnsi="仿宋" w:eastAsia="仿宋" w:cs="宋体"/>
          <w:sz w:val="24"/>
          <w:highlight w:val="none"/>
        </w:rPr>
      </w:pPr>
      <w:r>
        <w:rPr>
          <w:rFonts w:hint="eastAsia" w:ascii="仿宋" w:hAnsi="仿宋" w:eastAsia="仿宋" w:cs="宋体"/>
          <w:kern w:val="0"/>
          <w:sz w:val="24"/>
          <w:highlight w:val="none"/>
        </w:rPr>
        <w:t>☐</w:t>
      </w:r>
      <w:r>
        <w:rPr>
          <w:rFonts w:hint="eastAsia" w:ascii="仿宋" w:hAnsi="仿宋" w:eastAsia="仿宋" w:cs="宋体"/>
          <w:sz w:val="24"/>
          <w:highlight w:val="none"/>
        </w:rPr>
        <w:t>货物全部由符合政策要求的小微企业制造，提供中小企业声明函；</w:t>
      </w:r>
    </w:p>
    <w:p w14:paraId="1B98E831">
      <w:pPr>
        <w:pageBreakBefore w:val="0"/>
        <w:widowControl w:val="0"/>
        <w:kinsoku/>
        <w:wordWrap/>
        <w:overflowPunct/>
        <w:topLinePunct w:val="0"/>
        <w:autoSpaceDE/>
        <w:autoSpaceDN/>
        <w:bidi w:val="0"/>
        <w:snapToGrid/>
        <w:spacing w:line="336" w:lineRule="auto"/>
        <w:ind w:firstLine="897" w:firstLineChars="374"/>
        <w:textAlignment w:val="auto"/>
        <w:rPr>
          <w:rFonts w:ascii="仿宋" w:hAnsi="仿宋" w:eastAsia="仿宋" w:cs="宋体"/>
          <w:sz w:val="24"/>
          <w:highlight w:val="none"/>
        </w:rPr>
      </w:pPr>
      <w:r>
        <w:rPr>
          <w:rFonts w:ascii="Wingdings" w:hAnsi="Wingdings" w:cs="宋体"/>
          <w:color w:val="auto"/>
          <w:kern w:val="0"/>
          <w:sz w:val="24"/>
          <w:highlight w:val="none"/>
        </w:rPr>
        <w:sym w:font="Wingdings" w:char="00FE"/>
      </w:r>
      <w:r>
        <w:rPr>
          <w:rFonts w:hint="eastAsia" w:ascii="仿宋" w:hAnsi="仿宋" w:eastAsia="仿宋" w:cs="宋体"/>
          <w:sz w:val="24"/>
          <w:highlight w:val="none"/>
        </w:rPr>
        <w:t>服务全部由符合政策要求的中小企业承接，提供中小企业声明函；</w:t>
      </w:r>
    </w:p>
    <w:p w14:paraId="0FC7D3B1">
      <w:pPr>
        <w:pageBreakBefore w:val="0"/>
        <w:widowControl w:val="0"/>
        <w:kinsoku/>
        <w:wordWrap/>
        <w:overflowPunct/>
        <w:topLinePunct w:val="0"/>
        <w:autoSpaceDE/>
        <w:autoSpaceDN/>
        <w:bidi w:val="0"/>
        <w:snapToGrid/>
        <w:spacing w:line="336" w:lineRule="auto"/>
        <w:ind w:firstLine="897" w:firstLineChars="374"/>
        <w:textAlignment w:val="auto"/>
        <w:rPr>
          <w:rFonts w:ascii="仿宋" w:hAnsi="仿宋" w:eastAsia="仿宋" w:cs="宋体"/>
          <w:sz w:val="24"/>
          <w:highlight w:val="none"/>
        </w:rPr>
      </w:pPr>
      <w:r>
        <w:rPr>
          <w:rFonts w:hint="eastAsia" w:ascii="仿宋" w:hAnsi="MS Mincho" w:eastAsia="MS Mincho" w:cs="MS Mincho"/>
          <w:kern w:val="0"/>
          <w:sz w:val="24"/>
          <w:highlight w:val="none"/>
        </w:rPr>
        <w:t>☐</w:t>
      </w:r>
      <w:r>
        <w:rPr>
          <w:rFonts w:hint="eastAsia" w:ascii="仿宋" w:hAnsi="仿宋" w:eastAsia="仿宋" w:cs="宋体"/>
          <w:sz w:val="24"/>
          <w:highlight w:val="none"/>
        </w:rPr>
        <w:t>服务全部由符合政策要求的小微企业承接，提供中小企业声明函；</w:t>
      </w:r>
    </w:p>
    <w:p w14:paraId="43ECBA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bookmarkStart w:id="22" w:name="_Hlk101132524"/>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以联合体形式参加，提供联合协议和中小企业声明函，联合体协议书中中小企业合同金额应当达到__%，其中小微企业合同金额应当达到__%;</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22"/>
    <w:p w14:paraId="4F334A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要求合同分包，提供分包意向协议和中小企业声明函，分包意向协议中中小企业合同金额应当达到达到__% ，其中小微企业合同金额应当达到__%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911F246">
      <w:pPr>
        <w:spacing w:line="360" w:lineRule="auto"/>
        <w:ind w:firstLine="240" w:firstLineChars="100"/>
        <w:jc w:val="left"/>
        <w:rPr>
          <w:rFonts w:hint="eastAsia" w:ascii="仿宋" w:hAnsi="仿宋" w:eastAsia="仿宋" w:cs="仿宋"/>
          <w:i/>
          <w:iCs/>
          <w:color w:val="auto"/>
          <w:sz w:val="24"/>
          <w:szCs w:val="28"/>
          <w:highlight w:val="none"/>
          <w:u w:val="single"/>
        </w:rPr>
      </w:pPr>
      <w:r>
        <w:rPr>
          <w:rFonts w:hint="eastAsia" w:ascii="仿宋" w:hAnsi="仿宋" w:eastAsia="仿宋" w:cs="仿宋"/>
          <w:color w:val="auto"/>
          <w:sz w:val="24"/>
          <w:highlight w:val="none"/>
        </w:rPr>
        <w:t>本项目的特定资格要求：</w:t>
      </w:r>
      <w:r>
        <w:rPr>
          <w:rFonts w:hint="eastAsia" w:ascii="仿宋" w:hAnsi="仿宋" w:eastAsia="仿宋"/>
          <w:color w:val="auto"/>
          <w:sz w:val="24"/>
          <w:szCs w:val="28"/>
          <w:highlight w:val="none"/>
          <w:lang w:eastAsia="zh-CN"/>
        </w:rPr>
        <w:t>无</w:t>
      </w:r>
      <w:r>
        <w:rPr>
          <w:rFonts w:hint="eastAsia" w:ascii="仿宋" w:hAnsi="仿宋" w:eastAsia="仿宋"/>
          <w:color w:val="auto"/>
          <w:sz w:val="24"/>
          <w:szCs w:val="28"/>
          <w:highlight w:val="none"/>
        </w:rPr>
        <w:t>。</w:t>
      </w:r>
    </w:p>
    <w:p w14:paraId="22FE8FA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23" w:name="_Toc35393792"/>
      <w:bookmarkStart w:id="24" w:name="_Toc35393623"/>
    </w:p>
    <w:p w14:paraId="607B4521">
      <w:pPr>
        <w:pStyle w:val="4"/>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三、获取招标文件</w:t>
      </w:r>
      <w:bookmarkEnd w:id="20"/>
      <w:bookmarkEnd w:id="21"/>
      <w:bookmarkEnd w:id="23"/>
      <w:bookmarkEnd w:id="24"/>
    </w:p>
    <w:p w14:paraId="373448DC">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时间：/</w:t>
      </w:r>
      <w:r>
        <w:rPr>
          <w:rFonts w:hint="eastAsia" w:ascii="仿宋" w:hAnsi="仿宋" w:eastAsia="仿宋" w:cs="仿宋"/>
          <w:color w:val="000000"/>
          <w:sz w:val="24"/>
          <w:szCs w:val="28"/>
          <w:highlight w:val="none"/>
        </w:rPr>
        <w:t>至</w:t>
      </w:r>
      <w:r>
        <w:rPr>
          <w:rFonts w:hint="eastAsia" w:ascii="仿宋" w:hAnsi="仿宋" w:eastAsia="仿宋" w:cs="仿宋"/>
          <w:bCs/>
          <w:color w:val="000000"/>
          <w:sz w:val="24"/>
          <w:szCs w:val="28"/>
          <w:highlight w:val="none"/>
          <w:u w:val="single"/>
          <w:lang w:val="en-US" w:eastAsia="zh-CN"/>
        </w:rPr>
        <w:t>2025</w:t>
      </w:r>
      <w:r>
        <w:rPr>
          <w:rFonts w:hint="eastAsia" w:ascii="仿宋" w:hAnsi="仿宋" w:eastAsia="仿宋" w:cs="仿宋"/>
          <w:bCs/>
          <w:color w:val="000000"/>
          <w:sz w:val="24"/>
          <w:szCs w:val="28"/>
          <w:highlight w:val="none"/>
          <w:u w:val="single"/>
        </w:rPr>
        <w:t>年</w:t>
      </w:r>
      <w:r>
        <w:rPr>
          <w:rFonts w:hint="eastAsia" w:ascii="仿宋" w:hAnsi="仿宋" w:eastAsia="仿宋" w:cs="仿宋"/>
          <w:bCs/>
          <w:color w:val="000000"/>
          <w:sz w:val="24"/>
          <w:szCs w:val="28"/>
          <w:highlight w:val="none"/>
          <w:u w:val="single"/>
          <w:lang w:val="en-US" w:eastAsia="zh-CN"/>
        </w:rPr>
        <w:t>4</w:t>
      </w:r>
      <w:r>
        <w:rPr>
          <w:rFonts w:hint="eastAsia" w:ascii="仿宋" w:hAnsi="仿宋" w:eastAsia="仿宋" w:cs="仿宋"/>
          <w:bCs/>
          <w:color w:val="000000"/>
          <w:sz w:val="24"/>
          <w:szCs w:val="28"/>
          <w:highlight w:val="none"/>
          <w:u w:val="single"/>
        </w:rPr>
        <w:t>月</w:t>
      </w:r>
      <w:r>
        <w:rPr>
          <w:rFonts w:hint="eastAsia" w:ascii="仿宋" w:hAnsi="仿宋" w:eastAsia="仿宋" w:cs="仿宋"/>
          <w:bCs/>
          <w:color w:val="000000"/>
          <w:sz w:val="24"/>
          <w:szCs w:val="28"/>
          <w:highlight w:val="none"/>
          <w:u w:val="single"/>
          <w:lang w:val="en-US" w:eastAsia="zh-CN"/>
        </w:rPr>
        <w:t>10</w:t>
      </w:r>
      <w:r>
        <w:rPr>
          <w:rFonts w:hint="eastAsia" w:ascii="仿宋" w:hAnsi="仿宋" w:eastAsia="仿宋" w:cs="仿宋"/>
          <w:bCs/>
          <w:color w:val="000000"/>
          <w:sz w:val="24"/>
          <w:szCs w:val="28"/>
          <w:highlight w:val="none"/>
          <w:u w:val="single"/>
        </w:rPr>
        <w:t>日</w:t>
      </w:r>
      <w:r>
        <w:rPr>
          <w:rFonts w:hint="eastAsia" w:ascii="仿宋" w:hAnsi="仿宋" w:eastAsia="仿宋" w:cs="仿宋"/>
          <w:color w:val="000000"/>
          <w:sz w:val="24"/>
          <w:szCs w:val="28"/>
          <w:highlight w:val="none"/>
        </w:rPr>
        <w:t>，</w:t>
      </w:r>
      <w:r>
        <w:rPr>
          <w:rFonts w:hint="eastAsia" w:ascii="仿宋" w:hAnsi="仿宋" w:eastAsia="仿宋" w:cs="仿宋"/>
          <w:color w:val="auto"/>
          <w:sz w:val="24"/>
          <w:szCs w:val="28"/>
          <w:highlight w:val="none"/>
        </w:rPr>
        <w:t>每天上午</w:t>
      </w:r>
      <w:r>
        <w:rPr>
          <w:rFonts w:hint="eastAsia" w:ascii="仿宋" w:hAnsi="仿宋" w:eastAsia="仿宋" w:cs="仿宋"/>
          <w:snapToGrid w:val="0"/>
          <w:color w:val="auto"/>
          <w:sz w:val="24"/>
          <w:szCs w:val="28"/>
          <w:highlight w:val="none"/>
        </w:rPr>
        <w:t>00:00至12:00</w:t>
      </w:r>
      <w:r>
        <w:rPr>
          <w:rFonts w:hint="eastAsia" w:ascii="仿宋" w:hAnsi="仿宋" w:eastAsia="仿宋" w:cs="仿宋"/>
          <w:color w:val="auto"/>
          <w:sz w:val="24"/>
          <w:szCs w:val="28"/>
          <w:highlight w:val="none"/>
        </w:rPr>
        <w:t> ，下午</w:t>
      </w:r>
      <w:r>
        <w:rPr>
          <w:rFonts w:hint="eastAsia" w:ascii="仿宋" w:hAnsi="仿宋" w:eastAsia="仿宋" w:cs="仿宋"/>
          <w:snapToGrid w:val="0"/>
          <w:color w:val="auto"/>
          <w:sz w:val="24"/>
          <w:szCs w:val="28"/>
          <w:highlight w:val="none"/>
        </w:rPr>
        <w:t>12:00至23:59</w:t>
      </w:r>
      <w:r>
        <w:rPr>
          <w:rFonts w:hint="eastAsia" w:ascii="仿宋" w:hAnsi="仿宋" w:eastAsia="仿宋" w:cs="仿宋"/>
          <w:color w:val="auto"/>
          <w:sz w:val="24"/>
          <w:szCs w:val="28"/>
          <w:highlight w:val="none"/>
        </w:rPr>
        <w:t>（北京时间，线上获取法定节假日均可，线下获取文件法定节假日除外）</w:t>
      </w:r>
    </w:p>
    <w:p w14:paraId="0600AE8D">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地点（网址）：</w:t>
      </w:r>
      <w:r>
        <w:rPr>
          <w:rFonts w:hint="eastAsia" w:ascii="仿宋" w:hAnsi="仿宋" w:eastAsia="仿宋" w:cs="仿宋"/>
          <w:snapToGrid w:val="0"/>
          <w:color w:val="auto"/>
          <w:sz w:val="24"/>
          <w:szCs w:val="28"/>
          <w:highlight w:val="none"/>
        </w:rPr>
        <w:t>浙江政府采购网（</w:t>
      </w:r>
      <w:r>
        <w:rPr>
          <w:rFonts w:hint="eastAsia" w:ascii="仿宋" w:hAnsi="仿宋" w:eastAsia="仿宋" w:cs="仿宋"/>
          <w:snapToGrid w:val="0"/>
          <w:color w:val="auto"/>
          <w:sz w:val="24"/>
          <w:szCs w:val="28"/>
          <w:highlight w:val="none"/>
        </w:rPr>
        <w:fldChar w:fldCharType="begin"/>
      </w:r>
      <w:r>
        <w:rPr>
          <w:rFonts w:hint="eastAsia" w:ascii="仿宋" w:hAnsi="仿宋" w:eastAsia="仿宋" w:cs="仿宋"/>
          <w:snapToGrid w:val="0"/>
          <w:color w:val="auto"/>
          <w:sz w:val="24"/>
          <w:szCs w:val="28"/>
          <w:highlight w:val="none"/>
        </w:rPr>
        <w:instrText xml:space="preserve"> HYPERLINK "http://zfcg.czt.zj.gov.cn/" </w:instrText>
      </w:r>
      <w:r>
        <w:rPr>
          <w:rFonts w:hint="eastAsia" w:ascii="仿宋" w:hAnsi="仿宋" w:eastAsia="仿宋" w:cs="仿宋"/>
          <w:snapToGrid w:val="0"/>
          <w:color w:val="auto"/>
          <w:sz w:val="24"/>
          <w:szCs w:val="28"/>
          <w:highlight w:val="none"/>
        </w:rPr>
        <w:fldChar w:fldCharType="separate"/>
      </w:r>
      <w:r>
        <w:rPr>
          <w:rStyle w:val="21"/>
          <w:rFonts w:hint="eastAsia" w:ascii="仿宋" w:hAnsi="仿宋" w:eastAsia="仿宋" w:cs="仿宋"/>
          <w:color w:val="auto"/>
          <w:kern w:val="2"/>
          <w:sz w:val="24"/>
          <w:szCs w:val="28"/>
          <w:highlight w:val="none"/>
        </w:rPr>
        <w:t>http://zfcg.czt.zj.gov.cn/</w:t>
      </w:r>
      <w:r>
        <w:rPr>
          <w:rFonts w:hint="eastAsia" w:ascii="仿宋" w:hAnsi="仿宋" w:eastAsia="仿宋" w:cs="仿宋"/>
          <w:snapToGrid w:val="0"/>
          <w:color w:val="auto"/>
          <w:sz w:val="24"/>
          <w:szCs w:val="28"/>
          <w:highlight w:val="none"/>
        </w:rPr>
        <w:fldChar w:fldCharType="end"/>
      </w:r>
      <w:r>
        <w:rPr>
          <w:rFonts w:hint="eastAsia" w:ascii="仿宋" w:hAnsi="仿宋" w:eastAsia="仿宋" w:cs="仿宋"/>
          <w:snapToGrid w:val="0"/>
          <w:color w:val="auto"/>
          <w:sz w:val="24"/>
          <w:szCs w:val="28"/>
          <w:highlight w:val="none"/>
        </w:rPr>
        <w:t>）</w:t>
      </w:r>
      <w:r>
        <w:rPr>
          <w:rFonts w:hint="eastAsia" w:ascii="仿宋" w:hAnsi="仿宋" w:eastAsia="仿宋" w:cs="仿宋"/>
          <w:color w:val="auto"/>
          <w:sz w:val="24"/>
          <w:szCs w:val="28"/>
          <w:highlight w:val="none"/>
        </w:rPr>
        <w:t>；</w:t>
      </w:r>
    </w:p>
    <w:p w14:paraId="00184CEC">
      <w:pPr>
        <w:spacing w:line="360" w:lineRule="auto"/>
        <w:ind w:firstLine="480" w:firstLineChars="200"/>
        <w:jc w:val="left"/>
        <w:rPr>
          <w:rFonts w:hint="eastAsia"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方式：供应商登录政采云平台http://www.zcygov.cn/，在线申请获取采购文件（进入“项目采购”应用，在获取采购文件菜单中选择项目，申请获取采购文件）。公告页面附件招标文件可以下载，仅供浏览使用；</w:t>
      </w:r>
    </w:p>
    <w:p w14:paraId="5FD3B9AD">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售价：0。</w:t>
      </w:r>
    </w:p>
    <w:p w14:paraId="71359A13">
      <w:pPr>
        <w:pStyle w:val="4"/>
        <w:numPr>
          <w:ilvl w:val="0"/>
          <w:numId w:val="0"/>
        </w:numPr>
        <w:rPr>
          <w:rFonts w:hint="eastAsia" w:ascii="仿宋" w:hAnsi="仿宋" w:eastAsia="仿宋" w:cs="仿宋"/>
          <w:color w:val="auto"/>
          <w:sz w:val="24"/>
          <w:szCs w:val="28"/>
          <w:highlight w:val="none"/>
        </w:rPr>
      </w:pPr>
      <w:bookmarkStart w:id="25" w:name="_Toc28359005"/>
      <w:bookmarkStart w:id="26" w:name="_Toc28359082"/>
      <w:bookmarkStart w:id="27" w:name="_Toc35393793"/>
      <w:bookmarkStart w:id="28" w:name="_Toc35393624"/>
      <w:r>
        <w:rPr>
          <w:rFonts w:hint="eastAsia" w:ascii="仿宋" w:hAnsi="仿宋" w:eastAsia="仿宋" w:cs="仿宋"/>
          <w:color w:val="auto"/>
          <w:sz w:val="24"/>
          <w:szCs w:val="28"/>
          <w:highlight w:val="none"/>
        </w:rPr>
        <w:t>四、提交投标文件</w:t>
      </w:r>
      <w:bookmarkEnd w:id="25"/>
      <w:bookmarkEnd w:id="26"/>
      <w:r>
        <w:rPr>
          <w:rFonts w:hint="eastAsia" w:ascii="仿宋" w:hAnsi="仿宋" w:eastAsia="仿宋" w:cs="仿宋"/>
          <w:color w:val="auto"/>
          <w:sz w:val="24"/>
          <w:szCs w:val="28"/>
          <w:highlight w:val="none"/>
        </w:rPr>
        <w:t>截止时间、开标时间和地点</w:t>
      </w:r>
      <w:bookmarkEnd w:id="27"/>
      <w:bookmarkEnd w:id="28"/>
    </w:p>
    <w:p w14:paraId="2E2AC6BA">
      <w:pPr>
        <w:spacing w:line="360" w:lineRule="auto"/>
        <w:ind w:firstLine="480" w:firstLineChars="200"/>
        <w:jc w:val="left"/>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提交投标文件截止时间：</w:t>
      </w:r>
      <w:r>
        <w:rPr>
          <w:rFonts w:hint="eastAsia" w:ascii="仿宋" w:hAnsi="仿宋" w:eastAsia="仿宋" w:cs="仿宋"/>
          <w:bCs/>
          <w:color w:val="000000"/>
          <w:sz w:val="24"/>
          <w:szCs w:val="28"/>
          <w:highlight w:val="none"/>
          <w:u w:val="single"/>
          <w:lang w:val="en-US" w:eastAsia="zh-CN"/>
        </w:rPr>
        <w:t>2025</w:t>
      </w:r>
      <w:r>
        <w:rPr>
          <w:rFonts w:hint="eastAsia" w:ascii="仿宋" w:hAnsi="仿宋" w:eastAsia="仿宋" w:cs="仿宋"/>
          <w:bCs/>
          <w:color w:val="000000"/>
          <w:sz w:val="24"/>
          <w:szCs w:val="28"/>
          <w:highlight w:val="none"/>
          <w:u w:val="single"/>
        </w:rPr>
        <w:t>年</w:t>
      </w:r>
      <w:r>
        <w:rPr>
          <w:rFonts w:hint="eastAsia" w:ascii="仿宋" w:hAnsi="仿宋" w:eastAsia="仿宋" w:cs="仿宋"/>
          <w:bCs/>
          <w:color w:val="000000"/>
          <w:sz w:val="24"/>
          <w:szCs w:val="28"/>
          <w:highlight w:val="none"/>
          <w:u w:val="single"/>
          <w:lang w:val="en-US" w:eastAsia="zh-CN"/>
        </w:rPr>
        <w:t>4</w:t>
      </w:r>
      <w:r>
        <w:rPr>
          <w:rFonts w:hint="eastAsia" w:ascii="仿宋" w:hAnsi="仿宋" w:eastAsia="仿宋" w:cs="仿宋"/>
          <w:bCs/>
          <w:color w:val="000000"/>
          <w:sz w:val="24"/>
          <w:szCs w:val="28"/>
          <w:highlight w:val="none"/>
          <w:u w:val="single"/>
        </w:rPr>
        <w:t>月</w:t>
      </w:r>
      <w:r>
        <w:rPr>
          <w:rFonts w:hint="eastAsia" w:ascii="仿宋" w:hAnsi="仿宋" w:eastAsia="仿宋" w:cs="仿宋"/>
          <w:bCs/>
          <w:color w:val="000000"/>
          <w:sz w:val="24"/>
          <w:szCs w:val="28"/>
          <w:highlight w:val="none"/>
          <w:u w:val="single"/>
          <w:lang w:val="en-US" w:eastAsia="zh-CN"/>
        </w:rPr>
        <w:t>10</w:t>
      </w:r>
      <w:r>
        <w:rPr>
          <w:rFonts w:hint="eastAsia" w:ascii="仿宋" w:hAnsi="仿宋" w:eastAsia="仿宋" w:cs="仿宋"/>
          <w:bCs/>
          <w:color w:val="000000"/>
          <w:sz w:val="24"/>
          <w:szCs w:val="28"/>
          <w:highlight w:val="none"/>
          <w:u w:val="single"/>
        </w:rPr>
        <w:t>日</w:t>
      </w:r>
      <w:r>
        <w:rPr>
          <w:rFonts w:hint="eastAsia" w:ascii="仿宋" w:hAnsi="仿宋" w:eastAsia="仿宋" w:cs="仿宋"/>
          <w:bCs/>
          <w:color w:val="000000"/>
          <w:sz w:val="24"/>
          <w:szCs w:val="28"/>
          <w:highlight w:val="none"/>
          <w:u w:val="single"/>
          <w:lang w:val="en-US" w:eastAsia="zh-CN"/>
        </w:rPr>
        <w:t>9</w:t>
      </w:r>
      <w:r>
        <w:rPr>
          <w:rFonts w:hint="eastAsia" w:ascii="仿宋" w:hAnsi="仿宋" w:eastAsia="仿宋" w:cs="仿宋"/>
          <w:bCs/>
          <w:color w:val="000000"/>
          <w:sz w:val="24"/>
          <w:szCs w:val="28"/>
          <w:highlight w:val="none"/>
          <w:u w:val="single"/>
        </w:rPr>
        <w:t>：</w:t>
      </w:r>
      <w:r>
        <w:rPr>
          <w:rFonts w:hint="eastAsia" w:ascii="仿宋" w:hAnsi="仿宋" w:eastAsia="仿宋" w:cs="仿宋"/>
          <w:bCs/>
          <w:color w:val="000000"/>
          <w:sz w:val="24"/>
          <w:szCs w:val="28"/>
          <w:highlight w:val="none"/>
          <w:u w:val="single"/>
          <w:lang w:val="en-US" w:eastAsia="zh-CN"/>
        </w:rPr>
        <w:t>00</w:t>
      </w:r>
      <w:r>
        <w:rPr>
          <w:rFonts w:hint="eastAsia" w:ascii="仿宋" w:hAnsi="仿宋" w:eastAsia="仿宋" w:cs="仿宋"/>
          <w:bCs/>
          <w:color w:val="000000"/>
          <w:sz w:val="24"/>
          <w:szCs w:val="28"/>
          <w:highlight w:val="none"/>
        </w:rPr>
        <w:t>（北京时间）</w:t>
      </w:r>
    </w:p>
    <w:p w14:paraId="66034C14">
      <w:pPr>
        <w:spacing w:line="360" w:lineRule="auto"/>
        <w:ind w:firstLine="480" w:firstLineChars="200"/>
        <w:jc w:val="left"/>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投标地点（网址）：请登录政采云投标客户端投标</w:t>
      </w:r>
    </w:p>
    <w:p w14:paraId="6F906830">
      <w:pPr>
        <w:spacing w:line="360" w:lineRule="auto"/>
        <w:ind w:firstLine="480" w:firstLineChars="200"/>
        <w:jc w:val="left"/>
        <w:rPr>
          <w:rFonts w:hint="eastAsia" w:ascii="仿宋" w:hAnsi="仿宋" w:eastAsia="仿宋" w:cs="仿宋"/>
          <w:color w:val="000000"/>
          <w:sz w:val="24"/>
          <w:szCs w:val="28"/>
          <w:highlight w:val="none"/>
          <w:lang w:val="en-US" w:eastAsia="zh-CN"/>
        </w:rPr>
      </w:pPr>
      <w:r>
        <w:rPr>
          <w:rFonts w:hint="eastAsia" w:ascii="仿宋" w:hAnsi="仿宋" w:eastAsia="仿宋" w:cs="仿宋"/>
          <w:color w:val="000000"/>
          <w:sz w:val="24"/>
          <w:szCs w:val="28"/>
          <w:highlight w:val="none"/>
        </w:rPr>
        <w:t>开标时间：</w:t>
      </w:r>
      <w:r>
        <w:rPr>
          <w:rFonts w:hint="eastAsia" w:ascii="仿宋" w:hAnsi="仿宋" w:eastAsia="仿宋" w:cs="仿宋"/>
          <w:bCs/>
          <w:color w:val="000000"/>
          <w:sz w:val="24"/>
          <w:szCs w:val="28"/>
          <w:highlight w:val="none"/>
          <w:u w:val="single"/>
          <w:lang w:val="en-US" w:eastAsia="zh-CN"/>
        </w:rPr>
        <w:t>2025</w:t>
      </w:r>
      <w:r>
        <w:rPr>
          <w:rFonts w:hint="eastAsia" w:ascii="仿宋" w:hAnsi="仿宋" w:eastAsia="仿宋" w:cs="仿宋"/>
          <w:bCs/>
          <w:color w:val="000000"/>
          <w:sz w:val="24"/>
          <w:szCs w:val="28"/>
          <w:highlight w:val="none"/>
          <w:u w:val="single"/>
        </w:rPr>
        <w:t>年</w:t>
      </w:r>
      <w:r>
        <w:rPr>
          <w:rFonts w:hint="eastAsia" w:ascii="仿宋" w:hAnsi="仿宋" w:eastAsia="仿宋" w:cs="仿宋"/>
          <w:bCs/>
          <w:color w:val="000000"/>
          <w:sz w:val="24"/>
          <w:szCs w:val="28"/>
          <w:highlight w:val="none"/>
          <w:u w:val="single"/>
          <w:lang w:val="en-US" w:eastAsia="zh-CN"/>
        </w:rPr>
        <w:t>4</w:t>
      </w:r>
      <w:r>
        <w:rPr>
          <w:rFonts w:hint="eastAsia" w:ascii="仿宋" w:hAnsi="仿宋" w:eastAsia="仿宋" w:cs="仿宋"/>
          <w:bCs/>
          <w:color w:val="000000"/>
          <w:sz w:val="24"/>
          <w:szCs w:val="28"/>
          <w:highlight w:val="none"/>
          <w:u w:val="single"/>
        </w:rPr>
        <w:t>月</w:t>
      </w:r>
      <w:r>
        <w:rPr>
          <w:rFonts w:hint="eastAsia" w:ascii="仿宋" w:hAnsi="仿宋" w:eastAsia="仿宋" w:cs="仿宋"/>
          <w:bCs/>
          <w:color w:val="000000"/>
          <w:sz w:val="24"/>
          <w:szCs w:val="28"/>
          <w:highlight w:val="none"/>
          <w:u w:val="single"/>
          <w:lang w:val="en-US" w:eastAsia="zh-CN"/>
        </w:rPr>
        <w:t>10</w:t>
      </w:r>
      <w:r>
        <w:rPr>
          <w:rFonts w:hint="eastAsia" w:ascii="仿宋" w:hAnsi="仿宋" w:eastAsia="仿宋" w:cs="仿宋"/>
          <w:bCs/>
          <w:color w:val="000000"/>
          <w:sz w:val="24"/>
          <w:szCs w:val="28"/>
          <w:highlight w:val="none"/>
          <w:u w:val="single"/>
        </w:rPr>
        <w:t>日</w:t>
      </w:r>
      <w:r>
        <w:rPr>
          <w:rFonts w:hint="eastAsia" w:ascii="仿宋" w:hAnsi="仿宋" w:eastAsia="仿宋" w:cs="仿宋"/>
          <w:bCs/>
          <w:color w:val="000000"/>
          <w:sz w:val="24"/>
          <w:szCs w:val="28"/>
          <w:highlight w:val="none"/>
          <w:u w:val="single"/>
          <w:lang w:val="en-US" w:eastAsia="zh-CN"/>
        </w:rPr>
        <w:t>9</w:t>
      </w:r>
      <w:r>
        <w:rPr>
          <w:rFonts w:hint="eastAsia" w:ascii="仿宋" w:hAnsi="仿宋" w:eastAsia="仿宋" w:cs="仿宋"/>
          <w:bCs/>
          <w:color w:val="000000"/>
          <w:sz w:val="24"/>
          <w:szCs w:val="28"/>
          <w:highlight w:val="none"/>
          <w:u w:val="single"/>
        </w:rPr>
        <w:t>：</w:t>
      </w:r>
      <w:r>
        <w:rPr>
          <w:rFonts w:hint="eastAsia" w:ascii="仿宋" w:hAnsi="仿宋" w:eastAsia="仿宋" w:cs="仿宋"/>
          <w:bCs/>
          <w:color w:val="000000"/>
          <w:sz w:val="24"/>
          <w:szCs w:val="28"/>
          <w:highlight w:val="none"/>
          <w:u w:val="single"/>
          <w:lang w:val="en-US" w:eastAsia="zh-CN"/>
        </w:rPr>
        <w:t>00</w:t>
      </w:r>
    </w:p>
    <w:p w14:paraId="75586AD5">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开标地点（网址）：绍兴市柯桥区钱清街道综合楼</w:t>
      </w:r>
      <w:r>
        <w:rPr>
          <w:rFonts w:hint="eastAsia" w:ascii="仿宋" w:hAnsi="仿宋" w:eastAsia="仿宋" w:cs="仿宋"/>
          <w:color w:val="auto"/>
          <w:sz w:val="24"/>
          <w:szCs w:val="28"/>
          <w:highlight w:val="none"/>
          <w:lang w:val="en-US" w:eastAsia="zh-CN"/>
        </w:rPr>
        <w:t>4</w:t>
      </w:r>
      <w:r>
        <w:rPr>
          <w:rFonts w:hint="eastAsia" w:ascii="仿宋" w:hAnsi="仿宋" w:eastAsia="仿宋" w:cs="仿宋"/>
          <w:color w:val="auto"/>
          <w:sz w:val="24"/>
          <w:szCs w:val="28"/>
          <w:highlight w:val="none"/>
        </w:rPr>
        <w:t>楼会议室通过政府采购云平台（https://www.zcygov.cn）在线开标</w:t>
      </w:r>
    </w:p>
    <w:p w14:paraId="52583D75">
      <w:pPr>
        <w:pStyle w:val="4"/>
        <w:numPr>
          <w:ilvl w:val="0"/>
          <w:numId w:val="0"/>
        </w:numPr>
        <w:rPr>
          <w:rFonts w:hint="eastAsia" w:ascii="仿宋" w:hAnsi="仿宋" w:eastAsia="仿宋" w:cs="仿宋"/>
          <w:color w:val="auto"/>
          <w:sz w:val="24"/>
          <w:szCs w:val="28"/>
          <w:highlight w:val="none"/>
        </w:rPr>
      </w:pPr>
      <w:bookmarkStart w:id="29" w:name="_Toc35393794"/>
      <w:bookmarkStart w:id="30" w:name="_Toc35393625"/>
      <w:bookmarkStart w:id="31" w:name="_Toc28359007"/>
      <w:bookmarkStart w:id="32" w:name="_Toc28359084"/>
      <w:r>
        <w:rPr>
          <w:rFonts w:hint="eastAsia" w:ascii="仿宋" w:hAnsi="仿宋" w:eastAsia="仿宋" w:cs="仿宋"/>
          <w:color w:val="auto"/>
          <w:sz w:val="24"/>
          <w:szCs w:val="28"/>
          <w:highlight w:val="none"/>
        </w:rPr>
        <w:t>五、公告期限</w:t>
      </w:r>
      <w:bookmarkEnd w:id="29"/>
      <w:bookmarkEnd w:id="30"/>
      <w:bookmarkEnd w:id="31"/>
      <w:bookmarkEnd w:id="32"/>
    </w:p>
    <w:p w14:paraId="4305F3BF">
      <w:pPr>
        <w:spacing w:line="360" w:lineRule="auto"/>
        <w:ind w:firstLine="480" w:firstLineChars="200"/>
        <w:jc w:val="left"/>
        <w:rPr>
          <w:rFonts w:hint="eastAsia" w:ascii="仿宋" w:hAnsi="仿宋" w:eastAsia="仿宋" w:cs="仿宋"/>
          <w:color w:val="auto"/>
          <w:kern w:val="0"/>
          <w:sz w:val="24"/>
          <w:szCs w:val="28"/>
          <w:highlight w:val="none"/>
        </w:rPr>
      </w:pPr>
      <w:r>
        <w:rPr>
          <w:rFonts w:hint="eastAsia" w:ascii="仿宋" w:hAnsi="仿宋" w:eastAsia="仿宋" w:cs="仿宋"/>
          <w:color w:val="auto"/>
          <w:kern w:val="0"/>
          <w:sz w:val="24"/>
          <w:szCs w:val="28"/>
          <w:highlight w:val="none"/>
        </w:rPr>
        <w:t>自本公告发布之日起5个工作日。</w:t>
      </w:r>
    </w:p>
    <w:p w14:paraId="739B19BD">
      <w:pPr>
        <w:pStyle w:val="4"/>
        <w:numPr>
          <w:ilvl w:val="0"/>
          <w:numId w:val="0"/>
        </w:numPr>
        <w:rPr>
          <w:rFonts w:hint="eastAsia" w:ascii="仿宋" w:hAnsi="仿宋" w:eastAsia="仿宋" w:cs="仿宋"/>
          <w:color w:val="auto"/>
          <w:sz w:val="24"/>
          <w:szCs w:val="28"/>
          <w:highlight w:val="none"/>
        </w:rPr>
      </w:pPr>
      <w:bookmarkStart w:id="33" w:name="_Toc35393626"/>
      <w:bookmarkStart w:id="34" w:name="_Toc35393795"/>
      <w:r>
        <w:rPr>
          <w:rFonts w:hint="eastAsia" w:ascii="仿宋" w:hAnsi="仿宋" w:eastAsia="仿宋" w:cs="仿宋"/>
          <w:color w:val="auto"/>
          <w:sz w:val="24"/>
          <w:szCs w:val="28"/>
          <w:highlight w:val="none"/>
        </w:rPr>
        <w:t>六、其他补充事宜</w:t>
      </w:r>
      <w:bookmarkEnd w:id="33"/>
      <w:bookmarkEnd w:id="34"/>
    </w:p>
    <w:p w14:paraId="528443B1">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8"/>
          <w:highlight w:val="none"/>
          <w:lang w:val="en-US" w:eastAsia="zh-CN" w:bidi="ar-SA"/>
        </w:rPr>
      </w:pPr>
      <w:bookmarkStart w:id="35" w:name="_Toc35393796"/>
      <w:bookmarkStart w:id="36" w:name="_Toc28359008"/>
      <w:bookmarkStart w:id="37" w:name="_Toc28359085"/>
      <w:bookmarkStart w:id="38" w:name="_Toc35393627"/>
      <w:r>
        <w:rPr>
          <w:rFonts w:hint="eastAsia" w:ascii="仿宋" w:hAnsi="仿宋" w:eastAsia="仿宋" w:cs="仿宋"/>
          <w:color w:val="auto"/>
          <w:kern w:val="2"/>
          <w:sz w:val="24"/>
          <w:szCs w:val="28"/>
          <w:highlight w:val="none"/>
          <w:lang w:val="en-US" w:eastAsia="zh-CN" w:bidi="ar-SA"/>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D7069D0">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539ABF9">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D2ADA5">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b w:val="0"/>
          <w:bCs w:val="0"/>
          <w:color w:val="auto"/>
          <w:kern w:val="2"/>
          <w:sz w:val="24"/>
          <w:szCs w:val="28"/>
          <w:highlight w:val="none"/>
          <w:lang w:val="en-US" w:eastAsia="zh-CN" w:bidi="ar-SA"/>
        </w:rPr>
      </w:pPr>
      <w:r>
        <w:rPr>
          <w:rFonts w:hint="eastAsia" w:ascii="仿宋" w:hAnsi="仿宋" w:eastAsia="仿宋" w:cs="仿宋"/>
          <w:b w:val="0"/>
          <w:bCs w:val="0"/>
          <w:color w:val="auto"/>
          <w:kern w:val="2"/>
          <w:sz w:val="24"/>
          <w:szCs w:val="28"/>
          <w:highlight w:val="none"/>
          <w:lang w:val="en-US" w:eastAsia="zh-CN" w:bidi="ar-SA"/>
        </w:rPr>
        <w:t> 4.其他事项：</w:t>
      </w:r>
      <w:r>
        <w:rPr>
          <w:rFonts w:hint="eastAsia" w:ascii="仿宋" w:hAnsi="仿宋" w:eastAsia="仿宋" w:cs="仿宋"/>
          <w:b w:val="0"/>
          <w:bCs w:val="0"/>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531CEB">
      <w:pPr>
        <w:pStyle w:val="4"/>
        <w:numPr>
          <w:ilvl w:val="0"/>
          <w:numId w:val="0"/>
        </w:numPr>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七、对本次采购提出询问、质疑、投诉，请按以下方式联系。</w:t>
      </w:r>
      <w:bookmarkEnd w:id="35"/>
      <w:bookmarkEnd w:id="36"/>
      <w:bookmarkEnd w:id="37"/>
      <w:bookmarkEnd w:id="38"/>
    </w:p>
    <w:p w14:paraId="7BBA862D">
      <w:pPr>
        <w:widowControl/>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0FD35460">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名称：绍兴市柯桥区钱清街道办事处</w:t>
      </w:r>
    </w:p>
    <w:p w14:paraId="1511C898">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地址：绍兴市柯桥区钱清街道镇前路</w:t>
      </w:r>
      <w:r>
        <w:rPr>
          <w:rFonts w:hint="eastAsia" w:ascii="仿宋" w:hAnsi="仿宋" w:eastAsia="仿宋" w:cs="宋体"/>
          <w:color w:val="auto"/>
          <w:kern w:val="2"/>
          <w:sz w:val="24"/>
          <w:szCs w:val="24"/>
          <w:highlight w:val="none"/>
          <w:lang w:val="en-US" w:eastAsia="zh-CN" w:bidi="ar-SA"/>
        </w:rPr>
        <w:t>188号</w:t>
      </w:r>
    </w:p>
    <w:p w14:paraId="1C6E08A6">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传真：/</w:t>
      </w:r>
    </w:p>
    <w:p w14:paraId="3AB7251D">
      <w:pPr>
        <w:widowControl/>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   项目联系人（询问）：</w:t>
      </w:r>
      <w:r>
        <w:rPr>
          <w:rFonts w:hint="eastAsia" w:ascii="仿宋" w:hAnsi="仿宋" w:eastAsia="仿宋"/>
          <w:sz w:val="24"/>
          <w:szCs w:val="28"/>
          <w:lang w:val="en-US" w:eastAsia="zh-CN"/>
        </w:rPr>
        <w:t>钱先生</w:t>
      </w:r>
    </w:p>
    <w:p w14:paraId="20A07C23">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项目联系方式（询问）：0575-84057518</w:t>
      </w:r>
    </w:p>
    <w:p w14:paraId="56D94EAD">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质疑联系人：陈</w:t>
      </w:r>
      <w:r>
        <w:rPr>
          <w:rFonts w:hint="eastAsia" w:ascii="仿宋" w:hAnsi="仿宋" w:eastAsia="仿宋" w:cs="仿宋"/>
          <w:color w:val="auto"/>
          <w:sz w:val="24"/>
          <w:szCs w:val="28"/>
          <w:highlight w:val="none"/>
          <w:lang w:val="en-US" w:eastAsia="zh-CN"/>
        </w:rPr>
        <w:t>先生</w:t>
      </w:r>
    </w:p>
    <w:p w14:paraId="7EE71CE6">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质疑联系方式：0575-84056542</w:t>
      </w:r>
      <w:r>
        <w:rPr>
          <w:rFonts w:hint="eastAsia" w:ascii="仿宋" w:hAnsi="仿宋" w:eastAsia="仿宋" w:cs="仿宋"/>
          <w:color w:val="auto"/>
          <w:sz w:val="24"/>
          <w:szCs w:val="28"/>
          <w:highlight w:val="none"/>
        </w:rPr>
        <w:br w:type="textWrapping"/>
      </w:r>
      <w:r>
        <w:rPr>
          <w:rFonts w:hint="eastAsia" w:ascii="仿宋" w:hAnsi="仿宋" w:eastAsia="仿宋" w:cs="仿宋"/>
          <w:color w:val="auto"/>
          <w:sz w:val="24"/>
          <w:szCs w:val="28"/>
          <w:highlight w:val="none"/>
        </w:rPr>
        <w:t>   2.采购代理机构信息</w:t>
      </w:r>
    </w:p>
    <w:p w14:paraId="00D53D32">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名称：浙江金邦工程管理咨询有限公司</w:t>
      </w:r>
    </w:p>
    <w:p w14:paraId="495082D9">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地址：绍兴市柯桥区发展大厦12楼</w:t>
      </w:r>
    </w:p>
    <w:p w14:paraId="1BAE802D">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传真：/</w:t>
      </w:r>
    </w:p>
    <w:p w14:paraId="2FBAA0A2">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项目联系人（询问）：余磊</w:t>
      </w:r>
    </w:p>
    <w:p w14:paraId="53F29C86">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项目联系方式（询问）：18857573060</w:t>
      </w:r>
    </w:p>
    <w:p w14:paraId="78225093">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质疑联系人：邱孟杰</w:t>
      </w:r>
    </w:p>
    <w:p w14:paraId="054B1D6F">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质疑联系方式：15968579611</w:t>
      </w:r>
    </w:p>
    <w:p w14:paraId="684FA474">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3.同级政府采购监督管理部门 </w:t>
      </w:r>
    </w:p>
    <w:p w14:paraId="5913261E">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名称：</w:t>
      </w:r>
      <w:r>
        <w:rPr>
          <w:rFonts w:hint="eastAsia" w:ascii="仿宋" w:hAnsi="仿宋" w:eastAsia="仿宋" w:cs="仿宋"/>
          <w:snapToGrid w:val="0"/>
          <w:color w:val="auto"/>
          <w:kern w:val="0"/>
          <w:sz w:val="24"/>
          <w:szCs w:val="28"/>
          <w:highlight w:val="none"/>
        </w:rPr>
        <w:t>绍兴市柯桥区财政局</w:t>
      </w:r>
    </w:p>
    <w:p w14:paraId="102CDB1C">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地址：</w:t>
      </w:r>
      <w:r>
        <w:rPr>
          <w:rFonts w:hint="eastAsia" w:ascii="仿宋" w:hAnsi="仿宋" w:eastAsia="仿宋" w:cs="仿宋"/>
          <w:color w:val="auto"/>
          <w:sz w:val="24"/>
          <w:highlight w:val="none"/>
        </w:rPr>
        <w:t>绍兴市柯桥区育才路财税大楼</w:t>
      </w:r>
    </w:p>
    <w:p w14:paraId="61501CAC">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传真：</w:t>
      </w:r>
      <w:r>
        <w:rPr>
          <w:rFonts w:hint="eastAsia" w:ascii="仿宋" w:hAnsi="仿宋" w:eastAsia="仿宋" w:cs="仿宋"/>
          <w:snapToGrid w:val="0"/>
          <w:color w:val="auto"/>
          <w:kern w:val="0"/>
          <w:sz w:val="24"/>
          <w:szCs w:val="28"/>
          <w:highlight w:val="none"/>
        </w:rPr>
        <w:t>/</w:t>
      </w:r>
      <w:r>
        <w:rPr>
          <w:rFonts w:hint="eastAsia" w:ascii="仿宋" w:hAnsi="仿宋" w:eastAsia="仿宋" w:cs="仿宋"/>
          <w:color w:val="auto"/>
          <w:sz w:val="24"/>
          <w:szCs w:val="28"/>
          <w:highlight w:val="none"/>
        </w:rPr>
        <w:t> </w:t>
      </w:r>
    </w:p>
    <w:p w14:paraId="15E6A401">
      <w:pPr>
        <w:widowControl/>
        <w:adjustRightInd/>
        <w:spacing w:line="360" w:lineRule="auto"/>
        <w:ind w:firstLine="240" w:firstLineChars="1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联系人：</w:t>
      </w:r>
      <w:r>
        <w:rPr>
          <w:rFonts w:hint="eastAsia" w:ascii="仿宋" w:hAnsi="仿宋" w:eastAsia="仿宋" w:cs="宋体"/>
          <w:snapToGrid w:val="0"/>
          <w:kern w:val="0"/>
          <w:sz w:val="24"/>
          <w:szCs w:val="28"/>
        </w:rPr>
        <w:t>王涛</w:t>
      </w:r>
    </w:p>
    <w:p w14:paraId="7653E71F">
      <w:pPr>
        <w:adjustRightInd/>
        <w:spacing w:line="360" w:lineRule="auto"/>
        <w:ind w:firstLine="240" w:firstLineChars="100"/>
        <w:jc w:val="left"/>
        <w:rPr>
          <w:rFonts w:hint="eastAsia" w:ascii="仿宋" w:hAnsi="仿宋" w:eastAsia="仿宋" w:cs="仿宋"/>
          <w:snapToGrid w:val="0"/>
          <w:color w:val="auto"/>
          <w:kern w:val="0"/>
          <w:sz w:val="24"/>
          <w:szCs w:val="28"/>
          <w:highlight w:val="none"/>
        </w:rPr>
      </w:pPr>
      <w:r>
        <w:rPr>
          <w:rFonts w:hint="eastAsia" w:ascii="仿宋" w:hAnsi="仿宋" w:eastAsia="仿宋" w:cs="仿宋"/>
          <w:color w:val="auto"/>
          <w:sz w:val="24"/>
          <w:szCs w:val="28"/>
          <w:highlight w:val="none"/>
        </w:rPr>
        <w:t>监督投诉电话：</w:t>
      </w:r>
      <w:r>
        <w:rPr>
          <w:rFonts w:hint="eastAsia" w:ascii="仿宋" w:hAnsi="仿宋" w:eastAsia="仿宋" w:cs="宋体"/>
          <w:sz w:val="24"/>
          <w:szCs w:val="28"/>
        </w:rPr>
        <w:t>0575-85672135</w:t>
      </w:r>
      <w:r>
        <w:rPr>
          <w:rFonts w:hint="eastAsia" w:ascii="仿宋" w:hAnsi="仿宋" w:eastAsia="仿宋" w:cs="仿宋"/>
          <w:snapToGrid w:val="0"/>
          <w:color w:val="auto"/>
          <w:kern w:val="0"/>
          <w:sz w:val="24"/>
          <w:szCs w:val="28"/>
          <w:highlight w:val="none"/>
        </w:rPr>
        <w:t xml:space="preserve"> </w:t>
      </w:r>
    </w:p>
    <w:p w14:paraId="21DE2853">
      <w:pPr>
        <w:spacing w:line="360" w:lineRule="auto"/>
        <w:jc w:val="left"/>
        <w:rPr>
          <w:rFonts w:hint="eastAsia" w:ascii="仿宋" w:hAnsi="仿宋" w:eastAsia="仿宋" w:cs="仿宋"/>
          <w:color w:val="auto"/>
          <w:sz w:val="24"/>
          <w:szCs w:val="28"/>
          <w:highlight w:val="none"/>
          <w:u w:val="single"/>
        </w:rPr>
      </w:pPr>
    </w:p>
    <w:p w14:paraId="3155B943">
      <w:pPr>
        <w:widowControl/>
        <w:adjustRightInd/>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kern w:val="0"/>
          <w:szCs w:val="21"/>
          <w:highlight w:val="none"/>
          <w:lang w:val="en-US" w:eastAsia="zh-CN"/>
        </w:rPr>
        <w:t>95763</w:t>
      </w:r>
      <w:r>
        <w:rPr>
          <w:rFonts w:hint="eastAsia" w:ascii="仿宋" w:hAnsi="仿宋" w:eastAsia="仿宋" w:cs="仿宋"/>
          <w:color w:val="auto"/>
          <w:kern w:val="0"/>
          <w:szCs w:val="21"/>
          <w:highlight w:val="none"/>
        </w:rPr>
        <w:t>获取热线服务帮助。       </w:t>
      </w:r>
    </w:p>
    <w:p w14:paraId="525491E3">
      <w:pPr>
        <w:widowControl/>
        <w:adjustRightInd/>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 400-888-4636；天谷CA 400-087-8198。</w:t>
      </w:r>
    </w:p>
    <w:p w14:paraId="04FB36F5">
      <w:pPr>
        <w:pStyle w:val="16"/>
        <w:jc w:val="both"/>
        <w:rPr>
          <w:rFonts w:hint="eastAsia" w:ascii="仿宋" w:hAnsi="仿宋" w:eastAsia="仿宋" w:cs="仿宋"/>
          <w:color w:val="auto"/>
          <w:highlight w:val="none"/>
          <w:lang w:val="en-US"/>
        </w:rPr>
      </w:pPr>
    </w:p>
    <w:p w14:paraId="5A4065CF">
      <w:pPr>
        <w:adjustRightInd/>
        <w:spacing w:line="360" w:lineRule="auto"/>
        <w:jc w:val="center"/>
        <w:outlineLvl w:val="0"/>
        <w:rPr>
          <w:rFonts w:hint="eastAsia" w:ascii="仿宋" w:hAnsi="仿宋" w:eastAsia="仿宋" w:cs="仿宋"/>
          <w:b/>
          <w:color w:val="auto"/>
          <w:sz w:val="36"/>
          <w:szCs w:val="20"/>
          <w:highlight w:val="none"/>
        </w:rPr>
      </w:pPr>
    </w:p>
    <w:p w14:paraId="39D46BF9">
      <w:pPr>
        <w:pStyle w:val="7"/>
        <w:rPr>
          <w:rFonts w:hint="eastAsia" w:ascii="仿宋" w:hAnsi="仿宋" w:eastAsia="仿宋" w:cs="仿宋"/>
          <w:b/>
          <w:color w:val="auto"/>
          <w:sz w:val="36"/>
          <w:szCs w:val="20"/>
          <w:highlight w:val="none"/>
        </w:rPr>
      </w:pPr>
    </w:p>
    <w:p w14:paraId="3E020EDD">
      <w:pPr>
        <w:pStyle w:val="10"/>
        <w:rPr>
          <w:rFonts w:hint="eastAsia"/>
        </w:rPr>
      </w:pPr>
    </w:p>
    <w:p w14:paraId="59267FAB">
      <w:pPr>
        <w:pStyle w:val="7"/>
        <w:rPr>
          <w:rFonts w:hint="eastAsia" w:ascii="仿宋" w:hAnsi="仿宋" w:eastAsia="仿宋" w:cs="仿宋"/>
          <w:b/>
          <w:color w:val="auto"/>
          <w:sz w:val="36"/>
          <w:szCs w:val="20"/>
          <w:highlight w:val="none"/>
        </w:rPr>
      </w:pPr>
    </w:p>
    <w:p w14:paraId="58324EED">
      <w:pPr>
        <w:pStyle w:val="10"/>
        <w:rPr>
          <w:rFonts w:hint="eastAsia" w:ascii="仿宋" w:hAnsi="仿宋" w:eastAsia="仿宋" w:cs="仿宋"/>
          <w:b/>
          <w:color w:val="auto"/>
          <w:sz w:val="36"/>
          <w:szCs w:val="20"/>
          <w:highlight w:val="none"/>
        </w:rPr>
      </w:pPr>
    </w:p>
    <w:p w14:paraId="743A0361">
      <w:pPr>
        <w:pStyle w:val="7"/>
        <w:rPr>
          <w:rFonts w:hint="eastAsia" w:ascii="仿宋" w:hAnsi="仿宋" w:eastAsia="仿宋" w:cs="仿宋"/>
          <w:b/>
          <w:color w:val="auto"/>
          <w:sz w:val="36"/>
          <w:szCs w:val="20"/>
          <w:highlight w:val="none"/>
        </w:rPr>
      </w:pPr>
    </w:p>
    <w:p w14:paraId="7135BAEE">
      <w:pPr>
        <w:pStyle w:val="10"/>
        <w:rPr>
          <w:rFonts w:hint="eastAsia" w:ascii="仿宋" w:hAnsi="仿宋" w:eastAsia="仿宋" w:cs="仿宋"/>
          <w:b/>
          <w:color w:val="auto"/>
          <w:sz w:val="36"/>
          <w:szCs w:val="20"/>
          <w:highlight w:val="none"/>
        </w:rPr>
      </w:pPr>
    </w:p>
    <w:p w14:paraId="66736F4E">
      <w:pPr>
        <w:pStyle w:val="7"/>
        <w:rPr>
          <w:rFonts w:hint="eastAsia" w:ascii="仿宋" w:hAnsi="仿宋" w:eastAsia="仿宋" w:cs="仿宋"/>
          <w:b/>
          <w:color w:val="auto"/>
          <w:sz w:val="36"/>
          <w:szCs w:val="20"/>
          <w:highlight w:val="none"/>
        </w:rPr>
      </w:pPr>
    </w:p>
    <w:p w14:paraId="49D575F9">
      <w:pPr>
        <w:pStyle w:val="10"/>
        <w:rPr>
          <w:rFonts w:hint="eastAsia" w:ascii="仿宋" w:hAnsi="仿宋" w:eastAsia="仿宋" w:cs="仿宋"/>
          <w:b/>
          <w:color w:val="auto"/>
          <w:sz w:val="36"/>
          <w:szCs w:val="20"/>
          <w:highlight w:val="none"/>
        </w:rPr>
      </w:pPr>
    </w:p>
    <w:p w14:paraId="3F226C06">
      <w:pPr>
        <w:pStyle w:val="7"/>
        <w:rPr>
          <w:rFonts w:hint="eastAsia"/>
        </w:rPr>
      </w:pPr>
    </w:p>
    <w:p w14:paraId="6AE6EC73">
      <w:pPr>
        <w:pStyle w:val="7"/>
        <w:rPr>
          <w:rFonts w:hint="eastAsia" w:ascii="仿宋" w:hAnsi="仿宋" w:eastAsia="仿宋" w:cs="仿宋"/>
          <w:b/>
          <w:color w:val="auto"/>
          <w:sz w:val="36"/>
          <w:szCs w:val="20"/>
          <w:highlight w:val="none"/>
        </w:rPr>
      </w:pPr>
    </w:p>
    <w:p w14:paraId="09F4031C">
      <w:pPr>
        <w:pStyle w:val="7"/>
        <w:rPr>
          <w:rFonts w:hint="eastAsia" w:ascii="仿宋" w:hAnsi="仿宋" w:eastAsia="仿宋" w:cs="仿宋"/>
          <w:b/>
          <w:color w:val="auto"/>
          <w:sz w:val="36"/>
          <w:szCs w:val="20"/>
          <w:highlight w:val="none"/>
        </w:rPr>
      </w:pPr>
    </w:p>
    <w:p w14:paraId="79141CA5">
      <w:pPr>
        <w:pStyle w:val="7"/>
        <w:rPr>
          <w:rFonts w:hint="eastAsia" w:ascii="仿宋" w:hAnsi="仿宋" w:eastAsia="仿宋" w:cs="仿宋"/>
          <w:b/>
          <w:color w:val="auto"/>
          <w:sz w:val="36"/>
          <w:szCs w:val="20"/>
          <w:highlight w:val="none"/>
        </w:rPr>
      </w:pPr>
    </w:p>
    <w:p w14:paraId="5B791A4A">
      <w:pPr>
        <w:pStyle w:val="7"/>
        <w:rPr>
          <w:rFonts w:hint="eastAsia" w:ascii="仿宋" w:hAnsi="仿宋" w:eastAsia="仿宋" w:cs="仿宋"/>
          <w:b/>
          <w:color w:val="auto"/>
          <w:sz w:val="36"/>
          <w:szCs w:val="20"/>
          <w:highlight w:val="none"/>
        </w:rPr>
      </w:pPr>
    </w:p>
    <w:p w14:paraId="28A03966">
      <w:pPr>
        <w:pStyle w:val="7"/>
        <w:rPr>
          <w:rFonts w:hint="eastAsia" w:ascii="仿宋" w:hAnsi="仿宋" w:eastAsia="仿宋" w:cs="仿宋"/>
          <w:b/>
          <w:color w:val="auto"/>
          <w:sz w:val="36"/>
          <w:szCs w:val="20"/>
          <w:highlight w:val="none"/>
        </w:rPr>
      </w:pPr>
    </w:p>
    <w:p w14:paraId="7F635F9D">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64D06362">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7"/>
        <w:tblW w:w="905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82"/>
      </w:tblGrid>
      <w:tr w14:paraId="6D5F7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8C0E32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335428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82" w:type="dxa"/>
            <w:tcBorders>
              <w:top w:val="single" w:color="000000" w:sz="8" w:space="0"/>
              <w:left w:val="single" w:color="000000" w:sz="2" w:space="0"/>
              <w:bottom w:val="single" w:color="000000" w:sz="8" w:space="0"/>
              <w:right w:val="single" w:color="000000" w:sz="8" w:space="0"/>
            </w:tcBorders>
            <w:noWrap w:val="0"/>
            <w:vAlign w:val="center"/>
          </w:tcPr>
          <w:p w14:paraId="5E9FFFA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C780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DF23BF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94F0E7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582" w:type="dxa"/>
            <w:tcBorders>
              <w:top w:val="single" w:color="000000" w:sz="8" w:space="0"/>
              <w:left w:val="single" w:color="000000" w:sz="2" w:space="0"/>
              <w:bottom w:val="single" w:color="000000" w:sz="8" w:space="0"/>
              <w:right w:val="single" w:color="000000" w:sz="8" w:space="0"/>
            </w:tcBorders>
            <w:noWrap w:val="0"/>
            <w:vAlign w:val="center"/>
          </w:tcPr>
          <w:p w14:paraId="7F84B405">
            <w:pPr>
              <w:spacing w:line="360" w:lineRule="auto"/>
              <w:rPr>
                <w:rFonts w:hint="eastAsia" w:ascii="仿宋" w:hAnsi="仿宋" w:eastAsia="仿宋" w:cs="仿宋"/>
                <w:b/>
                <w:color w:val="auto"/>
                <w:kern w:val="0"/>
                <w:sz w:val="24"/>
                <w:highlight w:val="none"/>
                <w:lang w:val="zh-CN"/>
              </w:rPr>
            </w:pPr>
            <w:r>
              <w:rPr>
                <w:rFonts w:hint="eastAsia" w:ascii="仿宋" w:hAnsi="仿宋" w:eastAsia="仿宋"/>
                <w:color w:val="auto"/>
                <w:sz w:val="24"/>
                <w:szCs w:val="28"/>
                <w:highlight w:val="none"/>
              </w:rPr>
              <w:t>承包本次招标服务项目</w:t>
            </w:r>
            <w:r>
              <w:rPr>
                <w:rFonts w:hint="eastAsia" w:ascii="仿宋" w:hAnsi="仿宋" w:eastAsia="仿宋" w:cs="仿宋"/>
                <w:color w:val="auto"/>
                <w:sz w:val="24"/>
                <w:szCs w:val="28"/>
                <w:highlight w:val="none"/>
              </w:rPr>
              <w:t>所需的材料成本、人员工资福利、人员保险、劳保用品、运输车辆、车辆维修养护、车辆保险、油料、季检、年检、日常维护修理费、利润、税金及不可预见费用等费用均计入报价。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szCs w:val="28"/>
                <w:highlight w:val="none"/>
              </w:rPr>
              <w:t>投标文件中价格全部采用人民币报价。招标文件未列明，而投标人认为必需的费用也需列入报价。</w:t>
            </w:r>
          </w:p>
          <w:p w14:paraId="14BB402A">
            <w:pPr>
              <w:snapToGrid w:val="0"/>
              <w:spacing w:line="360" w:lineRule="auto"/>
              <w:jc w:val="left"/>
              <w:rPr>
                <w:rFonts w:hint="eastAsia" w:ascii="仿宋" w:hAnsi="仿宋" w:eastAsia="仿宋" w:cs="仿宋"/>
                <w:b/>
                <w:bCs/>
                <w:color w:val="auto"/>
                <w:sz w:val="24"/>
                <w:highlight w:val="none"/>
                <w:lang w:val="zh-CN"/>
              </w:rPr>
            </w:pPr>
            <w:r>
              <w:rPr>
                <w:rFonts w:hint="eastAsia" w:ascii="仿宋" w:hAnsi="仿宋" w:eastAsia="仿宋" w:cs="仿宋"/>
                <w:b/>
                <w:color w:val="auto"/>
                <w:kern w:val="0"/>
                <w:sz w:val="24"/>
                <w:highlight w:val="none"/>
                <w:lang w:val="zh-CN"/>
              </w:rPr>
              <w:t>提醒：验收时检测费用由采购人承担，不包含在投标总价中；</w:t>
            </w:r>
          </w:p>
          <w:p w14:paraId="09E42B30">
            <w:pPr>
              <w:spacing w:line="360" w:lineRule="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投标报价出现下列情形的，投标无效：</w:t>
            </w:r>
          </w:p>
          <w:p w14:paraId="71FDE662">
            <w:pPr>
              <w:spacing w:line="360" w:lineRule="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投标文件出现不是唯一的、有选择性投标报价的；</w:t>
            </w:r>
          </w:p>
          <w:p w14:paraId="1431B241">
            <w:pPr>
              <w:spacing w:line="360" w:lineRule="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rPr>
              <w:t>▲投标报价高于本项目采购预算或者最高限价的;</w:t>
            </w:r>
          </w:p>
          <w:p w14:paraId="20B78E0E">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▲报价明显低于其他通过符合性审查投标人的报价，有可能影响产品质量或者不能诚信履约的，</w:t>
            </w:r>
            <w:r>
              <w:rPr>
                <w:rFonts w:hint="eastAsia" w:ascii="仿宋" w:hAnsi="仿宋" w:eastAsia="仿宋" w:cs="仿宋"/>
                <w:b/>
                <w:color w:val="auto"/>
                <w:kern w:val="0"/>
                <w:sz w:val="24"/>
                <w:highlight w:val="none"/>
              </w:rPr>
              <w:t>未能按要求提供书面说明或者提交相关证明材料，</w:t>
            </w:r>
            <w:r>
              <w:rPr>
                <w:rFonts w:hint="eastAsia" w:ascii="仿宋" w:hAnsi="仿宋" w:eastAsia="仿宋" w:cs="仿宋"/>
                <w:b/>
                <w:bCs/>
                <w:color w:val="auto"/>
                <w:sz w:val="24"/>
                <w:highlight w:val="none"/>
              </w:rPr>
              <w:t>不能证明其报价合理性的;</w:t>
            </w:r>
          </w:p>
          <w:p w14:paraId="4EB57CC4">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报价低于项目预算50%</w:t>
            </w:r>
            <w:r>
              <w:rPr>
                <w:rFonts w:hint="eastAsia" w:ascii="仿宋" w:hAnsi="仿宋" w:eastAsia="仿宋" w:cs="仿宋"/>
                <w:b/>
                <w:bCs/>
                <w:color w:val="auto"/>
                <w:sz w:val="24"/>
                <w:highlight w:val="none"/>
              </w:rPr>
              <w:t>的投标报价，投标人应在投标文件中提供成本测算资料，未在投标文件中提供成本测算资料的，将被视为投标人不能证明其报价合理性；</w:t>
            </w:r>
          </w:p>
          <w:p w14:paraId="58E34A3F">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《开标一览表(报价表)》填写不完整或字迹不能辨认或有漏项的,经评标委员会认定属于重大偏差的；</w:t>
            </w:r>
          </w:p>
          <w:p w14:paraId="73C97E72">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▲投标人对根据修正原则修正后的报价不确认的。</w:t>
            </w:r>
          </w:p>
        </w:tc>
      </w:tr>
      <w:tr w14:paraId="44B7C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F70BC5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D91CA5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项目采购类型</w:t>
            </w:r>
          </w:p>
        </w:tc>
        <w:tc>
          <w:tcPr>
            <w:tcW w:w="6582" w:type="dxa"/>
            <w:tcBorders>
              <w:top w:val="single" w:color="000000" w:sz="8" w:space="0"/>
              <w:left w:val="single" w:color="000000" w:sz="2" w:space="0"/>
              <w:bottom w:val="single" w:color="000000" w:sz="8" w:space="0"/>
              <w:right w:val="single" w:color="000000" w:sz="8" w:space="0"/>
            </w:tcBorders>
            <w:noWrap w:val="0"/>
            <w:vAlign w:val="center"/>
          </w:tcPr>
          <w:p w14:paraId="1FAFE0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w:t>
            </w:r>
            <w:r>
              <w:rPr>
                <w:rFonts w:hint="eastAsia" w:ascii="仿宋" w:hAnsi="仿宋" w:eastAsia="仿宋" w:cs="仿宋"/>
                <w:b/>
                <w:bCs/>
                <w:color w:val="auto"/>
                <w:sz w:val="24"/>
                <w:highlight w:val="none"/>
                <w:u w:val="single"/>
              </w:rPr>
              <w:t>服务类</w:t>
            </w:r>
            <w:r>
              <w:rPr>
                <w:rFonts w:hint="eastAsia" w:ascii="仿宋" w:hAnsi="仿宋" w:eastAsia="仿宋" w:cs="仿宋"/>
                <w:color w:val="auto"/>
                <w:sz w:val="24"/>
                <w:highlight w:val="none"/>
              </w:rPr>
              <w:t>采购项目</w:t>
            </w:r>
          </w:p>
        </w:tc>
      </w:tr>
      <w:tr w14:paraId="0E872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88B91E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1F4C48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分包或转包</w:t>
            </w:r>
          </w:p>
        </w:tc>
        <w:tc>
          <w:tcPr>
            <w:tcW w:w="6582" w:type="dxa"/>
            <w:tcBorders>
              <w:top w:val="single" w:color="000000" w:sz="8" w:space="0"/>
              <w:left w:val="single" w:color="000000" w:sz="2" w:space="0"/>
              <w:bottom w:val="single" w:color="000000" w:sz="8" w:space="0"/>
              <w:right w:val="single" w:color="000000" w:sz="8" w:space="0"/>
            </w:tcBorders>
            <w:noWrap w:val="0"/>
            <w:vAlign w:val="center"/>
          </w:tcPr>
          <w:p w14:paraId="0D21BE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w:t>
            </w:r>
            <w:r>
              <w:rPr>
                <w:rFonts w:hint="eastAsia" w:ascii="仿宋" w:hAnsi="仿宋" w:eastAsia="仿宋" w:cs="仿宋"/>
                <w:b/>
                <w:color w:val="auto"/>
                <w:sz w:val="24"/>
                <w:highlight w:val="none"/>
              </w:rPr>
              <w:t>不同意</w:t>
            </w:r>
            <w:r>
              <w:rPr>
                <w:rFonts w:hint="eastAsia" w:ascii="仿宋" w:hAnsi="仿宋" w:eastAsia="仿宋" w:cs="仿宋"/>
                <w:color w:val="auto"/>
                <w:sz w:val="24"/>
                <w:highlight w:val="none"/>
              </w:rPr>
              <w:t>分包</w:t>
            </w:r>
          </w:p>
          <w:p w14:paraId="01A9CA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（2）本项目不得转包。</w:t>
            </w:r>
          </w:p>
        </w:tc>
      </w:tr>
      <w:tr w14:paraId="2F7F4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7AC11A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3B3D32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中小企业划分标准所属行业</w:t>
            </w:r>
          </w:p>
        </w:tc>
        <w:tc>
          <w:tcPr>
            <w:tcW w:w="6582" w:type="dxa"/>
            <w:tcBorders>
              <w:top w:val="single" w:color="000000" w:sz="8" w:space="0"/>
              <w:left w:val="single" w:color="000000" w:sz="2" w:space="0"/>
              <w:bottom w:val="single" w:color="000000" w:sz="8" w:space="0"/>
              <w:right w:val="single" w:color="000000" w:sz="8" w:space="0"/>
            </w:tcBorders>
            <w:noWrap w:val="0"/>
            <w:vAlign w:val="center"/>
          </w:tcPr>
          <w:p w14:paraId="3ECDE044">
            <w:pPr>
              <w:numPr>
                <w:ilvl w:val="0"/>
                <w:numId w:val="3"/>
              </w:numPr>
              <w:snapToGrid w:val="0"/>
              <w:spacing w:line="360" w:lineRule="auto"/>
              <w:rPr>
                <w:rFonts w:hint="eastAsia" w:ascii="仿宋" w:hAnsi="仿宋" w:eastAsia="仿宋" w:cs="仿宋"/>
                <w:color w:val="auto"/>
                <w:sz w:val="24"/>
                <w:szCs w:val="28"/>
                <w:highlight w:val="none"/>
                <w:u w:val="none"/>
                <w:lang w:eastAsia="zh-CN"/>
              </w:rPr>
            </w:pPr>
            <w:r>
              <w:rPr>
                <w:rFonts w:hint="eastAsia" w:ascii="仿宋" w:hAnsi="仿宋" w:eastAsia="仿宋" w:cs="仿宋"/>
                <w:color w:val="auto"/>
                <w:sz w:val="24"/>
                <w:highlight w:val="none"/>
              </w:rPr>
              <w:t>采购标的：</w:t>
            </w:r>
            <w:r>
              <w:rPr>
                <w:rFonts w:hint="eastAsia" w:ascii="仿宋" w:hAnsi="仿宋" w:eastAsia="仿宋" w:cs="仿宋"/>
                <w:color w:val="auto"/>
                <w:sz w:val="24"/>
                <w:szCs w:val="28"/>
                <w:highlight w:val="none"/>
                <w:u w:val="none"/>
                <w:lang w:eastAsia="zh-CN"/>
              </w:rPr>
              <w:t>钱清街道2025年窨井养护管理服务项目</w:t>
            </w:r>
          </w:p>
          <w:p w14:paraId="65E3E873">
            <w:pPr>
              <w:numPr>
                <w:ilvl w:val="0"/>
                <w:numId w:val="3"/>
              </w:num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所属行业：其他</w:t>
            </w:r>
            <w:r>
              <w:rPr>
                <w:rFonts w:hint="eastAsia" w:ascii="仿宋" w:hAnsi="仿宋" w:eastAsia="仿宋" w:cs="仿宋"/>
                <w:color w:val="auto"/>
                <w:sz w:val="24"/>
                <w:szCs w:val="28"/>
                <w:highlight w:val="none"/>
              </w:rPr>
              <w:t>未列明行业</w:t>
            </w:r>
            <w:r>
              <w:rPr>
                <w:rFonts w:hint="eastAsia" w:ascii="仿宋" w:hAnsi="仿宋" w:eastAsia="仿宋" w:cs="仿宋"/>
                <w:color w:val="auto"/>
                <w:sz w:val="24"/>
                <w:szCs w:val="28"/>
                <w:highlight w:val="none"/>
                <w:lang w:eastAsia="zh-CN"/>
              </w:rPr>
              <w:t>。</w:t>
            </w:r>
          </w:p>
        </w:tc>
      </w:tr>
      <w:tr w14:paraId="5888D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A46082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auto" w:sz="4" w:space="0"/>
              <w:right w:val="single" w:color="000000" w:sz="8" w:space="0"/>
            </w:tcBorders>
            <w:noWrap w:val="0"/>
            <w:vAlign w:val="center"/>
          </w:tcPr>
          <w:p w14:paraId="4AAE1CF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582" w:type="dxa"/>
            <w:tcBorders>
              <w:top w:val="single" w:color="000000" w:sz="8" w:space="0"/>
              <w:left w:val="single" w:color="000000" w:sz="2" w:space="0"/>
              <w:bottom w:val="single" w:color="auto" w:sz="4" w:space="0"/>
              <w:right w:val="single" w:color="000000" w:sz="8" w:space="0"/>
            </w:tcBorders>
            <w:noWrap w:val="0"/>
            <w:vAlign w:val="center"/>
          </w:tcPr>
          <w:p w14:paraId="309C076F">
            <w:pPr>
              <w:pStyle w:val="11"/>
              <w:spacing w:line="360" w:lineRule="auto"/>
              <w:rPr>
                <w:rFonts w:hint="eastAsia" w:ascii="仿宋" w:hAnsi="仿宋" w:eastAsia="仿宋" w:cs="仿宋"/>
                <w:b/>
                <w:color w:val="auto"/>
                <w:sz w:val="24"/>
                <w:highlight w:val="none"/>
              </w:rPr>
            </w:pPr>
            <w:r>
              <w:rPr>
                <w:rFonts w:hint="eastAsia" w:ascii="仿宋" w:hAnsi="仿宋" w:eastAsia="仿宋" w:cs="仿宋"/>
                <w:b w:val="0"/>
                <w:bCs/>
                <w:snapToGrid/>
                <w:color w:val="auto"/>
                <w:sz w:val="24"/>
                <w:szCs w:val="20"/>
                <w:highlight w:val="none"/>
              </w:rPr>
              <w:t>不组织。</w:t>
            </w:r>
          </w:p>
        </w:tc>
      </w:tr>
      <w:tr w14:paraId="345B9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E9F6FC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1843" w:type="dxa"/>
            <w:tcBorders>
              <w:top w:val="single" w:color="auto" w:sz="4" w:space="0"/>
              <w:left w:val="single" w:color="auto" w:sz="4" w:space="0"/>
              <w:bottom w:val="single" w:color="000000" w:sz="8" w:space="0"/>
              <w:right w:val="single" w:color="000000" w:sz="8" w:space="0"/>
            </w:tcBorders>
            <w:noWrap w:val="0"/>
            <w:vAlign w:val="center"/>
          </w:tcPr>
          <w:p w14:paraId="0A2493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82" w:type="dxa"/>
            <w:tcBorders>
              <w:top w:val="single" w:color="auto" w:sz="4" w:space="0"/>
              <w:left w:val="single" w:color="000000" w:sz="2" w:space="0"/>
              <w:bottom w:val="single" w:color="000000" w:sz="8" w:space="0"/>
              <w:right w:val="single" w:color="000000" w:sz="8" w:space="0"/>
            </w:tcBorders>
            <w:noWrap w:val="0"/>
            <w:vAlign w:val="center"/>
          </w:tcPr>
          <w:p w14:paraId="0D16CD67">
            <w:pPr>
              <w:spacing w:line="360" w:lineRule="auto"/>
              <w:rPr>
                <w:rFonts w:hint="eastAsia" w:ascii="仿宋" w:hAnsi="仿宋" w:eastAsia="仿宋" w:cs="仿宋"/>
                <w:b/>
                <w:snapToGrid/>
                <w:color w:val="auto"/>
                <w:sz w:val="24"/>
                <w:szCs w:val="20"/>
                <w:highlight w:val="none"/>
              </w:rPr>
            </w:pPr>
            <w:r>
              <w:rPr>
                <w:rFonts w:hint="eastAsia" w:ascii="仿宋" w:hAnsi="仿宋" w:eastAsia="仿宋" w:cs="仿宋"/>
                <w:color w:val="auto"/>
                <w:sz w:val="24"/>
                <w:highlight w:val="none"/>
              </w:rPr>
              <w:t>不要求提供。</w:t>
            </w:r>
          </w:p>
        </w:tc>
      </w:tr>
      <w:tr w14:paraId="7F27B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C0B12B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p>
        </w:tc>
        <w:tc>
          <w:tcPr>
            <w:tcW w:w="1843" w:type="dxa"/>
            <w:tcBorders>
              <w:top w:val="single" w:color="auto" w:sz="4" w:space="0"/>
              <w:left w:val="single" w:color="auto" w:sz="4" w:space="0"/>
              <w:bottom w:val="single" w:color="000000" w:sz="8" w:space="0"/>
              <w:right w:val="single" w:color="000000" w:sz="8" w:space="0"/>
            </w:tcBorders>
            <w:noWrap w:val="0"/>
            <w:vAlign w:val="center"/>
          </w:tcPr>
          <w:p w14:paraId="253E55F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演示</w:t>
            </w:r>
          </w:p>
        </w:tc>
        <w:tc>
          <w:tcPr>
            <w:tcW w:w="6582" w:type="dxa"/>
            <w:tcBorders>
              <w:top w:val="single" w:color="auto" w:sz="4" w:space="0"/>
              <w:left w:val="single" w:color="000000" w:sz="2" w:space="0"/>
              <w:bottom w:val="single" w:color="000000" w:sz="8" w:space="0"/>
              <w:right w:val="single" w:color="000000" w:sz="8" w:space="0"/>
            </w:tcBorders>
            <w:noWrap w:val="0"/>
            <w:vAlign w:val="center"/>
          </w:tcPr>
          <w:p w14:paraId="164D4E59">
            <w:pPr>
              <w:spacing w:line="360" w:lineRule="auto"/>
              <w:rPr>
                <w:rFonts w:hint="eastAsia" w:ascii="仿宋" w:hAnsi="仿宋" w:eastAsia="仿宋" w:cs="仿宋"/>
                <w:snapToGrid/>
                <w:color w:val="auto"/>
                <w:sz w:val="24"/>
                <w:szCs w:val="20"/>
                <w:highlight w:val="none"/>
              </w:rPr>
            </w:pPr>
            <w:r>
              <w:rPr>
                <w:rFonts w:hint="eastAsia" w:ascii="仿宋" w:hAnsi="仿宋" w:eastAsia="仿宋" w:cs="仿宋"/>
                <w:color w:val="auto"/>
                <w:sz w:val="24"/>
                <w:highlight w:val="none"/>
              </w:rPr>
              <w:t>不组织。</w:t>
            </w:r>
          </w:p>
        </w:tc>
      </w:tr>
      <w:tr w14:paraId="79C9F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2AFC6F8">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9BFD1A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582" w:type="dxa"/>
            <w:tcBorders>
              <w:top w:val="single" w:color="000000" w:sz="8" w:space="0"/>
              <w:left w:val="single" w:color="000000" w:sz="2" w:space="0"/>
              <w:bottom w:val="single" w:color="000000" w:sz="8" w:space="0"/>
              <w:right w:val="single" w:color="000000" w:sz="8" w:space="0"/>
            </w:tcBorders>
            <w:noWrap w:val="0"/>
            <w:vAlign w:val="center"/>
          </w:tcPr>
          <w:p w14:paraId="0D52B5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A402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7D6EC7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D635C2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582" w:type="dxa"/>
            <w:tcBorders>
              <w:top w:val="single" w:color="000000" w:sz="8" w:space="0"/>
              <w:left w:val="single" w:color="000000" w:sz="2" w:space="0"/>
              <w:bottom w:val="single" w:color="000000" w:sz="8" w:space="0"/>
              <w:right w:val="single" w:color="000000" w:sz="8" w:space="0"/>
            </w:tcBorders>
            <w:noWrap w:val="0"/>
            <w:vAlign w:val="center"/>
          </w:tcPr>
          <w:p w14:paraId="2B9B1EF6">
            <w:pPr>
              <w:snapToGrid w:val="0"/>
              <w:spacing w:line="360" w:lineRule="auto"/>
              <w:rPr>
                <w:rFonts w:hint="eastAsia" w:ascii="仿宋" w:hAnsi="仿宋" w:eastAsia="仿宋" w:cs="仿宋"/>
                <w:color w:val="auto"/>
                <w:sz w:val="24"/>
                <w:highlight w:val="none"/>
                <w:lang w:eastAsia="zh-CN"/>
              </w:rPr>
            </w:pPr>
            <w:r>
              <w:rPr>
                <w:rFonts w:hint="eastAsia" w:ascii="仿宋" w:eastAsia="仿宋"/>
                <w:color w:val="auto"/>
                <w:sz w:val="24"/>
                <w:highlight w:val="none"/>
              </w:rPr>
              <w:t>由业主承担。</w:t>
            </w:r>
          </w:p>
        </w:tc>
      </w:tr>
      <w:tr w14:paraId="52D38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519957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EC2B66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投标保证金缴纳</w:t>
            </w:r>
          </w:p>
        </w:tc>
        <w:tc>
          <w:tcPr>
            <w:tcW w:w="6582" w:type="dxa"/>
            <w:tcBorders>
              <w:top w:val="single" w:color="000000" w:sz="8" w:space="0"/>
              <w:left w:val="single" w:color="000000" w:sz="2" w:space="0"/>
              <w:bottom w:val="single" w:color="000000" w:sz="8" w:space="0"/>
              <w:right w:val="single" w:color="000000" w:sz="8" w:space="0"/>
            </w:tcBorders>
            <w:noWrap w:val="0"/>
            <w:vAlign w:val="center"/>
          </w:tcPr>
          <w:p w14:paraId="6EBB0C6F">
            <w:pPr>
              <w:pStyle w:val="7"/>
              <w:spacing w:line="360" w:lineRule="auto"/>
              <w:ind w:left="0" w:leftChars="0"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不收取投标保证金</w:t>
            </w:r>
            <w:r>
              <w:rPr>
                <w:rFonts w:hint="eastAsia" w:ascii="仿宋" w:hAnsi="仿宋" w:eastAsia="仿宋" w:cs="仿宋"/>
                <w:color w:val="auto"/>
                <w:sz w:val="24"/>
                <w:highlight w:val="none"/>
                <w:lang w:eastAsia="zh-CN"/>
              </w:rPr>
              <w:t>。</w:t>
            </w:r>
          </w:p>
        </w:tc>
      </w:tr>
      <w:tr w14:paraId="09231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54564DB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3044DD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履约保证金金额</w:t>
            </w:r>
          </w:p>
        </w:tc>
        <w:tc>
          <w:tcPr>
            <w:tcW w:w="6582" w:type="dxa"/>
            <w:tcBorders>
              <w:top w:val="single" w:color="000000" w:sz="8" w:space="0"/>
              <w:left w:val="single" w:color="000000" w:sz="2" w:space="0"/>
              <w:bottom w:val="single" w:color="000000" w:sz="8" w:space="0"/>
              <w:right w:val="single" w:color="000000" w:sz="8" w:space="0"/>
            </w:tcBorders>
            <w:noWrap w:val="0"/>
            <w:vAlign w:val="center"/>
          </w:tcPr>
          <w:p w14:paraId="3AE1AA1D">
            <w:pPr>
              <w:pStyle w:val="7"/>
              <w:spacing w:line="360" w:lineRule="auto"/>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不收取</w:t>
            </w:r>
            <w:r>
              <w:rPr>
                <w:rFonts w:hint="eastAsia" w:ascii="仿宋" w:hAnsi="仿宋" w:eastAsia="仿宋" w:cs="仿宋"/>
                <w:b w:val="0"/>
                <w:bCs/>
                <w:color w:val="auto"/>
                <w:sz w:val="24"/>
                <w:highlight w:val="none"/>
              </w:rPr>
              <w:t>履约保证金</w:t>
            </w:r>
            <w:r>
              <w:rPr>
                <w:rFonts w:hint="eastAsia" w:ascii="仿宋" w:hAnsi="仿宋" w:eastAsia="仿宋" w:cs="仿宋"/>
                <w:b/>
                <w:color w:val="auto"/>
                <w:sz w:val="24"/>
                <w:highlight w:val="none"/>
                <w:lang w:eastAsia="zh-CN"/>
              </w:rPr>
              <w:t>。</w:t>
            </w:r>
          </w:p>
        </w:tc>
      </w:tr>
      <w:tr w14:paraId="13CAF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AA8CB1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889BBA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582" w:type="dxa"/>
            <w:tcBorders>
              <w:top w:val="single" w:color="000000" w:sz="8" w:space="0"/>
              <w:left w:val="single" w:color="000000" w:sz="2" w:space="0"/>
              <w:bottom w:val="single" w:color="000000" w:sz="8" w:space="0"/>
              <w:right w:val="single" w:color="000000" w:sz="8" w:space="0"/>
            </w:tcBorders>
            <w:noWrap w:val="0"/>
            <w:vAlign w:val="center"/>
          </w:tcPr>
          <w:p w14:paraId="75DD162A">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2D1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00DBD5C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7CE134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582" w:type="dxa"/>
            <w:tcBorders>
              <w:top w:val="single" w:color="000000" w:sz="8" w:space="0"/>
              <w:left w:val="single" w:color="000000" w:sz="2" w:space="0"/>
              <w:bottom w:val="single" w:color="000000" w:sz="8" w:space="0"/>
              <w:right w:val="single" w:color="000000" w:sz="8" w:space="0"/>
            </w:tcBorders>
            <w:noWrap w:val="0"/>
            <w:vAlign w:val="center"/>
          </w:tcPr>
          <w:p w14:paraId="30386AE1">
            <w:pPr>
              <w:pStyle w:val="11"/>
              <w:spacing w:line="360" w:lineRule="auto"/>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lang w:eastAsia="zh-CN"/>
              </w:rPr>
              <w:t>有需要提交备份投标文件者，将备份投标文件于投标截止时间之前送达指定地点：绍兴市柯桥区钱清街道综合楼四楼开标室；备份投标文件签收人员联系电话：余磊 18857573060。</w:t>
            </w:r>
          </w:p>
          <w:p w14:paraId="08348600">
            <w:pPr>
              <w:pStyle w:val="11"/>
              <w:spacing w:line="360" w:lineRule="auto"/>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lang w:eastAsia="zh-CN"/>
              </w:rPr>
              <w:t>采购人、采购代理机构不强制或变相强制投标人提交备份投标文件。</w:t>
            </w:r>
          </w:p>
        </w:tc>
      </w:tr>
    </w:tbl>
    <w:p w14:paraId="0C98D4B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注：本项目通用总则条款与前附表等专用特别规定有冲突之处，以专用条款（特别规定）为准</w:t>
      </w:r>
    </w:p>
    <w:bookmarkEnd w:id="10"/>
    <w:p w14:paraId="1BDD2C26">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39" w:name="_Toc164416483"/>
      <w:bookmarkStart w:id="40" w:name="第三部分"/>
      <w:r>
        <w:rPr>
          <w:rFonts w:hint="eastAsia" w:ascii="仿宋" w:hAnsi="仿宋" w:eastAsia="仿宋" w:cs="仿宋"/>
          <w:b/>
          <w:color w:val="auto"/>
          <w:sz w:val="32"/>
          <w:szCs w:val="20"/>
          <w:highlight w:val="none"/>
        </w:rPr>
        <w:t>一、总则</w:t>
      </w:r>
    </w:p>
    <w:p w14:paraId="5223FD56">
      <w:pPr>
        <w:snapToGrid w:val="0"/>
        <w:spacing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17C74B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BEC0F81">
      <w:pPr>
        <w:adjustRightInd/>
        <w:spacing w:line="360" w:lineRule="auto"/>
        <w:ind w:firstLine="482" w:firstLineChars="200"/>
        <w:jc w:val="lef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0D378C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F47E21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7B237D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6A7368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60FB9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2A2926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0E573BE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ascii="Wingdings" w:hAnsi="Wingdings" w:cs="宋体"/>
          <w:color w:val="auto"/>
          <w:kern w:val="0"/>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系指不适用本项目的要求，“★”系产品采购项目中单一产品或核心产品。</w:t>
      </w:r>
    </w:p>
    <w:p w14:paraId="2EF9D927">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8566F52">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EB4DAB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796079C7">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14:paraId="6E51E2AC">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0778F36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3.2.2投标人提供产品如是节能（环境标志）产品，应当优先提供《关于印发环境标志产品政府采购品目清单的通知》财库〔2019〕18号和《关于印发节能产品政府采购品目清单的通知》财库〔2019〕19号）内产品，涉及项目评分条款加分项时，请提供节能（环境标志）政府采购清单页及国家确定的认证机构出具的、处于有效期之内节能（环境标志）产品认证证书或规定网站证书查询截图。</w:t>
      </w:r>
    </w:p>
    <w:p w14:paraId="5081EB8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3.2.3参与实施政府采购节能（环境标志）产品认证机构详见《市场监</w:t>
      </w:r>
      <w:r>
        <w:rPr>
          <w:rFonts w:hint="eastAsia" w:ascii="仿宋" w:hAnsi="仿宋" w:eastAsia="仿宋" w:cs="仿宋"/>
          <w:color w:val="auto"/>
          <w:sz w:val="24"/>
          <w:highlight w:val="none"/>
          <w:lang w:val="en-US" w:eastAsia="zh-CN"/>
        </w:rPr>
        <w:t>管</w:t>
      </w:r>
      <w:r>
        <w:rPr>
          <w:rFonts w:hint="eastAsia" w:ascii="仿宋" w:hAnsi="仿宋" w:eastAsia="仿宋" w:cs="仿宋"/>
          <w:color w:val="auto"/>
          <w:sz w:val="24"/>
          <w:highlight w:val="none"/>
        </w:rPr>
        <w:t>总局关于发布参与实施政府采购节能产品、环境标志产品认证机构名录的公告》（2019第16号）。</w:t>
      </w:r>
    </w:p>
    <w:p w14:paraId="1588EA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纳入政府采购管理的修缮、装修类项目采购建材的，鼓励采购单位将绿色建材性能、指标等作为实质性条件纳入采购文件和合同，具体性能指标要求参考相关绿色建材政府采购需求标准。</w:t>
      </w:r>
    </w:p>
    <w:p w14:paraId="707251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ABBADB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3.2.6 鼓励供应商在参加政府采购过程中开展绿色设计、选择绿色材料、打造绿色制造工艺、开展绿色运输、做好废弃产品回收处理，实现产品全周期的绿色环保。</w:t>
      </w:r>
    </w:p>
    <w:p w14:paraId="41763C0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10C6D1C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70E7A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5EFDCF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3.3.2在政府采购活动中，投标人提供的货物、工程或者服务符合下列情形的，享受中小企业扶持政策：</w:t>
      </w:r>
    </w:p>
    <w:p w14:paraId="37F44B3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（1）在货物采购项目中，货物由中小企业制造，即货物由中小企业生产且使用该中小企业商号或者注册商标；</w:t>
      </w:r>
    </w:p>
    <w:p w14:paraId="779A05D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（2）在工程采购项目中，工程由中小企业承建，即工程施工单位为中小企业；</w:t>
      </w:r>
    </w:p>
    <w:p w14:paraId="74B8096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（3）在服务采购项目中，服务由中小企业承接，即提供服务的人员为中小企业依照《中华人民共和国民法典》订立劳动合同的从业人员。</w:t>
      </w:r>
    </w:p>
    <w:p w14:paraId="05F57D4B">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在货物采购项目中，投标人提供的货物既有中小企业制造货物，也有大型企业制造货物的，不享受中小企业扶持政策。</w:t>
      </w:r>
    </w:p>
    <w:p w14:paraId="7812BBE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20D7171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的扣除，用扣除后的价格参与评审。</w:t>
      </w:r>
    </w:p>
    <w:p w14:paraId="75D3DFD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F66409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3.3.5符合《关于促进残疾人就业政府采购政策的通知》（财库〔2017〕141号）规定的条件并提供《残疾人福利性单位声明函》的残疾人福利性单位视同小型、微型企业；</w:t>
      </w:r>
    </w:p>
    <w:p w14:paraId="711CFAA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14:paraId="790EE13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3.3.7可享受中小企业扶持政策的投标人应按照招标文件格式要求提供《中小企业声明函》。</w:t>
      </w:r>
    </w:p>
    <w:p w14:paraId="13BF97F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3.3.8中小企业享受扶持政策获得政府采购合同的，小微企业不得将合同分包给大中型企业，中型企业不得将合同分包给大型企业。</w:t>
      </w:r>
    </w:p>
    <w:p w14:paraId="24A4F6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0B85B9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CCE5D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7CDDD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805D92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0B1FAF63">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p w14:paraId="0911307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4.1在线询问、质疑、投诉</w:t>
      </w:r>
    </w:p>
    <w:p w14:paraId="4BF02465">
      <w:pPr>
        <w:autoSpaceDE w:val="0"/>
        <w:autoSpaceDN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仿宋"/>
          <w:color w:val="auto"/>
          <w:sz w:val="24"/>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74415B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06E5AF3C">
      <w:pPr>
        <w:autoSpaceDE w:val="0"/>
        <w:autoSpaceDN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14:paraId="1B55323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4AB0319">
      <w:pPr>
        <w:pStyle w:val="1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.1提出质疑的供应商应当是参与所质疑项目采购活动的供应商。潜在供应商已依法获取其可质疑的采购文件的，可以对该文件提出质疑。</w:t>
      </w:r>
    </w:p>
    <w:p w14:paraId="28B2D198">
      <w:pPr>
        <w:pStyle w:val="1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08CAA703">
      <w:pPr>
        <w:pStyle w:val="7"/>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4.3.2.1对采购文件提出质疑的，质疑期限为供应商获得采购文件之日或者采购文件公告期限届满之日起计算。</w:t>
      </w:r>
      <w:r>
        <w:rPr>
          <w:rFonts w:hint="eastAsia" w:ascii="仿宋" w:hAnsi="仿宋" w:eastAsia="仿宋" w:cs="仿宋"/>
          <w:color w:val="auto"/>
          <w:sz w:val="24"/>
          <w:szCs w:val="24"/>
          <w:highlight w:val="none"/>
        </w:rPr>
        <w:t>采购文件在公告期限届满之日后获得的，应当自采购文件公告期限届满之日起计算，且应当在采购响应截止时间之前提出。</w:t>
      </w:r>
    </w:p>
    <w:p w14:paraId="571E0567">
      <w:pPr>
        <w:pStyle w:val="11"/>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797308EE">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1956D058">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4.3.3.1供应商的姓名或者名称、地址、邮编、联系人及联系电话；</w:t>
      </w:r>
    </w:p>
    <w:p w14:paraId="0F6EBD03">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4.3.3.2质疑项目的名称、编号；</w:t>
      </w:r>
    </w:p>
    <w:p w14:paraId="53A55DB1">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4.3.3.3具体、明确的质疑事项和与质疑事项相关的请求；</w:t>
      </w:r>
    </w:p>
    <w:p w14:paraId="5EC9DFB9">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4.3.3.4事实依据；</w:t>
      </w:r>
    </w:p>
    <w:p w14:paraId="307672B1">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4.3.3.5必要的法律依据；</w:t>
      </w:r>
    </w:p>
    <w:p w14:paraId="029EAE5A">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06D06ECF">
      <w:pPr>
        <w:pStyle w:val="1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621EB09F">
      <w:pPr>
        <w:pStyle w:val="11"/>
        <w:spacing w:line="360" w:lineRule="auto"/>
        <w:ind w:firstLine="420" w:firstLineChars="200"/>
        <w:rPr>
          <w:rFonts w:hint="eastAsia" w:ascii="仿宋" w:hAnsi="仿宋" w:eastAsia="仿宋" w:cs="仿宋"/>
          <w:i/>
          <w:color w:val="auto"/>
          <w:highlight w:val="none"/>
        </w:rPr>
      </w:pPr>
      <w:r>
        <w:rPr>
          <w:rFonts w:hint="eastAsia" w:ascii="仿宋" w:hAnsi="仿宋" w:eastAsia="仿宋" w:cs="仿宋"/>
          <w:i/>
          <w:color w:val="auto"/>
          <w:highlight w:val="none"/>
        </w:rPr>
        <w:t>质疑函范本及制作说明详见附件2。</w:t>
      </w:r>
    </w:p>
    <w:p w14:paraId="77EBE65C">
      <w:pPr>
        <w:pStyle w:val="11"/>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4.3.4对同一采购程序环节的质疑，供应商须在法定质疑期内一次性提出。</w:t>
      </w:r>
    </w:p>
    <w:p w14:paraId="5FE712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将质疑答复内容及时在浙江政府采购网的“其他公告”栏目公开质疑答复，答复内容应当完整，但涉及国家秘密、个人隐私、商业秘密以及法律、法规规定应予保密的信息内容除外。</w:t>
      </w:r>
    </w:p>
    <w:p w14:paraId="5A7803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.6询问或者质疑事项可能影响采购结果的，采购人应当暂停签订合同，已经签订合同的，应当中止履行合同。</w:t>
      </w:r>
    </w:p>
    <w:p w14:paraId="1D39D1D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4.4供应商投诉</w:t>
      </w:r>
    </w:p>
    <w:p w14:paraId="30D1EE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0F578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供应商投诉的事项不得超出已质疑事项的范围，基于质疑答复内容提出的投诉事项除外。</w:t>
      </w:r>
    </w:p>
    <w:p w14:paraId="4F4182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4.4.3供应商投诉应当有明确的请求和必要的证明材料。</w:t>
      </w:r>
    </w:p>
    <w:p w14:paraId="34FDA3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4.4.4 以联合体形式参加政府采购活动的，其投诉应当由组成联合体的所有供应商共同提出。</w:t>
      </w:r>
    </w:p>
    <w:p w14:paraId="415D0B8F">
      <w:pPr>
        <w:pStyle w:val="22"/>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i/>
          <w:color w:val="auto"/>
          <w:highlight w:val="none"/>
        </w:rPr>
        <w:t>投诉书范本及制作说明详见附件3。</w:t>
      </w:r>
    </w:p>
    <w:p w14:paraId="675593E1">
      <w:pPr>
        <w:adjustRightInd/>
        <w:spacing w:line="360" w:lineRule="auto"/>
        <w:jc w:val="center"/>
        <w:outlineLvl w:val="0"/>
        <w:rPr>
          <w:rFonts w:hint="eastAsia" w:ascii="仿宋" w:hAnsi="仿宋" w:eastAsia="仿宋" w:cs="仿宋"/>
          <w:b/>
          <w:color w:val="auto"/>
          <w:sz w:val="32"/>
          <w:szCs w:val="20"/>
          <w:highlight w:val="none"/>
        </w:rPr>
      </w:pPr>
      <w:bookmarkStart w:id="41" w:name="_Hlt75236290"/>
      <w:bookmarkEnd w:id="41"/>
      <w:bookmarkStart w:id="42" w:name="_Hlt74714665"/>
      <w:bookmarkEnd w:id="42"/>
      <w:bookmarkStart w:id="43" w:name="_Hlt74730295"/>
      <w:bookmarkEnd w:id="43"/>
      <w:bookmarkStart w:id="44" w:name="_Hlt68072990"/>
      <w:bookmarkEnd w:id="44"/>
      <w:bookmarkStart w:id="45" w:name="_Hlt74707468"/>
      <w:bookmarkEnd w:id="45"/>
      <w:bookmarkStart w:id="46" w:name="_Hlt74729768"/>
      <w:bookmarkEnd w:id="46"/>
      <w:bookmarkStart w:id="47" w:name="_Hlt68057669"/>
      <w:bookmarkEnd w:id="47"/>
      <w:bookmarkStart w:id="48" w:name="_Toc91899879"/>
      <w:r>
        <w:rPr>
          <w:rFonts w:hint="eastAsia" w:ascii="仿宋" w:hAnsi="仿宋" w:eastAsia="仿宋" w:cs="仿宋"/>
          <w:b/>
          <w:color w:val="auto"/>
          <w:sz w:val="32"/>
          <w:szCs w:val="20"/>
          <w:highlight w:val="none"/>
        </w:rPr>
        <w:t>二、招标文件</w:t>
      </w:r>
      <w:bookmarkEnd w:id="48"/>
      <w:r>
        <w:rPr>
          <w:rFonts w:hint="eastAsia" w:ascii="仿宋" w:hAnsi="仿宋" w:eastAsia="仿宋" w:cs="仿宋"/>
          <w:b/>
          <w:color w:val="auto"/>
          <w:sz w:val="32"/>
          <w:szCs w:val="20"/>
          <w:highlight w:val="none"/>
        </w:rPr>
        <w:t>的构成、澄清、修改</w:t>
      </w:r>
    </w:p>
    <w:p w14:paraId="0070DAFE">
      <w:pPr>
        <w:pStyle w:val="11"/>
        <w:spacing w:line="360" w:lineRule="auto"/>
        <w:ind w:firstLine="482" w:firstLineChars="200"/>
        <w:rPr>
          <w:rFonts w:hint="eastAsia" w:ascii="仿宋" w:hAnsi="仿宋" w:eastAsia="仿宋" w:cs="仿宋"/>
          <w:b/>
          <w:color w:val="auto"/>
          <w:sz w:val="24"/>
          <w:szCs w:val="24"/>
          <w:highlight w:val="none"/>
        </w:rPr>
      </w:pPr>
      <w:bookmarkStart w:id="49" w:name="_Toc91899880"/>
      <w:bookmarkStart w:id="50" w:name="_Hlt74730307"/>
      <w:r>
        <w:rPr>
          <w:rFonts w:hint="eastAsia" w:ascii="仿宋" w:hAnsi="仿宋" w:eastAsia="仿宋" w:cs="仿宋"/>
          <w:b/>
          <w:color w:val="auto"/>
          <w:sz w:val="24"/>
          <w:szCs w:val="24"/>
          <w:highlight w:val="none"/>
        </w:rPr>
        <w:t>5．招标文件的构成</w:t>
      </w:r>
      <w:bookmarkEnd w:id="49"/>
    </w:p>
    <w:bookmarkEnd w:id="50"/>
    <w:p w14:paraId="4B4D3A36">
      <w:pPr>
        <w:pStyle w:val="11"/>
        <w:spacing w:line="360" w:lineRule="auto"/>
        <w:ind w:right="-5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356A0EB">
      <w:pPr>
        <w:pStyle w:val="11"/>
        <w:numPr>
          <w:ilvl w:val="0"/>
          <w:numId w:val="4"/>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招标公告</w:t>
      </w:r>
    </w:p>
    <w:p w14:paraId="67D5BBC3">
      <w:pPr>
        <w:pStyle w:val="11"/>
        <w:numPr>
          <w:ilvl w:val="0"/>
          <w:numId w:val="4"/>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投标人须知</w:t>
      </w:r>
    </w:p>
    <w:p w14:paraId="538979BE">
      <w:pPr>
        <w:pStyle w:val="11"/>
        <w:numPr>
          <w:ilvl w:val="0"/>
          <w:numId w:val="4"/>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采购需求</w:t>
      </w:r>
    </w:p>
    <w:p w14:paraId="221B61F7">
      <w:pPr>
        <w:pStyle w:val="11"/>
        <w:numPr>
          <w:ilvl w:val="0"/>
          <w:numId w:val="4"/>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评标方法及评分标准</w:t>
      </w:r>
    </w:p>
    <w:p w14:paraId="52A518FD">
      <w:pPr>
        <w:pStyle w:val="11"/>
        <w:numPr>
          <w:ilvl w:val="0"/>
          <w:numId w:val="4"/>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拟签订的合同文本</w:t>
      </w:r>
    </w:p>
    <w:p w14:paraId="31C4FFEF">
      <w:pPr>
        <w:pStyle w:val="11"/>
        <w:numPr>
          <w:ilvl w:val="0"/>
          <w:numId w:val="4"/>
        </w:numPr>
        <w:spacing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应提交的有关格式范例</w:t>
      </w:r>
    </w:p>
    <w:p w14:paraId="7F9C0309">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澄清或者修改等公告、内容亦为招标文件的组成部分，投标人须自行于招标公告所在网站获取相关信息（浙江政府采购网网址http://www.zjzfcg.gov.cn）</w:t>
      </w:r>
      <w:r>
        <w:rPr>
          <w:rFonts w:hint="eastAsia" w:ascii="仿宋" w:hAnsi="仿宋" w:eastAsia="仿宋" w:cs="仿宋"/>
          <w:color w:val="auto"/>
          <w:sz w:val="24"/>
          <w:highlight w:val="none"/>
        </w:rPr>
        <w:t>。</w:t>
      </w:r>
    </w:p>
    <w:p w14:paraId="1AB28DE8">
      <w:pPr>
        <w:pStyle w:val="11"/>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3AC324CF">
      <w:pPr>
        <w:pStyle w:val="2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4C9C281B">
      <w:pPr>
        <w:adjustRightInd/>
        <w:spacing w:line="360" w:lineRule="auto"/>
        <w:jc w:val="center"/>
        <w:outlineLvl w:val="0"/>
        <w:rPr>
          <w:rFonts w:hint="eastAsia" w:ascii="仿宋" w:hAnsi="仿宋" w:eastAsia="仿宋" w:cs="仿宋"/>
          <w:b/>
          <w:color w:val="auto"/>
          <w:sz w:val="32"/>
          <w:szCs w:val="20"/>
          <w:highlight w:val="none"/>
        </w:rPr>
      </w:pPr>
      <w:bookmarkStart w:id="51" w:name="_Hlt75236011"/>
      <w:bookmarkEnd w:id="51"/>
      <w:bookmarkStart w:id="52" w:name="_Toc91899884"/>
    </w:p>
    <w:p w14:paraId="736E117A">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三、投标</w:t>
      </w:r>
      <w:bookmarkEnd w:id="52"/>
    </w:p>
    <w:p w14:paraId="21612666">
      <w:pPr>
        <w:pStyle w:val="11"/>
        <w:spacing w:line="360" w:lineRule="auto"/>
        <w:ind w:firstLine="482" w:firstLineChars="200"/>
        <w:rPr>
          <w:rFonts w:hint="eastAsia" w:ascii="仿宋" w:hAnsi="仿宋" w:eastAsia="仿宋" w:cs="仿宋"/>
          <w:b/>
          <w:color w:val="auto"/>
          <w:sz w:val="24"/>
          <w:szCs w:val="24"/>
          <w:highlight w:val="none"/>
        </w:rPr>
      </w:pPr>
      <w:bookmarkStart w:id="53" w:name="_Toc91899892"/>
      <w:bookmarkStart w:id="54" w:name="_Toc86216991"/>
      <w:r>
        <w:rPr>
          <w:rFonts w:hint="eastAsia" w:ascii="仿宋" w:hAnsi="仿宋" w:eastAsia="仿宋" w:cs="仿宋"/>
          <w:b/>
          <w:color w:val="auto"/>
          <w:sz w:val="24"/>
          <w:szCs w:val="24"/>
          <w:highlight w:val="none"/>
        </w:rPr>
        <w:t>7.招标文件的获取</w:t>
      </w:r>
    </w:p>
    <w:p w14:paraId="7D6462E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详见招标公告中获取招标文件的时间期限、地点、方式。附件中直接下载仅供浏览使用。</w:t>
      </w:r>
    </w:p>
    <w:p w14:paraId="561EEDFF">
      <w:pPr>
        <w:pStyle w:val="11"/>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5E0B4CD">
      <w:pPr>
        <w:pStyle w:val="1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采购人视采购项目的具体情况，如果采购人组织潜在投标人现场考察或者召开开标前答疑会的，潜在投标人按前附表的规定参加现场考察或者开标前答疑会。</w:t>
      </w:r>
    </w:p>
    <w:p w14:paraId="4A1F1F43">
      <w:pPr>
        <w:pStyle w:val="11"/>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1F5C6B4B">
      <w:pPr>
        <w:pStyle w:val="23"/>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rPr>
        <w:t>本项目不收取投标保证金。</w:t>
      </w:r>
    </w:p>
    <w:p w14:paraId="737DD819">
      <w:pPr>
        <w:pStyle w:val="11"/>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3431DEA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7FE8D5E">
      <w:pPr>
        <w:pStyle w:val="11"/>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44AF385">
      <w:pPr>
        <w:pStyle w:val="11"/>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投标文件应当包括以下主要内容：</w:t>
      </w:r>
      <w:r>
        <w:rPr>
          <w:rFonts w:hint="eastAsia" w:ascii="仿宋" w:hAnsi="仿宋" w:eastAsia="仿宋" w:cs="仿宋"/>
          <w:b/>
          <w:color w:val="auto"/>
          <w:sz w:val="24"/>
          <w:szCs w:val="24"/>
          <w:highlight w:val="none"/>
        </w:rPr>
        <w:t>资格文件、商务技术文件、报价文件。</w:t>
      </w:r>
      <w:r>
        <w:rPr>
          <w:rFonts w:hint="eastAsia" w:ascii="仿宋" w:hAnsi="仿宋" w:eastAsia="仿宋" w:cs="仿宋"/>
          <w:color w:val="auto"/>
          <w:sz w:val="24"/>
          <w:szCs w:val="24"/>
          <w:highlight w:val="none"/>
        </w:rPr>
        <w:t>投标文件应当对招标文件提出的要求和条件作出明确响应。</w:t>
      </w:r>
    </w:p>
    <w:p w14:paraId="54A3FB96">
      <w:pPr>
        <w:snapToGrid w:val="0"/>
        <w:spacing w:line="360" w:lineRule="auto"/>
        <w:ind w:firstLine="480" w:firstLineChars="200"/>
        <w:rPr>
          <w:rFonts w:hint="eastAsia" w:ascii="仿宋" w:hAnsi="仿宋" w:eastAsia="仿宋" w:cs="仿宋"/>
          <w:b/>
          <w:strike/>
          <w:color w:val="auto"/>
          <w:kern w:val="0"/>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应包括以下内容：</w:t>
      </w:r>
      <w:r>
        <w:rPr>
          <w:rFonts w:hint="eastAsia" w:ascii="仿宋" w:hAnsi="仿宋" w:eastAsia="仿宋" w:cs="仿宋"/>
          <w:color w:val="auto"/>
          <w:kern w:val="0"/>
          <w:sz w:val="24"/>
          <w:highlight w:val="none"/>
        </w:rPr>
        <w:t>证明其符合《中华人民共和国政府采购法》规定的供应商基本条件和采购项目对供应商的特定条件</w:t>
      </w:r>
      <w:r>
        <w:rPr>
          <w:rFonts w:hint="eastAsia" w:ascii="仿宋" w:hAnsi="仿宋" w:eastAsia="仿宋" w:cs="仿宋"/>
          <w:color w:val="auto"/>
          <w:sz w:val="24"/>
          <w:highlight w:val="none"/>
        </w:rPr>
        <w:t>（如果项目要求）</w:t>
      </w:r>
      <w:r>
        <w:rPr>
          <w:rFonts w:hint="eastAsia" w:ascii="仿宋" w:hAnsi="仿宋" w:eastAsia="仿宋" w:cs="仿宋"/>
          <w:color w:val="auto"/>
          <w:kern w:val="0"/>
          <w:sz w:val="24"/>
          <w:highlight w:val="none"/>
        </w:rPr>
        <w:t>的有关资格证明文件。</w:t>
      </w:r>
      <w:r>
        <w:rPr>
          <w:rFonts w:hint="eastAsia" w:ascii="仿宋" w:hAnsi="仿宋" w:eastAsia="仿宋" w:cs="仿宋"/>
          <w:b/>
          <w:color w:val="auto"/>
          <w:kern w:val="0"/>
          <w:sz w:val="24"/>
          <w:highlight w:val="none"/>
        </w:rPr>
        <w:t>（以联合体形式进行政府采购的，参加联合体的供应商均应当提供）</w:t>
      </w:r>
    </w:p>
    <w:p w14:paraId="2BE07F43">
      <w:pPr>
        <w:pStyle w:val="11"/>
        <w:spacing w:line="360" w:lineRule="auto"/>
        <w:ind w:firstLine="480" w:firstLineChars="200"/>
        <w:rPr>
          <w:rFonts w:hint="eastAsia" w:ascii="仿宋" w:hAnsi="仿宋" w:eastAsia="仿宋" w:cs="仿宋"/>
          <w:color w:val="auto"/>
          <w:sz w:val="24"/>
          <w:highlight w:val="none"/>
        </w:rPr>
      </w:pPr>
      <w:bookmarkStart w:id="55" w:name="_Hlt68073093"/>
      <w:bookmarkEnd w:id="55"/>
      <w:bookmarkStart w:id="56" w:name="_Hlt68072998"/>
      <w:bookmarkEnd w:id="56"/>
      <w:bookmarkStart w:id="57" w:name="_Hlt68403820"/>
      <w:bookmarkEnd w:id="57"/>
      <w:r>
        <w:rPr>
          <w:rFonts w:hint="eastAsia" w:ascii="仿宋" w:hAnsi="仿宋" w:eastAsia="仿宋" w:cs="仿宋"/>
          <w:color w:val="auto"/>
          <w:sz w:val="24"/>
          <w:highlight w:val="none"/>
        </w:rPr>
        <w:t>11.1.1营业执照(或事业法人登记证或其他工商等登记证明材料)复印件（投标人为自然人的，提供自然人的身份证明）</w:t>
      </w:r>
      <w:r>
        <w:rPr>
          <w:rFonts w:hint="eastAsia" w:ascii="仿宋" w:hAnsi="仿宋" w:eastAsia="仿宋" w:cs="仿宋"/>
          <w:b/>
          <w:color w:val="auto"/>
          <w:sz w:val="24"/>
          <w:highlight w:val="none"/>
        </w:rPr>
        <w:t>；</w:t>
      </w:r>
    </w:p>
    <w:p w14:paraId="16F1609E">
      <w:pPr>
        <w:pStyle w:val="1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5829EA9">
      <w:pPr>
        <w:pStyle w:val="11"/>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11.1.2投标声明函；</w:t>
      </w:r>
    </w:p>
    <w:p w14:paraId="3A3C94B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法定代表人授权书；如以联合体形式参加政府采购活动的，只需提供联合体牵头人法定代表人授权委托书；如投标人代表系法定代表人，无需提供法定代表人授权委托书；</w:t>
      </w:r>
    </w:p>
    <w:p w14:paraId="020697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法定代表人及其授权代表的身份证复印件（正反面复印件）；如投标人代表系法定代表人，只需提供其身份证复印件（正反面复印件）； </w:t>
      </w:r>
    </w:p>
    <w:p w14:paraId="356E6F58">
      <w:pPr>
        <w:snapToGrid w:val="0"/>
        <w:spacing w:line="360" w:lineRule="auto"/>
        <w:ind w:firstLine="480" w:firstLineChars="200"/>
        <w:rPr>
          <w:rFonts w:hint="eastAsia" w:ascii="仿宋" w:hAnsi="仿宋" w:eastAsia="仿宋" w:cs="仿宋_GB2312"/>
          <w:color w:val="000000"/>
          <w:sz w:val="24"/>
          <w:lang w:eastAsia="zh-CN"/>
        </w:rPr>
      </w:pPr>
      <w:r>
        <w:rPr>
          <w:rFonts w:hint="eastAsia" w:ascii="仿宋" w:hAnsi="仿宋" w:eastAsia="仿宋" w:cs="仿宋_GB2312"/>
          <w:sz w:val="24"/>
        </w:rPr>
        <w:t>11.1.</w:t>
      </w:r>
      <w:r>
        <w:rPr>
          <w:rFonts w:hint="eastAsia" w:ascii="仿宋" w:hAnsi="仿宋" w:eastAsia="仿宋" w:cs="仿宋_GB2312"/>
          <w:sz w:val="24"/>
          <w:lang w:val="en-US" w:eastAsia="zh-CN"/>
        </w:rPr>
        <w:t>5</w:t>
      </w:r>
      <w:r>
        <w:rPr>
          <w:rFonts w:hint="eastAsia" w:ascii="仿宋" w:hAnsi="仿宋" w:eastAsia="仿宋" w:cs="仿宋_GB2312"/>
          <w:color w:val="000000"/>
          <w:sz w:val="24"/>
        </w:rPr>
        <w:t>符合特定资格条件（如果项目要求）的有关证明材料（复印件）</w:t>
      </w:r>
      <w:r>
        <w:rPr>
          <w:rFonts w:hint="eastAsia" w:ascii="仿宋" w:hAnsi="仿宋" w:eastAsia="仿宋" w:cs="仿宋_GB2312"/>
          <w:color w:val="000000"/>
          <w:sz w:val="24"/>
          <w:lang w:eastAsia="zh-CN"/>
        </w:rPr>
        <w:t>；</w:t>
      </w:r>
    </w:p>
    <w:p w14:paraId="7F65C2DA">
      <w:pPr>
        <w:pStyle w:val="11"/>
        <w:snapToGrid w:val="0"/>
        <w:spacing w:line="360" w:lineRule="auto"/>
        <w:ind w:firstLine="480" w:firstLineChars="200"/>
        <w:rPr>
          <w:rFonts w:ascii="仿宋" w:hAnsi="仿宋" w:eastAsia="仿宋" w:cs="仿宋_GB2312"/>
          <w:color w:val="000000"/>
          <w:sz w:val="24"/>
          <w:szCs w:val="24"/>
          <w:highlight w:val="none"/>
        </w:rPr>
      </w:pPr>
      <w:r>
        <w:rPr>
          <w:rFonts w:hint="eastAsia" w:ascii="仿宋" w:hAnsi="仿宋" w:eastAsia="仿宋" w:cs="仿宋_GB2312"/>
          <w:color w:val="000000"/>
          <w:sz w:val="24"/>
          <w:szCs w:val="24"/>
          <w:highlight w:val="none"/>
        </w:rPr>
        <w:t>11.</w:t>
      </w:r>
      <w:r>
        <w:rPr>
          <w:rFonts w:hint="eastAsia" w:ascii="仿宋" w:hAnsi="仿宋" w:eastAsia="仿宋" w:cs="仿宋_GB2312"/>
          <w:color w:val="000000"/>
          <w:sz w:val="24"/>
          <w:szCs w:val="24"/>
          <w:highlight w:val="none"/>
          <w:lang w:val="en-US" w:eastAsia="zh-CN"/>
        </w:rPr>
        <w:t>1</w:t>
      </w:r>
      <w:r>
        <w:rPr>
          <w:rFonts w:hint="eastAsia" w:ascii="仿宋" w:hAnsi="仿宋" w:eastAsia="仿宋" w:cs="仿宋_GB2312"/>
          <w:color w:val="000000"/>
          <w:sz w:val="24"/>
          <w:szCs w:val="24"/>
          <w:highlight w:val="none"/>
        </w:rPr>
        <w:t>.</w:t>
      </w:r>
      <w:r>
        <w:rPr>
          <w:rFonts w:hint="eastAsia" w:ascii="仿宋" w:hAnsi="仿宋" w:eastAsia="仿宋" w:cs="仿宋_GB2312"/>
          <w:color w:val="000000"/>
          <w:sz w:val="24"/>
          <w:szCs w:val="24"/>
          <w:highlight w:val="none"/>
          <w:lang w:val="en-US" w:eastAsia="zh-CN"/>
        </w:rPr>
        <w:t>6</w:t>
      </w:r>
      <w:r>
        <w:rPr>
          <w:rFonts w:hint="eastAsia" w:ascii="仿宋" w:hAnsi="仿宋" w:eastAsia="仿宋" w:cs="仿宋_GB2312"/>
          <w:color w:val="000000"/>
          <w:sz w:val="24"/>
          <w:szCs w:val="24"/>
          <w:highlight w:val="none"/>
        </w:rPr>
        <w:t>中小企业声明函；</w:t>
      </w:r>
    </w:p>
    <w:p w14:paraId="20DB1579">
      <w:pPr>
        <w:pStyle w:val="4"/>
        <w:numPr>
          <w:ilvl w:val="0"/>
          <w:numId w:val="0"/>
        </w:numPr>
        <w:ind w:leftChars="0" w:firstLine="480" w:firstLineChars="200"/>
        <w:rPr>
          <w:rFonts w:hint="eastAsia" w:ascii="仿宋" w:hAnsi="仿宋" w:eastAsia="仿宋" w:cs="仿宋_GB2312"/>
          <w:color w:val="auto"/>
          <w:sz w:val="24"/>
          <w:highlight w:val="none"/>
          <w:lang w:val="en-US" w:eastAsia="zh-CN"/>
        </w:rPr>
      </w:pPr>
      <w:r>
        <w:rPr>
          <w:rFonts w:hint="eastAsia" w:ascii="仿宋" w:hAnsi="仿宋" w:eastAsia="仿宋" w:cs="仿宋_GB2312"/>
          <w:b w:val="0"/>
          <w:bCs w:val="0"/>
          <w:snapToGrid w:val="0"/>
          <w:color w:val="000000"/>
          <w:kern w:val="2"/>
          <w:sz w:val="24"/>
          <w:szCs w:val="24"/>
          <w:highlight w:val="none"/>
          <w:lang w:val="en-US" w:eastAsia="zh-CN" w:bidi="ar-SA"/>
        </w:rPr>
        <w:t>11.</w:t>
      </w:r>
      <w:r>
        <w:rPr>
          <w:rFonts w:hint="eastAsia" w:ascii="仿宋" w:eastAsia="仿宋" w:cs="仿宋_GB2312"/>
          <w:b w:val="0"/>
          <w:bCs w:val="0"/>
          <w:snapToGrid w:val="0"/>
          <w:color w:val="000000"/>
          <w:kern w:val="2"/>
          <w:sz w:val="24"/>
          <w:szCs w:val="24"/>
          <w:highlight w:val="none"/>
          <w:lang w:val="en-US" w:eastAsia="zh-CN" w:bidi="ar-SA"/>
        </w:rPr>
        <w:t>1</w:t>
      </w:r>
      <w:r>
        <w:rPr>
          <w:rFonts w:hint="eastAsia" w:ascii="仿宋" w:hAnsi="仿宋" w:eastAsia="仿宋" w:cs="仿宋_GB2312"/>
          <w:b w:val="0"/>
          <w:bCs w:val="0"/>
          <w:snapToGrid w:val="0"/>
          <w:color w:val="000000"/>
          <w:kern w:val="2"/>
          <w:sz w:val="24"/>
          <w:szCs w:val="24"/>
          <w:highlight w:val="none"/>
          <w:lang w:val="en-US" w:eastAsia="zh-CN" w:bidi="ar-SA"/>
        </w:rPr>
        <w:t>.</w:t>
      </w:r>
      <w:r>
        <w:rPr>
          <w:rFonts w:hint="eastAsia" w:ascii="仿宋" w:eastAsia="仿宋" w:cs="仿宋_GB2312"/>
          <w:b w:val="0"/>
          <w:bCs w:val="0"/>
          <w:snapToGrid w:val="0"/>
          <w:color w:val="000000"/>
          <w:kern w:val="2"/>
          <w:sz w:val="24"/>
          <w:szCs w:val="24"/>
          <w:highlight w:val="none"/>
          <w:lang w:val="en-US" w:eastAsia="zh-CN" w:bidi="ar-SA"/>
        </w:rPr>
        <w:t>7</w:t>
      </w:r>
      <w:r>
        <w:rPr>
          <w:rFonts w:hint="eastAsia" w:ascii="仿宋" w:hAnsi="仿宋" w:eastAsia="仿宋" w:cs="仿宋_GB2312"/>
          <w:b w:val="0"/>
          <w:bCs w:val="0"/>
          <w:snapToGrid w:val="0"/>
          <w:color w:val="000000"/>
          <w:kern w:val="2"/>
          <w:sz w:val="24"/>
          <w:szCs w:val="24"/>
          <w:highlight w:val="none"/>
          <w:lang w:val="en-US" w:eastAsia="zh-CN" w:bidi="ar-SA"/>
        </w:rPr>
        <w:t>残疾人福利性单位声明函（如有）。</w:t>
      </w:r>
    </w:p>
    <w:p w14:paraId="591324B5">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11.2 投标人的</w:t>
      </w:r>
      <w:r>
        <w:rPr>
          <w:rFonts w:hint="eastAsia" w:ascii="仿宋" w:hAnsi="仿宋" w:eastAsia="仿宋" w:cs="仿宋"/>
          <w:b/>
          <w:color w:val="auto"/>
          <w:sz w:val="24"/>
          <w:highlight w:val="none"/>
        </w:rPr>
        <w:t>商务技术</w:t>
      </w:r>
      <w:r>
        <w:rPr>
          <w:rFonts w:hint="eastAsia" w:ascii="仿宋" w:hAnsi="仿宋" w:eastAsia="仿宋" w:cs="仿宋"/>
          <w:b/>
          <w:color w:val="auto"/>
          <w:kern w:val="0"/>
          <w:sz w:val="24"/>
          <w:highlight w:val="none"/>
          <w:lang w:val="zh-CN"/>
        </w:rPr>
        <w:t>文件</w:t>
      </w:r>
      <w:r>
        <w:rPr>
          <w:rFonts w:hint="eastAsia" w:ascii="仿宋" w:hAnsi="仿宋" w:eastAsia="仿宋" w:cs="仿宋"/>
          <w:color w:val="auto"/>
          <w:kern w:val="0"/>
          <w:sz w:val="24"/>
          <w:highlight w:val="none"/>
          <w:lang w:val="zh-CN"/>
        </w:rPr>
        <w:t>应包括以下内容：</w:t>
      </w:r>
    </w:p>
    <w:p w14:paraId="4FDD5FBE">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11.2.1 投标函；</w:t>
      </w:r>
    </w:p>
    <w:p w14:paraId="02999FB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11.2.2</w:t>
      </w:r>
      <w:r>
        <w:rPr>
          <w:rFonts w:hint="eastAsia" w:ascii="仿宋" w:hAnsi="仿宋" w:eastAsia="仿宋" w:cs="仿宋"/>
          <w:snapToGrid w:val="0"/>
          <w:color w:val="auto"/>
          <w:kern w:val="0"/>
          <w:sz w:val="24"/>
          <w:szCs w:val="21"/>
          <w:highlight w:val="none"/>
          <w:lang w:val="zh-CN"/>
        </w:rPr>
        <w:t>评分对应表；如果本项目评标办法采用综合评审法，投标人需在商务技术文件中提供此评分对应表，供评标委员会评审时使用。</w:t>
      </w:r>
    </w:p>
    <w:p w14:paraId="58CDAE02">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技术响应表；</w:t>
      </w:r>
      <w:r>
        <w:rPr>
          <w:rFonts w:hint="eastAsia" w:ascii="仿宋" w:hAnsi="仿宋" w:eastAsia="仿宋" w:cs="仿宋"/>
          <w:color w:val="auto"/>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14:paraId="4BFD620B">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商务响应表；</w:t>
      </w:r>
    </w:p>
    <w:p w14:paraId="2E2209B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kern w:val="0"/>
          <w:sz w:val="24"/>
          <w:highlight w:val="none"/>
          <w:lang w:val="zh-CN"/>
        </w:rPr>
        <w:t>项目组织实施方案;项目组织实施方案包括但不限于以下内容：组织机构、工作时间进度表、工作程序和步骤、管理和协调方法、关键步骤的思路和要点；</w:t>
      </w:r>
    </w:p>
    <w:p w14:paraId="42B08E6E">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val="zh-CN"/>
        </w:rPr>
        <w:t>项目负责人情况表；</w:t>
      </w:r>
    </w:p>
    <w:p w14:paraId="310A27D5">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lang w:val="zh-CN"/>
        </w:rPr>
        <w:t>项目组人员名单；</w:t>
      </w:r>
    </w:p>
    <w:p w14:paraId="3A2FB840">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11.2.</w:t>
      </w:r>
      <w:r>
        <w:rPr>
          <w:rFonts w:hint="eastAsia" w:ascii="仿宋" w:hAnsi="仿宋" w:eastAsia="仿宋" w:cs="仿宋"/>
          <w:color w:val="auto"/>
          <w:sz w:val="24"/>
          <w:highlight w:val="none"/>
          <w:lang w:val="en-US" w:eastAsia="zh-CN"/>
        </w:rPr>
        <w:t>8</w:t>
      </w:r>
      <w:r>
        <w:rPr>
          <w:rFonts w:hint="eastAsia" w:ascii="仿宋" w:hAnsi="仿宋" w:eastAsia="仿宋" w:cs="仿宋"/>
          <w:color w:val="auto"/>
          <w:kern w:val="0"/>
          <w:sz w:val="24"/>
          <w:highlight w:val="none"/>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14:paraId="53380190">
      <w:pPr>
        <w:tabs>
          <w:tab w:val="left" w:pos="0"/>
          <w:tab w:val="left" w:pos="840"/>
        </w:tabs>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11.2.</w:t>
      </w:r>
      <w:r>
        <w:rPr>
          <w:rFonts w:hint="eastAsia" w:ascii="仿宋" w:hAnsi="仿宋" w:eastAsia="仿宋" w:cs="仿宋"/>
          <w:color w:val="auto"/>
          <w:sz w:val="24"/>
          <w:highlight w:val="none"/>
          <w:lang w:val="en-US" w:eastAsia="zh-CN"/>
        </w:rPr>
        <w:t>9</w:t>
      </w:r>
      <w:r>
        <w:rPr>
          <w:rFonts w:hint="eastAsia" w:ascii="仿宋" w:hAnsi="仿宋" w:eastAsia="仿宋" w:cs="仿宋"/>
          <w:color w:val="auto"/>
          <w:kern w:val="0"/>
          <w:sz w:val="24"/>
          <w:highlight w:val="none"/>
          <w:lang w:val="zh-CN"/>
        </w:rPr>
        <w:t>优惠条件及特殊承诺（如有）；</w:t>
      </w:r>
    </w:p>
    <w:p w14:paraId="3B2C65AE">
      <w:pPr>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color w:val="auto"/>
          <w:sz w:val="24"/>
          <w:highlight w:val="none"/>
          <w:lang w:val="zh-CN"/>
        </w:rPr>
        <w:t>11.2.</w:t>
      </w:r>
      <w:r>
        <w:rPr>
          <w:rFonts w:hint="eastAsia" w:ascii="仿宋" w:hAnsi="仿宋" w:eastAsia="仿宋" w:cs="仿宋"/>
          <w:color w:val="auto"/>
          <w:sz w:val="24"/>
          <w:highlight w:val="none"/>
          <w:lang w:val="en-US" w:eastAsia="zh-CN"/>
        </w:rPr>
        <w:t>10</w:t>
      </w:r>
      <w:r>
        <w:rPr>
          <w:rFonts w:hint="eastAsia" w:ascii="仿宋" w:hAnsi="仿宋" w:eastAsia="仿宋" w:cs="仿宋"/>
          <w:color w:val="auto"/>
          <w:kern w:val="0"/>
          <w:sz w:val="24"/>
          <w:highlight w:val="none"/>
          <w:lang w:val="zh-CN"/>
        </w:rPr>
        <w:t>投标人认为需要的其他商务技术文件或说明</w:t>
      </w:r>
      <w:r>
        <w:rPr>
          <w:rFonts w:hint="eastAsia" w:ascii="仿宋" w:hAnsi="仿宋" w:eastAsia="仿宋" w:cs="仿宋"/>
          <w:snapToGrid w:val="0"/>
          <w:color w:val="auto"/>
          <w:kern w:val="0"/>
          <w:sz w:val="24"/>
          <w:highlight w:val="none"/>
          <w:lang w:val="zh-CN"/>
        </w:rPr>
        <w:t>。</w:t>
      </w:r>
    </w:p>
    <w:p w14:paraId="7B59BEF0">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 xml:space="preserve">11.3 </w:t>
      </w:r>
      <w:r>
        <w:rPr>
          <w:rFonts w:hint="eastAsia" w:ascii="仿宋" w:hAnsi="仿宋" w:eastAsia="仿宋" w:cs="仿宋"/>
          <w:color w:val="auto"/>
          <w:sz w:val="24"/>
          <w:highlight w:val="none"/>
        </w:rPr>
        <w:t>投标人的</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应包括以下内容：</w:t>
      </w:r>
    </w:p>
    <w:p w14:paraId="37F98F9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A4BD67B">
      <w:pPr>
        <w:pStyle w:val="23"/>
        <w:snapToGrid w:val="0"/>
        <w:spacing w:before="0"/>
        <w:ind w:firstLine="482"/>
        <w:outlineLvl w:val="0"/>
        <w:rPr>
          <w:rFonts w:hint="eastAsia" w:ascii="仿宋" w:hAnsi="仿宋" w:eastAsia="仿宋" w:cs="仿宋"/>
          <w:b/>
          <w:color w:val="auto"/>
          <w:szCs w:val="24"/>
          <w:highlight w:val="none"/>
        </w:rPr>
      </w:pPr>
      <w:bookmarkStart w:id="58" w:name="_Toc91899887"/>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B1F8267">
      <w:pPr>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▲投标文件未按本条规定的格式编制的，投标无效；</w:t>
      </w:r>
    </w:p>
    <w:p w14:paraId="7A6F95AF">
      <w:pPr>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2ED5AB1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bookmarkEnd w:id="58"/>
    <w:p w14:paraId="27CE6AE6">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92751F5">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2FC308A7">
      <w:pPr>
        <w:pStyle w:val="2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p>
    <w:p w14:paraId="1048AC92">
      <w:pPr>
        <w:pStyle w:val="23"/>
        <w:snapToGrid w:val="0"/>
        <w:spacing w:before="0"/>
        <w:ind w:firstLine="482"/>
        <w:rPr>
          <w:rFonts w:hint="eastAsia"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A4CB813">
      <w:pPr>
        <w:pStyle w:val="2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bookmarkEnd w:id="53"/>
    <w:bookmarkEnd w:id="54"/>
    <w:p w14:paraId="40F533E4">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投标文件的提交、补充、修改、撤回</w:t>
      </w:r>
    </w:p>
    <w:p w14:paraId="46449ED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FB25D9">
      <w:pPr>
        <w:pStyle w:val="2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w:t>
      </w:r>
    </w:p>
    <w:p w14:paraId="388C14C6">
      <w:pPr>
        <w:pStyle w:val="2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14.3采购代理机构可以视情况延长投标文件提交的截止时间。在上述情况下，采购代理机构与投标人以前在投标截止期方面的全部权利、责任和义务，将适用于延长至新的投标截止期。</w:t>
      </w:r>
    </w:p>
    <w:p w14:paraId="5A228287">
      <w:pPr>
        <w:pStyle w:val="11"/>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05B60E4">
      <w:pPr>
        <w:pStyle w:val="11"/>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70AA9FDB">
      <w:pPr>
        <w:pStyle w:val="11"/>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44C695DE">
      <w:pPr>
        <w:pStyle w:val="1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E578E93">
      <w:pPr>
        <w:pStyle w:val="1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0FBBE2F">
      <w:pPr>
        <w:pStyle w:val="23"/>
        <w:spacing w:before="0"/>
        <w:ind w:firstLine="482"/>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15.5投标人仅提交备份投标文件，未在电子交易平台传输递交投标文件的，投标无效。</w:t>
      </w:r>
    </w:p>
    <w:p w14:paraId="2431BC57">
      <w:pPr>
        <w:pStyle w:val="23"/>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5D2B476">
      <w:pPr>
        <w:pStyle w:val="1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w:t>
      </w:r>
      <w:r>
        <w:rPr>
          <w:rFonts w:hint="eastAsia" w:ascii="仿宋" w:hAnsi="仿宋" w:eastAsia="仿宋" w:cs="仿宋"/>
          <w:color w:val="auto"/>
          <w:szCs w:val="21"/>
          <w:highlight w:val="none"/>
          <w:lang w:eastAsia="zh-CN"/>
        </w:rPr>
        <w:t>第四部分 “投标无效”章节</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14:paraId="27AB1C5B">
      <w:pPr>
        <w:pStyle w:val="23"/>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A111B66">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17.1投标有效期为从提交投标文件的截止之日起90天。</w:t>
      </w:r>
    </w:p>
    <w:p w14:paraId="75446F8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7D962F30">
      <w:pPr>
        <w:pStyle w:val="2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17.2投标文件合格投递后，自投标截止日期起，在投标有效期内有效。投标有效期内，投标人不得撤销或更换投标文件。</w:t>
      </w:r>
    </w:p>
    <w:p w14:paraId="6ED29181">
      <w:pPr>
        <w:pStyle w:val="2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17.3在原定投标有效期满之前，如果出现特殊情况，采购代理机构可以以公告形式通知投标人延长投标有效期。投标人同意延长的，不得要求或被允许修改其投标文件，投标人拒绝延长的，其投标无效。</w:t>
      </w:r>
    </w:p>
    <w:p w14:paraId="45371500">
      <w:pPr>
        <w:adjustRightInd/>
        <w:spacing w:line="360" w:lineRule="auto"/>
        <w:jc w:val="center"/>
        <w:outlineLvl w:val="0"/>
        <w:rPr>
          <w:rFonts w:hint="eastAsia" w:ascii="仿宋" w:hAnsi="仿宋" w:eastAsia="仿宋" w:cs="仿宋"/>
          <w:b/>
          <w:color w:val="auto"/>
          <w:sz w:val="32"/>
          <w:szCs w:val="20"/>
          <w:highlight w:val="none"/>
        </w:rPr>
      </w:pPr>
      <w:bookmarkStart w:id="59" w:name="_Toc91899897"/>
      <w:r>
        <w:rPr>
          <w:rFonts w:hint="eastAsia" w:ascii="仿宋" w:hAnsi="仿宋" w:eastAsia="仿宋" w:cs="仿宋"/>
          <w:b/>
          <w:color w:val="auto"/>
          <w:sz w:val="32"/>
          <w:szCs w:val="20"/>
          <w:highlight w:val="none"/>
        </w:rPr>
        <w:t>四、开标</w:t>
      </w:r>
      <w:bookmarkEnd w:id="59"/>
      <w:r>
        <w:rPr>
          <w:rFonts w:hint="eastAsia" w:ascii="仿宋" w:hAnsi="仿宋" w:eastAsia="仿宋" w:cs="仿宋"/>
          <w:b/>
          <w:color w:val="auto"/>
          <w:sz w:val="32"/>
          <w:szCs w:val="20"/>
          <w:highlight w:val="none"/>
        </w:rPr>
        <w:t>、资格审查与信用信息查询</w:t>
      </w:r>
    </w:p>
    <w:p w14:paraId="515A1F5C">
      <w:pPr>
        <w:pStyle w:val="24"/>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07545A0C">
      <w:pPr>
        <w:pStyle w:val="2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2998BB39">
      <w:pPr>
        <w:pStyle w:val="2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18.2开标时，电子交易平台按开标时间自动提取所有投标文件。采购代理机构依托电子交易平台发起开始解密指令，投标人按照平台提示和招标文件的规定在30分钟内完成在线解密。</w:t>
      </w:r>
    </w:p>
    <w:p w14:paraId="6781FFC6">
      <w:pPr>
        <w:pStyle w:val="24"/>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highlight w:val="none"/>
        </w:rPr>
        <w:t>19、资格审查</w:t>
      </w:r>
    </w:p>
    <w:p w14:paraId="70F1636F">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2E1D6ED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7E0C6AAF">
      <w:pPr>
        <w:pStyle w:val="2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3A5AFE91">
      <w:pPr>
        <w:pStyle w:val="2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19.4对未通过资格审查的投标人，采购人或采购代理机构告知其未通过的原因。</w:t>
      </w:r>
    </w:p>
    <w:p w14:paraId="2A8D39E8">
      <w:pPr>
        <w:pStyle w:val="2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19.5合格投标人不足3家的，不再评标。</w:t>
      </w:r>
    </w:p>
    <w:p w14:paraId="55BA3A14">
      <w:pPr>
        <w:pStyle w:val="23"/>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0F2ADAB">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20.1信用信息查询渠道及截止时间：采购人或采购代理机构将通过“信用中国”网站(www.creditchina.gov.cn)、中国政府采购网(www.ccgp.gov.cn)渠道查询投标人投标截止时间当天的信用记录。</w:t>
      </w:r>
    </w:p>
    <w:p w14:paraId="37521E95">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0E31553">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75888CA">
      <w:pPr>
        <w:pStyle w:val="2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278DCC0">
      <w:pPr>
        <w:adjustRightInd/>
        <w:spacing w:line="360" w:lineRule="auto"/>
        <w:jc w:val="center"/>
        <w:outlineLvl w:val="0"/>
        <w:rPr>
          <w:rFonts w:hint="eastAsia" w:ascii="仿宋" w:hAnsi="仿宋" w:eastAsia="仿宋" w:cs="仿宋"/>
          <w:b/>
          <w:color w:val="auto"/>
          <w:sz w:val="32"/>
          <w:szCs w:val="20"/>
          <w:highlight w:val="none"/>
        </w:rPr>
      </w:pPr>
      <w:bookmarkStart w:id="60" w:name="_Hlt75236101"/>
      <w:bookmarkEnd w:id="60"/>
      <w:bookmarkStart w:id="61" w:name="_Toc91899902"/>
      <w:r>
        <w:rPr>
          <w:rFonts w:hint="eastAsia" w:ascii="仿宋" w:hAnsi="仿宋" w:eastAsia="仿宋" w:cs="仿宋"/>
          <w:b/>
          <w:color w:val="auto"/>
          <w:sz w:val="32"/>
          <w:szCs w:val="20"/>
          <w:highlight w:val="none"/>
        </w:rPr>
        <w:t>五、评标</w:t>
      </w:r>
      <w:bookmarkEnd w:id="61"/>
    </w:p>
    <w:p w14:paraId="160759D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详见招标文件第四部分“评标方法及评分标准”。</w:t>
      </w:r>
    </w:p>
    <w:p w14:paraId="4E1D7D0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六、定标</w:t>
      </w:r>
    </w:p>
    <w:p w14:paraId="3EAAC6F4">
      <w:pPr>
        <w:pStyle w:val="10"/>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 确定中标供应商</w:t>
      </w:r>
    </w:p>
    <w:p w14:paraId="34109233">
      <w:pPr>
        <w:pStyle w:val="23"/>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F9FFCC1">
      <w:pPr>
        <w:pStyle w:val="23"/>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 中标通知书与中标结果公告</w:t>
      </w:r>
    </w:p>
    <w:p w14:paraId="14ADFEAA">
      <w:pPr>
        <w:widowControl/>
        <w:shd w:val="clear" w:color="auto" w:fill="FFFFFF"/>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.1采购代理机构将在自中标人确定之日起2个工作日内，发布招标公告的网站上公告中标结果，同时发出中标通知书（中标人可在政采云平台自行下载中标通知书）。</w:t>
      </w:r>
    </w:p>
    <w:p w14:paraId="39B1E101">
      <w:pPr>
        <w:widowControl/>
        <w:shd w:val="clear" w:color="auto" w:fill="FFFFFF"/>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1B917A9D">
      <w:pPr>
        <w:widowControl/>
        <w:shd w:val="clear" w:color="auto" w:fill="FFFFFF"/>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.3公告期限为1个工作日。</w:t>
      </w:r>
    </w:p>
    <w:p w14:paraId="18D21A9C">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七、电子交易活动的中止</w:t>
      </w:r>
    </w:p>
    <w:p w14:paraId="3DE8265F">
      <w:pPr>
        <w:pStyle w:val="23"/>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szCs w:val="24"/>
          <w:highlight w:val="none"/>
          <w:lang w:val="en-US" w:eastAsia="zh-CN"/>
        </w:rPr>
        <w:t>4</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3C2195D">
      <w:pPr>
        <w:pStyle w:val="2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.1电子交易平台发生故障而无法登录访问的； </w:t>
      </w:r>
    </w:p>
    <w:p w14:paraId="549CFC9B">
      <w:pPr>
        <w:pStyle w:val="2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.2电子交易平台应用或数据库出现错误，不能进行正常操作的；</w:t>
      </w:r>
    </w:p>
    <w:p w14:paraId="23BBB30C">
      <w:pPr>
        <w:pStyle w:val="2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.3电子交易平台发现严重安全漏洞，有潜在泄密危险的；</w:t>
      </w:r>
    </w:p>
    <w:p w14:paraId="33EE7C8E">
      <w:pPr>
        <w:pStyle w:val="2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.4病毒发作导致不能进行正常操作的； </w:t>
      </w:r>
    </w:p>
    <w:p w14:paraId="4215CE36">
      <w:pPr>
        <w:pStyle w:val="2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.5其他无法保证电子交易的公平、公正和安全的情况。</w:t>
      </w:r>
    </w:p>
    <w:p w14:paraId="352860B4">
      <w:pPr>
        <w:pStyle w:val="2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A06A2E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八、合同授予</w:t>
      </w:r>
    </w:p>
    <w:p w14:paraId="39584C60">
      <w:pPr>
        <w:pStyle w:val="10"/>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28CCB79B">
      <w:pPr>
        <w:pStyle w:val="10"/>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18BC06F5">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w:t>
      </w:r>
      <w:r>
        <w:rPr>
          <w:rFonts w:hint="eastAsia" w:ascii="仿宋" w:hAnsi="仿宋" w:eastAsia="仿宋" w:cs="仿宋"/>
          <w:color w:val="auto"/>
          <w:spacing w:val="0"/>
          <w:kern w:val="0"/>
          <w:sz w:val="24"/>
          <w:szCs w:val="24"/>
          <w:highlight w:val="none"/>
        </w:rPr>
        <w:t>涉及国家秘密、商业秘密和个人隐私</w:t>
      </w:r>
      <w:r>
        <w:rPr>
          <w:rFonts w:hint="eastAsia" w:ascii="仿宋" w:hAnsi="仿宋" w:eastAsia="仿宋" w:cs="仿宋"/>
          <w:color w:val="auto"/>
          <w:kern w:val="0"/>
          <w:sz w:val="24"/>
          <w:highlight w:val="none"/>
        </w:rPr>
        <w:t>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14:paraId="627B5C33">
      <w:pPr>
        <w:pStyle w:val="23"/>
        <w:snapToGrid w:val="0"/>
        <w:spacing w:before="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26.2中标人按规定的时间、地点，由法定代表人或其授权代表与采购人代表签订合同。如中标人为联合体的，由联合体成员各方法定代表人或其授权代表与采购人代表签订合同。</w:t>
      </w:r>
    </w:p>
    <w:p w14:paraId="32941BDD">
      <w:pPr>
        <w:spacing w:line="360" w:lineRule="auto"/>
        <w:ind w:firstLine="480" w:firstLineChars="200"/>
        <w:rPr>
          <w:rFonts w:hint="eastAsia" w:ascii="仿宋" w:hAnsi="仿宋" w:eastAsia="仿宋" w:cs="仿宋"/>
          <w:color w:val="auto"/>
          <w:kern w:val="0"/>
          <w:sz w:val="24"/>
          <w:szCs w:val="20"/>
          <w:highlight w:val="none"/>
          <w:lang w:val="zh-CN"/>
        </w:rPr>
      </w:pPr>
      <w:r>
        <w:rPr>
          <w:rFonts w:hint="eastAsia" w:ascii="仿宋" w:hAnsi="仿宋" w:eastAsia="仿宋" w:cs="仿宋"/>
          <w:color w:val="auto"/>
          <w:kern w:val="0"/>
          <w:sz w:val="24"/>
          <w:szCs w:val="20"/>
          <w:highlight w:val="none"/>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14:paraId="4A3E9F24">
      <w:pPr>
        <w:pStyle w:val="2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26.4鼓励采购人与中标供应商根据招标文件、投标文件等内容通过政府采购电子交易平台在线签订合同，自动备案。</w:t>
      </w:r>
    </w:p>
    <w:p w14:paraId="617761F4">
      <w:pPr>
        <w:pStyle w:val="10"/>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65307D72">
      <w:pPr>
        <w:pStyle w:val="10"/>
        <w:spacing w:line="360" w:lineRule="auto"/>
        <w:ind w:firstLine="482"/>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不收取履约保证金</w:t>
      </w:r>
    </w:p>
    <w:p w14:paraId="4D9847FC">
      <w:pPr>
        <w:pStyle w:val="10"/>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lang w:eastAsia="zh-CN"/>
        </w:rPr>
        <w:t>28</w:t>
      </w:r>
      <w:r>
        <w:rPr>
          <w:rFonts w:hint="eastAsia" w:ascii="仿宋" w:hAnsi="仿宋" w:eastAsia="仿宋" w:cs="仿宋"/>
          <w:b/>
          <w:color w:val="auto"/>
          <w:highlight w:val="none"/>
        </w:rPr>
        <w:t>.预付款</w:t>
      </w:r>
    </w:p>
    <w:p w14:paraId="6B473ECC">
      <w:pPr>
        <w:tabs>
          <w:tab w:val="left" w:pos="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w:t>
      </w:r>
      <w:r>
        <w:rPr>
          <w:rFonts w:hint="eastAsia" w:ascii="仿宋" w:hAnsi="仿宋" w:eastAsia="仿宋" w:cs="仿宋"/>
          <w:color w:val="auto"/>
          <w:sz w:val="24"/>
          <w:highlight w:val="none"/>
          <w:lang w:eastAsia="zh-CN"/>
        </w:rPr>
        <w:t>年度计划支付金额</w:t>
      </w:r>
      <w:r>
        <w:rPr>
          <w:rFonts w:hint="eastAsia" w:ascii="仿宋" w:hAnsi="仿宋" w:eastAsia="仿宋" w:cs="仿宋"/>
          <w:color w:val="auto"/>
          <w:sz w:val="24"/>
          <w:highlight w:val="none"/>
        </w:rPr>
        <w:t>的70%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bookmarkEnd w:id="39"/>
    <w:bookmarkEnd w:id="40"/>
    <w:p w14:paraId="2AF7C682">
      <w:pPr>
        <w:adjustRightInd/>
        <w:spacing w:line="360" w:lineRule="auto"/>
        <w:jc w:val="center"/>
        <w:outlineLvl w:val="0"/>
        <w:rPr>
          <w:rFonts w:hint="eastAsia" w:ascii="仿宋" w:hAnsi="仿宋" w:eastAsia="仿宋" w:cs="仿宋"/>
          <w:b/>
          <w:color w:val="auto"/>
          <w:sz w:val="32"/>
          <w:szCs w:val="20"/>
          <w:highlight w:val="none"/>
        </w:rPr>
      </w:pPr>
      <w:bookmarkStart w:id="62" w:name="第四部分"/>
      <w:r>
        <w:rPr>
          <w:rFonts w:hint="eastAsia" w:ascii="仿宋" w:hAnsi="仿宋" w:eastAsia="仿宋" w:cs="仿宋"/>
          <w:b/>
          <w:color w:val="auto"/>
          <w:sz w:val="32"/>
          <w:szCs w:val="20"/>
          <w:highlight w:val="none"/>
        </w:rPr>
        <w:t>九、履约验收</w:t>
      </w:r>
    </w:p>
    <w:p w14:paraId="2994E172">
      <w:pPr>
        <w:pStyle w:val="10"/>
        <w:spacing w:line="360" w:lineRule="auto"/>
        <w:ind w:firstLine="482"/>
        <w:rPr>
          <w:rFonts w:hint="eastAsia" w:ascii="仿宋" w:hAnsi="仿宋" w:eastAsia="仿宋" w:cs="仿宋"/>
          <w:b/>
          <w:color w:val="auto"/>
          <w:highlight w:val="none"/>
          <w:lang w:eastAsia="zh-CN"/>
        </w:rPr>
      </w:pPr>
      <w:r>
        <w:rPr>
          <w:rFonts w:hint="eastAsia" w:ascii="仿宋" w:hAnsi="仿宋" w:eastAsia="仿宋" w:cs="仿宋"/>
          <w:b/>
          <w:color w:val="auto"/>
          <w:highlight w:val="none"/>
          <w:lang w:val="en-US" w:eastAsia="zh-CN"/>
        </w:rPr>
        <w:t>29</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履约验收</w:t>
      </w:r>
    </w:p>
    <w:p w14:paraId="2BD2FE2E">
      <w:pPr>
        <w:tabs>
          <w:tab w:val="left" w:pos="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29.1采购人自行组织或委托采购代理机构对供应商进行履约验收，出具验收书，存档备查。如果发现与合同中要求不符，供应商须承担由此发生的一切损失和费用，并承担相应的法律责任。</w:t>
      </w:r>
    </w:p>
    <w:p w14:paraId="1B6D390D">
      <w:pPr>
        <w:tabs>
          <w:tab w:val="left" w:pos="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434488CF">
      <w:pPr>
        <w:tabs>
          <w:tab w:val="left" w:pos="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29.3采购人可以邀请参加本项目的其他投标人或者第三方机构参与验收。参与验收的投标人或者第三方机构的意见作为验收书的参考资料一并存档。</w:t>
      </w:r>
    </w:p>
    <w:p w14:paraId="128A2923">
      <w:pPr>
        <w:tabs>
          <w:tab w:val="left" w:pos="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162F9F1B">
      <w:pPr>
        <w:tabs>
          <w:tab w:val="left" w:pos="0"/>
        </w:tabs>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29.5 采购合同的履行、违约责任和解决争议的方式等适用《中华人民共和国民法典》。</w:t>
      </w:r>
    </w:p>
    <w:p w14:paraId="4888FAF1">
      <w:pPr>
        <w:spacing w:line="360" w:lineRule="auto"/>
        <w:ind w:firstLine="480" w:firstLineChars="200"/>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29.6供应商在履约过程中有政府采购法律法规规定的违法违规情形的，采购人应当及时报告本级财政部门。</w:t>
      </w:r>
    </w:p>
    <w:p w14:paraId="3060FDF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7371F639">
      <w:pPr>
        <w:snapToGrid w:val="0"/>
        <w:spacing w:line="360" w:lineRule="auto"/>
        <w:jc w:val="left"/>
        <w:rPr>
          <w:rFonts w:hint="eastAsia" w:ascii="仿宋" w:hAnsi="仿宋" w:eastAsia="仿宋" w:cs="仿宋"/>
          <w:b/>
          <w:i/>
          <w:color w:val="auto"/>
          <w:sz w:val="22"/>
          <w:szCs w:val="36"/>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32"/>
          <w:szCs w:val="32"/>
          <w:highlight w:val="none"/>
        </w:rPr>
        <w:t xml:space="preserve">  </w:t>
      </w:r>
    </w:p>
    <w:p w14:paraId="778C884B">
      <w:pPr>
        <w:snapToGrid w:val="0"/>
        <w:spacing w:before="120" w:beforeLines="50" w:after="120" w:afterLines="50"/>
        <w:rPr>
          <w:rFonts w:hint="eastAsia" w:ascii="仿宋" w:hAnsi="仿宋" w:eastAsia="仿宋" w:cs="仿宋"/>
          <w:color w:val="auto"/>
          <w:sz w:val="24"/>
          <w:highlight w:val="none"/>
        </w:rPr>
      </w:pPr>
      <w:r>
        <w:rPr>
          <w:rFonts w:hint="eastAsia" w:ascii="仿宋" w:hAnsi="仿宋" w:eastAsia="仿宋" w:cs="仿宋"/>
          <w:color w:val="auto"/>
          <w:sz w:val="24"/>
          <w:highlight w:val="none"/>
        </w:rPr>
        <w:t>特别说明：</w:t>
      </w:r>
    </w:p>
    <w:p w14:paraId="68BC1E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1.需求中不允许偏离的实质性要求和条件，以“▲”号标明。</w:t>
      </w:r>
    </w:p>
    <w:p w14:paraId="266364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2.单一产品采购项目中的该产品或者非单一产品采购项目的核心产品，以“★”标明。</w:t>
      </w:r>
    </w:p>
    <w:p w14:paraId="514A63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7774B37E">
      <w:pPr>
        <w:snapToGrid w:val="0"/>
        <w:spacing w:line="360" w:lineRule="auto"/>
        <w:rPr>
          <w:rFonts w:hint="eastAsia" w:ascii="仿宋" w:hAnsi="仿宋" w:eastAsia="仿宋" w:cs="仿宋"/>
          <w:color w:val="auto"/>
          <w:kern w:val="0"/>
          <w:sz w:val="24"/>
          <w:highlight w:val="none"/>
        </w:rPr>
      </w:pPr>
    </w:p>
    <w:p w14:paraId="1A75BF28">
      <w:pPr>
        <w:snapToGrid w:val="0"/>
        <w:spacing w:line="360" w:lineRule="auto"/>
        <w:rPr>
          <w:rFonts w:hint="eastAsia" w:ascii="仿宋" w:hAnsi="仿宋" w:eastAsia="仿宋" w:cs="仿宋"/>
          <w:color w:val="auto"/>
          <w:kern w:val="0"/>
          <w:sz w:val="24"/>
          <w:highlight w:val="none"/>
        </w:rPr>
      </w:pPr>
    </w:p>
    <w:p w14:paraId="540B7269">
      <w:pPr>
        <w:snapToGrid w:val="0"/>
        <w:spacing w:line="360" w:lineRule="auto"/>
        <w:rPr>
          <w:rFonts w:hint="eastAsia" w:ascii="仿宋" w:hAnsi="仿宋" w:eastAsia="仿宋" w:cs="仿宋"/>
          <w:color w:val="auto"/>
          <w:kern w:val="0"/>
          <w:sz w:val="24"/>
          <w:highlight w:val="none"/>
        </w:rPr>
      </w:pPr>
    </w:p>
    <w:p w14:paraId="4BEB1BAC">
      <w:pPr>
        <w:snapToGrid w:val="0"/>
        <w:spacing w:line="360" w:lineRule="auto"/>
        <w:rPr>
          <w:rFonts w:hint="eastAsia" w:ascii="仿宋" w:hAnsi="仿宋" w:eastAsia="仿宋" w:cs="仿宋"/>
          <w:color w:val="auto"/>
          <w:kern w:val="0"/>
          <w:sz w:val="24"/>
          <w:highlight w:val="none"/>
        </w:rPr>
      </w:pPr>
    </w:p>
    <w:p w14:paraId="14D9F8A1">
      <w:pPr>
        <w:snapToGrid w:val="0"/>
        <w:spacing w:line="360" w:lineRule="auto"/>
        <w:rPr>
          <w:rFonts w:hint="eastAsia" w:ascii="仿宋" w:hAnsi="仿宋" w:eastAsia="仿宋" w:cs="仿宋"/>
          <w:color w:val="auto"/>
          <w:kern w:val="0"/>
          <w:sz w:val="24"/>
          <w:highlight w:val="none"/>
        </w:rPr>
      </w:pPr>
    </w:p>
    <w:p w14:paraId="26839208">
      <w:pPr>
        <w:snapToGrid w:val="0"/>
        <w:spacing w:line="360" w:lineRule="auto"/>
        <w:rPr>
          <w:rFonts w:hint="eastAsia" w:ascii="仿宋" w:hAnsi="仿宋" w:eastAsia="仿宋" w:cs="仿宋"/>
          <w:color w:val="auto"/>
          <w:kern w:val="0"/>
          <w:sz w:val="24"/>
          <w:highlight w:val="none"/>
        </w:rPr>
      </w:pPr>
    </w:p>
    <w:p w14:paraId="5CF5BAF5">
      <w:pPr>
        <w:snapToGrid w:val="0"/>
        <w:spacing w:line="360" w:lineRule="auto"/>
        <w:rPr>
          <w:rFonts w:hint="eastAsia" w:ascii="仿宋" w:hAnsi="仿宋" w:eastAsia="仿宋" w:cs="仿宋"/>
          <w:color w:val="auto"/>
          <w:kern w:val="0"/>
          <w:sz w:val="24"/>
          <w:highlight w:val="none"/>
        </w:rPr>
      </w:pPr>
    </w:p>
    <w:p w14:paraId="18168E2A">
      <w:pPr>
        <w:snapToGrid w:val="0"/>
        <w:spacing w:line="360" w:lineRule="auto"/>
        <w:rPr>
          <w:rFonts w:hint="eastAsia" w:ascii="仿宋" w:hAnsi="仿宋" w:eastAsia="仿宋" w:cs="仿宋"/>
          <w:color w:val="auto"/>
          <w:kern w:val="0"/>
          <w:sz w:val="24"/>
          <w:highlight w:val="none"/>
        </w:rPr>
      </w:pPr>
    </w:p>
    <w:p w14:paraId="6E7AD542">
      <w:pPr>
        <w:snapToGrid w:val="0"/>
        <w:spacing w:line="360" w:lineRule="auto"/>
        <w:rPr>
          <w:rFonts w:hint="eastAsia" w:ascii="仿宋" w:hAnsi="仿宋" w:eastAsia="仿宋" w:cs="仿宋"/>
          <w:color w:val="auto"/>
          <w:kern w:val="0"/>
          <w:sz w:val="24"/>
          <w:highlight w:val="none"/>
        </w:rPr>
      </w:pPr>
    </w:p>
    <w:p w14:paraId="30602B8D">
      <w:pPr>
        <w:pStyle w:val="7"/>
        <w:rPr>
          <w:rFonts w:hint="eastAsia" w:ascii="仿宋" w:hAnsi="仿宋" w:eastAsia="仿宋" w:cs="仿宋"/>
          <w:color w:val="auto"/>
          <w:kern w:val="0"/>
          <w:sz w:val="24"/>
          <w:highlight w:val="none"/>
        </w:rPr>
      </w:pPr>
    </w:p>
    <w:p w14:paraId="60F30BA4">
      <w:pPr>
        <w:pStyle w:val="7"/>
        <w:rPr>
          <w:rFonts w:hint="eastAsia" w:ascii="仿宋" w:hAnsi="仿宋" w:eastAsia="仿宋" w:cs="仿宋"/>
          <w:color w:val="auto"/>
          <w:kern w:val="0"/>
          <w:sz w:val="24"/>
          <w:highlight w:val="none"/>
        </w:rPr>
      </w:pPr>
    </w:p>
    <w:p w14:paraId="562452DC">
      <w:pPr>
        <w:rPr>
          <w:rFonts w:hint="eastAsia" w:ascii="仿宋" w:hAnsi="仿宋" w:eastAsia="仿宋" w:cs="仿宋"/>
          <w:color w:val="auto"/>
          <w:kern w:val="0"/>
          <w:sz w:val="24"/>
          <w:highlight w:val="none"/>
        </w:rPr>
      </w:pPr>
    </w:p>
    <w:p w14:paraId="19719026">
      <w:pPr>
        <w:pStyle w:val="6"/>
        <w:rPr>
          <w:rFonts w:hint="eastAsia" w:ascii="仿宋" w:hAnsi="仿宋" w:eastAsia="仿宋" w:cs="仿宋"/>
          <w:color w:val="auto"/>
          <w:kern w:val="0"/>
          <w:sz w:val="24"/>
          <w:highlight w:val="none"/>
        </w:rPr>
      </w:pPr>
    </w:p>
    <w:p w14:paraId="4F492878">
      <w:pPr>
        <w:rPr>
          <w:rFonts w:hint="eastAsia"/>
        </w:rPr>
      </w:pPr>
    </w:p>
    <w:p w14:paraId="26F813B2">
      <w:pPr>
        <w:pStyle w:val="7"/>
        <w:rPr>
          <w:rFonts w:hint="eastAsia" w:ascii="仿宋" w:hAnsi="仿宋" w:eastAsia="仿宋" w:cs="仿宋"/>
          <w:color w:val="auto"/>
          <w:kern w:val="0"/>
          <w:sz w:val="24"/>
          <w:highlight w:val="none"/>
        </w:rPr>
      </w:pPr>
    </w:p>
    <w:p w14:paraId="34ACD858">
      <w:pPr>
        <w:pStyle w:val="7"/>
        <w:rPr>
          <w:rFonts w:hint="eastAsia" w:ascii="仿宋" w:hAnsi="仿宋" w:eastAsia="仿宋" w:cs="仿宋"/>
          <w:color w:val="auto"/>
          <w:kern w:val="0"/>
          <w:sz w:val="24"/>
          <w:highlight w:val="none"/>
        </w:rPr>
      </w:pPr>
    </w:p>
    <w:p w14:paraId="35C1D659">
      <w:pPr>
        <w:pStyle w:val="7"/>
        <w:rPr>
          <w:rFonts w:hint="eastAsia" w:ascii="仿宋" w:hAnsi="仿宋" w:eastAsia="仿宋" w:cs="仿宋"/>
          <w:color w:val="auto"/>
          <w:kern w:val="0"/>
          <w:sz w:val="24"/>
          <w:highlight w:val="none"/>
        </w:rPr>
      </w:pPr>
    </w:p>
    <w:p w14:paraId="74DA1AD1">
      <w:pPr>
        <w:pStyle w:val="7"/>
        <w:rPr>
          <w:rFonts w:hint="eastAsia" w:ascii="仿宋" w:hAnsi="仿宋" w:eastAsia="仿宋" w:cs="仿宋"/>
          <w:color w:val="auto"/>
          <w:kern w:val="0"/>
          <w:sz w:val="24"/>
          <w:highlight w:val="none"/>
        </w:rPr>
      </w:pPr>
    </w:p>
    <w:p w14:paraId="27ED652F">
      <w:pPr>
        <w:pStyle w:val="7"/>
        <w:rPr>
          <w:rFonts w:hint="eastAsia" w:ascii="仿宋" w:hAnsi="仿宋" w:eastAsia="仿宋" w:cs="仿宋"/>
          <w:color w:val="auto"/>
          <w:kern w:val="0"/>
          <w:sz w:val="24"/>
          <w:highlight w:val="none"/>
        </w:rPr>
      </w:pPr>
    </w:p>
    <w:p w14:paraId="5D42BEDD">
      <w:pPr>
        <w:rPr>
          <w:rFonts w:hint="eastAsia" w:ascii="仿宋" w:hAnsi="仿宋" w:eastAsia="仿宋" w:cs="仿宋"/>
          <w:color w:val="auto"/>
          <w:kern w:val="0"/>
          <w:sz w:val="24"/>
          <w:highlight w:val="none"/>
        </w:rPr>
      </w:pPr>
    </w:p>
    <w:p w14:paraId="3BBF7BC8">
      <w:pPr>
        <w:rPr>
          <w:rFonts w:hint="eastAsia" w:ascii="仿宋" w:hAnsi="仿宋" w:eastAsia="仿宋" w:cs="仿宋"/>
          <w:color w:val="auto"/>
          <w:kern w:val="0"/>
          <w:sz w:val="24"/>
          <w:highlight w:val="none"/>
        </w:rPr>
      </w:pPr>
    </w:p>
    <w:p w14:paraId="4A0D28B9">
      <w:pPr>
        <w:keepNext w:val="0"/>
        <w:keepLines w:val="0"/>
        <w:pageBreakBefore w:val="0"/>
        <w:widowControl w:val="0"/>
        <w:kinsoku/>
        <w:wordWrap/>
        <w:overflowPunct/>
        <w:topLinePunct w:val="0"/>
        <w:autoSpaceDE/>
        <w:autoSpaceDN/>
        <w:bidi w:val="0"/>
        <w:adjustRightInd w:val="0"/>
        <w:snapToGrid w:val="0"/>
        <w:spacing w:line="240" w:lineRule="auto"/>
        <w:ind w:firstLine="3052" w:firstLineChars="95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一、服务清单及要求</w:t>
      </w:r>
    </w:p>
    <w:p w14:paraId="4E38A1F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eastAsia="仿宋"/>
          <w:b/>
          <w:bCs/>
          <w:color w:val="auto"/>
          <w:sz w:val="24"/>
          <w:highlight w:val="none"/>
        </w:rPr>
      </w:pPr>
      <w:r>
        <w:rPr>
          <w:rFonts w:hint="eastAsia" w:ascii="仿宋" w:eastAsia="仿宋"/>
          <w:b/>
          <w:bCs/>
          <w:color w:val="auto"/>
          <w:sz w:val="24"/>
          <w:highlight w:val="none"/>
        </w:rPr>
        <w:t>1.工程概况：</w:t>
      </w:r>
    </w:p>
    <w:p w14:paraId="127FA0D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eastAsia="仿宋"/>
          <w:color w:val="auto"/>
          <w:sz w:val="24"/>
          <w:highlight w:val="none"/>
        </w:rPr>
      </w:pPr>
      <w:r>
        <w:rPr>
          <w:rFonts w:hint="eastAsia" w:ascii="仿宋" w:eastAsia="仿宋"/>
          <w:color w:val="auto"/>
          <w:sz w:val="24"/>
          <w:highlight w:val="none"/>
        </w:rPr>
        <w:t>1.1 项目内容：</w:t>
      </w:r>
      <w:r>
        <w:rPr>
          <w:rFonts w:hint="eastAsia" w:ascii="仿宋" w:hAnsi="仿宋" w:eastAsia="仿宋"/>
          <w:color w:val="auto"/>
          <w:sz w:val="24"/>
          <w:szCs w:val="28"/>
          <w:highlight w:val="none"/>
        </w:rPr>
        <w:t>钱清街道全街道公共区域7269只窨井(现有物业小区外围的各类窖井1254只、无物业小区内外窖井2400只，各市政道路窖井3615</w:t>
      </w:r>
      <w:r>
        <w:rPr>
          <w:rFonts w:ascii="Calibri" w:hAnsi="Calibri" w:eastAsia="仿宋" w:cs="Calibri"/>
          <w:color w:val="auto"/>
          <w:sz w:val="24"/>
          <w:szCs w:val="28"/>
          <w:highlight w:val="none"/>
        </w:rPr>
        <w:t> </w:t>
      </w:r>
      <w:r>
        <w:rPr>
          <w:rFonts w:hint="eastAsia" w:ascii="仿宋" w:hAnsi="仿宋" w:eastAsia="仿宋"/>
          <w:color w:val="auto"/>
          <w:sz w:val="24"/>
          <w:szCs w:val="28"/>
          <w:highlight w:val="none"/>
        </w:rPr>
        <w:t>只)的养护管理服务，集镇范围内窨井管道疏通</w:t>
      </w:r>
      <w:r>
        <w:rPr>
          <w:rFonts w:hint="eastAsia" w:ascii="仿宋" w:hAnsi="仿宋" w:eastAsia="仿宋"/>
          <w:color w:val="auto"/>
          <w:sz w:val="24"/>
          <w:szCs w:val="28"/>
          <w:highlight w:val="none"/>
          <w:lang w:eastAsia="zh-CN"/>
        </w:rPr>
        <w:t>，</w:t>
      </w:r>
      <w:r>
        <w:rPr>
          <w:rFonts w:hint="eastAsia" w:ascii="仿宋" w:eastAsia="仿宋"/>
          <w:color w:val="auto"/>
          <w:sz w:val="24"/>
          <w:highlight w:val="none"/>
        </w:rPr>
        <w:t>养护数量如果和实际清点数量不符，以养护范围为准，养护金额不作调整。</w:t>
      </w:r>
    </w:p>
    <w:p w14:paraId="47B5EE2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eastAsia="仿宋"/>
          <w:b/>
          <w:bCs/>
          <w:color w:val="auto"/>
          <w:sz w:val="24"/>
          <w:highlight w:val="none"/>
        </w:rPr>
      </w:pPr>
      <w:r>
        <w:rPr>
          <w:rFonts w:hint="eastAsia" w:ascii="仿宋" w:eastAsia="仿宋"/>
          <w:b/>
          <w:bCs/>
          <w:color w:val="auto"/>
          <w:sz w:val="24"/>
          <w:highlight w:val="none"/>
        </w:rPr>
        <w:t>1.2工作内容和要求：</w:t>
      </w:r>
    </w:p>
    <w:p w14:paraId="1A2E60A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eastAsia="仿宋"/>
          <w:color w:val="auto"/>
          <w:sz w:val="24"/>
          <w:highlight w:val="none"/>
        </w:rPr>
      </w:pPr>
      <w:r>
        <w:rPr>
          <w:rFonts w:hint="eastAsia" w:ascii="仿宋" w:eastAsia="仿宋"/>
          <w:color w:val="auto"/>
          <w:sz w:val="24"/>
          <w:highlight w:val="none"/>
        </w:rPr>
        <w:t>1.2.</w:t>
      </w:r>
      <w:r>
        <w:rPr>
          <w:rFonts w:hint="eastAsia" w:ascii="仿宋" w:eastAsia="仿宋"/>
          <w:color w:val="auto"/>
          <w:sz w:val="24"/>
          <w:highlight w:val="none"/>
          <w:lang w:val="en-US" w:eastAsia="zh-CN"/>
        </w:rPr>
        <w:t>1</w:t>
      </w:r>
      <w:r>
        <w:rPr>
          <w:rFonts w:hint="eastAsia" w:ascii="仿宋" w:eastAsia="仿宋"/>
          <w:color w:val="auto"/>
          <w:sz w:val="24"/>
          <w:highlight w:val="none"/>
        </w:rPr>
        <w:t>中标人应保持窨井和井盖完好无损，破损窨井在24小时内修复，缺失井盖在1小时内补齐，因各类管道破损、维修（</w:t>
      </w:r>
      <w:r>
        <w:rPr>
          <w:rFonts w:hint="eastAsia" w:ascii="仿宋" w:eastAsia="仿宋"/>
          <w:b/>
          <w:bCs/>
          <w:color w:val="auto"/>
          <w:sz w:val="24"/>
          <w:highlight w:val="none"/>
        </w:rPr>
        <w:t>电信、电力、水务、移动、联通、中广有线等</w:t>
      </w:r>
      <w:r>
        <w:rPr>
          <w:rFonts w:hint="eastAsia" w:ascii="仿宋" w:eastAsia="仿宋"/>
          <w:color w:val="auto"/>
          <w:sz w:val="24"/>
          <w:highlight w:val="none"/>
        </w:rPr>
        <w:t>）引起的窨井损坏不在服务之列。</w:t>
      </w:r>
      <w:r>
        <w:rPr>
          <w:rFonts w:hint="eastAsia" w:ascii="仿宋" w:eastAsia="仿宋"/>
          <w:b/>
          <w:bCs/>
          <w:color w:val="auto"/>
          <w:sz w:val="24"/>
          <w:highlight w:val="none"/>
        </w:rPr>
        <w:t>距离窨井盖外边1米范围内的道路修复也归中标人负责。</w:t>
      </w:r>
      <w:r>
        <w:rPr>
          <w:rFonts w:hint="eastAsia" w:ascii="仿宋" w:eastAsia="仿宋"/>
          <w:color w:val="auto"/>
          <w:sz w:val="24"/>
          <w:highlight w:val="none"/>
        </w:rPr>
        <w:t>中标人应落实安全防范措施，做到安全行车、安全生产，预防各类事故发生。在承包期内（含所属工作人员）因窨井造成的各类行人、行车等伤亡、安全、交通等事故一律由中标人负责，甲方均不承担任何责任。</w:t>
      </w:r>
    </w:p>
    <w:p w14:paraId="3BA5128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eastAsia="仿宋"/>
          <w:color w:val="auto"/>
          <w:sz w:val="24"/>
          <w:highlight w:val="none"/>
        </w:rPr>
      </w:pPr>
      <w:r>
        <w:rPr>
          <w:rFonts w:hint="eastAsia" w:ascii="仿宋" w:eastAsia="仿宋"/>
          <w:color w:val="auto"/>
          <w:sz w:val="24"/>
          <w:highlight w:val="none"/>
        </w:rPr>
        <w:t>1.2.</w:t>
      </w:r>
      <w:r>
        <w:rPr>
          <w:rFonts w:hint="eastAsia" w:ascii="仿宋" w:eastAsia="仿宋"/>
          <w:color w:val="auto"/>
          <w:sz w:val="24"/>
          <w:highlight w:val="none"/>
          <w:lang w:val="en-US" w:eastAsia="zh-CN"/>
        </w:rPr>
        <w:t>2</w:t>
      </w:r>
      <w:r>
        <w:rPr>
          <w:rFonts w:hint="eastAsia" w:ascii="仿宋" w:eastAsia="仿宋"/>
          <w:color w:val="auto"/>
          <w:sz w:val="24"/>
          <w:highlight w:val="none"/>
        </w:rPr>
        <w:t>中标人更换、补充、维修的井盖应达到原有井盖的质量标准，同时增加安全网。更换、补充、维修的井盖由中标人负责。</w:t>
      </w:r>
    </w:p>
    <w:p w14:paraId="79266E1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1.2.3集镇范围内道路发生因雨水井堵塞造成路面积水要进行疏通，具体范围详见图片。</w:t>
      </w:r>
    </w:p>
    <w:p w14:paraId="0C4A679A">
      <w:pPr>
        <w:pStyle w:val="7"/>
        <w:ind w:left="0" w:leftChars="0" w:firstLine="0" w:firstLineChars="0"/>
        <w:rPr>
          <w:rFonts w:hint="eastAsia" w:ascii="仿宋" w:hAnsi="仿宋" w:eastAsia="仿宋" w:cs="仿宋"/>
          <w:b/>
          <w:color w:val="auto"/>
          <w:sz w:val="32"/>
          <w:highlight w:val="none"/>
        </w:rPr>
      </w:pPr>
      <w:r>
        <w:rPr>
          <w:rFonts w:hint="eastAsia" w:ascii="仿宋" w:eastAsia="仿宋"/>
          <w:color w:val="auto"/>
          <w:sz w:val="24"/>
          <w:highlight w:val="none"/>
        </w:rPr>
        <w:t>1.2.</w:t>
      </w:r>
      <w:r>
        <w:rPr>
          <w:rFonts w:hint="eastAsia" w:ascii="仿宋" w:eastAsia="仿宋"/>
          <w:color w:val="auto"/>
          <w:sz w:val="24"/>
          <w:highlight w:val="none"/>
          <w:lang w:val="en-US" w:eastAsia="zh-CN"/>
        </w:rPr>
        <w:t>4</w:t>
      </w:r>
      <w:r>
        <w:rPr>
          <w:rFonts w:hint="eastAsia" w:ascii="仿宋" w:eastAsia="仿宋"/>
          <w:color w:val="auto"/>
          <w:sz w:val="24"/>
          <w:highlight w:val="none"/>
        </w:rPr>
        <w:t>凡涉及承诺服务内容的，要按照绍兴市柯桥区钱清街道办事处承诺时限完成。</w:t>
      </w:r>
    </w:p>
    <w:p w14:paraId="70095686">
      <w:pPr>
        <w:snapToGrid w:val="0"/>
        <w:spacing w:line="360" w:lineRule="auto"/>
        <w:jc w:val="center"/>
        <w:rPr>
          <w:rFonts w:hint="eastAsia" w:ascii="仿宋" w:hAnsi="仿宋" w:eastAsia="仿宋" w:cs="仿宋_GB2312"/>
          <w:b/>
          <w:color w:val="auto"/>
          <w:sz w:val="32"/>
          <w:highlight w:val="none"/>
        </w:rPr>
      </w:pPr>
      <w:r>
        <w:rPr>
          <w:rFonts w:hint="eastAsia" w:ascii="仿宋" w:eastAsia="仿宋"/>
          <w:color w:val="auto"/>
          <w:sz w:val="24"/>
          <w:highlight w:val="none"/>
          <w:lang w:eastAsia="zh-CN"/>
        </w:rPr>
        <w:drawing>
          <wp:anchor distT="0" distB="0" distL="114300" distR="114300" simplePos="0" relativeHeight="251659264" behindDoc="0" locked="0" layoutInCell="1" allowOverlap="1">
            <wp:simplePos x="0" y="0"/>
            <wp:positionH relativeFrom="column">
              <wp:posOffset>817245</wp:posOffset>
            </wp:positionH>
            <wp:positionV relativeFrom="paragraph">
              <wp:posOffset>135255</wp:posOffset>
            </wp:positionV>
            <wp:extent cx="3875405" cy="3419475"/>
            <wp:effectExtent l="0" t="0" r="10795" b="9525"/>
            <wp:wrapSquare wrapText="bothSides"/>
            <wp:docPr id="7" name="图片 2" descr="7a018ef3119ad87ce3ffa1ca72a5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7a018ef3119ad87ce3ffa1ca72a5bbb"/>
                    <pic:cNvPicPr>
                      <a:picLocks noChangeAspect="1"/>
                    </pic:cNvPicPr>
                  </pic:nvPicPr>
                  <pic:blipFill>
                    <a:blip r:embed="rId17"/>
                    <a:stretch>
                      <a:fillRect/>
                    </a:stretch>
                  </pic:blipFill>
                  <pic:spPr>
                    <a:xfrm>
                      <a:off x="0" y="0"/>
                      <a:ext cx="3875405" cy="3419475"/>
                    </a:xfrm>
                    <a:prstGeom prst="rect">
                      <a:avLst/>
                    </a:prstGeom>
                    <a:noFill/>
                    <a:ln>
                      <a:noFill/>
                    </a:ln>
                  </pic:spPr>
                </pic:pic>
              </a:graphicData>
            </a:graphic>
          </wp:anchor>
        </w:drawing>
      </w:r>
    </w:p>
    <w:p w14:paraId="37079886">
      <w:pPr>
        <w:snapToGrid w:val="0"/>
        <w:spacing w:line="360" w:lineRule="auto"/>
        <w:jc w:val="center"/>
        <w:rPr>
          <w:rFonts w:hint="eastAsia" w:ascii="仿宋" w:hAnsi="仿宋" w:eastAsia="仿宋" w:cs="仿宋_GB2312"/>
          <w:b/>
          <w:color w:val="auto"/>
          <w:sz w:val="32"/>
          <w:highlight w:val="none"/>
        </w:rPr>
      </w:pPr>
    </w:p>
    <w:p w14:paraId="7AF98B6D">
      <w:pPr>
        <w:snapToGrid w:val="0"/>
        <w:spacing w:line="360" w:lineRule="auto"/>
        <w:jc w:val="center"/>
        <w:rPr>
          <w:rFonts w:hint="eastAsia" w:ascii="仿宋" w:hAnsi="仿宋" w:eastAsia="仿宋" w:cs="仿宋_GB2312"/>
          <w:b/>
          <w:color w:val="auto"/>
          <w:sz w:val="32"/>
          <w:highlight w:val="none"/>
        </w:rPr>
      </w:pPr>
    </w:p>
    <w:p w14:paraId="710A9155">
      <w:pPr>
        <w:snapToGrid w:val="0"/>
        <w:spacing w:line="360" w:lineRule="auto"/>
        <w:jc w:val="center"/>
        <w:rPr>
          <w:rFonts w:hint="eastAsia" w:ascii="仿宋" w:hAnsi="仿宋" w:eastAsia="仿宋" w:cs="仿宋_GB2312"/>
          <w:b/>
          <w:color w:val="auto"/>
          <w:sz w:val="32"/>
          <w:highlight w:val="none"/>
        </w:rPr>
      </w:pPr>
    </w:p>
    <w:p w14:paraId="58AEA1CC">
      <w:pPr>
        <w:snapToGrid w:val="0"/>
        <w:spacing w:line="360" w:lineRule="auto"/>
        <w:jc w:val="center"/>
        <w:rPr>
          <w:rFonts w:hint="eastAsia" w:ascii="仿宋" w:hAnsi="仿宋" w:eastAsia="仿宋" w:cs="仿宋_GB2312"/>
          <w:b/>
          <w:color w:val="auto"/>
          <w:sz w:val="32"/>
          <w:highlight w:val="none"/>
        </w:rPr>
      </w:pPr>
    </w:p>
    <w:p w14:paraId="4C1D7F5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eastAsia="仿宋"/>
          <w:b/>
          <w:bCs/>
          <w:color w:val="auto"/>
          <w:sz w:val="24"/>
          <w:highlight w:val="none"/>
        </w:rPr>
      </w:pPr>
    </w:p>
    <w:p w14:paraId="7B51BD62">
      <w:pPr>
        <w:pStyle w:val="2"/>
        <w:rPr>
          <w:rFonts w:hint="eastAsia" w:ascii="仿宋" w:eastAsia="仿宋"/>
          <w:b/>
          <w:bCs/>
          <w:color w:val="auto"/>
          <w:sz w:val="24"/>
          <w:highlight w:val="none"/>
        </w:rPr>
      </w:pPr>
    </w:p>
    <w:p w14:paraId="24326E7A">
      <w:pPr>
        <w:pStyle w:val="2"/>
        <w:rPr>
          <w:rFonts w:hint="eastAsia" w:ascii="仿宋" w:eastAsia="仿宋"/>
          <w:b/>
          <w:bCs/>
          <w:color w:val="auto"/>
          <w:sz w:val="24"/>
          <w:highlight w:val="none"/>
        </w:rPr>
      </w:pPr>
    </w:p>
    <w:p w14:paraId="12E2D3FD">
      <w:pPr>
        <w:pStyle w:val="2"/>
        <w:rPr>
          <w:rFonts w:hint="eastAsia" w:ascii="仿宋" w:eastAsia="仿宋"/>
          <w:b/>
          <w:bCs/>
          <w:color w:val="auto"/>
          <w:sz w:val="24"/>
          <w:highlight w:val="none"/>
        </w:rPr>
      </w:pPr>
    </w:p>
    <w:p w14:paraId="6D28EAA3">
      <w:pPr>
        <w:pStyle w:val="2"/>
        <w:rPr>
          <w:rFonts w:hint="eastAsia" w:ascii="仿宋" w:eastAsia="仿宋"/>
          <w:b/>
          <w:bCs/>
          <w:color w:val="auto"/>
          <w:sz w:val="24"/>
          <w:highlight w:val="none"/>
        </w:rPr>
      </w:pPr>
    </w:p>
    <w:p w14:paraId="51DBFC8C">
      <w:pPr>
        <w:pStyle w:val="2"/>
        <w:rPr>
          <w:rFonts w:hint="eastAsia" w:ascii="仿宋" w:eastAsia="仿宋"/>
          <w:b/>
          <w:bCs/>
          <w:color w:val="auto"/>
          <w:sz w:val="24"/>
          <w:highlight w:val="none"/>
        </w:rPr>
      </w:pPr>
    </w:p>
    <w:p w14:paraId="6F5FE1D7">
      <w:pPr>
        <w:pStyle w:val="2"/>
        <w:rPr>
          <w:rFonts w:hint="eastAsia" w:ascii="仿宋" w:eastAsia="仿宋"/>
          <w:b/>
          <w:bCs/>
          <w:color w:val="auto"/>
          <w:sz w:val="24"/>
          <w:highlight w:val="none"/>
        </w:rPr>
      </w:pPr>
    </w:p>
    <w:p w14:paraId="694356C2">
      <w:pPr>
        <w:pStyle w:val="2"/>
        <w:rPr>
          <w:rFonts w:hint="eastAsia" w:ascii="仿宋" w:eastAsia="仿宋"/>
          <w:b/>
          <w:bCs/>
          <w:color w:val="auto"/>
          <w:sz w:val="24"/>
          <w:highlight w:val="none"/>
        </w:rPr>
      </w:pPr>
    </w:p>
    <w:p w14:paraId="24E11B1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eastAsia="仿宋"/>
          <w:b/>
          <w:bCs/>
          <w:color w:val="auto"/>
          <w:sz w:val="24"/>
          <w:highlight w:val="none"/>
        </w:rPr>
      </w:pPr>
      <w:r>
        <w:rPr>
          <w:rFonts w:hint="eastAsia" w:ascii="仿宋" w:eastAsia="仿宋"/>
          <w:b/>
          <w:bCs/>
          <w:color w:val="auto"/>
          <w:sz w:val="24"/>
          <w:highlight w:val="none"/>
          <w:lang w:val="en-US" w:eastAsia="zh-CN"/>
        </w:rPr>
        <w:t>1.3</w:t>
      </w:r>
      <w:r>
        <w:rPr>
          <w:rFonts w:hint="eastAsia" w:ascii="仿宋" w:eastAsia="仿宋"/>
          <w:b/>
          <w:bCs/>
          <w:color w:val="auto"/>
          <w:sz w:val="24"/>
          <w:highlight w:val="none"/>
        </w:rPr>
        <w:t>人员基本配置要求：</w:t>
      </w:r>
    </w:p>
    <w:tbl>
      <w:tblPr>
        <w:tblStyle w:val="18"/>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717"/>
        <w:gridCol w:w="3592"/>
        <w:gridCol w:w="1077"/>
        <w:gridCol w:w="1249"/>
      </w:tblGrid>
      <w:tr w14:paraId="44BA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19" w:type="dxa"/>
          </w:tcPr>
          <w:p w14:paraId="015E0EB0">
            <w:pPr>
              <w:widowControl/>
              <w:snapToGrid w:val="0"/>
              <w:spacing w:line="440" w:lineRule="exact"/>
              <w:jc w:val="center"/>
              <w:rPr>
                <w:rFonts w:ascii="仿宋" w:eastAsia="仿宋"/>
                <w:b/>
                <w:kern w:val="0"/>
                <w:sz w:val="24"/>
              </w:rPr>
            </w:pPr>
            <w:r>
              <w:rPr>
                <w:rFonts w:hint="eastAsia" w:ascii="仿宋" w:eastAsia="仿宋"/>
                <w:b/>
                <w:kern w:val="0"/>
                <w:sz w:val="24"/>
              </w:rPr>
              <w:t>序号</w:t>
            </w:r>
          </w:p>
        </w:tc>
        <w:tc>
          <w:tcPr>
            <w:tcW w:w="1717" w:type="dxa"/>
          </w:tcPr>
          <w:p w14:paraId="6C01190E">
            <w:pPr>
              <w:widowControl/>
              <w:snapToGrid w:val="0"/>
              <w:spacing w:line="440" w:lineRule="exact"/>
              <w:jc w:val="center"/>
              <w:rPr>
                <w:rFonts w:ascii="仿宋" w:eastAsia="仿宋"/>
                <w:b/>
                <w:kern w:val="0"/>
                <w:sz w:val="24"/>
              </w:rPr>
            </w:pPr>
            <w:r>
              <w:rPr>
                <w:rFonts w:hint="eastAsia" w:ascii="仿宋" w:eastAsia="仿宋"/>
                <w:b/>
                <w:kern w:val="0"/>
                <w:sz w:val="24"/>
              </w:rPr>
              <w:t>岗位</w:t>
            </w:r>
          </w:p>
        </w:tc>
        <w:tc>
          <w:tcPr>
            <w:tcW w:w="3592" w:type="dxa"/>
          </w:tcPr>
          <w:p w14:paraId="610BCEE4">
            <w:pPr>
              <w:widowControl/>
              <w:snapToGrid w:val="0"/>
              <w:spacing w:line="440" w:lineRule="exact"/>
              <w:jc w:val="center"/>
              <w:rPr>
                <w:rFonts w:ascii="仿宋" w:eastAsia="仿宋"/>
                <w:b/>
                <w:kern w:val="0"/>
                <w:sz w:val="24"/>
              </w:rPr>
            </w:pPr>
            <w:r>
              <w:rPr>
                <w:rFonts w:hint="eastAsia" w:ascii="仿宋" w:eastAsia="仿宋"/>
                <w:b/>
                <w:kern w:val="0"/>
                <w:sz w:val="24"/>
              </w:rPr>
              <w:t>证书要求</w:t>
            </w:r>
          </w:p>
        </w:tc>
        <w:tc>
          <w:tcPr>
            <w:tcW w:w="1077" w:type="dxa"/>
          </w:tcPr>
          <w:p w14:paraId="5AD0293E">
            <w:pPr>
              <w:widowControl/>
              <w:snapToGrid w:val="0"/>
              <w:spacing w:line="440" w:lineRule="exact"/>
              <w:jc w:val="center"/>
              <w:rPr>
                <w:rFonts w:ascii="仿宋" w:eastAsia="仿宋"/>
                <w:b/>
                <w:kern w:val="0"/>
                <w:sz w:val="24"/>
              </w:rPr>
            </w:pPr>
            <w:r>
              <w:rPr>
                <w:rFonts w:hint="eastAsia" w:ascii="仿宋" w:eastAsia="仿宋"/>
                <w:b/>
                <w:kern w:val="0"/>
                <w:sz w:val="24"/>
              </w:rPr>
              <w:t>数量</w:t>
            </w:r>
          </w:p>
        </w:tc>
        <w:tc>
          <w:tcPr>
            <w:tcW w:w="1249" w:type="dxa"/>
          </w:tcPr>
          <w:p w14:paraId="5AF7760C">
            <w:pPr>
              <w:widowControl/>
              <w:snapToGrid w:val="0"/>
              <w:spacing w:line="440" w:lineRule="exact"/>
              <w:jc w:val="center"/>
              <w:rPr>
                <w:rFonts w:hint="eastAsia" w:ascii="仿宋" w:eastAsia="仿宋"/>
                <w:b/>
                <w:kern w:val="0"/>
                <w:sz w:val="24"/>
                <w:lang w:val="en-US" w:eastAsia="zh-CN"/>
              </w:rPr>
            </w:pPr>
            <w:r>
              <w:rPr>
                <w:rFonts w:hint="eastAsia" w:ascii="仿宋" w:eastAsia="仿宋"/>
                <w:b/>
                <w:kern w:val="0"/>
                <w:sz w:val="24"/>
                <w:lang w:val="en-US" w:eastAsia="zh-CN"/>
              </w:rPr>
              <w:t>备注</w:t>
            </w:r>
          </w:p>
        </w:tc>
      </w:tr>
      <w:tr w14:paraId="5DCE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19" w:type="dxa"/>
            <w:vAlign w:val="center"/>
          </w:tcPr>
          <w:p w14:paraId="7C6B22EC">
            <w:pPr>
              <w:widowControl/>
              <w:snapToGrid w:val="0"/>
              <w:spacing w:line="300" w:lineRule="exact"/>
              <w:jc w:val="center"/>
              <w:rPr>
                <w:rFonts w:hint="eastAsia" w:ascii="仿宋" w:eastAsia="仿宋"/>
                <w:bCs/>
                <w:kern w:val="0"/>
                <w:sz w:val="24"/>
              </w:rPr>
            </w:pPr>
            <w:r>
              <w:rPr>
                <w:rFonts w:hint="eastAsia" w:ascii="仿宋" w:eastAsia="仿宋"/>
                <w:bCs/>
                <w:kern w:val="0"/>
                <w:sz w:val="24"/>
              </w:rPr>
              <w:t>1</w:t>
            </w:r>
          </w:p>
        </w:tc>
        <w:tc>
          <w:tcPr>
            <w:tcW w:w="1717" w:type="dxa"/>
            <w:vAlign w:val="center"/>
          </w:tcPr>
          <w:p w14:paraId="11BB6596">
            <w:pPr>
              <w:widowControl/>
              <w:snapToGrid w:val="0"/>
              <w:spacing w:line="300" w:lineRule="exact"/>
              <w:jc w:val="center"/>
              <w:rPr>
                <w:rFonts w:hint="default" w:ascii="仿宋" w:eastAsia="仿宋"/>
                <w:bCs/>
                <w:kern w:val="0"/>
                <w:sz w:val="24"/>
                <w:lang w:val="en-US" w:eastAsia="zh-CN"/>
              </w:rPr>
            </w:pPr>
            <w:r>
              <w:rPr>
                <w:rFonts w:hint="eastAsia" w:ascii="仿宋" w:eastAsia="仿宋"/>
                <w:bCs/>
                <w:kern w:val="0"/>
                <w:sz w:val="24"/>
                <w:lang w:val="en-US" w:eastAsia="zh-CN"/>
              </w:rPr>
              <w:t>项目负责人</w:t>
            </w:r>
          </w:p>
        </w:tc>
        <w:tc>
          <w:tcPr>
            <w:tcW w:w="3592" w:type="dxa"/>
            <w:vAlign w:val="center"/>
          </w:tcPr>
          <w:p w14:paraId="023470DB">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w:t>
            </w:r>
          </w:p>
        </w:tc>
        <w:tc>
          <w:tcPr>
            <w:tcW w:w="1077" w:type="dxa"/>
            <w:vAlign w:val="center"/>
          </w:tcPr>
          <w:p w14:paraId="7E57CE72">
            <w:pPr>
              <w:widowControl/>
              <w:snapToGrid w:val="0"/>
              <w:spacing w:line="300" w:lineRule="exact"/>
              <w:jc w:val="center"/>
              <w:rPr>
                <w:rFonts w:hint="default" w:ascii="仿宋" w:eastAsia="仿宋"/>
                <w:bCs/>
                <w:kern w:val="0"/>
                <w:sz w:val="24"/>
                <w:lang w:val="en-US" w:eastAsia="zh-CN"/>
              </w:rPr>
            </w:pPr>
            <w:r>
              <w:rPr>
                <w:rFonts w:hint="eastAsia" w:ascii="仿宋" w:eastAsia="仿宋"/>
                <w:bCs/>
                <w:kern w:val="0"/>
                <w:sz w:val="24"/>
                <w:lang w:val="en-US" w:eastAsia="zh-CN"/>
              </w:rPr>
              <w:t>1名</w:t>
            </w:r>
          </w:p>
        </w:tc>
        <w:tc>
          <w:tcPr>
            <w:tcW w:w="1249" w:type="dxa"/>
            <w:vAlign w:val="center"/>
          </w:tcPr>
          <w:p w14:paraId="2B689A84">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w:t>
            </w:r>
          </w:p>
        </w:tc>
      </w:tr>
      <w:tr w14:paraId="28B9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19" w:type="dxa"/>
            <w:vAlign w:val="center"/>
          </w:tcPr>
          <w:p w14:paraId="2CAB9BA9">
            <w:pPr>
              <w:widowControl/>
              <w:snapToGrid w:val="0"/>
              <w:spacing w:line="300" w:lineRule="exact"/>
              <w:jc w:val="center"/>
              <w:rPr>
                <w:rFonts w:ascii="仿宋" w:eastAsia="仿宋"/>
                <w:bCs/>
                <w:kern w:val="0"/>
                <w:sz w:val="24"/>
              </w:rPr>
            </w:pPr>
            <w:r>
              <w:rPr>
                <w:rFonts w:hint="eastAsia" w:ascii="仿宋" w:eastAsia="仿宋"/>
                <w:bCs/>
                <w:kern w:val="0"/>
                <w:sz w:val="24"/>
              </w:rPr>
              <w:t>2</w:t>
            </w:r>
          </w:p>
        </w:tc>
        <w:tc>
          <w:tcPr>
            <w:tcW w:w="1717" w:type="dxa"/>
            <w:vAlign w:val="center"/>
          </w:tcPr>
          <w:p w14:paraId="0778058C">
            <w:pPr>
              <w:widowControl/>
              <w:snapToGrid w:val="0"/>
              <w:spacing w:line="300" w:lineRule="exact"/>
              <w:jc w:val="center"/>
              <w:rPr>
                <w:rFonts w:hint="eastAsia" w:ascii="仿宋" w:eastAsia="仿宋"/>
                <w:bCs/>
                <w:kern w:val="0"/>
                <w:sz w:val="24"/>
                <w:lang w:eastAsia="zh-CN"/>
              </w:rPr>
            </w:pPr>
            <w:r>
              <w:rPr>
                <w:rFonts w:hint="eastAsia" w:ascii="仿宋" w:eastAsia="仿宋"/>
                <w:bCs/>
                <w:kern w:val="0"/>
                <w:sz w:val="24"/>
                <w:lang w:val="en-US" w:eastAsia="zh-CN"/>
              </w:rPr>
              <w:t>作业人员</w:t>
            </w:r>
          </w:p>
        </w:tc>
        <w:tc>
          <w:tcPr>
            <w:tcW w:w="3592" w:type="dxa"/>
            <w:vAlign w:val="center"/>
          </w:tcPr>
          <w:p w14:paraId="148E3DE4">
            <w:pPr>
              <w:widowControl/>
              <w:snapToGrid w:val="0"/>
              <w:spacing w:line="300" w:lineRule="exact"/>
              <w:jc w:val="center"/>
              <w:rPr>
                <w:rFonts w:ascii="仿宋" w:eastAsia="仿宋"/>
                <w:bCs/>
                <w:kern w:val="0"/>
                <w:sz w:val="24"/>
              </w:rPr>
            </w:pPr>
            <w:r>
              <w:rPr>
                <w:rFonts w:hint="eastAsia" w:ascii="仿宋" w:eastAsia="仿宋"/>
                <w:bCs/>
                <w:kern w:val="0"/>
                <w:sz w:val="24"/>
              </w:rPr>
              <w:t>须具有有限空间作业培训证书</w:t>
            </w:r>
          </w:p>
        </w:tc>
        <w:tc>
          <w:tcPr>
            <w:tcW w:w="1077" w:type="dxa"/>
            <w:vAlign w:val="center"/>
          </w:tcPr>
          <w:p w14:paraId="2059BE81">
            <w:pPr>
              <w:widowControl/>
              <w:snapToGrid w:val="0"/>
              <w:spacing w:line="300" w:lineRule="exact"/>
              <w:jc w:val="center"/>
              <w:rPr>
                <w:rFonts w:ascii="仿宋" w:eastAsia="仿宋"/>
                <w:bCs/>
                <w:kern w:val="0"/>
                <w:sz w:val="24"/>
              </w:rPr>
            </w:pPr>
            <w:r>
              <w:rPr>
                <w:rFonts w:hint="eastAsia" w:ascii="仿宋" w:eastAsia="仿宋"/>
                <w:bCs/>
                <w:kern w:val="0"/>
                <w:sz w:val="24"/>
                <w:lang w:val="en-US" w:eastAsia="zh-CN"/>
              </w:rPr>
              <w:t>2</w:t>
            </w:r>
            <w:r>
              <w:rPr>
                <w:rFonts w:hint="eastAsia" w:ascii="仿宋" w:eastAsia="仿宋"/>
                <w:bCs/>
                <w:kern w:val="0"/>
                <w:sz w:val="24"/>
              </w:rPr>
              <w:t>名</w:t>
            </w:r>
          </w:p>
        </w:tc>
        <w:tc>
          <w:tcPr>
            <w:tcW w:w="1249" w:type="dxa"/>
            <w:vAlign w:val="center"/>
          </w:tcPr>
          <w:p w14:paraId="2245B3BB">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w:t>
            </w:r>
          </w:p>
        </w:tc>
      </w:tr>
      <w:tr w14:paraId="4E48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19" w:type="dxa"/>
            <w:vAlign w:val="center"/>
          </w:tcPr>
          <w:p w14:paraId="0C221B6F">
            <w:pPr>
              <w:widowControl/>
              <w:snapToGrid w:val="0"/>
              <w:spacing w:line="300" w:lineRule="exact"/>
              <w:jc w:val="center"/>
              <w:rPr>
                <w:rFonts w:hint="eastAsia" w:ascii="仿宋" w:eastAsia="仿宋"/>
                <w:bCs/>
                <w:kern w:val="0"/>
                <w:sz w:val="24"/>
                <w:lang w:eastAsia="zh-CN"/>
              </w:rPr>
            </w:pPr>
            <w:r>
              <w:rPr>
                <w:rFonts w:hint="eastAsia" w:ascii="仿宋" w:eastAsia="仿宋"/>
                <w:bCs/>
                <w:kern w:val="0"/>
                <w:sz w:val="24"/>
                <w:lang w:val="en-US" w:eastAsia="zh-CN"/>
              </w:rPr>
              <w:t>3</w:t>
            </w:r>
          </w:p>
        </w:tc>
        <w:tc>
          <w:tcPr>
            <w:tcW w:w="1717" w:type="dxa"/>
            <w:vAlign w:val="center"/>
          </w:tcPr>
          <w:p w14:paraId="215B3228">
            <w:pPr>
              <w:widowControl/>
              <w:snapToGrid w:val="0"/>
              <w:spacing w:line="300" w:lineRule="exact"/>
              <w:jc w:val="center"/>
              <w:rPr>
                <w:rFonts w:ascii="仿宋" w:eastAsia="仿宋"/>
                <w:bCs/>
                <w:kern w:val="0"/>
                <w:sz w:val="24"/>
              </w:rPr>
            </w:pPr>
            <w:r>
              <w:rPr>
                <w:rFonts w:hint="eastAsia" w:ascii="仿宋" w:eastAsia="仿宋"/>
                <w:bCs/>
                <w:kern w:val="0"/>
                <w:sz w:val="24"/>
              </w:rPr>
              <w:t>其他养护人员</w:t>
            </w:r>
          </w:p>
        </w:tc>
        <w:tc>
          <w:tcPr>
            <w:tcW w:w="3592" w:type="dxa"/>
            <w:vAlign w:val="center"/>
          </w:tcPr>
          <w:p w14:paraId="16343EDE">
            <w:pPr>
              <w:widowControl/>
              <w:snapToGrid w:val="0"/>
              <w:spacing w:line="300" w:lineRule="exact"/>
              <w:jc w:val="center"/>
              <w:rPr>
                <w:rFonts w:hint="eastAsia" w:ascii="仿宋" w:eastAsia="仿宋"/>
                <w:bCs/>
                <w:kern w:val="0"/>
                <w:sz w:val="24"/>
                <w:lang w:eastAsia="zh-CN"/>
              </w:rPr>
            </w:pPr>
            <w:r>
              <w:rPr>
                <w:rFonts w:hint="eastAsia" w:ascii="仿宋" w:eastAsia="仿宋"/>
                <w:bCs/>
                <w:kern w:val="0"/>
                <w:sz w:val="24"/>
                <w:lang w:val="en-US" w:eastAsia="zh-CN"/>
              </w:rPr>
              <w:t>/</w:t>
            </w:r>
          </w:p>
        </w:tc>
        <w:tc>
          <w:tcPr>
            <w:tcW w:w="1077" w:type="dxa"/>
            <w:vAlign w:val="center"/>
          </w:tcPr>
          <w:p w14:paraId="402A580F">
            <w:pPr>
              <w:widowControl/>
              <w:snapToGrid w:val="0"/>
              <w:spacing w:line="300" w:lineRule="exact"/>
              <w:jc w:val="center"/>
              <w:rPr>
                <w:rFonts w:ascii="仿宋" w:eastAsia="仿宋"/>
                <w:bCs/>
                <w:kern w:val="0"/>
                <w:sz w:val="24"/>
              </w:rPr>
            </w:pPr>
            <w:r>
              <w:rPr>
                <w:rFonts w:hint="eastAsia" w:ascii="仿宋" w:eastAsia="仿宋"/>
                <w:bCs/>
                <w:kern w:val="0"/>
                <w:sz w:val="24"/>
                <w:lang w:val="en-US" w:eastAsia="zh-CN"/>
              </w:rPr>
              <w:t>2</w:t>
            </w:r>
            <w:r>
              <w:rPr>
                <w:rFonts w:hint="eastAsia" w:ascii="仿宋" w:eastAsia="仿宋"/>
                <w:bCs/>
                <w:kern w:val="0"/>
                <w:sz w:val="24"/>
              </w:rPr>
              <w:t>名</w:t>
            </w:r>
          </w:p>
        </w:tc>
        <w:tc>
          <w:tcPr>
            <w:tcW w:w="1249" w:type="dxa"/>
            <w:vAlign w:val="center"/>
          </w:tcPr>
          <w:p w14:paraId="104D406E">
            <w:pPr>
              <w:widowControl/>
              <w:snapToGrid w:val="0"/>
              <w:spacing w:line="300" w:lineRule="exact"/>
              <w:jc w:val="center"/>
              <w:rPr>
                <w:rFonts w:hint="eastAsia" w:ascii="仿宋" w:eastAsia="仿宋"/>
                <w:bCs/>
                <w:kern w:val="0"/>
                <w:sz w:val="24"/>
                <w:lang w:val="en-US" w:eastAsia="zh-CN"/>
              </w:rPr>
            </w:pPr>
            <w:r>
              <w:rPr>
                <w:rFonts w:hint="eastAsia" w:ascii="仿宋" w:eastAsia="仿宋"/>
                <w:color w:val="auto"/>
                <w:sz w:val="24"/>
                <w:highlight w:val="none"/>
              </w:rPr>
              <w:t>保证每日巡查管理</w:t>
            </w:r>
          </w:p>
        </w:tc>
      </w:tr>
    </w:tbl>
    <w:p w14:paraId="6FDAE8F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1.4 设备配置要求</w:t>
      </w:r>
      <w:r>
        <w:rPr>
          <w:rFonts w:hint="eastAsia" w:ascii="仿宋" w:eastAsia="仿宋"/>
          <w:b/>
          <w:bCs/>
          <w:color w:val="auto"/>
          <w:sz w:val="24"/>
          <w:highlight w:val="none"/>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5008"/>
        <w:gridCol w:w="1588"/>
      </w:tblGrid>
      <w:tr w14:paraId="4648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60" w:type="dxa"/>
          </w:tcPr>
          <w:p w14:paraId="151D0DCD">
            <w:pPr>
              <w:widowControl/>
              <w:snapToGrid w:val="0"/>
              <w:spacing w:line="440" w:lineRule="exact"/>
              <w:jc w:val="center"/>
              <w:rPr>
                <w:rFonts w:ascii="仿宋" w:eastAsia="仿宋"/>
                <w:b/>
                <w:kern w:val="0"/>
                <w:sz w:val="24"/>
              </w:rPr>
            </w:pPr>
            <w:r>
              <w:rPr>
                <w:rFonts w:hint="eastAsia" w:ascii="仿宋" w:eastAsia="仿宋"/>
                <w:b/>
                <w:kern w:val="0"/>
                <w:sz w:val="24"/>
              </w:rPr>
              <w:t>序号</w:t>
            </w:r>
          </w:p>
        </w:tc>
        <w:tc>
          <w:tcPr>
            <w:tcW w:w="5008" w:type="dxa"/>
          </w:tcPr>
          <w:p w14:paraId="290AF8BA">
            <w:pPr>
              <w:widowControl/>
              <w:snapToGrid w:val="0"/>
              <w:spacing w:line="440" w:lineRule="exact"/>
              <w:jc w:val="center"/>
              <w:rPr>
                <w:rFonts w:hint="eastAsia" w:ascii="仿宋" w:eastAsia="仿宋"/>
                <w:b/>
                <w:kern w:val="0"/>
                <w:sz w:val="24"/>
                <w:lang w:val="en-US" w:eastAsia="zh-CN"/>
              </w:rPr>
            </w:pPr>
            <w:r>
              <w:rPr>
                <w:rFonts w:hint="eastAsia" w:ascii="仿宋" w:eastAsia="仿宋"/>
                <w:b/>
                <w:kern w:val="0"/>
                <w:sz w:val="24"/>
                <w:lang w:val="en-US" w:eastAsia="zh-CN"/>
              </w:rPr>
              <w:t>设备</w:t>
            </w:r>
          </w:p>
        </w:tc>
        <w:tc>
          <w:tcPr>
            <w:tcW w:w="1588" w:type="dxa"/>
          </w:tcPr>
          <w:p w14:paraId="422A5EAC">
            <w:pPr>
              <w:widowControl/>
              <w:snapToGrid w:val="0"/>
              <w:spacing w:line="440" w:lineRule="exact"/>
              <w:jc w:val="center"/>
              <w:rPr>
                <w:rFonts w:ascii="仿宋" w:eastAsia="仿宋"/>
                <w:b/>
                <w:kern w:val="0"/>
                <w:sz w:val="24"/>
              </w:rPr>
            </w:pPr>
            <w:r>
              <w:rPr>
                <w:rFonts w:hint="eastAsia" w:ascii="仿宋" w:eastAsia="仿宋"/>
                <w:b/>
                <w:kern w:val="0"/>
                <w:sz w:val="24"/>
              </w:rPr>
              <w:t>数量</w:t>
            </w:r>
          </w:p>
        </w:tc>
      </w:tr>
      <w:tr w14:paraId="43DD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060" w:type="dxa"/>
            <w:vAlign w:val="center"/>
          </w:tcPr>
          <w:p w14:paraId="1B1E521A">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1</w:t>
            </w:r>
          </w:p>
        </w:tc>
        <w:tc>
          <w:tcPr>
            <w:tcW w:w="5008" w:type="dxa"/>
            <w:vAlign w:val="center"/>
          </w:tcPr>
          <w:p w14:paraId="19C88EC8">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CCTV管道检测仪</w:t>
            </w:r>
          </w:p>
        </w:tc>
        <w:tc>
          <w:tcPr>
            <w:tcW w:w="1588" w:type="dxa"/>
            <w:vAlign w:val="center"/>
          </w:tcPr>
          <w:p w14:paraId="586C5C45">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1套</w:t>
            </w:r>
          </w:p>
        </w:tc>
      </w:tr>
      <w:tr w14:paraId="6317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60" w:type="dxa"/>
            <w:vAlign w:val="center"/>
          </w:tcPr>
          <w:p w14:paraId="3906AE17">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2</w:t>
            </w:r>
          </w:p>
        </w:tc>
        <w:tc>
          <w:tcPr>
            <w:tcW w:w="5008" w:type="dxa"/>
            <w:vAlign w:val="center"/>
          </w:tcPr>
          <w:p w14:paraId="48AAFA55">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小型管道疏通机</w:t>
            </w:r>
          </w:p>
        </w:tc>
        <w:tc>
          <w:tcPr>
            <w:tcW w:w="1588" w:type="dxa"/>
            <w:vAlign w:val="center"/>
          </w:tcPr>
          <w:p w14:paraId="5598E388">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1套</w:t>
            </w:r>
          </w:p>
        </w:tc>
      </w:tr>
      <w:tr w14:paraId="2404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60" w:type="dxa"/>
            <w:vAlign w:val="center"/>
          </w:tcPr>
          <w:p w14:paraId="690FCBFC">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3</w:t>
            </w:r>
          </w:p>
        </w:tc>
        <w:tc>
          <w:tcPr>
            <w:tcW w:w="5008" w:type="dxa"/>
            <w:vAlign w:val="center"/>
          </w:tcPr>
          <w:p w14:paraId="3B58FE4B">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管道内窥镜</w:t>
            </w:r>
          </w:p>
        </w:tc>
        <w:tc>
          <w:tcPr>
            <w:tcW w:w="1588" w:type="dxa"/>
            <w:vAlign w:val="center"/>
          </w:tcPr>
          <w:p w14:paraId="76A882B6">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1套</w:t>
            </w:r>
          </w:p>
        </w:tc>
      </w:tr>
      <w:tr w14:paraId="07A0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60" w:type="dxa"/>
            <w:vAlign w:val="center"/>
          </w:tcPr>
          <w:p w14:paraId="3A33BE99">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4</w:t>
            </w:r>
          </w:p>
        </w:tc>
        <w:tc>
          <w:tcPr>
            <w:tcW w:w="5008" w:type="dxa"/>
            <w:vAlign w:val="center"/>
          </w:tcPr>
          <w:p w14:paraId="658DF0F5">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移动水质检测仪</w:t>
            </w:r>
          </w:p>
        </w:tc>
        <w:tc>
          <w:tcPr>
            <w:tcW w:w="1588" w:type="dxa"/>
            <w:vAlign w:val="center"/>
          </w:tcPr>
          <w:p w14:paraId="19A812A1">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1套</w:t>
            </w:r>
          </w:p>
        </w:tc>
      </w:tr>
      <w:tr w14:paraId="1FB5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60" w:type="dxa"/>
            <w:vAlign w:val="center"/>
          </w:tcPr>
          <w:p w14:paraId="146C2CE7">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5</w:t>
            </w:r>
          </w:p>
        </w:tc>
        <w:tc>
          <w:tcPr>
            <w:tcW w:w="5008" w:type="dxa"/>
            <w:vAlign w:val="center"/>
          </w:tcPr>
          <w:p w14:paraId="0D837E09">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毒气检测仪</w:t>
            </w:r>
          </w:p>
        </w:tc>
        <w:tc>
          <w:tcPr>
            <w:tcW w:w="1588" w:type="dxa"/>
            <w:vAlign w:val="center"/>
          </w:tcPr>
          <w:p w14:paraId="3904011E">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1套</w:t>
            </w:r>
          </w:p>
        </w:tc>
      </w:tr>
      <w:tr w14:paraId="3ABA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60" w:type="dxa"/>
            <w:vAlign w:val="center"/>
          </w:tcPr>
          <w:p w14:paraId="02D80658">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6</w:t>
            </w:r>
          </w:p>
        </w:tc>
        <w:tc>
          <w:tcPr>
            <w:tcW w:w="5008" w:type="dxa"/>
            <w:vAlign w:val="center"/>
          </w:tcPr>
          <w:p w14:paraId="00DCDC21">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高压水枪</w:t>
            </w:r>
          </w:p>
        </w:tc>
        <w:tc>
          <w:tcPr>
            <w:tcW w:w="1588" w:type="dxa"/>
            <w:vAlign w:val="center"/>
          </w:tcPr>
          <w:p w14:paraId="4EA00277">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1把</w:t>
            </w:r>
          </w:p>
        </w:tc>
      </w:tr>
      <w:tr w14:paraId="73AA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60" w:type="dxa"/>
            <w:vAlign w:val="center"/>
          </w:tcPr>
          <w:p w14:paraId="5D6BCA36">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7</w:t>
            </w:r>
          </w:p>
        </w:tc>
        <w:tc>
          <w:tcPr>
            <w:tcW w:w="5008" w:type="dxa"/>
            <w:vAlign w:val="center"/>
          </w:tcPr>
          <w:p w14:paraId="7A88E7A6">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移动供电设备</w:t>
            </w:r>
          </w:p>
        </w:tc>
        <w:tc>
          <w:tcPr>
            <w:tcW w:w="1588" w:type="dxa"/>
            <w:vAlign w:val="center"/>
          </w:tcPr>
          <w:p w14:paraId="5C267717">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1套</w:t>
            </w:r>
          </w:p>
        </w:tc>
      </w:tr>
      <w:tr w14:paraId="0D1B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60" w:type="dxa"/>
            <w:vAlign w:val="center"/>
          </w:tcPr>
          <w:p w14:paraId="1F56BF60">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8</w:t>
            </w:r>
          </w:p>
        </w:tc>
        <w:tc>
          <w:tcPr>
            <w:tcW w:w="5008" w:type="dxa"/>
            <w:vAlign w:val="center"/>
          </w:tcPr>
          <w:p w14:paraId="4D771871">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防毒面具</w:t>
            </w:r>
          </w:p>
        </w:tc>
        <w:tc>
          <w:tcPr>
            <w:tcW w:w="1588" w:type="dxa"/>
            <w:vAlign w:val="center"/>
          </w:tcPr>
          <w:p w14:paraId="5231DF6A">
            <w:pPr>
              <w:widowControl/>
              <w:snapToGrid w:val="0"/>
              <w:spacing w:line="300" w:lineRule="exact"/>
              <w:jc w:val="center"/>
              <w:rPr>
                <w:rFonts w:hint="eastAsia" w:ascii="仿宋" w:eastAsia="仿宋"/>
                <w:bCs/>
                <w:kern w:val="0"/>
                <w:sz w:val="24"/>
                <w:lang w:val="en-US" w:eastAsia="zh-CN"/>
              </w:rPr>
            </w:pPr>
            <w:r>
              <w:rPr>
                <w:rFonts w:hint="eastAsia" w:ascii="仿宋" w:eastAsia="仿宋"/>
                <w:bCs/>
                <w:kern w:val="0"/>
                <w:sz w:val="24"/>
                <w:lang w:val="en-US" w:eastAsia="zh-CN"/>
              </w:rPr>
              <w:t>2只</w:t>
            </w:r>
          </w:p>
        </w:tc>
      </w:tr>
    </w:tbl>
    <w:p w14:paraId="38D67208">
      <w:pPr>
        <w:snapToGrid w:val="0"/>
        <w:spacing w:line="360" w:lineRule="auto"/>
        <w:jc w:val="center"/>
        <w:rPr>
          <w:rFonts w:hint="eastAsia" w:ascii="仿宋" w:hAnsi="仿宋" w:eastAsia="仿宋" w:cs="仿宋_GB2312"/>
          <w:b/>
          <w:color w:val="auto"/>
          <w:sz w:val="32"/>
          <w:highlight w:val="none"/>
          <w:lang w:val="en-US" w:eastAsia="zh-CN"/>
        </w:rPr>
      </w:pPr>
    </w:p>
    <w:p w14:paraId="1EA22BF2">
      <w:pPr>
        <w:snapToGrid w:val="0"/>
        <w:spacing w:line="360" w:lineRule="auto"/>
        <w:jc w:val="center"/>
        <w:rPr>
          <w:rFonts w:hint="eastAsia" w:ascii="仿宋" w:hAnsi="仿宋" w:eastAsia="仿宋" w:cs="仿宋_GB2312"/>
          <w:b/>
          <w:color w:val="auto"/>
          <w:sz w:val="32"/>
          <w:highlight w:val="none"/>
        </w:rPr>
      </w:pPr>
    </w:p>
    <w:p w14:paraId="2B490535">
      <w:pPr>
        <w:pStyle w:val="2"/>
        <w:rPr>
          <w:rFonts w:hint="eastAsia" w:ascii="仿宋" w:hAnsi="仿宋" w:eastAsia="仿宋" w:cs="仿宋_GB2312"/>
          <w:b/>
          <w:color w:val="auto"/>
          <w:sz w:val="32"/>
          <w:highlight w:val="none"/>
        </w:rPr>
      </w:pPr>
    </w:p>
    <w:p w14:paraId="3264F4D6">
      <w:pPr>
        <w:pStyle w:val="2"/>
        <w:rPr>
          <w:rFonts w:hint="eastAsia" w:ascii="仿宋" w:hAnsi="仿宋" w:eastAsia="仿宋" w:cs="仿宋_GB2312"/>
          <w:b/>
          <w:color w:val="auto"/>
          <w:sz w:val="32"/>
          <w:highlight w:val="none"/>
        </w:rPr>
      </w:pPr>
    </w:p>
    <w:p w14:paraId="014BFD35">
      <w:pPr>
        <w:pStyle w:val="2"/>
        <w:rPr>
          <w:rFonts w:hint="eastAsia" w:ascii="仿宋" w:hAnsi="仿宋" w:eastAsia="仿宋" w:cs="仿宋_GB2312"/>
          <w:b/>
          <w:color w:val="auto"/>
          <w:sz w:val="32"/>
          <w:highlight w:val="none"/>
        </w:rPr>
      </w:pPr>
    </w:p>
    <w:p w14:paraId="3086E0DC">
      <w:pPr>
        <w:snapToGrid w:val="0"/>
        <w:spacing w:line="360" w:lineRule="auto"/>
        <w:jc w:val="center"/>
        <w:rPr>
          <w:rFonts w:hint="eastAsia" w:ascii="仿宋" w:hAnsi="仿宋" w:eastAsia="仿宋" w:cs="仿宋_GB2312"/>
          <w:b/>
          <w:color w:val="auto"/>
          <w:sz w:val="32"/>
          <w:highlight w:val="none"/>
        </w:rPr>
      </w:pPr>
    </w:p>
    <w:p w14:paraId="178A5707">
      <w:pPr>
        <w:snapToGrid w:val="0"/>
        <w:spacing w:line="360" w:lineRule="auto"/>
        <w:jc w:val="center"/>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rPr>
        <w:t>二、商务要求</w:t>
      </w:r>
    </w:p>
    <w:p w14:paraId="5B70EA9A">
      <w:pPr>
        <w:pageBreakBefore w:val="0"/>
        <w:widowControl/>
        <w:kinsoku/>
        <w:wordWrap/>
        <w:overflowPunct/>
        <w:topLinePunct w:val="0"/>
        <w:bidi w:val="0"/>
        <w:snapToGrid w:val="0"/>
        <w:spacing w:line="384" w:lineRule="auto"/>
        <w:textAlignment w:val="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2.1服务期限</w:t>
      </w:r>
    </w:p>
    <w:p w14:paraId="6CE3D9CC">
      <w:pPr>
        <w:pageBreakBefore w:val="0"/>
        <w:widowControl/>
        <w:kinsoku/>
        <w:wordWrap/>
        <w:overflowPunct/>
        <w:topLinePunct w:val="0"/>
        <w:bidi w:val="0"/>
        <w:snapToGrid w:val="0"/>
        <w:spacing w:line="384" w:lineRule="auto"/>
        <w:textAlignment w:val="auto"/>
        <w:rPr>
          <w:rFonts w:hint="eastAsia" w:ascii="仿宋" w:eastAsia="仿宋"/>
          <w:color w:val="auto"/>
          <w:kern w:val="0"/>
          <w:sz w:val="24"/>
          <w:highlight w:val="none"/>
          <w:lang w:eastAsia="zh-CN"/>
        </w:rPr>
      </w:pPr>
      <w:r>
        <w:rPr>
          <w:rFonts w:hint="eastAsia" w:ascii="仿宋" w:hAnsi="仿宋" w:eastAsia="仿宋" w:cs="Times New Roman"/>
          <w:color w:val="auto"/>
          <w:sz w:val="24"/>
          <w:szCs w:val="28"/>
          <w:highlight w:val="none"/>
        </w:rPr>
        <w:t>自合同签订之日起</w:t>
      </w:r>
      <w:r>
        <w:rPr>
          <w:rFonts w:hint="eastAsia" w:ascii="仿宋" w:hAnsi="仿宋" w:eastAsia="仿宋" w:cs="Times New Roman"/>
          <w:color w:val="auto"/>
          <w:sz w:val="24"/>
          <w:szCs w:val="28"/>
          <w:highlight w:val="none"/>
          <w:lang w:val="en-US" w:eastAsia="zh-CN"/>
        </w:rPr>
        <w:t>一</w:t>
      </w:r>
      <w:r>
        <w:rPr>
          <w:rFonts w:hint="eastAsia" w:ascii="仿宋" w:hAnsi="仿宋" w:eastAsia="仿宋" w:cs="Times New Roman"/>
          <w:color w:val="auto"/>
          <w:sz w:val="24"/>
          <w:szCs w:val="28"/>
          <w:highlight w:val="none"/>
        </w:rPr>
        <w:t>年。</w:t>
      </w:r>
    </w:p>
    <w:p w14:paraId="2A4FD24B">
      <w:pPr>
        <w:pageBreakBefore w:val="0"/>
        <w:widowControl/>
        <w:kinsoku/>
        <w:wordWrap/>
        <w:overflowPunct/>
        <w:topLinePunct w:val="0"/>
        <w:bidi w:val="0"/>
        <w:snapToGrid w:val="0"/>
        <w:spacing w:line="384" w:lineRule="auto"/>
        <w:textAlignment w:val="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2.2检查、考核</w:t>
      </w:r>
    </w:p>
    <w:p w14:paraId="08FB8743">
      <w:pPr>
        <w:pageBreakBefore w:val="0"/>
        <w:widowControl/>
        <w:kinsoku/>
        <w:wordWrap/>
        <w:overflowPunct/>
        <w:topLinePunct w:val="0"/>
        <w:bidi w:val="0"/>
        <w:snapToGrid w:val="0"/>
        <w:spacing w:line="384" w:lineRule="auto"/>
        <w:textAlignment w:val="auto"/>
        <w:rPr>
          <w:rFonts w:ascii="仿宋" w:eastAsia="仿宋"/>
          <w:color w:val="auto"/>
          <w:kern w:val="0"/>
          <w:sz w:val="24"/>
          <w:highlight w:val="none"/>
        </w:rPr>
      </w:pPr>
      <w:r>
        <w:rPr>
          <w:rFonts w:hint="eastAsia" w:ascii="仿宋" w:eastAsia="仿宋"/>
          <w:color w:val="auto"/>
          <w:kern w:val="0"/>
          <w:sz w:val="24"/>
          <w:highlight w:val="none"/>
        </w:rPr>
        <w:t>2.</w:t>
      </w:r>
      <w:r>
        <w:rPr>
          <w:rFonts w:ascii="仿宋" w:eastAsia="仿宋"/>
          <w:color w:val="auto"/>
          <w:kern w:val="0"/>
          <w:sz w:val="24"/>
          <w:highlight w:val="none"/>
        </w:rPr>
        <w:t>2</w:t>
      </w:r>
      <w:r>
        <w:rPr>
          <w:rFonts w:hint="eastAsia" w:ascii="仿宋" w:eastAsia="仿宋"/>
          <w:color w:val="auto"/>
          <w:kern w:val="0"/>
          <w:sz w:val="24"/>
          <w:highlight w:val="none"/>
        </w:rPr>
        <w:t>.</w:t>
      </w:r>
      <w:r>
        <w:rPr>
          <w:rFonts w:ascii="仿宋" w:eastAsia="仿宋"/>
          <w:color w:val="auto"/>
          <w:kern w:val="0"/>
          <w:sz w:val="24"/>
          <w:highlight w:val="none"/>
        </w:rPr>
        <w:t>1</w:t>
      </w:r>
      <w:r>
        <w:rPr>
          <w:rFonts w:hint="eastAsia" w:ascii="仿宋" w:eastAsia="仿宋"/>
          <w:color w:val="auto"/>
          <w:kern w:val="0"/>
          <w:sz w:val="24"/>
          <w:highlight w:val="none"/>
        </w:rPr>
        <w:t>在承包期内，中标人无充分理由终止承包合同，造成不良社会影响，发包方有权罚没保证金，扣除当月承包款，并终止合同。</w:t>
      </w:r>
    </w:p>
    <w:p w14:paraId="00CFF378">
      <w:pPr>
        <w:pageBreakBefore w:val="0"/>
        <w:widowControl/>
        <w:kinsoku/>
        <w:wordWrap/>
        <w:overflowPunct/>
        <w:topLinePunct w:val="0"/>
        <w:bidi w:val="0"/>
        <w:snapToGrid w:val="0"/>
        <w:spacing w:line="384" w:lineRule="auto"/>
        <w:textAlignment w:val="auto"/>
        <w:rPr>
          <w:rFonts w:ascii="仿宋" w:eastAsia="仿宋"/>
          <w:color w:val="auto"/>
          <w:kern w:val="0"/>
          <w:sz w:val="24"/>
          <w:highlight w:val="none"/>
        </w:rPr>
      </w:pPr>
      <w:r>
        <w:rPr>
          <w:rFonts w:hint="eastAsia" w:ascii="仿宋" w:eastAsia="仿宋"/>
          <w:color w:val="auto"/>
          <w:kern w:val="0"/>
          <w:sz w:val="24"/>
          <w:highlight w:val="none"/>
        </w:rPr>
        <w:t>2.</w:t>
      </w:r>
      <w:r>
        <w:rPr>
          <w:rFonts w:ascii="仿宋" w:eastAsia="仿宋"/>
          <w:color w:val="auto"/>
          <w:kern w:val="0"/>
          <w:sz w:val="24"/>
          <w:highlight w:val="none"/>
        </w:rPr>
        <w:t>2</w:t>
      </w:r>
      <w:r>
        <w:rPr>
          <w:rFonts w:hint="eastAsia" w:ascii="仿宋" w:eastAsia="仿宋"/>
          <w:color w:val="auto"/>
          <w:kern w:val="0"/>
          <w:sz w:val="24"/>
          <w:highlight w:val="none"/>
        </w:rPr>
        <w:t>.</w:t>
      </w:r>
      <w:r>
        <w:rPr>
          <w:rFonts w:ascii="仿宋" w:eastAsia="仿宋"/>
          <w:color w:val="auto"/>
          <w:kern w:val="0"/>
          <w:sz w:val="24"/>
          <w:highlight w:val="none"/>
        </w:rPr>
        <w:t>2</w:t>
      </w:r>
      <w:r>
        <w:rPr>
          <w:rFonts w:hint="eastAsia" w:ascii="仿宋" w:eastAsia="仿宋"/>
          <w:color w:val="auto"/>
          <w:kern w:val="0"/>
          <w:sz w:val="24"/>
          <w:highlight w:val="none"/>
        </w:rPr>
        <w:t>中标人应自觉接受发包方的管理和指导，服从发包方和上级部门的检查考核，无偿服从重大活动或上级检查期间的加班加点和突击任务安排，造成不良社会影响，发包方有权罚没保证金，扣除当月承包款，并终止合同。</w:t>
      </w:r>
    </w:p>
    <w:p w14:paraId="6AC1BD8C">
      <w:pPr>
        <w:pageBreakBefore w:val="0"/>
        <w:widowControl/>
        <w:kinsoku/>
        <w:wordWrap/>
        <w:overflowPunct/>
        <w:topLinePunct w:val="0"/>
        <w:bidi w:val="0"/>
        <w:snapToGrid w:val="0"/>
        <w:spacing w:line="384" w:lineRule="auto"/>
        <w:textAlignment w:val="auto"/>
        <w:rPr>
          <w:rFonts w:ascii="仿宋" w:eastAsia="仿宋"/>
          <w:color w:val="auto"/>
          <w:kern w:val="0"/>
          <w:sz w:val="24"/>
          <w:highlight w:val="none"/>
        </w:rPr>
      </w:pPr>
      <w:r>
        <w:rPr>
          <w:rFonts w:hint="eastAsia" w:ascii="仿宋" w:eastAsia="仿宋"/>
          <w:color w:val="auto"/>
          <w:kern w:val="0"/>
          <w:sz w:val="24"/>
          <w:highlight w:val="none"/>
        </w:rPr>
        <w:t>2.</w:t>
      </w:r>
      <w:r>
        <w:rPr>
          <w:rFonts w:ascii="仿宋" w:eastAsia="仿宋"/>
          <w:color w:val="auto"/>
          <w:kern w:val="0"/>
          <w:sz w:val="24"/>
          <w:highlight w:val="none"/>
        </w:rPr>
        <w:t>2</w:t>
      </w:r>
      <w:r>
        <w:rPr>
          <w:rFonts w:hint="eastAsia" w:ascii="仿宋" w:eastAsia="仿宋"/>
          <w:color w:val="auto"/>
          <w:kern w:val="0"/>
          <w:sz w:val="24"/>
          <w:highlight w:val="none"/>
        </w:rPr>
        <w:t>.</w:t>
      </w:r>
      <w:r>
        <w:rPr>
          <w:rFonts w:ascii="仿宋" w:eastAsia="仿宋"/>
          <w:color w:val="auto"/>
          <w:kern w:val="0"/>
          <w:sz w:val="24"/>
          <w:highlight w:val="none"/>
        </w:rPr>
        <w:t>3</w:t>
      </w:r>
      <w:r>
        <w:rPr>
          <w:rFonts w:hint="eastAsia" w:ascii="仿宋" w:eastAsia="仿宋"/>
          <w:color w:val="auto"/>
          <w:kern w:val="0"/>
          <w:sz w:val="24"/>
          <w:highlight w:val="none"/>
        </w:rPr>
        <w:t>中标人应每月按时向员工发放工资，不得拖欠、克扣员工工资，造成不良社会影响，发包方有权罚没保证金，扣除当月承包款，并终止合同。</w:t>
      </w:r>
    </w:p>
    <w:p w14:paraId="03B90CC1">
      <w:pPr>
        <w:pageBreakBefore w:val="0"/>
        <w:widowControl/>
        <w:kinsoku/>
        <w:wordWrap/>
        <w:overflowPunct/>
        <w:topLinePunct w:val="0"/>
        <w:bidi w:val="0"/>
        <w:snapToGrid w:val="0"/>
        <w:spacing w:line="384" w:lineRule="auto"/>
        <w:textAlignment w:val="auto"/>
        <w:rPr>
          <w:rFonts w:ascii="仿宋" w:eastAsia="仿宋"/>
          <w:color w:val="auto"/>
          <w:kern w:val="0"/>
          <w:sz w:val="24"/>
          <w:highlight w:val="none"/>
        </w:rPr>
      </w:pPr>
      <w:r>
        <w:rPr>
          <w:rFonts w:hint="eastAsia" w:ascii="仿宋" w:eastAsia="仿宋"/>
          <w:color w:val="auto"/>
          <w:kern w:val="0"/>
          <w:sz w:val="24"/>
          <w:highlight w:val="none"/>
        </w:rPr>
        <w:t>2.</w:t>
      </w:r>
      <w:r>
        <w:rPr>
          <w:rFonts w:ascii="仿宋" w:eastAsia="仿宋"/>
          <w:color w:val="auto"/>
          <w:kern w:val="0"/>
          <w:sz w:val="24"/>
          <w:highlight w:val="none"/>
        </w:rPr>
        <w:t>2</w:t>
      </w:r>
      <w:r>
        <w:rPr>
          <w:rFonts w:hint="eastAsia" w:ascii="仿宋" w:eastAsia="仿宋"/>
          <w:color w:val="auto"/>
          <w:kern w:val="0"/>
          <w:sz w:val="24"/>
          <w:highlight w:val="none"/>
        </w:rPr>
        <w:t>.</w:t>
      </w:r>
      <w:r>
        <w:rPr>
          <w:rFonts w:ascii="仿宋" w:eastAsia="仿宋"/>
          <w:color w:val="auto"/>
          <w:kern w:val="0"/>
          <w:sz w:val="24"/>
          <w:highlight w:val="none"/>
        </w:rPr>
        <w:t>4</w:t>
      </w:r>
      <w:r>
        <w:rPr>
          <w:rFonts w:hint="eastAsia" w:ascii="仿宋" w:eastAsia="仿宋"/>
          <w:color w:val="auto"/>
          <w:kern w:val="0"/>
          <w:sz w:val="24"/>
          <w:highlight w:val="none"/>
        </w:rPr>
        <w:t>中标人未经发包方同意擅自转包或分包，发包方有权终止承包合同，并罚没风险抵押金。</w:t>
      </w:r>
    </w:p>
    <w:p w14:paraId="7E44D879">
      <w:pPr>
        <w:pageBreakBefore w:val="0"/>
        <w:widowControl/>
        <w:kinsoku/>
        <w:wordWrap/>
        <w:overflowPunct/>
        <w:topLinePunct w:val="0"/>
        <w:bidi w:val="0"/>
        <w:snapToGrid w:val="0"/>
        <w:spacing w:line="384" w:lineRule="auto"/>
        <w:textAlignment w:val="auto"/>
        <w:rPr>
          <w:rFonts w:hint="eastAsia" w:ascii="仿宋" w:eastAsia="仿宋"/>
          <w:color w:val="auto"/>
          <w:kern w:val="0"/>
          <w:sz w:val="24"/>
          <w:highlight w:val="none"/>
          <w:lang w:eastAsia="zh-CN"/>
        </w:rPr>
      </w:pPr>
      <w:r>
        <w:rPr>
          <w:rFonts w:hint="eastAsia" w:ascii="仿宋" w:eastAsia="仿宋"/>
          <w:color w:val="auto"/>
          <w:kern w:val="0"/>
          <w:sz w:val="24"/>
          <w:highlight w:val="none"/>
        </w:rPr>
        <w:t>2.</w:t>
      </w:r>
      <w:r>
        <w:rPr>
          <w:rFonts w:ascii="仿宋" w:eastAsia="仿宋"/>
          <w:color w:val="auto"/>
          <w:kern w:val="0"/>
          <w:sz w:val="24"/>
          <w:highlight w:val="none"/>
        </w:rPr>
        <w:t>2</w:t>
      </w:r>
      <w:r>
        <w:rPr>
          <w:rFonts w:hint="eastAsia" w:ascii="仿宋" w:eastAsia="仿宋"/>
          <w:color w:val="auto"/>
          <w:kern w:val="0"/>
          <w:sz w:val="24"/>
          <w:highlight w:val="none"/>
        </w:rPr>
        <w:t>.</w:t>
      </w:r>
      <w:r>
        <w:rPr>
          <w:rFonts w:ascii="仿宋" w:eastAsia="仿宋"/>
          <w:color w:val="auto"/>
          <w:kern w:val="0"/>
          <w:sz w:val="24"/>
          <w:highlight w:val="none"/>
        </w:rPr>
        <w:t>5</w:t>
      </w:r>
      <w:r>
        <w:rPr>
          <w:rFonts w:hint="eastAsia" w:ascii="仿宋" w:eastAsia="仿宋"/>
          <w:color w:val="auto"/>
          <w:kern w:val="0"/>
          <w:sz w:val="24"/>
          <w:highlight w:val="none"/>
        </w:rPr>
        <w:t>中标人出现下列情况之一，发包方有权终止合同，并罚没履约保证金和年度考核奖：（1）中标人违反发包方责任条款内容的；（2）在重大节庆活动期间，中标人不服从发包方工作安排；（3）未妥善处理因养护管理印发的各类事故，导致多次投诉和全体性上访的。</w:t>
      </w:r>
    </w:p>
    <w:p w14:paraId="1187A2B7">
      <w:pPr>
        <w:pageBreakBefore w:val="0"/>
        <w:kinsoku/>
        <w:wordWrap/>
        <w:overflowPunct/>
        <w:topLinePunct w:val="0"/>
        <w:bidi w:val="0"/>
        <w:spacing w:line="384" w:lineRule="auto"/>
        <w:textAlignment w:val="auto"/>
        <w:rPr>
          <w:rFonts w:hint="eastAsia" w:ascii="仿宋" w:eastAsia="仿宋"/>
          <w:color w:val="auto"/>
          <w:sz w:val="24"/>
          <w:highlight w:val="none"/>
        </w:rPr>
      </w:pPr>
      <w:r>
        <w:rPr>
          <w:rFonts w:hint="eastAsia" w:ascii="仿宋" w:eastAsia="仿宋"/>
          <w:color w:val="auto"/>
          <w:sz w:val="24"/>
          <w:highlight w:val="none"/>
        </w:rPr>
        <w:t>达到绍兴市柯桥区钱清街道的考核要求（要求附后）。</w:t>
      </w:r>
    </w:p>
    <w:p w14:paraId="44F1D879">
      <w:pPr>
        <w:pageBreakBefore w:val="0"/>
        <w:kinsoku/>
        <w:wordWrap/>
        <w:overflowPunct/>
        <w:topLinePunct w:val="0"/>
        <w:bidi w:val="0"/>
        <w:spacing w:line="384" w:lineRule="auto"/>
        <w:textAlignment w:val="auto"/>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2.2.6 发包方巡查发现或接到投诉窨井井盖破损未更换养护的扣1000元/只。</w:t>
      </w:r>
    </w:p>
    <w:p w14:paraId="3B789B75">
      <w:pPr>
        <w:pageBreakBefore w:val="0"/>
        <w:kinsoku/>
        <w:wordWrap/>
        <w:overflowPunct/>
        <w:topLinePunct w:val="0"/>
        <w:bidi w:val="0"/>
        <w:spacing w:line="384" w:lineRule="auto"/>
        <w:textAlignment w:val="auto"/>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color w:val="auto"/>
          <w:sz w:val="24"/>
          <w:highlight w:val="none"/>
          <w:lang w:val="en-US" w:eastAsia="zh-CN"/>
        </w:rPr>
        <w:t>7</w:t>
      </w:r>
      <w:r>
        <w:rPr>
          <w:rFonts w:hint="eastAsia" w:ascii="仿宋" w:eastAsia="仿宋"/>
          <w:color w:val="auto"/>
          <w:sz w:val="24"/>
          <w:highlight w:val="none"/>
        </w:rPr>
        <w:t>其他要求：</w:t>
      </w:r>
    </w:p>
    <w:p w14:paraId="510A793E">
      <w:pPr>
        <w:pageBreakBefore w:val="0"/>
        <w:kinsoku/>
        <w:wordWrap/>
        <w:overflowPunct/>
        <w:topLinePunct w:val="0"/>
        <w:bidi w:val="0"/>
        <w:spacing w:line="384" w:lineRule="auto"/>
        <w:textAlignment w:val="auto"/>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color w:val="auto"/>
          <w:sz w:val="24"/>
          <w:highlight w:val="none"/>
          <w:lang w:val="en-US" w:eastAsia="zh-CN"/>
        </w:rPr>
        <w:t>7</w:t>
      </w:r>
      <w:r>
        <w:rPr>
          <w:rFonts w:hint="eastAsia" w:ascii="仿宋" w:eastAsia="仿宋"/>
          <w:color w:val="auto"/>
          <w:sz w:val="24"/>
          <w:highlight w:val="none"/>
        </w:rPr>
        <w:t>.1确保在各类创建、评比活动中不失分。</w:t>
      </w:r>
    </w:p>
    <w:p w14:paraId="19D9FA24">
      <w:pPr>
        <w:pageBreakBefore w:val="0"/>
        <w:kinsoku/>
        <w:wordWrap/>
        <w:overflowPunct/>
        <w:topLinePunct w:val="0"/>
        <w:bidi w:val="0"/>
        <w:spacing w:line="384" w:lineRule="auto"/>
        <w:textAlignment w:val="auto"/>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color w:val="auto"/>
          <w:sz w:val="24"/>
          <w:highlight w:val="none"/>
          <w:lang w:val="en-US" w:eastAsia="zh-CN"/>
        </w:rPr>
        <w:t>7</w:t>
      </w:r>
      <w:r>
        <w:rPr>
          <w:rFonts w:hint="eastAsia" w:ascii="仿宋" w:eastAsia="仿宋"/>
          <w:color w:val="auto"/>
          <w:sz w:val="24"/>
          <w:highlight w:val="none"/>
        </w:rPr>
        <w:t>.2确保现有业主单位所从事的承诺服务工作。</w:t>
      </w:r>
    </w:p>
    <w:p w14:paraId="4900DFD3">
      <w:pPr>
        <w:pageBreakBefore w:val="0"/>
        <w:kinsoku/>
        <w:wordWrap/>
        <w:overflowPunct/>
        <w:topLinePunct w:val="0"/>
        <w:bidi w:val="0"/>
        <w:spacing w:line="384" w:lineRule="auto"/>
        <w:textAlignment w:val="auto"/>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color w:val="auto"/>
          <w:sz w:val="24"/>
          <w:highlight w:val="none"/>
          <w:lang w:val="en-US" w:eastAsia="zh-CN"/>
        </w:rPr>
        <w:t>7</w:t>
      </w:r>
      <w:r>
        <w:rPr>
          <w:rFonts w:hint="eastAsia" w:ascii="仿宋" w:eastAsia="仿宋"/>
          <w:color w:val="auto"/>
          <w:sz w:val="24"/>
          <w:highlight w:val="none"/>
        </w:rPr>
        <w:t>.3各类检查评比活动中，涉及承包范围内的任何突击任务。</w:t>
      </w:r>
    </w:p>
    <w:p w14:paraId="3285C8D5">
      <w:pPr>
        <w:pageBreakBefore w:val="0"/>
        <w:kinsoku/>
        <w:wordWrap/>
        <w:overflowPunct/>
        <w:topLinePunct w:val="0"/>
        <w:bidi w:val="0"/>
        <w:snapToGrid w:val="0"/>
        <w:spacing w:line="384" w:lineRule="auto"/>
        <w:textAlignment w:val="auto"/>
        <w:rPr>
          <w:rFonts w:hint="eastAsia" w:ascii="仿宋" w:hAnsi="Times New Roman" w:eastAsia="仿宋" w:cs="Times New Roman"/>
          <w:color w:val="auto"/>
          <w:sz w:val="24"/>
          <w:highlight w:val="none"/>
        </w:rPr>
      </w:pPr>
      <w:r>
        <w:rPr>
          <w:rFonts w:hint="eastAsia" w:ascii="仿宋" w:eastAsia="仿宋"/>
          <w:color w:val="auto"/>
          <w:sz w:val="24"/>
          <w:highlight w:val="none"/>
        </w:rPr>
        <w:t>2.2.</w:t>
      </w:r>
      <w:r>
        <w:rPr>
          <w:rFonts w:hint="eastAsia" w:ascii="仿宋" w:eastAsia="仿宋"/>
          <w:color w:val="auto"/>
          <w:sz w:val="24"/>
          <w:highlight w:val="none"/>
          <w:lang w:val="en-US" w:eastAsia="zh-CN"/>
        </w:rPr>
        <w:t>7</w:t>
      </w:r>
      <w:r>
        <w:rPr>
          <w:rFonts w:hint="eastAsia" w:ascii="仿宋" w:eastAsia="仿宋"/>
          <w:color w:val="auto"/>
          <w:sz w:val="24"/>
          <w:highlight w:val="none"/>
        </w:rPr>
        <w:t>.4中标通知书签发后7天内，必须确保车辆到位，如遇特殊情况须提前告知业主，否则可视为违约。如未能在签订合同前提供的将被视为放弃中</w:t>
      </w:r>
      <w:r>
        <w:rPr>
          <w:rFonts w:hint="eastAsia" w:ascii="仿宋" w:hAnsi="Times New Roman" w:eastAsia="仿宋" w:cs="Times New Roman"/>
          <w:color w:val="auto"/>
          <w:sz w:val="24"/>
          <w:highlight w:val="none"/>
        </w:rPr>
        <w:t>标。</w:t>
      </w:r>
    </w:p>
    <w:p w14:paraId="087952E9">
      <w:pPr>
        <w:pageBreakBefore w:val="0"/>
        <w:widowControl/>
        <w:kinsoku/>
        <w:wordWrap/>
        <w:overflowPunct/>
        <w:topLinePunct w:val="0"/>
        <w:bidi w:val="0"/>
        <w:snapToGrid w:val="0"/>
        <w:spacing w:line="384" w:lineRule="auto"/>
        <w:textAlignment w:val="auto"/>
        <w:rPr>
          <w:rFonts w:hint="eastAsia" w:ascii="仿宋" w:eastAsia="仿宋"/>
          <w:b/>
          <w:bCs/>
          <w:color w:val="auto"/>
          <w:sz w:val="24"/>
          <w:highlight w:val="none"/>
        </w:rPr>
      </w:pPr>
      <w:r>
        <w:rPr>
          <w:rFonts w:hint="eastAsia" w:ascii="仿宋" w:hAnsi="仿宋" w:eastAsia="仿宋"/>
          <w:color w:val="auto"/>
          <w:sz w:val="24"/>
          <w:highlight w:val="none"/>
        </w:rPr>
        <w:t>▲</w:t>
      </w:r>
      <w:r>
        <w:rPr>
          <w:rFonts w:hint="eastAsia" w:ascii="仿宋" w:eastAsia="仿宋"/>
          <w:b/>
          <w:bCs/>
          <w:color w:val="auto"/>
          <w:sz w:val="24"/>
          <w:highlight w:val="none"/>
        </w:rPr>
        <w:t>2.3数量调整</w:t>
      </w:r>
    </w:p>
    <w:p w14:paraId="75DDA39B">
      <w:pPr>
        <w:pageBreakBefore w:val="0"/>
        <w:kinsoku/>
        <w:wordWrap/>
        <w:overflowPunct/>
        <w:topLinePunct w:val="0"/>
        <w:bidi w:val="0"/>
        <w:spacing w:line="384" w:lineRule="auto"/>
        <w:textAlignment w:val="auto"/>
        <w:rPr>
          <w:rFonts w:hint="eastAsia" w:ascii="仿宋" w:eastAsia="仿宋"/>
          <w:b/>
          <w:bCs/>
          <w:color w:val="auto"/>
          <w:sz w:val="24"/>
          <w:highlight w:val="none"/>
        </w:rPr>
      </w:pPr>
      <w:r>
        <w:rPr>
          <w:rFonts w:hint="eastAsia" w:ascii="仿宋" w:eastAsia="仿宋"/>
          <w:color w:val="auto"/>
          <w:sz w:val="24"/>
          <w:highlight w:val="none"/>
        </w:rPr>
        <w:t>养护数量如果和实际清点数量不符，以养护范围为准，养护金额不作调整。</w:t>
      </w:r>
    </w:p>
    <w:p w14:paraId="26C81C99">
      <w:pPr>
        <w:pageBreakBefore w:val="0"/>
        <w:widowControl/>
        <w:kinsoku/>
        <w:wordWrap/>
        <w:overflowPunct/>
        <w:topLinePunct w:val="0"/>
        <w:bidi w:val="0"/>
        <w:snapToGrid w:val="0"/>
        <w:spacing w:line="384" w:lineRule="auto"/>
        <w:textAlignment w:val="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2.4付款方式</w:t>
      </w:r>
    </w:p>
    <w:p w14:paraId="5119B132">
      <w:pPr>
        <w:pageBreakBefore w:val="0"/>
        <w:widowControl/>
        <w:numPr>
          <w:ilvl w:val="0"/>
          <w:numId w:val="0"/>
        </w:numPr>
        <w:kinsoku/>
        <w:wordWrap/>
        <w:overflowPunct/>
        <w:topLinePunct w:val="0"/>
        <w:bidi w:val="0"/>
        <w:snapToGrid w:val="0"/>
        <w:spacing w:line="384" w:lineRule="auto"/>
        <w:textAlignment w:val="auto"/>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2.4.1</w:t>
      </w:r>
      <w:r>
        <w:rPr>
          <w:rFonts w:hint="eastAsia" w:ascii="仿宋" w:eastAsia="仿宋"/>
          <w:color w:val="auto"/>
          <w:kern w:val="0"/>
          <w:sz w:val="24"/>
          <w:highlight w:val="none"/>
        </w:rPr>
        <w:t>按季支付，第一季度经考核合格后在下一季度第一个月支付第一个季度的养护款，以此类推。</w:t>
      </w:r>
    </w:p>
    <w:p w14:paraId="0D36531D">
      <w:pPr>
        <w:pStyle w:val="4"/>
        <w:pageBreakBefore w:val="0"/>
        <w:numPr>
          <w:ilvl w:val="0"/>
          <w:numId w:val="0"/>
        </w:numPr>
        <w:kinsoku/>
        <w:wordWrap/>
        <w:overflowPunct/>
        <w:topLinePunct w:val="0"/>
        <w:bidi w:val="0"/>
        <w:spacing w:line="384" w:lineRule="auto"/>
        <w:ind w:leftChars="0"/>
        <w:textAlignment w:val="auto"/>
        <w:rPr>
          <w:rFonts w:hint="default" w:ascii="仿宋" w:hAnsi="Times New Roman" w:eastAsia="仿宋" w:cs="Times New Roman"/>
          <w:b w:val="0"/>
          <w:bCs w:val="0"/>
          <w:color w:val="auto"/>
          <w:kern w:val="0"/>
          <w:sz w:val="24"/>
          <w:szCs w:val="24"/>
          <w:highlight w:val="none"/>
          <w:lang w:val="en-US" w:eastAsia="zh-CN" w:bidi="ar-SA"/>
        </w:rPr>
      </w:pPr>
      <w:r>
        <w:rPr>
          <w:rFonts w:hint="eastAsia" w:ascii="仿宋" w:hAnsi="Times New Roman" w:eastAsia="仿宋" w:cs="Times New Roman"/>
          <w:b w:val="0"/>
          <w:bCs w:val="0"/>
          <w:color w:val="auto"/>
          <w:kern w:val="0"/>
          <w:sz w:val="24"/>
          <w:szCs w:val="24"/>
          <w:highlight w:val="none"/>
          <w:lang w:val="en-US" w:eastAsia="zh-CN" w:bidi="ar-SA"/>
        </w:rPr>
        <w:t>2.4.2</w:t>
      </w:r>
      <w:r>
        <w:rPr>
          <w:rFonts w:hint="eastAsia" w:ascii="仿宋" w:eastAsia="仿宋"/>
          <w:b w:val="0"/>
          <w:bCs w:val="0"/>
          <w:kern w:val="0"/>
          <w:sz w:val="24"/>
          <w:highlight w:val="none"/>
          <w:lang w:val="en-US" w:eastAsia="zh-CN"/>
        </w:rPr>
        <w:t>涉及中小企业合同的，按采购文件总则28条预付款规定执行</w:t>
      </w:r>
      <w:r>
        <w:rPr>
          <w:rFonts w:hint="eastAsia" w:ascii="仿宋_GB2312" w:hAnsi="宋体" w:eastAsia="仿宋_GB2312"/>
          <w:b w:val="0"/>
          <w:bCs w:val="0"/>
          <w:sz w:val="24"/>
          <w:highlight w:val="none"/>
        </w:rPr>
        <w:t>。</w:t>
      </w:r>
      <w:r>
        <w:rPr>
          <w:rFonts w:hint="eastAsia" w:ascii="仿宋_GB2312" w:hAnsi="宋体" w:eastAsia="仿宋_GB2312"/>
          <w:sz w:val="24"/>
          <w:highlight w:val="none"/>
        </w:rPr>
        <w:t xml:space="preserve"> </w:t>
      </w:r>
    </w:p>
    <w:p w14:paraId="42E32EED">
      <w:pPr>
        <w:pageBreakBefore w:val="0"/>
        <w:widowControl/>
        <w:kinsoku/>
        <w:wordWrap/>
        <w:overflowPunct/>
        <w:topLinePunct w:val="0"/>
        <w:bidi w:val="0"/>
        <w:snapToGrid w:val="0"/>
        <w:spacing w:line="384" w:lineRule="auto"/>
        <w:textAlignment w:val="auto"/>
        <w:rPr>
          <w:rFonts w:ascii="仿宋" w:eastAsia="仿宋"/>
          <w:b/>
          <w:bCs/>
          <w:color w:val="auto"/>
          <w:kern w:val="0"/>
          <w:sz w:val="24"/>
          <w:highlight w:val="none"/>
        </w:rPr>
      </w:pPr>
      <w:r>
        <w:rPr>
          <w:rFonts w:hint="eastAsia" w:ascii="仿宋" w:eastAsia="仿宋"/>
          <w:b/>
          <w:bCs/>
          <w:color w:val="auto"/>
          <w:kern w:val="0"/>
          <w:sz w:val="24"/>
          <w:highlight w:val="none"/>
        </w:rPr>
        <w:t>▲2.</w:t>
      </w:r>
      <w:r>
        <w:rPr>
          <w:rFonts w:ascii="仿宋" w:eastAsia="仿宋"/>
          <w:b/>
          <w:bCs/>
          <w:color w:val="auto"/>
          <w:kern w:val="0"/>
          <w:sz w:val="24"/>
          <w:highlight w:val="none"/>
        </w:rPr>
        <w:t>5</w:t>
      </w:r>
      <w:r>
        <w:rPr>
          <w:rFonts w:hint="eastAsia" w:ascii="仿宋" w:eastAsia="仿宋"/>
          <w:b/>
          <w:bCs/>
          <w:color w:val="auto"/>
          <w:kern w:val="0"/>
          <w:sz w:val="24"/>
          <w:highlight w:val="none"/>
        </w:rPr>
        <w:t>其他要求：</w:t>
      </w:r>
    </w:p>
    <w:p w14:paraId="1103DC82">
      <w:pPr>
        <w:pageBreakBefore w:val="0"/>
        <w:kinsoku/>
        <w:wordWrap/>
        <w:overflowPunct/>
        <w:topLinePunct w:val="0"/>
        <w:autoSpaceDE w:val="0"/>
        <w:autoSpaceDN w:val="0"/>
        <w:bidi w:val="0"/>
        <w:spacing w:line="384" w:lineRule="auto"/>
        <w:textAlignment w:val="auto"/>
        <w:rPr>
          <w:rFonts w:ascii="仿宋" w:eastAsia="仿宋"/>
          <w:color w:val="auto"/>
          <w:kern w:val="0"/>
          <w:sz w:val="24"/>
          <w:highlight w:val="none"/>
        </w:rPr>
      </w:pPr>
      <w:r>
        <w:rPr>
          <w:rFonts w:ascii="仿宋" w:eastAsia="仿宋"/>
          <w:color w:val="auto"/>
          <w:kern w:val="0"/>
          <w:sz w:val="24"/>
          <w:highlight w:val="none"/>
        </w:rPr>
        <w:t>2.5</w:t>
      </w:r>
      <w:r>
        <w:rPr>
          <w:rFonts w:hint="eastAsia" w:ascii="仿宋" w:eastAsia="仿宋"/>
          <w:color w:val="auto"/>
          <w:kern w:val="0"/>
          <w:sz w:val="24"/>
          <w:highlight w:val="none"/>
        </w:rPr>
        <w:t>.1中标供应商必须按规定程序和安全文明服务有关要求进行实施，承担服务过程中的各种意外，其责任由中标供应商承担，采购人不承担任何责任。</w:t>
      </w:r>
    </w:p>
    <w:p w14:paraId="081BA89E">
      <w:pPr>
        <w:pageBreakBefore w:val="0"/>
        <w:kinsoku/>
        <w:wordWrap/>
        <w:overflowPunct/>
        <w:topLinePunct w:val="0"/>
        <w:bidi w:val="0"/>
        <w:adjustRightInd/>
        <w:spacing w:line="384" w:lineRule="auto"/>
        <w:jc w:val="left"/>
        <w:textAlignment w:val="auto"/>
        <w:rPr>
          <w:rFonts w:ascii="仿宋" w:eastAsia="仿宋"/>
          <w:color w:val="auto"/>
          <w:kern w:val="0"/>
          <w:sz w:val="24"/>
          <w:highlight w:val="none"/>
        </w:rPr>
      </w:pPr>
      <w:r>
        <w:rPr>
          <w:rFonts w:ascii="仿宋" w:eastAsia="仿宋"/>
          <w:color w:val="auto"/>
          <w:kern w:val="0"/>
          <w:sz w:val="24"/>
          <w:highlight w:val="none"/>
        </w:rPr>
        <w:t>2.5</w:t>
      </w:r>
      <w:r>
        <w:rPr>
          <w:rFonts w:hint="eastAsia" w:ascii="仿宋" w:eastAsia="仿宋"/>
          <w:color w:val="auto"/>
          <w:kern w:val="0"/>
          <w:sz w:val="24"/>
          <w:highlight w:val="none"/>
        </w:rPr>
        <w:t>.2中标供应商在工作期间及途中，如发生人身安全等事故，与采购人无涉，由中标供应商负责。</w:t>
      </w:r>
    </w:p>
    <w:p w14:paraId="4B42E6CB">
      <w:pPr>
        <w:pageBreakBefore w:val="0"/>
        <w:kinsoku/>
        <w:wordWrap/>
        <w:overflowPunct/>
        <w:topLinePunct w:val="0"/>
        <w:bidi w:val="0"/>
        <w:adjustRightInd/>
        <w:spacing w:line="384" w:lineRule="auto"/>
        <w:jc w:val="left"/>
        <w:textAlignment w:val="auto"/>
        <w:rPr>
          <w:rFonts w:ascii="仿宋" w:eastAsia="仿宋"/>
          <w:b/>
          <w:bCs/>
          <w:color w:val="auto"/>
          <w:kern w:val="0"/>
          <w:sz w:val="24"/>
          <w:highlight w:val="none"/>
        </w:rPr>
      </w:pPr>
      <w:r>
        <w:rPr>
          <w:rFonts w:ascii="仿宋" w:eastAsia="仿宋"/>
          <w:b/>
          <w:bCs/>
          <w:color w:val="auto"/>
          <w:kern w:val="0"/>
          <w:sz w:val="24"/>
          <w:highlight w:val="none"/>
        </w:rPr>
        <w:t>2.6</w:t>
      </w:r>
      <w:r>
        <w:rPr>
          <w:rFonts w:hint="eastAsia" w:ascii="仿宋" w:eastAsia="仿宋"/>
          <w:b/>
          <w:bCs/>
          <w:color w:val="auto"/>
          <w:kern w:val="0"/>
          <w:sz w:val="24"/>
          <w:highlight w:val="none"/>
        </w:rPr>
        <w:t>结算原则</w:t>
      </w:r>
    </w:p>
    <w:p w14:paraId="4AB5B35F">
      <w:pPr>
        <w:pageBreakBefore w:val="0"/>
        <w:kinsoku/>
        <w:wordWrap/>
        <w:overflowPunct/>
        <w:topLinePunct w:val="0"/>
        <w:bidi w:val="0"/>
        <w:adjustRightInd/>
        <w:spacing w:line="384" w:lineRule="auto"/>
        <w:jc w:val="left"/>
        <w:textAlignment w:val="auto"/>
        <w:rPr>
          <w:rFonts w:ascii="仿宋" w:eastAsia="仿宋"/>
          <w:color w:val="auto"/>
          <w:kern w:val="0"/>
          <w:sz w:val="24"/>
          <w:highlight w:val="none"/>
        </w:rPr>
      </w:pPr>
      <w:r>
        <w:rPr>
          <w:rFonts w:ascii="仿宋" w:eastAsia="仿宋"/>
          <w:color w:val="auto"/>
          <w:kern w:val="0"/>
          <w:sz w:val="24"/>
          <w:highlight w:val="none"/>
        </w:rPr>
        <w:t>2.6</w:t>
      </w:r>
      <w:r>
        <w:rPr>
          <w:rFonts w:hint="eastAsia" w:ascii="仿宋" w:eastAsia="仿宋"/>
          <w:color w:val="auto"/>
          <w:kern w:val="0"/>
          <w:sz w:val="24"/>
          <w:highlight w:val="none"/>
        </w:rPr>
        <w:t>.1采购文件、招标答疑会纪要、中标供应商的中标报价等作为结算依据；</w:t>
      </w:r>
    </w:p>
    <w:p w14:paraId="63185105">
      <w:pPr>
        <w:keepNext w:val="0"/>
        <w:keepLines w:val="0"/>
        <w:pageBreakBefore w:val="0"/>
        <w:kinsoku/>
        <w:wordWrap/>
        <w:overflowPunct/>
        <w:topLinePunct w:val="0"/>
        <w:autoSpaceDE w:val="0"/>
        <w:autoSpaceDN w:val="0"/>
        <w:bidi w:val="0"/>
        <w:spacing w:line="360" w:lineRule="auto"/>
        <w:textAlignment w:val="auto"/>
        <w:rPr>
          <w:rFonts w:hint="eastAsia" w:ascii="仿宋" w:hAnsi="Times New Roman" w:eastAsia="仿宋" w:cs="Times New Roman"/>
          <w:color w:val="000000"/>
          <w:kern w:val="0"/>
          <w:sz w:val="24"/>
          <w:highlight w:val="none"/>
        </w:rPr>
      </w:pPr>
      <w:r>
        <w:rPr>
          <w:rFonts w:ascii="仿宋" w:eastAsia="仿宋"/>
          <w:color w:val="auto"/>
          <w:kern w:val="0"/>
          <w:sz w:val="24"/>
          <w:highlight w:val="none"/>
        </w:rPr>
        <w:t>2.6</w:t>
      </w:r>
      <w:r>
        <w:rPr>
          <w:rFonts w:hint="eastAsia" w:ascii="仿宋" w:eastAsia="仿宋"/>
          <w:color w:val="auto"/>
          <w:kern w:val="0"/>
          <w:sz w:val="24"/>
          <w:highlight w:val="none"/>
        </w:rPr>
        <w:t>.2中标总价一次性包死，不再调整</w:t>
      </w:r>
    </w:p>
    <w:p w14:paraId="0A57BBA4">
      <w:pPr>
        <w:bidi w:val="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6"/>
          <w:szCs w:val="36"/>
          <w:highlight w:val="none"/>
        </w:rPr>
        <w:t xml:space="preserve">第四部分   </w:t>
      </w:r>
      <w:bookmarkStart w:id="63" w:name="_Toc184314435"/>
      <w:bookmarkEnd w:id="63"/>
      <w:bookmarkStart w:id="64" w:name="_Toc184314446"/>
      <w:bookmarkEnd w:id="64"/>
      <w:bookmarkStart w:id="65" w:name="_Toc184310309"/>
      <w:bookmarkEnd w:id="65"/>
      <w:bookmarkStart w:id="66" w:name="_Toc184313304"/>
      <w:bookmarkEnd w:id="66"/>
      <w:bookmarkStart w:id="67" w:name="_Toc184312102"/>
      <w:bookmarkEnd w:id="67"/>
      <w:bookmarkStart w:id="68" w:name="_Toc184310306"/>
      <w:bookmarkEnd w:id="68"/>
      <w:bookmarkStart w:id="69" w:name="_Toc184312121"/>
      <w:bookmarkEnd w:id="69"/>
      <w:bookmarkStart w:id="70" w:name="_Toc184313275"/>
      <w:bookmarkEnd w:id="70"/>
      <w:bookmarkStart w:id="71" w:name="_Toc184312132"/>
      <w:bookmarkEnd w:id="71"/>
      <w:bookmarkStart w:id="72" w:name="_Toc184308071"/>
      <w:bookmarkEnd w:id="72"/>
      <w:bookmarkStart w:id="73" w:name="_Toc184313272"/>
      <w:bookmarkEnd w:id="73"/>
      <w:bookmarkStart w:id="74" w:name="_Toc184308105"/>
      <w:bookmarkEnd w:id="74"/>
      <w:bookmarkStart w:id="75" w:name="_Toc184308079"/>
      <w:bookmarkEnd w:id="75"/>
      <w:bookmarkStart w:id="76" w:name="_Toc184312122"/>
      <w:bookmarkEnd w:id="76"/>
      <w:bookmarkStart w:id="77" w:name="_Toc184314469"/>
      <w:bookmarkEnd w:id="77"/>
      <w:bookmarkStart w:id="78" w:name="_Toc184313257"/>
      <w:bookmarkEnd w:id="78"/>
      <w:bookmarkStart w:id="79" w:name="_Toc184313242"/>
      <w:bookmarkEnd w:id="79"/>
      <w:bookmarkStart w:id="80" w:name="_Toc184308097"/>
      <w:bookmarkEnd w:id="80"/>
      <w:bookmarkStart w:id="81" w:name="_Toc184308043"/>
      <w:bookmarkEnd w:id="81"/>
      <w:bookmarkStart w:id="82" w:name="_Toc184312126"/>
      <w:bookmarkEnd w:id="82"/>
      <w:bookmarkStart w:id="83" w:name="_Toc184312094"/>
      <w:bookmarkEnd w:id="83"/>
      <w:bookmarkStart w:id="84" w:name="_Toc184308052"/>
      <w:bookmarkEnd w:id="84"/>
      <w:bookmarkStart w:id="85" w:name="_Toc184314426"/>
      <w:bookmarkEnd w:id="85"/>
      <w:bookmarkStart w:id="86" w:name="_Toc184308057"/>
      <w:bookmarkEnd w:id="86"/>
      <w:bookmarkStart w:id="87" w:name="_Toc184312110"/>
      <w:bookmarkEnd w:id="87"/>
      <w:bookmarkStart w:id="88" w:name="_Toc184310307"/>
      <w:bookmarkEnd w:id="88"/>
      <w:bookmarkStart w:id="89" w:name="_Toc184308060"/>
      <w:bookmarkEnd w:id="89"/>
      <w:bookmarkStart w:id="90" w:name="_Toc184310293"/>
      <w:bookmarkEnd w:id="90"/>
      <w:bookmarkStart w:id="91" w:name="_Toc184314478"/>
      <w:bookmarkEnd w:id="91"/>
      <w:bookmarkStart w:id="92" w:name="_Toc184312124"/>
      <w:bookmarkEnd w:id="92"/>
      <w:bookmarkStart w:id="93" w:name="_Toc184313243"/>
      <w:bookmarkEnd w:id="93"/>
      <w:bookmarkStart w:id="94" w:name="_Toc184308056"/>
      <w:bookmarkEnd w:id="94"/>
      <w:bookmarkStart w:id="95" w:name="_Toc184312100"/>
      <w:bookmarkEnd w:id="95"/>
      <w:bookmarkStart w:id="96" w:name="_Toc184308055"/>
      <w:bookmarkEnd w:id="96"/>
      <w:bookmarkStart w:id="97" w:name="_Toc184310297"/>
      <w:bookmarkEnd w:id="97"/>
      <w:bookmarkStart w:id="98" w:name="_Toc184310299"/>
      <w:bookmarkEnd w:id="98"/>
      <w:bookmarkStart w:id="99" w:name="_Toc184310314"/>
      <w:bookmarkEnd w:id="99"/>
      <w:bookmarkStart w:id="100" w:name="_Toc184310329"/>
      <w:bookmarkEnd w:id="100"/>
      <w:bookmarkStart w:id="101" w:name="_Toc184308091"/>
      <w:bookmarkEnd w:id="101"/>
      <w:bookmarkStart w:id="102" w:name="_Toc184312072"/>
      <w:bookmarkEnd w:id="102"/>
      <w:bookmarkStart w:id="103" w:name="_Toc184313300"/>
      <w:bookmarkEnd w:id="103"/>
      <w:bookmarkStart w:id="104" w:name="_Toc184312105"/>
      <w:bookmarkEnd w:id="104"/>
      <w:bookmarkStart w:id="105" w:name="_Toc184308106"/>
      <w:bookmarkEnd w:id="105"/>
      <w:bookmarkStart w:id="106" w:name="_Toc184313302"/>
      <w:bookmarkEnd w:id="106"/>
      <w:bookmarkStart w:id="107" w:name="_Toc184314434"/>
      <w:bookmarkEnd w:id="107"/>
      <w:bookmarkStart w:id="108" w:name="_Toc184312104"/>
      <w:bookmarkEnd w:id="108"/>
      <w:bookmarkStart w:id="109" w:name="_Toc184313278"/>
      <w:bookmarkEnd w:id="109"/>
      <w:bookmarkStart w:id="110" w:name="_Toc184308046"/>
      <w:bookmarkEnd w:id="110"/>
      <w:bookmarkStart w:id="111" w:name="_Toc184313308"/>
      <w:bookmarkEnd w:id="111"/>
      <w:bookmarkStart w:id="112" w:name="_Toc184312071"/>
      <w:bookmarkEnd w:id="112"/>
      <w:bookmarkStart w:id="113" w:name="_Toc184312075"/>
      <w:bookmarkEnd w:id="113"/>
      <w:bookmarkStart w:id="114" w:name="_Toc184313248"/>
      <w:bookmarkEnd w:id="114"/>
      <w:bookmarkStart w:id="115" w:name="_Toc184312070"/>
      <w:bookmarkEnd w:id="115"/>
      <w:bookmarkStart w:id="116" w:name="_Toc184308108"/>
      <w:bookmarkEnd w:id="116"/>
      <w:bookmarkStart w:id="117" w:name="_Toc184314417"/>
      <w:bookmarkEnd w:id="117"/>
      <w:bookmarkStart w:id="118" w:name="_Toc184310280"/>
      <w:bookmarkEnd w:id="118"/>
      <w:bookmarkStart w:id="119" w:name="_Toc184314427"/>
      <w:bookmarkEnd w:id="119"/>
      <w:bookmarkStart w:id="120" w:name="_Toc184308045"/>
      <w:bookmarkEnd w:id="120"/>
      <w:bookmarkStart w:id="121" w:name="_Toc184312092"/>
      <w:bookmarkEnd w:id="121"/>
      <w:bookmarkStart w:id="122" w:name="_Toc184313280"/>
      <w:bookmarkEnd w:id="122"/>
      <w:bookmarkStart w:id="123" w:name="_Toc184308073"/>
      <w:bookmarkEnd w:id="123"/>
      <w:bookmarkStart w:id="124" w:name="_Toc184308062"/>
      <w:bookmarkEnd w:id="124"/>
      <w:bookmarkStart w:id="125" w:name="_Toc184314433"/>
      <w:bookmarkEnd w:id="125"/>
      <w:bookmarkStart w:id="126" w:name="_Toc184308087"/>
      <w:bookmarkEnd w:id="126"/>
      <w:bookmarkStart w:id="127" w:name="_Toc184312108"/>
      <w:bookmarkEnd w:id="127"/>
      <w:bookmarkStart w:id="128" w:name="_Toc184310331"/>
      <w:bookmarkEnd w:id="128"/>
      <w:bookmarkStart w:id="129" w:name="_Toc184308081"/>
      <w:bookmarkEnd w:id="129"/>
      <w:bookmarkStart w:id="130" w:name="_Toc184314482"/>
      <w:bookmarkEnd w:id="130"/>
      <w:bookmarkStart w:id="131" w:name="_Toc184310304"/>
      <w:bookmarkEnd w:id="131"/>
      <w:bookmarkStart w:id="132" w:name="_Toc184308070"/>
      <w:bookmarkEnd w:id="132"/>
      <w:bookmarkStart w:id="133" w:name="_Toc184312116"/>
      <w:bookmarkEnd w:id="133"/>
      <w:bookmarkStart w:id="134" w:name="_Toc184314420"/>
      <w:bookmarkEnd w:id="134"/>
      <w:bookmarkStart w:id="135" w:name="_Toc184310327"/>
      <w:bookmarkEnd w:id="135"/>
      <w:bookmarkStart w:id="136" w:name="_Toc184310339"/>
      <w:bookmarkEnd w:id="136"/>
      <w:bookmarkStart w:id="137" w:name="_Toc184314451"/>
      <w:bookmarkEnd w:id="137"/>
      <w:bookmarkStart w:id="138" w:name="_Toc184308072"/>
      <w:bookmarkEnd w:id="138"/>
      <w:bookmarkStart w:id="139" w:name="_Toc184308102"/>
      <w:bookmarkEnd w:id="139"/>
      <w:bookmarkStart w:id="140" w:name="_Toc184314413"/>
      <w:bookmarkEnd w:id="140"/>
      <w:bookmarkStart w:id="141" w:name="_Toc184310305"/>
      <w:bookmarkEnd w:id="141"/>
      <w:bookmarkStart w:id="142" w:name="_Toc184310315"/>
      <w:bookmarkEnd w:id="142"/>
      <w:bookmarkStart w:id="143" w:name="_Toc184314456"/>
      <w:bookmarkEnd w:id="143"/>
      <w:bookmarkStart w:id="144" w:name="_Toc184310294"/>
      <w:bookmarkEnd w:id="144"/>
      <w:bookmarkStart w:id="145" w:name="_Toc184314416"/>
      <w:bookmarkEnd w:id="145"/>
      <w:bookmarkStart w:id="146" w:name="_Toc184308065"/>
      <w:bookmarkEnd w:id="146"/>
      <w:bookmarkStart w:id="147" w:name="_Toc184312137"/>
      <w:bookmarkEnd w:id="147"/>
      <w:bookmarkStart w:id="148" w:name="_Toc184312135"/>
      <w:bookmarkEnd w:id="148"/>
      <w:bookmarkStart w:id="149" w:name="_Toc184310326"/>
      <w:bookmarkEnd w:id="149"/>
      <w:bookmarkStart w:id="150" w:name="_Toc184314447"/>
      <w:bookmarkEnd w:id="150"/>
      <w:bookmarkStart w:id="151" w:name="_Toc184314437"/>
      <w:bookmarkEnd w:id="151"/>
      <w:bookmarkStart w:id="152" w:name="_Toc184310322"/>
      <w:bookmarkEnd w:id="152"/>
      <w:bookmarkStart w:id="153" w:name="_Toc184314443"/>
      <w:bookmarkEnd w:id="153"/>
      <w:bookmarkStart w:id="154" w:name="_Toc184313264"/>
      <w:bookmarkEnd w:id="154"/>
      <w:bookmarkStart w:id="155" w:name="_Toc184313309"/>
      <w:bookmarkEnd w:id="155"/>
      <w:bookmarkStart w:id="156" w:name="_Toc184313259"/>
      <w:bookmarkEnd w:id="156"/>
      <w:bookmarkStart w:id="157" w:name="_Toc184312130"/>
      <w:bookmarkEnd w:id="157"/>
      <w:bookmarkStart w:id="158" w:name="_Toc184314425"/>
      <w:bookmarkEnd w:id="158"/>
      <w:bookmarkStart w:id="159" w:name="_Toc184308076"/>
      <w:bookmarkEnd w:id="159"/>
      <w:bookmarkStart w:id="160" w:name="_Toc184314476"/>
      <w:bookmarkEnd w:id="160"/>
      <w:bookmarkStart w:id="161" w:name="_Toc184310332"/>
      <w:bookmarkEnd w:id="161"/>
      <w:bookmarkStart w:id="162" w:name="_Toc184314439"/>
      <w:bookmarkEnd w:id="162"/>
      <w:bookmarkStart w:id="163" w:name="_Toc184310338"/>
      <w:bookmarkEnd w:id="163"/>
      <w:bookmarkStart w:id="164" w:name="_Toc184308098"/>
      <w:bookmarkEnd w:id="164"/>
      <w:bookmarkStart w:id="165" w:name="_Toc184312074"/>
      <w:bookmarkEnd w:id="165"/>
      <w:bookmarkStart w:id="166" w:name="_Toc184314440"/>
      <w:bookmarkEnd w:id="166"/>
      <w:bookmarkStart w:id="167" w:name="_Toc184314423"/>
      <w:bookmarkEnd w:id="167"/>
      <w:bookmarkStart w:id="168" w:name="_Toc184312077"/>
      <w:bookmarkEnd w:id="168"/>
      <w:bookmarkStart w:id="169" w:name="_Toc184312136"/>
      <w:bookmarkEnd w:id="169"/>
      <w:bookmarkStart w:id="170" w:name="_Toc184313239"/>
      <w:bookmarkEnd w:id="170"/>
      <w:bookmarkStart w:id="171" w:name="_Toc184310281"/>
      <w:bookmarkEnd w:id="171"/>
      <w:bookmarkStart w:id="172" w:name="_Toc184308047"/>
      <w:bookmarkEnd w:id="172"/>
      <w:bookmarkStart w:id="173" w:name="_Toc184310292"/>
      <w:bookmarkEnd w:id="173"/>
      <w:bookmarkStart w:id="174" w:name="_Toc184310286"/>
      <w:bookmarkEnd w:id="174"/>
      <w:bookmarkStart w:id="175" w:name="_Toc184308080"/>
      <w:bookmarkEnd w:id="175"/>
      <w:bookmarkStart w:id="176" w:name="_Toc184310291"/>
      <w:bookmarkEnd w:id="176"/>
      <w:bookmarkStart w:id="177" w:name="_Toc184313298"/>
      <w:bookmarkEnd w:id="177"/>
      <w:bookmarkStart w:id="178" w:name="_Toc184308067"/>
      <w:bookmarkEnd w:id="178"/>
      <w:bookmarkStart w:id="179" w:name="_Toc184313307"/>
      <w:bookmarkEnd w:id="179"/>
      <w:bookmarkStart w:id="180" w:name="_Toc184313296"/>
      <w:bookmarkEnd w:id="180"/>
      <w:bookmarkStart w:id="181" w:name="_Toc184314457"/>
      <w:bookmarkEnd w:id="181"/>
      <w:bookmarkStart w:id="182" w:name="_Toc184312084"/>
      <w:bookmarkEnd w:id="182"/>
      <w:bookmarkStart w:id="183" w:name="_Toc184312091"/>
      <w:bookmarkEnd w:id="183"/>
      <w:bookmarkStart w:id="184" w:name="_Toc184308037"/>
      <w:bookmarkEnd w:id="184"/>
      <w:bookmarkStart w:id="185" w:name="_Toc184310296"/>
      <w:bookmarkEnd w:id="185"/>
      <w:bookmarkStart w:id="186" w:name="_Toc184308086"/>
      <w:bookmarkEnd w:id="186"/>
      <w:bookmarkStart w:id="187" w:name="_Toc184312082"/>
      <w:bookmarkEnd w:id="187"/>
      <w:bookmarkStart w:id="188" w:name="_Toc184314436"/>
      <w:bookmarkEnd w:id="188"/>
      <w:bookmarkStart w:id="189" w:name="_Toc184312113"/>
      <w:bookmarkEnd w:id="189"/>
      <w:bookmarkStart w:id="190" w:name="_Toc184308038"/>
      <w:bookmarkEnd w:id="190"/>
      <w:bookmarkStart w:id="191" w:name="_Toc184314411"/>
      <w:bookmarkEnd w:id="191"/>
      <w:bookmarkStart w:id="192" w:name="_Toc184310334"/>
      <w:bookmarkEnd w:id="192"/>
      <w:bookmarkStart w:id="193" w:name="_Toc184310320"/>
      <w:bookmarkEnd w:id="193"/>
      <w:bookmarkStart w:id="194" w:name="_Toc184310321"/>
      <w:bookmarkEnd w:id="194"/>
      <w:bookmarkStart w:id="195" w:name="_Toc184312079"/>
      <w:bookmarkEnd w:id="195"/>
      <w:bookmarkStart w:id="196" w:name="_Toc184308089"/>
      <w:bookmarkEnd w:id="196"/>
      <w:bookmarkStart w:id="197" w:name="_Toc184313238"/>
      <w:bookmarkEnd w:id="197"/>
      <w:bookmarkStart w:id="198" w:name="_Toc184312112"/>
      <w:bookmarkEnd w:id="198"/>
      <w:bookmarkStart w:id="199" w:name="_Toc184310324"/>
      <w:bookmarkEnd w:id="199"/>
      <w:bookmarkStart w:id="200" w:name="_Toc184313261"/>
      <w:bookmarkEnd w:id="200"/>
      <w:bookmarkStart w:id="201" w:name="_Toc184308099"/>
      <w:bookmarkEnd w:id="201"/>
      <w:bookmarkStart w:id="202" w:name="_Toc184314464"/>
      <w:bookmarkEnd w:id="202"/>
      <w:bookmarkStart w:id="203" w:name="_Toc184314453"/>
      <w:bookmarkEnd w:id="203"/>
      <w:bookmarkStart w:id="204" w:name="_Toc184314473"/>
      <w:bookmarkEnd w:id="204"/>
      <w:bookmarkStart w:id="205" w:name="_Toc184312098"/>
      <w:bookmarkEnd w:id="205"/>
      <w:bookmarkStart w:id="206" w:name="_Toc184313245"/>
      <w:bookmarkEnd w:id="206"/>
      <w:bookmarkStart w:id="207" w:name="_Toc184314466"/>
      <w:bookmarkEnd w:id="207"/>
      <w:bookmarkStart w:id="208" w:name="_Toc184313279"/>
      <w:bookmarkEnd w:id="208"/>
      <w:bookmarkStart w:id="209" w:name="_Toc184313247"/>
      <w:bookmarkEnd w:id="209"/>
      <w:bookmarkStart w:id="210" w:name="_Toc184312086"/>
      <w:bookmarkEnd w:id="210"/>
      <w:bookmarkStart w:id="211" w:name="_Toc184314414"/>
      <w:bookmarkEnd w:id="211"/>
      <w:bookmarkStart w:id="212" w:name="_Toc184314410"/>
      <w:bookmarkEnd w:id="212"/>
      <w:bookmarkStart w:id="213" w:name="_Toc184310290"/>
      <w:bookmarkEnd w:id="213"/>
      <w:bookmarkStart w:id="214" w:name="_Toc184313244"/>
      <w:bookmarkEnd w:id="214"/>
      <w:bookmarkStart w:id="215" w:name="_Toc184313262"/>
      <w:bookmarkEnd w:id="215"/>
      <w:bookmarkStart w:id="216" w:name="_Toc184310344"/>
      <w:bookmarkEnd w:id="216"/>
      <w:bookmarkStart w:id="217" w:name="_Toc184310273"/>
      <w:bookmarkEnd w:id="217"/>
      <w:bookmarkStart w:id="218" w:name="_Toc184314450"/>
      <w:bookmarkEnd w:id="218"/>
      <w:bookmarkStart w:id="219" w:name="_Toc184313249"/>
      <w:bookmarkEnd w:id="219"/>
      <w:bookmarkStart w:id="220" w:name="_Toc184312101"/>
      <w:bookmarkEnd w:id="220"/>
      <w:bookmarkStart w:id="221" w:name="_Toc184308095"/>
      <w:bookmarkEnd w:id="221"/>
      <w:bookmarkStart w:id="222" w:name="_Toc184308082"/>
      <w:bookmarkEnd w:id="222"/>
      <w:bookmarkStart w:id="223" w:name="_Toc184314455"/>
      <w:bookmarkEnd w:id="223"/>
      <w:bookmarkStart w:id="224" w:name="_Toc184314454"/>
      <w:bookmarkEnd w:id="224"/>
      <w:bookmarkStart w:id="225" w:name="_Toc184313252"/>
      <w:bookmarkEnd w:id="225"/>
      <w:bookmarkStart w:id="226" w:name="_Toc184313268"/>
      <w:bookmarkEnd w:id="226"/>
      <w:bookmarkStart w:id="227" w:name="_Toc184314459"/>
      <w:bookmarkEnd w:id="227"/>
      <w:bookmarkStart w:id="228" w:name="_Toc184312117"/>
      <w:bookmarkEnd w:id="228"/>
      <w:bookmarkStart w:id="229" w:name="_Toc184313294"/>
      <w:bookmarkEnd w:id="229"/>
      <w:bookmarkStart w:id="230" w:name="_Toc184310283"/>
      <w:bookmarkEnd w:id="230"/>
      <w:bookmarkStart w:id="231" w:name="_Toc184310284"/>
      <w:bookmarkEnd w:id="231"/>
      <w:bookmarkStart w:id="232" w:name="_Toc184313254"/>
      <w:bookmarkEnd w:id="232"/>
      <w:bookmarkStart w:id="233" w:name="_Toc184312073"/>
      <w:bookmarkEnd w:id="233"/>
      <w:bookmarkStart w:id="234" w:name="_Toc184313301"/>
      <w:bookmarkEnd w:id="234"/>
      <w:bookmarkStart w:id="235" w:name="_Toc184308061"/>
      <w:bookmarkEnd w:id="235"/>
      <w:bookmarkStart w:id="236" w:name="_Toc184314418"/>
      <w:bookmarkEnd w:id="236"/>
      <w:bookmarkStart w:id="237" w:name="_Toc184308063"/>
      <w:bookmarkEnd w:id="237"/>
      <w:bookmarkStart w:id="238" w:name="_Toc184308048"/>
      <w:bookmarkEnd w:id="238"/>
      <w:bookmarkStart w:id="239" w:name="_Toc184310298"/>
      <w:bookmarkEnd w:id="239"/>
      <w:bookmarkStart w:id="240" w:name="_Toc184310279"/>
      <w:bookmarkEnd w:id="240"/>
      <w:bookmarkStart w:id="241" w:name="_Toc184313276"/>
      <w:bookmarkEnd w:id="241"/>
      <w:bookmarkStart w:id="242" w:name="_Toc184308074"/>
      <w:bookmarkEnd w:id="242"/>
      <w:bookmarkStart w:id="243" w:name="_Toc184314477"/>
      <w:bookmarkEnd w:id="243"/>
      <w:bookmarkStart w:id="244" w:name="_Toc184312097"/>
      <w:bookmarkEnd w:id="244"/>
      <w:bookmarkStart w:id="245" w:name="_Toc184314431"/>
      <w:bookmarkEnd w:id="245"/>
      <w:bookmarkStart w:id="246" w:name="_Toc184312131"/>
      <w:bookmarkEnd w:id="246"/>
      <w:bookmarkStart w:id="247" w:name="_Toc184310311"/>
      <w:bookmarkEnd w:id="247"/>
      <w:bookmarkStart w:id="248" w:name="_Toc184314468"/>
      <w:bookmarkEnd w:id="248"/>
      <w:bookmarkStart w:id="249" w:name="_Toc184314424"/>
      <w:bookmarkEnd w:id="249"/>
      <w:bookmarkStart w:id="250" w:name="_Toc184312088"/>
      <w:bookmarkEnd w:id="250"/>
      <w:bookmarkStart w:id="251" w:name="_Toc184310295"/>
      <w:bookmarkEnd w:id="251"/>
      <w:bookmarkStart w:id="252" w:name="_Toc184310330"/>
      <w:bookmarkEnd w:id="252"/>
      <w:bookmarkStart w:id="253" w:name="_Toc184310343"/>
      <w:bookmarkEnd w:id="253"/>
      <w:bookmarkStart w:id="254" w:name="_Toc184314438"/>
      <w:bookmarkEnd w:id="254"/>
      <w:bookmarkStart w:id="255" w:name="_Toc184310276"/>
      <w:bookmarkEnd w:id="255"/>
      <w:bookmarkStart w:id="256" w:name="_Toc184312078"/>
      <w:bookmarkEnd w:id="256"/>
      <w:bookmarkStart w:id="257" w:name="_Toc184314480"/>
      <w:bookmarkEnd w:id="257"/>
      <w:bookmarkStart w:id="258" w:name="_Toc184308084"/>
      <w:bookmarkEnd w:id="258"/>
      <w:bookmarkStart w:id="259" w:name="_Toc184312127"/>
      <w:bookmarkEnd w:id="259"/>
      <w:bookmarkStart w:id="260" w:name="_Toc184312069"/>
      <w:bookmarkEnd w:id="260"/>
      <w:bookmarkStart w:id="261" w:name="_Toc184312118"/>
      <w:bookmarkEnd w:id="261"/>
      <w:bookmarkStart w:id="262" w:name="_Toc184313240"/>
      <w:bookmarkEnd w:id="262"/>
      <w:bookmarkStart w:id="263" w:name="_Toc184314475"/>
      <w:bookmarkEnd w:id="263"/>
      <w:bookmarkStart w:id="264" w:name="_Toc184313306"/>
      <w:bookmarkEnd w:id="264"/>
      <w:bookmarkStart w:id="265" w:name="_Toc184314415"/>
      <w:bookmarkEnd w:id="265"/>
      <w:bookmarkStart w:id="266" w:name="_Toc184312067"/>
      <w:bookmarkEnd w:id="266"/>
      <w:bookmarkStart w:id="267" w:name="_Toc184310303"/>
      <w:bookmarkEnd w:id="267"/>
      <w:bookmarkStart w:id="268" w:name="_Toc184312138"/>
      <w:bookmarkEnd w:id="268"/>
      <w:bookmarkStart w:id="269" w:name="_Toc184310316"/>
      <w:bookmarkEnd w:id="269"/>
      <w:bookmarkStart w:id="270" w:name="_Toc184310319"/>
      <w:bookmarkEnd w:id="270"/>
      <w:bookmarkStart w:id="271" w:name="_Toc184312106"/>
      <w:bookmarkEnd w:id="271"/>
      <w:bookmarkStart w:id="272" w:name="_Toc184312095"/>
      <w:bookmarkEnd w:id="272"/>
      <w:bookmarkStart w:id="273" w:name="_Toc184308107"/>
      <w:bookmarkEnd w:id="273"/>
      <w:bookmarkStart w:id="274" w:name="_Toc184310336"/>
      <w:bookmarkEnd w:id="274"/>
      <w:bookmarkStart w:id="275" w:name="_Toc184313297"/>
      <w:bookmarkEnd w:id="275"/>
      <w:bookmarkStart w:id="276" w:name="_Toc184310318"/>
      <w:bookmarkEnd w:id="276"/>
      <w:bookmarkStart w:id="277" w:name="_Toc184312085"/>
      <w:bookmarkEnd w:id="277"/>
      <w:bookmarkStart w:id="278" w:name="_Toc184313303"/>
      <w:bookmarkEnd w:id="278"/>
      <w:bookmarkStart w:id="279" w:name="_Toc184312068"/>
      <w:bookmarkEnd w:id="279"/>
      <w:bookmarkStart w:id="280" w:name="_Toc184314472"/>
      <w:bookmarkEnd w:id="280"/>
      <w:bookmarkStart w:id="281" w:name="_Toc184312115"/>
      <w:bookmarkEnd w:id="281"/>
      <w:bookmarkStart w:id="282" w:name="_Toc184312107"/>
      <w:bookmarkEnd w:id="282"/>
      <w:bookmarkStart w:id="283" w:name="_Toc184313258"/>
      <w:bookmarkEnd w:id="283"/>
      <w:bookmarkStart w:id="284" w:name="_Toc184310287"/>
      <w:bookmarkEnd w:id="284"/>
      <w:bookmarkStart w:id="285" w:name="_Toc184313255"/>
      <w:bookmarkEnd w:id="285"/>
      <w:bookmarkStart w:id="286" w:name="_Toc184312103"/>
      <w:bookmarkEnd w:id="286"/>
      <w:bookmarkStart w:id="287" w:name="_Toc184312076"/>
      <w:bookmarkEnd w:id="287"/>
      <w:bookmarkStart w:id="288" w:name="_Toc184312096"/>
      <w:bookmarkEnd w:id="288"/>
      <w:bookmarkStart w:id="289" w:name="_Toc184313290"/>
      <w:bookmarkEnd w:id="289"/>
      <w:bookmarkStart w:id="290" w:name="_Toc184310277"/>
      <w:bookmarkEnd w:id="290"/>
      <w:bookmarkStart w:id="291" w:name="_Toc184308104"/>
      <w:bookmarkEnd w:id="291"/>
      <w:bookmarkStart w:id="292" w:name="_Toc184308054"/>
      <w:bookmarkEnd w:id="292"/>
      <w:bookmarkStart w:id="293" w:name="_Toc184314458"/>
      <w:bookmarkEnd w:id="293"/>
      <w:bookmarkStart w:id="294" w:name="_Toc184312081"/>
      <w:bookmarkEnd w:id="294"/>
      <w:bookmarkStart w:id="295" w:name="_Toc184310325"/>
      <w:bookmarkEnd w:id="295"/>
      <w:bookmarkStart w:id="296" w:name="_Toc184308075"/>
      <w:bookmarkEnd w:id="296"/>
      <w:bookmarkStart w:id="297" w:name="_Toc184314442"/>
      <w:bookmarkEnd w:id="297"/>
      <w:bookmarkStart w:id="298" w:name="_Toc184308059"/>
      <w:bookmarkEnd w:id="298"/>
      <w:bookmarkStart w:id="299" w:name="_Toc184313260"/>
      <w:bookmarkEnd w:id="299"/>
      <w:bookmarkStart w:id="300" w:name="_Toc184310288"/>
      <w:bookmarkEnd w:id="300"/>
      <w:bookmarkStart w:id="301" w:name="_Toc184313282"/>
      <w:bookmarkEnd w:id="301"/>
      <w:bookmarkStart w:id="302" w:name="_Toc184313289"/>
      <w:bookmarkEnd w:id="302"/>
      <w:bookmarkStart w:id="303" w:name="_Toc184313299"/>
      <w:bookmarkEnd w:id="303"/>
      <w:bookmarkStart w:id="304" w:name="_Toc184314428"/>
      <w:bookmarkEnd w:id="304"/>
      <w:bookmarkStart w:id="305" w:name="_Toc184314432"/>
      <w:bookmarkEnd w:id="305"/>
      <w:bookmarkStart w:id="306" w:name="_Toc184313265"/>
      <w:bookmarkEnd w:id="306"/>
      <w:bookmarkStart w:id="307" w:name="_Toc184314430"/>
      <w:bookmarkEnd w:id="307"/>
      <w:bookmarkStart w:id="308" w:name="_Toc184312114"/>
      <w:bookmarkEnd w:id="308"/>
      <w:bookmarkStart w:id="309" w:name="_Toc184313273"/>
      <w:bookmarkEnd w:id="309"/>
      <w:bookmarkStart w:id="310" w:name="_Toc184314460"/>
      <w:bookmarkEnd w:id="310"/>
      <w:bookmarkStart w:id="311" w:name="_Toc184310285"/>
      <w:bookmarkEnd w:id="311"/>
      <w:bookmarkStart w:id="312" w:name="_Toc184308094"/>
      <w:bookmarkEnd w:id="312"/>
      <w:bookmarkStart w:id="313" w:name="_Toc184308039"/>
      <w:bookmarkEnd w:id="313"/>
      <w:bookmarkStart w:id="314" w:name="_Toc184313287"/>
      <w:bookmarkEnd w:id="314"/>
      <w:bookmarkStart w:id="315" w:name="_Toc184310300"/>
      <w:bookmarkEnd w:id="315"/>
      <w:bookmarkStart w:id="316" w:name="_Toc184313253"/>
      <w:bookmarkEnd w:id="316"/>
      <w:bookmarkStart w:id="317" w:name="_Toc184313292"/>
      <w:bookmarkEnd w:id="317"/>
      <w:bookmarkStart w:id="318" w:name="_Toc184312134"/>
      <w:bookmarkEnd w:id="318"/>
      <w:bookmarkStart w:id="319" w:name="_Toc184308036"/>
      <w:bookmarkEnd w:id="319"/>
      <w:bookmarkStart w:id="320" w:name="_Toc184308093"/>
      <w:bookmarkEnd w:id="320"/>
      <w:bookmarkStart w:id="321" w:name="_Toc184313284"/>
      <w:bookmarkEnd w:id="321"/>
      <w:bookmarkStart w:id="322" w:name="_Toc184314429"/>
      <w:bookmarkEnd w:id="322"/>
      <w:bookmarkStart w:id="323" w:name="_Toc184313291"/>
      <w:bookmarkEnd w:id="323"/>
      <w:bookmarkStart w:id="324" w:name="_Toc184314412"/>
      <w:bookmarkEnd w:id="324"/>
      <w:bookmarkStart w:id="325" w:name="_Toc184314444"/>
      <w:bookmarkEnd w:id="325"/>
      <w:bookmarkStart w:id="326" w:name="_Toc184313277"/>
      <w:bookmarkEnd w:id="326"/>
      <w:bookmarkStart w:id="327" w:name="_Toc184313285"/>
      <w:bookmarkEnd w:id="327"/>
      <w:bookmarkStart w:id="328" w:name="_Toc184312111"/>
      <w:bookmarkEnd w:id="328"/>
      <w:bookmarkStart w:id="329" w:name="_Toc184314462"/>
      <w:bookmarkEnd w:id="329"/>
      <w:bookmarkStart w:id="330" w:name="_Toc184313266"/>
      <w:bookmarkEnd w:id="330"/>
      <w:bookmarkStart w:id="331" w:name="_Toc184313305"/>
      <w:bookmarkEnd w:id="331"/>
      <w:bookmarkStart w:id="332" w:name="_Toc184308041"/>
      <w:bookmarkEnd w:id="332"/>
      <w:bookmarkStart w:id="333" w:name="_Toc184308083"/>
      <w:bookmarkEnd w:id="333"/>
      <w:bookmarkStart w:id="334" w:name="_Toc184312120"/>
      <w:bookmarkEnd w:id="334"/>
      <w:bookmarkStart w:id="335" w:name="_Toc184313251"/>
      <w:bookmarkEnd w:id="335"/>
      <w:bookmarkStart w:id="336" w:name="_Toc184313256"/>
      <w:bookmarkEnd w:id="336"/>
      <w:bookmarkStart w:id="337" w:name="_Toc184310337"/>
      <w:bookmarkEnd w:id="337"/>
      <w:bookmarkStart w:id="338" w:name="_Toc184308042"/>
      <w:bookmarkEnd w:id="338"/>
      <w:bookmarkStart w:id="339" w:name="_Toc184314452"/>
      <w:bookmarkEnd w:id="339"/>
      <w:bookmarkStart w:id="340" w:name="_Toc184314445"/>
      <w:bookmarkEnd w:id="340"/>
      <w:bookmarkStart w:id="341" w:name="_Toc184308090"/>
      <w:bookmarkEnd w:id="341"/>
      <w:bookmarkStart w:id="342" w:name="_Toc184314419"/>
      <w:bookmarkEnd w:id="342"/>
      <w:bookmarkStart w:id="343" w:name="_Toc184310341"/>
      <w:bookmarkEnd w:id="343"/>
      <w:bookmarkStart w:id="344" w:name="_Toc184313267"/>
      <w:bookmarkEnd w:id="344"/>
      <w:bookmarkStart w:id="345" w:name="_Toc184314479"/>
      <w:bookmarkEnd w:id="345"/>
      <w:bookmarkStart w:id="346" w:name="_Toc184310340"/>
      <w:bookmarkEnd w:id="346"/>
      <w:bookmarkStart w:id="347" w:name="_Toc184312129"/>
      <w:bookmarkEnd w:id="347"/>
      <w:bookmarkStart w:id="348" w:name="_Toc184310301"/>
      <w:bookmarkEnd w:id="348"/>
      <w:bookmarkStart w:id="349" w:name="_Toc184314422"/>
      <w:bookmarkEnd w:id="349"/>
      <w:bookmarkStart w:id="350" w:name="_Toc184314449"/>
      <w:bookmarkEnd w:id="350"/>
      <w:bookmarkStart w:id="351" w:name="_Toc184310323"/>
      <w:bookmarkEnd w:id="351"/>
      <w:bookmarkStart w:id="352" w:name="_Toc184312133"/>
      <w:bookmarkEnd w:id="352"/>
      <w:bookmarkStart w:id="353" w:name="_Toc184314467"/>
      <w:bookmarkEnd w:id="353"/>
      <w:bookmarkStart w:id="354" w:name="_Toc184313295"/>
      <w:bookmarkEnd w:id="354"/>
      <w:bookmarkStart w:id="355" w:name="_Toc184310289"/>
      <w:bookmarkEnd w:id="355"/>
      <w:bookmarkStart w:id="356" w:name="_Toc184312123"/>
      <w:bookmarkEnd w:id="356"/>
      <w:bookmarkStart w:id="357" w:name="_Toc184308077"/>
      <w:bookmarkEnd w:id="357"/>
      <w:bookmarkStart w:id="358" w:name="_Toc184312109"/>
      <w:bookmarkEnd w:id="358"/>
      <w:bookmarkStart w:id="359" w:name="_Toc184314421"/>
      <w:bookmarkEnd w:id="359"/>
      <w:bookmarkStart w:id="360" w:name="_Toc184308066"/>
      <w:bookmarkEnd w:id="360"/>
      <w:bookmarkStart w:id="361" w:name="_Toc184313263"/>
      <w:bookmarkEnd w:id="361"/>
      <w:bookmarkStart w:id="362" w:name="_Toc184310308"/>
      <w:bookmarkEnd w:id="362"/>
      <w:bookmarkStart w:id="363" w:name="_Toc184308058"/>
      <w:bookmarkEnd w:id="363"/>
      <w:bookmarkStart w:id="364" w:name="_Toc184308092"/>
      <w:bookmarkEnd w:id="364"/>
      <w:bookmarkStart w:id="365" w:name="_Toc184310328"/>
      <w:bookmarkEnd w:id="365"/>
      <w:bookmarkStart w:id="366" w:name="_Toc184310275"/>
      <w:bookmarkEnd w:id="366"/>
      <w:bookmarkStart w:id="367" w:name="_Toc184313241"/>
      <w:bookmarkEnd w:id="367"/>
      <w:bookmarkStart w:id="368" w:name="_Toc184308085"/>
      <w:bookmarkEnd w:id="368"/>
      <w:bookmarkStart w:id="369" w:name="_Toc184310317"/>
      <w:bookmarkEnd w:id="369"/>
      <w:bookmarkStart w:id="370" w:name="_Toc184313286"/>
      <w:bookmarkEnd w:id="370"/>
      <w:bookmarkStart w:id="371" w:name="_Toc184308100"/>
      <w:bookmarkEnd w:id="371"/>
      <w:bookmarkStart w:id="372" w:name="_Toc184313250"/>
      <w:bookmarkEnd w:id="372"/>
      <w:bookmarkStart w:id="373" w:name="_Toc184310278"/>
      <w:bookmarkEnd w:id="373"/>
      <w:bookmarkStart w:id="374" w:name="_Toc184312090"/>
      <w:bookmarkEnd w:id="374"/>
      <w:bookmarkStart w:id="375" w:name="_Toc184313269"/>
      <w:bookmarkEnd w:id="375"/>
      <w:bookmarkStart w:id="376" w:name="_Toc184313246"/>
      <w:bookmarkEnd w:id="376"/>
      <w:bookmarkStart w:id="377" w:name="_Toc184308044"/>
      <w:bookmarkEnd w:id="377"/>
      <w:bookmarkStart w:id="378" w:name="_Toc184314441"/>
      <w:bookmarkEnd w:id="378"/>
      <w:bookmarkStart w:id="379" w:name="_Toc184313281"/>
      <w:bookmarkEnd w:id="379"/>
      <w:bookmarkStart w:id="380" w:name="_Toc184314448"/>
      <w:bookmarkEnd w:id="380"/>
      <w:bookmarkStart w:id="381" w:name="_Toc184312139"/>
      <w:bookmarkEnd w:id="381"/>
      <w:bookmarkStart w:id="382" w:name="_Toc184308096"/>
      <w:bookmarkEnd w:id="382"/>
      <w:bookmarkStart w:id="383" w:name="_Toc184312087"/>
      <w:bookmarkEnd w:id="383"/>
      <w:bookmarkStart w:id="384" w:name="_Toc184314465"/>
      <w:bookmarkEnd w:id="384"/>
      <w:bookmarkStart w:id="385" w:name="_Toc184308078"/>
      <w:bookmarkEnd w:id="385"/>
      <w:bookmarkStart w:id="386" w:name="_Toc184312089"/>
      <w:bookmarkEnd w:id="386"/>
      <w:bookmarkStart w:id="387" w:name="_Toc184312125"/>
      <w:bookmarkEnd w:id="387"/>
      <w:bookmarkStart w:id="388" w:name="_Toc184310312"/>
      <w:bookmarkEnd w:id="388"/>
      <w:bookmarkStart w:id="389" w:name="_Toc184308103"/>
      <w:bookmarkEnd w:id="389"/>
      <w:bookmarkStart w:id="390" w:name="_Toc184312093"/>
      <w:bookmarkEnd w:id="390"/>
      <w:bookmarkStart w:id="391" w:name="_Toc184310313"/>
      <w:bookmarkEnd w:id="391"/>
      <w:bookmarkStart w:id="392" w:name="_Toc184308053"/>
      <w:bookmarkEnd w:id="392"/>
      <w:bookmarkStart w:id="393" w:name="_Toc184310310"/>
      <w:bookmarkEnd w:id="393"/>
      <w:bookmarkStart w:id="394" w:name="_Toc184310272"/>
      <w:bookmarkEnd w:id="394"/>
      <w:bookmarkStart w:id="395" w:name="_Toc184312128"/>
      <w:bookmarkEnd w:id="395"/>
      <w:bookmarkStart w:id="396" w:name="_Toc184308049"/>
      <w:bookmarkEnd w:id="396"/>
      <w:bookmarkStart w:id="397" w:name="_Toc184308101"/>
      <w:bookmarkEnd w:id="397"/>
      <w:bookmarkStart w:id="398" w:name="_Toc184313274"/>
      <w:bookmarkEnd w:id="398"/>
      <w:bookmarkStart w:id="399" w:name="_Toc184312119"/>
      <w:bookmarkEnd w:id="399"/>
      <w:bookmarkStart w:id="400" w:name="_Toc184314463"/>
      <w:bookmarkEnd w:id="400"/>
      <w:bookmarkStart w:id="401" w:name="_Toc184312080"/>
      <w:bookmarkEnd w:id="401"/>
      <w:bookmarkStart w:id="402" w:name="_Toc184313310"/>
      <w:bookmarkEnd w:id="402"/>
      <w:bookmarkStart w:id="403" w:name="_Toc184312099"/>
      <w:bookmarkEnd w:id="403"/>
      <w:bookmarkStart w:id="404" w:name="_Toc184314461"/>
      <w:bookmarkEnd w:id="404"/>
      <w:bookmarkStart w:id="405" w:name="_Toc184310342"/>
      <w:bookmarkEnd w:id="405"/>
      <w:bookmarkStart w:id="406" w:name="_Toc184313293"/>
      <w:bookmarkEnd w:id="406"/>
      <w:bookmarkStart w:id="407" w:name="_Toc184310282"/>
      <w:bookmarkEnd w:id="407"/>
      <w:bookmarkStart w:id="408" w:name="_Toc184313283"/>
      <w:bookmarkEnd w:id="408"/>
      <w:bookmarkStart w:id="409" w:name="_Toc184313270"/>
      <w:bookmarkEnd w:id="409"/>
      <w:bookmarkStart w:id="410" w:name="_Toc184308069"/>
      <w:bookmarkEnd w:id="410"/>
      <w:bookmarkStart w:id="411" w:name="_Toc184308040"/>
      <w:bookmarkEnd w:id="411"/>
      <w:bookmarkStart w:id="412" w:name="_Toc184314481"/>
      <w:bookmarkEnd w:id="412"/>
      <w:bookmarkStart w:id="413" w:name="_Toc184310333"/>
      <w:bookmarkEnd w:id="413"/>
      <w:bookmarkStart w:id="414" w:name="_Toc184314471"/>
      <w:bookmarkEnd w:id="414"/>
      <w:bookmarkStart w:id="415" w:name="_Toc184314474"/>
      <w:bookmarkEnd w:id="415"/>
      <w:bookmarkStart w:id="416" w:name="_Toc184314470"/>
      <w:bookmarkEnd w:id="416"/>
      <w:bookmarkStart w:id="417" w:name="_Toc184313271"/>
      <w:bookmarkEnd w:id="417"/>
      <w:bookmarkStart w:id="418" w:name="_Toc184308051"/>
      <w:bookmarkEnd w:id="418"/>
      <w:bookmarkStart w:id="419" w:name="_Toc184308064"/>
      <w:bookmarkEnd w:id="419"/>
      <w:bookmarkStart w:id="420" w:name="_Toc184312083"/>
      <w:bookmarkEnd w:id="420"/>
      <w:bookmarkStart w:id="421" w:name="_Toc184313288"/>
      <w:bookmarkEnd w:id="421"/>
      <w:bookmarkStart w:id="422" w:name="_Toc184308068"/>
      <w:bookmarkEnd w:id="422"/>
      <w:bookmarkStart w:id="423" w:name="_Toc184310335"/>
      <w:bookmarkEnd w:id="423"/>
      <w:bookmarkStart w:id="424" w:name="_Toc184310274"/>
      <w:bookmarkEnd w:id="424"/>
      <w:bookmarkStart w:id="425" w:name="_Toc184308088"/>
      <w:bookmarkEnd w:id="425"/>
      <w:bookmarkStart w:id="426" w:name="_Toc184308050"/>
      <w:bookmarkEnd w:id="426"/>
      <w:bookmarkStart w:id="427" w:name="_Toc184310302"/>
      <w:bookmarkEnd w:id="427"/>
      <w:r>
        <w:rPr>
          <w:rFonts w:hint="eastAsia" w:ascii="仿宋" w:hAnsi="仿宋" w:eastAsia="仿宋" w:cs="仿宋"/>
          <w:b/>
          <w:color w:val="auto"/>
          <w:sz w:val="36"/>
          <w:szCs w:val="36"/>
          <w:highlight w:val="none"/>
        </w:rPr>
        <w:t>评标方法及评分标准</w:t>
      </w:r>
    </w:p>
    <w:p w14:paraId="21C36C99">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E3958F6">
      <w:pPr>
        <w:adjustRightInd/>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2FE863FB">
      <w:pPr>
        <w:adjustRightInd/>
        <w:spacing w:line="360" w:lineRule="auto"/>
        <w:rPr>
          <w:rFonts w:hint="eastAsia" w:ascii="仿宋" w:hAnsi="仿宋" w:eastAsia="仿宋" w:cs="仿宋"/>
          <w:color w:val="auto"/>
          <w:kern w:val="0"/>
          <w:sz w:val="24"/>
          <w:highlight w:val="none"/>
        </w:rPr>
      </w:pPr>
    </w:p>
    <w:p w14:paraId="27C70EAE">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二、评标委员会的组成</w:t>
      </w:r>
    </w:p>
    <w:p w14:paraId="5CA83B5B">
      <w:pPr>
        <w:snapToGrid w:val="0"/>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2.评标委员会的组成。</w:t>
      </w:r>
      <w:r>
        <w:rPr>
          <w:rFonts w:hint="eastAsia" w:ascii="仿宋" w:hAnsi="仿宋" w:eastAsia="仿宋" w:cs="仿宋"/>
          <w:color w:val="auto"/>
          <w:kern w:val="0"/>
          <w:sz w:val="24"/>
          <w:highlight w:val="none"/>
        </w:rPr>
        <w:t>评标委员会由采购人代表和评审专家组成，成员人数为5人以上单数，其中评审专家不少于成员总数的三分之二。</w:t>
      </w:r>
    </w:p>
    <w:p w14:paraId="497A6BE8">
      <w:pPr>
        <w:pStyle w:val="23"/>
        <w:spacing w:before="0"/>
        <w:ind w:firstLine="482"/>
        <w:rPr>
          <w:rFonts w:hint="eastAsia" w:ascii="仿宋" w:hAnsi="仿宋" w:eastAsia="仿宋" w:cs="仿宋"/>
          <w:color w:val="auto"/>
          <w:kern w:val="0"/>
          <w:highlight w:val="none"/>
        </w:rPr>
      </w:pPr>
      <w:r>
        <w:rPr>
          <w:rFonts w:hint="eastAsia" w:ascii="仿宋" w:hAnsi="仿宋" w:eastAsia="仿宋" w:cs="仿宋"/>
          <w:b/>
          <w:color w:val="auto"/>
          <w:kern w:val="0"/>
          <w:highlight w:val="none"/>
        </w:rPr>
        <w:t>3.评</w:t>
      </w:r>
      <w:r>
        <w:rPr>
          <w:rFonts w:hint="eastAsia" w:ascii="仿宋" w:hAnsi="仿宋" w:eastAsia="仿宋" w:cs="仿宋"/>
          <w:b/>
          <w:color w:val="auto"/>
          <w:kern w:val="0"/>
          <w:szCs w:val="24"/>
          <w:highlight w:val="none"/>
        </w:rPr>
        <w:t>标委员会的组成人员的回避。</w:t>
      </w:r>
      <w:r>
        <w:rPr>
          <w:rFonts w:hint="eastAsia" w:ascii="仿宋" w:hAnsi="仿宋" w:eastAsia="仿宋" w:cs="仿宋"/>
          <w:color w:val="auto"/>
          <w:kern w:val="0"/>
          <w:highlight w:val="none"/>
        </w:rPr>
        <w:t>在政府采购活动中，评标委员会的组成人员与供应商有下列利害关系之一的，应当回避：</w:t>
      </w:r>
    </w:p>
    <w:p w14:paraId="011440CD">
      <w:pPr>
        <w:pStyle w:val="2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3.1参加采购活动前3年内与供应商存在劳动关系；</w:t>
      </w:r>
    </w:p>
    <w:p w14:paraId="1BAED00B">
      <w:pPr>
        <w:pStyle w:val="2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3.2参加采购活动前3年内担任供应商的董事、监事；</w:t>
      </w:r>
    </w:p>
    <w:p w14:paraId="3A74B24E">
      <w:pPr>
        <w:pStyle w:val="2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3.3参加采购活动前3年内是供应商的控股股东或者实际控制人；</w:t>
      </w:r>
    </w:p>
    <w:p w14:paraId="2ED213E4">
      <w:pPr>
        <w:pStyle w:val="2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3.4与供应商的法定代表人或者负责人有夫妻、直系血亲、三代以内旁系血亲或者近姻亲关系；</w:t>
      </w:r>
    </w:p>
    <w:p w14:paraId="74D53F14">
      <w:pPr>
        <w:pStyle w:val="2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3.5与供应商有其他可能影响政府采购活动公平、公正进行的关系。</w:t>
      </w:r>
    </w:p>
    <w:p w14:paraId="3CDFEFCA">
      <w:pPr>
        <w:snapToGrid w:val="0"/>
        <w:spacing w:line="360" w:lineRule="auto"/>
        <w:ind w:left="120" w:leftChars="57" w:firstLine="482" w:firstLineChars="150"/>
        <w:jc w:val="center"/>
        <w:rPr>
          <w:rFonts w:hint="eastAsia" w:ascii="仿宋" w:hAnsi="仿宋" w:eastAsia="仿宋" w:cs="仿宋"/>
          <w:b/>
          <w:color w:val="auto"/>
          <w:sz w:val="32"/>
          <w:szCs w:val="32"/>
          <w:highlight w:val="none"/>
        </w:rPr>
      </w:pPr>
    </w:p>
    <w:p w14:paraId="1060FFEE">
      <w:pPr>
        <w:snapToGrid w:val="0"/>
        <w:spacing w:line="360" w:lineRule="auto"/>
        <w:ind w:left="120" w:leftChars="57" w:firstLine="482" w:firstLineChars="1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w:t>
      </w:r>
      <w:r>
        <w:rPr>
          <w:rFonts w:hint="eastAsia" w:ascii="仿宋" w:hAnsi="仿宋" w:eastAsia="仿宋" w:cs="仿宋"/>
          <w:b/>
          <w:color w:val="auto"/>
          <w:sz w:val="32"/>
          <w:highlight w:val="none"/>
        </w:rPr>
        <w:t>　三、评标委员会的职责</w:t>
      </w:r>
    </w:p>
    <w:p w14:paraId="51F2BFB1">
      <w:pPr>
        <w:pStyle w:val="23"/>
        <w:spacing w:before="0"/>
        <w:ind w:firstLine="48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4.评标委员会负责具体评标事务，并独立履行下列职责：</w:t>
      </w:r>
    </w:p>
    <w:p w14:paraId="6CEE63D2">
      <w:pPr>
        <w:pStyle w:val="2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4.1审查、评价投标文件是否符合招标文件的商务、技术等实质性要求；</w:t>
      </w:r>
    </w:p>
    <w:p w14:paraId="2D551951">
      <w:pPr>
        <w:pStyle w:val="2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4.2要求投标人对投标文件有关事项作出澄清或者说明；</w:t>
      </w:r>
    </w:p>
    <w:p w14:paraId="194B3E67">
      <w:pPr>
        <w:pStyle w:val="2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4.3对投标文件进行比较和评价；</w:t>
      </w:r>
    </w:p>
    <w:p w14:paraId="68677256">
      <w:pPr>
        <w:pStyle w:val="2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4.4确定中标候选人名单，以及根据采购人委托直接确定中标人；</w:t>
      </w:r>
    </w:p>
    <w:p w14:paraId="7E560DEB">
      <w:pPr>
        <w:pStyle w:val="2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4.5向采购人、采购代理机构或者有关部门报告评标中发现的违法行为；</w:t>
      </w:r>
    </w:p>
    <w:p w14:paraId="292679DA">
      <w:pPr>
        <w:pStyle w:val="2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4.6法律、法规、规章、招标文件等规定的其它事项。</w:t>
      </w:r>
    </w:p>
    <w:p w14:paraId="784821CA">
      <w:pPr>
        <w:pStyle w:val="23"/>
        <w:spacing w:before="0"/>
        <w:ind w:firstLine="482"/>
        <w:jc w:val="left"/>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5.评标委员会及其成员不得有下列行为：</w:t>
      </w:r>
    </w:p>
    <w:p w14:paraId="37619CD9">
      <w:pPr>
        <w:pStyle w:val="23"/>
        <w:spacing w:before="0"/>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5.1确定参与评标至评标结束前私自接触投标人；</w:t>
      </w:r>
    </w:p>
    <w:p w14:paraId="4C4863C9">
      <w:pPr>
        <w:pStyle w:val="23"/>
        <w:spacing w:before="0"/>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5.2接受投标人提出的与投标文件不一致的澄清或者说明（财政部87号《政府采购货物和服务招投标管理办法》第五十一条规定的情形除外）；</w:t>
      </w:r>
    </w:p>
    <w:p w14:paraId="56A8AC32">
      <w:pPr>
        <w:pStyle w:val="23"/>
        <w:spacing w:before="0"/>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5.3违反评标纪律发表倾向性意见或者征询采购人的倾向性意见；</w:t>
      </w:r>
    </w:p>
    <w:p w14:paraId="59EF4A49">
      <w:pPr>
        <w:pStyle w:val="23"/>
        <w:spacing w:before="0"/>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5.4对需要专业判断的主观评审因素协商评分；</w:t>
      </w:r>
    </w:p>
    <w:p w14:paraId="77D80ED1">
      <w:pPr>
        <w:pStyle w:val="23"/>
        <w:spacing w:before="0"/>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5.5在评标过程中擅离职守，影响评标程序正常进行的；</w:t>
      </w:r>
    </w:p>
    <w:p w14:paraId="600A19C1">
      <w:pPr>
        <w:pStyle w:val="23"/>
        <w:spacing w:before="0"/>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5.6记录、复制或者带走任何评标资料；</w:t>
      </w:r>
    </w:p>
    <w:p w14:paraId="19196557">
      <w:pPr>
        <w:pStyle w:val="23"/>
        <w:spacing w:before="0"/>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5.7其他不遵守评标纪律的行为。</w:t>
      </w:r>
    </w:p>
    <w:p w14:paraId="64403C6F">
      <w:pPr>
        <w:pStyle w:val="23"/>
        <w:spacing w:before="0"/>
        <w:ind w:firstLine="0" w:firstLineChars="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　　评标委员会成员有5.1-5.7行为之一的，其评审意见无效，并不得获取评审劳务报酬和报销异地评审差旅费。</w:t>
      </w:r>
    </w:p>
    <w:p w14:paraId="68517F2A">
      <w:pPr>
        <w:pStyle w:val="23"/>
        <w:spacing w:before="0"/>
        <w:ind w:firstLine="0" w:firstLineChars="0"/>
        <w:rPr>
          <w:rFonts w:hint="eastAsia" w:ascii="仿宋" w:hAnsi="仿宋" w:eastAsia="仿宋" w:cs="仿宋"/>
          <w:color w:val="auto"/>
          <w:kern w:val="0"/>
          <w:highlight w:val="none"/>
        </w:rPr>
      </w:pPr>
    </w:p>
    <w:p w14:paraId="316A583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22F54877">
      <w:pPr>
        <w:pStyle w:val="23"/>
        <w:spacing w:before="0"/>
        <w:ind w:firstLine="482"/>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 xml:space="preserve">6.符合性审查。 </w:t>
      </w:r>
      <w:r>
        <w:rPr>
          <w:rFonts w:hint="eastAsia" w:ascii="仿宋" w:hAnsi="仿宋" w:eastAsia="仿宋" w:cs="仿宋"/>
          <w:color w:val="auto"/>
          <w:kern w:val="0"/>
          <w:szCs w:val="24"/>
          <w:highlight w:val="none"/>
        </w:rPr>
        <w:t>评标委员会应当对符合资格的投标人的投标文件进行符合性审查，以确定其是否满足招标文件的实质性要求。符合投标无效情形的，投标无效。</w:t>
      </w:r>
    </w:p>
    <w:p w14:paraId="2635F43C">
      <w:pPr>
        <w:pStyle w:val="23"/>
        <w:spacing w:before="0"/>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7. 比较与评价。</w:t>
      </w:r>
      <w:r>
        <w:rPr>
          <w:rFonts w:hint="eastAsia" w:ascii="仿宋" w:hAnsi="仿宋" w:eastAsia="仿宋" w:cs="仿宋"/>
          <w:color w:val="auto"/>
          <w:kern w:val="0"/>
          <w:szCs w:val="24"/>
          <w:highlight w:val="none"/>
        </w:rPr>
        <w:t>标委员会应当按照评标标准，对符合性审查合格的投标文件进行商务和技术评估，综合比较与评价。</w:t>
      </w:r>
    </w:p>
    <w:p w14:paraId="116B7599">
      <w:pPr>
        <w:pStyle w:val="23"/>
        <w:spacing w:before="0"/>
        <w:ind w:firstLine="482"/>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8. 汇总（商务技术得分情况）。</w:t>
      </w:r>
      <w:r>
        <w:rPr>
          <w:rFonts w:hint="eastAsia" w:ascii="仿宋" w:hAnsi="仿宋" w:eastAsia="仿宋" w:cs="仿宋"/>
          <w:color w:val="auto"/>
          <w:kern w:val="0"/>
          <w:szCs w:val="24"/>
          <w:highlight w:val="none"/>
        </w:rPr>
        <w:t>评标委员会各成员应当独立对每个投标人的商务和技术文件进行评价，并汇总商务技术得分情况。</w:t>
      </w:r>
    </w:p>
    <w:p w14:paraId="2637A6E6">
      <w:pPr>
        <w:pStyle w:val="23"/>
        <w:spacing w:before="0"/>
        <w:ind w:firstLine="482"/>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9. 报价审核。</w:t>
      </w:r>
      <w:r>
        <w:rPr>
          <w:rFonts w:hint="eastAsia" w:ascii="仿宋" w:hAnsi="仿宋" w:eastAsia="仿宋" w:cs="仿宋"/>
          <w:color w:val="auto"/>
          <w:kern w:val="0"/>
          <w:szCs w:val="24"/>
          <w:highlight w:val="none"/>
        </w:rPr>
        <w:t>对经商务和技术评审符合采购需求的投标人的报价的合理性、准确性等进行审查核实。</w:t>
      </w:r>
    </w:p>
    <w:p w14:paraId="4EC942E5">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9.1评标委员会认为投标人的报价明显低于其他通过符合性审查投标人的报价，有可能影响产品质量或者不能诚信履约的，应当要求其在规定的时间内提供书面说明，必要时提交相关证明材料；投标人不能证明其报价合理性的，评标委员会应当将其作为无效投标处理。</w:t>
      </w:r>
    </w:p>
    <w:p w14:paraId="514EA794">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9.2对于未预留份额专门面向中小企业的政府采购项目，以及预留份额政府采购项目中的非预留部分标项，对小型和微型企业的投标报价给予</w:t>
      </w:r>
      <w:r>
        <w:rPr>
          <w:rFonts w:hint="eastAsia" w:ascii="仿宋" w:hAnsi="仿宋" w:eastAsia="仿宋" w:cs="仿宋"/>
          <w:b/>
          <w:bCs/>
          <w:color w:val="auto"/>
          <w:kern w:val="0"/>
          <w:szCs w:val="24"/>
          <w:highlight w:val="none"/>
        </w:rPr>
        <w:t>10%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 w:hAnsi="仿宋" w:eastAsia="仿宋" w:cs="仿宋"/>
          <w:b/>
          <w:bCs/>
          <w:color w:val="auto"/>
          <w:kern w:val="0"/>
          <w:szCs w:val="24"/>
          <w:highlight w:val="none"/>
          <w:lang w:val="en-US" w:eastAsia="zh-CN"/>
        </w:rPr>
        <w:t>4</w:t>
      </w:r>
      <w:r>
        <w:rPr>
          <w:rFonts w:hint="eastAsia" w:ascii="仿宋" w:hAnsi="仿宋" w:eastAsia="仿宋" w:cs="仿宋"/>
          <w:b/>
          <w:bCs/>
          <w:color w:val="auto"/>
          <w:kern w:val="0"/>
          <w:szCs w:val="24"/>
          <w:highlight w:val="none"/>
        </w:rPr>
        <w:t>%</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76BF066">
      <w:pPr>
        <w:snapToGrid w:val="0"/>
        <w:spacing w:line="360" w:lineRule="auto"/>
        <w:ind w:firstLine="420" w:firstLineChars="200"/>
        <w:jc w:val="left"/>
        <w:rPr>
          <w:rFonts w:hint="eastAsia" w:ascii="仿宋" w:hAnsi="仿宋" w:eastAsia="仿宋" w:cs="仿宋"/>
          <w:color w:val="auto"/>
          <w:kern w:val="0"/>
          <w:highlight w:val="none"/>
        </w:rPr>
      </w:pPr>
    </w:p>
    <w:p w14:paraId="04E0648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9.3投标文件出现不是唯一的、有选择性投标报价的，投标无效。</w:t>
      </w:r>
    </w:p>
    <w:p w14:paraId="06B93325">
      <w:pPr>
        <w:pStyle w:val="23"/>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9.4投标报价超过招标文件中规定的预算金额或者最高限价的，投标无效。</w:t>
      </w:r>
    </w:p>
    <w:p w14:paraId="412B48EA">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9.5政采云投标客户端开标一览表内容与投标文件开标一览表(报价表)相应内容不一致的，以投标文件开标一览表(报价表)为准。</w:t>
      </w:r>
    </w:p>
    <w:p w14:paraId="34F00D1F">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9.6投标价格的修正原则。投标文件报价出现前后不一致的，按照下列规定修正：</w:t>
      </w:r>
    </w:p>
    <w:p w14:paraId="2215A760">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9.6.1投标文件中开标一览表(报价表)内容与投标文件中相应内容不一致的，以开标一览表(报价表)为准;</w:t>
      </w:r>
    </w:p>
    <w:p w14:paraId="7DB8A227">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9.6.2大写金额和小写金额不一致的，以大写金额为准;</w:t>
      </w:r>
    </w:p>
    <w:p w14:paraId="69BFDBBE">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9.6.3单价金额小数点或者百分比有明显错位的，以开标一览表的总价为准，并修改单价;</w:t>
      </w:r>
    </w:p>
    <w:p w14:paraId="4B3AE875">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9.6.4总价金额与按单价汇总金额不一致的，以单价金额计算结果为准；</w:t>
      </w:r>
    </w:p>
    <w:p w14:paraId="5043111A">
      <w:pPr>
        <w:pStyle w:val="2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9.6.5同时出现两种以上不一致的，按照前款规定的顺序修正。修正后的报价按照财政部第87号令 《政府采购货物和服务招标投标管理办法》第五十一条第二款的规定经投标人确认后产生约束力。</w:t>
      </w:r>
    </w:p>
    <w:p w14:paraId="1FB815C4">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投标人对根据修正原则修正后的报价不确认的，投标无效。</w:t>
      </w:r>
    </w:p>
    <w:p w14:paraId="206FC35A">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10.汇总得分。</w:t>
      </w:r>
      <w:r>
        <w:rPr>
          <w:rFonts w:hint="eastAsia" w:ascii="仿宋" w:hAnsi="仿宋" w:eastAsia="仿宋" w:cs="仿宋"/>
          <w:color w:val="auto"/>
          <w:kern w:val="0"/>
          <w:sz w:val="24"/>
          <w:highlight w:val="none"/>
        </w:rPr>
        <w:t>评标委员会各成员应当独立对每个投标人的投标文件进行评价，并汇总每个投标人的得分。</w:t>
      </w:r>
    </w:p>
    <w:p w14:paraId="3059B5E5">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11.中标候选人推荐。</w:t>
      </w:r>
    </w:p>
    <w:p w14:paraId="03BA59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11.1评审后总得分最高者为第一中标候选人，总得分相同的，以报价低者为第一中标候选人，总得分与报价均相同的，由采购人当场随机抽取产生第一中标候选人。</w:t>
      </w:r>
    </w:p>
    <w:p w14:paraId="6D01C2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候选人推荐资格；评审得分相同的报价低者获得中标候选人推荐资格，评审得分与报价均相同的采取随机抽取方式确定，其他同品牌投标人不作为中标候选人。</w:t>
      </w:r>
    </w:p>
    <w:p w14:paraId="325823F4">
      <w:pPr>
        <w:pStyle w:val="23"/>
        <w:adjustRightInd/>
        <w:spacing w:before="0"/>
        <w:ind w:firstLine="482"/>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12.评标报告与推荐中标候选人。</w:t>
      </w:r>
      <w:r>
        <w:rPr>
          <w:rFonts w:hint="eastAsia" w:ascii="仿宋" w:hAnsi="仿宋" w:eastAsia="仿宋" w:cs="仿宋"/>
          <w:color w:val="auto"/>
          <w:szCs w:val="24"/>
          <w:highlight w:val="none"/>
        </w:rPr>
        <w:t>评标委员会根据全体评标成员签字的原始评标记录和评标结果编写评标报告，并推荐中标候选人，评审报告由评标委员会成员签字确认提交。</w:t>
      </w:r>
    </w:p>
    <w:p w14:paraId="210D028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13.评标争议事项处理。</w:t>
      </w:r>
      <w:r>
        <w:rPr>
          <w:rFonts w:hint="eastAsia" w:ascii="仿宋" w:hAnsi="仿宋" w:eastAsia="仿宋" w:cs="仿宋"/>
          <w:color w:val="auto"/>
          <w:sz w:val="24"/>
          <w:highlight w:val="none"/>
        </w:rPr>
        <w:t xml:space="preserve">评标委员会成员对需要共同认定的事项存在争议的，应当按照少数服从多数的原则作出结论。持不同意见的评标委员会成员应当在评标报告上签署不同意见及理由，否则视为同意评标报告。 </w:t>
      </w:r>
    </w:p>
    <w:p w14:paraId="0A89F52D">
      <w:pPr>
        <w:spacing w:line="360" w:lineRule="auto"/>
        <w:ind w:firstLine="240" w:firstLineChars="100"/>
        <w:rPr>
          <w:rFonts w:hint="eastAsia" w:ascii="仿宋" w:hAnsi="仿宋" w:eastAsia="仿宋" w:cs="仿宋"/>
          <w:color w:val="auto"/>
          <w:sz w:val="24"/>
          <w:szCs w:val="21"/>
          <w:highlight w:val="none"/>
        </w:rPr>
      </w:pPr>
    </w:p>
    <w:p w14:paraId="4FF1EF54">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五、评标中的其他事项</w:t>
      </w:r>
    </w:p>
    <w:p w14:paraId="41157AD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14.投标人澄清、说明或者补正。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评标委员会可以书面形式要求投标人通过政采云平台以书面形式作出必要的澄清、说明或者补正，投标人应在30分钟内提交澄清说明或补正，逾期不提交的视为放弃澄清、说明或补正的权利。投标人的澄清、说明或者补正不得超出投标文件的范围或者改变投标文件的实质性内容。</w:t>
      </w:r>
    </w:p>
    <w:p w14:paraId="116184FB">
      <w:pPr>
        <w:pStyle w:val="10"/>
        <w:spacing w:line="360" w:lineRule="auto"/>
        <w:ind w:firstLine="562"/>
        <w:rPr>
          <w:rFonts w:hint="eastAsia" w:ascii="仿宋" w:hAnsi="仿宋" w:eastAsia="仿宋" w:cs="仿宋"/>
          <w:color w:val="auto"/>
          <w:highlight w:val="none"/>
        </w:rPr>
      </w:pPr>
      <w:r>
        <w:rPr>
          <w:rFonts w:hint="eastAsia" w:ascii="仿宋" w:hAnsi="仿宋" w:eastAsia="仿宋" w:cs="仿宋"/>
          <w:b/>
          <w:color w:val="auto"/>
          <w:spacing w:val="20"/>
          <w:highlight w:val="none"/>
        </w:rPr>
        <w:t>1</w:t>
      </w:r>
      <w:r>
        <w:rPr>
          <w:rFonts w:hint="eastAsia" w:ascii="仿宋" w:hAnsi="仿宋" w:eastAsia="仿宋" w:cs="仿宋"/>
          <w:b/>
          <w:color w:val="auto"/>
          <w:spacing w:val="20"/>
          <w:highlight w:val="none"/>
          <w:lang w:eastAsia="zh-CN"/>
        </w:rPr>
        <w:t>5</w:t>
      </w:r>
      <w:r>
        <w:rPr>
          <w:rFonts w:hint="eastAsia" w:ascii="仿宋" w:hAnsi="仿宋" w:eastAsia="仿宋" w:cs="仿宋"/>
          <w:b/>
          <w:color w:val="auto"/>
          <w:spacing w:val="20"/>
          <w:highlight w:val="none"/>
        </w:rPr>
        <w:t>.投标无效。</w:t>
      </w:r>
      <w:r>
        <w:rPr>
          <w:rFonts w:hint="eastAsia" w:ascii="仿宋" w:hAnsi="仿宋" w:eastAsia="仿宋" w:cs="仿宋"/>
          <w:color w:val="auto"/>
          <w:highlight w:val="none"/>
        </w:rPr>
        <w:t>有下列情况之一的，投标无效：</w:t>
      </w:r>
    </w:p>
    <w:p w14:paraId="41D68D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15.1单位负责人为同一人或者存在直接控股、管理关系的不同供应商参加同一合同项下的政府采购活动的（均无效）；</w:t>
      </w:r>
    </w:p>
    <w:p w14:paraId="6C11B9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15.2为采购项目提供整体设计、规范编制或者项目管理、监理、检测等服务的供应商再参加该采购项目的其他采购活动的； </w:t>
      </w:r>
    </w:p>
    <w:p w14:paraId="790AF3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15.3投标人不具备招标文件中规定的资格要求的（投标人未提供有效的资格证明文件的，视为投标人不具备招标文件中规定的资格要求）；</w:t>
      </w:r>
    </w:p>
    <w:p w14:paraId="43C0BE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15.4投标文件“资格文件”和“商务技术文件”部分中出现用于价格分评审的投标报价的（招标文件另有规定的参与“商务技术文件”评审的报价除外）；</w:t>
      </w:r>
    </w:p>
    <w:p w14:paraId="47B7A2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15.5投标文件未按招标文件规定的格式填写，或对招标服务或对技术或产品等要求未详细应答或应答内容不全、有缺失的，经评标委员会认定为无法评审的；</w:t>
      </w:r>
    </w:p>
    <w:p w14:paraId="11395B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15.6投标文件关键信息填写不完整或字迹不能辨认或有漏项的，经评标委员会认定属于重大偏差的；</w:t>
      </w:r>
    </w:p>
    <w:p w14:paraId="7A9A80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15.7投标文件重要信息前后不一致，经评标委员会询标后仍然无法评审的；</w:t>
      </w:r>
    </w:p>
    <w:p w14:paraId="5F424D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15.8投标文件未按照招标文件要求签署、盖章的；</w:t>
      </w:r>
    </w:p>
    <w:p w14:paraId="2E3ACC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15.9投标文件中未提供应当提供的政府强制采购节能品目内的节能产品或未提供有效的节能产品认证证书的（如果本项目采购涉及节能品目清单中的政府强制采购的节能产品的）；</w:t>
      </w:r>
    </w:p>
    <w:p w14:paraId="2F9154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15.10投标文件含有采购人不能接受的附加条件的；</w:t>
      </w:r>
    </w:p>
    <w:p w14:paraId="06BA1A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15.11投标文件中承诺的投标有效期少于招标文件中载明的投标有效期的；</w:t>
      </w:r>
    </w:p>
    <w:p w14:paraId="5B50D5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15.12投标人所投内容不符合采购需求中实质性要求的；</w:t>
      </w:r>
    </w:p>
    <w:p w14:paraId="55745C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15.13投标文件出现不是唯一的、有选择性投标报价的;</w:t>
      </w:r>
    </w:p>
    <w:p w14:paraId="6A3B3C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15.14投标报价高于本项目采购预算或者最高限价的;</w:t>
      </w:r>
    </w:p>
    <w:p w14:paraId="7724EA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15.15报价明显低于其他通过符合性审查投标人的报价，有可能影响产品质量或者不能诚信履约的，未能按要求提供书面说明或者提交相关证明材料，不能证明其报价合理性的;</w:t>
      </w:r>
    </w:p>
    <w:p w14:paraId="4890AA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15.16《</w:t>
      </w:r>
      <w:r>
        <w:rPr>
          <w:rFonts w:hint="eastAsia" w:ascii="仿宋" w:hAnsi="仿宋" w:eastAsia="仿宋" w:cs="仿宋"/>
          <w:color w:val="auto"/>
          <w:sz w:val="24"/>
          <w:szCs w:val="28"/>
          <w:highlight w:val="none"/>
        </w:rPr>
        <w:t>开标一览表(报价表)</w:t>
      </w:r>
      <w:r>
        <w:rPr>
          <w:rFonts w:hint="eastAsia" w:ascii="仿宋" w:hAnsi="仿宋" w:eastAsia="仿宋" w:cs="仿宋"/>
          <w:color w:val="auto"/>
          <w:sz w:val="24"/>
          <w:highlight w:val="none"/>
        </w:rPr>
        <w:t>》填写不完整或字迹不能辨认或有漏项的，经评标委员会认定属于重大偏差的；</w:t>
      </w:r>
    </w:p>
    <w:p w14:paraId="5D5A93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15.17投标人对根据修正原则修正后的报价不确认的；</w:t>
      </w:r>
    </w:p>
    <w:p w14:paraId="521FA8F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15.18</w:t>
      </w:r>
      <w:r>
        <w:rPr>
          <w:rFonts w:hint="eastAsia" w:ascii="仿宋" w:hAnsi="仿宋" w:eastAsia="仿宋" w:cs="仿宋"/>
          <w:color w:val="auto"/>
          <w:kern w:val="0"/>
          <w:sz w:val="24"/>
          <w:highlight w:val="none"/>
        </w:rPr>
        <w:t>投标人仅提交备份投标文件，未在电子交易平台传输递交投标文件的，投标无效；</w:t>
      </w:r>
    </w:p>
    <w:p w14:paraId="23155B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r>
        <w:rPr>
          <w:rFonts w:hint="eastAsia" w:ascii="仿宋" w:hAnsi="仿宋" w:eastAsia="仿宋" w:cs="仿宋"/>
          <w:color w:val="auto"/>
          <w:sz w:val="24"/>
          <w:highlight w:val="none"/>
          <w:lang w:val="en-US" w:eastAsia="zh-CN"/>
        </w:rPr>
        <w:t>9</w:t>
      </w:r>
      <w:r>
        <w:rPr>
          <w:rFonts w:hint="eastAsia" w:ascii="仿宋" w:hAnsi="仿宋" w:eastAsia="仿宋" w:cs="仿宋"/>
          <w:b/>
          <w:snapToGrid w:val="0"/>
          <w:color w:val="auto"/>
          <w:kern w:val="28"/>
          <w:sz w:val="24"/>
          <w:highlight w:val="none"/>
        </w:rPr>
        <w:t>对未提供样品或提供样品不满足采购需求实质性条件；</w:t>
      </w:r>
      <w:r>
        <w:rPr>
          <w:rFonts w:hint="eastAsia" w:ascii="仿宋" w:hAnsi="仿宋" w:eastAsia="仿宋" w:cs="仿宋"/>
          <w:color w:val="auto"/>
          <w:sz w:val="24"/>
          <w:highlight w:val="none"/>
        </w:rPr>
        <w:t xml:space="preserve"> </w:t>
      </w:r>
    </w:p>
    <w:p w14:paraId="30A6EB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投标人提供虚假材料投标的（包括但不限于以下情节）：</w:t>
      </w:r>
    </w:p>
    <w:p w14:paraId="14FE30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.1使用伪造、变造的许可证件；</w:t>
      </w:r>
    </w:p>
    <w:p w14:paraId="710DAA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.2提供虚假的财务状况或者业绩；</w:t>
      </w:r>
    </w:p>
    <w:p w14:paraId="3B932B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.3提供虚假的项目负责人或者主要技术人员简历、劳动关系证明；</w:t>
      </w:r>
    </w:p>
    <w:p w14:paraId="449309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.4提供虚假的信用状况；</w:t>
      </w:r>
    </w:p>
    <w:p w14:paraId="48DBDD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.5其他弄虚作假的行为。</w:t>
      </w:r>
    </w:p>
    <w:p w14:paraId="0CA76C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投标人有恶意串通、妨碍其他投标人的竞争行为、损害采购人或者其他投标人的合法权益情形的；有下列情形之一的，属于或视为恶意串通，其投标无效：</w:t>
      </w:r>
    </w:p>
    <w:p w14:paraId="5A5128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15.20.1供应商直接或者间接从采购人或者采购代理机构处获得其他供应商的相关情况并修改其投标文件或者响应文件；</w:t>
      </w:r>
    </w:p>
    <w:p w14:paraId="72004F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.2供应商按照采购人或者采购代理机构的授意撤换、修改投标文件或者响应文件；</w:t>
      </w:r>
    </w:p>
    <w:p w14:paraId="66B336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.3供应商之间协商报价、技术方案等投标文件或者响应文件的实质性内容；</w:t>
      </w:r>
    </w:p>
    <w:p w14:paraId="7F6403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.4属于同一集团、协会、商会等组织成员的供应商按照该组织要求协同参加政府采购活动；</w:t>
      </w:r>
    </w:p>
    <w:p w14:paraId="6BBF4D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.5供应商之间事先约定由某一特定供应商中标、成交；</w:t>
      </w:r>
    </w:p>
    <w:p w14:paraId="2DD91F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.6供应商之间商定部分供应商放弃参加政府采购活动或者放弃中标、成交；</w:t>
      </w:r>
    </w:p>
    <w:p w14:paraId="2BD438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.7供应商与采购人或者采购代理机构之间、供应商相互之间，为谋求特定供应商中标、成交或者排斥其他供应商的其他串通行为。</w:t>
      </w:r>
    </w:p>
    <w:p w14:paraId="7705D0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.8不同投标人的投标文件由同一单位或者个人编制；</w:t>
      </w:r>
    </w:p>
    <w:p w14:paraId="1AE5F9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.9不同投标人委托同一单位或者个人办理投标事宜；</w:t>
      </w:r>
    </w:p>
    <w:p w14:paraId="746C1F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.10不同投标人的投标文件载明的项目管理成员或者联系人员为同一人；</w:t>
      </w:r>
    </w:p>
    <w:p w14:paraId="400A59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.11不同投标人的投标文件异常一致或者投标报价呈规律性差异；</w:t>
      </w:r>
    </w:p>
    <w:p w14:paraId="3BCA9C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.12不同投标人的投标文件相互混装；</w:t>
      </w:r>
    </w:p>
    <w:p w14:paraId="0083CCDE">
      <w:pPr>
        <w:spacing w:line="360" w:lineRule="auto"/>
        <w:ind w:firstLine="480" w:firstLineChars="200"/>
        <w:rPr>
          <w:rFonts w:hint="eastAsia" w:ascii="仿宋" w:hAnsi="仿宋" w:eastAsia="仿宋" w:cs="仿宋"/>
          <w:color w:val="auto"/>
          <w:sz w:val="24"/>
          <w:highlight w:val="none"/>
        </w:rPr>
      </w:pPr>
      <w:r>
        <w:rPr>
          <w:rFonts w:ascii="仿宋" w:hAnsi="仿宋" w:eastAsia="仿宋" w:cs="仿宋_GB2312"/>
          <w:sz w:val="24"/>
        </w:rPr>
        <w:t>15.21.13</w:t>
      </w:r>
      <w:r>
        <w:rPr>
          <w:rFonts w:hint="eastAsia" w:ascii="仿宋" w:hAnsi="仿宋" w:eastAsia="仿宋" w:cs="仿宋_GB2312"/>
          <w:sz w:val="24"/>
        </w:rPr>
        <w:t>不同供应商的电子投标（响应）文件上传计算机的网卡MAC地址、CPU序列号和硬盘序列号等硬件信息相同的；</w:t>
      </w:r>
    </w:p>
    <w:p w14:paraId="6A7DFB05">
      <w:pPr>
        <w:spacing w:line="360" w:lineRule="auto"/>
        <w:ind w:firstLine="480" w:firstLineChars="200"/>
        <w:rPr>
          <w:rFonts w:hint="eastAsia" w:ascii="仿宋" w:hAnsi="仿宋" w:eastAsia="仿宋" w:cs="仿宋"/>
          <w:color w:val="auto"/>
          <w:sz w:val="24"/>
          <w:highlight w:val="none"/>
        </w:rPr>
      </w:pPr>
      <w:r>
        <w:rPr>
          <w:rFonts w:ascii="仿宋" w:hAnsi="仿宋" w:eastAsia="仿宋" w:cs="仿宋_GB2312"/>
          <w:sz w:val="24"/>
        </w:rPr>
        <w:t>15.21.1</w:t>
      </w:r>
      <w:r>
        <w:rPr>
          <w:rFonts w:hint="eastAsia" w:ascii="仿宋" w:hAnsi="仿宋" w:eastAsia="仿宋" w:cs="仿宋_GB2312"/>
          <w:sz w:val="24"/>
        </w:rPr>
        <w:t>4不同供应商联系人为同一人或不同联系人的联系电话一致，且无法合理解释的；</w:t>
      </w:r>
    </w:p>
    <w:p w14:paraId="4CD850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违反法律、法规及本招标文件规定的其它无效投标情形。 </w:t>
      </w:r>
    </w:p>
    <w:p w14:paraId="5F00CF56">
      <w:pPr>
        <w:pStyle w:val="10"/>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highlight w:val="none"/>
        </w:rPr>
        <w:t>1</w:t>
      </w:r>
      <w:r>
        <w:rPr>
          <w:rFonts w:hint="eastAsia" w:ascii="仿宋" w:hAnsi="仿宋" w:eastAsia="仿宋" w:cs="仿宋"/>
          <w:b/>
          <w:color w:val="auto"/>
          <w:highlight w:val="none"/>
          <w:lang w:eastAsia="zh-CN"/>
        </w:rPr>
        <w:t>6</w:t>
      </w:r>
      <w:r>
        <w:rPr>
          <w:rFonts w:hint="eastAsia" w:ascii="仿宋" w:hAnsi="仿宋" w:eastAsia="仿宋" w:cs="仿宋"/>
          <w:b/>
          <w:color w:val="auto"/>
          <w:highlight w:val="none"/>
        </w:rPr>
        <w:t>.废标。</w:t>
      </w:r>
      <w:r>
        <w:rPr>
          <w:rFonts w:hint="eastAsia" w:ascii="仿宋" w:hAnsi="仿宋" w:eastAsia="仿宋" w:cs="仿宋"/>
          <w:color w:val="auto"/>
          <w:highlight w:val="none"/>
        </w:rPr>
        <w:t>根据《中华人民共和国政府采购法》第三十六条之规定，在采购中，出现下列情形之一的，应予废标：</w:t>
      </w:r>
    </w:p>
    <w:p w14:paraId="0BBF959D">
      <w:pPr>
        <w:pStyle w:val="1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16.1符合专业条件的供应商或者对招标文件作实质响应的供应商不足3家的；</w:t>
      </w:r>
    </w:p>
    <w:p w14:paraId="0EE13DFE">
      <w:pPr>
        <w:pStyle w:val="1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16.2出现影响采购公正的违法、违规行为的；</w:t>
      </w:r>
    </w:p>
    <w:p w14:paraId="2894D456">
      <w:pPr>
        <w:pStyle w:val="1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16.3投标人的报价均超过了采购预算，采购人不能支付的；</w:t>
      </w:r>
    </w:p>
    <w:p w14:paraId="70F958E9">
      <w:pPr>
        <w:pStyle w:val="1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16.4因重大变故，采购任务取消的。</w:t>
      </w:r>
    </w:p>
    <w:p w14:paraId="12E1512C">
      <w:pPr>
        <w:pStyle w:val="10"/>
        <w:snapToGrid w:val="0"/>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废标后，采购代理机构应当将废标理由通知所有投标人。</w:t>
      </w:r>
    </w:p>
    <w:p w14:paraId="41815892">
      <w:pPr>
        <w:pStyle w:val="10"/>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lang w:eastAsia="zh-CN"/>
        </w:rPr>
        <w:t>17</w:t>
      </w:r>
      <w:r>
        <w:rPr>
          <w:rFonts w:hint="eastAsia" w:ascii="仿宋" w:hAnsi="仿宋" w:eastAsia="仿宋" w:cs="仿宋"/>
          <w:b/>
          <w:color w:val="auto"/>
          <w:highlight w:val="none"/>
        </w:rPr>
        <w:t>.修改招标文件，重新组织采购活动。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A4B3A95">
      <w:pPr>
        <w:pStyle w:val="10"/>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lang w:eastAsia="zh-CN"/>
        </w:rPr>
        <w:t>18</w:t>
      </w:r>
      <w:r>
        <w:rPr>
          <w:rFonts w:hint="eastAsia" w:ascii="仿宋" w:hAnsi="仿宋" w:eastAsia="仿宋" w:cs="仿宋"/>
          <w:b/>
          <w:color w:val="auto"/>
          <w:kern w:val="0"/>
          <w:highlight w:val="none"/>
        </w:rPr>
        <w:t>.重新开展采购。</w:t>
      </w:r>
      <w:r>
        <w:rPr>
          <w:rFonts w:hint="eastAsia" w:ascii="仿宋" w:hAnsi="仿宋" w:eastAsia="仿宋" w:cs="仿宋"/>
          <w:color w:val="auto"/>
          <w:highlight w:val="none"/>
        </w:rPr>
        <w:t>有中华人民共和国政府采购法第七十一条、第七十二条规定的违法行为之一，影响或者可能影响中标结果的，依照下列规定处理：</w:t>
      </w:r>
    </w:p>
    <w:p w14:paraId="61213312">
      <w:pPr>
        <w:pStyle w:val="1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.1未确定中标供应商的，终止本次政府采购活动，重新开展政府采购活动。</w:t>
      </w:r>
    </w:p>
    <w:p w14:paraId="3D6C1E9B">
      <w:pPr>
        <w:pStyle w:val="1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.2已确定中标供应商但尚未签订政府采购合同的，中标结果无效，从合格的中标候选人中另行确定中标供应商；没有合格的中标候选人的，重新开展政府采购活动。</w:t>
      </w:r>
    </w:p>
    <w:p w14:paraId="68BFBFDF">
      <w:pPr>
        <w:pStyle w:val="1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.3政府采购合同已签订但尚未履行的，撤销合同，从合格的中标候选人中另行确定中标供应商；没有合格的中标候选人的，重新开展政府采购活动。</w:t>
      </w:r>
    </w:p>
    <w:p w14:paraId="116A28AB">
      <w:pPr>
        <w:pStyle w:val="1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.4政府采购合同已经履行，给采购人、供应商造成损失的，由责任人承担赔偿责任。</w:t>
      </w:r>
    </w:p>
    <w:p w14:paraId="67FAB3AE">
      <w:pPr>
        <w:pStyle w:val="10"/>
        <w:snapToGrid w:val="0"/>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.5政府采购当事人有其他违反中华人民共和国政府采购法或者中华人民共和国政府采购法实施条例等法律法规规定的行为，经改正后仍然影响或者可能影响中标结果或者依法被认定为中标无效的，依照</w:t>
      </w: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.1-</w:t>
      </w:r>
      <w:r>
        <w:rPr>
          <w:rFonts w:hint="eastAsia" w:ascii="仿宋" w:hAnsi="仿宋" w:eastAsia="仿宋" w:cs="仿宋"/>
          <w:color w:val="auto"/>
          <w:highlight w:val="none"/>
          <w:lang w:eastAsia="zh-CN"/>
        </w:rPr>
        <w:t>18</w:t>
      </w:r>
      <w:r>
        <w:rPr>
          <w:rFonts w:hint="eastAsia" w:ascii="仿宋" w:hAnsi="仿宋" w:eastAsia="仿宋" w:cs="仿宋"/>
          <w:color w:val="auto"/>
          <w:highlight w:val="none"/>
        </w:rPr>
        <w:t>.4规定处理。</w:t>
      </w:r>
    </w:p>
    <w:p w14:paraId="01B8D029">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1FB5E9E">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100AFE5A">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19.保密。</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3B750F90">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20.录音录像。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14:paraId="79BE7DA3">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2CEC26A3">
      <w:pPr>
        <w:keepNext w:val="0"/>
        <w:keepLines w:val="0"/>
        <w:pageBreakBefore w:val="0"/>
        <w:widowControl w:val="0"/>
        <w:kinsoku/>
        <w:wordWrap/>
        <w:overflowPunct/>
        <w:topLinePunct w:val="0"/>
        <w:autoSpaceDE/>
        <w:autoSpaceDN/>
        <w:bidi w:val="0"/>
        <w:adjustRightInd w:val="0"/>
        <w:snapToGrid w:val="0"/>
        <w:spacing w:line="240" w:lineRule="auto"/>
        <w:ind w:left="120" w:leftChars="57" w:firstLine="482" w:firstLineChars="150"/>
        <w:jc w:val="center"/>
        <w:textAlignment w:val="auto"/>
        <w:rPr>
          <w:rFonts w:hint="eastAsia" w:ascii="仿宋" w:hAnsi="仿宋" w:eastAsia="仿宋" w:cs="仿宋"/>
          <w:b/>
          <w:color w:val="FF0000"/>
          <w:sz w:val="32"/>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000000"/>
          <w:sz w:val="32"/>
          <w:highlight w:val="none"/>
          <w:lang w:val="en-US" w:eastAsia="zh-CN"/>
        </w:rPr>
        <w:t>七</w:t>
      </w:r>
      <w:r>
        <w:rPr>
          <w:rFonts w:hint="eastAsia" w:ascii="仿宋" w:hAnsi="仿宋" w:eastAsia="仿宋" w:cs="仿宋"/>
          <w:b/>
          <w:color w:val="000000"/>
          <w:sz w:val="32"/>
          <w:highlight w:val="none"/>
        </w:rPr>
        <w:t>、具体评标标准</w:t>
      </w:r>
    </w:p>
    <w:p w14:paraId="1CDCE02A">
      <w:pPr>
        <w:widowControl/>
        <w:spacing w:line="360" w:lineRule="auto"/>
        <w:ind w:firstLine="480" w:firstLineChars="200"/>
        <w:rPr>
          <w:rFonts w:ascii="仿宋" w:hAnsi="仿宋" w:eastAsia="仿宋" w:cs="仿宋_GB2312"/>
          <w:color w:val="000000"/>
          <w:sz w:val="24"/>
          <w:highlight w:val="none"/>
        </w:rPr>
      </w:pPr>
      <w:bookmarkStart w:id="428" w:name="gxebd_pack_1_EvalFactorAccordEnd"/>
      <w:bookmarkEnd w:id="428"/>
      <w:r>
        <w:rPr>
          <w:rFonts w:hint="eastAsia" w:ascii="仿宋" w:hAnsi="仿宋" w:eastAsia="仿宋" w:cs="仿宋_GB2312"/>
          <w:color w:val="000000"/>
          <w:sz w:val="24"/>
          <w:highlight w:val="none"/>
        </w:rPr>
        <w:t>21.商务技术分</w:t>
      </w:r>
      <w:r>
        <w:rPr>
          <w:rFonts w:hint="eastAsia" w:ascii="仿宋" w:hAnsi="仿宋" w:eastAsia="仿宋" w:cs="仿宋_GB2312"/>
          <w:sz w:val="24"/>
          <w:highlight w:val="none"/>
        </w:rPr>
        <w:t>（</w:t>
      </w:r>
      <w:r>
        <w:rPr>
          <w:rFonts w:hint="eastAsia" w:ascii="仿宋" w:hAnsi="仿宋" w:eastAsia="仿宋" w:cs="Arial"/>
          <w:kern w:val="0"/>
          <w:sz w:val="24"/>
          <w:highlight w:val="none"/>
          <w:lang w:val="en-US" w:eastAsia="zh-CN"/>
        </w:rPr>
        <w:t>80</w:t>
      </w:r>
      <w:r>
        <w:rPr>
          <w:rFonts w:hint="eastAsia" w:ascii="仿宋" w:hAnsi="仿宋" w:eastAsia="仿宋" w:cs="仿宋_GB2312"/>
          <w:sz w:val="24"/>
          <w:highlight w:val="none"/>
        </w:rPr>
        <w:t>分）</w:t>
      </w:r>
    </w:p>
    <w:tbl>
      <w:tblPr>
        <w:tblStyle w:val="17"/>
        <w:tblW w:w="10331"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23"/>
        <w:gridCol w:w="7530"/>
        <w:gridCol w:w="885"/>
      </w:tblGrid>
      <w:tr w14:paraId="4F91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93" w:type="dxa"/>
            <w:tcBorders>
              <w:tl2br w:val="nil"/>
              <w:tr2bl w:val="nil"/>
            </w:tcBorders>
            <w:noWrap w:val="0"/>
            <w:vAlign w:val="top"/>
          </w:tcPr>
          <w:p w14:paraId="2DAE193F">
            <w:pPr>
              <w:widowControl/>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123" w:type="dxa"/>
            <w:tcBorders>
              <w:tl2br w:val="nil"/>
              <w:tr2bl w:val="nil"/>
            </w:tcBorders>
            <w:noWrap w:val="0"/>
            <w:vAlign w:val="top"/>
          </w:tcPr>
          <w:p w14:paraId="1C5AC659">
            <w:pPr>
              <w:widowControl/>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w:t>
            </w:r>
          </w:p>
        </w:tc>
        <w:tc>
          <w:tcPr>
            <w:tcW w:w="7530" w:type="dxa"/>
            <w:tcBorders>
              <w:tl2br w:val="nil"/>
              <w:tr2bl w:val="nil"/>
            </w:tcBorders>
            <w:noWrap w:val="0"/>
            <w:vAlign w:val="top"/>
          </w:tcPr>
          <w:p w14:paraId="3002217F">
            <w:pPr>
              <w:widowControl/>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评分标准</w:t>
            </w:r>
          </w:p>
        </w:tc>
        <w:tc>
          <w:tcPr>
            <w:tcW w:w="885" w:type="dxa"/>
            <w:tcBorders>
              <w:tl2br w:val="nil"/>
              <w:tr2bl w:val="nil"/>
            </w:tcBorders>
            <w:noWrap w:val="0"/>
            <w:vAlign w:val="top"/>
          </w:tcPr>
          <w:p w14:paraId="38C8A706">
            <w:pPr>
              <w:widowControl/>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w:t>
            </w:r>
          </w:p>
        </w:tc>
      </w:tr>
      <w:tr w14:paraId="4246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93" w:type="dxa"/>
            <w:tcBorders>
              <w:tl2br w:val="nil"/>
              <w:tr2bl w:val="nil"/>
            </w:tcBorders>
            <w:noWrap w:val="0"/>
            <w:vAlign w:val="center"/>
          </w:tcPr>
          <w:p w14:paraId="2F5CBB7B">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123" w:type="dxa"/>
            <w:tcBorders>
              <w:tl2br w:val="nil"/>
              <w:tr2bl w:val="nil"/>
            </w:tcBorders>
            <w:noWrap w:val="0"/>
            <w:vAlign w:val="center"/>
          </w:tcPr>
          <w:p w14:paraId="17C6DB1A">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体系</w:t>
            </w:r>
          </w:p>
          <w:p w14:paraId="4E60A197">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认证</w:t>
            </w:r>
          </w:p>
        </w:tc>
        <w:tc>
          <w:tcPr>
            <w:tcW w:w="7530" w:type="dxa"/>
            <w:tcBorders>
              <w:tl2br w:val="nil"/>
              <w:tr2bl w:val="nil"/>
            </w:tcBorders>
            <w:noWrap w:val="0"/>
            <w:vAlign w:val="center"/>
          </w:tcPr>
          <w:p w14:paraId="39F5A98D">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1、投标供应商具有有效的质量管理体系认证证书得1分；</w:t>
            </w:r>
          </w:p>
          <w:p w14:paraId="39A6212E">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2、投标供应商具有有效的环境管理体系认证证书得1分；</w:t>
            </w:r>
          </w:p>
          <w:p w14:paraId="6F6BAEA5">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3、投标供应商具有有效的职业健康安全管理体系认证证书得1分；</w:t>
            </w:r>
          </w:p>
          <w:p w14:paraId="640EEE09">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1"/>
                <w:szCs w:val="21"/>
                <w:highlight w:val="none"/>
                <w:lang w:val="en-US" w:eastAsia="zh-CN"/>
              </w:rPr>
              <w:t>注：投标文件中须提供证书复印件加盖投标供应商公章，并提供国家认证认可查询平台（http://cx.cnca.cn/CertECloud/result/skipResultList）网上查询截图加盖公章，未提供或未在有效期限内不得分。</w:t>
            </w:r>
          </w:p>
        </w:tc>
        <w:tc>
          <w:tcPr>
            <w:tcW w:w="885" w:type="dxa"/>
            <w:tcBorders>
              <w:tl2br w:val="nil"/>
              <w:tr2bl w:val="nil"/>
            </w:tcBorders>
            <w:noWrap w:val="0"/>
            <w:vAlign w:val="center"/>
          </w:tcPr>
          <w:p w14:paraId="601EB5A7">
            <w:pPr>
              <w:widowControl/>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r>
      <w:tr w14:paraId="6A10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793" w:type="dxa"/>
            <w:tcBorders>
              <w:tl2br w:val="nil"/>
              <w:tr2bl w:val="nil"/>
            </w:tcBorders>
            <w:noWrap w:val="0"/>
            <w:vAlign w:val="center"/>
          </w:tcPr>
          <w:p w14:paraId="3EF5CBB5">
            <w:pPr>
              <w:widowControl/>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1123" w:type="dxa"/>
            <w:tcBorders>
              <w:tl2br w:val="nil"/>
              <w:tr2bl w:val="nil"/>
            </w:tcBorders>
            <w:noWrap w:val="0"/>
            <w:vAlign w:val="center"/>
          </w:tcPr>
          <w:p w14:paraId="72C1AAA5">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c>
          <w:tcPr>
            <w:tcW w:w="7530" w:type="dxa"/>
            <w:tcBorders>
              <w:tl2br w:val="nil"/>
              <w:tr2bl w:val="nil"/>
            </w:tcBorders>
            <w:noWrap w:val="0"/>
            <w:vAlign w:val="center"/>
          </w:tcPr>
          <w:p w14:paraId="035BC883">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投标供应商自2022年1月1日至今（以合同签订日期为准）具有同类业绩的，每个得1分，本项最高得2分，未提供不得分。</w:t>
            </w:r>
          </w:p>
          <w:p w14:paraId="0A47A9A3">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注：投标</w:t>
            </w:r>
            <w:bookmarkStart w:id="446" w:name="_GoBack"/>
            <w:bookmarkEnd w:id="446"/>
            <w:r>
              <w:rPr>
                <w:rFonts w:hint="eastAsia" w:ascii="仿宋" w:hAnsi="仿宋" w:eastAsia="仿宋" w:cs="仿宋"/>
                <w:b/>
                <w:bCs/>
                <w:color w:val="auto"/>
                <w:kern w:val="0"/>
                <w:sz w:val="24"/>
                <w:szCs w:val="24"/>
                <w:highlight w:val="none"/>
                <w:lang w:val="en-US" w:eastAsia="zh-CN"/>
              </w:rPr>
              <w:t>文件中提供合同复印件并加盖投标供应商公章，否则不得分。</w:t>
            </w:r>
          </w:p>
        </w:tc>
        <w:tc>
          <w:tcPr>
            <w:tcW w:w="885" w:type="dxa"/>
            <w:tcBorders>
              <w:tl2br w:val="nil"/>
              <w:tr2bl w:val="nil"/>
            </w:tcBorders>
            <w:noWrap w:val="0"/>
            <w:vAlign w:val="center"/>
          </w:tcPr>
          <w:p w14:paraId="77A8F6B8">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14:paraId="1EF0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793" w:type="dxa"/>
            <w:tcBorders>
              <w:tl2br w:val="nil"/>
              <w:tr2bl w:val="nil"/>
            </w:tcBorders>
            <w:noWrap w:val="0"/>
            <w:vAlign w:val="center"/>
          </w:tcPr>
          <w:p w14:paraId="08A4BC88">
            <w:pPr>
              <w:widowControl/>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123" w:type="dxa"/>
            <w:tcBorders>
              <w:tl2br w:val="nil"/>
              <w:tr2bl w:val="nil"/>
            </w:tcBorders>
            <w:noWrap w:val="0"/>
            <w:vAlign w:val="center"/>
          </w:tcPr>
          <w:p w14:paraId="5CA33A50">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w:t>
            </w:r>
          </w:p>
        </w:tc>
        <w:tc>
          <w:tcPr>
            <w:tcW w:w="7530" w:type="dxa"/>
            <w:tcBorders>
              <w:tl2br w:val="nil"/>
              <w:tr2bl w:val="nil"/>
            </w:tcBorders>
            <w:noWrap w:val="0"/>
            <w:vAlign w:val="center"/>
          </w:tcPr>
          <w:p w14:paraId="2A35E825">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项目负责人具备本科及以上学历的得1分，持有人力资源和社会保障部门颁发的市政类中级工程师及以上职称证书的得1分，本项最高得2分。</w:t>
            </w:r>
          </w:p>
          <w:p w14:paraId="2A8114F1">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须为本单位在职职工（在职职工不包括离、退休返聘人员），须提供缴费期限包含2024年12月至2025年2月的投标单位所属社保机构养老保险交纳清单或证明（缴费单位和投标单位名称必须一致）。（投标文件中提供证书复印件并加盖投标供应商公章，否则不得分）</w:t>
            </w:r>
          </w:p>
        </w:tc>
        <w:tc>
          <w:tcPr>
            <w:tcW w:w="885" w:type="dxa"/>
            <w:tcBorders>
              <w:tl2br w:val="nil"/>
              <w:tr2bl w:val="nil"/>
            </w:tcBorders>
            <w:noWrap w:val="0"/>
            <w:vAlign w:val="center"/>
          </w:tcPr>
          <w:p w14:paraId="18078324">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14:paraId="05BB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793" w:type="dxa"/>
            <w:tcBorders>
              <w:tl2br w:val="nil"/>
              <w:tr2bl w:val="nil"/>
            </w:tcBorders>
            <w:noWrap w:val="0"/>
            <w:vAlign w:val="center"/>
          </w:tcPr>
          <w:p w14:paraId="350AB202">
            <w:pPr>
              <w:widowControl/>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1123" w:type="dxa"/>
            <w:tcBorders>
              <w:tl2br w:val="nil"/>
              <w:tr2bl w:val="nil"/>
            </w:tcBorders>
            <w:noWrap w:val="0"/>
            <w:vAlign w:val="center"/>
          </w:tcPr>
          <w:p w14:paraId="61BF0031">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投入</w:t>
            </w:r>
          </w:p>
          <w:p w14:paraId="30A5173B">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车辆</w:t>
            </w:r>
          </w:p>
        </w:tc>
        <w:tc>
          <w:tcPr>
            <w:tcW w:w="7530" w:type="dxa"/>
            <w:tcBorders>
              <w:tl2br w:val="nil"/>
              <w:tr2bl w:val="nil"/>
            </w:tcBorders>
            <w:noWrap w:val="0"/>
            <w:vAlign w:val="center"/>
          </w:tcPr>
          <w:p w14:paraId="27184214">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投标供应商自有或租赁总质量3吨及以上吸污车每辆得1分，最高得1分；</w:t>
            </w:r>
          </w:p>
          <w:p w14:paraId="4D197323">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投标供应商自有或租赁疏通车每辆得1分，最高得1分；</w:t>
            </w:r>
          </w:p>
          <w:p w14:paraId="73793E42">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投标供应商自有或租赁巡查车（轻型货车或小型客车）每提供1辆得1分，最高得2分；</w:t>
            </w:r>
          </w:p>
          <w:p w14:paraId="72D1F889">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本项最高得4分。</w:t>
            </w:r>
          </w:p>
          <w:p w14:paraId="3918CF8A">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投标文件中须提供车辆的行驶证复印件、车辆登记证复印件、购买发票复印件加盖投标供应商公章。车辆如果是租赁的，另需提供租赁合同复印件加盖投标供应商公章，未按要求提供或者提供不齐全的，相应评分条款不得分。自有车辆产权属于投标人（含分公司）方予以认可；车辆产权属于子公司或控股公司的均不予认可；年检过期的车辆不予认可。</w:t>
            </w:r>
          </w:p>
        </w:tc>
        <w:tc>
          <w:tcPr>
            <w:tcW w:w="885" w:type="dxa"/>
            <w:tcBorders>
              <w:tl2br w:val="nil"/>
              <w:tr2bl w:val="nil"/>
            </w:tcBorders>
            <w:noWrap w:val="0"/>
            <w:vAlign w:val="center"/>
          </w:tcPr>
          <w:p w14:paraId="13A50F4A">
            <w:pPr>
              <w:widowControl/>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2423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793" w:type="dxa"/>
            <w:tcBorders>
              <w:tl2br w:val="nil"/>
              <w:tr2bl w:val="nil"/>
            </w:tcBorders>
            <w:noWrap w:val="0"/>
            <w:vAlign w:val="center"/>
          </w:tcPr>
          <w:p w14:paraId="5C214F5B">
            <w:pPr>
              <w:widowControl/>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123" w:type="dxa"/>
            <w:tcBorders>
              <w:tl2br w:val="nil"/>
              <w:tr2bl w:val="nil"/>
            </w:tcBorders>
            <w:noWrap w:val="0"/>
            <w:vAlign w:val="center"/>
          </w:tcPr>
          <w:p w14:paraId="2B341250">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14:paraId="14F77048">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理解</w:t>
            </w:r>
          </w:p>
        </w:tc>
        <w:tc>
          <w:tcPr>
            <w:tcW w:w="7530" w:type="dxa"/>
            <w:tcBorders>
              <w:tl2br w:val="nil"/>
              <w:tr2bl w:val="nil"/>
            </w:tcBorders>
            <w:noWrap w:val="0"/>
            <w:vAlign w:val="center"/>
          </w:tcPr>
          <w:p w14:paraId="0F69D225">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投标人阐述对本项目现状的理解及实际工作内容的了解程度，由评标委员会进行综合评审：</w:t>
            </w:r>
          </w:p>
          <w:p w14:paraId="4F7112DD">
            <w:pPr>
              <w:spacing w:line="240" w:lineRule="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本项目特点表述符合，表述内容完善、可行的得7.1-10分；                    </w:t>
            </w:r>
          </w:p>
          <w:p w14:paraId="34820678">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本项目特点表述基本符合，表述内容基本完善，较可行的得4.1-7分；</w:t>
            </w:r>
          </w:p>
          <w:p w14:paraId="52918D63">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项目特点表述一般的，表述内容一般的，可行性一般的的得2.1-4分；</w:t>
            </w:r>
          </w:p>
          <w:p w14:paraId="49D5A13E">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表述不符合本项目特点，表述内容不完善，可行性差的得0.1-2分；</w:t>
            </w:r>
          </w:p>
          <w:p w14:paraId="7790DB09">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未提供不得分。</w:t>
            </w:r>
            <w:r>
              <w:rPr>
                <w:rFonts w:hint="eastAsia" w:ascii="仿宋" w:hAnsi="仿宋" w:eastAsia="仿宋" w:cs="仿宋"/>
                <w:color w:val="auto"/>
                <w:kern w:val="0"/>
                <w:sz w:val="24"/>
                <w:szCs w:val="24"/>
                <w:highlight w:val="none"/>
                <w:lang w:val="en-US" w:eastAsia="zh-CN"/>
              </w:rPr>
              <w:tab/>
            </w:r>
          </w:p>
        </w:tc>
        <w:tc>
          <w:tcPr>
            <w:tcW w:w="885" w:type="dxa"/>
            <w:tcBorders>
              <w:tl2br w:val="nil"/>
              <w:tr2bl w:val="nil"/>
            </w:tcBorders>
            <w:noWrap w:val="0"/>
            <w:vAlign w:val="center"/>
          </w:tcPr>
          <w:p w14:paraId="5B64F32E">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7964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93" w:type="dxa"/>
            <w:tcBorders>
              <w:tl2br w:val="nil"/>
              <w:tr2bl w:val="nil"/>
            </w:tcBorders>
            <w:noWrap w:val="0"/>
            <w:vAlign w:val="center"/>
          </w:tcPr>
          <w:p w14:paraId="72B66616">
            <w:pPr>
              <w:widowControl/>
              <w:spacing w:line="360" w:lineRule="auto"/>
              <w:jc w:val="center"/>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6</w:t>
            </w:r>
          </w:p>
        </w:tc>
        <w:tc>
          <w:tcPr>
            <w:tcW w:w="1123" w:type="dxa"/>
            <w:tcBorders>
              <w:tl2br w:val="nil"/>
              <w:tr2bl w:val="nil"/>
            </w:tcBorders>
            <w:noWrap w:val="0"/>
            <w:vAlign w:val="center"/>
          </w:tcPr>
          <w:p w14:paraId="117D0924">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p>
          <w:p w14:paraId="21176EB7">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w:t>
            </w:r>
          </w:p>
        </w:tc>
        <w:tc>
          <w:tcPr>
            <w:tcW w:w="7530" w:type="dxa"/>
            <w:tcBorders>
              <w:tl2br w:val="nil"/>
              <w:tr2bl w:val="nil"/>
            </w:tcBorders>
            <w:noWrap w:val="0"/>
            <w:vAlign w:val="center"/>
          </w:tcPr>
          <w:p w14:paraId="13B40BB6">
            <w:pPr>
              <w:spacing w:line="240" w:lineRule="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根据项目拟定完整的实施方案、管理措施、考核制度等，方案</w:t>
            </w:r>
            <w:r>
              <w:rPr>
                <w:rFonts w:hint="eastAsia" w:ascii="仿宋" w:hAnsi="仿宋" w:eastAsia="仿宋" w:cs="仿宋"/>
                <w:color w:val="auto"/>
                <w:kern w:val="0"/>
                <w:sz w:val="24"/>
                <w:szCs w:val="24"/>
                <w:highlight w:val="none"/>
                <w:lang w:val="en-US" w:eastAsia="zh-CN"/>
              </w:rPr>
              <w:t>内容详细</w:t>
            </w:r>
            <w:r>
              <w:rPr>
                <w:rFonts w:hint="default" w:ascii="仿宋" w:hAnsi="仿宋" w:eastAsia="仿宋" w:cs="仿宋"/>
                <w:color w:val="auto"/>
                <w:kern w:val="0"/>
                <w:sz w:val="24"/>
                <w:szCs w:val="24"/>
                <w:highlight w:val="none"/>
                <w:lang w:val="en-US" w:eastAsia="zh-CN"/>
              </w:rPr>
              <w:t>程度、科学合理性、可</w:t>
            </w:r>
            <w:r>
              <w:rPr>
                <w:rFonts w:hint="eastAsia" w:ascii="仿宋" w:hAnsi="仿宋" w:eastAsia="仿宋" w:cs="仿宋"/>
                <w:color w:val="auto"/>
                <w:kern w:val="0"/>
                <w:sz w:val="24"/>
                <w:szCs w:val="24"/>
                <w:highlight w:val="none"/>
                <w:lang w:val="en-US" w:eastAsia="zh-CN"/>
              </w:rPr>
              <w:t>行</w:t>
            </w:r>
            <w:r>
              <w:rPr>
                <w:rFonts w:hint="default" w:ascii="仿宋" w:hAnsi="仿宋" w:eastAsia="仿宋" w:cs="仿宋"/>
                <w:color w:val="auto"/>
                <w:kern w:val="0"/>
                <w:sz w:val="24"/>
                <w:szCs w:val="24"/>
                <w:highlight w:val="none"/>
                <w:lang w:val="en-US" w:eastAsia="zh-CN"/>
              </w:rPr>
              <w:t>性等情况，由评标委员会进行综合评审：</w:t>
            </w:r>
          </w:p>
          <w:p w14:paraId="7F10C60A">
            <w:pPr>
              <w:spacing w:line="240" w:lineRule="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方案内容详细、合理、可行的得</w:t>
            </w:r>
            <w:r>
              <w:rPr>
                <w:rFonts w:hint="eastAsia" w:ascii="仿宋" w:hAnsi="仿宋" w:eastAsia="仿宋" w:cs="仿宋"/>
                <w:color w:val="auto"/>
                <w:kern w:val="0"/>
                <w:sz w:val="24"/>
                <w:szCs w:val="24"/>
                <w:highlight w:val="none"/>
                <w:lang w:val="en-US" w:eastAsia="zh-CN"/>
              </w:rPr>
              <w:t>10.1-13</w:t>
            </w:r>
            <w:r>
              <w:rPr>
                <w:rFonts w:hint="default" w:ascii="仿宋" w:hAnsi="仿宋" w:eastAsia="仿宋" w:cs="仿宋"/>
                <w:color w:val="auto"/>
                <w:kern w:val="0"/>
                <w:sz w:val="24"/>
                <w:szCs w:val="24"/>
                <w:highlight w:val="none"/>
                <w:lang w:val="en-US" w:eastAsia="zh-CN"/>
              </w:rPr>
              <w:t>分；</w:t>
            </w:r>
          </w:p>
          <w:p w14:paraId="4754B99C">
            <w:pPr>
              <w:spacing w:line="240" w:lineRule="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方案内容较详细、较合理、较可行的得</w:t>
            </w:r>
            <w:r>
              <w:rPr>
                <w:rFonts w:hint="eastAsia" w:ascii="仿宋" w:hAnsi="仿宋" w:eastAsia="仿宋" w:cs="仿宋"/>
                <w:color w:val="auto"/>
                <w:kern w:val="0"/>
                <w:sz w:val="24"/>
                <w:szCs w:val="24"/>
                <w:highlight w:val="none"/>
                <w:lang w:val="en-US" w:eastAsia="zh-CN"/>
              </w:rPr>
              <w:t>7.1-10</w:t>
            </w:r>
            <w:r>
              <w:rPr>
                <w:rFonts w:hint="default" w:ascii="仿宋" w:hAnsi="仿宋" w:eastAsia="仿宋" w:cs="仿宋"/>
                <w:color w:val="auto"/>
                <w:kern w:val="0"/>
                <w:sz w:val="24"/>
                <w:szCs w:val="24"/>
                <w:highlight w:val="none"/>
                <w:lang w:val="en-US" w:eastAsia="zh-CN"/>
              </w:rPr>
              <w:t>分；</w:t>
            </w:r>
          </w:p>
          <w:p w14:paraId="752D4021">
            <w:pPr>
              <w:spacing w:line="240" w:lineRule="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方案内容</w:t>
            </w:r>
            <w:r>
              <w:rPr>
                <w:rFonts w:hint="eastAsia" w:ascii="仿宋" w:hAnsi="仿宋" w:eastAsia="仿宋" w:cs="仿宋"/>
                <w:color w:val="auto"/>
                <w:kern w:val="0"/>
                <w:sz w:val="24"/>
                <w:szCs w:val="24"/>
                <w:highlight w:val="none"/>
                <w:lang w:val="en-US" w:eastAsia="zh-CN"/>
              </w:rPr>
              <w:t>欠详细</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欠合理</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欠可行</w:t>
            </w:r>
            <w:r>
              <w:rPr>
                <w:rFonts w:hint="default" w:ascii="仿宋" w:hAnsi="仿宋" w:eastAsia="仿宋" w:cs="仿宋"/>
                <w:color w:val="auto"/>
                <w:kern w:val="0"/>
                <w:sz w:val="24"/>
                <w:szCs w:val="24"/>
                <w:highlight w:val="none"/>
                <w:lang w:val="en-US" w:eastAsia="zh-CN"/>
              </w:rPr>
              <w:t>的得</w:t>
            </w:r>
            <w:r>
              <w:rPr>
                <w:rFonts w:hint="eastAsia" w:ascii="仿宋" w:hAnsi="仿宋" w:eastAsia="仿宋" w:cs="仿宋"/>
                <w:color w:val="auto"/>
                <w:kern w:val="0"/>
                <w:sz w:val="24"/>
                <w:szCs w:val="24"/>
                <w:highlight w:val="none"/>
                <w:lang w:val="en-US" w:eastAsia="zh-CN"/>
              </w:rPr>
              <w:t>3.1-7</w:t>
            </w:r>
            <w:r>
              <w:rPr>
                <w:rFonts w:hint="default" w:ascii="仿宋" w:hAnsi="仿宋" w:eastAsia="仿宋" w:cs="仿宋"/>
                <w:color w:val="auto"/>
                <w:kern w:val="0"/>
                <w:sz w:val="24"/>
                <w:szCs w:val="24"/>
                <w:highlight w:val="none"/>
                <w:lang w:val="en-US" w:eastAsia="zh-CN"/>
              </w:rPr>
              <w:t>分；</w:t>
            </w:r>
          </w:p>
          <w:p w14:paraId="357E2FBD">
            <w:pPr>
              <w:spacing w:line="240" w:lineRule="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方案内容不详细、不合理、</w:t>
            </w:r>
            <w:r>
              <w:rPr>
                <w:rFonts w:hint="eastAsia" w:ascii="仿宋" w:hAnsi="仿宋" w:eastAsia="仿宋" w:cs="仿宋"/>
                <w:color w:val="auto"/>
                <w:kern w:val="0"/>
                <w:sz w:val="24"/>
                <w:szCs w:val="24"/>
                <w:highlight w:val="none"/>
                <w:lang w:val="en-US" w:eastAsia="zh-CN"/>
              </w:rPr>
              <w:t>不</w:t>
            </w:r>
            <w:r>
              <w:rPr>
                <w:rFonts w:hint="default" w:ascii="仿宋" w:hAnsi="仿宋" w:eastAsia="仿宋" w:cs="仿宋"/>
                <w:color w:val="auto"/>
                <w:kern w:val="0"/>
                <w:sz w:val="24"/>
                <w:szCs w:val="24"/>
                <w:highlight w:val="none"/>
                <w:lang w:val="en-US" w:eastAsia="zh-CN"/>
              </w:rPr>
              <w:t>可行的得</w:t>
            </w:r>
            <w:r>
              <w:rPr>
                <w:rFonts w:hint="eastAsia" w:ascii="仿宋" w:hAnsi="仿宋" w:eastAsia="仿宋" w:cs="仿宋"/>
                <w:color w:val="auto"/>
                <w:kern w:val="0"/>
                <w:sz w:val="24"/>
                <w:szCs w:val="24"/>
                <w:highlight w:val="none"/>
                <w:lang w:val="en-US" w:eastAsia="zh-CN"/>
              </w:rPr>
              <w:t>0.1-3</w:t>
            </w:r>
            <w:r>
              <w:rPr>
                <w:rFonts w:hint="default" w:ascii="仿宋" w:hAnsi="仿宋" w:eastAsia="仿宋" w:cs="仿宋"/>
                <w:color w:val="auto"/>
                <w:kern w:val="0"/>
                <w:sz w:val="24"/>
                <w:szCs w:val="24"/>
                <w:highlight w:val="none"/>
                <w:lang w:val="en-US" w:eastAsia="zh-CN"/>
              </w:rPr>
              <w:t>分；</w:t>
            </w:r>
          </w:p>
          <w:p w14:paraId="62E53F09">
            <w:pPr>
              <w:spacing w:line="240" w:lineRule="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未提供不得分；</w:t>
            </w:r>
          </w:p>
        </w:tc>
        <w:tc>
          <w:tcPr>
            <w:tcW w:w="885" w:type="dxa"/>
            <w:tcBorders>
              <w:tl2br w:val="nil"/>
              <w:tr2bl w:val="nil"/>
            </w:tcBorders>
            <w:noWrap w:val="0"/>
            <w:vAlign w:val="center"/>
          </w:tcPr>
          <w:p w14:paraId="7427DBE7">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r>
      <w:tr w14:paraId="5233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tcBorders>
              <w:tl2br w:val="nil"/>
              <w:tr2bl w:val="nil"/>
            </w:tcBorders>
            <w:noWrap w:val="0"/>
            <w:vAlign w:val="center"/>
          </w:tcPr>
          <w:p w14:paraId="0D5A01A1">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23" w:type="dxa"/>
            <w:tcBorders>
              <w:tl2br w:val="nil"/>
              <w:tr2bl w:val="nil"/>
            </w:tcBorders>
            <w:noWrap w:val="0"/>
            <w:vAlign w:val="center"/>
          </w:tcPr>
          <w:p w14:paraId="5B47CB5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重难点分析</w:t>
            </w:r>
          </w:p>
        </w:tc>
        <w:tc>
          <w:tcPr>
            <w:tcW w:w="7530" w:type="dxa"/>
            <w:tcBorders>
              <w:tl2br w:val="nil"/>
              <w:tr2bl w:val="nil"/>
            </w:tcBorders>
            <w:noWrap w:val="0"/>
            <w:vAlign w:val="center"/>
          </w:tcPr>
          <w:p w14:paraId="360B3646">
            <w:pPr>
              <w:widowControl/>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kern w:val="0"/>
                <w:sz w:val="24"/>
                <w:szCs w:val="24"/>
                <w:highlight w:val="none"/>
              </w:rPr>
              <w:t>投标</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对本项目内容重难点分析及应对</w:t>
            </w:r>
            <w:r>
              <w:rPr>
                <w:rFonts w:hint="eastAsia" w:ascii="仿宋" w:hAnsi="仿宋" w:eastAsia="仿宋" w:cs="仿宋"/>
                <w:color w:val="auto"/>
                <w:kern w:val="0"/>
                <w:sz w:val="24"/>
                <w:szCs w:val="24"/>
                <w:highlight w:val="none"/>
                <w:lang w:val="en-US" w:eastAsia="zh-CN"/>
              </w:rPr>
              <w:t>措施，</w:t>
            </w:r>
            <w:r>
              <w:rPr>
                <w:rFonts w:hint="eastAsia" w:ascii="仿宋" w:hAnsi="仿宋" w:eastAsia="仿宋" w:cs="仿宋"/>
                <w:color w:val="auto"/>
                <w:kern w:val="0"/>
                <w:sz w:val="24"/>
                <w:szCs w:val="24"/>
                <w:highlight w:val="none"/>
              </w:rPr>
              <w:t>根据提供的方案内容的合理性、完整性、准确性等进行综合</w:t>
            </w:r>
            <w:r>
              <w:rPr>
                <w:rFonts w:hint="eastAsia" w:ascii="仿宋_GB2312" w:hAnsi="仿宋" w:eastAsia="仿宋_GB2312" w:cs="仿宋"/>
                <w:color w:val="000000"/>
                <w:kern w:val="0"/>
                <w:sz w:val="24"/>
                <w:highlight w:val="none"/>
              </w:rPr>
              <w:t>评分</w:t>
            </w:r>
            <w:r>
              <w:rPr>
                <w:rFonts w:hint="eastAsia" w:ascii="仿宋" w:hAnsi="仿宋" w:eastAsia="仿宋" w:cs="仿宋"/>
                <w:color w:val="auto"/>
                <w:kern w:val="0"/>
                <w:sz w:val="24"/>
                <w:szCs w:val="24"/>
                <w:highlight w:val="none"/>
              </w:rPr>
              <w:t>。</w:t>
            </w:r>
          </w:p>
          <w:p w14:paraId="7CCBD4E0">
            <w:pPr>
              <w:rPr>
                <w:rFonts w:ascii="仿宋_GB2312" w:hAnsi="仿宋" w:eastAsia="仿宋_GB2312" w:cs="仿宋"/>
                <w:color w:val="000000"/>
                <w:kern w:val="0"/>
                <w:sz w:val="24"/>
                <w:highlight w:val="none"/>
              </w:rPr>
            </w:pPr>
            <w:r>
              <w:rPr>
                <w:rFonts w:hint="eastAsia" w:ascii="仿宋" w:hAnsi="仿宋" w:eastAsia="仿宋" w:cs="仿宋"/>
                <w:color w:val="000000"/>
                <w:kern w:val="0"/>
                <w:sz w:val="24"/>
                <w:highlight w:val="none"/>
                <w:lang w:bidi="ar"/>
              </w:rPr>
              <w:t>方案完整、合理，内容清晰准确的得</w:t>
            </w:r>
            <w:r>
              <w:rPr>
                <w:rFonts w:hint="eastAsia" w:ascii="仿宋_GB2312" w:hAnsi="仿宋" w:eastAsia="仿宋_GB2312" w:cs="仿宋"/>
                <w:color w:val="000000"/>
                <w:kern w:val="0"/>
                <w:sz w:val="24"/>
                <w:highlight w:val="none"/>
                <w:lang w:val="en-US" w:eastAsia="zh-CN"/>
              </w:rPr>
              <w:t>6.1-8</w:t>
            </w:r>
            <w:r>
              <w:rPr>
                <w:rFonts w:hint="eastAsia" w:ascii="仿宋_GB2312" w:hAnsi="仿宋" w:eastAsia="仿宋_GB2312" w:cs="仿宋"/>
                <w:color w:val="000000"/>
                <w:kern w:val="0"/>
                <w:sz w:val="24"/>
                <w:highlight w:val="none"/>
              </w:rPr>
              <w:t>分；</w:t>
            </w:r>
          </w:p>
          <w:p w14:paraId="274D5FC8">
            <w:pPr>
              <w:rPr>
                <w:rFonts w:ascii="仿宋_GB2312" w:hAnsi="仿宋" w:eastAsia="仿宋_GB2312" w:cs="仿宋"/>
                <w:color w:val="000000"/>
                <w:kern w:val="0"/>
                <w:sz w:val="24"/>
                <w:highlight w:val="none"/>
              </w:rPr>
            </w:pPr>
            <w:r>
              <w:rPr>
                <w:rFonts w:hint="eastAsia" w:ascii="仿宋" w:hAnsi="仿宋" w:eastAsia="仿宋" w:cs="仿宋"/>
                <w:color w:val="000000"/>
                <w:kern w:val="0"/>
                <w:sz w:val="24"/>
                <w:highlight w:val="none"/>
                <w:lang w:bidi="ar"/>
              </w:rPr>
              <w:t>方案较完整、较合理，内容较清晰准确的得</w:t>
            </w:r>
            <w:r>
              <w:rPr>
                <w:rFonts w:hint="eastAsia" w:ascii="仿宋_GB2312" w:hAnsi="仿宋" w:eastAsia="仿宋_GB2312" w:cs="仿宋"/>
                <w:color w:val="000000"/>
                <w:kern w:val="0"/>
                <w:sz w:val="24"/>
                <w:highlight w:val="none"/>
                <w:lang w:val="en-US" w:eastAsia="zh-CN"/>
              </w:rPr>
              <w:t>4.1-6</w:t>
            </w:r>
            <w:r>
              <w:rPr>
                <w:rFonts w:hint="eastAsia" w:ascii="仿宋_GB2312" w:hAnsi="仿宋" w:eastAsia="仿宋_GB2312" w:cs="仿宋"/>
                <w:color w:val="000000"/>
                <w:kern w:val="0"/>
                <w:sz w:val="24"/>
                <w:highlight w:val="none"/>
              </w:rPr>
              <w:t>分；</w:t>
            </w:r>
          </w:p>
          <w:p w14:paraId="66B4900F">
            <w:pPr>
              <w:rPr>
                <w:rFonts w:ascii="仿宋_GB2312" w:hAnsi="仿宋" w:eastAsia="仿宋_GB2312" w:cs="仿宋"/>
                <w:color w:val="000000"/>
                <w:kern w:val="0"/>
                <w:sz w:val="24"/>
                <w:highlight w:val="none"/>
              </w:rPr>
            </w:pPr>
            <w:r>
              <w:rPr>
                <w:rFonts w:hint="eastAsia" w:ascii="仿宋" w:hAnsi="仿宋" w:eastAsia="仿宋" w:cs="仿宋"/>
                <w:color w:val="000000"/>
                <w:kern w:val="0"/>
                <w:sz w:val="24"/>
                <w:highlight w:val="none"/>
                <w:lang w:bidi="ar"/>
              </w:rPr>
              <w:t>方案</w:t>
            </w:r>
            <w:r>
              <w:rPr>
                <w:rFonts w:hint="eastAsia" w:ascii="仿宋" w:hAnsi="仿宋" w:eastAsia="仿宋" w:cs="仿宋"/>
                <w:color w:val="000000"/>
                <w:kern w:val="0"/>
                <w:sz w:val="24"/>
                <w:highlight w:val="none"/>
                <w:lang w:val="en-US" w:eastAsia="zh-CN" w:bidi="ar"/>
              </w:rPr>
              <w:t>欠</w:t>
            </w:r>
            <w:r>
              <w:rPr>
                <w:rFonts w:hint="eastAsia" w:ascii="仿宋" w:hAnsi="仿宋" w:eastAsia="仿宋" w:cs="仿宋"/>
                <w:color w:val="000000"/>
                <w:kern w:val="0"/>
                <w:sz w:val="24"/>
                <w:highlight w:val="none"/>
                <w:lang w:bidi="ar"/>
              </w:rPr>
              <w:t>完整，</w:t>
            </w:r>
            <w:r>
              <w:rPr>
                <w:rFonts w:hint="eastAsia" w:ascii="仿宋" w:hAnsi="仿宋" w:eastAsia="仿宋" w:cs="仿宋"/>
                <w:color w:val="000000"/>
                <w:kern w:val="0"/>
                <w:sz w:val="24"/>
                <w:highlight w:val="none"/>
                <w:lang w:val="en-US" w:eastAsia="zh-CN" w:bidi="ar"/>
              </w:rPr>
              <w:t>欠</w:t>
            </w:r>
            <w:r>
              <w:rPr>
                <w:rFonts w:hint="eastAsia" w:ascii="仿宋" w:hAnsi="仿宋" w:eastAsia="仿宋" w:cs="仿宋"/>
                <w:color w:val="000000"/>
                <w:kern w:val="0"/>
                <w:sz w:val="24"/>
                <w:highlight w:val="none"/>
                <w:lang w:bidi="ar"/>
              </w:rPr>
              <w:t>合理，内容</w:t>
            </w:r>
            <w:r>
              <w:rPr>
                <w:rFonts w:hint="eastAsia" w:ascii="仿宋" w:hAnsi="仿宋" w:eastAsia="仿宋" w:cs="仿宋"/>
                <w:color w:val="000000"/>
                <w:kern w:val="0"/>
                <w:sz w:val="24"/>
                <w:highlight w:val="none"/>
                <w:lang w:val="en-US" w:eastAsia="zh-CN" w:bidi="ar"/>
              </w:rPr>
              <w:t>欠</w:t>
            </w:r>
            <w:r>
              <w:rPr>
                <w:rFonts w:hint="eastAsia" w:ascii="仿宋" w:hAnsi="仿宋" w:eastAsia="仿宋" w:cs="仿宋"/>
                <w:color w:val="000000"/>
                <w:kern w:val="0"/>
                <w:sz w:val="24"/>
                <w:highlight w:val="none"/>
                <w:lang w:bidi="ar"/>
              </w:rPr>
              <w:t>清晰准确的得</w:t>
            </w:r>
            <w:r>
              <w:rPr>
                <w:rFonts w:hint="eastAsia" w:ascii="仿宋_GB2312" w:hAnsi="仿宋" w:eastAsia="仿宋_GB2312" w:cs="仿宋"/>
                <w:color w:val="000000"/>
                <w:kern w:val="0"/>
                <w:sz w:val="24"/>
                <w:highlight w:val="none"/>
                <w:lang w:val="en-US" w:eastAsia="zh-CN"/>
              </w:rPr>
              <w:t>2.1-4</w:t>
            </w:r>
            <w:r>
              <w:rPr>
                <w:rFonts w:hint="eastAsia" w:ascii="仿宋_GB2312" w:hAnsi="仿宋" w:eastAsia="仿宋_GB2312" w:cs="仿宋"/>
                <w:color w:val="000000"/>
                <w:kern w:val="0"/>
                <w:sz w:val="24"/>
                <w:highlight w:val="none"/>
              </w:rPr>
              <w:t>分；</w:t>
            </w:r>
          </w:p>
          <w:p w14:paraId="3E866C04">
            <w:pPr>
              <w:rPr>
                <w:rFonts w:hint="eastAsia" w:ascii="仿宋_GB2312" w:hAnsi="仿宋" w:eastAsia="仿宋_GB2312" w:cs="仿宋"/>
                <w:color w:val="000000"/>
                <w:sz w:val="24"/>
                <w:highlight w:val="none"/>
              </w:rPr>
            </w:pPr>
            <w:r>
              <w:rPr>
                <w:rFonts w:hint="eastAsia" w:ascii="仿宋" w:hAnsi="仿宋" w:eastAsia="仿宋" w:cs="仿宋"/>
                <w:color w:val="000000"/>
                <w:kern w:val="0"/>
                <w:sz w:val="24"/>
                <w:highlight w:val="none"/>
                <w:lang w:bidi="ar"/>
              </w:rPr>
              <w:t>方案不完整，不合理，内容不清晰准确的得</w:t>
            </w:r>
            <w:r>
              <w:rPr>
                <w:rFonts w:hint="eastAsia" w:ascii="仿宋_GB2312" w:hAnsi="仿宋" w:eastAsia="仿宋_GB2312" w:cs="仿宋"/>
                <w:color w:val="000000"/>
                <w:kern w:val="0"/>
                <w:sz w:val="24"/>
                <w:highlight w:val="none"/>
                <w:lang w:val="en-US" w:eastAsia="zh-CN"/>
              </w:rPr>
              <w:t>0.1-2</w:t>
            </w:r>
            <w:r>
              <w:rPr>
                <w:rFonts w:hint="eastAsia" w:ascii="仿宋_GB2312" w:hAnsi="仿宋" w:eastAsia="仿宋_GB2312" w:cs="仿宋"/>
                <w:color w:val="000000"/>
                <w:kern w:val="0"/>
                <w:sz w:val="24"/>
                <w:highlight w:val="none"/>
              </w:rPr>
              <w:t>分；</w:t>
            </w:r>
          </w:p>
          <w:p w14:paraId="578639EC">
            <w:pPr>
              <w:widowControl/>
              <w:jc w:val="left"/>
              <w:textAlignment w:val="center"/>
              <w:rPr>
                <w:rFonts w:hint="eastAsia" w:ascii="仿宋" w:hAnsi="仿宋" w:eastAsia="仿宋" w:cs="仿宋"/>
                <w:color w:val="auto"/>
                <w:kern w:val="0"/>
                <w:sz w:val="24"/>
                <w:szCs w:val="24"/>
                <w:highlight w:val="none"/>
                <w:lang w:val="en-US" w:eastAsia="zh-CN"/>
              </w:rPr>
            </w:pPr>
            <w:r>
              <w:rPr>
                <w:rFonts w:hint="eastAsia" w:ascii="仿宋_GB2312" w:hAnsi="仿宋" w:eastAsia="仿宋_GB2312" w:cs="仿宋"/>
                <w:color w:val="000000"/>
                <w:sz w:val="24"/>
                <w:highlight w:val="none"/>
              </w:rPr>
              <w:t>未</w:t>
            </w:r>
            <w:r>
              <w:rPr>
                <w:rFonts w:hint="eastAsia" w:ascii="仿宋_GB2312" w:hAnsi="仿宋" w:eastAsia="仿宋_GB2312" w:cs="仿宋"/>
                <w:color w:val="000000"/>
                <w:kern w:val="0"/>
                <w:sz w:val="24"/>
                <w:highlight w:val="none"/>
              </w:rPr>
              <w:t>提供不得分</w:t>
            </w:r>
            <w:r>
              <w:rPr>
                <w:rFonts w:hint="eastAsia" w:ascii="仿宋_GB2312" w:hAnsi="仿宋" w:eastAsia="仿宋_GB2312" w:cs="仿宋"/>
                <w:color w:val="000000"/>
                <w:sz w:val="24"/>
                <w:highlight w:val="none"/>
              </w:rPr>
              <w:t>；</w:t>
            </w:r>
          </w:p>
        </w:tc>
        <w:tc>
          <w:tcPr>
            <w:tcW w:w="885" w:type="dxa"/>
            <w:tcBorders>
              <w:tl2br w:val="nil"/>
              <w:tr2bl w:val="nil"/>
            </w:tcBorders>
            <w:noWrap w:val="0"/>
            <w:vAlign w:val="center"/>
          </w:tcPr>
          <w:p w14:paraId="05B2E626">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8</w:t>
            </w:r>
          </w:p>
        </w:tc>
      </w:tr>
      <w:tr w14:paraId="7786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tcBorders>
              <w:tl2br w:val="nil"/>
              <w:tr2bl w:val="nil"/>
            </w:tcBorders>
            <w:noWrap w:val="0"/>
            <w:vAlign w:val="center"/>
          </w:tcPr>
          <w:p w14:paraId="6C869168">
            <w:pPr>
              <w:widowControl/>
              <w:spacing w:line="360" w:lineRule="auto"/>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23" w:type="dxa"/>
            <w:tcBorders>
              <w:tl2br w:val="nil"/>
              <w:tr2bl w:val="nil"/>
            </w:tcBorders>
            <w:noWrap w:val="0"/>
            <w:vAlign w:val="center"/>
          </w:tcPr>
          <w:p w14:paraId="120EE09A">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质量</w:t>
            </w:r>
            <w:r>
              <w:rPr>
                <w:rFonts w:hint="eastAsia" w:ascii="仿宋" w:hAnsi="仿宋" w:eastAsia="仿宋" w:cs="仿宋"/>
                <w:color w:val="auto"/>
                <w:sz w:val="24"/>
                <w:szCs w:val="24"/>
                <w:highlight w:val="none"/>
                <w:lang w:val="en-US" w:eastAsia="zh-CN"/>
              </w:rPr>
              <w:t>及安全</w:t>
            </w:r>
            <w:r>
              <w:rPr>
                <w:rFonts w:hint="eastAsia" w:ascii="仿宋" w:hAnsi="仿宋" w:eastAsia="仿宋" w:cs="仿宋"/>
                <w:color w:val="auto"/>
                <w:sz w:val="24"/>
                <w:szCs w:val="24"/>
                <w:highlight w:val="none"/>
              </w:rPr>
              <w:t>保证措施</w:t>
            </w:r>
          </w:p>
        </w:tc>
        <w:tc>
          <w:tcPr>
            <w:tcW w:w="7530" w:type="dxa"/>
            <w:tcBorders>
              <w:tl2br w:val="nil"/>
              <w:tr2bl w:val="nil"/>
            </w:tcBorders>
            <w:noWrap w:val="0"/>
            <w:vAlign w:val="center"/>
          </w:tcPr>
          <w:p w14:paraId="0BAC5B1F">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根据本项目现状，拟定详细的养护、管道疏通等质量及安全保证措施，由评标委员会进行综合评审：</w:t>
            </w:r>
          </w:p>
          <w:p w14:paraId="60CAEF67">
            <w:pPr>
              <w:spacing w:line="240" w:lineRule="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措施</w:t>
            </w:r>
            <w:r>
              <w:rPr>
                <w:rFonts w:hint="default" w:ascii="仿宋" w:hAnsi="仿宋" w:eastAsia="仿宋" w:cs="仿宋"/>
                <w:color w:val="auto"/>
                <w:kern w:val="0"/>
                <w:sz w:val="24"/>
                <w:szCs w:val="24"/>
                <w:highlight w:val="none"/>
                <w:lang w:val="en-US" w:eastAsia="zh-CN"/>
              </w:rPr>
              <w:t>内容详细、合理、可行的得</w:t>
            </w:r>
            <w:r>
              <w:rPr>
                <w:rFonts w:hint="eastAsia" w:ascii="仿宋_GB2312" w:hAnsi="仿宋" w:eastAsia="仿宋_GB2312" w:cs="仿宋"/>
                <w:color w:val="000000"/>
                <w:kern w:val="0"/>
                <w:sz w:val="24"/>
                <w:highlight w:val="none"/>
                <w:lang w:val="en-US" w:eastAsia="zh-CN"/>
              </w:rPr>
              <w:t>6.1-8</w:t>
            </w:r>
            <w:r>
              <w:rPr>
                <w:rFonts w:hint="default" w:ascii="仿宋" w:hAnsi="仿宋" w:eastAsia="仿宋" w:cs="仿宋"/>
                <w:color w:val="auto"/>
                <w:kern w:val="0"/>
                <w:sz w:val="24"/>
                <w:szCs w:val="24"/>
                <w:highlight w:val="none"/>
                <w:lang w:val="en-US" w:eastAsia="zh-CN"/>
              </w:rPr>
              <w:t>分；</w:t>
            </w:r>
          </w:p>
          <w:p w14:paraId="0E04D105">
            <w:pPr>
              <w:spacing w:line="240" w:lineRule="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措施</w:t>
            </w:r>
            <w:r>
              <w:rPr>
                <w:rFonts w:hint="default" w:ascii="仿宋" w:hAnsi="仿宋" w:eastAsia="仿宋" w:cs="仿宋"/>
                <w:color w:val="auto"/>
                <w:kern w:val="0"/>
                <w:sz w:val="24"/>
                <w:szCs w:val="24"/>
                <w:highlight w:val="none"/>
                <w:lang w:val="en-US" w:eastAsia="zh-CN"/>
              </w:rPr>
              <w:t>内容较详细、较合理、较可行的得</w:t>
            </w:r>
            <w:r>
              <w:rPr>
                <w:rFonts w:hint="eastAsia" w:ascii="仿宋_GB2312" w:hAnsi="仿宋" w:eastAsia="仿宋_GB2312" w:cs="仿宋"/>
                <w:color w:val="000000"/>
                <w:kern w:val="0"/>
                <w:sz w:val="24"/>
                <w:highlight w:val="none"/>
                <w:lang w:val="en-US" w:eastAsia="zh-CN"/>
              </w:rPr>
              <w:t>4.1-6</w:t>
            </w:r>
            <w:r>
              <w:rPr>
                <w:rFonts w:hint="default" w:ascii="仿宋" w:hAnsi="仿宋" w:eastAsia="仿宋" w:cs="仿宋"/>
                <w:color w:val="auto"/>
                <w:kern w:val="0"/>
                <w:sz w:val="24"/>
                <w:szCs w:val="24"/>
                <w:highlight w:val="none"/>
                <w:lang w:val="en-US" w:eastAsia="zh-CN"/>
              </w:rPr>
              <w:t>分；</w:t>
            </w:r>
          </w:p>
          <w:p w14:paraId="5507AD66">
            <w:pPr>
              <w:spacing w:line="240" w:lineRule="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措施</w:t>
            </w:r>
            <w:r>
              <w:rPr>
                <w:rFonts w:hint="default" w:ascii="仿宋" w:hAnsi="仿宋" w:eastAsia="仿宋" w:cs="仿宋"/>
                <w:color w:val="auto"/>
                <w:kern w:val="0"/>
                <w:sz w:val="24"/>
                <w:szCs w:val="24"/>
                <w:highlight w:val="none"/>
                <w:lang w:val="en-US" w:eastAsia="zh-CN"/>
              </w:rPr>
              <w:t>内容</w:t>
            </w:r>
            <w:r>
              <w:rPr>
                <w:rFonts w:hint="eastAsia" w:ascii="仿宋" w:hAnsi="仿宋" w:eastAsia="仿宋" w:cs="仿宋"/>
                <w:color w:val="auto"/>
                <w:kern w:val="0"/>
                <w:sz w:val="24"/>
                <w:szCs w:val="24"/>
                <w:highlight w:val="none"/>
                <w:lang w:val="en-US" w:eastAsia="zh-CN"/>
              </w:rPr>
              <w:t>欠详细</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欠合理</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欠可行</w:t>
            </w:r>
            <w:r>
              <w:rPr>
                <w:rFonts w:hint="default" w:ascii="仿宋" w:hAnsi="仿宋" w:eastAsia="仿宋" w:cs="仿宋"/>
                <w:color w:val="auto"/>
                <w:kern w:val="0"/>
                <w:sz w:val="24"/>
                <w:szCs w:val="24"/>
                <w:highlight w:val="none"/>
                <w:lang w:val="en-US" w:eastAsia="zh-CN"/>
              </w:rPr>
              <w:t>的得</w:t>
            </w:r>
            <w:r>
              <w:rPr>
                <w:rFonts w:hint="eastAsia" w:ascii="仿宋_GB2312" w:hAnsi="仿宋" w:eastAsia="仿宋_GB2312" w:cs="仿宋"/>
                <w:color w:val="000000"/>
                <w:kern w:val="0"/>
                <w:sz w:val="24"/>
                <w:highlight w:val="none"/>
                <w:lang w:val="en-US" w:eastAsia="zh-CN"/>
              </w:rPr>
              <w:t>2.1-4</w:t>
            </w:r>
            <w:r>
              <w:rPr>
                <w:rFonts w:hint="default" w:ascii="仿宋" w:hAnsi="仿宋" w:eastAsia="仿宋" w:cs="仿宋"/>
                <w:color w:val="auto"/>
                <w:kern w:val="0"/>
                <w:sz w:val="24"/>
                <w:szCs w:val="24"/>
                <w:highlight w:val="none"/>
                <w:lang w:val="en-US" w:eastAsia="zh-CN"/>
              </w:rPr>
              <w:t>分；</w:t>
            </w:r>
          </w:p>
          <w:p w14:paraId="79D48B2E">
            <w:pPr>
              <w:spacing w:line="240" w:lineRule="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措施</w:t>
            </w:r>
            <w:r>
              <w:rPr>
                <w:rFonts w:hint="default" w:ascii="仿宋" w:hAnsi="仿宋" w:eastAsia="仿宋" w:cs="仿宋"/>
                <w:color w:val="auto"/>
                <w:kern w:val="0"/>
                <w:sz w:val="24"/>
                <w:szCs w:val="24"/>
                <w:highlight w:val="none"/>
                <w:lang w:val="en-US" w:eastAsia="zh-CN"/>
              </w:rPr>
              <w:t>内容不详细、不合理、</w:t>
            </w:r>
            <w:r>
              <w:rPr>
                <w:rFonts w:hint="eastAsia" w:ascii="仿宋" w:hAnsi="仿宋" w:eastAsia="仿宋" w:cs="仿宋"/>
                <w:color w:val="auto"/>
                <w:kern w:val="0"/>
                <w:sz w:val="24"/>
                <w:szCs w:val="24"/>
                <w:highlight w:val="none"/>
                <w:lang w:val="en-US" w:eastAsia="zh-CN"/>
              </w:rPr>
              <w:t>不</w:t>
            </w:r>
            <w:r>
              <w:rPr>
                <w:rFonts w:hint="default" w:ascii="仿宋" w:hAnsi="仿宋" w:eastAsia="仿宋" w:cs="仿宋"/>
                <w:color w:val="auto"/>
                <w:kern w:val="0"/>
                <w:sz w:val="24"/>
                <w:szCs w:val="24"/>
                <w:highlight w:val="none"/>
                <w:lang w:val="en-US" w:eastAsia="zh-CN"/>
              </w:rPr>
              <w:t>可行的得</w:t>
            </w:r>
            <w:r>
              <w:rPr>
                <w:rFonts w:hint="eastAsia" w:ascii="仿宋_GB2312" w:hAnsi="仿宋" w:eastAsia="仿宋_GB2312" w:cs="仿宋"/>
                <w:color w:val="000000"/>
                <w:kern w:val="0"/>
                <w:sz w:val="24"/>
                <w:highlight w:val="none"/>
                <w:lang w:val="en-US" w:eastAsia="zh-CN"/>
              </w:rPr>
              <w:t>0.1-2</w:t>
            </w:r>
            <w:r>
              <w:rPr>
                <w:rFonts w:hint="default" w:ascii="仿宋" w:hAnsi="仿宋" w:eastAsia="仿宋" w:cs="仿宋"/>
                <w:color w:val="auto"/>
                <w:kern w:val="0"/>
                <w:sz w:val="24"/>
                <w:szCs w:val="24"/>
                <w:highlight w:val="none"/>
                <w:lang w:val="en-US" w:eastAsia="zh-CN"/>
              </w:rPr>
              <w:t>分；</w:t>
            </w:r>
          </w:p>
          <w:p w14:paraId="59B6FA8A">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未提供不得分；</w:t>
            </w:r>
          </w:p>
        </w:tc>
        <w:tc>
          <w:tcPr>
            <w:tcW w:w="885" w:type="dxa"/>
            <w:tcBorders>
              <w:tl2br w:val="nil"/>
              <w:tr2bl w:val="nil"/>
            </w:tcBorders>
            <w:noWrap w:val="0"/>
            <w:vAlign w:val="center"/>
          </w:tcPr>
          <w:p w14:paraId="0B57B8C8">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14:paraId="43BA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93" w:type="dxa"/>
            <w:tcBorders>
              <w:tl2br w:val="nil"/>
              <w:tr2bl w:val="nil"/>
            </w:tcBorders>
            <w:noWrap w:val="0"/>
            <w:vAlign w:val="center"/>
          </w:tcPr>
          <w:p w14:paraId="35C76E21">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123" w:type="dxa"/>
            <w:tcBorders>
              <w:tl2br w:val="nil"/>
              <w:tr2bl w:val="nil"/>
            </w:tcBorders>
            <w:noWrap w:val="0"/>
            <w:vAlign w:val="center"/>
          </w:tcPr>
          <w:p w14:paraId="096AD33C">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交接维稳方案</w:t>
            </w:r>
          </w:p>
        </w:tc>
        <w:tc>
          <w:tcPr>
            <w:tcW w:w="7530" w:type="dxa"/>
            <w:tcBorders>
              <w:tl2br w:val="nil"/>
              <w:tr2bl w:val="nil"/>
            </w:tcBorders>
            <w:noWrap w:val="0"/>
            <w:vAlign w:val="center"/>
          </w:tcPr>
          <w:p w14:paraId="4A486C46">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根据本项目实际情况和特点，保证项目顺利交接，投标人须针对本项目制定交接维稳过渡、人员维稳、安全隐患排除等方面的实施方案，根据实施方案的针对性、可行性、完整性等打分：</w:t>
            </w:r>
          </w:p>
          <w:p w14:paraId="1AE4EB90">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方案完善、针对性强、可行性强的得</w:t>
            </w:r>
            <w:r>
              <w:rPr>
                <w:rFonts w:hint="eastAsia" w:ascii="仿宋_GB2312" w:hAnsi="仿宋" w:eastAsia="仿宋_GB2312" w:cs="仿宋"/>
                <w:color w:val="000000"/>
                <w:kern w:val="0"/>
                <w:sz w:val="24"/>
                <w:highlight w:val="none"/>
                <w:lang w:val="en-US" w:eastAsia="zh-CN"/>
              </w:rPr>
              <w:t>6.1-8</w:t>
            </w:r>
            <w:r>
              <w:rPr>
                <w:rFonts w:hint="eastAsia" w:ascii="仿宋" w:hAnsi="仿宋" w:eastAsia="仿宋" w:cs="仿宋"/>
                <w:color w:val="auto"/>
                <w:kern w:val="0"/>
                <w:sz w:val="24"/>
                <w:szCs w:val="24"/>
                <w:highlight w:val="none"/>
                <w:lang w:val="en-US" w:eastAsia="zh-CN"/>
              </w:rPr>
              <w:t>分；</w:t>
            </w:r>
          </w:p>
          <w:p w14:paraId="1BA795D7">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方案较完善、针对性较强、可行性较强的得</w:t>
            </w:r>
            <w:r>
              <w:rPr>
                <w:rFonts w:hint="eastAsia" w:ascii="仿宋_GB2312" w:hAnsi="仿宋" w:eastAsia="仿宋_GB2312" w:cs="仿宋"/>
                <w:color w:val="000000"/>
                <w:kern w:val="0"/>
                <w:sz w:val="24"/>
                <w:highlight w:val="none"/>
                <w:lang w:val="en-US" w:eastAsia="zh-CN"/>
              </w:rPr>
              <w:t>4.1-6</w:t>
            </w:r>
            <w:r>
              <w:rPr>
                <w:rFonts w:hint="eastAsia" w:ascii="仿宋" w:hAnsi="仿宋" w:eastAsia="仿宋" w:cs="仿宋"/>
                <w:color w:val="auto"/>
                <w:kern w:val="0"/>
                <w:sz w:val="24"/>
                <w:szCs w:val="24"/>
                <w:highlight w:val="none"/>
                <w:lang w:val="en-US" w:eastAsia="zh-CN"/>
              </w:rPr>
              <w:t>分；</w:t>
            </w:r>
          </w:p>
          <w:p w14:paraId="66A51C71">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方案欠完善、针对性一般、可行性一般的得</w:t>
            </w:r>
            <w:r>
              <w:rPr>
                <w:rFonts w:hint="eastAsia" w:ascii="仿宋_GB2312" w:hAnsi="仿宋" w:eastAsia="仿宋_GB2312" w:cs="仿宋"/>
                <w:color w:val="000000"/>
                <w:kern w:val="0"/>
                <w:sz w:val="24"/>
                <w:highlight w:val="none"/>
                <w:lang w:val="en-US" w:eastAsia="zh-CN"/>
              </w:rPr>
              <w:t>2.1-4</w:t>
            </w:r>
            <w:r>
              <w:rPr>
                <w:rFonts w:hint="eastAsia" w:ascii="仿宋" w:hAnsi="仿宋" w:eastAsia="仿宋" w:cs="仿宋"/>
                <w:color w:val="auto"/>
                <w:kern w:val="0"/>
                <w:sz w:val="24"/>
                <w:szCs w:val="24"/>
                <w:highlight w:val="none"/>
                <w:lang w:val="en-US" w:eastAsia="zh-CN"/>
              </w:rPr>
              <w:t>分；</w:t>
            </w:r>
          </w:p>
          <w:p w14:paraId="1DFA07CF">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方案不完善、针对性差、可行性差的得</w:t>
            </w:r>
            <w:r>
              <w:rPr>
                <w:rFonts w:hint="eastAsia" w:ascii="仿宋_GB2312" w:hAnsi="仿宋" w:eastAsia="仿宋_GB2312" w:cs="仿宋"/>
                <w:color w:val="000000"/>
                <w:kern w:val="0"/>
                <w:sz w:val="24"/>
                <w:highlight w:val="none"/>
                <w:lang w:val="en-US" w:eastAsia="zh-CN"/>
              </w:rPr>
              <w:t>0.1-2</w:t>
            </w:r>
            <w:r>
              <w:rPr>
                <w:rFonts w:hint="eastAsia" w:ascii="仿宋" w:hAnsi="仿宋" w:eastAsia="仿宋" w:cs="仿宋"/>
                <w:color w:val="auto"/>
                <w:kern w:val="0"/>
                <w:sz w:val="24"/>
                <w:szCs w:val="24"/>
                <w:highlight w:val="none"/>
                <w:lang w:val="en-US" w:eastAsia="zh-CN"/>
              </w:rPr>
              <w:t>分；</w:t>
            </w:r>
          </w:p>
          <w:p w14:paraId="270C1B11">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未提供不得分；</w:t>
            </w:r>
            <w:r>
              <w:rPr>
                <w:rFonts w:hint="eastAsia" w:ascii="仿宋" w:hAnsi="仿宋" w:eastAsia="仿宋" w:cs="仿宋"/>
                <w:color w:val="auto"/>
                <w:kern w:val="0"/>
                <w:sz w:val="24"/>
                <w:szCs w:val="24"/>
                <w:highlight w:val="none"/>
                <w:lang w:val="en-US" w:eastAsia="zh-CN"/>
              </w:rPr>
              <w:tab/>
            </w:r>
          </w:p>
        </w:tc>
        <w:tc>
          <w:tcPr>
            <w:tcW w:w="885" w:type="dxa"/>
            <w:tcBorders>
              <w:tl2br w:val="nil"/>
              <w:tr2bl w:val="nil"/>
            </w:tcBorders>
            <w:noWrap w:val="0"/>
            <w:vAlign w:val="center"/>
          </w:tcPr>
          <w:p w14:paraId="07B8C3AB">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14:paraId="62D1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93" w:type="dxa"/>
            <w:tcBorders>
              <w:tl2br w:val="nil"/>
              <w:tr2bl w:val="nil"/>
            </w:tcBorders>
            <w:noWrap w:val="0"/>
            <w:vAlign w:val="center"/>
          </w:tcPr>
          <w:p w14:paraId="110177FE">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123" w:type="dxa"/>
            <w:tcBorders>
              <w:tl2br w:val="nil"/>
              <w:tr2bl w:val="nil"/>
            </w:tcBorders>
            <w:noWrap w:val="0"/>
            <w:vAlign w:val="center"/>
          </w:tcPr>
          <w:p w14:paraId="7DDB0381">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w:t>
            </w:r>
          </w:p>
          <w:p w14:paraId="78623B7A">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预案</w:t>
            </w:r>
          </w:p>
        </w:tc>
        <w:tc>
          <w:tcPr>
            <w:tcW w:w="7530" w:type="dxa"/>
            <w:tcBorders>
              <w:tl2br w:val="nil"/>
              <w:tr2bl w:val="nil"/>
            </w:tcBorders>
            <w:noWrap w:val="0"/>
            <w:vAlign w:val="center"/>
          </w:tcPr>
          <w:p w14:paraId="3DCD2266">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根据项目实施经验，针对本项目实施过程可能出现的突发应急事件进行罗列并针对突发情况进行应急处理，根据其编制方案的完整性，应急处置的合理性、及时性等内容，由评标委员会进行综合评审：</w:t>
            </w:r>
          </w:p>
          <w:p w14:paraId="67B5F44C">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方案完整，应急处置合理、及时的得</w:t>
            </w:r>
            <w:r>
              <w:rPr>
                <w:rFonts w:hint="eastAsia" w:ascii="仿宋_GB2312" w:hAnsi="仿宋" w:eastAsia="仿宋_GB2312" w:cs="仿宋"/>
                <w:color w:val="000000"/>
                <w:kern w:val="0"/>
                <w:sz w:val="24"/>
                <w:highlight w:val="none"/>
                <w:lang w:val="en-US" w:eastAsia="zh-CN"/>
              </w:rPr>
              <w:t>6.1-8</w:t>
            </w:r>
            <w:r>
              <w:rPr>
                <w:rFonts w:hint="eastAsia" w:ascii="仿宋" w:hAnsi="仿宋" w:eastAsia="仿宋" w:cs="仿宋"/>
                <w:color w:val="auto"/>
                <w:kern w:val="0"/>
                <w:sz w:val="24"/>
                <w:szCs w:val="24"/>
                <w:highlight w:val="none"/>
                <w:lang w:val="en-US" w:eastAsia="zh-CN"/>
              </w:rPr>
              <w:t>分；</w:t>
            </w:r>
          </w:p>
          <w:p w14:paraId="13B160A7">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方案较完整，应急处置较合理、较及时的得</w:t>
            </w:r>
            <w:r>
              <w:rPr>
                <w:rFonts w:hint="eastAsia" w:ascii="仿宋_GB2312" w:hAnsi="仿宋" w:eastAsia="仿宋_GB2312" w:cs="仿宋"/>
                <w:color w:val="000000"/>
                <w:kern w:val="0"/>
                <w:sz w:val="24"/>
                <w:highlight w:val="none"/>
                <w:lang w:val="en-US" w:eastAsia="zh-CN"/>
              </w:rPr>
              <w:t>4.1-6</w:t>
            </w:r>
            <w:r>
              <w:rPr>
                <w:rFonts w:hint="eastAsia" w:ascii="仿宋" w:hAnsi="仿宋" w:eastAsia="仿宋" w:cs="仿宋"/>
                <w:color w:val="auto"/>
                <w:kern w:val="0"/>
                <w:sz w:val="24"/>
                <w:szCs w:val="24"/>
                <w:highlight w:val="none"/>
                <w:lang w:val="en-US" w:eastAsia="zh-CN"/>
              </w:rPr>
              <w:t>分；</w:t>
            </w:r>
          </w:p>
          <w:p w14:paraId="15DB9648">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方案欠完整，应急处置欠合理、欠及时的得</w:t>
            </w:r>
            <w:r>
              <w:rPr>
                <w:rFonts w:hint="eastAsia" w:ascii="仿宋_GB2312" w:hAnsi="仿宋" w:eastAsia="仿宋_GB2312" w:cs="仿宋"/>
                <w:color w:val="000000"/>
                <w:kern w:val="0"/>
                <w:sz w:val="24"/>
                <w:highlight w:val="none"/>
                <w:lang w:val="en-US" w:eastAsia="zh-CN"/>
              </w:rPr>
              <w:t>2.1-4</w:t>
            </w:r>
            <w:r>
              <w:rPr>
                <w:rFonts w:hint="eastAsia" w:ascii="仿宋" w:hAnsi="仿宋" w:eastAsia="仿宋" w:cs="仿宋"/>
                <w:color w:val="auto"/>
                <w:kern w:val="0"/>
                <w:sz w:val="24"/>
                <w:szCs w:val="24"/>
                <w:highlight w:val="none"/>
                <w:lang w:val="en-US" w:eastAsia="zh-CN"/>
              </w:rPr>
              <w:t>分；</w:t>
            </w:r>
          </w:p>
          <w:p w14:paraId="48B5D639">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方案不完整，应急处置不合理、不及时的得</w:t>
            </w:r>
            <w:r>
              <w:rPr>
                <w:rFonts w:hint="eastAsia" w:ascii="仿宋_GB2312" w:hAnsi="仿宋" w:eastAsia="仿宋_GB2312" w:cs="仿宋"/>
                <w:color w:val="000000"/>
                <w:kern w:val="0"/>
                <w:sz w:val="24"/>
                <w:highlight w:val="none"/>
                <w:lang w:val="en-US" w:eastAsia="zh-CN"/>
              </w:rPr>
              <w:t>0.1-2</w:t>
            </w:r>
            <w:r>
              <w:rPr>
                <w:rFonts w:hint="eastAsia" w:ascii="仿宋" w:hAnsi="仿宋" w:eastAsia="仿宋" w:cs="仿宋"/>
                <w:color w:val="auto"/>
                <w:kern w:val="0"/>
                <w:sz w:val="24"/>
                <w:szCs w:val="24"/>
                <w:highlight w:val="none"/>
                <w:lang w:val="en-US" w:eastAsia="zh-CN"/>
              </w:rPr>
              <w:t>分；</w:t>
            </w:r>
          </w:p>
          <w:p w14:paraId="08E2CEF3">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未提供不得分；</w:t>
            </w:r>
          </w:p>
        </w:tc>
        <w:tc>
          <w:tcPr>
            <w:tcW w:w="885" w:type="dxa"/>
            <w:tcBorders>
              <w:tl2br w:val="nil"/>
              <w:tr2bl w:val="nil"/>
            </w:tcBorders>
            <w:noWrap w:val="0"/>
            <w:vAlign w:val="center"/>
          </w:tcPr>
          <w:p w14:paraId="43132BBD">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14:paraId="2F73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93" w:type="dxa"/>
            <w:tcBorders>
              <w:tl2br w:val="nil"/>
              <w:tr2bl w:val="nil"/>
            </w:tcBorders>
            <w:noWrap w:val="0"/>
            <w:vAlign w:val="center"/>
          </w:tcPr>
          <w:p w14:paraId="5DEF3214">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123" w:type="dxa"/>
            <w:tcBorders>
              <w:tl2br w:val="nil"/>
              <w:tr2bl w:val="nil"/>
            </w:tcBorders>
            <w:noWrap w:val="0"/>
            <w:vAlign w:val="center"/>
          </w:tcPr>
          <w:p w14:paraId="10F3468D">
            <w:pPr>
              <w:jc w:val="center"/>
              <w:rPr>
                <w:rFonts w:hint="eastAsia" w:ascii="仿宋" w:hAnsi="仿宋" w:eastAsia="仿宋" w:cs="仿宋"/>
                <w:color w:val="auto"/>
                <w:sz w:val="24"/>
                <w:szCs w:val="24"/>
                <w:highlight w:val="none"/>
                <w:lang w:val="en-US" w:eastAsia="zh-CN"/>
              </w:rPr>
            </w:pPr>
            <w:r>
              <w:rPr>
                <w:rFonts w:hint="eastAsia" w:ascii="仿宋_GB2312" w:hAnsi="仿宋" w:eastAsia="仿宋_GB2312" w:cs="仿宋"/>
                <w:color w:val="000000"/>
                <w:kern w:val="0"/>
                <w:sz w:val="24"/>
                <w:highlight w:val="none"/>
                <w:lang w:val="en-US" w:eastAsia="zh-CN"/>
              </w:rPr>
              <w:t>合理化建议</w:t>
            </w:r>
          </w:p>
        </w:tc>
        <w:tc>
          <w:tcPr>
            <w:tcW w:w="7530" w:type="dxa"/>
            <w:tcBorders>
              <w:tl2br w:val="nil"/>
              <w:tr2bl w:val="nil"/>
            </w:tcBorders>
            <w:noWrap w:val="0"/>
            <w:vAlign w:val="center"/>
          </w:tcPr>
          <w:p w14:paraId="25AB2018">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w:t>
            </w:r>
            <w:r>
              <w:rPr>
                <w:rFonts w:hint="eastAsia" w:ascii="仿宋" w:hAnsi="仿宋" w:eastAsia="仿宋" w:cs="仿宋"/>
                <w:color w:val="auto"/>
                <w:kern w:val="0"/>
                <w:sz w:val="24"/>
                <w:szCs w:val="24"/>
                <w:highlight w:val="none"/>
              </w:rPr>
              <w:t>投标</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提供</w:t>
            </w:r>
            <w:r>
              <w:rPr>
                <w:rFonts w:hint="eastAsia" w:ascii="仿宋" w:hAnsi="仿宋" w:eastAsia="仿宋" w:cs="仿宋"/>
                <w:color w:val="auto"/>
                <w:kern w:val="0"/>
                <w:sz w:val="24"/>
                <w:szCs w:val="24"/>
                <w:highlight w:val="none"/>
                <w:lang w:val="en-US" w:eastAsia="zh-CN"/>
              </w:rPr>
              <w:t>针对本项目提出合理化建议及优化提升方案的合理性、可实施性和相应的解决措施</w:t>
            </w:r>
            <w:r>
              <w:rPr>
                <w:rFonts w:hint="eastAsia" w:ascii="仿宋" w:hAnsi="仿宋" w:eastAsia="仿宋" w:cs="仿宋"/>
                <w:color w:val="auto"/>
                <w:kern w:val="0"/>
                <w:sz w:val="24"/>
                <w:szCs w:val="24"/>
                <w:highlight w:val="none"/>
              </w:rPr>
              <w:t>等进行综合评分</w:t>
            </w:r>
            <w:r>
              <w:rPr>
                <w:rFonts w:hint="eastAsia" w:ascii="仿宋" w:hAnsi="仿宋" w:eastAsia="仿宋" w:cs="仿宋"/>
                <w:color w:val="auto"/>
                <w:kern w:val="0"/>
                <w:sz w:val="24"/>
                <w:szCs w:val="24"/>
                <w:highlight w:val="none"/>
                <w:lang w:val="en-US" w:eastAsia="zh-CN"/>
              </w:rPr>
              <w:t>。</w:t>
            </w:r>
          </w:p>
          <w:p w14:paraId="37E66EFB">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方案合理的、可实施性强、相关实施措施全面的得</w:t>
            </w:r>
            <w:r>
              <w:rPr>
                <w:rFonts w:hint="eastAsia" w:ascii="仿宋_GB2312" w:hAnsi="仿宋" w:eastAsia="仿宋_GB2312" w:cs="仿宋"/>
                <w:color w:val="000000"/>
                <w:kern w:val="0"/>
                <w:sz w:val="24"/>
                <w:highlight w:val="none"/>
                <w:lang w:val="en-US" w:eastAsia="zh-CN"/>
              </w:rPr>
              <w:t>6.1-8</w:t>
            </w:r>
            <w:r>
              <w:rPr>
                <w:rFonts w:hint="eastAsia" w:ascii="仿宋" w:hAnsi="仿宋" w:eastAsia="仿宋" w:cs="仿宋"/>
                <w:color w:val="auto"/>
                <w:kern w:val="0"/>
                <w:sz w:val="24"/>
                <w:szCs w:val="24"/>
                <w:highlight w:val="none"/>
                <w:lang w:val="en-US" w:eastAsia="zh-CN"/>
              </w:rPr>
              <w:t>分；</w:t>
            </w:r>
          </w:p>
          <w:p w14:paraId="17FDF8CF">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方案</w:t>
            </w:r>
            <w:r>
              <w:rPr>
                <w:rFonts w:hint="eastAsia" w:ascii="仿宋" w:hAnsi="仿宋" w:eastAsia="仿宋" w:cs="仿宋"/>
                <w:color w:val="000000"/>
                <w:kern w:val="0"/>
                <w:sz w:val="24"/>
                <w:highlight w:val="none"/>
                <w:lang w:bidi="ar"/>
              </w:rPr>
              <w:t>较</w:t>
            </w:r>
            <w:r>
              <w:rPr>
                <w:rFonts w:hint="eastAsia" w:ascii="仿宋" w:hAnsi="仿宋" w:eastAsia="仿宋" w:cs="仿宋"/>
                <w:color w:val="auto"/>
                <w:kern w:val="0"/>
                <w:sz w:val="24"/>
                <w:szCs w:val="24"/>
                <w:highlight w:val="none"/>
                <w:lang w:val="en-US" w:eastAsia="zh-CN"/>
              </w:rPr>
              <w:t>合理的、可实施性</w:t>
            </w:r>
            <w:r>
              <w:rPr>
                <w:rFonts w:hint="eastAsia" w:ascii="仿宋" w:hAnsi="仿宋" w:eastAsia="仿宋" w:cs="仿宋"/>
                <w:color w:val="000000"/>
                <w:kern w:val="0"/>
                <w:sz w:val="24"/>
                <w:highlight w:val="none"/>
                <w:lang w:bidi="ar"/>
              </w:rPr>
              <w:t>较</w:t>
            </w:r>
            <w:r>
              <w:rPr>
                <w:rFonts w:hint="eastAsia" w:ascii="仿宋" w:hAnsi="仿宋" w:eastAsia="仿宋" w:cs="仿宋"/>
                <w:color w:val="auto"/>
                <w:kern w:val="0"/>
                <w:sz w:val="24"/>
                <w:szCs w:val="24"/>
                <w:highlight w:val="none"/>
                <w:lang w:val="en-US" w:eastAsia="zh-CN"/>
              </w:rPr>
              <w:t>强、相关实施措施</w:t>
            </w:r>
            <w:r>
              <w:rPr>
                <w:rFonts w:hint="eastAsia" w:ascii="仿宋" w:hAnsi="仿宋" w:eastAsia="仿宋" w:cs="仿宋"/>
                <w:color w:val="000000"/>
                <w:kern w:val="0"/>
                <w:sz w:val="24"/>
                <w:highlight w:val="none"/>
                <w:lang w:bidi="ar"/>
              </w:rPr>
              <w:t>较</w:t>
            </w:r>
            <w:r>
              <w:rPr>
                <w:rFonts w:hint="eastAsia" w:ascii="仿宋" w:hAnsi="仿宋" w:eastAsia="仿宋" w:cs="仿宋"/>
                <w:color w:val="auto"/>
                <w:kern w:val="0"/>
                <w:sz w:val="24"/>
                <w:szCs w:val="24"/>
                <w:highlight w:val="none"/>
                <w:lang w:val="en-US" w:eastAsia="zh-CN"/>
              </w:rPr>
              <w:t>全面的得</w:t>
            </w:r>
            <w:r>
              <w:rPr>
                <w:rFonts w:hint="eastAsia" w:ascii="仿宋_GB2312" w:hAnsi="仿宋" w:eastAsia="仿宋_GB2312" w:cs="仿宋"/>
                <w:color w:val="000000"/>
                <w:kern w:val="0"/>
                <w:sz w:val="24"/>
                <w:highlight w:val="none"/>
                <w:lang w:val="en-US" w:eastAsia="zh-CN"/>
              </w:rPr>
              <w:t>4.1-6</w:t>
            </w:r>
            <w:r>
              <w:rPr>
                <w:rFonts w:hint="eastAsia" w:ascii="仿宋" w:hAnsi="仿宋" w:eastAsia="仿宋" w:cs="仿宋"/>
                <w:color w:val="auto"/>
                <w:kern w:val="0"/>
                <w:sz w:val="24"/>
                <w:szCs w:val="24"/>
                <w:highlight w:val="none"/>
                <w:lang w:val="en-US" w:eastAsia="zh-CN"/>
              </w:rPr>
              <w:t>分；</w:t>
            </w:r>
          </w:p>
          <w:p w14:paraId="26B31710">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方案欠合理的</w:t>
            </w:r>
            <w:r>
              <w:rPr>
                <w:rFonts w:hint="eastAsia" w:ascii="仿宋" w:hAnsi="仿宋" w:eastAsia="仿宋" w:cs="仿宋"/>
                <w:color w:val="auto"/>
                <w:kern w:val="0"/>
                <w:sz w:val="24"/>
                <w:szCs w:val="24"/>
                <w:highlight w:val="none"/>
                <w:lang w:val="en-US" w:eastAsia="zh-CN"/>
              </w:rPr>
              <w:t>，可实施性一般，相关实施措施欠全面的得</w:t>
            </w:r>
            <w:r>
              <w:rPr>
                <w:rFonts w:hint="eastAsia" w:ascii="仿宋_GB2312" w:hAnsi="仿宋" w:eastAsia="仿宋_GB2312" w:cs="仿宋"/>
                <w:color w:val="000000"/>
                <w:kern w:val="0"/>
                <w:sz w:val="24"/>
                <w:highlight w:val="none"/>
                <w:lang w:val="en-US" w:eastAsia="zh-CN"/>
              </w:rPr>
              <w:t>2.1-4</w:t>
            </w:r>
            <w:r>
              <w:rPr>
                <w:rFonts w:hint="eastAsia" w:ascii="仿宋" w:hAnsi="仿宋" w:eastAsia="仿宋" w:cs="仿宋"/>
                <w:color w:val="auto"/>
                <w:kern w:val="0"/>
                <w:sz w:val="24"/>
                <w:szCs w:val="24"/>
                <w:highlight w:val="none"/>
                <w:lang w:val="en-US" w:eastAsia="zh-CN"/>
              </w:rPr>
              <w:t>分；</w:t>
            </w:r>
          </w:p>
          <w:p w14:paraId="0C672F16">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val="en-US" w:eastAsia="zh-CN"/>
              </w:rPr>
              <w:t>不</w:t>
            </w:r>
            <w:r>
              <w:rPr>
                <w:rFonts w:hint="eastAsia" w:ascii="仿宋" w:hAnsi="仿宋" w:eastAsia="仿宋" w:cs="仿宋"/>
                <w:color w:val="auto"/>
                <w:kern w:val="0"/>
                <w:sz w:val="24"/>
                <w:szCs w:val="24"/>
                <w:highlight w:val="none"/>
              </w:rPr>
              <w:t>合理的</w:t>
            </w:r>
            <w:r>
              <w:rPr>
                <w:rFonts w:hint="eastAsia" w:ascii="仿宋" w:hAnsi="仿宋" w:eastAsia="仿宋" w:cs="仿宋"/>
                <w:color w:val="auto"/>
                <w:kern w:val="0"/>
                <w:sz w:val="24"/>
                <w:szCs w:val="24"/>
                <w:highlight w:val="none"/>
                <w:lang w:val="en-US" w:eastAsia="zh-CN"/>
              </w:rPr>
              <w:t>，可实施性差，相关实施措施不全面的0.1-2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w:t>
            </w:r>
          </w:p>
          <w:p w14:paraId="3D9FC6A3">
            <w:pPr>
              <w:spacing w:line="240" w:lineRule="auto"/>
              <w:rPr>
                <w:rFonts w:hint="eastAsia" w:ascii="仿宋" w:hAnsi="仿宋" w:eastAsia="仿宋" w:cs="仿宋"/>
                <w:color w:val="auto"/>
                <w:kern w:val="0"/>
                <w:sz w:val="24"/>
                <w:szCs w:val="24"/>
                <w:highlight w:val="none"/>
                <w:lang w:val="en-US" w:eastAsia="zh-CN"/>
              </w:rPr>
            </w:pPr>
            <w:r>
              <w:rPr>
                <w:rFonts w:hint="eastAsia" w:ascii="仿宋_GB2312" w:hAnsi="仿宋" w:eastAsia="仿宋_GB2312" w:cs="仿宋"/>
                <w:color w:val="000000"/>
                <w:sz w:val="24"/>
                <w:highlight w:val="none"/>
              </w:rPr>
              <w:t>未</w:t>
            </w:r>
            <w:r>
              <w:rPr>
                <w:rFonts w:hint="eastAsia" w:ascii="仿宋_GB2312" w:hAnsi="仿宋" w:eastAsia="仿宋_GB2312" w:cs="仿宋"/>
                <w:color w:val="000000"/>
                <w:kern w:val="0"/>
                <w:sz w:val="24"/>
                <w:highlight w:val="none"/>
              </w:rPr>
              <w:t>提供不得分</w:t>
            </w:r>
            <w:r>
              <w:rPr>
                <w:rFonts w:hint="eastAsia" w:ascii="仿宋_GB2312" w:hAnsi="仿宋" w:eastAsia="仿宋_GB2312" w:cs="仿宋"/>
                <w:color w:val="000000"/>
                <w:sz w:val="24"/>
                <w:highlight w:val="none"/>
              </w:rPr>
              <w:t>；</w:t>
            </w:r>
          </w:p>
        </w:tc>
        <w:tc>
          <w:tcPr>
            <w:tcW w:w="885" w:type="dxa"/>
            <w:tcBorders>
              <w:tl2br w:val="nil"/>
              <w:tr2bl w:val="nil"/>
            </w:tcBorders>
            <w:noWrap w:val="0"/>
            <w:vAlign w:val="center"/>
          </w:tcPr>
          <w:p w14:paraId="45C51007">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8</w:t>
            </w:r>
          </w:p>
        </w:tc>
      </w:tr>
      <w:tr w14:paraId="464B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793" w:type="dxa"/>
            <w:tcBorders>
              <w:tl2br w:val="nil"/>
              <w:tr2bl w:val="nil"/>
            </w:tcBorders>
            <w:noWrap w:val="0"/>
            <w:vAlign w:val="center"/>
          </w:tcPr>
          <w:p w14:paraId="353A3351">
            <w:pPr>
              <w:widowControl/>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123" w:type="dxa"/>
            <w:tcBorders>
              <w:tl2br w:val="nil"/>
              <w:tr2bl w:val="nil"/>
            </w:tcBorders>
            <w:noWrap w:val="0"/>
            <w:vAlign w:val="center"/>
          </w:tcPr>
          <w:p w14:paraId="2C0E20D4">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w:t>
            </w:r>
          </w:p>
          <w:p w14:paraId="54D62E63">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响应</w:t>
            </w:r>
          </w:p>
        </w:tc>
        <w:tc>
          <w:tcPr>
            <w:tcW w:w="7530" w:type="dxa"/>
            <w:tcBorders>
              <w:tl2br w:val="nil"/>
              <w:tr2bl w:val="nil"/>
            </w:tcBorders>
            <w:noWrap w:val="0"/>
            <w:vAlign w:val="center"/>
          </w:tcPr>
          <w:p w14:paraId="4139C840">
            <w:pPr>
              <w:spacing w:line="240" w:lineRule="auto"/>
              <w:rPr>
                <w:rFonts w:hint="eastAsia" w:ascii="仿宋" w:hAnsi="仿宋" w:eastAsia="仿宋" w:cs="仿宋_GB2312"/>
                <w:kern w:val="2"/>
                <w:sz w:val="24"/>
                <w:szCs w:val="20"/>
                <w:highlight w:val="none"/>
                <w:lang w:val="en-US" w:eastAsia="zh-CN" w:bidi="ar-SA"/>
              </w:rPr>
            </w:pPr>
            <w:r>
              <w:rPr>
                <w:rFonts w:hint="eastAsia" w:ascii="仿宋" w:hAnsi="仿宋" w:eastAsia="仿宋" w:cs="仿宋_GB2312"/>
                <w:kern w:val="2"/>
                <w:sz w:val="24"/>
                <w:szCs w:val="20"/>
                <w:highlight w:val="none"/>
                <w:lang w:val="en-US" w:eastAsia="zh-CN" w:bidi="ar-SA"/>
              </w:rPr>
              <w:t>根据投标供应商提供的服务响应能力，技术服务能力进行综合评分。</w:t>
            </w:r>
          </w:p>
          <w:p w14:paraId="43D33E70">
            <w:pPr>
              <w:spacing w:line="240" w:lineRule="auto"/>
              <w:rPr>
                <w:rFonts w:hint="eastAsia" w:ascii="仿宋" w:hAnsi="仿宋" w:eastAsia="仿宋" w:cs="仿宋_GB2312"/>
                <w:kern w:val="2"/>
                <w:sz w:val="24"/>
                <w:szCs w:val="20"/>
                <w:highlight w:val="none"/>
                <w:lang w:val="en-US" w:eastAsia="zh-CN" w:bidi="ar-SA"/>
              </w:rPr>
            </w:pPr>
            <w:r>
              <w:rPr>
                <w:rFonts w:hint="eastAsia" w:ascii="仿宋" w:hAnsi="仿宋" w:eastAsia="仿宋" w:cs="仿宋_GB2312"/>
                <w:kern w:val="2"/>
                <w:sz w:val="24"/>
                <w:szCs w:val="20"/>
                <w:highlight w:val="none"/>
                <w:lang w:val="en-US" w:eastAsia="zh-CN" w:bidi="ar-SA"/>
              </w:rPr>
              <w:t>服务响应能力非常快、能力非常强的得</w:t>
            </w:r>
            <w:r>
              <w:rPr>
                <w:rFonts w:hint="eastAsia" w:ascii="仿宋" w:hAnsi="仿宋" w:eastAsia="仿宋" w:cs="仿宋_GB2312"/>
                <w:color w:val="000000" w:themeColor="text1"/>
                <w:kern w:val="2"/>
                <w:sz w:val="24"/>
                <w:szCs w:val="20"/>
                <w:highlight w:val="none"/>
                <w:lang w:val="en-US" w:eastAsia="zh-CN" w:bidi="ar-SA"/>
                <w14:textFill>
                  <w14:solidFill>
                    <w14:schemeClr w14:val="tx1"/>
                  </w14:solidFill>
                </w14:textFill>
              </w:rPr>
              <w:t>4.1-6分</w:t>
            </w:r>
            <w:r>
              <w:rPr>
                <w:rFonts w:hint="eastAsia" w:ascii="仿宋" w:hAnsi="仿宋" w:eastAsia="仿宋" w:cs="仿宋_GB2312"/>
                <w:kern w:val="2"/>
                <w:sz w:val="24"/>
                <w:szCs w:val="20"/>
                <w:highlight w:val="none"/>
                <w:lang w:val="en-US" w:eastAsia="zh-CN" w:bidi="ar-SA"/>
              </w:rPr>
              <w:t>；</w:t>
            </w:r>
          </w:p>
          <w:p w14:paraId="358C6AE5">
            <w:pPr>
              <w:spacing w:line="240" w:lineRule="auto"/>
              <w:rPr>
                <w:rFonts w:hint="eastAsia" w:ascii="仿宋" w:hAnsi="仿宋" w:eastAsia="仿宋" w:cs="仿宋_GB2312"/>
                <w:kern w:val="2"/>
                <w:sz w:val="24"/>
                <w:szCs w:val="20"/>
                <w:highlight w:val="none"/>
                <w:lang w:val="en-US" w:eastAsia="zh-CN" w:bidi="ar-SA"/>
              </w:rPr>
            </w:pPr>
            <w:r>
              <w:rPr>
                <w:rFonts w:hint="eastAsia" w:ascii="仿宋" w:hAnsi="仿宋" w:eastAsia="仿宋" w:cs="仿宋_GB2312"/>
                <w:kern w:val="2"/>
                <w:sz w:val="24"/>
                <w:szCs w:val="20"/>
                <w:highlight w:val="none"/>
                <w:lang w:val="en-US" w:eastAsia="zh-CN" w:bidi="ar-SA"/>
              </w:rPr>
              <w:t>服务响应能力</w:t>
            </w:r>
            <w:r>
              <w:rPr>
                <w:rFonts w:hint="eastAsia" w:ascii="仿宋" w:hAnsi="仿宋" w:eastAsia="仿宋" w:cs="仿宋"/>
                <w:color w:val="000000"/>
                <w:kern w:val="0"/>
                <w:sz w:val="24"/>
                <w:highlight w:val="none"/>
                <w:lang w:bidi="ar"/>
              </w:rPr>
              <w:t>较</w:t>
            </w:r>
            <w:r>
              <w:rPr>
                <w:rFonts w:hint="eastAsia" w:ascii="仿宋" w:hAnsi="仿宋" w:eastAsia="仿宋" w:cs="仿宋_GB2312"/>
                <w:kern w:val="2"/>
                <w:sz w:val="24"/>
                <w:szCs w:val="20"/>
                <w:highlight w:val="none"/>
                <w:lang w:val="en-US" w:eastAsia="zh-CN" w:bidi="ar-SA"/>
              </w:rPr>
              <w:t>快、能力</w:t>
            </w:r>
            <w:r>
              <w:rPr>
                <w:rFonts w:hint="eastAsia" w:ascii="仿宋" w:hAnsi="仿宋" w:eastAsia="仿宋" w:cs="仿宋"/>
                <w:color w:val="000000"/>
                <w:kern w:val="0"/>
                <w:sz w:val="24"/>
                <w:highlight w:val="none"/>
                <w:lang w:bidi="ar"/>
              </w:rPr>
              <w:t>较</w:t>
            </w:r>
            <w:r>
              <w:rPr>
                <w:rFonts w:hint="eastAsia" w:ascii="仿宋" w:hAnsi="仿宋" w:eastAsia="仿宋" w:cs="仿宋_GB2312"/>
                <w:kern w:val="2"/>
                <w:sz w:val="24"/>
                <w:szCs w:val="20"/>
                <w:highlight w:val="none"/>
                <w:lang w:val="en-US" w:eastAsia="zh-CN" w:bidi="ar-SA"/>
              </w:rPr>
              <w:t>强的得</w:t>
            </w:r>
            <w:r>
              <w:rPr>
                <w:rFonts w:hint="eastAsia" w:ascii="仿宋" w:hAnsi="仿宋" w:eastAsia="仿宋" w:cs="仿宋_GB2312"/>
                <w:color w:val="000000" w:themeColor="text1"/>
                <w:kern w:val="2"/>
                <w:sz w:val="24"/>
                <w:szCs w:val="20"/>
                <w:highlight w:val="none"/>
                <w:lang w:val="en-US" w:eastAsia="zh-CN" w:bidi="ar-SA"/>
                <w14:textFill>
                  <w14:solidFill>
                    <w14:schemeClr w14:val="tx1"/>
                  </w14:solidFill>
                </w14:textFill>
              </w:rPr>
              <w:t>2.1-4分</w:t>
            </w:r>
            <w:r>
              <w:rPr>
                <w:rFonts w:hint="eastAsia" w:ascii="仿宋" w:hAnsi="仿宋" w:eastAsia="仿宋" w:cs="仿宋_GB2312"/>
                <w:kern w:val="2"/>
                <w:sz w:val="24"/>
                <w:szCs w:val="20"/>
                <w:highlight w:val="none"/>
                <w:lang w:val="en-US" w:eastAsia="zh-CN" w:bidi="ar-SA"/>
              </w:rPr>
              <w:t>；</w:t>
            </w:r>
          </w:p>
          <w:p w14:paraId="6B12FB11">
            <w:pPr>
              <w:spacing w:line="240" w:lineRule="auto"/>
              <w:rPr>
                <w:rFonts w:hint="eastAsia" w:ascii="仿宋" w:hAnsi="仿宋" w:eastAsia="仿宋" w:cs="仿宋_GB2312"/>
                <w:kern w:val="2"/>
                <w:sz w:val="24"/>
                <w:szCs w:val="20"/>
                <w:highlight w:val="none"/>
                <w:lang w:val="en-US" w:eastAsia="zh-CN" w:bidi="ar-SA"/>
              </w:rPr>
            </w:pPr>
            <w:r>
              <w:rPr>
                <w:rFonts w:hint="eastAsia" w:ascii="仿宋" w:hAnsi="仿宋" w:eastAsia="仿宋" w:cs="仿宋_GB2312"/>
                <w:kern w:val="2"/>
                <w:sz w:val="24"/>
                <w:szCs w:val="20"/>
                <w:highlight w:val="none"/>
                <w:lang w:val="en-US" w:eastAsia="zh-CN" w:bidi="ar-SA"/>
              </w:rPr>
              <w:t>服务响应能力较快、能力较强的得</w:t>
            </w:r>
            <w:r>
              <w:rPr>
                <w:rFonts w:hint="eastAsia" w:ascii="仿宋" w:hAnsi="仿宋" w:eastAsia="仿宋" w:cs="仿宋_GB2312"/>
                <w:color w:val="000000" w:themeColor="text1"/>
                <w:kern w:val="2"/>
                <w:sz w:val="24"/>
                <w:szCs w:val="20"/>
                <w:highlight w:val="none"/>
                <w:lang w:val="en-US" w:eastAsia="zh-CN" w:bidi="ar-SA"/>
                <w14:textFill>
                  <w14:solidFill>
                    <w14:schemeClr w14:val="tx1"/>
                  </w14:solidFill>
                </w14:textFill>
              </w:rPr>
              <w:t>1.1-2分</w:t>
            </w:r>
            <w:r>
              <w:rPr>
                <w:rFonts w:hint="eastAsia" w:ascii="仿宋" w:hAnsi="仿宋" w:eastAsia="仿宋" w:cs="仿宋_GB2312"/>
                <w:kern w:val="2"/>
                <w:sz w:val="24"/>
                <w:szCs w:val="20"/>
                <w:highlight w:val="none"/>
                <w:lang w:val="en-US" w:eastAsia="zh-CN" w:bidi="ar-SA"/>
              </w:rPr>
              <w:t>；</w:t>
            </w:r>
          </w:p>
          <w:p w14:paraId="11CDE15C">
            <w:pPr>
              <w:spacing w:line="240" w:lineRule="auto"/>
              <w:rPr>
                <w:rFonts w:hint="eastAsia" w:ascii="仿宋" w:hAnsi="仿宋" w:eastAsia="仿宋" w:cs="仿宋_GB2312"/>
                <w:kern w:val="2"/>
                <w:sz w:val="24"/>
                <w:szCs w:val="20"/>
                <w:highlight w:val="none"/>
                <w:lang w:val="en-US" w:eastAsia="zh-CN" w:bidi="ar-SA"/>
              </w:rPr>
            </w:pPr>
            <w:r>
              <w:rPr>
                <w:rFonts w:hint="eastAsia" w:ascii="仿宋" w:hAnsi="仿宋" w:eastAsia="仿宋" w:cs="仿宋_GB2312"/>
                <w:kern w:val="2"/>
                <w:sz w:val="24"/>
                <w:szCs w:val="20"/>
                <w:highlight w:val="none"/>
                <w:lang w:val="en-US" w:eastAsia="zh-CN" w:bidi="ar-SA"/>
              </w:rPr>
              <w:t>服务响应能力慢、能力弱的得</w:t>
            </w:r>
            <w:r>
              <w:rPr>
                <w:rFonts w:hint="eastAsia" w:ascii="仿宋" w:hAnsi="仿宋" w:eastAsia="仿宋" w:cs="仿宋_GB2312"/>
                <w:color w:val="000000" w:themeColor="text1"/>
                <w:kern w:val="2"/>
                <w:sz w:val="24"/>
                <w:szCs w:val="20"/>
                <w:highlight w:val="none"/>
                <w:lang w:val="en-US" w:eastAsia="zh-CN" w:bidi="ar-SA"/>
                <w14:textFill>
                  <w14:solidFill>
                    <w14:schemeClr w14:val="tx1"/>
                  </w14:solidFill>
                </w14:textFill>
              </w:rPr>
              <w:t>0.1-1分</w:t>
            </w:r>
            <w:r>
              <w:rPr>
                <w:rFonts w:hint="eastAsia" w:ascii="仿宋" w:hAnsi="仿宋" w:eastAsia="仿宋" w:cs="仿宋_GB2312"/>
                <w:kern w:val="2"/>
                <w:sz w:val="24"/>
                <w:szCs w:val="20"/>
                <w:highlight w:val="none"/>
                <w:lang w:val="en-US" w:eastAsia="zh-CN" w:bidi="ar-SA"/>
              </w:rPr>
              <w:t>；</w:t>
            </w:r>
          </w:p>
          <w:p w14:paraId="031F0D9B">
            <w:pPr>
              <w:spacing w:line="240" w:lineRule="auto"/>
              <w:rPr>
                <w:rFonts w:hint="eastAsia" w:ascii="仿宋" w:hAnsi="仿宋" w:eastAsia="仿宋" w:cs="仿宋"/>
                <w:color w:val="auto"/>
                <w:kern w:val="0"/>
                <w:sz w:val="24"/>
                <w:szCs w:val="24"/>
                <w:highlight w:val="none"/>
                <w:lang w:val="en-US" w:eastAsia="zh-CN"/>
              </w:rPr>
            </w:pPr>
            <w:r>
              <w:rPr>
                <w:rFonts w:hint="eastAsia" w:ascii="仿宋_GB2312" w:hAnsi="仿宋" w:eastAsia="仿宋_GB2312" w:cs="仿宋"/>
                <w:color w:val="000000"/>
                <w:sz w:val="24"/>
                <w:highlight w:val="none"/>
              </w:rPr>
              <w:t>未</w:t>
            </w:r>
            <w:r>
              <w:rPr>
                <w:rFonts w:hint="eastAsia" w:ascii="仿宋_GB2312" w:hAnsi="仿宋" w:eastAsia="仿宋_GB2312" w:cs="仿宋"/>
                <w:color w:val="000000"/>
                <w:kern w:val="0"/>
                <w:sz w:val="24"/>
                <w:highlight w:val="none"/>
              </w:rPr>
              <w:t>提供不得分</w:t>
            </w:r>
            <w:r>
              <w:rPr>
                <w:rFonts w:hint="eastAsia" w:ascii="仿宋_GB2312" w:hAnsi="仿宋" w:eastAsia="仿宋_GB2312" w:cs="仿宋"/>
                <w:color w:val="000000"/>
                <w:sz w:val="24"/>
                <w:highlight w:val="none"/>
              </w:rPr>
              <w:t>；</w:t>
            </w:r>
          </w:p>
        </w:tc>
        <w:tc>
          <w:tcPr>
            <w:tcW w:w="885" w:type="dxa"/>
            <w:tcBorders>
              <w:tl2br w:val="nil"/>
              <w:tr2bl w:val="nil"/>
            </w:tcBorders>
            <w:noWrap w:val="0"/>
            <w:vAlign w:val="center"/>
          </w:tcPr>
          <w:p w14:paraId="5EBF368C">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6</w:t>
            </w:r>
          </w:p>
        </w:tc>
      </w:tr>
    </w:tbl>
    <w:p w14:paraId="75D4BAAC">
      <w:pPr>
        <w:widowControl/>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（计算得分时，按其算术平均值保留小数点后2位；评审小组成员个人主观打分偏离所有评审小组成员主观打分平均值30%以上的，由评审委员会启动评分畸高、畸低行为认定程序。）</w:t>
      </w:r>
      <w:r>
        <w:rPr>
          <w:rFonts w:hint="eastAsia" w:ascii="仿宋" w:hAnsi="仿宋" w:eastAsia="仿宋" w:cs="仿宋"/>
          <w:b/>
          <w:bCs/>
          <w:color w:val="000000"/>
          <w:sz w:val="24"/>
          <w:szCs w:val="24"/>
          <w:highlight w:val="none"/>
        </w:rPr>
        <w:t>商务技术分低于</w:t>
      </w:r>
      <w:r>
        <w:rPr>
          <w:rFonts w:hint="eastAsia" w:ascii="仿宋" w:hAnsi="仿宋" w:eastAsia="仿宋" w:cs="仿宋"/>
          <w:b/>
          <w:bCs/>
          <w:color w:val="000000"/>
          <w:sz w:val="24"/>
          <w:szCs w:val="24"/>
          <w:highlight w:val="none"/>
          <w:lang w:val="en-US" w:eastAsia="zh-CN"/>
        </w:rPr>
        <w:t>48</w:t>
      </w:r>
      <w:r>
        <w:rPr>
          <w:rFonts w:hint="eastAsia" w:ascii="仿宋" w:hAnsi="仿宋" w:eastAsia="仿宋" w:cs="仿宋"/>
          <w:b/>
          <w:bCs/>
          <w:color w:val="000000"/>
          <w:sz w:val="24"/>
          <w:szCs w:val="24"/>
          <w:highlight w:val="none"/>
        </w:rPr>
        <w:t>分的，视为采购人不能接受的附加条件。</w:t>
      </w:r>
    </w:p>
    <w:p w14:paraId="2CBB41BD">
      <w:pPr>
        <w:rPr>
          <w:rFonts w:hint="eastAsia"/>
          <w:highlight w:val="none"/>
        </w:rPr>
      </w:pPr>
    </w:p>
    <w:p w14:paraId="3AE8F5B5">
      <w:pPr>
        <w:widowControl/>
        <w:spacing w:line="360" w:lineRule="auto"/>
        <w:ind w:firstLine="480" w:firstLineChars="200"/>
        <w:rPr>
          <w:rFonts w:hint="eastAsia" w:ascii="仿宋" w:hAnsi="仿宋" w:eastAsia="仿宋" w:cs="仿宋"/>
          <w:sz w:val="24"/>
          <w:szCs w:val="24"/>
          <w:highlight w:val="none"/>
        </w:rPr>
      </w:pPr>
    </w:p>
    <w:p w14:paraId="60BDF820">
      <w:pPr>
        <w:widowControl/>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22.价格分（</w:t>
      </w:r>
      <w:r>
        <w:rPr>
          <w:rFonts w:hint="eastAsia" w:ascii="仿宋" w:hAnsi="仿宋" w:eastAsia="仿宋" w:cs="仿宋"/>
          <w:kern w:val="0"/>
          <w:sz w:val="24"/>
          <w:szCs w:val="24"/>
          <w:highlight w:val="none"/>
          <w:lang w:val="en-US" w:eastAsia="zh-CN"/>
        </w:rPr>
        <w:t>20</w:t>
      </w:r>
      <w:r>
        <w:rPr>
          <w:rFonts w:hint="eastAsia" w:ascii="仿宋" w:hAnsi="仿宋" w:eastAsia="仿宋" w:cs="仿宋"/>
          <w:sz w:val="24"/>
          <w:szCs w:val="24"/>
          <w:highlight w:val="none"/>
        </w:rPr>
        <w:t>分）</w:t>
      </w:r>
    </w:p>
    <w:tbl>
      <w:tblPr>
        <w:tblStyle w:val="17"/>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4"/>
        <w:gridCol w:w="6981"/>
      </w:tblGrid>
      <w:tr w14:paraId="53D7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954" w:type="dxa"/>
            <w:tcBorders>
              <w:top w:val="single" w:color="auto" w:sz="4" w:space="0"/>
              <w:left w:val="single" w:color="auto" w:sz="4" w:space="0"/>
              <w:bottom w:val="single" w:color="auto" w:sz="4" w:space="0"/>
              <w:right w:val="single" w:color="auto" w:sz="4" w:space="0"/>
            </w:tcBorders>
            <w:noWrap/>
            <w:vAlign w:val="bottom"/>
          </w:tcPr>
          <w:p w14:paraId="0EC4F89D">
            <w:pPr>
              <w:widowControl/>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价格权值</w:t>
            </w:r>
          </w:p>
        </w:tc>
        <w:tc>
          <w:tcPr>
            <w:tcW w:w="6981" w:type="dxa"/>
            <w:tcBorders>
              <w:top w:val="single" w:color="auto" w:sz="4" w:space="0"/>
              <w:left w:val="single" w:color="auto" w:sz="4" w:space="0"/>
              <w:bottom w:val="single" w:color="auto" w:sz="4" w:space="0"/>
              <w:right w:val="single" w:color="auto" w:sz="4" w:space="0"/>
            </w:tcBorders>
            <w:noWrap/>
            <w:vAlign w:val="center"/>
          </w:tcPr>
          <w:p w14:paraId="5E1CFAE1">
            <w:pPr>
              <w:widowControl/>
              <w:spacing w:line="36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计算方法</w:t>
            </w:r>
          </w:p>
        </w:tc>
      </w:tr>
      <w:tr w14:paraId="3B10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954" w:type="dxa"/>
            <w:tcBorders>
              <w:top w:val="single" w:color="auto" w:sz="4" w:space="0"/>
              <w:left w:val="single" w:color="auto" w:sz="4" w:space="0"/>
              <w:bottom w:val="single" w:color="auto" w:sz="4" w:space="0"/>
              <w:right w:val="single" w:color="auto" w:sz="4" w:space="0"/>
            </w:tcBorders>
            <w:noWrap/>
            <w:vAlign w:val="center"/>
          </w:tcPr>
          <w:p w14:paraId="7D93F946">
            <w:pPr>
              <w:widowControl/>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价格权值=0.</w:t>
            </w:r>
            <w:r>
              <w:rPr>
                <w:rFonts w:hint="eastAsia" w:ascii="仿宋" w:hAnsi="仿宋" w:eastAsia="仿宋" w:cs="仿宋"/>
                <w:kern w:val="0"/>
                <w:sz w:val="24"/>
                <w:szCs w:val="24"/>
                <w:highlight w:val="none"/>
                <w:lang w:val="en-US" w:eastAsia="zh-CN"/>
              </w:rPr>
              <w:t>20</w:t>
            </w:r>
          </w:p>
        </w:tc>
        <w:tc>
          <w:tcPr>
            <w:tcW w:w="6981" w:type="dxa"/>
            <w:tcBorders>
              <w:top w:val="single" w:color="auto" w:sz="4" w:space="0"/>
              <w:left w:val="single" w:color="auto" w:sz="4" w:space="0"/>
              <w:bottom w:val="single" w:color="auto" w:sz="4" w:space="0"/>
              <w:right w:val="single" w:color="auto" w:sz="4" w:space="0"/>
            </w:tcBorders>
            <w:noWrap/>
            <w:vAlign w:val="center"/>
          </w:tcPr>
          <w:p w14:paraId="598BD9B4">
            <w:pPr>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最低有效投标价格为评标基准价</w:t>
            </w:r>
          </w:p>
          <w:p w14:paraId="625659E7">
            <w:pPr>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投标报价得分=(评标基准价／投标报价)×价格权值×100 </w:t>
            </w:r>
          </w:p>
          <w:p w14:paraId="085C1D2F">
            <w:pPr>
              <w:widowControl/>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（计算得分保留小数点后2位）</w:t>
            </w:r>
          </w:p>
        </w:tc>
      </w:tr>
    </w:tbl>
    <w:p w14:paraId="698D2842">
      <w:pPr>
        <w:widowControl/>
        <w:spacing w:line="360" w:lineRule="auto"/>
        <w:ind w:firstLine="723" w:firstLineChars="200"/>
        <w:jc w:val="center"/>
        <w:rPr>
          <w:rFonts w:hint="eastAsia" w:ascii="仿宋" w:hAnsi="仿宋" w:eastAsia="仿宋" w:cs="仿宋"/>
          <w:b/>
          <w:color w:val="auto"/>
          <w:sz w:val="36"/>
          <w:szCs w:val="36"/>
          <w:highlight w:val="none"/>
        </w:rPr>
      </w:pPr>
    </w:p>
    <w:p w14:paraId="3ABCD8E5">
      <w:pPr>
        <w:widowControl/>
        <w:spacing w:line="360" w:lineRule="auto"/>
        <w:ind w:firstLine="723" w:firstLineChars="200"/>
        <w:jc w:val="center"/>
        <w:rPr>
          <w:rFonts w:hint="eastAsia" w:ascii="仿宋" w:hAnsi="仿宋" w:eastAsia="仿宋" w:cs="仿宋"/>
          <w:b/>
          <w:color w:val="auto"/>
          <w:sz w:val="36"/>
          <w:szCs w:val="36"/>
          <w:highlight w:val="none"/>
        </w:rPr>
      </w:pPr>
    </w:p>
    <w:p w14:paraId="06B40F29">
      <w:pPr>
        <w:widowControl/>
        <w:spacing w:line="360" w:lineRule="auto"/>
        <w:ind w:firstLine="723" w:firstLineChars="200"/>
        <w:jc w:val="center"/>
        <w:rPr>
          <w:rFonts w:hint="eastAsia" w:ascii="仿宋" w:hAnsi="仿宋" w:eastAsia="仿宋" w:cs="仿宋"/>
          <w:b/>
          <w:color w:val="auto"/>
          <w:sz w:val="36"/>
          <w:szCs w:val="36"/>
          <w:highlight w:val="none"/>
        </w:rPr>
      </w:pPr>
    </w:p>
    <w:p w14:paraId="4B761666">
      <w:pPr>
        <w:widowControl/>
        <w:spacing w:line="360" w:lineRule="auto"/>
        <w:ind w:firstLine="723" w:firstLineChars="200"/>
        <w:jc w:val="center"/>
        <w:rPr>
          <w:rFonts w:hint="eastAsia" w:ascii="仿宋" w:hAnsi="仿宋" w:eastAsia="仿宋" w:cs="仿宋"/>
          <w:b/>
          <w:color w:val="auto"/>
          <w:sz w:val="36"/>
          <w:szCs w:val="36"/>
          <w:highlight w:val="none"/>
        </w:rPr>
      </w:pPr>
    </w:p>
    <w:p w14:paraId="3A21C66E">
      <w:pPr>
        <w:widowControl/>
        <w:spacing w:line="360" w:lineRule="auto"/>
        <w:ind w:firstLine="723" w:firstLineChars="200"/>
        <w:jc w:val="center"/>
        <w:rPr>
          <w:rFonts w:hint="eastAsia" w:ascii="仿宋" w:hAnsi="仿宋" w:eastAsia="仿宋" w:cs="仿宋"/>
          <w:b/>
          <w:color w:val="auto"/>
          <w:sz w:val="36"/>
          <w:szCs w:val="36"/>
          <w:highlight w:val="none"/>
        </w:rPr>
      </w:pPr>
    </w:p>
    <w:p w14:paraId="44B143B9">
      <w:pPr>
        <w:widowControl/>
        <w:spacing w:line="360" w:lineRule="auto"/>
        <w:ind w:firstLine="723" w:firstLineChars="200"/>
        <w:jc w:val="center"/>
        <w:rPr>
          <w:rFonts w:hint="eastAsia" w:ascii="仿宋" w:hAnsi="仿宋" w:eastAsia="仿宋" w:cs="仿宋"/>
          <w:b/>
          <w:color w:val="auto"/>
          <w:sz w:val="36"/>
          <w:szCs w:val="36"/>
          <w:highlight w:val="none"/>
        </w:rPr>
      </w:pPr>
    </w:p>
    <w:p w14:paraId="62BD89E6">
      <w:pPr>
        <w:widowControl/>
        <w:spacing w:line="360" w:lineRule="auto"/>
        <w:ind w:firstLine="723" w:firstLineChars="200"/>
        <w:jc w:val="center"/>
        <w:rPr>
          <w:rFonts w:hint="eastAsia" w:ascii="仿宋" w:hAnsi="仿宋" w:eastAsia="仿宋" w:cs="仿宋"/>
          <w:b/>
          <w:color w:val="auto"/>
          <w:sz w:val="36"/>
          <w:szCs w:val="36"/>
          <w:highlight w:val="none"/>
        </w:rPr>
      </w:pPr>
    </w:p>
    <w:p w14:paraId="642796B2">
      <w:pPr>
        <w:widowControl/>
        <w:spacing w:line="360" w:lineRule="auto"/>
        <w:ind w:firstLine="723" w:firstLineChars="200"/>
        <w:jc w:val="center"/>
        <w:rPr>
          <w:rFonts w:hint="eastAsia" w:ascii="仿宋" w:hAnsi="仿宋" w:eastAsia="仿宋" w:cs="仿宋"/>
          <w:b/>
          <w:color w:val="auto"/>
          <w:sz w:val="36"/>
          <w:szCs w:val="36"/>
          <w:highlight w:val="none"/>
        </w:rPr>
      </w:pPr>
    </w:p>
    <w:p w14:paraId="4C844777">
      <w:pPr>
        <w:pStyle w:val="6"/>
        <w:rPr>
          <w:rFonts w:hint="eastAsia" w:ascii="仿宋" w:hAnsi="仿宋" w:eastAsia="仿宋" w:cs="仿宋"/>
          <w:b/>
          <w:color w:val="auto"/>
          <w:sz w:val="36"/>
          <w:szCs w:val="36"/>
          <w:highlight w:val="none"/>
        </w:rPr>
      </w:pPr>
    </w:p>
    <w:p w14:paraId="3F2EFFC9">
      <w:pPr>
        <w:rPr>
          <w:rFonts w:hint="eastAsia" w:ascii="仿宋" w:hAnsi="仿宋" w:eastAsia="仿宋" w:cs="仿宋"/>
          <w:b/>
          <w:color w:val="auto"/>
          <w:sz w:val="36"/>
          <w:szCs w:val="36"/>
          <w:highlight w:val="none"/>
        </w:rPr>
      </w:pPr>
    </w:p>
    <w:p w14:paraId="21FF32FD">
      <w:pPr>
        <w:pStyle w:val="6"/>
        <w:rPr>
          <w:rFonts w:hint="eastAsia" w:ascii="仿宋" w:hAnsi="仿宋" w:eastAsia="仿宋" w:cs="仿宋"/>
          <w:b/>
          <w:color w:val="auto"/>
          <w:sz w:val="36"/>
          <w:szCs w:val="36"/>
          <w:highlight w:val="none"/>
        </w:rPr>
      </w:pPr>
    </w:p>
    <w:p w14:paraId="30559111">
      <w:pPr>
        <w:widowControl/>
        <w:spacing w:line="360" w:lineRule="auto"/>
        <w:ind w:firstLine="723" w:firstLineChars="20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w:t>
      </w:r>
      <w:bookmarkEnd w:id="62"/>
      <w:r>
        <w:rPr>
          <w:rFonts w:hint="eastAsia" w:ascii="仿宋" w:hAnsi="仿宋" w:eastAsia="仿宋" w:cs="仿宋"/>
          <w:b/>
          <w:color w:val="auto"/>
          <w:sz w:val="36"/>
          <w:szCs w:val="36"/>
          <w:highlight w:val="none"/>
        </w:rPr>
        <w:t xml:space="preserve"> 拟签订的合同文本</w:t>
      </w:r>
    </w:p>
    <w:p w14:paraId="77FC9C83">
      <w:pPr>
        <w:pStyle w:val="10"/>
        <w:snapToGrid w:val="0"/>
        <w:spacing w:line="360" w:lineRule="auto"/>
        <w:ind w:firstLine="0" w:firstLineChars="0"/>
        <w:rPr>
          <w:rFonts w:hint="eastAsia" w:ascii="仿宋" w:hAnsi="仿宋" w:eastAsia="仿宋" w:cs="仿宋"/>
          <w:color w:val="auto"/>
          <w:highlight w:val="none"/>
        </w:rPr>
      </w:pPr>
      <w:bookmarkStart w:id="429" w:name="第五部分"/>
      <w:bookmarkStart w:id="430" w:name="_Toc86217003"/>
    </w:p>
    <w:p w14:paraId="1A36C91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合同编号：</w:t>
      </w:r>
    </w:p>
    <w:p w14:paraId="77D19AE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确认书号：</w:t>
      </w:r>
    </w:p>
    <w:p w14:paraId="7F6CD3A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甲方（采购人）： </w:t>
      </w:r>
    </w:p>
    <w:p w14:paraId="3DABC80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乙方（供应商）： </w:t>
      </w:r>
    </w:p>
    <w:p w14:paraId="3F27C444">
      <w:pPr>
        <w:widowControl/>
        <w:snapToGrid w:val="0"/>
        <w:spacing w:line="480" w:lineRule="exact"/>
        <w:ind w:firstLine="480" w:firstLineChars="200"/>
        <w:rPr>
          <w:rFonts w:hint="eastAsia" w:ascii="仿宋" w:hAnsi="仿宋" w:eastAsia="仿宋" w:cs="仿宋"/>
          <w:color w:val="auto"/>
          <w:kern w:val="0"/>
          <w:sz w:val="24"/>
          <w:highlight w:val="none"/>
        </w:rPr>
      </w:pPr>
    </w:p>
    <w:p w14:paraId="6E5F754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甲、乙双方根据</w:t>
      </w:r>
      <w:r>
        <w:rPr>
          <w:rFonts w:hint="eastAsia" w:ascii="仿宋" w:hAnsi="仿宋" w:eastAsia="仿宋" w:cs="仿宋"/>
          <w:color w:val="auto"/>
          <w:kern w:val="0"/>
          <w:sz w:val="24"/>
          <w:highlight w:val="none"/>
          <w:u w:val="single"/>
        </w:rPr>
        <w:t xml:space="preserve">    （填写采购代理机构名称）   </w:t>
      </w:r>
      <w:r>
        <w:rPr>
          <w:rFonts w:hint="eastAsia" w:ascii="仿宋" w:hAnsi="仿宋" w:eastAsia="仿宋" w:cs="仿宋"/>
          <w:color w:val="auto"/>
          <w:kern w:val="0"/>
          <w:sz w:val="24"/>
          <w:highlight w:val="none"/>
        </w:rPr>
        <w:t>项目编号为的</w:t>
      </w:r>
      <w:r>
        <w:rPr>
          <w:rFonts w:hint="eastAsia" w:ascii="仿宋" w:hAnsi="仿宋" w:eastAsia="仿宋" w:cs="仿宋"/>
          <w:color w:val="auto"/>
          <w:kern w:val="0"/>
          <w:sz w:val="24"/>
          <w:highlight w:val="none"/>
          <w:u w:val="single"/>
        </w:rPr>
        <w:t>（标项及名称）</w:t>
      </w:r>
      <w:r>
        <w:rPr>
          <w:rFonts w:hint="eastAsia" w:ascii="仿宋" w:hAnsi="仿宋" w:eastAsia="仿宋" w:cs="仿宋"/>
          <w:color w:val="auto"/>
          <w:kern w:val="0"/>
          <w:sz w:val="24"/>
          <w:highlight w:val="none"/>
        </w:rPr>
        <w:t>项目的政府采购交易结果，签署本合同。</w:t>
      </w:r>
    </w:p>
    <w:p w14:paraId="2FEABC95">
      <w:pPr>
        <w:widowControl/>
        <w:numPr>
          <w:ilvl w:val="0"/>
          <w:numId w:val="5"/>
        </w:numPr>
        <w:adjustRightInd/>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服务内容及标准</w:t>
      </w:r>
    </w:p>
    <w:p w14:paraId="6344C4E9">
      <w:pPr>
        <w:widowControl/>
        <w:snapToGrid w:val="0"/>
        <w:spacing w:line="480" w:lineRule="exact"/>
        <w:ind w:left="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（按采购需求及投标文件的内容填写）</w:t>
      </w:r>
    </w:p>
    <w:p w14:paraId="2AE56BA1">
      <w:pPr>
        <w:widowControl/>
        <w:numPr>
          <w:ilvl w:val="0"/>
          <w:numId w:val="5"/>
        </w:numPr>
        <w:adjustRightInd/>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服务价格</w:t>
      </w:r>
    </w:p>
    <w:p w14:paraId="0B511029">
      <w:pPr>
        <w:widowControl/>
        <w:snapToGrid w:val="0"/>
        <w:spacing w:line="480" w:lineRule="exact"/>
        <w:ind w:left="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（有服务分项的，需报分项价格和总价）</w:t>
      </w:r>
    </w:p>
    <w:p w14:paraId="1964AA69">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三、技术资料</w:t>
      </w:r>
    </w:p>
    <w:p w14:paraId="11D8ED0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1.乙方应按采购文件规定的时间向甲方提供与本项目有关的技术资料。</w:t>
      </w:r>
    </w:p>
    <w:p w14:paraId="6686E01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492989">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四、知识产权</w:t>
      </w:r>
    </w:p>
    <w:p w14:paraId="40313F3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1、乙方应保证所提供的货物与服务均不会侵犯任何第三方的知识产权。</w:t>
      </w:r>
    </w:p>
    <w:p w14:paraId="39DD08A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2、乙方保证所交付的服务的所有权完全属于乙方且无任何抵押、查封等产权瑕疵。</w:t>
      </w:r>
    </w:p>
    <w:p w14:paraId="0505DCC7">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五、转包或分包</w:t>
      </w:r>
    </w:p>
    <w:p w14:paraId="17F1EFF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不允许转包。</w:t>
      </w:r>
    </w:p>
    <w:p w14:paraId="17DE231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允许分包部分。</w:t>
      </w:r>
    </w:p>
    <w:p w14:paraId="4470D4B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如乙方将项目转包或将不允许分包部分进行了分包，甲方有权解除合同，没收履约保证金并追究乙方的违约责任。</w:t>
      </w:r>
    </w:p>
    <w:p w14:paraId="698CC0A3">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六、履约保证金</w:t>
      </w:r>
    </w:p>
    <w:p w14:paraId="66844CF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1.履约保证金元。[履约保证金交至采购人处，服务完成后满（   ）个月之日起5个工作日内无息退还]</w:t>
      </w:r>
    </w:p>
    <w:p w14:paraId="10855D04">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七、项目服务期限及实施地点</w:t>
      </w:r>
    </w:p>
    <w:p w14:paraId="31F15B5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1.服务期限：</w:t>
      </w:r>
    </w:p>
    <w:p w14:paraId="1DB971C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2.实施地点：</w:t>
      </w:r>
    </w:p>
    <w:p w14:paraId="02167EFF">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八、付款</w:t>
      </w:r>
    </w:p>
    <w:p w14:paraId="12E7419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付款方式：</w:t>
      </w:r>
    </w:p>
    <w:p w14:paraId="65D6BC47">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九、税费</w:t>
      </w:r>
    </w:p>
    <w:p w14:paraId="24106B9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本合同执行中相关的一切税费均由乙方负担。</w:t>
      </w:r>
    </w:p>
    <w:p w14:paraId="7CCC1735">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十、违约责任</w:t>
      </w:r>
    </w:p>
    <w:p w14:paraId="0E4640D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1.甲方无正当理由拒绝验收项目的，甲方向乙方偿付拒收合同总价的百分之五违约金。</w:t>
      </w:r>
    </w:p>
    <w:p w14:paraId="664B8AE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2.甲方无故逾期验收和办理合同款项支付手续的,甲方应按逾期付款总额每日万分之五向乙方支付违约金。</w:t>
      </w:r>
    </w:p>
    <w:p w14:paraId="4441C1C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0C7E84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4.乙方所履行的服务质量或服务数量不符合合同规定及采购文件规定的，甲方有权中止接受服务，单方面解除合同，且相关损失由乙方承担。</w:t>
      </w:r>
    </w:p>
    <w:p w14:paraId="58174DB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5.解除合同应按《</w:t>
      </w:r>
      <w:r>
        <w:rPr>
          <w:rFonts w:hint="eastAsia" w:ascii="仿宋" w:hAnsi="仿宋" w:eastAsia="仿宋" w:cs="仿宋"/>
          <w:color w:val="auto"/>
          <w:kern w:val="0"/>
          <w:sz w:val="24"/>
          <w:highlight w:val="none"/>
          <w:lang w:eastAsia="zh-CN"/>
        </w:rPr>
        <w:t>浙江省政府采购合同暂行办法</w:t>
      </w:r>
      <w:r>
        <w:rPr>
          <w:rFonts w:hint="eastAsia" w:ascii="仿宋" w:hAnsi="仿宋" w:eastAsia="仿宋" w:cs="仿宋"/>
          <w:color w:val="auto"/>
          <w:kern w:val="0"/>
          <w:sz w:val="24"/>
          <w:highlight w:val="none"/>
        </w:rPr>
        <w:t>》向财政备案。</w:t>
      </w:r>
    </w:p>
    <w:p w14:paraId="76DFA4EF">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val="en-US" w:eastAsia="zh-CN"/>
        </w:rPr>
        <w:t>一</w:t>
      </w:r>
      <w:r>
        <w:rPr>
          <w:rFonts w:hint="eastAsia" w:ascii="仿宋" w:hAnsi="仿宋" w:eastAsia="仿宋" w:cs="仿宋"/>
          <w:b/>
          <w:bCs/>
          <w:color w:val="auto"/>
          <w:kern w:val="0"/>
          <w:sz w:val="24"/>
          <w:highlight w:val="none"/>
        </w:rPr>
        <w:t>、不可抗力事件处理</w:t>
      </w:r>
    </w:p>
    <w:p w14:paraId="3E4FE46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1.在合同有效期内，任何一方因不可抗力事件导致不能履行合同，则合同履行期可延长，其延长期与不可抗力影响期相同。</w:t>
      </w:r>
    </w:p>
    <w:p w14:paraId="0B7378B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2.不可抗力事件发生后，应立即通知对方，并寄送有关权威机构出具的证明。</w:t>
      </w:r>
    </w:p>
    <w:p w14:paraId="22FF6E9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3.不可抗力事件延续120天以上，双方应通过友好协商，确定是否继续履行合同。</w:t>
      </w:r>
    </w:p>
    <w:p w14:paraId="625CF1E9">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val="en-US" w:eastAsia="zh-CN"/>
        </w:rPr>
        <w:t>二</w:t>
      </w:r>
      <w:r>
        <w:rPr>
          <w:rFonts w:hint="eastAsia" w:ascii="仿宋" w:hAnsi="仿宋" w:eastAsia="仿宋" w:cs="仿宋"/>
          <w:b/>
          <w:bCs/>
          <w:color w:val="auto"/>
          <w:kern w:val="0"/>
          <w:sz w:val="24"/>
          <w:highlight w:val="none"/>
        </w:rPr>
        <w:t>、诉讼</w:t>
      </w:r>
    </w:p>
    <w:p w14:paraId="7AF61FF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双方在执行合同中所发生的一切争议，应通过协商解决。如协商不成，可向甲方所在地法院起诉。</w:t>
      </w:r>
    </w:p>
    <w:p w14:paraId="75090390">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val="en-US" w:eastAsia="zh-CN"/>
        </w:rPr>
        <w:t>三</w:t>
      </w:r>
      <w:r>
        <w:rPr>
          <w:rFonts w:hint="eastAsia" w:ascii="仿宋" w:hAnsi="仿宋" w:eastAsia="仿宋" w:cs="仿宋"/>
          <w:b/>
          <w:bCs/>
          <w:color w:val="auto"/>
          <w:kern w:val="0"/>
          <w:sz w:val="24"/>
          <w:highlight w:val="none"/>
        </w:rPr>
        <w:t>、合同生效及其他</w:t>
      </w:r>
    </w:p>
    <w:p w14:paraId="3C15CD4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1.合同经甲、乙双方签名并加盖单位公章后生效。</w:t>
      </w:r>
    </w:p>
    <w:p w14:paraId="313721B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2.采购文件、投标文件与本合同具有同等法律效力。</w:t>
      </w:r>
    </w:p>
    <w:p w14:paraId="53265BC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3.本合同未尽事宜，遵照《中华人民共和国民法典》有关条文执行。</w:t>
      </w:r>
    </w:p>
    <w:p w14:paraId="20A97E4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4.本合同一式五份，具有同等法律效力，甲、乙双方各执二份，采购代理机构一份。</w:t>
      </w:r>
    </w:p>
    <w:p w14:paraId="219B7481">
      <w:pPr>
        <w:widowControl/>
        <w:snapToGrid w:val="0"/>
        <w:spacing w:line="480" w:lineRule="exact"/>
        <w:ind w:firstLine="480" w:firstLineChars="200"/>
        <w:rPr>
          <w:rFonts w:hint="eastAsia" w:ascii="仿宋" w:hAnsi="仿宋" w:eastAsia="仿宋" w:cs="仿宋"/>
          <w:color w:val="auto"/>
          <w:kern w:val="0"/>
          <w:sz w:val="24"/>
          <w:highlight w:val="none"/>
        </w:rPr>
      </w:pPr>
    </w:p>
    <w:p w14:paraId="793D2B6C">
      <w:pPr>
        <w:widowControl/>
        <w:snapToGrid w:val="0"/>
        <w:spacing w:line="480" w:lineRule="exact"/>
        <w:ind w:firstLine="480" w:firstLineChars="200"/>
        <w:rPr>
          <w:rFonts w:hint="eastAsia" w:ascii="仿宋" w:hAnsi="仿宋" w:eastAsia="仿宋" w:cs="仿宋"/>
          <w:color w:val="auto"/>
          <w:kern w:val="0"/>
          <w:sz w:val="24"/>
          <w:highlight w:val="none"/>
        </w:rPr>
      </w:pPr>
    </w:p>
    <w:p w14:paraId="4EA12911">
      <w:pPr>
        <w:widowControl/>
        <w:snapToGrid w:val="0"/>
        <w:spacing w:line="480" w:lineRule="exact"/>
        <w:ind w:firstLine="480" w:firstLineChars="200"/>
        <w:rPr>
          <w:rFonts w:hint="eastAsia" w:ascii="仿宋" w:hAnsi="仿宋" w:eastAsia="仿宋" w:cs="仿宋"/>
          <w:color w:val="auto"/>
          <w:kern w:val="0"/>
          <w:sz w:val="24"/>
          <w:highlight w:val="none"/>
        </w:rPr>
      </w:pPr>
    </w:p>
    <w:p w14:paraId="1AE7032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甲方（盖章）：                                   </w:t>
      </w:r>
    </w:p>
    <w:p w14:paraId="2388193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p w14:paraId="4F7F556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法定（授权）代表人：                   </w:t>
      </w:r>
    </w:p>
    <w:p w14:paraId="6B62561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签名日期：     年   月   日           </w:t>
      </w:r>
    </w:p>
    <w:p w14:paraId="49AD1D28">
      <w:pPr>
        <w:widowControl/>
        <w:snapToGrid w:val="0"/>
        <w:spacing w:line="480" w:lineRule="exact"/>
        <w:ind w:firstLine="480" w:firstLineChars="200"/>
        <w:rPr>
          <w:rFonts w:hint="eastAsia" w:ascii="仿宋" w:hAnsi="仿宋" w:eastAsia="仿宋" w:cs="仿宋"/>
          <w:color w:val="auto"/>
          <w:kern w:val="0"/>
          <w:sz w:val="24"/>
          <w:highlight w:val="none"/>
        </w:rPr>
      </w:pPr>
    </w:p>
    <w:p w14:paraId="6D94069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乙方（盖章）：</w:t>
      </w:r>
    </w:p>
    <w:p w14:paraId="167D02A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p w14:paraId="6539B48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开户行：</w:t>
      </w:r>
    </w:p>
    <w:p w14:paraId="0E28516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开户账号：</w:t>
      </w:r>
    </w:p>
    <w:p w14:paraId="7D188F0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法定（授权）代表人：</w:t>
      </w:r>
    </w:p>
    <w:p w14:paraId="229432E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签名日期：      年   月   日</w:t>
      </w:r>
    </w:p>
    <w:p w14:paraId="62624D0F">
      <w:pPr>
        <w:widowControl/>
        <w:snapToGrid w:val="0"/>
        <w:spacing w:line="480" w:lineRule="exact"/>
        <w:ind w:firstLine="480" w:firstLineChars="200"/>
        <w:rPr>
          <w:rFonts w:hint="eastAsia" w:ascii="仿宋" w:hAnsi="仿宋" w:eastAsia="仿宋" w:cs="仿宋"/>
          <w:color w:val="auto"/>
          <w:kern w:val="0"/>
          <w:sz w:val="24"/>
          <w:highlight w:val="none"/>
        </w:rPr>
      </w:pPr>
    </w:p>
    <w:p w14:paraId="1B5D018F">
      <w:pPr>
        <w:snapToGrid w:val="0"/>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第六部分</w:t>
      </w:r>
      <w:bookmarkEnd w:id="429"/>
      <w:r>
        <w:rPr>
          <w:rFonts w:hint="eastAsia" w:ascii="仿宋" w:hAnsi="仿宋" w:eastAsia="仿宋" w:cs="仿宋"/>
          <w:b/>
          <w:color w:val="auto"/>
          <w:sz w:val="36"/>
          <w:szCs w:val="20"/>
          <w:highlight w:val="none"/>
        </w:rPr>
        <w:t xml:space="preserve"> </w:t>
      </w:r>
      <w:bookmarkEnd w:id="430"/>
      <w:r>
        <w:rPr>
          <w:rFonts w:hint="eastAsia" w:ascii="仿宋" w:hAnsi="仿宋" w:eastAsia="仿宋" w:cs="仿宋"/>
          <w:b/>
          <w:color w:val="auto"/>
          <w:sz w:val="36"/>
          <w:szCs w:val="20"/>
          <w:highlight w:val="none"/>
        </w:rPr>
        <w:t>应提交的有关格式范例</w:t>
      </w:r>
    </w:p>
    <w:p w14:paraId="1F760B95">
      <w:pPr>
        <w:spacing w:line="360" w:lineRule="auto"/>
        <w:jc w:val="center"/>
        <w:outlineLvl w:val="0"/>
        <w:rPr>
          <w:rFonts w:hint="eastAsia" w:ascii="仿宋" w:hAnsi="仿宋" w:eastAsia="仿宋" w:cs="仿宋"/>
          <w:color w:val="auto"/>
          <w:sz w:val="36"/>
          <w:szCs w:val="36"/>
          <w:highlight w:val="none"/>
          <w:lang w:val="zh-CN"/>
        </w:rPr>
      </w:pPr>
    </w:p>
    <w:p w14:paraId="74298F9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DF38A6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EB68AD7">
      <w:pPr>
        <w:spacing w:line="360" w:lineRule="auto"/>
        <w:jc w:val="center"/>
        <w:outlineLvl w:val="0"/>
        <w:rPr>
          <w:rFonts w:hint="eastAsia" w:ascii="仿宋" w:hAnsi="仿宋" w:eastAsia="仿宋" w:cs="仿宋"/>
          <w:b/>
          <w:color w:val="auto"/>
          <w:kern w:val="0"/>
          <w:sz w:val="36"/>
          <w:szCs w:val="36"/>
          <w:highlight w:val="none"/>
        </w:rPr>
      </w:pPr>
    </w:p>
    <w:p w14:paraId="4DD11757">
      <w:pPr>
        <w:spacing w:line="360" w:lineRule="auto"/>
        <w:ind w:firstLine="600" w:firstLine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(1）营业执照(或事业法人登记证或其他工商等登记证明材料)复印件（投标人为自然人的，须提供自然人的身份证明）……………………………………………（页码）</w:t>
      </w:r>
    </w:p>
    <w:p w14:paraId="3DC11CBC">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（2）投标声明函 ………………………………………………………………（页码）</w:t>
      </w:r>
    </w:p>
    <w:p w14:paraId="7906DED4">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）法定代表人授权委托书 …………………………………………………（页码）</w:t>
      </w:r>
    </w:p>
    <w:p w14:paraId="478359D0">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）法定代表人及其授权代表的身份证（复印件） ………………………（页码）</w:t>
      </w:r>
    </w:p>
    <w:p w14:paraId="1C309CC3">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5</w:t>
      </w:r>
      <w:r>
        <w:rPr>
          <w:rFonts w:hint="eastAsia" w:ascii="仿宋" w:hAnsi="仿宋" w:eastAsia="仿宋" w:cs="仿宋_GB2312"/>
          <w:color w:val="000000"/>
          <w:kern w:val="0"/>
          <w:sz w:val="24"/>
        </w:rPr>
        <w:t>）符合特定资格条件（如果项目要求）的有关证明材料（复印件）……（页码）</w:t>
      </w:r>
    </w:p>
    <w:p w14:paraId="6FFA9B6B">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6</w:t>
      </w:r>
      <w:r>
        <w:rPr>
          <w:rFonts w:hint="eastAsia" w:ascii="仿宋" w:hAnsi="仿宋" w:eastAsia="仿宋" w:cs="仿宋_GB2312"/>
          <w:color w:val="000000"/>
          <w:kern w:val="0"/>
          <w:sz w:val="24"/>
        </w:rPr>
        <w:t>）中小企业声明函（如有）………………………………………………（页码）</w:t>
      </w:r>
    </w:p>
    <w:p w14:paraId="51EE0C0A">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w:t>
      </w:r>
      <w:r>
        <w:rPr>
          <w:rFonts w:hint="eastAsia" w:ascii="仿宋" w:hAnsi="仿宋" w:eastAsia="仿宋" w:cs="仿宋_GB2312"/>
          <w:color w:val="000000"/>
          <w:kern w:val="0"/>
          <w:sz w:val="24"/>
          <w:lang w:val="en-US" w:eastAsia="zh-CN"/>
        </w:rPr>
        <w:t>7</w:t>
      </w:r>
      <w:r>
        <w:rPr>
          <w:rFonts w:hint="eastAsia" w:ascii="仿宋" w:hAnsi="仿宋" w:eastAsia="仿宋" w:cs="仿宋_GB2312"/>
          <w:color w:val="000000"/>
          <w:kern w:val="0"/>
          <w:sz w:val="24"/>
        </w:rPr>
        <w:t>）残疾人福利性单位声明函（如有）……………………………………（页码）</w:t>
      </w:r>
    </w:p>
    <w:p w14:paraId="69834F31">
      <w:pPr>
        <w:snapToGrid w:val="0"/>
        <w:spacing w:line="360" w:lineRule="auto"/>
        <w:rPr>
          <w:rFonts w:hint="eastAsia" w:ascii="仿宋" w:hAnsi="仿宋" w:eastAsia="仿宋" w:cs="仿宋"/>
          <w:color w:val="auto"/>
          <w:sz w:val="24"/>
          <w:highlight w:val="none"/>
        </w:rPr>
      </w:pPr>
    </w:p>
    <w:p w14:paraId="40AFCE1E">
      <w:pPr>
        <w:snapToGrid w:val="0"/>
        <w:spacing w:line="360" w:lineRule="auto"/>
        <w:ind w:firstLine="3240" w:firstLineChars="900"/>
        <w:rPr>
          <w:rFonts w:hint="eastAsia" w:ascii="仿宋" w:hAnsi="仿宋" w:eastAsia="仿宋" w:cs="仿宋"/>
          <w:color w:val="auto"/>
          <w:sz w:val="36"/>
          <w:szCs w:val="36"/>
          <w:highlight w:val="none"/>
        </w:rPr>
      </w:pPr>
    </w:p>
    <w:p w14:paraId="773DD23C">
      <w:pPr>
        <w:snapToGrid w:val="0"/>
        <w:spacing w:line="360" w:lineRule="auto"/>
        <w:rPr>
          <w:rFonts w:hint="eastAsia" w:ascii="仿宋" w:hAnsi="仿宋" w:eastAsia="仿宋" w:cs="仿宋"/>
          <w:color w:val="auto"/>
          <w:sz w:val="36"/>
          <w:szCs w:val="36"/>
          <w:highlight w:val="none"/>
        </w:rPr>
      </w:pPr>
    </w:p>
    <w:p w14:paraId="22118944">
      <w:pPr>
        <w:snapToGrid w:val="0"/>
        <w:spacing w:line="360" w:lineRule="auto"/>
        <w:jc w:val="center"/>
        <w:outlineLvl w:val="0"/>
        <w:rPr>
          <w:rFonts w:hint="eastAsia"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一、营业执照(或事业法人登记证或其他工商等登记证明材料)复印件（投标人为自然人的，须提供自然人的身份证明）</w:t>
      </w:r>
    </w:p>
    <w:p w14:paraId="26CE20E1">
      <w:pPr>
        <w:spacing w:line="360" w:lineRule="auto"/>
        <w:rPr>
          <w:rFonts w:hint="eastAsia" w:ascii="仿宋" w:hAnsi="仿宋" w:eastAsia="仿宋" w:cs="仿宋"/>
          <w:b/>
          <w:color w:val="auto"/>
          <w:sz w:val="30"/>
          <w:szCs w:val="30"/>
          <w:highlight w:val="none"/>
        </w:rPr>
      </w:pPr>
    </w:p>
    <w:p w14:paraId="71BF3C08">
      <w:pPr>
        <w:spacing w:line="360" w:lineRule="auto"/>
        <w:rPr>
          <w:rFonts w:hint="eastAsia" w:ascii="仿宋" w:hAnsi="仿宋" w:eastAsia="仿宋" w:cs="仿宋"/>
          <w:b/>
          <w:color w:val="auto"/>
          <w:sz w:val="30"/>
          <w:szCs w:val="30"/>
          <w:highlight w:val="none"/>
        </w:rPr>
      </w:pPr>
    </w:p>
    <w:p w14:paraId="09B9B8DB">
      <w:pPr>
        <w:spacing w:line="360" w:lineRule="auto"/>
        <w:rPr>
          <w:rFonts w:hint="eastAsia" w:ascii="仿宋" w:hAnsi="仿宋" w:eastAsia="仿宋" w:cs="仿宋"/>
          <w:b/>
          <w:color w:val="auto"/>
          <w:sz w:val="30"/>
          <w:szCs w:val="30"/>
          <w:highlight w:val="none"/>
        </w:rPr>
      </w:pPr>
    </w:p>
    <w:p w14:paraId="4F0EE628">
      <w:pPr>
        <w:spacing w:line="360" w:lineRule="auto"/>
        <w:rPr>
          <w:rFonts w:hint="eastAsia" w:ascii="仿宋" w:hAnsi="仿宋" w:eastAsia="仿宋" w:cs="仿宋"/>
          <w:b/>
          <w:color w:val="auto"/>
          <w:sz w:val="30"/>
          <w:szCs w:val="30"/>
          <w:highlight w:val="none"/>
        </w:rPr>
      </w:pPr>
    </w:p>
    <w:p w14:paraId="274110B1">
      <w:pPr>
        <w:spacing w:line="360" w:lineRule="auto"/>
        <w:rPr>
          <w:rFonts w:hint="eastAsia" w:ascii="仿宋" w:hAnsi="仿宋" w:eastAsia="仿宋" w:cs="仿宋"/>
          <w:b/>
          <w:color w:val="auto"/>
          <w:sz w:val="30"/>
          <w:szCs w:val="30"/>
          <w:highlight w:val="none"/>
        </w:rPr>
      </w:pPr>
    </w:p>
    <w:p w14:paraId="13BC2C83">
      <w:pPr>
        <w:spacing w:line="360" w:lineRule="auto"/>
        <w:rPr>
          <w:rFonts w:hint="eastAsia" w:ascii="仿宋" w:hAnsi="仿宋" w:eastAsia="仿宋" w:cs="仿宋"/>
          <w:b/>
          <w:color w:val="auto"/>
          <w:sz w:val="30"/>
          <w:szCs w:val="30"/>
          <w:highlight w:val="none"/>
        </w:rPr>
      </w:pPr>
    </w:p>
    <w:p w14:paraId="745C3169">
      <w:pPr>
        <w:spacing w:line="360" w:lineRule="auto"/>
        <w:rPr>
          <w:rFonts w:hint="eastAsia" w:ascii="仿宋" w:hAnsi="仿宋" w:eastAsia="仿宋" w:cs="仿宋"/>
          <w:b/>
          <w:color w:val="auto"/>
          <w:sz w:val="30"/>
          <w:szCs w:val="30"/>
          <w:highlight w:val="none"/>
        </w:rPr>
      </w:pPr>
    </w:p>
    <w:p w14:paraId="10C32C4D">
      <w:pPr>
        <w:spacing w:line="360" w:lineRule="auto"/>
        <w:rPr>
          <w:rFonts w:hint="eastAsia" w:ascii="仿宋" w:hAnsi="仿宋" w:eastAsia="仿宋" w:cs="仿宋"/>
          <w:b/>
          <w:color w:val="auto"/>
          <w:sz w:val="30"/>
          <w:szCs w:val="30"/>
          <w:highlight w:val="none"/>
        </w:rPr>
      </w:pPr>
    </w:p>
    <w:p w14:paraId="6E7FCAE9">
      <w:pPr>
        <w:spacing w:line="360" w:lineRule="auto"/>
        <w:rPr>
          <w:rFonts w:hint="eastAsia" w:ascii="仿宋" w:hAnsi="仿宋" w:eastAsia="仿宋" w:cs="仿宋"/>
          <w:b/>
          <w:color w:val="auto"/>
          <w:sz w:val="30"/>
          <w:szCs w:val="30"/>
          <w:highlight w:val="none"/>
        </w:rPr>
      </w:pPr>
    </w:p>
    <w:p w14:paraId="07DDEDC1">
      <w:pPr>
        <w:spacing w:line="360" w:lineRule="auto"/>
        <w:rPr>
          <w:rFonts w:hint="eastAsia" w:ascii="仿宋" w:hAnsi="仿宋" w:eastAsia="仿宋" w:cs="仿宋"/>
          <w:b/>
          <w:color w:val="auto"/>
          <w:sz w:val="30"/>
          <w:szCs w:val="30"/>
          <w:highlight w:val="none"/>
        </w:rPr>
      </w:pPr>
    </w:p>
    <w:p w14:paraId="6B0E9903">
      <w:pPr>
        <w:spacing w:line="360" w:lineRule="auto"/>
        <w:rPr>
          <w:rFonts w:hint="eastAsia" w:ascii="仿宋" w:hAnsi="仿宋" w:eastAsia="仿宋" w:cs="仿宋"/>
          <w:b/>
          <w:color w:val="auto"/>
          <w:sz w:val="30"/>
          <w:szCs w:val="30"/>
          <w:highlight w:val="none"/>
        </w:rPr>
      </w:pPr>
    </w:p>
    <w:p w14:paraId="6D0D2DF6">
      <w:pPr>
        <w:spacing w:line="360" w:lineRule="auto"/>
        <w:rPr>
          <w:rFonts w:hint="eastAsia" w:ascii="仿宋" w:hAnsi="仿宋" w:eastAsia="仿宋" w:cs="仿宋"/>
          <w:b/>
          <w:color w:val="auto"/>
          <w:sz w:val="30"/>
          <w:szCs w:val="30"/>
          <w:highlight w:val="none"/>
        </w:rPr>
      </w:pPr>
    </w:p>
    <w:p w14:paraId="005A200B">
      <w:pPr>
        <w:spacing w:line="360" w:lineRule="auto"/>
        <w:rPr>
          <w:rFonts w:hint="eastAsia" w:ascii="仿宋" w:hAnsi="仿宋" w:eastAsia="仿宋" w:cs="仿宋"/>
          <w:b/>
          <w:color w:val="auto"/>
          <w:sz w:val="30"/>
          <w:szCs w:val="30"/>
          <w:highlight w:val="none"/>
        </w:rPr>
      </w:pPr>
    </w:p>
    <w:p w14:paraId="5B2B1621">
      <w:pPr>
        <w:spacing w:line="360" w:lineRule="auto"/>
        <w:rPr>
          <w:rFonts w:hint="eastAsia" w:ascii="仿宋" w:hAnsi="仿宋" w:eastAsia="仿宋" w:cs="仿宋"/>
          <w:b/>
          <w:color w:val="auto"/>
          <w:sz w:val="30"/>
          <w:szCs w:val="30"/>
          <w:highlight w:val="none"/>
        </w:rPr>
      </w:pPr>
    </w:p>
    <w:p w14:paraId="3DC3635D">
      <w:pPr>
        <w:spacing w:line="360" w:lineRule="auto"/>
        <w:rPr>
          <w:rFonts w:hint="eastAsia" w:ascii="仿宋" w:hAnsi="仿宋" w:eastAsia="仿宋" w:cs="仿宋"/>
          <w:b/>
          <w:color w:val="auto"/>
          <w:sz w:val="30"/>
          <w:szCs w:val="30"/>
          <w:highlight w:val="none"/>
        </w:rPr>
      </w:pPr>
    </w:p>
    <w:p w14:paraId="0D725969">
      <w:pPr>
        <w:spacing w:line="360" w:lineRule="auto"/>
        <w:rPr>
          <w:rFonts w:hint="eastAsia" w:ascii="仿宋" w:hAnsi="仿宋" w:eastAsia="仿宋" w:cs="仿宋"/>
          <w:b/>
          <w:color w:val="auto"/>
          <w:sz w:val="30"/>
          <w:szCs w:val="30"/>
          <w:highlight w:val="none"/>
        </w:rPr>
      </w:pPr>
    </w:p>
    <w:p w14:paraId="53C69AFA">
      <w:pPr>
        <w:spacing w:line="360" w:lineRule="auto"/>
        <w:rPr>
          <w:rFonts w:hint="eastAsia" w:ascii="仿宋" w:hAnsi="仿宋" w:eastAsia="仿宋" w:cs="仿宋"/>
          <w:b/>
          <w:color w:val="auto"/>
          <w:sz w:val="30"/>
          <w:szCs w:val="30"/>
          <w:highlight w:val="none"/>
        </w:rPr>
      </w:pPr>
    </w:p>
    <w:p w14:paraId="0258693F">
      <w:pPr>
        <w:spacing w:line="360" w:lineRule="auto"/>
        <w:rPr>
          <w:rFonts w:hint="eastAsia" w:ascii="仿宋" w:hAnsi="仿宋" w:eastAsia="仿宋" w:cs="仿宋"/>
          <w:b/>
          <w:color w:val="auto"/>
          <w:sz w:val="30"/>
          <w:szCs w:val="30"/>
          <w:highlight w:val="none"/>
        </w:rPr>
      </w:pPr>
    </w:p>
    <w:p w14:paraId="16A59EE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kern w:val="0"/>
          <w:sz w:val="32"/>
          <w:szCs w:val="32"/>
          <w:highlight w:val="none"/>
        </w:rPr>
        <w:t>二、投标声明</w:t>
      </w:r>
      <w:r>
        <w:rPr>
          <w:rFonts w:hint="eastAsia" w:ascii="仿宋" w:hAnsi="仿宋" w:eastAsia="仿宋" w:cs="仿宋"/>
          <w:b/>
          <w:color w:val="auto"/>
          <w:sz w:val="32"/>
          <w:szCs w:val="32"/>
          <w:highlight w:val="none"/>
        </w:rPr>
        <w:t>函</w:t>
      </w:r>
    </w:p>
    <w:p w14:paraId="221F19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（采购单位或采购代理机构名称）</w:t>
      </w:r>
      <w:r>
        <w:rPr>
          <w:rFonts w:hint="eastAsia" w:ascii="仿宋" w:hAnsi="仿宋" w:eastAsia="仿宋" w:cs="仿宋"/>
          <w:color w:val="auto"/>
          <w:sz w:val="24"/>
          <w:highlight w:val="none"/>
        </w:rPr>
        <w:t>：</w:t>
      </w:r>
    </w:p>
    <w:p w14:paraId="27891A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u w:val="single"/>
        </w:rPr>
        <w:t>（投标人或联合体牵头人全称）</w:t>
      </w:r>
      <w:r>
        <w:rPr>
          <w:rFonts w:hint="eastAsia" w:ascii="仿宋" w:hAnsi="仿宋" w:eastAsia="仿宋" w:cs="仿宋"/>
          <w:color w:val="auto"/>
          <w:sz w:val="24"/>
          <w:highlight w:val="none"/>
        </w:rPr>
        <w:t>愿意参加贵方组织的</w:t>
      </w:r>
      <w:r>
        <w:rPr>
          <w:rFonts w:hint="eastAsia" w:ascii="仿宋" w:hAnsi="仿宋" w:eastAsia="仿宋" w:cs="仿宋"/>
          <w:color w:val="auto"/>
          <w:sz w:val="24"/>
          <w:highlight w:val="none"/>
          <w:u w:val="single"/>
        </w:rPr>
        <w:t>（招标项目名称及编号）</w:t>
      </w:r>
      <w:r>
        <w:rPr>
          <w:rFonts w:hint="eastAsia" w:ascii="仿宋" w:hAnsi="仿宋" w:eastAsia="仿宋" w:cs="仿宋"/>
          <w:color w:val="auto"/>
          <w:sz w:val="24"/>
          <w:highlight w:val="none"/>
        </w:rPr>
        <w:t>的投标，为此，我方就本次投标有关事项郑重声明如下：</w:t>
      </w:r>
    </w:p>
    <w:p w14:paraId="44438B3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1、我方承诺已经具备《中华人民共和国政府采购法》中规定的参加政府采购活动的供应商应当具备的条件。</w:t>
      </w:r>
    </w:p>
    <w:p w14:paraId="4B6D6E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14:paraId="1A8D23E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3、不存在以下情况：</w:t>
      </w:r>
    </w:p>
    <w:p w14:paraId="132FA78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57CC1A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4F45A62">
      <w:pPr>
        <w:snapToGrid w:val="0"/>
        <w:spacing w:line="360" w:lineRule="auto"/>
        <w:ind w:firstLine="480" w:firstLineChars="200"/>
        <w:rPr>
          <w:rFonts w:hint="eastAsia" w:ascii="仿宋" w:hAnsi="仿宋" w:eastAsia="仿宋" w:cs="仿宋"/>
          <w:color w:val="auto"/>
          <w:sz w:val="24"/>
          <w:highlight w:val="none"/>
        </w:rPr>
      </w:pPr>
    </w:p>
    <w:p w14:paraId="5CB7BD49">
      <w:pPr>
        <w:snapToGrid w:val="0"/>
        <w:spacing w:line="360" w:lineRule="auto"/>
        <w:ind w:firstLine="480" w:firstLineChars="200"/>
        <w:rPr>
          <w:rFonts w:hint="eastAsia" w:ascii="仿宋" w:hAnsi="仿宋" w:eastAsia="仿宋" w:cs="仿宋"/>
          <w:color w:val="auto"/>
          <w:sz w:val="24"/>
          <w:highlight w:val="none"/>
        </w:rPr>
      </w:pPr>
    </w:p>
    <w:p w14:paraId="516227EB">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联系人：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传真号码：</w:t>
      </w:r>
      <w:r>
        <w:rPr>
          <w:rFonts w:hint="eastAsia" w:ascii="仿宋" w:hAnsi="仿宋" w:eastAsia="仿宋" w:cs="仿宋"/>
          <w:color w:val="auto"/>
          <w:kern w:val="0"/>
          <w:sz w:val="24"/>
          <w:highlight w:val="none"/>
          <w:u w:val="single"/>
          <w:lang w:val="zh-CN"/>
        </w:rPr>
        <w:t xml:space="preserve">            </w:t>
      </w:r>
    </w:p>
    <w:p w14:paraId="2BF0231B">
      <w:pPr>
        <w:snapToGrid w:val="0"/>
        <w:spacing w:line="360" w:lineRule="auto"/>
        <w:ind w:left="420" w:left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联系地址：</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邮政编码：</w:t>
      </w:r>
      <w:r>
        <w:rPr>
          <w:rFonts w:hint="eastAsia" w:ascii="仿宋" w:hAnsi="仿宋" w:eastAsia="仿宋" w:cs="仿宋"/>
          <w:color w:val="auto"/>
          <w:kern w:val="0"/>
          <w:sz w:val="24"/>
          <w:highlight w:val="none"/>
          <w:u w:val="single"/>
          <w:lang w:val="zh-CN"/>
        </w:rPr>
        <w:t xml:space="preserve">                     </w:t>
      </w:r>
    </w:p>
    <w:p w14:paraId="72ABF2E5">
      <w:pPr>
        <w:snapToGrid w:val="0"/>
        <w:spacing w:line="360" w:lineRule="auto"/>
        <w:ind w:firstLine="5040" w:firstLineChars="2100"/>
        <w:rPr>
          <w:rFonts w:hint="eastAsia" w:ascii="仿宋" w:hAnsi="仿宋" w:eastAsia="仿宋" w:cs="仿宋"/>
          <w:color w:val="auto"/>
          <w:kern w:val="0"/>
          <w:sz w:val="24"/>
          <w:highlight w:val="none"/>
          <w:lang w:val="zh-CN"/>
        </w:rPr>
      </w:pPr>
    </w:p>
    <w:p w14:paraId="377DACE7">
      <w:pPr>
        <w:snapToGrid w:val="0"/>
        <w:spacing w:line="360" w:lineRule="auto"/>
        <w:ind w:firstLine="5040" w:firstLineChars="2100"/>
        <w:rPr>
          <w:rFonts w:hint="eastAsia" w:ascii="仿宋" w:hAnsi="仿宋" w:eastAsia="仿宋" w:cs="仿宋"/>
          <w:color w:val="auto"/>
          <w:kern w:val="0"/>
          <w:sz w:val="24"/>
          <w:highlight w:val="none"/>
          <w:lang w:val="zh-CN"/>
        </w:rPr>
      </w:pPr>
    </w:p>
    <w:p w14:paraId="441874F0">
      <w:pPr>
        <w:snapToGrid w:val="0"/>
        <w:spacing w:line="360" w:lineRule="auto"/>
        <w:ind w:firstLine="5040" w:firstLineChars="2100"/>
        <w:rPr>
          <w:rFonts w:hint="eastAsia" w:ascii="仿宋" w:hAnsi="仿宋" w:eastAsia="仿宋" w:cs="仿宋"/>
          <w:color w:val="auto"/>
          <w:kern w:val="0"/>
          <w:sz w:val="24"/>
          <w:highlight w:val="none"/>
          <w:lang w:val="zh-CN"/>
        </w:rPr>
      </w:pPr>
    </w:p>
    <w:p w14:paraId="7E97DA0E">
      <w:pPr>
        <w:snapToGrid w:val="0"/>
        <w:spacing w:line="360" w:lineRule="auto"/>
        <w:ind w:firstLine="5040" w:firstLineChars="2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ED08DA4">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7CEB116">
      <w:pPr>
        <w:snapToGrid w:val="0"/>
        <w:spacing w:line="360" w:lineRule="auto"/>
        <w:jc w:val="center"/>
        <w:outlineLvl w:val="0"/>
        <w:rPr>
          <w:rFonts w:hint="eastAsia" w:ascii="仿宋" w:hAnsi="仿宋" w:eastAsia="仿宋" w:cs="仿宋"/>
          <w:b/>
          <w:color w:val="auto"/>
          <w:kern w:val="0"/>
          <w:sz w:val="24"/>
          <w:highlight w:val="none"/>
          <w:lang w:val="zh-CN"/>
        </w:rPr>
      </w:pPr>
    </w:p>
    <w:p w14:paraId="36011D18">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24"/>
          <w:highlight w:val="none"/>
          <w:lang w:val="zh-CN"/>
        </w:rPr>
        <w:br w:type="page"/>
      </w: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、法定代表人授权委托书</w:t>
      </w:r>
    </w:p>
    <w:p w14:paraId="0752B5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（采购单位或采购代理机构名称）</w:t>
      </w:r>
      <w:r>
        <w:rPr>
          <w:rFonts w:hint="eastAsia" w:ascii="仿宋" w:hAnsi="仿宋" w:eastAsia="仿宋" w:cs="仿宋"/>
          <w:color w:val="auto"/>
          <w:sz w:val="24"/>
          <w:highlight w:val="none"/>
        </w:rPr>
        <w:t>：</w:t>
      </w:r>
    </w:p>
    <w:p w14:paraId="76E850C4">
      <w:pPr>
        <w:snapToGrid w:val="0"/>
        <w:spacing w:line="360" w:lineRule="auto"/>
        <w:ind w:firstLine="576"/>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（姓名及身份证号码）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（投标人或联合体牵头人全称） </w:t>
      </w:r>
      <w:r>
        <w:rPr>
          <w:rFonts w:hint="eastAsia" w:ascii="仿宋" w:hAnsi="仿宋" w:eastAsia="仿宋" w:cs="仿宋"/>
          <w:color w:val="auto"/>
          <w:sz w:val="24"/>
          <w:highlight w:val="none"/>
        </w:rPr>
        <w:t>的法定代表人，，现授权委托本单位在职职工</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u w:val="single"/>
        </w:rPr>
        <w:t>（姓名）</w:t>
      </w:r>
      <w:r>
        <w:rPr>
          <w:rFonts w:hint="eastAsia" w:ascii="仿宋" w:hAnsi="仿宋" w:eastAsia="仿宋" w:cs="仿宋"/>
          <w:color w:val="auto"/>
          <w:kern w:val="0"/>
          <w:sz w:val="24"/>
          <w:highlight w:val="none"/>
          <w:lang w:val="zh-CN"/>
        </w:rPr>
        <w:t>(其身份证号码：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)，以我方的名义参加</w:t>
      </w:r>
      <w:r>
        <w:rPr>
          <w:rFonts w:hint="eastAsia" w:ascii="仿宋" w:hAnsi="仿宋" w:eastAsia="仿宋" w:cs="仿宋"/>
          <w:color w:val="auto"/>
          <w:sz w:val="24"/>
          <w:highlight w:val="none"/>
          <w:u w:val="single"/>
        </w:rPr>
        <w:t>（招标项目名称及编号）</w:t>
      </w:r>
      <w:r>
        <w:rPr>
          <w:rFonts w:hint="eastAsia" w:ascii="仿宋" w:hAnsi="仿宋" w:eastAsia="仿宋" w:cs="仿宋"/>
          <w:color w:val="auto"/>
          <w:kern w:val="0"/>
          <w:sz w:val="24"/>
          <w:highlight w:val="none"/>
          <w:lang w:val="zh-CN"/>
        </w:rPr>
        <w:t>的投标活动，并代表我方全权办理针对上述项目投标、开标、评标、签约等具体事务和签署相关文件。我方对授权代表的签名事项负全部责任。</w:t>
      </w:r>
    </w:p>
    <w:p w14:paraId="74FFB57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在撤销授权的书面通知以前，本授权书一直有效。全权代表在授权书有效期内签署的所有文件不因授权的撤销而失效。</w:t>
      </w:r>
    </w:p>
    <w:p w14:paraId="16E341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授权代表无转委托权。特此委托</w:t>
      </w:r>
    </w:p>
    <w:p w14:paraId="22F2F8BC">
      <w:pPr>
        <w:snapToGrid w:val="0"/>
        <w:spacing w:line="360" w:lineRule="auto"/>
        <w:ind w:firstLine="5040" w:firstLineChars="2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7EC0213">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058DBEC">
      <w:pPr>
        <w:snapToGrid w:val="0"/>
        <w:spacing w:line="360" w:lineRule="auto"/>
        <w:ind w:firstLine="5160" w:firstLineChars="2150"/>
        <w:rPr>
          <w:rFonts w:hint="eastAsia" w:ascii="仿宋" w:hAnsi="仿宋" w:eastAsia="仿宋" w:cs="仿宋"/>
          <w:color w:val="auto"/>
          <w:kern w:val="0"/>
          <w:sz w:val="24"/>
          <w:highlight w:val="none"/>
          <w:lang w:val="zh-CN"/>
        </w:rPr>
      </w:pPr>
    </w:p>
    <w:p w14:paraId="3075D892">
      <w:pPr>
        <w:spacing w:line="360" w:lineRule="auto"/>
        <w:jc w:val="center"/>
        <w:rPr>
          <w:rFonts w:hint="eastAsia" w:ascii="仿宋" w:hAnsi="仿宋" w:eastAsia="仿宋" w:cs="仿宋"/>
          <w:b/>
          <w:color w:val="auto"/>
          <w:sz w:val="32"/>
          <w:szCs w:val="32"/>
          <w:highlight w:val="none"/>
        </w:rPr>
      </w:pPr>
    </w:p>
    <w:p w14:paraId="3486227C">
      <w:pPr>
        <w:spacing w:line="360" w:lineRule="auto"/>
        <w:jc w:val="center"/>
        <w:rPr>
          <w:rFonts w:hint="eastAsia" w:ascii="仿宋" w:hAnsi="仿宋" w:eastAsia="仿宋" w:cs="仿宋"/>
          <w:b/>
          <w:color w:val="auto"/>
          <w:sz w:val="32"/>
          <w:szCs w:val="32"/>
          <w:highlight w:val="none"/>
        </w:rPr>
      </w:pPr>
    </w:p>
    <w:p w14:paraId="2FE3706B">
      <w:pPr>
        <w:spacing w:line="360" w:lineRule="auto"/>
        <w:jc w:val="center"/>
        <w:rPr>
          <w:rFonts w:hint="eastAsia" w:ascii="仿宋" w:hAnsi="仿宋" w:eastAsia="仿宋" w:cs="仿宋"/>
          <w:b/>
          <w:color w:val="auto"/>
          <w:sz w:val="32"/>
          <w:szCs w:val="32"/>
          <w:highlight w:val="none"/>
        </w:rPr>
      </w:pPr>
    </w:p>
    <w:p w14:paraId="6A30E61F">
      <w:pPr>
        <w:spacing w:line="360" w:lineRule="auto"/>
        <w:jc w:val="center"/>
        <w:rPr>
          <w:rFonts w:hint="eastAsia" w:ascii="仿宋" w:hAnsi="仿宋" w:eastAsia="仿宋" w:cs="仿宋"/>
          <w:b/>
          <w:color w:val="auto"/>
          <w:sz w:val="32"/>
          <w:szCs w:val="32"/>
          <w:highlight w:val="none"/>
        </w:rPr>
      </w:pPr>
    </w:p>
    <w:p w14:paraId="54561852">
      <w:pPr>
        <w:spacing w:line="360" w:lineRule="auto"/>
        <w:jc w:val="center"/>
        <w:rPr>
          <w:rFonts w:hint="eastAsia" w:ascii="仿宋" w:hAnsi="仿宋" w:eastAsia="仿宋" w:cs="仿宋"/>
          <w:b/>
          <w:color w:val="auto"/>
          <w:sz w:val="32"/>
          <w:szCs w:val="32"/>
          <w:highlight w:val="none"/>
        </w:rPr>
      </w:pPr>
    </w:p>
    <w:p w14:paraId="071375F3">
      <w:pPr>
        <w:spacing w:line="360" w:lineRule="auto"/>
        <w:jc w:val="center"/>
        <w:rPr>
          <w:rFonts w:hint="eastAsia" w:ascii="仿宋" w:hAnsi="仿宋" w:eastAsia="仿宋" w:cs="仿宋"/>
          <w:b/>
          <w:color w:val="auto"/>
          <w:sz w:val="32"/>
          <w:szCs w:val="32"/>
          <w:highlight w:val="none"/>
        </w:rPr>
      </w:pPr>
    </w:p>
    <w:p w14:paraId="65B30158">
      <w:pPr>
        <w:spacing w:line="360" w:lineRule="auto"/>
        <w:jc w:val="center"/>
        <w:rPr>
          <w:rFonts w:hint="eastAsia" w:ascii="仿宋" w:hAnsi="仿宋" w:eastAsia="仿宋" w:cs="仿宋"/>
          <w:b/>
          <w:color w:val="auto"/>
          <w:sz w:val="32"/>
          <w:szCs w:val="32"/>
          <w:highlight w:val="none"/>
        </w:rPr>
      </w:pPr>
    </w:p>
    <w:p w14:paraId="5651206E">
      <w:pPr>
        <w:spacing w:line="360" w:lineRule="auto"/>
        <w:jc w:val="center"/>
        <w:rPr>
          <w:rFonts w:hint="eastAsia" w:ascii="仿宋" w:hAnsi="仿宋" w:eastAsia="仿宋" w:cs="仿宋"/>
          <w:b/>
          <w:color w:val="auto"/>
          <w:sz w:val="32"/>
          <w:szCs w:val="32"/>
          <w:highlight w:val="none"/>
        </w:rPr>
      </w:pPr>
    </w:p>
    <w:p w14:paraId="0FE42C52">
      <w:pPr>
        <w:spacing w:line="360" w:lineRule="auto"/>
        <w:jc w:val="center"/>
        <w:rPr>
          <w:rFonts w:hint="eastAsia" w:ascii="仿宋" w:hAnsi="仿宋" w:eastAsia="仿宋" w:cs="仿宋"/>
          <w:b/>
          <w:color w:val="auto"/>
          <w:sz w:val="32"/>
          <w:szCs w:val="32"/>
          <w:highlight w:val="none"/>
        </w:rPr>
      </w:pPr>
    </w:p>
    <w:p w14:paraId="5715D0ED">
      <w:pPr>
        <w:spacing w:line="360" w:lineRule="auto"/>
        <w:jc w:val="center"/>
        <w:rPr>
          <w:rFonts w:hint="eastAsia" w:ascii="仿宋" w:hAnsi="仿宋" w:eastAsia="仿宋" w:cs="仿宋"/>
          <w:b/>
          <w:color w:val="auto"/>
          <w:sz w:val="32"/>
          <w:szCs w:val="32"/>
          <w:highlight w:val="none"/>
        </w:rPr>
      </w:pPr>
    </w:p>
    <w:p w14:paraId="584DCD2C">
      <w:pPr>
        <w:spacing w:line="360" w:lineRule="auto"/>
        <w:jc w:val="center"/>
        <w:rPr>
          <w:rFonts w:hint="eastAsia" w:ascii="仿宋" w:hAnsi="仿宋" w:eastAsia="仿宋" w:cs="仿宋"/>
          <w:b/>
          <w:color w:val="auto"/>
          <w:sz w:val="32"/>
          <w:szCs w:val="32"/>
          <w:highlight w:val="none"/>
        </w:rPr>
      </w:pPr>
    </w:p>
    <w:p w14:paraId="46216F50">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、法定代表人及其授权代表的身份证（复印件）</w:t>
      </w:r>
    </w:p>
    <w:p w14:paraId="6479D206">
      <w:pPr>
        <w:widowControl/>
        <w:spacing w:line="360" w:lineRule="auto"/>
        <w:jc w:val="left"/>
        <w:rPr>
          <w:rFonts w:hint="eastAsia" w:ascii="仿宋" w:hAnsi="仿宋" w:eastAsia="仿宋" w:cs="仿宋"/>
          <w:color w:val="auto"/>
          <w:sz w:val="24"/>
          <w:highlight w:val="none"/>
        </w:rPr>
      </w:pPr>
    </w:p>
    <w:p w14:paraId="62783BA3">
      <w:pPr>
        <w:spacing w:line="360" w:lineRule="auto"/>
        <w:jc w:val="center"/>
        <w:rPr>
          <w:rFonts w:hint="eastAsia" w:ascii="仿宋" w:hAnsi="仿宋" w:eastAsia="仿宋" w:cs="仿宋"/>
          <w:strike/>
          <w:color w:val="auto"/>
          <w:sz w:val="24"/>
          <w:highlight w:val="none"/>
        </w:rPr>
      </w:pPr>
      <w:r>
        <w:rPr>
          <w:rFonts w:hint="eastAsia" w:ascii="仿宋" w:hAnsi="仿宋" w:eastAsia="仿宋" w:cs="仿宋"/>
          <w:b/>
          <w:color w:val="auto"/>
          <w:kern w:val="0"/>
          <w:sz w:val="32"/>
          <w:szCs w:val="32"/>
          <w:highlight w:val="none"/>
        </w:rPr>
        <w:br w:type="textWrapping"/>
      </w:r>
    </w:p>
    <w:p w14:paraId="3C3C8AF5">
      <w:pPr>
        <w:pStyle w:val="26"/>
        <w:keepNext w:val="0"/>
        <w:pageBreakBefore w:val="0"/>
        <w:tabs>
          <w:tab w:val="clear" w:pos="720"/>
        </w:tabs>
        <w:snapToGrid w:val="0"/>
        <w:spacing w:before="240"/>
        <w:outlineLvl w:val="9"/>
        <w:rPr>
          <w:rFonts w:hint="eastAsia" w:ascii="仿宋" w:hAnsi="仿宋" w:eastAsia="仿宋" w:cs="仿宋"/>
          <w:b w:val="0"/>
          <w:color w:val="auto"/>
          <w:sz w:val="32"/>
          <w:szCs w:val="32"/>
          <w:highlight w:val="none"/>
        </w:rPr>
      </w:pPr>
    </w:p>
    <w:p w14:paraId="622A7420">
      <w:pPr>
        <w:pStyle w:val="26"/>
        <w:keepNext w:val="0"/>
        <w:pageBreakBefore w:val="0"/>
        <w:tabs>
          <w:tab w:val="clear" w:pos="720"/>
        </w:tabs>
        <w:snapToGrid w:val="0"/>
        <w:spacing w:before="240"/>
        <w:outlineLvl w:val="9"/>
        <w:rPr>
          <w:rFonts w:hint="eastAsia" w:ascii="仿宋" w:hAnsi="仿宋" w:eastAsia="仿宋" w:cs="仿宋"/>
          <w:b w:val="0"/>
          <w:color w:val="auto"/>
          <w:sz w:val="32"/>
          <w:szCs w:val="32"/>
          <w:highlight w:val="none"/>
        </w:rPr>
      </w:pPr>
    </w:p>
    <w:p w14:paraId="6910034D">
      <w:pPr>
        <w:pStyle w:val="26"/>
        <w:keepNext w:val="0"/>
        <w:pageBreakBefore w:val="0"/>
        <w:tabs>
          <w:tab w:val="clear" w:pos="720"/>
        </w:tabs>
        <w:snapToGrid w:val="0"/>
        <w:spacing w:before="240"/>
        <w:outlineLvl w:val="9"/>
        <w:rPr>
          <w:rFonts w:hint="eastAsia" w:ascii="仿宋" w:hAnsi="仿宋" w:eastAsia="仿宋" w:cs="仿宋"/>
          <w:b w:val="0"/>
          <w:color w:val="auto"/>
          <w:sz w:val="32"/>
          <w:szCs w:val="32"/>
          <w:highlight w:val="none"/>
        </w:rPr>
      </w:pPr>
    </w:p>
    <w:p w14:paraId="43F94932">
      <w:pPr>
        <w:pStyle w:val="26"/>
        <w:keepNext w:val="0"/>
        <w:pageBreakBefore w:val="0"/>
        <w:tabs>
          <w:tab w:val="clear" w:pos="720"/>
        </w:tabs>
        <w:snapToGrid w:val="0"/>
        <w:spacing w:before="240"/>
        <w:outlineLvl w:val="9"/>
        <w:rPr>
          <w:rFonts w:hint="eastAsia" w:ascii="仿宋" w:hAnsi="仿宋" w:eastAsia="仿宋" w:cs="仿宋"/>
          <w:b w:val="0"/>
          <w:color w:val="auto"/>
          <w:sz w:val="32"/>
          <w:szCs w:val="32"/>
          <w:highlight w:val="none"/>
        </w:rPr>
      </w:pPr>
    </w:p>
    <w:p w14:paraId="79089BB6">
      <w:pPr>
        <w:pStyle w:val="26"/>
        <w:keepNext w:val="0"/>
        <w:pageBreakBefore w:val="0"/>
        <w:tabs>
          <w:tab w:val="clear" w:pos="720"/>
        </w:tabs>
        <w:snapToGrid w:val="0"/>
        <w:spacing w:before="240"/>
        <w:outlineLvl w:val="9"/>
        <w:rPr>
          <w:rFonts w:hint="eastAsia" w:ascii="仿宋" w:hAnsi="仿宋" w:eastAsia="仿宋" w:cs="仿宋"/>
          <w:b w:val="0"/>
          <w:color w:val="auto"/>
          <w:sz w:val="32"/>
          <w:szCs w:val="32"/>
          <w:highlight w:val="none"/>
        </w:rPr>
      </w:pPr>
    </w:p>
    <w:p w14:paraId="7BAE22A7">
      <w:pPr>
        <w:pStyle w:val="26"/>
        <w:keepNext w:val="0"/>
        <w:pageBreakBefore w:val="0"/>
        <w:tabs>
          <w:tab w:val="clear" w:pos="720"/>
        </w:tabs>
        <w:snapToGrid w:val="0"/>
        <w:spacing w:before="240"/>
        <w:outlineLvl w:val="9"/>
        <w:rPr>
          <w:rFonts w:hint="eastAsia" w:ascii="仿宋" w:hAnsi="仿宋" w:eastAsia="仿宋" w:cs="仿宋"/>
          <w:b w:val="0"/>
          <w:color w:val="auto"/>
          <w:sz w:val="32"/>
          <w:szCs w:val="32"/>
          <w:highlight w:val="none"/>
        </w:rPr>
      </w:pPr>
    </w:p>
    <w:p w14:paraId="19A82BA7">
      <w:pPr>
        <w:pStyle w:val="26"/>
        <w:keepNext w:val="0"/>
        <w:pageBreakBefore w:val="0"/>
        <w:tabs>
          <w:tab w:val="clear" w:pos="720"/>
        </w:tabs>
        <w:snapToGrid w:val="0"/>
        <w:spacing w:before="240"/>
        <w:outlineLvl w:val="9"/>
        <w:rPr>
          <w:rFonts w:hint="eastAsia" w:ascii="仿宋" w:hAnsi="仿宋" w:eastAsia="仿宋" w:cs="仿宋"/>
          <w:b w:val="0"/>
          <w:color w:val="auto"/>
          <w:sz w:val="32"/>
          <w:szCs w:val="32"/>
          <w:highlight w:val="none"/>
        </w:rPr>
      </w:pPr>
    </w:p>
    <w:p w14:paraId="6D0A7F73">
      <w:pPr>
        <w:pStyle w:val="26"/>
        <w:keepNext w:val="0"/>
        <w:pageBreakBefore w:val="0"/>
        <w:tabs>
          <w:tab w:val="clear" w:pos="720"/>
        </w:tabs>
        <w:snapToGrid w:val="0"/>
        <w:spacing w:before="240"/>
        <w:outlineLvl w:val="9"/>
        <w:rPr>
          <w:rFonts w:hint="eastAsia" w:ascii="仿宋" w:hAnsi="仿宋" w:eastAsia="仿宋" w:cs="仿宋"/>
          <w:b w:val="0"/>
          <w:color w:val="auto"/>
          <w:sz w:val="32"/>
          <w:szCs w:val="32"/>
          <w:highlight w:val="none"/>
        </w:rPr>
      </w:pPr>
    </w:p>
    <w:p w14:paraId="2A3BCEDD">
      <w:pPr>
        <w:pStyle w:val="26"/>
        <w:keepNext w:val="0"/>
        <w:pageBreakBefore w:val="0"/>
        <w:tabs>
          <w:tab w:val="clear" w:pos="720"/>
        </w:tabs>
        <w:snapToGrid w:val="0"/>
        <w:spacing w:before="240"/>
        <w:outlineLvl w:val="9"/>
        <w:rPr>
          <w:rFonts w:hint="eastAsia" w:ascii="仿宋" w:hAnsi="仿宋" w:eastAsia="仿宋" w:cs="仿宋"/>
          <w:b w:val="0"/>
          <w:color w:val="auto"/>
          <w:sz w:val="32"/>
          <w:szCs w:val="32"/>
          <w:highlight w:val="none"/>
        </w:rPr>
      </w:pPr>
    </w:p>
    <w:p w14:paraId="06A45B34">
      <w:pPr>
        <w:pStyle w:val="26"/>
        <w:keepNext w:val="0"/>
        <w:pageBreakBefore w:val="0"/>
        <w:tabs>
          <w:tab w:val="clear" w:pos="720"/>
        </w:tabs>
        <w:snapToGrid w:val="0"/>
        <w:spacing w:before="240"/>
        <w:outlineLvl w:val="9"/>
        <w:rPr>
          <w:rFonts w:hint="eastAsia" w:ascii="仿宋" w:hAnsi="仿宋" w:eastAsia="仿宋" w:cs="仿宋"/>
          <w:b w:val="0"/>
          <w:color w:val="auto"/>
          <w:sz w:val="32"/>
          <w:szCs w:val="32"/>
          <w:highlight w:val="none"/>
        </w:rPr>
      </w:pPr>
    </w:p>
    <w:p w14:paraId="784B4648">
      <w:pPr>
        <w:pStyle w:val="26"/>
        <w:keepNext w:val="0"/>
        <w:pageBreakBefore w:val="0"/>
        <w:tabs>
          <w:tab w:val="clear" w:pos="720"/>
        </w:tabs>
        <w:snapToGrid w:val="0"/>
        <w:spacing w:before="240"/>
        <w:outlineLvl w:val="9"/>
        <w:rPr>
          <w:rFonts w:hint="eastAsia" w:ascii="仿宋" w:hAnsi="仿宋" w:eastAsia="仿宋" w:cs="仿宋"/>
          <w:b w:val="0"/>
          <w:color w:val="auto"/>
          <w:sz w:val="32"/>
          <w:szCs w:val="32"/>
          <w:highlight w:val="none"/>
        </w:rPr>
      </w:pPr>
    </w:p>
    <w:p w14:paraId="5BF26A88">
      <w:pPr>
        <w:pStyle w:val="26"/>
        <w:keepNext w:val="0"/>
        <w:pageBreakBefore w:val="0"/>
        <w:tabs>
          <w:tab w:val="clear" w:pos="720"/>
        </w:tabs>
        <w:snapToGrid w:val="0"/>
        <w:spacing w:before="240"/>
        <w:outlineLvl w:val="9"/>
        <w:rPr>
          <w:rFonts w:hint="eastAsia" w:ascii="仿宋" w:hAnsi="仿宋" w:eastAsia="仿宋" w:cs="仿宋"/>
          <w:b w:val="0"/>
          <w:color w:val="auto"/>
          <w:sz w:val="32"/>
          <w:szCs w:val="32"/>
          <w:highlight w:val="none"/>
        </w:rPr>
      </w:pPr>
    </w:p>
    <w:p w14:paraId="2264D070">
      <w:pPr>
        <w:pStyle w:val="26"/>
        <w:keepNext w:val="0"/>
        <w:pageBreakBefore w:val="0"/>
        <w:tabs>
          <w:tab w:val="clear" w:pos="720"/>
        </w:tabs>
        <w:snapToGrid w:val="0"/>
        <w:spacing w:before="240"/>
        <w:outlineLvl w:val="9"/>
        <w:rPr>
          <w:rFonts w:hint="eastAsia" w:ascii="仿宋" w:hAnsi="仿宋" w:eastAsia="仿宋" w:cs="仿宋"/>
          <w:b w:val="0"/>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418" w:bottom="1276"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val="0"/>
          <w:color w:val="auto"/>
          <w:sz w:val="32"/>
          <w:szCs w:val="32"/>
          <w:highlight w:val="none"/>
        </w:rPr>
        <w:br w:type="textWrapping"/>
      </w:r>
    </w:p>
    <w:p w14:paraId="49BABC67">
      <w:pPr>
        <w:spacing w:line="360" w:lineRule="auto"/>
        <w:jc w:val="center"/>
        <w:rPr>
          <w:rFonts w:ascii="仿宋" w:hAnsi="仿宋" w:eastAsia="仿宋" w:cs="仿宋_GB2312"/>
          <w:b/>
          <w:color w:val="000000"/>
          <w:sz w:val="32"/>
          <w:szCs w:val="32"/>
        </w:rPr>
      </w:pPr>
      <w:r>
        <w:rPr>
          <w:rFonts w:hint="eastAsia" w:ascii="仿宋" w:hAnsi="仿宋" w:eastAsia="仿宋" w:cs="仿宋_GB2312"/>
          <w:b/>
          <w:color w:val="000000"/>
          <w:sz w:val="32"/>
          <w:szCs w:val="32"/>
          <w:lang w:val="en-US" w:eastAsia="zh-CN"/>
        </w:rPr>
        <w:t>五</w:t>
      </w:r>
      <w:r>
        <w:rPr>
          <w:rFonts w:hint="eastAsia" w:ascii="仿宋" w:hAnsi="仿宋" w:eastAsia="仿宋" w:cs="仿宋_GB2312"/>
          <w:b/>
          <w:color w:val="000000"/>
          <w:sz w:val="32"/>
          <w:szCs w:val="32"/>
        </w:rPr>
        <w:t>、符合特定资格条件（如果项目要求）</w:t>
      </w:r>
    </w:p>
    <w:p w14:paraId="2C039741">
      <w:pPr>
        <w:spacing w:line="360" w:lineRule="auto"/>
        <w:jc w:val="center"/>
        <w:rPr>
          <w:rFonts w:ascii="仿宋" w:hAnsi="仿宋" w:eastAsia="仿宋" w:cs="仿宋_GB2312"/>
          <w:b/>
          <w:color w:val="000000"/>
          <w:sz w:val="32"/>
          <w:szCs w:val="32"/>
        </w:rPr>
      </w:pPr>
      <w:r>
        <w:rPr>
          <w:rFonts w:hint="eastAsia" w:ascii="仿宋" w:hAnsi="仿宋" w:eastAsia="仿宋" w:cs="仿宋_GB2312"/>
          <w:b/>
          <w:color w:val="000000"/>
          <w:sz w:val="32"/>
          <w:szCs w:val="32"/>
        </w:rPr>
        <w:t>的有关证明材料（复印件）</w:t>
      </w:r>
    </w:p>
    <w:p w14:paraId="5CA7E390">
      <w:pPr>
        <w:widowControl/>
        <w:spacing w:line="360" w:lineRule="auto"/>
        <w:ind w:firstLine="480" w:firstLineChars="200"/>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（由投标人根据招标公告合格的投标人应具备的特定资格要求编制；如果本项目没有设置特定资格条件，则不需要提供）</w:t>
      </w:r>
    </w:p>
    <w:p w14:paraId="14ED3730">
      <w:pPr>
        <w:pStyle w:val="26"/>
        <w:keepNext w:val="0"/>
        <w:pageBreakBefore w:val="0"/>
        <w:tabs>
          <w:tab w:val="clear" w:pos="720"/>
        </w:tabs>
        <w:snapToGrid w:val="0"/>
        <w:spacing w:before="240"/>
        <w:outlineLvl w:val="9"/>
        <w:rPr>
          <w:rFonts w:hint="eastAsia" w:ascii="仿宋" w:hAnsi="仿宋" w:eastAsia="仿宋" w:cs="仿宋_GB2312"/>
          <w:color w:val="auto"/>
          <w:kern w:val="2"/>
          <w:sz w:val="32"/>
          <w:szCs w:val="32"/>
          <w:highlight w:val="none"/>
          <w:lang w:val="en-US" w:eastAsia="zh-CN"/>
        </w:rPr>
        <w:sectPr>
          <w:pgSz w:w="11906" w:h="16838"/>
          <w:pgMar w:top="1247" w:right="1418" w:bottom="1276"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p>
    <w:p w14:paraId="65E9D4EE">
      <w:pPr>
        <w:pStyle w:val="26"/>
        <w:keepNext w:val="0"/>
        <w:pageBreakBefore w:val="0"/>
        <w:tabs>
          <w:tab w:val="clear" w:pos="720"/>
        </w:tabs>
        <w:snapToGrid w:val="0"/>
        <w:spacing w:before="240"/>
        <w:outlineLvl w:val="9"/>
        <w:rPr>
          <w:rFonts w:hint="eastAsia"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lang w:val="en-US" w:eastAsia="zh-CN"/>
        </w:rPr>
        <w:t>六</w:t>
      </w:r>
      <w:r>
        <w:rPr>
          <w:rFonts w:hint="eastAsia" w:ascii="仿宋" w:hAnsi="仿宋" w:eastAsia="仿宋" w:cs="仿宋_GB2312"/>
          <w:color w:val="auto"/>
          <w:kern w:val="2"/>
          <w:sz w:val="32"/>
          <w:szCs w:val="32"/>
          <w:highlight w:val="none"/>
        </w:rPr>
        <w:t>、中小企业声明函</w:t>
      </w:r>
    </w:p>
    <w:p w14:paraId="6F00D4BE">
      <w:pPr>
        <w:pStyle w:val="10"/>
        <w:snapToGrid w:val="0"/>
        <w:spacing w:line="440" w:lineRule="exact"/>
        <w:ind w:firstLine="0" w:firstLineChars="0"/>
        <w:rPr>
          <w:rFonts w:hint="eastAsia" w:ascii="仿宋" w:hAnsi="仿宋" w:eastAsia="仿宋" w:cs="仿宋_GB2312"/>
          <w:color w:val="auto"/>
          <w:highlight w:val="none"/>
          <w:lang w:eastAsia="zh-CN"/>
        </w:rPr>
      </w:pPr>
    </w:p>
    <w:p w14:paraId="0BFDBE21">
      <w:pPr>
        <w:spacing w:line="440" w:lineRule="exact"/>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 xml:space="preserve"> 的 </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D2D6ADE">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 xml:space="preserve"> ，属于 </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 xml:space="preserve"> ，从业人员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hint="eastAsia"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14:paraId="1F0178EC">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u w:val="single"/>
        </w:rPr>
        <w:t xml:space="preserve">（标的名称） </w:t>
      </w:r>
      <w:r>
        <w:rPr>
          <w:rFonts w:hint="eastAsia" w:ascii="仿宋" w:hAnsi="仿宋" w:eastAsia="仿宋"/>
          <w:color w:val="auto"/>
          <w:sz w:val="24"/>
          <w:highlight w:val="none"/>
        </w:rPr>
        <w:t xml:space="preserve">，属于 </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 xml:space="preserve"> ，从业人员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万元，属于 </w:t>
      </w:r>
      <w:r>
        <w:rPr>
          <w:rFonts w:hint="eastAsia" w:ascii="仿宋" w:hAnsi="仿宋" w:eastAsia="仿宋"/>
          <w:color w:val="auto"/>
          <w:sz w:val="24"/>
          <w:highlight w:val="none"/>
          <w:u w:val="single"/>
        </w:rPr>
        <w:t>（中型企业、小型企业、微型企业）</w:t>
      </w:r>
      <w:r>
        <w:rPr>
          <w:rFonts w:hint="eastAsia" w:ascii="仿宋" w:hAnsi="仿宋" w:eastAsia="仿宋"/>
          <w:color w:val="auto"/>
          <w:sz w:val="24"/>
          <w:highlight w:val="none"/>
        </w:rPr>
        <w:t xml:space="preserve"> ；</w:t>
      </w:r>
    </w:p>
    <w:p w14:paraId="5952E69F">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14:paraId="46D88CA8">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3E63F5D6">
      <w:pPr>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3A8410CA">
      <w:pPr>
        <w:spacing w:line="440" w:lineRule="exact"/>
        <w:ind w:right="104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 xml:space="preserve">名称（ </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14:paraId="6B18305D">
      <w:pPr>
        <w:spacing w:line="440" w:lineRule="exact"/>
        <w:ind w:right="1120" w:firstLine="5040" w:firstLineChars="2100"/>
        <w:rPr>
          <w:rFonts w:ascii="仿宋" w:hAnsi="仿宋" w:eastAsia="仿宋"/>
          <w:color w:val="auto"/>
          <w:sz w:val="24"/>
          <w:highlight w:val="none"/>
        </w:rPr>
      </w:pPr>
      <w:r>
        <w:rPr>
          <w:rFonts w:hint="eastAsia" w:ascii="仿宋" w:hAnsi="仿宋" w:eastAsia="仿宋"/>
          <w:color w:val="auto"/>
          <w:sz w:val="24"/>
          <w:highlight w:val="none"/>
        </w:rPr>
        <w:t>日 期：</w:t>
      </w:r>
    </w:p>
    <w:p w14:paraId="23E38D0C">
      <w:pPr>
        <w:spacing w:line="360" w:lineRule="auto"/>
        <w:ind w:firstLine="354" w:firstLineChars="147"/>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从业人员、营业收入、资产总额填报上一年度数据，无上一年度数据的新成立企业可不填报。</w:t>
      </w:r>
    </w:p>
    <w:p w14:paraId="74C84EF7">
      <w:pPr>
        <w:spacing w:line="360" w:lineRule="auto"/>
        <w:ind w:right="420" w:firstLine="482" w:firstLineChars="200"/>
        <w:rPr>
          <w:rFonts w:ascii="仿宋" w:hAnsi="仿宋" w:eastAsia="仿宋" w:cs="宋体"/>
          <w:b/>
          <w:bCs/>
          <w:color w:val="auto"/>
          <w:sz w:val="24"/>
          <w:highlight w:val="none"/>
        </w:rPr>
      </w:pPr>
      <w:r>
        <w:rPr>
          <w:rFonts w:hint="eastAsia" w:ascii="仿宋" w:hAnsi="仿宋" w:eastAsia="仿宋" w:cs="仿宋_GB2312"/>
          <w:b/>
          <w:color w:val="auto"/>
          <w:sz w:val="24"/>
          <w:highlight w:val="none"/>
        </w:rPr>
        <w:t>注：1、投标人应根据企业实际情况及采购文件中明确的所属行业，对照《关于印发中小企业划型标准规定的通知》（工信部联企业[2011]300号）所对应的划型标准作出声明，</w:t>
      </w:r>
      <w:r>
        <w:rPr>
          <w:rFonts w:hint="eastAsia" w:ascii="仿宋" w:hAnsi="仿宋" w:eastAsia="仿宋" w:cs="宋体"/>
          <w:b/>
          <w:bCs/>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3CB4F545">
      <w:pPr>
        <w:spacing w:line="360" w:lineRule="auto"/>
        <w:ind w:right="420"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78F86380">
      <w:pPr>
        <w:spacing w:line="360" w:lineRule="auto"/>
        <w:ind w:right="420"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57FFDBC2">
      <w:pPr>
        <w:spacing w:line="360" w:lineRule="auto"/>
        <w:jc w:val="center"/>
        <w:outlineLvl w:val="0"/>
        <w:rPr>
          <w:rFonts w:hint="eastAsia" w:ascii="仿宋" w:hAnsi="仿宋" w:eastAsia="仿宋"/>
          <w:b/>
          <w:color w:val="auto"/>
          <w:spacing w:val="6"/>
          <w:sz w:val="32"/>
          <w:szCs w:val="32"/>
          <w:highlight w:val="none"/>
        </w:rPr>
      </w:pPr>
      <w:r>
        <w:rPr>
          <w:rFonts w:hint="eastAsia" w:ascii="仿宋" w:hAnsi="仿宋" w:eastAsia="仿宋" w:cs="仿宋_GB2312"/>
          <w:color w:val="auto"/>
          <w:sz w:val="36"/>
          <w:szCs w:val="36"/>
          <w:highlight w:val="none"/>
        </w:rPr>
        <w:br w:type="page"/>
      </w:r>
      <w:r>
        <w:rPr>
          <w:rFonts w:hint="eastAsia" w:ascii="仿宋" w:hAnsi="仿宋" w:eastAsia="仿宋"/>
          <w:b/>
          <w:color w:val="auto"/>
          <w:spacing w:val="6"/>
          <w:sz w:val="32"/>
          <w:szCs w:val="32"/>
          <w:highlight w:val="none"/>
          <w:lang w:val="en-US" w:eastAsia="zh-CN"/>
        </w:rPr>
        <w:t>七</w:t>
      </w:r>
      <w:r>
        <w:rPr>
          <w:rFonts w:hint="eastAsia" w:ascii="仿宋" w:hAnsi="仿宋" w:eastAsia="仿宋"/>
          <w:b/>
          <w:color w:val="auto"/>
          <w:spacing w:val="6"/>
          <w:sz w:val="32"/>
          <w:szCs w:val="32"/>
          <w:highlight w:val="none"/>
        </w:rPr>
        <w:t>、残疾人福利性单位声明函（如有）</w:t>
      </w:r>
    </w:p>
    <w:p w14:paraId="05289517">
      <w:pPr>
        <w:spacing w:line="360" w:lineRule="auto"/>
        <w:rPr>
          <w:rFonts w:hint="eastAsia" w:ascii="仿宋" w:hAnsi="仿宋" w:eastAsia="仿宋"/>
          <w:b/>
          <w:color w:val="auto"/>
          <w:spacing w:val="6"/>
          <w:sz w:val="30"/>
          <w:szCs w:val="30"/>
          <w:highlight w:val="none"/>
        </w:rPr>
      </w:pPr>
    </w:p>
    <w:p w14:paraId="38A4B034">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144713">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14:paraId="524E6DF4">
      <w:pPr>
        <w:spacing w:line="360" w:lineRule="auto"/>
        <w:ind w:firstLine="480" w:firstLineChars="200"/>
        <w:rPr>
          <w:rFonts w:hint="eastAsia" w:ascii="仿宋" w:hAnsi="仿宋" w:eastAsia="仿宋" w:cs="仿宋_GB2312"/>
          <w:color w:val="auto"/>
          <w:sz w:val="24"/>
          <w:highlight w:val="none"/>
        </w:rPr>
      </w:pPr>
    </w:p>
    <w:p w14:paraId="7870C801">
      <w:pPr>
        <w:spacing w:line="360" w:lineRule="auto"/>
        <w:ind w:firstLine="480" w:firstLineChars="200"/>
        <w:rPr>
          <w:rFonts w:hint="eastAsia" w:ascii="仿宋" w:hAnsi="仿宋" w:eastAsia="仿宋" w:cs="仿宋_GB2312"/>
          <w:color w:val="auto"/>
          <w:sz w:val="24"/>
          <w:highlight w:val="none"/>
        </w:rPr>
      </w:pPr>
    </w:p>
    <w:p w14:paraId="72B89B1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_GB2312"/>
          <w:color w:val="auto"/>
          <w:sz w:val="24"/>
          <w:highlight w:val="none"/>
        </w:rPr>
        <w:t xml:space="preserve">                    单位名称（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sz w:val="24"/>
          <w:highlight w:val="none"/>
        </w:rPr>
        <w:t>）：</w:t>
      </w:r>
    </w:p>
    <w:p w14:paraId="224D292D">
      <w:pPr>
        <w:spacing w:line="360" w:lineRule="auto"/>
        <w:outlineLvl w:val="0"/>
        <w:rPr>
          <w:rFonts w:hint="eastAsia" w:ascii="仿宋" w:hAnsi="仿宋" w:eastAsia="仿宋" w:cs="仿宋"/>
          <w:color w:val="auto"/>
          <w:sz w:val="24"/>
          <w:highlight w:val="none"/>
        </w:rPr>
        <w:sectPr>
          <w:pgSz w:w="11906" w:h="16838"/>
          <w:pgMar w:top="1247" w:right="1418" w:bottom="1276"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p>
    <w:p w14:paraId="757A1F9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4E650BB">
      <w:pPr>
        <w:spacing w:line="360" w:lineRule="auto"/>
        <w:jc w:val="center"/>
        <w:outlineLvl w:val="0"/>
        <w:rPr>
          <w:rFonts w:hint="eastAsia" w:ascii="仿宋" w:hAnsi="仿宋" w:eastAsia="仿宋" w:cs="仿宋"/>
          <w:b/>
          <w:color w:val="auto"/>
          <w:kern w:val="0"/>
          <w:sz w:val="24"/>
          <w:highlight w:val="none"/>
        </w:rPr>
      </w:pPr>
    </w:p>
    <w:p w14:paraId="2FBC0908">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3CA481E">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（1）投标函</w:t>
      </w:r>
      <w:r>
        <w:rPr>
          <w:rFonts w:hint="eastAsia" w:ascii="仿宋" w:hAnsi="仿宋" w:eastAsia="仿宋" w:cs="仿宋"/>
          <w:color w:val="auto"/>
          <w:sz w:val="24"/>
          <w:highlight w:val="none"/>
          <w:lang w:val="zh-CN"/>
        </w:rPr>
        <w:t>……………………………………………………………（页码）</w:t>
      </w:r>
    </w:p>
    <w:p w14:paraId="29DB8A8E">
      <w:pPr>
        <w:pStyle w:val="27"/>
        <w:spacing w:line="360" w:lineRule="auto"/>
        <w:ind w:left="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评分对应表………………………………………………………</w:t>
      </w:r>
      <w:r>
        <w:rPr>
          <w:rFonts w:hint="eastAsia" w:ascii="仿宋" w:hAnsi="仿宋" w:eastAsia="仿宋" w:cs="仿宋"/>
          <w:color w:val="auto"/>
          <w:highlight w:val="none"/>
        </w:rPr>
        <w:t>（页码）</w:t>
      </w:r>
    </w:p>
    <w:p w14:paraId="01CBA054">
      <w:pPr>
        <w:pStyle w:val="27"/>
        <w:spacing w:line="360" w:lineRule="auto"/>
        <w:ind w:left="0"/>
        <w:rPr>
          <w:rFonts w:hint="eastAsia" w:ascii="仿宋" w:hAnsi="仿宋" w:eastAsia="仿宋" w:cs="仿宋"/>
          <w:color w:val="auto"/>
          <w:highlight w:val="none"/>
        </w:rPr>
      </w:pPr>
      <w:bookmarkStart w:id="431" w:name="OLE_LINK6"/>
      <w:bookmarkStart w:id="432" w:name="OLE_LINK7"/>
      <w:bookmarkStart w:id="433" w:name="OLE_LINK5"/>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）技术响应表</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31"/>
      <w:bookmarkEnd w:id="432"/>
    </w:p>
    <w:bookmarkEnd w:id="433"/>
    <w:p w14:paraId="7CE434F0">
      <w:pPr>
        <w:pStyle w:val="27"/>
        <w:spacing w:line="360" w:lineRule="auto"/>
        <w:ind w:left="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）商务响应表</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7831B3C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）项目组织实施方案……………………………………………</w:t>
      </w:r>
      <w:r>
        <w:rPr>
          <w:rFonts w:hint="eastAsia" w:ascii="仿宋" w:hAnsi="仿宋" w:eastAsia="仿宋" w:cs="仿宋"/>
          <w:color w:val="auto"/>
          <w:sz w:val="24"/>
          <w:highlight w:val="none"/>
          <w:lang w:val="zh-CN"/>
        </w:rPr>
        <w:t>…</w:t>
      </w:r>
      <w:r>
        <w:rPr>
          <w:rFonts w:hint="eastAsia" w:ascii="仿宋" w:hAnsi="仿宋" w:eastAsia="仿宋" w:cs="仿宋"/>
          <w:color w:val="auto"/>
          <w:kern w:val="0"/>
          <w:sz w:val="24"/>
          <w:highlight w:val="none"/>
        </w:rPr>
        <w:t>（页码）</w:t>
      </w:r>
    </w:p>
    <w:p w14:paraId="5DE6AC2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）项目负责人情况表………………………………………………（页码）</w:t>
      </w:r>
    </w:p>
    <w:p w14:paraId="49B0EF2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）项目组人员名单…………………………………………………（页码）</w:t>
      </w:r>
    </w:p>
    <w:p w14:paraId="4D6E4EE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）售后服务方案（如有）…………………………………………（页码）</w:t>
      </w:r>
    </w:p>
    <w:p w14:paraId="62F59FD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优惠条件及特殊承诺（如有）</w:t>
      </w:r>
      <w:r>
        <w:rPr>
          <w:rFonts w:hint="eastAsia" w:ascii="仿宋" w:hAnsi="仿宋" w:eastAsia="仿宋" w:cs="仿宋"/>
          <w:color w:val="auto"/>
          <w:kern w:val="0"/>
          <w:sz w:val="24"/>
          <w:highlight w:val="none"/>
        </w:rPr>
        <w:t>…………………………………（页码）</w:t>
      </w:r>
    </w:p>
    <w:p w14:paraId="4FCE0E0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投标人认为需要的其它商务技术文件或说明…………………</w:t>
      </w:r>
      <w:r>
        <w:rPr>
          <w:rFonts w:hint="eastAsia" w:ascii="仿宋" w:hAnsi="仿宋" w:eastAsia="仿宋" w:cs="仿宋"/>
          <w:color w:val="auto"/>
          <w:kern w:val="0"/>
          <w:sz w:val="24"/>
          <w:highlight w:val="none"/>
        </w:rPr>
        <w:t>（页码）</w:t>
      </w:r>
    </w:p>
    <w:p w14:paraId="59D7DF5B">
      <w:pPr>
        <w:spacing w:line="360" w:lineRule="auto"/>
        <w:ind w:firstLine="602" w:firstLineChars="2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注：以上目录是基本格式要求，各投标人可根据自身情况进一步细化。</w:t>
      </w:r>
    </w:p>
    <w:p w14:paraId="59BBCC3C">
      <w:pPr>
        <w:snapToGrid w:val="0"/>
        <w:spacing w:line="360" w:lineRule="auto"/>
        <w:jc w:val="center"/>
        <w:rPr>
          <w:rFonts w:hint="eastAsia" w:ascii="仿宋" w:hAnsi="仿宋" w:eastAsia="仿宋" w:cs="仿宋"/>
          <w:b/>
          <w:color w:val="auto"/>
          <w:kern w:val="0"/>
          <w:sz w:val="32"/>
          <w:szCs w:val="32"/>
          <w:highlight w:val="none"/>
          <w:lang w:val="zh-CN"/>
        </w:rPr>
      </w:pPr>
    </w:p>
    <w:p w14:paraId="5A6C87F4">
      <w:pPr>
        <w:snapToGrid w:val="0"/>
        <w:spacing w:line="360" w:lineRule="auto"/>
        <w:jc w:val="center"/>
        <w:rPr>
          <w:rFonts w:hint="eastAsia" w:ascii="仿宋" w:hAnsi="仿宋" w:eastAsia="仿宋" w:cs="仿宋"/>
          <w:b/>
          <w:color w:val="auto"/>
          <w:kern w:val="0"/>
          <w:sz w:val="32"/>
          <w:szCs w:val="32"/>
          <w:highlight w:val="none"/>
          <w:lang w:val="zh-CN"/>
        </w:rPr>
      </w:pPr>
    </w:p>
    <w:p w14:paraId="229892E6">
      <w:pPr>
        <w:snapToGrid w:val="0"/>
        <w:spacing w:line="360" w:lineRule="auto"/>
        <w:jc w:val="center"/>
        <w:rPr>
          <w:rFonts w:hint="eastAsia" w:ascii="仿宋" w:hAnsi="仿宋" w:eastAsia="仿宋" w:cs="仿宋"/>
          <w:b/>
          <w:color w:val="auto"/>
          <w:kern w:val="0"/>
          <w:sz w:val="32"/>
          <w:szCs w:val="32"/>
          <w:highlight w:val="none"/>
          <w:lang w:val="zh-CN"/>
        </w:rPr>
      </w:pPr>
    </w:p>
    <w:p w14:paraId="17B3AAAB">
      <w:pPr>
        <w:snapToGrid w:val="0"/>
        <w:spacing w:line="360" w:lineRule="auto"/>
        <w:jc w:val="center"/>
        <w:rPr>
          <w:rFonts w:hint="eastAsia" w:ascii="仿宋" w:hAnsi="仿宋" w:eastAsia="仿宋" w:cs="仿宋"/>
          <w:b/>
          <w:color w:val="auto"/>
          <w:kern w:val="0"/>
          <w:sz w:val="32"/>
          <w:szCs w:val="32"/>
          <w:highlight w:val="none"/>
          <w:lang w:val="zh-CN"/>
        </w:rPr>
      </w:pPr>
    </w:p>
    <w:p w14:paraId="015BF1BA">
      <w:pPr>
        <w:spacing w:line="360" w:lineRule="auto"/>
        <w:rPr>
          <w:rFonts w:hint="eastAsia" w:ascii="仿宋" w:hAnsi="仿宋" w:eastAsia="仿宋" w:cs="仿宋"/>
          <w:color w:val="auto"/>
          <w:kern w:val="0"/>
          <w:sz w:val="24"/>
          <w:highlight w:val="none"/>
        </w:rPr>
      </w:pPr>
    </w:p>
    <w:p w14:paraId="6D6E0C9C">
      <w:pPr>
        <w:spacing w:line="360" w:lineRule="auto"/>
        <w:jc w:val="center"/>
        <w:rPr>
          <w:rFonts w:hint="eastAsia" w:ascii="仿宋" w:hAnsi="仿宋" w:eastAsia="仿宋" w:cs="仿宋"/>
          <w:b/>
          <w:bCs/>
          <w:color w:val="auto"/>
          <w:sz w:val="32"/>
          <w:szCs w:val="32"/>
          <w:highlight w:val="none"/>
        </w:rPr>
      </w:pPr>
    </w:p>
    <w:p w14:paraId="4EF88713">
      <w:pPr>
        <w:spacing w:line="360" w:lineRule="auto"/>
        <w:jc w:val="center"/>
        <w:rPr>
          <w:rFonts w:hint="eastAsia" w:ascii="仿宋" w:hAnsi="仿宋" w:eastAsia="仿宋" w:cs="仿宋"/>
          <w:b/>
          <w:bCs/>
          <w:color w:val="auto"/>
          <w:sz w:val="32"/>
          <w:szCs w:val="32"/>
          <w:highlight w:val="none"/>
        </w:rPr>
      </w:pPr>
    </w:p>
    <w:p w14:paraId="60DA33BC">
      <w:pPr>
        <w:spacing w:line="360" w:lineRule="auto"/>
        <w:jc w:val="center"/>
        <w:rPr>
          <w:rFonts w:hint="eastAsia" w:ascii="仿宋" w:hAnsi="仿宋" w:eastAsia="仿宋" w:cs="仿宋"/>
          <w:b/>
          <w:bCs/>
          <w:color w:val="auto"/>
          <w:sz w:val="32"/>
          <w:szCs w:val="32"/>
          <w:highlight w:val="none"/>
        </w:rPr>
      </w:pPr>
    </w:p>
    <w:p w14:paraId="0A8187F9">
      <w:pPr>
        <w:spacing w:line="360" w:lineRule="auto"/>
        <w:jc w:val="center"/>
        <w:rPr>
          <w:rFonts w:hint="eastAsia" w:ascii="仿宋" w:hAnsi="仿宋" w:eastAsia="仿宋" w:cs="仿宋"/>
          <w:b/>
          <w:bCs/>
          <w:color w:val="auto"/>
          <w:sz w:val="32"/>
          <w:szCs w:val="32"/>
          <w:highlight w:val="none"/>
        </w:rPr>
      </w:pPr>
    </w:p>
    <w:p w14:paraId="4EFDBC1B">
      <w:pPr>
        <w:spacing w:line="360" w:lineRule="auto"/>
        <w:jc w:val="center"/>
        <w:rPr>
          <w:rFonts w:hint="eastAsia" w:ascii="仿宋" w:hAnsi="仿宋" w:eastAsia="仿宋" w:cs="仿宋"/>
          <w:b/>
          <w:bCs/>
          <w:color w:val="auto"/>
          <w:sz w:val="32"/>
          <w:szCs w:val="32"/>
          <w:highlight w:val="none"/>
        </w:rPr>
      </w:pPr>
    </w:p>
    <w:p w14:paraId="3F06D733">
      <w:pPr>
        <w:pStyle w:val="7"/>
        <w:rPr>
          <w:rFonts w:hint="eastAsia" w:ascii="仿宋" w:hAnsi="仿宋" w:eastAsia="仿宋" w:cs="仿宋"/>
          <w:color w:val="auto"/>
          <w:highlight w:val="none"/>
        </w:rPr>
      </w:pPr>
    </w:p>
    <w:p w14:paraId="319832AB">
      <w:pPr>
        <w:spacing w:line="360" w:lineRule="auto"/>
        <w:jc w:val="center"/>
        <w:rPr>
          <w:rFonts w:hint="eastAsia" w:ascii="仿宋" w:hAnsi="仿宋" w:eastAsia="仿宋" w:cs="仿宋"/>
          <w:b/>
          <w:bCs/>
          <w:color w:val="auto"/>
          <w:sz w:val="32"/>
          <w:szCs w:val="32"/>
          <w:highlight w:val="none"/>
        </w:rPr>
      </w:pPr>
    </w:p>
    <w:p w14:paraId="3BD8F9CB">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511D50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DDB3B3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招标的有关活动，并对此项目进行投标。为此：</w:t>
      </w:r>
    </w:p>
    <w:p w14:paraId="1A452CD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天（不少于90天），本投标文件在投标有效期满之前均具有约束力。</w:t>
      </w:r>
    </w:p>
    <w:p w14:paraId="79796B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2、我方承诺除</w:t>
      </w:r>
      <w:r>
        <w:rPr>
          <w:rFonts w:hint="eastAsia" w:ascii="仿宋" w:hAnsi="仿宋" w:eastAsia="仿宋" w:cs="仿宋"/>
          <w:color w:val="auto"/>
          <w:sz w:val="24"/>
          <w:highlight w:val="none"/>
          <w:lang w:eastAsia="zh-CN"/>
        </w:rPr>
        <w:t>技术响应表、商务响应表</w:t>
      </w:r>
      <w:r>
        <w:rPr>
          <w:rFonts w:hint="eastAsia" w:ascii="仿宋" w:hAnsi="仿宋" w:eastAsia="仿宋" w:cs="仿宋"/>
          <w:color w:val="auto"/>
          <w:sz w:val="24"/>
          <w:highlight w:val="none"/>
        </w:rPr>
        <w:t>列出的偏离外，我方响应招标文件的全部要求。</w:t>
      </w:r>
    </w:p>
    <w:p w14:paraId="2C8AE5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3、我方提交的所有投标文件、资料都是准确的和真实的。</w:t>
      </w:r>
    </w:p>
    <w:p w14:paraId="24E60CC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4、我方具有履行本项目合同所必需的设备和专业技术能力。如中标，我方将保证合同顺利履行。</w:t>
      </w:r>
    </w:p>
    <w:p w14:paraId="5623A91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5、我方拟在中标后将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工作分包，分包承担主体是</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，我方承诺分包承担主体具备相应资质条件</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，且不再次分包。（不再将工作进行分包或本项目不允许分包的，下划线处填写“/”。）</w:t>
      </w:r>
    </w:p>
    <w:p w14:paraId="63702F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6、如我方中标，我方承诺：</w:t>
      </w:r>
    </w:p>
    <w:p w14:paraId="48C4D3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6.1在收到中标通知书后，在中标通知书规定的期限内与你方签订合同； </w:t>
      </w:r>
    </w:p>
    <w:p w14:paraId="105115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6.2在签订合同时不向你方提出附加条件； </w:t>
      </w:r>
    </w:p>
    <w:p w14:paraId="29D58A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6.3按照招标文件要求提交履约保证金； </w:t>
      </w:r>
    </w:p>
    <w:p w14:paraId="1CAEDC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6.4在合同约定的期限内完成合同规定的全部义务。 </w:t>
      </w:r>
    </w:p>
    <w:p w14:paraId="2DC0CB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7、其他补充说明: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11871204">
      <w:pPr>
        <w:spacing w:line="360" w:lineRule="auto"/>
        <w:ind w:firstLine="3600" w:firstLineChars="1500"/>
        <w:rPr>
          <w:rFonts w:hint="eastAsia" w:ascii="仿宋" w:hAnsi="仿宋" w:eastAsia="仿宋" w:cs="仿宋"/>
          <w:color w:val="auto"/>
          <w:sz w:val="24"/>
          <w:highlight w:val="none"/>
        </w:rPr>
      </w:pPr>
    </w:p>
    <w:p w14:paraId="14010970">
      <w:pPr>
        <w:spacing w:line="360" w:lineRule="auto"/>
        <w:ind w:firstLine="3600" w:firstLineChars="1500"/>
        <w:rPr>
          <w:rFonts w:hint="eastAsia" w:ascii="仿宋" w:hAnsi="仿宋" w:eastAsia="仿宋" w:cs="仿宋"/>
          <w:color w:val="auto"/>
          <w:sz w:val="24"/>
          <w:highlight w:val="none"/>
        </w:rPr>
      </w:pPr>
    </w:p>
    <w:p w14:paraId="6AAB5244">
      <w:pPr>
        <w:spacing w:line="360" w:lineRule="auto"/>
        <w:ind w:firstLine="3600" w:firstLineChars="1500"/>
        <w:rPr>
          <w:rFonts w:hint="eastAsia" w:ascii="仿宋" w:hAnsi="仿宋" w:eastAsia="仿宋" w:cs="仿宋"/>
          <w:color w:val="auto"/>
          <w:sz w:val="24"/>
          <w:highlight w:val="none"/>
        </w:rPr>
      </w:pPr>
    </w:p>
    <w:p w14:paraId="0F1B9C90">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854DC0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1F3DCE3">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4195375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2663415">
      <w:pPr>
        <w:snapToGrid w:val="0"/>
        <w:spacing w:line="360" w:lineRule="auto"/>
        <w:jc w:val="center"/>
        <w:rPr>
          <w:rFonts w:hint="eastAsia" w:ascii="仿宋" w:hAnsi="仿宋" w:eastAsia="仿宋" w:cs="仿宋"/>
          <w:b/>
          <w:color w:val="auto"/>
          <w:kern w:val="0"/>
          <w:sz w:val="32"/>
          <w:szCs w:val="32"/>
          <w:highlight w:val="none"/>
        </w:rPr>
      </w:pPr>
    </w:p>
    <w:p w14:paraId="2616B802">
      <w:pPr>
        <w:snapToGrid w:val="0"/>
        <w:spacing w:line="360" w:lineRule="auto"/>
        <w:rPr>
          <w:rFonts w:hint="eastAsia" w:ascii="仿宋" w:hAnsi="仿宋" w:eastAsia="仿宋" w:cs="仿宋"/>
          <w:color w:val="auto"/>
          <w:sz w:val="24"/>
          <w:highlight w:val="none"/>
        </w:rPr>
      </w:pPr>
    </w:p>
    <w:p w14:paraId="0480C686">
      <w:pPr>
        <w:spacing w:line="360" w:lineRule="auto"/>
        <w:jc w:val="center"/>
        <w:rPr>
          <w:rFonts w:hint="eastAsia" w:ascii="仿宋" w:hAnsi="仿宋" w:eastAsia="仿宋" w:cs="仿宋"/>
          <w:color w:val="auto"/>
          <w:spacing w:val="6"/>
          <w:sz w:val="32"/>
          <w:szCs w:val="32"/>
          <w:highlight w:val="none"/>
        </w:rPr>
      </w:pPr>
      <w:r>
        <w:rPr>
          <w:rFonts w:hint="eastAsia" w:ascii="仿宋" w:hAnsi="仿宋" w:eastAsia="仿宋" w:cs="仿宋"/>
          <w:b/>
          <w:bCs/>
          <w:color w:val="auto"/>
          <w:spacing w:val="6"/>
          <w:sz w:val="32"/>
          <w:szCs w:val="32"/>
          <w:highlight w:val="none"/>
        </w:rPr>
        <w:t>二、评分对应表</w:t>
      </w:r>
    </w:p>
    <w:p w14:paraId="3B0314A2">
      <w:pPr>
        <w:pStyle w:val="8"/>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 xml:space="preserve"> </w:t>
      </w:r>
    </w:p>
    <w:tbl>
      <w:tblPr>
        <w:tblStyle w:val="17"/>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4284F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14:paraId="12065FAD">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AD78CF">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F56BE1E">
            <w:pPr>
              <w:snapToGrid w:val="0"/>
              <w:spacing w:before="120"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投标文件页码</w:t>
            </w:r>
          </w:p>
        </w:tc>
      </w:tr>
      <w:tr w14:paraId="4F689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1D3EA5A7">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14:paraId="1F35A985">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AF200D4">
            <w:pPr>
              <w:snapToGrid w:val="0"/>
              <w:spacing w:before="120" w:beforeLines="50"/>
              <w:rPr>
                <w:rFonts w:hint="eastAsia" w:ascii="仿宋" w:hAnsi="仿宋" w:eastAsia="仿宋" w:cs="仿宋"/>
                <w:color w:val="auto"/>
                <w:sz w:val="24"/>
                <w:highlight w:val="none"/>
              </w:rPr>
            </w:pPr>
          </w:p>
        </w:tc>
      </w:tr>
      <w:tr w14:paraId="39E9C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14:paraId="1B30F3BB">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14:paraId="27835270">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696FA019">
            <w:pPr>
              <w:snapToGrid w:val="0"/>
              <w:spacing w:before="120" w:beforeLines="50"/>
              <w:ind w:left="43"/>
              <w:rPr>
                <w:rFonts w:hint="eastAsia" w:ascii="仿宋" w:hAnsi="仿宋" w:eastAsia="仿宋" w:cs="仿宋"/>
                <w:color w:val="auto"/>
                <w:sz w:val="24"/>
                <w:highlight w:val="none"/>
              </w:rPr>
            </w:pPr>
          </w:p>
        </w:tc>
      </w:tr>
      <w:tr w14:paraId="54A8A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142FFEEB">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587894E0">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9C13C38">
            <w:pPr>
              <w:snapToGrid w:val="0"/>
              <w:spacing w:before="120" w:beforeLines="50"/>
              <w:ind w:left="43"/>
              <w:rPr>
                <w:rFonts w:hint="eastAsia" w:ascii="仿宋" w:hAnsi="仿宋" w:eastAsia="仿宋" w:cs="仿宋"/>
                <w:color w:val="auto"/>
                <w:sz w:val="24"/>
                <w:highlight w:val="none"/>
              </w:rPr>
            </w:pPr>
          </w:p>
        </w:tc>
      </w:tr>
      <w:tr w14:paraId="2115E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2C8BB853">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000589D1">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9CD9932">
            <w:pPr>
              <w:snapToGrid w:val="0"/>
              <w:spacing w:before="120" w:beforeLines="50"/>
              <w:ind w:left="43"/>
              <w:rPr>
                <w:rFonts w:hint="eastAsia" w:ascii="仿宋" w:hAnsi="仿宋" w:eastAsia="仿宋" w:cs="仿宋"/>
                <w:color w:val="auto"/>
                <w:sz w:val="24"/>
                <w:highlight w:val="none"/>
              </w:rPr>
            </w:pPr>
          </w:p>
        </w:tc>
      </w:tr>
      <w:tr w14:paraId="179D2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581532F4">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445A3E0">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AD3E2B8">
            <w:pPr>
              <w:snapToGrid w:val="0"/>
              <w:spacing w:before="120" w:beforeLines="50"/>
              <w:rPr>
                <w:rFonts w:hint="eastAsia" w:ascii="仿宋" w:hAnsi="仿宋" w:eastAsia="仿宋" w:cs="仿宋"/>
                <w:color w:val="auto"/>
                <w:sz w:val="24"/>
                <w:highlight w:val="none"/>
              </w:rPr>
            </w:pPr>
          </w:p>
        </w:tc>
      </w:tr>
      <w:tr w14:paraId="3EB9B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759FF7FD">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9176FDC">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7F17E12">
            <w:pPr>
              <w:snapToGrid w:val="0"/>
              <w:spacing w:before="120" w:beforeLines="50"/>
              <w:rPr>
                <w:rFonts w:hint="eastAsia" w:ascii="仿宋" w:hAnsi="仿宋" w:eastAsia="仿宋" w:cs="仿宋"/>
                <w:color w:val="auto"/>
                <w:sz w:val="24"/>
                <w:highlight w:val="none"/>
              </w:rPr>
            </w:pPr>
          </w:p>
        </w:tc>
      </w:tr>
      <w:tr w14:paraId="4FF6C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303E1BA2">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94E7186">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249CF31">
            <w:pPr>
              <w:snapToGrid w:val="0"/>
              <w:spacing w:before="120" w:beforeLines="50"/>
              <w:rPr>
                <w:rFonts w:hint="eastAsia" w:ascii="仿宋" w:hAnsi="仿宋" w:eastAsia="仿宋" w:cs="仿宋"/>
                <w:color w:val="auto"/>
                <w:sz w:val="24"/>
                <w:highlight w:val="none"/>
              </w:rPr>
            </w:pPr>
          </w:p>
        </w:tc>
      </w:tr>
      <w:tr w14:paraId="5416B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72FDF259">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3B13C6AB">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F8CA994">
            <w:pPr>
              <w:snapToGrid w:val="0"/>
              <w:spacing w:before="120" w:beforeLines="50"/>
              <w:rPr>
                <w:rFonts w:hint="eastAsia" w:ascii="仿宋" w:hAnsi="仿宋" w:eastAsia="仿宋" w:cs="仿宋"/>
                <w:color w:val="auto"/>
                <w:sz w:val="24"/>
                <w:highlight w:val="none"/>
              </w:rPr>
            </w:pPr>
          </w:p>
        </w:tc>
      </w:tr>
      <w:tr w14:paraId="2DAA9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14:paraId="7A58DAB3">
            <w:pPr>
              <w:snapToGrid w:val="0"/>
              <w:rPr>
                <w:rFonts w:hint="eastAsia" w:ascii="仿宋" w:hAnsi="仿宋" w:eastAsia="仿宋"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D330035">
            <w:pPr>
              <w:snapToGrid w:val="0"/>
              <w:spacing w:before="120" w:beforeLines="50"/>
              <w:rPr>
                <w:rFonts w:hint="eastAsia" w:ascii="仿宋" w:hAnsi="仿宋" w:eastAsia="仿宋"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7A25E00">
            <w:pPr>
              <w:snapToGrid w:val="0"/>
              <w:spacing w:before="120" w:beforeLines="50"/>
              <w:rPr>
                <w:rFonts w:hint="eastAsia" w:ascii="仿宋" w:hAnsi="仿宋" w:eastAsia="仿宋" w:cs="仿宋"/>
                <w:color w:val="auto"/>
                <w:sz w:val="24"/>
                <w:highlight w:val="none"/>
              </w:rPr>
            </w:pPr>
          </w:p>
        </w:tc>
      </w:tr>
    </w:tbl>
    <w:p w14:paraId="01029578">
      <w:pPr>
        <w:snapToGrid w:val="0"/>
        <w:spacing w:before="120" w:beforeLines="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注：如果本项目评标办法采用综合评审法，需在商务技术文件中提供此评分对应表。 </w:t>
      </w:r>
    </w:p>
    <w:p w14:paraId="5A55E49F">
      <w:pPr>
        <w:snapToGrid w:val="0"/>
        <w:spacing w:before="120" w:beforeLines="50"/>
        <w:rPr>
          <w:rFonts w:hint="eastAsia" w:ascii="仿宋" w:hAnsi="仿宋" w:eastAsia="仿宋" w:cs="仿宋"/>
          <w:color w:val="auto"/>
          <w:sz w:val="30"/>
          <w:szCs w:val="30"/>
          <w:highlight w:val="none"/>
        </w:rPr>
      </w:pPr>
    </w:p>
    <w:p w14:paraId="09FCD09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59795782">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0EAA66D8">
      <w:pPr>
        <w:spacing w:line="360" w:lineRule="auto"/>
        <w:rPr>
          <w:rFonts w:hint="eastAsia" w:ascii="仿宋" w:hAnsi="仿宋" w:eastAsia="仿宋" w:cs="仿宋"/>
          <w:b/>
          <w:bCs/>
          <w:color w:val="auto"/>
          <w:sz w:val="32"/>
          <w:szCs w:val="32"/>
          <w:highlight w:val="none"/>
        </w:rPr>
        <w:sectPr>
          <w:pgSz w:w="11906" w:h="16838"/>
          <w:pgMar w:top="1247" w:right="1418" w:bottom="1276"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p>
    <w:p w14:paraId="3CD7CF8C">
      <w:pPr>
        <w:snapToGrid w:val="0"/>
        <w:spacing w:before="50" w:after="50"/>
        <w:jc w:val="center"/>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lang w:val="en-US" w:eastAsia="zh-CN"/>
        </w:rPr>
        <w:t>三</w:t>
      </w:r>
      <w:r>
        <w:rPr>
          <w:rFonts w:hint="eastAsia" w:ascii="仿宋" w:hAnsi="仿宋" w:eastAsia="仿宋" w:cs="仿宋"/>
          <w:b/>
          <w:bCs/>
          <w:color w:val="auto"/>
          <w:spacing w:val="6"/>
          <w:sz w:val="32"/>
          <w:szCs w:val="32"/>
          <w:highlight w:val="none"/>
        </w:rPr>
        <w:t>、技术响应表</w:t>
      </w:r>
    </w:p>
    <w:p w14:paraId="01C3FE10">
      <w:pPr>
        <w:rPr>
          <w:rFonts w:hint="eastAsia" w:ascii="仿宋" w:hAnsi="仿宋" w:eastAsia="仿宋" w:cs="仿宋"/>
          <w:snapToGrid w:val="0"/>
          <w:color w:val="auto"/>
          <w:kern w:val="0"/>
          <w:szCs w:val="21"/>
          <w:highlight w:val="none"/>
        </w:rPr>
      </w:pPr>
    </w:p>
    <w:tbl>
      <w:tblPr>
        <w:tblStyle w:val="17"/>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006F1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6F354842">
            <w:pPr>
              <w:snapToGrid w:val="0"/>
              <w:spacing w:before="50" w:after="50"/>
              <w:jc w:val="center"/>
              <w:rPr>
                <w:rFonts w:hint="eastAsia" w:ascii="仿宋" w:hAnsi="仿宋" w:eastAsia="仿宋" w:cs="仿宋"/>
                <w:color w:val="auto"/>
                <w:sz w:val="24"/>
                <w:highlight w:val="none"/>
              </w:rPr>
            </w:pPr>
            <w:bookmarkStart w:id="434" w:name="_Toc64369808"/>
            <w:r>
              <w:rPr>
                <w:rFonts w:hint="eastAsia" w:ascii="仿宋" w:hAnsi="仿宋" w:eastAsia="仿宋" w:cs="仿宋"/>
                <w:color w:val="auto"/>
                <w:sz w:val="24"/>
                <w:highlight w:val="none"/>
              </w:rPr>
              <w:t>序号</w:t>
            </w:r>
            <w:bookmarkEnd w:id="434"/>
          </w:p>
        </w:tc>
        <w:tc>
          <w:tcPr>
            <w:tcW w:w="1711" w:type="dxa"/>
            <w:tcBorders>
              <w:top w:val="single" w:color="auto" w:sz="4" w:space="0"/>
              <w:left w:val="single" w:color="auto" w:sz="4" w:space="0"/>
              <w:bottom w:val="single" w:color="auto" w:sz="4" w:space="0"/>
              <w:right w:val="single" w:color="auto" w:sz="4" w:space="0"/>
            </w:tcBorders>
            <w:noWrap w:val="0"/>
            <w:vAlign w:val="center"/>
          </w:tcPr>
          <w:p w14:paraId="19FF01C4">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D98679E">
            <w:pPr>
              <w:snapToGrid w:val="0"/>
              <w:spacing w:before="50" w:after="50"/>
              <w:jc w:val="center"/>
              <w:rPr>
                <w:rFonts w:hint="eastAsia" w:ascii="仿宋" w:hAnsi="仿宋" w:eastAsia="仿宋" w:cs="仿宋"/>
                <w:color w:val="auto"/>
                <w:sz w:val="24"/>
                <w:highlight w:val="none"/>
              </w:rPr>
            </w:pPr>
            <w:bookmarkStart w:id="435" w:name="_Toc64369809"/>
            <w:bookmarkStart w:id="436" w:name="_Toc64369810"/>
            <w:r>
              <w:rPr>
                <w:rFonts w:hint="eastAsia" w:ascii="仿宋" w:hAnsi="仿宋" w:eastAsia="仿宋" w:cs="仿宋"/>
                <w:color w:val="auto"/>
                <w:sz w:val="24"/>
                <w:highlight w:val="none"/>
              </w:rPr>
              <w:t>采购文件</w:t>
            </w:r>
          </w:p>
          <w:p w14:paraId="14689698">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w:t>
            </w:r>
            <w:bookmarkEnd w:id="435"/>
          </w:p>
        </w:tc>
        <w:tc>
          <w:tcPr>
            <w:tcW w:w="2552" w:type="dxa"/>
            <w:tcBorders>
              <w:top w:val="single" w:color="auto" w:sz="4" w:space="0"/>
              <w:left w:val="single" w:color="auto" w:sz="4" w:space="0"/>
              <w:bottom w:val="single" w:color="auto" w:sz="4" w:space="0"/>
              <w:right w:val="single" w:color="auto" w:sz="4" w:space="0"/>
            </w:tcBorders>
            <w:noWrap w:val="0"/>
            <w:vAlign w:val="center"/>
          </w:tcPr>
          <w:p w14:paraId="3BF49F7A">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w:t>
            </w:r>
          </w:p>
          <w:p w14:paraId="737C2870">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w:t>
            </w:r>
            <w:bookmarkEnd w:id="436"/>
          </w:p>
        </w:tc>
        <w:tc>
          <w:tcPr>
            <w:tcW w:w="1275" w:type="dxa"/>
            <w:tcBorders>
              <w:top w:val="single" w:color="auto" w:sz="4" w:space="0"/>
              <w:left w:val="single" w:color="auto" w:sz="4" w:space="0"/>
              <w:bottom w:val="single" w:color="auto" w:sz="4" w:space="0"/>
              <w:right w:val="single" w:color="auto" w:sz="4" w:space="0"/>
            </w:tcBorders>
            <w:noWrap w:val="0"/>
            <w:vAlign w:val="center"/>
          </w:tcPr>
          <w:p w14:paraId="57A75FAD">
            <w:pPr>
              <w:snapToGrid w:val="0"/>
              <w:spacing w:before="50" w:after="50"/>
              <w:jc w:val="center"/>
              <w:rPr>
                <w:rFonts w:hint="eastAsia" w:ascii="仿宋" w:hAnsi="仿宋" w:eastAsia="仿宋" w:cs="仿宋"/>
                <w:color w:val="auto"/>
                <w:sz w:val="24"/>
                <w:highlight w:val="none"/>
              </w:rPr>
            </w:pPr>
            <w:bookmarkStart w:id="437" w:name="_Toc64369811"/>
            <w:r>
              <w:rPr>
                <w:rFonts w:hint="eastAsia" w:ascii="仿宋" w:hAnsi="仿宋" w:eastAsia="仿宋" w:cs="仿宋"/>
                <w:color w:val="auto"/>
                <w:sz w:val="24"/>
                <w:highlight w:val="none"/>
              </w:rPr>
              <w:t>偏离</w:t>
            </w:r>
          </w:p>
          <w:p w14:paraId="183364FC">
            <w:pPr>
              <w:snapToGrid w:val="0"/>
              <w:spacing w:before="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情况</w:t>
            </w:r>
            <w:bookmarkEnd w:id="437"/>
          </w:p>
        </w:tc>
      </w:tr>
      <w:tr w14:paraId="50079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3288F232">
            <w:pPr>
              <w:snapToGrid w:val="0"/>
              <w:spacing w:before="50" w:after="50"/>
              <w:jc w:val="center"/>
              <w:rPr>
                <w:rFonts w:hint="eastAsia" w:ascii="仿宋" w:hAnsi="仿宋" w:eastAsia="仿宋" w:cs="仿宋"/>
                <w:color w:val="auto"/>
                <w:sz w:val="24"/>
                <w:highlight w:val="none"/>
              </w:rPr>
            </w:pPr>
            <w:bookmarkStart w:id="438" w:name="_Toc64369812"/>
            <w:r>
              <w:rPr>
                <w:rFonts w:hint="eastAsia" w:ascii="仿宋" w:hAnsi="仿宋" w:eastAsia="仿宋" w:cs="仿宋"/>
                <w:color w:val="auto"/>
                <w:sz w:val="24"/>
                <w:highlight w:val="none"/>
              </w:rPr>
              <w:t>1</w:t>
            </w:r>
            <w:bookmarkEnd w:id="438"/>
          </w:p>
        </w:tc>
        <w:tc>
          <w:tcPr>
            <w:tcW w:w="1711" w:type="dxa"/>
            <w:tcBorders>
              <w:top w:val="single" w:color="auto" w:sz="4" w:space="0"/>
              <w:left w:val="single" w:color="auto" w:sz="4" w:space="0"/>
              <w:bottom w:val="single" w:color="auto" w:sz="4" w:space="0"/>
              <w:right w:val="single" w:color="auto" w:sz="4" w:space="0"/>
            </w:tcBorders>
            <w:noWrap w:val="0"/>
            <w:vAlign w:val="center"/>
          </w:tcPr>
          <w:p w14:paraId="43DC1744">
            <w:pPr>
              <w:snapToGrid w:val="0"/>
              <w:spacing w:before="50" w:after="50"/>
              <w:jc w:val="center"/>
              <w:rPr>
                <w:rFonts w:hint="eastAsia" w:ascii="仿宋" w:hAnsi="仿宋" w:eastAsia="仿宋"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5F30367C">
            <w:pPr>
              <w:snapToGrid w:val="0"/>
              <w:spacing w:before="50" w:after="5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C7769BD">
            <w:pPr>
              <w:snapToGrid w:val="0"/>
              <w:spacing w:before="50" w:after="50"/>
              <w:jc w:val="center"/>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80902A0">
            <w:pPr>
              <w:snapToGrid w:val="0"/>
              <w:spacing w:before="50" w:after="50"/>
              <w:jc w:val="center"/>
              <w:rPr>
                <w:rFonts w:hint="eastAsia" w:ascii="仿宋" w:hAnsi="仿宋" w:eastAsia="仿宋" w:cs="仿宋"/>
                <w:color w:val="auto"/>
                <w:sz w:val="24"/>
                <w:highlight w:val="none"/>
              </w:rPr>
            </w:pPr>
          </w:p>
        </w:tc>
      </w:tr>
      <w:tr w14:paraId="37A1E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393BE73C">
            <w:pPr>
              <w:snapToGrid w:val="0"/>
              <w:spacing w:before="50" w:after="50"/>
              <w:jc w:val="center"/>
              <w:rPr>
                <w:rFonts w:hint="eastAsia" w:ascii="仿宋" w:hAnsi="仿宋" w:eastAsia="仿宋" w:cs="仿宋"/>
                <w:color w:val="auto"/>
                <w:sz w:val="24"/>
                <w:highlight w:val="none"/>
              </w:rPr>
            </w:pPr>
            <w:bookmarkStart w:id="439" w:name="_Toc64369813"/>
            <w:r>
              <w:rPr>
                <w:rFonts w:hint="eastAsia" w:ascii="仿宋" w:hAnsi="仿宋" w:eastAsia="仿宋" w:cs="仿宋"/>
                <w:color w:val="auto"/>
                <w:sz w:val="24"/>
                <w:highlight w:val="none"/>
              </w:rPr>
              <w:t>2</w:t>
            </w:r>
            <w:bookmarkEnd w:id="439"/>
          </w:p>
        </w:tc>
        <w:tc>
          <w:tcPr>
            <w:tcW w:w="1711" w:type="dxa"/>
            <w:tcBorders>
              <w:top w:val="single" w:color="auto" w:sz="4" w:space="0"/>
              <w:left w:val="single" w:color="auto" w:sz="4" w:space="0"/>
              <w:bottom w:val="single" w:color="auto" w:sz="4" w:space="0"/>
              <w:right w:val="single" w:color="auto" w:sz="4" w:space="0"/>
            </w:tcBorders>
            <w:noWrap w:val="0"/>
            <w:vAlign w:val="center"/>
          </w:tcPr>
          <w:p w14:paraId="0DB98302">
            <w:pPr>
              <w:snapToGrid w:val="0"/>
              <w:spacing w:before="50" w:after="50"/>
              <w:jc w:val="center"/>
              <w:rPr>
                <w:rFonts w:hint="eastAsia" w:ascii="仿宋" w:hAnsi="仿宋" w:eastAsia="仿宋"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48192F02">
            <w:pPr>
              <w:snapToGrid w:val="0"/>
              <w:spacing w:before="50" w:after="5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AB17123">
            <w:pPr>
              <w:snapToGrid w:val="0"/>
              <w:spacing w:before="50" w:after="50"/>
              <w:jc w:val="center"/>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06506FD">
            <w:pPr>
              <w:snapToGrid w:val="0"/>
              <w:spacing w:before="50" w:after="50"/>
              <w:jc w:val="center"/>
              <w:rPr>
                <w:rFonts w:hint="eastAsia" w:ascii="仿宋" w:hAnsi="仿宋" w:eastAsia="仿宋" w:cs="仿宋"/>
                <w:color w:val="auto"/>
                <w:sz w:val="24"/>
                <w:highlight w:val="none"/>
              </w:rPr>
            </w:pPr>
          </w:p>
        </w:tc>
      </w:tr>
      <w:tr w14:paraId="606D9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14:paraId="387686BA">
            <w:pPr>
              <w:snapToGrid w:val="0"/>
              <w:spacing w:before="50" w:after="50"/>
              <w:jc w:val="center"/>
              <w:rPr>
                <w:rFonts w:hint="eastAsia" w:ascii="仿宋" w:hAnsi="仿宋" w:eastAsia="仿宋" w:cs="仿宋"/>
                <w:color w:val="auto"/>
                <w:sz w:val="24"/>
                <w:highlight w:val="none"/>
              </w:rPr>
            </w:pPr>
            <w:bookmarkStart w:id="440" w:name="_Toc64369814"/>
            <w:r>
              <w:rPr>
                <w:rFonts w:hint="eastAsia" w:ascii="仿宋" w:hAnsi="仿宋" w:eastAsia="仿宋" w:cs="仿宋"/>
                <w:color w:val="auto"/>
                <w:sz w:val="24"/>
                <w:highlight w:val="none"/>
              </w:rPr>
              <w:t>…</w:t>
            </w:r>
            <w:bookmarkEnd w:id="440"/>
          </w:p>
        </w:tc>
        <w:tc>
          <w:tcPr>
            <w:tcW w:w="1711" w:type="dxa"/>
            <w:tcBorders>
              <w:top w:val="single" w:color="auto" w:sz="4" w:space="0"/>
              <w:left w:val="single" w:color="auto" w:sz="4" w:space="0"/>
              <w:bottom w:val="single" w:color="auto" w:sz="4" w:space="0"/>
              <w:right w:val="single" w:color="auto" w:sz="4" w:space="0"/>
            </w:tcBorders>
            <w:noWrap w:val="0"/>
            <w:vAlign w:val="center"/>
          </w:tcPr>
          <w:p w14:paraId="5F0564A2">
            <w:pPr>
              <w:snapToGrid w:val="0"/>
              <w:spacing w:before="50" w:after="50"/>
              <w:jc w:val="center"/>
              <w:rPr>
                <w:rFonts w:hint="eastAsia" w:ascii="仿宋" w:hAnsi="仿宋" w:eastAsia="仿宋"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14:paraId="3B9E86AE">
            <w:pPr>
              <w:snapToGrid w:val="0"/>
              <w:spacing w:before="50" w:after="50"/>
              <w:jc w:val="center"/>
              <w:rPr>
                <w:rFonts w:hint="eastAsia"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0D823B8">
            <w:pPr>
              <w:snapToGrid w:val="0"/>
              <w:spacing w:before="50" w:after="50"/>
              <w:jc w:val="center"/>
              <w:rPr>
                <w:rFonts w:hint="eastAsia" w:ascii="仿宋" w:hAnsi="仿宋" w:eastAsia="仿宋"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3C39744">
            <w:pPr>
              <w:snapToGrid w:val="0"/>
              <w:spacing w:before="50" w:after="50"/>
              <w:jc w:val="center"/>
              <w:rPr>
                <w:rFonts w:hint="eastAsia" w:ascii="仿宋" w:hAnsi="仿宋" w:eastAsia="仿宋" w:cs="仿宋"/>
                <w:color w:val="auto"/>
                <w:sz w:val="24"/>
                <w:highlight w:val="none"/>
              </w:rPr>
            </w:pPr>
          </w:p>
        </w:tc>
      </w:tr>
    </w:tbl>
    <w:p w14:paraId="3BE238F2">
      <w:pPr>
        <w:snapToGrid w:val="0"/>
        <w:spacing w:before="120" w:beforeLines="50"/>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注：投标人应对照招标文件要求和投标文件响应情况在“偏离情况”栏注明“正偏离”、“负偏离”或“无偏离”。</w:t>
      </w:r>
    </w:p>
    <w:p w14:paraId="421EBF99">
      <w:pPr>
        <w:snapToGrid w:val="0"/>
        <w:spacing w:before="120" w:beforeLines="50"/>
        <w:rPr>
          <w:rFonts w:hint="eastAsia" w:ascii="仿宋" w:hAnsi="仿宋" w:eastAsia="仿宋" w:cs="仿宋"/>
          <w:color w:val="auto"/>
          <w:sz w:val="24"/>
          <w:highlight w:val="none"/>
        </w:rPr>
      </w:pPr>
    </w:p>
    <w:p w14:paraId="16DC4180">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7CB74DA0">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w:t>
      </w:r>
    </w:p>
    <w:p w14:paraId="57EA3C87">
      <w:pPr>
        <w:snapToGrid w:val="0"/>
        <w:spacing w:before="50" w:after="120" w:afterLines="50"/>
        <w:jc w:val="center"/>
        <w:rPr>
          <w:rFonts w:hint="eastAsia" w:ascii="仿宋" w:hAnsi="仿宋" w:eastAsia="仿宋" w:cs="仿宋"/>
          <w:b/>
          <w:bCs/>
          <w:color w:val="auto"/>
          <w:sz w:val="30"/>
          <w:szCs w:val="30"/>
          <w:highlight w:val="none"/>
        </w:rPr>
      </w:pPr>
    </w:p>
    <w:p w14:paraId="7A5A9FAE">
      <w:pPr>
        <w:snapToGrid w:val="0"/>
        <w:spacing w:before="50" w:after="120" w:afterLines="50"/>
        <w:jc w:val="center"/>
        <w:rPr>
          <w:rFonts w:hint="eastAsia" w:ascii="仿宋" w:hAnsi="仿宋" w:eastAsia="仿宋" w:cs="仿宋"/>
          <w:b/>
          <w:color w:val="auto"/>
          <w:spacing w:val="40"/>
          <w:kern w:val="0"/>
          <w:sz w:val="36"/>
          <w:szCs w:val="36"/>
          <w:highlight w:val="none"/>
        </w:rPr>
      </w:pPr>
    </w:p>
    <w:p w14:paraId="4FC9F9C2">
      <w:pPr>
        <w:snapToGrid w:val="0"/>
        <w:spacing w:before="50" w:after="120" w:afterLines="50"/>
        <w:jc w:val="center"/>
        <w:rPr>
          <w:rFonts w:hint="eastAsia" w:ascii="仿宋" w:hAnsi="仿宋" w:eastAsia="仿宋" w:cs="仿宋"/>
          <w:b/>
          <w:color w:val="auto"/>
          <w:spacing w:val="40"/>
          <w:kern w:val="0"/>
          <w:sz w:val="36"/>
          <w:szCs w:val="36"/>
          <w:highlight w:val="none"/>
        </w:rPr>
      </w:pPr>
    </w:p>
    <w:p w14:paraId="7B048ABF">
      <w:pPr>
        <w:snapToGrid w:val="0"/>
        <w:spacing w:before="50" w:after="120" w:afterLines="50"/>
        <w:jc w:val="center"/>
        <w:rPr>
          <w:rFonts w:hint="eastAsia" w:ascii="仿宋" w:hAnsi="仿宋" w:eastAsia="仿宋" w:cs="仿宋"/>
          <w:b/>
          <w:color w:val="auto"/>
          <w:spacing w:val="40"/>
          <w:kern w:val="0"/>
          <w:sz w:val="36"/>
          <w:szCs w:val="36"/>
          <w:highlight w:val="none"/>
        </w:rPr>
      </w:pPr>
    </w:p>
    <w:p w14:paraId="274E7AC8">
      <w:pPr>
        <w:snapToGrid w:val="0"/>
        <w:spacing w:before="50" w:after="120" w:afterLines="50"/>
        <w:jc w:val="center"/>
        <w:rPr>
          <w:rFonts w:hint="eastAsia" w:ascii="仿宋" w:hAnsi="仿宋" w:eastAsia="仿宋" w:cs="仿宋"/>
          <w:b/>
          <w:color w:val="auto"/>
          <w:spacing w:val="40"/>
          <w:kern w:val="0"/>
          <w:sz w:val="36"/>
          <w:szCs w:val="36"/>
          <w:highlight w:val="none"/>
        </w:rPr>
      </w:pPr>
    </w:p>
    <w:p w14:paraId="52370DA8">
      <w:pPr>
        <w:snapToGrid w:val="0"/>
        <w:spacing w:before="50" w:after="120" w:afterLines="50"/>
        <w:jc w:val="center"/>
        <w:rPr>
          <w:rFonts w:hint="eastAsia" w:ascii="仿宋" w:hAnsi="仿宋" w:eastAsia="仿宋" w:cs="仿宋"/>
          <w:b/>
          <w:color w:val="auto"/>
          <w:spacing w:val="40"/>
          <w:kern w:val="0"/>
          <w:sz w:val="36"/>
          <w:szCs w:val="36"/>
          <w:highlight w:val="none"/>
        </w:rPr>
      </w:pPr>
    </w:p>
    <w:p w14:paraId="2E5E03EE">
      <w:pPr>
        <w:snapToGrid w:val="0"/>
        <w:spacing w:before="50" w:after="120" w:afterLines="50"/>
        <w:jc w:val="center"/>
        <w:rPr>
          <w:rFonts w:hint="eastAsia" w:ascii="仿宋" w:hAnsi="仿宋" w:eastAsia="仿宋" w:cs="仿宋"/>
          <w:b/>
          <w:color w:val="auto"/>
          <w:spacing w:val="40"/>
          <w:kern w:val="0"/>
          <w:sz w:val="36"/>
          <w:szCs w:val="36"/>
          <w:highlight w:val="none"/>
        </w:rPr>
      </w:pPr>
    </w:p>
    <w:p w14:paraId="679E9664">
      <w:pPr>
        <w:snapToGrid w:val="0"/>
        <w:spacing w:before="50" w:after="120" w:afterLines="50"/>
        <w:jc w:val="center"/>
        <w:rPr>
          <w:rFonts w:hint="eastAsia" w:ascii="仿宋" w:hAnsi="仿宋" w:eastAsia="仿宋" w:cs="仿宋"/>
          <w:b/>
          <w:color w:val="auto"/>
          <w:spacing w:val="40"/>
          <w:kern w:val="0"/>
          <w:sz w:val="36"/>
          <w:szCs w:val="36"/>
          <w:highlight w:val="none"/>
        </w:rPr>
      </w:pPr>
    </w:p>
    <w:p w14:paraId="6BE40E7D">
      <w:pPr>
        <w:snapToGrid w:val="0"/>
        <w:spacing w:before="50" w:after="120" w:afterLines="50"/>
        <w:rPr>
          <w:rFonts w:hint="eastAsia" w:ascii="仿宋" w:hAnsi="仿宋" w:eastAsia="仿宋" w:cs="仿宋"/>
          <w:b/>
          <w:color w:val="auto"/>
          <w:spacing w:val="40"/>
          <w:kern w:val="0"/>
          <w:sz w:val="36"/>
          <w:szCs w:val="36"/>
          <w:highlight w:val="none"/>
        </w:rPr>
      </w:pPr>
    </w:p>
    <w:p w14:paraId="6F0344EB">
      <w:pPr>
        <w:pStyle w:val="8"/>
        <w:snapToGrid w:val="0"/>
        <w:jc w:val="center"/>
        <w:rPr>
          <w:rFonts w:hint="eastAsia" w:ascii="仿宋" w:hAnsi="仿宋" w:eastAsia="仿宋" w:cs="仿宋"/>
          <w:color w:val="auto"/>
          <w:spacing w:val="40"/>
          <w:kern w:val="0"/>
          <w:sz w:val="36"/>
          <w:szCs w:val="36"/>
          <w:highlight w:val="none"/>
          <w:lang w:val="en-US" w:eastAsia="zh-CN"/>
        </w:rPr>
      </w:pPr>
    </w:p>
    <w:p w14:paraId="699024BD">
      <w:pPr>
        <w:jc w:val="center"/>
        <w:rPr>
          <w:rFonts w:hint="eastAsia" w:ascii="仿宋" w:hAnsi="仿宋" w:eastAsia="仿宋" w:cs="仿宋"/>
          <w:b/>
          <w:bCs/>
          <w:color w:val="auto"/>
          <w:spacing w:val="6"/>
          <w:sz w:val="32"/>
          <w:szCs w:val="32"/>
          <w:highlight w:val="none"/>
        </w:rPr>
      </w:pPr>
      <w:r>
        <w:rPr>
          <w:rFonts w:hint="eastAsia" w:ascii="仿宋" w:hAnsi="仿宋" w:eastAsia="仿宋" w:cs="仿宋"/>
          <w:snapToGrid w:val="0"/>
          <w:color w:val="auto"/>
          <w:kern w:val="0"/>
          <w:szCs w:val="21"/>
          <w:highlight w:val="none"/>
        </w:rPr>
        <w:br w:type="page"/>
      </w:r>
      <w:r>
        <w:rPr>
          <w:rFonts w:hint="eastAsia" w:ascii="仿宋" w:hAnsi="仿宋" w:eastAsia="仿宋" w:cs="仿宋"/>
          <w:b/>
          <w:bCs/>
          <w:color w:val="auto"/>
          <w:spacing w:val="6"/>
          <w:sz w:val="32"/>
          <w:szCs w:val="32"/>
          <w:highlight w:val="none"/>
          <w:lang w:val="en-US" w:eastAsia="zh-CN"/>
        </w:rPr>
        <w:t>四</w:t>
      </w:r>
      <w:r>
        <w:rPr>
          <w:rFonts w:hint="eastAsia" w:ascii="仿宋" w:hAnsi="仿宋" w:eastAsia="仿宋" w:cs="仿宋"/>
          <w:b/>
          <w:bCs/>
          <w:color w:val="auto"/>
          <w:spacing w:val="6"/>
          <w:sz w:val="32"/>
          <w:szCs w:val="32"/>
          <w:highlight w:val="none"/>
        </w:rPr>
        <w:t>、商务响应表</w:t>
      </w:r>
    </w:p>
    <w:p w14:paraId="48765C78">
      <w:pPr>
        <w:rPr>
          <w:rFonts w:hint="eastAsia" w:ascii="仿宋" w:hAnsi="仿宋" w:eastAsia="仿宋" w:cs="仿宋"/>
          <w:snapToGrid w:val="0"/>
          <w:color w:val="auto"/>
          <w:kern w:val="0"/>
          <w:szCs w:val="21"/>
          <w:highlight w:val="none"/>
        </w:rPr>
      </w:pPr>
    </w:p>
    <w:tbl>
      <w:tblPr>
        <w:tblStyle w:val="17"/>
        <w:tblW w:w="88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5"/>
        <w:gridCol w:w="3124"/>
        <w:gridCol w:w="3191"/>
        <w:gridCol w:w="1248"/>
      </w:tblGrid>
      <w:tr w14:paraId="76A50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14:paraId="5B98ABEE">
            <w:pPr>
              <w:snapToGrid w:val="0"/>
              <w:spacing w:before="50" w:after="50"/>
              <w:jc w:val="center"/>
              <w:rPr>
                <w:rFonts w:hint="eastAsia" w:ascii="仿宋" w:hAnsi="仿宋" w:eastAsia="仿宋" w:cs="仿宋"/>
                <w:color w:val="auto"/>
                <w:sz w:val="24"/>
                <w:highlight w:val="none"/>
              </w:rPr>
            </w:pPr>
            <w:bookmarkStart w:id="441" w:name="_Toc64369815"/>
            <w:r>
              <w:rPr>
                <w:rFonts w:hint="eastAsia" w:ascii="仿宋" w:hAnsi="仿宋" w:eastAsia="仿宋" w:cs="仿宋"/>
                <w:color w:val="auto"/>
                <w:sz w:val="24"/>
                <w:highlight w:val="none"/>
              </w:rPr>
              <w:t>类别</w:t>
            </w:r>
            <w:bookmarkEnd w:id="441"/>
          </w:p>
        </w:tc>
        <w:tc>
          <w:tcPr>
            <w:tcW w:w="3124" w:type="dxa"/>
            <w:tcBorders>
              <w:top w:val="single" w:color="auto" w:sz="4" w:space="0"/>
              <w:left w:val="single" w:color="auto" w:sz="4" w:space="0"/>
              <w:bottom w:val="single" w:color="auto" w:sz="4" w:space="0"/>
              <w:right w:val="single" w:color="auto" w:sz="4" w:space="0"/>
            </w:tcBorders>
            <w:noWrap w:val="0"/>
            <w:vAlign w:val="center"/>
          </w:tcPr>
          <w:p w14:paraId="4A10BA91">
            <w:pPr>
              <w:snapToGrid w:val="0"/>
              <w:spacing w:before="120" w:beforeLines="50" w:after="50"/>
              <w:jc w:val="center"/>
              <w:rPr>
                <w:rFonts w:hint="eastAsia" w:ascii="仿宋" w:hAnsi="仿宋" w:eastAsia="仿宋" w:cs="仿宋"/>
                <w:color w:val="auto"/>
                <w:sz w:val="24"/>
                <w:highlight w:val="none"/>
              </w:rPr>
            </w:pPr>
            <w:bookmarkStart w:id="442" w:name="_Toc64369816"/>
            <w:r>
              <w:rPr>
                <w:rFonts w:hint="eastAsia" w:ascii="仿宋" w:hAnsi="仿宋" w:eastAsia="仿宋" w:cs="仿宋"/>
                <w:color w:val="auto"/>
                <w:sz w:val="24"/>
                <w:highlight w:val="none"/>
              </w:rPr>
              <w:t>采购文件要求</w:t>
            </w:r>
            <w:bookmarkEnd w:id="442"/>
          </w:p>
        </w:tc>
        <w:tc>
          <w:tcPr>
            <w:tcW w:w="3191" w:type="dxa"/>
            <w:tcBorders>
              <w:top w:val="single" w:color="auto" w:sz="4" w:space="0"/>
              <w:left w:val="single" w:color="auto" w:sz="4" w:space="0"/>
              <w:bottom w:val="single" w:color="auto" w:sz="4" w:space="0"/>
              <w:right w:val="single" w:color="auto" w:sz="4" w:space="0"/>
            </w:tcBorders>
            <w:noWrap w:val="0"/>
            <w:vAlign w:val="center"/>
          </w:tcPr>
          <w:p w14:paraId="017CF48D">
            <w:pPr>
              <w:snapToGrid w:val="0"/>
              <w:spacing w:before="120" w:beforeLines="50" w:after="50"/>
              <w:jc w:val="center"/>
              <w:rPr>
                <w:rFonts w:hint="eastAsia" w:ascii="仿宋" w:hAnsi="仿宋" w:eastAsia="仿宋" w:cs="仿宋"/>
                <w:color w:val="auto"/>
                <w:sz w:val="24"/>
                <w:highlight w:val="none"/>
              </w:rPr>
            </w:pPr>
            <w:bookmarkStart w:id="443" w:name="_Toc64369817"/>
            <w:r>
              <w:rPr>
                <w:rFonts w:hint="eastAsia" w:ascii="仿宋" w:hAnsi="仿宋" w:eastAsia="仿宋" w:cs="仿宋"/>
                <w:color w:val="auto"/>
                <w:sz w:val="24"/>
                <w:highlight w:val="none"/>
              </w:rPr>
              <w:t>投标文件响应</w:t>
            </w:r>
            <w:bookmarkEnd w:id="443"/>
          </w:p>
        </w:tc>
        <w:tc>
          <w:tcPr>
            <w:tcW w:w="1248" w:type="dxa"/>
            <w:tcBorders>
              <w:top w:val="single" w:color="auto" w:sz="4" w:space="0"/>
              <w:left w:val="single" w:color="auto" w:sz="4" w:space="0"/>
              <w:bottom w:val="single" w:color="auto" w:sz="4" w:space="0"/>
              <w:right w:val="single" w:color="auto" w:sz="4" w:space="0"/>
            </w:tcBorders>
            <w:noWrap w:val="0"/>
            <w:vAlign w:val="center"/>
          </w:tcPr>
          <w:p w14:paraId="7A17E443">
            <w:pPr>
              <w:snapToGrid w:val="0"/>
              <w:spacing w:before="120" w:beforeLines="50" w:after="50"/>
              <w:jc w:val="center"/>
              <w:rPr>
                <w:rFonts w:hint="eastAsia" w:ascii="仿宋" w:hAnsi="仿宋" w:eastAsia="仿宋" w:cs="仿宋"/>
                <w:color w:val="auto"/>
                <w:sz w:val="24"/>
                <w:highlight w:val="none"/>
              </w:rPr>
            </w:pPr>
            <w:bookmarkStart w:id="444" w:name="_Toc64369818"/>
            <w:r>
              <w:rPr>
                <w:rFonts w:hint="eastAsia" w:ascii="仿宋" w:hAnsi="仿宋" w:eastAsia="仿宋" w:cs="仿宋"/>
                <w:color w:val="auto"/>
                <w:sz w:val="24"/>
                <w:highlight w:val="none"/>
              </w:rPr>
              <w:t>偏离情况</w:t>
            </w:r>
            <w:bookmarkEnd w:id="444"/>
          </w:p>
        </w:tc>
      </w:tr>
      <w:tr w14:paraId="30C24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14:paraId="67AE51F7">
            <w:pPr>
              <w:snapToGrid w:val="0"/>
              <w:spacing w:before="50" w:after="50"/>
              <w:jc w:val="center"/>
              <w:rPr>
                <w:rFonts w:hint="eastAsia" w:ascii="仿宋" w:hAnsi="仿宋" w:eastAsia="仿宋" w:cs="仿宋"/>
                <w:b/>
                <w:bCs/>
                <w:color w:val="auto"/>
                <w:sz w:val="24"/>
                <w:highlight w:val="none"/>
              </w:rPr>
            </w:pPr>
            <w:r>
              <w:rPr>
                <w:rFonts w:hint="eastAsia" w:ascii="仿宋" w:eastAsia="仿宋"/>
                <w:b/>
                <w:bCs/>
                <w:color w:val="auto"/>
                <w:kern w:val="0"/>
                <w:sz w:val="24"/>
                <w:highlight w:val="none"/>
              </w:rPr>
              <w:t>服务期限</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1A020DBE">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3191" w:type="dxa"/>
            <w:tcBorders>
              <w:top w:val="single" w:color="auto" w:sz="4" w:space="0"/>
              <w:left w:val="single" w:color="auto" w:sz="4" w:space="0"/>
              <w:bottom w:val="single" w:color="auto" w:sz="4" w:space="0"/>
              <w:right w:val="single" w:color="auto" w:sz="4" w:space="0"/>
            </w:tcBorders>
            <w:noWrap w:val="0"/>
            <w:vAlign w:val="top"/>
          </w:tcPr>
          <w:p w14:paraId="6761B354">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top"/>
          </w:tcPr>
          <w:p w14:paraId="5A0F193B">
            <w:pPr>
              <w:pStyle w:val="11"/>
              <w:snapToGrid w:val="0"/>
              <w:spacing w:before="120" w:after="120"/>
              <w:jc w:val="center"/>
              <w:outlineLvl w:val="0"/>
              <w:rPr>
                <w:rFonts w:hint="eastAsia" w:ascii="仿宋" w:hAnsi="仿宋" w:eastAsia="仿宋" w:cs="仿宋"/>
                <w:snapToGrid/>
                <w:color w:val="auto"/>
                <w:sz w:val="24"/>
                <w:szCs w:val="24"/>
                <w:highlight w:val="none"/>
              </w:rPr>
            </w:pPr>
          </w:p>
        </w:tc>
      </w:tr>
      <w:tr w14:paraId="6A9B1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14:paraId="6FDEF8C2">
            <w:pPr>
              <w:snapToGrid w:val="0"/>
              <w:spacing w:before="50" w:after="50"/>
              <w:jc w:val="center"/>
              <w:rPr>
                <w:rFonts w:hint="eastAsia" w:ascii="仿宋" w:hAnsi="仿宋" w:eastAsia="仿宋" w:cs="仿宋"/>
                <w:b/>
                <w:bCs/>
                <w:color w:val="auto"/>
                <w:sz w:val="24"/>
                <w:highlight w:val="none"/>
              </w:rPr>
            </w:pPr>
            <w:r>
              <w:rPr>
                <w:rFonts w:hint="eastAsia" w:ascii="仿宋" w:eastAsia="仿宋"/>
                <w:b/>
                <w:bCs/>
                <w:color w:val="auto"/>
                <w:kern w:val="0"/>
                <w:sz w:val="24"/>
                <w:highlight w:val="none"/>
              </w:rPr>
              <w:t>检查、考核</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6077FFF9">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3191" w:type="dxa"/>
            <w:tcBorders>
              <w:top w:val="single" w:color="auto" w:sz="4" w:space="0"/>
              <w:left w:val="single" w:color="auto" w:sz="4" w:space="0"/>
              <w:bottom w:val="single" w:color="auto" w:sz="4" w:space="0"/>
              <w:right w:val="single" w:color="auto" w:sz="4" w:space="0"/>
            </w:tcBorders>
            <w:noWrap w:val="0"/>
            <w:vAlign w:val="top"/>
          </w:tcPr>
          <w:p w14:paraId="6C52AA74">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top"/>
          </w:tcPr>
          <w:p w14:paraId="196213C8">
            <w:pPr>
              <w:pStyle w:val="11"/>
              <w:snapToGrid w:val="0"/>
              <w:spacing w:before="120" w:after="120"/>
              <w:jc w:val="center"/>
              <w:outlineLvl w:val="0"/>
              <w:rPr>
                <w:rFonts w:hint="eastAsia" w:ascii="仿宋" w:hAnsi="仿宋" w:eastAsia="仿宋" w:cs="仿宋"/>
                <w:snapToGrid/>
                <w:color w:val="auto"/>
                <w:sz w:val="24"/>
                <w:szCs w:val="24"/>
                <w:highlight w:val="none"/>
              </w:rPr>
            </w:pPr>
          </w:p>
        </w:tc>
      </w:tr>
      <w:tr w14:paraId="2A291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5"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14:paraId="6BA75B96">
            <w:pPr>
              <w:snapToGrid w:val="0"/>
              <w:spacing w:before="50" w:after="50"/>
              <w:jc w:val="center"/>
              <w:rPr>
                <w:rFonts w:hint="eastAsia" w:ascii="仿宋" w:hAnsi="仿宋" w:eastAsia="仿宋" w:cs="仿宋"/>
                <w:b/>
                <w:bCs/>
                <w:color w:val="auto"/>
                <w:sz w:val="24"/>
                <w:highlight w:val="none"/>
              </w:rPr>
            </w:pPr>
            <w:r>
              <w:rPr>
                <w:rFonts w:hint="eastAsia" w:ascii="仿宋" w:eastAsia="仿宋"/>
                <w:b/>
                <w:bCs/>
                <w:color w:val="auto"/>
                <w:sz w:val="24"/>
                <w:highlight w:val="none"/>
              </w:rPr>
              <w:t>数量调整</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0A87B43F">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3191" w:type="dxa"/>
            <w:tcBorders>
              <w:top w:val="single" w:color="auto" w:sz="4" w:space="0"/>
              <w:left w:val="single" w:color="auto" w:sz="4" w:space="0"/>
              <w:bottom w:val="single" w:color="auto" w:sz="4" w:space="0"/>
              <w:right w:val="single" w:color="auto" w:sz="4" w:space="0"/>
            </w:tcBorders>
            <w:noWrap w:val="0"/>
            <w:vAlign w:val="top"/>
          </w:tcPr>
          <w:p w14:paraId="30B6B33E">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1248" w:type="dxa"/>
            <w:tcBorders>
              <w:top w:val="single" w:color="auto" w:sz="4" w:space="0"/>
              <w:left w:val="single" w:color="auto" w:sz="4" w:space="0"/>
              <w:bottom w:val="nil"/>
              <w:right w:val="single" w:color="auto" w:sz="4" w:space="0"/>
            </w:tcBorders>
            <w:noWrap w:val="0"/>
            <w:vAlign w:val="top"/>
          </w:tcPr>
          <w:p w14:paraId="53E1243B">
            <w:pPr>
              <w:pStyle w:val="11"/>
              <w:snapToGrid w:val="0"/>
              <w:spacing w:before="120" w:after="120"/>
              <w:jc w:val="center"/>
              <w:outlineLvl w:val="0"/>
              <w:rPr>
                <w:rFonts w:hint="eastAsia" w:ascii="仿宋" w:hAnsi="仿宋" w:eastAsia="仿宋" w:cs="仿宋"/>
                <w:snapToGrid/>
                <w:color w:val="auto"/>
                <w:sz w:val="24"/>
                <w:szCs w:val="24"/>
                <w:highlight w:val="none"/>
              </w:rPr>
            </w:pPr>
          </w:p>
        </w:tc>
      </w:tr>
      <w:tr w14:paraId="17153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5"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14:paraId="2384D20E">
            <w:pPr>
              <w:snapToGrid w:val="0"/>
              <w:spacing w:before="50" w:after="50"/>
              <w:jc w:val="center"/>
              <w:rPr>
                <w:rFonts w:hint="eastAsia" w:ascii="仿宋" w:hAnsi="仿宋" w:eastAsia="仿宋" w:cs="仿宋"/>
                <w:b/>
                <w:bCs/>
                <w:color w:val="auto"/>
                <w:sz w:val="24"/>
                <w:highlight w:val="none"/>
              </w:rPr>
            </w:pPr>
            <w:r>
              <w:rPr>
                <w:rFonts w:hint="eastAsia" w:ascii="仿宋" w:eastAsia="仿宋"/>
                <w:b/>
                <w:bCs/>
                <w:color w:val="auto"/>
                <w:kern w:val="0"/>
                <w:sz w:val="24"/>
                <w:highlight w:val="none"/>
              </w:rPr>
              <w:t>付款方式</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5A5C947C">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3191" w:type="dxa"/>
            <w:tcBorders>
              <w:top w:val="single" w:color="auto" w:sz="4" w:space="0"/>
              <w:left w:val="single" w:color="auto" w:sz="4" w:space="0"/>
              <w:bottom w:val="single" w:color="auto" w:sz="4" w:space="0"/>
              <w:right w:val="single" w:color="auto" w:sz="4" w:space="0"/>
            </w:tcBorders>
            <w:noWrap w:val="0"/>
            <w:vAlign w:val="top"/>
          </w:tcPr>
          <w:p w14:paraId="458A4360">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top"/>
          </w:tcPr>
          <w:p w14:paraId="12AB3E41">
            <w:pPr>
              <w:pStyle w:val="11"/>
              <w:snapToGrid w:val="0"/>
              <w:spacing w:before="120" w:after="120"/>
              <w:jc w:val="center"/>
              <w:outlineLvl w:val="0"/>
              <w:rPr>
                <w:rFonts w:hint="eastAsia" w:ascii="仿宋" w:hAnsi="仿宋" w:eastAsia="仿宋" w:cs="仿宋"/>
                <w:snapToGrid/>
                <w:color w:val="auto"/>
                <w:sz w:val="24"/>
                <w:szCs w:val="24"/>
                <w:highlight w:val="none"/>
              </w:rPr>
            </w:pPr>
          </w:p>
        </w:tc>
      </w:tr>
      <w:tr w14:paraId="4651B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14:paraId="4267B372">
            <w:pPr>
              <w:snapToGrid w:val="0"/>
              <w:spacing w:before="50" w:after="50"/>
              <w:jc w:val="center"/>
              <w:rPr>
                <w:rFonts w:hint="eastAsia" w:ascii="仿宋" w:hAnsi="仿宋" w:eastAsia="仿宋" w:cs="仿宋"/>
                <w:b/>
                <w:bCs/>
                <w:color w:val="auto"/>
                <w:sz w:val="24"/>
                <w:highlight w:val="none"/>
              </w:rPr>
            </w:pPr>
            <w:r>
              <w:rPr>
                <w:rFonts w:hint="eastAsia" w:ascii="仿宋" w:hAnsi="仿宋" w:eastAsia="仿宋"/>
                <w:b/>
                <w:bCs/>
                <w:color w:val="auto"/>
                <w:sz w:val="24"/>
                <w:highlight w:val="none"/>
              </w:rPr>
              <w:t>其他要求</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46C456F7">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3191" w:type="dxa"/>
            <w:tcBorders>
              <w:top w:val="single" w:color="auto" w:sz="4" w:space="0"/>
              <w:left w:val="single" w:color="auto" w:sz="4" w:space="0"/>
              <w:bottom w:val="single" w:color="auto" w:sz="4" w:space="0"/>
              <w:right w:val="single" w:color="auto" w:sz="4" w:space="0"/>
            </w:tcBorders>
            <w:noWrap w:val="0"/>
            <w:vAlign w:val="top"/>
          </w:tcPr>
          <w:p w14:paraId="71A89EBC">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top"/>
          </w:tcPr>
          <w:p w14:paraId="1948E3ED">
            <w:pPr>
              <w:pStyle w:val="11"/>
              <w:snapToGrid w:val="0"/>
              <w:spacing w:before="120" w:after="120"/>
              <w:jc w:val="center"/>
              <w:outlineLvl w:val="0"/>
              <w:rPr>
                <w:rFonts w:hint="eastAsia" w:ascii="仿宋" w:hAnsi="仿宋" w:eastAsia="仿宋" w:cs="仿宋"/>
                <w:snapToGrid/>
                <w:color w:val="auto"/>
                <w:sz w:val="24"/>
                <w:szCs w:val="24"/>
                <w:highlight w:val="none"/>
              </w:rPr>
            </w:pPr>
          </w:p>
        </w:tc>
      </w:tr>
      <w:tr w14:paraId="1B6C8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14:paraId="2207146D">
            <w:pPr>
              <w:snapToGrid w:val="0"/>
              <w:spacing w:before="50" w:after="50"/>
              <w:jc w:val="center"/>
              <w:rPr>
                <w:rFonts w:hint="eastAsia" w:ascii="仿宋" w:hAnsi="仿宋" w:eastAsia="仿宋" w:cs="仿宋"/>
                <w:b/>
                <w:bCs/>
                <w:color w:val="auto"/>
                <w:sz w:val="24"/>
                <w:highlight w:val="none"/>
              </w:rPr>
            </w:pPr>
            <w:r>
              <w:rPr>
                <w:rFonts w:hint="eastAsia" w:ascii="仿宋" w:hAnsi="仿宋" w:eastAsia="仿宋"/>
                <w:b/>
                <w:bCs/>
                <w:color w:val="auto"/>
                <w:sz w:val="24"/>
                <w:highlight w:val="none"/>
              </w:rPr>
              <w:t>结算原则</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5EC20A5B">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3191" w:type="dxa"/>
            <w:tcBorders>
              <w:top w:val="single" w:color="auto" w:sz="4" w:space="0"/>
              <w:left w:val="single" w:color="auto" w:sz="4" w:space="0"/>
              <w:bottom w:val="single" w:color="auto" w:sz="4" w:space="0"/>
              <w:right w:val="single" w:color="auto" w:sz="4" w:space="0"/>
            </w:tcBorders>
            <w:noWrap w:val="0"/>
            <w:vAlign w:val="top"/>
          </w:tcPr>
          <w:p w14:paraId="2D13D8C8">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top"/>
          </w:tcPr>
          <w:p w14:paraId="5EADDC4C">
            <w:pPr>
              <w:pStyle w:val="11"/>
              <w:snapToGrid w:val="0"/>
              <w:spacing w:before="120" w:after="120"/>
              <w:jc w:val="center"/>
              <w:outlineLvl w:val="0"/>
              <w:rPr>
                <w:rFonts w:hint="eastAsia" w:ascii="仿宋" w:hAnsi="仿宋" w:eastAsia="仿宋" w:cs="仿宋"/>
                <w:snapToGrid/>
                <w:color w:val="auto"/>
                <w:sz w:val="24"/>
                <w:szCs w:val="24"/>
                <w:highlight w:val="none"/>
              </w:rPr>
            </w:pPr>
          </w:p>
        </w:tc>
      </w:tr>
      <w:tr w14:paraId="35B09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1315" w:type="dxa"/>
            <w:tcBorders>
              <w:top w:val="single" w:color="auto" w:sz="4" w:space="0"/>
              <w:left w:val="single" w:color="auto" w:sz="4" w:space="0"/>
              <w:bottom w:val="single" w:color="auto" w:sz="4" w:space="0"/>
              <w:right w:val="single" w:color="auto" w:sz="4" w:space="0"/>
            </w:tcBorders>
            <w:noWrap w:val="0"/>
            <w:vAlign w:val="center"/>
          </w:tcPr>
          <w:p w14:paraId="191B1F9E">
            <w:pPr>
              <w:snapToGrid w:val="0"/>
              <w:spacing w:before="50" w:after="50"/>
              <w:jc w:val="center"/>
              <w:rPr>
                <w:rFonts w:hint="eastAsia" w:ascii="仿宋" w:eastAsia="仿宋"/>
                <w:b/>
                <w:bCs/>
                <w:color w:val="000000"/>
                <w:kern w:val="0"/>
                <w:sz w:val="24"/>
                <w:highlight w:val="none"/>
                <w:lang w:eastAsia="zh-CN"/>
              </w:rPr>
            </w:pPr>
            <w:r>
              <w:rPr>
                <w:rFonts w:hint="eastAsia" w:ascii="仿宋" w:eastAsia="仿宋"/>
                <w:b/>
                <w:bCs/>
                <w:color w:val="000000"/>
                <w:kern w:val="0"/>
                <w:sz w:val="24"/>
                <w:highlight w:val="none"/>
                <w:lang w:eastAsia="zh-CN"/>
              </w:rPr>
              <w:t>……</w:t>
            </w:r>
          </w:p>
        </w:tc>
        <w:tc>
          <w:tcPr>
            <w:tcW w:w="3124" w:type="dxa"/>
            <w:tcBorders>
              <w:top w:val="single" w:color="auto" w:sz="4" w:space="0"/>
              <w:left w:val="single" w:color="auto" w:sz="4" w:space="0"/>
              <w:bottom w:val="single" w:color="auto" w:sz="4" w:space="0"/>
              <w:right w:val="single" w:color="auto" w:sz="4" w:space="0"/>
            </w:tcBorders>
            <w:noWrap w:val="0"/>
            <w:vAlign w:val="center"/>
          </w:tcPr>
          <w:p w14:paraId="73CCFF7A">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3191" w:type="dxa"/>
            <w:tcBorders>
              <w:top w:val="single" w:color="auto" w:sz="4" w:space="0"/>
              <w:left w:val="single" w:color="auto" w:sz="4" w:space="0"/>
              <w:bottom w:val="single" w:color="auto" w:sz="4" w:space="0"/>
              <w:right w:val="single" w:color="auto" w:sz="4" w:space="0"/>
            </w:tcBorders>
            <w:noWrap w:val="0"/>
            <w:vAlign w:val="top"/>
          </w:tcPr>
          <w:p w14:paraId="195E0055">
            <w:pPr>
              <w:pStyle w:val="11"/>
              <w:snapToGrid w:val="0"/>
              <w:spacing w:before="120" w:after="120"/>
              <w:jc w:val="center"/>
              <w:outlineLvl w:val="0"/>
              <w:rPr>
                <w:rFonts w:hint="eastAsia" w:ascii="仿宋" w:hAnsi="仿宋" w:eastAsia="仿宋" w:cs="仿宋"/>
                <w:snapToGrid/>
                <w:color w:val="auto"/>
                <w:sz w:val="24"/>
                <w:szCs w:val="24"/>
                <w:highlight w:val="none"/>
              </w:rPr>
            </w:pPr>
          </w:p>
        </w:tc>
        <w:tc>
          <w:tcPr>
            <w:tcW w:w="1248" w:type="dxa"/>
            <w:tcBorders>
              <w:top w:val="single" w:color="auto" w:sz="4" w:space="0"/>
              <w:left w:val="single" w:color="auto" w:sz="4" w:space="0"/>
              <w:bottom w:val="single" w:color="auto" w:sz="4" w:space="0"/>
              <w:right w:val="single" w:color="auto" w:sz="4" w:space="0"/>
            </w:tcBorders>
            <w:noWrap w:val="0"/>
            <w:vAlign w:val="top"/>
          </w:tcPr>
          <w:p w14:paraId="1C3F2E73">
            <w:pPr>
              <w:pStyle w:val="11"/>
              <w:snapToGrid w:val="0"/>
              <w:spacing w:before="120" w:after="120"/>
              <w:jc w:val="center"/>
              <w:outlineLvl w:val="0"/>
              <w:rPr>
                <w:rFonts w:hint="eastAsia" w:ascii="仿宋" w:hAnsi="仿宋" w:eastAsia="仿宋" w:cs="仿宋"/>
                <w:snapToGrid/>
                <w:color w:val="auto"/>
                <w:sz w:val="24"/>
                <w:szCs w:val="24"/>
                <w:highlight w:val="none"/>
              </w:rPr>
            </w:pPr>
          </w:p>
        </w:tc>
      </w:tr>
    </w:tbl>
    <w:p w14:paraId="74DA960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98CCE5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1、投标人应对照采购文件要求和投标文件响应情况在“偏离情况”栏注明“正偏离”、“负偏离”或“无偏离”。</w:t>
      </w:r>
    </w:p>
    <w:p w14:paraId="0489FD59">
      <w:pPr>
        <w:spacing w:line="360" w:lineRule="auto"/>
        <w:ind w:right="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2、“类别”一栏按采购文件第三章中商务要求的分类填写。</w:t>
      </w:r>
    </w:p>
    <w:p w14:paraId="441330F8">
      <w:pPr>
        <w:spacing w:line="360" w:lineRule="auto"/>
        <w:ind w:right="420"/>
        <w:rPr>
          <w:rFonts w:hint="eastAsia" w:ascii="仿宋" w:hAnsi="仿宋" w:eastAsia="仿宋" w:cs="仿宋"/>
          <w:color w:val="auto"/>
          <w:sz w:val="24"/>
          <w:highlight w:val="none"/>
        </w:rPr>
      </w:pPr>
    </w:p>
    <w:p w14:paraId="38E14FD4">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57D1627">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2A6430B3">
      <w:pPr>
        <w:tabs>
          <w:tab w:val="left" w:pos="2790"/>
          <w:tab w:val="left" w:pos="4230"/>
        </w:tabs>
        <w:autoSpaceDE w:val="0"/>
        <w:autoSpaceDN w:val="0"/>
        <w:spacing w:line="360" w:lineRule="auto"/>
        <w:ind w:right="1400"/>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kern w:val="0"/>
          <w:sz w:val="36"/>
          <w:szCs w:val="36"/>
          <w:highlight w:val="none"/>
          <w:lang w:val="zh-CN"/>
        </w:rPr>
        <w:br w:type="page"/>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、项目组织实施方案</w:t>
      </w:r>
    </w:p>
    <w:p w14:paraId="7E7403D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（由投标人根据采购需求及招标文件要求编制）</w:t>
      </w:r>
    </w:p>
    <w:p w14:paraId="756E8B1A">
      <w:pPr>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、项目负责人情况表</w:t>
      </w:r>
    </w:p>
    <w:p w14:paraId="1B0C8B71">
      <w:pPr>
        <w:spacing w:line="360" w:lineRule="auto"/>
        <w:jc w:val="center"/>
        <w:rPr>
          <w:rFonts w:hint="eastAsia" w:ascii="仿宋" w:hAnsi="仿宋" w:eastAsia="仿宋" w:cs="仿宋"/>
          <w:color w:val="auto"/>
          <w:sz w:val="24"/>
          <w:highlight w:val="none"/>
        </w:rPr>
      </w:pPr>
    </w:p>
    <w:tbl>
      <w:tblPr>
        <w:tblStyle w:val="17"/>
        <w:tblW w:w="0" w:type="auto"/>
        <w:tblInd w:w="108" w:type="dxa"/>
        <w:tblLayout w:type="fixed"/>
        <w:tblCellMar>
          <w:top w:w="0" w:type="dxa"/>
          <w:left w:w="108" w:type="dxa"/>
          <w:bottom w:w="0" w:type="dxa"/>
          <w:right w:w="108" w:type="dxa"/>
        </w:tblCellMar>
      </w:tblPr>
      <w:tblGrid>
        <w:gridCol w:w="1953"/>
        <w:gridCol w:w="1308"/>
        <w:gridCol w:w="5811"/>
      </w:tblGrid>
      <w:tr w14:paraId="47D3C341">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2CE208C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14:paraId="1139E785">
            <w:pPr>
              <w:autoSpaceDE w:val="0"/>
              <w:autoSpaceDN w:val="0"/>
              <w:spacing w:line="360" w:lineRule="auto"/>
              <w:jc w:val="center"/>
              <w:rPr>
                <w:rFonts w:hint="eastAsia" w:ascii="仿宋" w:hAnsi="仿宋" w:eastAsia="仿宋" w:cs="仿宋"/>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14:paraId="1B55AE9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投标截止时间前三年业绩及承担的主要工作情况，曾担任项目负责人的项目应列明细</w:t>
            </w:r>
          </w:p>
        </w:tc>
      </w:tr>
      <w:tr w14:paraId="076FC026">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520864E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2DBC4C31">
            <w:pPr>
              <w:autoSpaceDE w:val="0"/>
              <w:autoSpaceDN w:val="0"/>
              <w:spacing w:line="360" w:lineRule="auto"/>
              <w:jc w:val="center"/>
              <w:rPr>
                <w:rFonts w:hint="eastAsia" w:ascii="仿宋" w:hAnsi="仿宋" w:eastAsia="仿宋" w:cs="仿宋"/>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14:paraId="1E9FB793">
            <w:pPr>
              <w:autoSpaceDE w:val="0"/>
              <w:autoSpaceDN w:val="0"/>
              <w:spacing w:line="360" w:lineRule="auto"/>
              <w:jc w:val="center"/>
              <w:rPr>
                <w:rFonts w:hint="eastAsia" w:ascii="仿宋" w:hAnsi="仿宋" w:eastAsia="仿宋" w:cs="仿宋"/>
                <w:color w:val="auto"/>
                <w:sz w:val="24"/>
                <w:highlight w:val="none"/>
              </w:rPr>
            </w:pPr>
          </w:p>
        </w:tc>
      </w:tr>
      <w:tr w14:paraId="789ACAA6">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6CB922A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3684F678">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78E8AB8F">
            <w:pPr>
              <w:autoSpaceDE w:val="0"/>
              <w:autoSpaceDN w:val="0"/>
              <w:spacing w:line="360" w:lineRule="auto"/>
              <w:jc w:val="center"/>
              <w:rPr>
                <w:rFonts w:hint="eastAsia" w:ascii="仿宋" w:hAnsi="仿宋" w:eastAsia="仿宋" w:cs="仿宋"/>
                <w:color w:val="auto"/>
                <w:sz w:val="24"/>
                <w:highlight w:val="none"/>
              </w:rPr>
            </w:pPr>
          </w:p>
        </w:tc>
      </w:tr>
      <w:tr w14:paraId="6E9D1799">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1D2E687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1A0AD452">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2C0263FF">
            <w:pPr>
              <w:autoSpaceDE w:val="0"/>
              <w:autoSpaceDN w:val="0"/>
              <w:spacing w:line="360" w:lineRule="auto"/>
              <w:jc w:val="center"/>
              <w:rPr>
                <w:rFonts w:hint="eastAsia" w:ascii="仿宋" w:hAnsi="仿宋" w:eastAsia="仿宋" w:cs="仿宋"/>
                <w:color w:val="auto"/>
                <w:sz w:val="24"/>
                <w:highlight w:val="none"/>
              </w:rPr>
            </w:pPr>
          </w:p>
        </w:tc>
      </w:tr>
      <w:tr w14:paraId="72FCD358">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4C0F75F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234F3151">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3BE3B263">
            <w:pPr>
              <w:autoSpaceDE w:val="0"/>
              <w:autoSpaceDN w:val="0"/>
              <w:spacing w:line="360" w:lineRule="auto"/>
              <w:jc w:val="center"/>
              <w:rPr>
                <w:rFonts w:hint="eastAsia" w:ascii="仿宋" w:hAnsi="仿宋" w:eastAsia="仿宋" w:cs="仿宋"/>
                <w:color w:val="auto"/>
                <w:sz w:val="24"/>
                <w:highlight w:val="none"/>
              </w:rPr>
            </w:pPr>
          </w:p>
        </w:tc>
      </w:tr>
      <w:tr w14:paraId="10F40FD0">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664CE9E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39F1EDE7">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21B98D03">
            <w:pPr>
              <w:autoSpaceDE w:val="0"/>
              <w:autoSpaceDN w:val="0"/>
              <w:spacing w:line="360" w:lineRule="auto"/>
              <w:jc w:val="center"/>
              <w:rPr>
                <w:rFonts w:hint="eastAsia" w:ascii="仿宋" w:hAnsi="仿宋" w:eastAsia="仿宋" w:cs="仿宋"/>
                <w:color w:val="auto"/>
                <w:sz w:val="24"/>
                <w:highlight w:val="none"/>
              </w:rPr>
            </w:pPr>
          </w:p>
        </w:tc>
      </w:tr>
      <w:tr w14:paraId="5341D9DE">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4EA766A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0BEAAA1A">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1ED300A1">
            <w:pPr>
              <w:autoSpaceDE w:val="0"/>
              <w:autoSpaceDN w:val="0"/>
              <w:spacing w:line="360" w:lineRule="auto"/>
              <w:jc w:val="center"/>
              <w:rPr>
                <w:rFonts w:hint="eastAsia" w:ascii="仿宋" w:hAnsi="仿宋" w:eastAsia="仿宋" w:cs="仿宋"/>
                <w:color w:val="auto"/>
                <w:sz w:val="24"/>
                <w:highlight w:val="none"/>
              </w:rPr>
            </w:pPr>
          </w:p>
        </w:tc>
      </w:tr>
      <w:tr w14:paraId="355D6FB9">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077A4BC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705F2045">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3A968E2D">
            <w:pPr>
              <w:autoSpaceDE w:val="0"/>
              <w:autoSpaceDN w:val="0"/>
              <w:spacing w:line="360" w:lineRule="auto"/>
              <w:jc w:val="center"/>
              <w:rPr>
                <w:rFonts w:hint="eastAsia" w:ascii="仿宋" w:hAnsi="仿宋" w:eastAsia="仿宋" w:cs="仿宋"/>
                <w:color w:val="auto"/>
                <w:sz w:val="24"/>
                <w:highlight w:val="none"/>
              </w:rPr>
            </w:pPr>
          </w:p>
        </w:tc>
      </w:tr>
      <w:tr w14:paraId="196D6E8B">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1B6F2E9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6B686F73">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0392B9C5">
            <w:pPr>
              <w:autoSpaceDE w:val="0"/>
              <w:autoSpaceDN w:val="0"/>
              <w:spacing w:line="360" w:lineRule="auto"/>
              <w:jc w:val="center"/>
              <w:rPr>
                <w:rFonts w:hint="eastAsia" w:ascii="仿宋" w:hAnsi="仿宋" w:eastAsia="仿宋" w:cs="仿宋"/>
                <w:color w:val="auto"/>
                <w:sz w:val="24"/>
                <w:highlight w:val="none"/>
              </w:rPr>
            </w:pPr>
          </w:p>
        </w:tc>
      </w:tr>
      <w:tr w14:paraId="2DB86691">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14:paraId="770F905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14:paraId="26503CEB">
            <w:pPr>
              <w:autoSpaceDE w:val="0"/>
              <w:autoSpaceDN w:val="0"/>
              <w:spacing w:line="360" w:lineRule="auto"/>
              <w:jc w:val="center"/>
              <w:rPr>
                <w:rFonts w:hint="eastAsia" w:ascii="仿宋" w:hAnsi="仿宋" w:eastAsia="仿宋"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14:paraId="500B516D">
            <w:pPr>
              <w:autoSpaceDE w:val="0"/>
              <w:autoSpaceDN w:val="0"/>
              <w:spacing w:line="360" w:lineRule="auto"/>
              <w:jc w:val="center"/>
              <w:rPr>
                <w:rFonts w:hint="eastAsia" w:ascii="仿宋" w:hAnsi="仿宋" w:eastAsia="仿宋" w:cs="仿宋"/>
                <w:color w:val="auto"/>
                <w:sz w:val="24"/>
                <w:highlight w:val="none"/>
              </w:rPr>
            </w:pPr>
          </w:p>
        </w:tc>
      </w:tr>
    </w:tbl>
    <w:p w14:paraId="7187700C">
      <w:pPr>
        <w:spacing w:line="360" w:lineRule="auto"/>
        <w:ind w:right="420"/>
        <w:rPr>
          <w:rFonts w:hint="eastAsia" w:ascii="仿宋" w:hAnsi="仿宋" w:eastAsia="仿宋" w:cs="仿宋"/>
          <w:color w:val="auto"/>
          <w:sz w:val="24"/>
          <w:highlight w:val="none"/>
        </w:rPr>
      </w:pPr>
    </w:p>
    <w:p w14:paraId="0F3EA30B">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1823B9F3">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2F0D4712">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、项目组人员名单</w:t>
      </w:r>
    </w:p>
    <w:p w14:paraId="7D2C1A5C">
      <w:pPr>
        <w:spacing w:line="360" w:lineRule="auto"/>
        <w:rPr>
          <w:rFonts w:hint="eastAsia" w:ascii="仿宋" w:hAnsi="仿宋" w:eastAsia="仿宋" w:cs="仿宋"/>
          <w:color w:val="auto"/>
          <w:sz w:val="24"/>
          <w:highlight w:val="none"/>
        </w:rPr>
      </w:pPr>
    </w:p>
    <w:tbl>
      <w:tblPr>
        <w:tblStyle w:val="17"/>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19DFD028">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1438974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11B5191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14:paraId="58F2EA8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6BEA9EA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6C304E7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A84EC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0DCA853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14:paraId="3C93551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本项目中的工作内容</w:t>
            </w:r>
          </w:p>
        </w:tc>
      </w:tr>
      <w:tr w14:paraId="20BF8FB2">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14:paraId="21E93334">
            <w:pPr>
              <w:autoSpaceDE w:val="0"/>
              <w:autoSpaceDN w:val="0"/>
              <w:spacing w:line="360" w:lineRule="auto"/>
              <w:jc w:val="center"/>
              <w:rPr>
                <w:rFonts w:hint="eastAsia" w:ascii="仿宋" w:hAnsi="仿宋" w:eastAsia="仿宋" w:cs="仿宋"/>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094CD7B">
            <w:pPr>
              <w:autoSpaceDE w:val="0"/>
              <w:autoSpaceDN w:val="0"/>
              <w:spacing w:line="360" w:lineRule="auto"/>
              <w:jc w:val="center"/>
              <w:rPr>
                <w:rFonts w:hint="eastAsia" w:ascii="仿宋" w:hAnsi="仿宋" w:eastAsia="仿宋" w:cs="仿宋"/>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top"/>
          </w:tcPr>
          <w:p w14:paraId="56453BE9">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2D4CB027">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C0B670B">
            <w:pPr>
              <w:autoSpaceDE w:val="0"/>
              <w:autoSpaceDN w:val="0"/>
              <w:spacing w:line="360" w:lineRule="auto"/>
              <w:rPr>
                <w:rFonts w:hint="eastAsia" w:ascii="仿宋" w:hAnsi="仿宋" w:eastAsia="仿宋" w:cs="仿宋"/>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013D34FE">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3582114F">
            <w:pPr>
              <w:autoSpaceDE w:val="0"/>
              <w:autoSpaceDN w:val="0"/>
              <w:spacing w:line="360" w:lineRule="auto"/>
              <w:rPr>
                <w:rFonts w:hint="eastAsia" w:ascii="仿宋" w:hAnsi="仿宋" w:eastAsia="仿宋" w:cs="仿宋"/>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val="0"/>
            <w:vAlign w:val="top"/>
          </w:tcPr>
          <w:p w14:paraId="12965898">
            <w:pPr>
              <w:autoSpaceDE w:val="0"/>
              <w:autoSpaceDN w:val="0"/>
              <w:spacing w:line="360" w:lineRule="auto"/>
              <w:rPr>
                <w:rFonts w:hint="eastAsia" w:ascii="仿宋" w:hAnsi="仿宋" w:eastAsia="仿宋" w:cs="仿宋"/>
                <w:color w:val="auto"/>
                <w:sz w:val="24"/>
                <w:highlight w:val="none"/>
              </w:rPr>
            </w:pPr>
          </w:p>
        </w:tc>
      </w:tr>
      <w:tr w14:paraId="7E28C9C1">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14:paraId="742BDB9D">
            <w:pPr>
              <w:autoSpaceDE w:val="0"/>
              <w:autoSpaceDN w:val="0"/>
              <w:spacing w:line="360" w:lineRule="auto"/>
              <w:jc w:val="center"/>
              <w:rPr>
                <w:rFonts w:hint="eastAsia" w:ascii="仿宋" w:hAnsi="仿宋" w:eastAsia="仿宋" w:cs="仿宋"/>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EF3E6F6">
            <w:pPr>
              <w:autoSpaceDE w:val="0"/>
              <w:autoSpaceDN w:val="0"/>
              <w:spacing w:line="360" w:lineRule="auto"/>
              <w:jc w:val="center"/>
              <w:rPr>
                <w:rFonts w:hint="eastAsia" w:ascii="仿宋" w:hAnsi="仿宋" w:eastAsia="仿宋" w:cs="仿宋"/>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val="0"/>
            <w:vAlign w:val="top"/>
          </w:tcPr>
          <w:p w14:paraId="21FA1DB5">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6AB8F040">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7372A513">
            <w:pPr>
              <w:autoSpaceDE w:val="0"/>
              <w:autoSpaceDN w:val="0"/>
              <w:spacing w:line="360" w:lineRule="auto"/>
              <w:rPr>
                <w:rFonts w:hint="eastAsia" w:ascii="仿宋" w:hAnsi="仿宋" w:eastAsia="仿宋" w:cs="仿宋"/>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A64FC37">
            <w:pPr>
              <w:autoSpaceDE w:val="0"/>
              <w:autoSpaceDN w:val="0"/>
              <w:spacing w:line="360" w:lineRule="auto"/>
              <w:rPr>
                <w:rFonts w:hint="eastAsia" w:ascii="仿宋" w:hAnsi="仿宋" w:eastAsia="仿宋"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48826638">
            <w:pPr>
              <w:autoSpaceDE w:val="0"/>
              <w:autoSpaceDN w:val="0"/>
              <w:spacing w:line="360" w:lineRule="auto"/>
              <w:rPr>
                <w:rFonts w:hint="eastAsia" w:ascii="仿宋" w:hAnsi="仿宋" w:eastAsia="仿宋" w:cs="仿宋"/>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val="0"/>
            <w:vAlign w:val="top"/>
          </w:tcPr>
          <w:p w14:paraId="7A3719D8">
            <w:pPr>
              <w:autoSpaceDE w:val="0"/>
              <w:autoSpaceDN w:val="0"/>
              <w:spacing w:line="360" w:lineRule="auto"/>
              <w:rPr>
                <w:rFonts w:hint="eastAsia" w:ascii="仿宋" w:hAnsi="仿宋" w:eastAsia="仿宋" w:cs="仿宋"/>
                <w:color w:val="auto"/>
                <w:sz w:val="24"/>
                <w:highlight w:val="none"/>
              </w:rPr>
            </w:pPr>
          </w:p>
        </w:tc>
      </w:tr>
    </w:tbl>
    <w:p w14:paraId="52C1806C">
      <w:pPr>
        <w:autoSpaceDE w:val="0"/>
        <w:autoSpaceDN w:val="0"/>
        <w:spacing w:line="360" w:lineRule="auto"/>
        <w:ind w:firstLine="4578" w:firstLineChars="1900"/>
        <w:rPr>
          <w:rFonts w:hint="eastAsia" w:ascii="仿宋" w:hAnsi="仿宋" w:eastAsia="仿宋" w:cs="仿宋"/>
          <w:b/>
          <w:color w:val="auto"/>
          <w:sz w:val="24"/>
          <w:highlight w:val="none"/>
        </w:rPr>
      </w:pPr>
    </w:p>
    <w:p w14:paraId="33C8C67A">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3704F208">
      <w:pPr>
        <w:snapToGrid w:val="0"/>
        <w:spacing w:before="50" w:after="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5FEBB70B">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、售后服务方案（如有）</w:t>
      </w:r>
    </w:p>
    <w:p w14:paraId="54D3644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（由投标人根据采购需求及招标文件要求编制）</w:t>
      </w:r>
    </w:p>
    <w:p w14:paraId="1E853DAB">
      <w:pPr>
        <w:spacing w:line="360" w:lineRule="auto"/>
        <w:rPr>
          <w:rFonts w:hint="eastAsia" w:ascii="仿宋" w:hAnsi="仿宋" w:eastAsia="仿宋" w:cs="仿宋"/>
          <w:color w:val="auto"/>
          <w:sz w:val="24"/>
          <w:highlight w:val="none"/>
        </w:rPr>
      </w:pPr>
    </w:p>
    <w:p w14:paraId="0F491774">
      <w:pPr>
        <w:spacing w:line="360" w:lineRule="auto"/>
        <w:rPr>
          <w:rFonts w:hint="eastAsia" w:ascii="仿宋" w:hAnsi="仿宋" w:eastAsia="仿宋" w:cs="仿宋"/>
          <w:b/>
          <w:bCs/>
          <w:color w:val="auto"/>
          <w:sz w:val="32"/>
          <w:szCs w:val="32"/>
          <w:highlight w:val="none"/>
        </w:rPr>
      </w:pPr>
    </w:p>
    <w:p w14:paraId="5B271F2A">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br w:type="textWrapping"/>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优惠条件及特殊承诺（如有）</w:t>
      </w:r>
    </w:p>
    <w:p w14:paraId="7329D06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（由投标人根据采购需求及招标文件要求编制）</w:t>
      </w:r>
    </w:p>
    <w:p w14:paraId="3681F752">
      <w:pPr>
        <w:autoSpaceDE w:val="0"/>
        <w:autoSpaceDN w:val="0"/>
        <w:spacing w:line="360" w:lineRule="auto"/>
        <w:ind w:firstLine="120"/>
        <w:rPr>
          <w:rFonts w:hint="eastAsia" w:ascii="仿宋" w:hAnsi="仿宋" w:eastAsia="仿宋" w:cs="仿宋"/>
          <w:color w:val="auto"/>
          <w:kern w:val="0"/>
          <w:sz w:val="24"/>
          <w:highlight w:val="none"/>
        </w:rPr>
      </w:pPr>
    </w:p>
    <w:p w14:paraId="38EFA72B">
      <w:pPr>
        <w:autoSpaceDE w:val="0"/>
        <w:autoSpaceDN w:val="0"/>
        <w:spacing w:line="360" w:lineRule="auto"/>
        <w:ind w:firstLine="120"/>
        <w:rPr>
          <w:rFonts w:hint="eastAsia" w:ascii="仿宋" w:hAnsi="仿宋" w:eastAsia="仿宋" w:cs="仿宋"/>
          <w:color w:val="auto"/>
          <w:sz w:val="24"/>
          <w:highlight w:val="none"/>
        </w:rPr>
      </w:pPr>
    </w:p>
    <w:p w14:paraId="6DA9EA49">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textWrapping"/>
      </w:r>
      <w:r>
        <w:rPr>
          <w:rFonts w:hint="eastAsia" w:ascii="仿宋" w:hAnsi="仿宋" w:eastAsia="仿宋" w:cs="仿宋"/>
          <w:b/>
          <w:bCs/>
          <w:color w:val="auto"/>
          <w:sz w:val="32"/>
          <w:szCs w:val="32"/>
          <w:highlight w:val="none"/>
        </w:rPr>
        <w:t>十、投标人认为需要的其他商务技术文件或说明</w:t>
      </w:r>
    </w:p>
    <w:p w14:paraId="43700EA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（由投标人根据采购需求及招标文件要求编制）</w:t>
      </w:r>
    </w:p>
    <w:p w14:paraId="08C4FF30">
      <w:pPr>
        <w:spacing w:line="360" w:lineRule="auto"/>
        <w:jc w:val="center"/>
        <w:rPr>
          <w:rFonts w:hint="eastAsia" w:ascii="仿宋" w:hAnsi="仿宋" w:eastAsia="仿宋" w:cs="仿宋"/>
          <w:color w:val="auto"/>
          <w:sz w:val="24"/>
          <w:highlight w:val="none"/>
        </w:rPr>
      </w:pPr>
    </w:p>
    <w:p w14:paraId="3F193204">
      <w:pPr>
        <w:spacing w:line="360" w:lineRule="auto"/>
        <w:rPr>
          <w:rFonts w:hint="eastAsia" w:ascii="仿宋" w:hAnsi="仿宋" w:eastAsia="仿宋" w:cs="仿宋"/>
          <w:b/>
          <w:bCs/>
          <w:color w:val="auto"/>
          <w:sz w:val="30"/>
          <w:szCs w:val="30"/>
          <w:highlight w:val="none"/>
        </w:rPr>
      </w:pPr>
    </w:p>
    <w:p w14:paraId="75D389A0">
      <w:pPr>
        <w:pStyle w:val="26"/>
        <w:keepNext w:val="0"/>
        <w:pageBreakBefore w:val="0"/>
        <w:tabs>
          <w:tab w:val="clear" w:pos="720"/>
        </w:tabs>
        <w:snapToGrid w:val="0"/>
        <w:jc w:val="both"/>
        <w:outlineLvl w:val="9"/>
        <w:rPr>
          <w:rFonts w:hint="eastAsia" w:ascii="仿宋" w:hAnsi="仿宋" w:eastAsia="仿宋" w:cs="仿宋"/>
          <w:b w:val="0"/>
          <w:color w:val="auto"/>
          <w:sz w:val="24"/>
          <w:highlight w:val="none"/>
        </w:rPr>
      </w:pPr>
    </w:p>
    <w:p w14:paraId="51A75DDF">
      <w:pPr>
        <w:pStyle w:val="26"/>
        <w:keepNext w:val="0"/>
        <w:pageBreakBefore w:val="0"/>
        <w:tabs>
          <w:tab w:val="clear" w:pos="720"/>
        </w:tabs>
        <w:snapToGrid w:val="0"/>
        <w:jc w:val="both"/>
        <w:outlineLvl w:val="9"/>
        <w:rPr>
          <w:rFonts w:hint="eastAsia" w:ascii="仿宋" w:hAnsi="仿宋" w:eastAsia="仿宋" w:cs="仿宋"/>
          <w:b w:val="0"/>
          <w:color w:val="auto"/>
          <w:sz w:val="24"/>
          <w:highlight w:val="none"/>
        </w:rPr>
      </w:pPr>
    </w:p>
    <w:p w14:paraId="11064E59">
      <w:pPr>
        <w:pStyle w:val="26"/>
        <w:keepNext w:val="0"/>
        <w:pageBreakBefore w:val="0"/>
        <w:tabs>
          <w:tab w:val="clear" w:pos="720"/>
        </w:tabs>
        <w:snapToGrid w:val="0"/>
        <w:jc w:val="both"/>
        <w:outlineLvl w:val="9"/>
        <w:rPr>
          <w:rFonts w:hint="eastAsia" w:ascii="仿宋" w:hAnsi="仿宋" w:eastAsia="仿宋" w:cs="仿宋"/>
          <w:b w:val="0"/>
          <w:color w:val="auto"/>
          <w:sz w:val="24"/>
          <w:highlight w:val="none"/>
        </w:rPr>
      </w:pPr>
    </w:p>
    <w:p w14:paraId="2AD7890C">
      <w:pPr>
        <w:pStyle w:val="26"/>
        <w:keepNext w:val="0"/>
        <w:pageBreakBefore w:val="0"/>
        <w:tabs>
          <w:tab w:val="clear" w:pos="720"/>
        </w:tabs>
        <w:snapToGrid w:val="0"/>
        <w:jc w:val="both"/>
        <w:outlineLvl w:val="9"/>
        <w:rPr>
          <w:rFonts w:hint="eastAsia" w:ascii="仿宋" w:hAnsi="仿宋" w:eastAsia="仿宋" w:cs="仿宋"/>
          <w:b w:val="0"/>
          <w:color w:val="auto"/>
          <w:sz w:val="24"/>
          <w:highlight w:val="none"/>
        </w:rPr>
      </w:pPr>
    </w:p>
    <w:p w14:paraId="395F0A38">
      <w:pPr>
        <w:pStyle w:val="26"/>
        <w:keepNext w:val="0"/>
        <w:pageBreakBefore w:val="0"/>
        <w:tabs>
          <w:tab w:val="clear" w:pos="720"/>
        </w:tabs>
        <w:snapToGrid w:val="0"/>
        <w:jc w:val="both"/>
        <w:outlineLvl w:val="9"/>
        <w:rPr>
          <w:rFonts w:hint="eastAsia" w:ascii="仿宋" w:hAnsi="仿宋" w:eastAsia="仿宋" w:cs="仿宋"/>
          <w:b w:val="0"/>
          <w:color w:val="auto"/>
          <w:sz w:val="24"/>
          <w:highlight w:val="none"/>
        </w:rPr>
      </w:pPr>
    </w:p>
    <w:p w14:paraId="3C0CD8DF">
      <w:pPr>
        <w:pStyle w:val="26"/>
        <w:keepNext w:val="0"/>
        <w:pageBreakBefore w:val="0"/>
        <w:tabs>
          <w:tab w:val="clear" w:pos="720"/>
        </w:tabs>
        <w:snapToGrid w:val="0"/>
        <w:jc w:val="both"/>
        <w:outlineLvl w:val="9"/>
        <w:rPr>
          <w:rFonts w:hint="eastAsia" w:ascii="仿宋" w:hAnsi="仿宋" w:eastAsia="仿宋" w:cs="仿宋"/>
          <w:b w:val="0"/>
          <w:color w:val="auto"/>
          <w:sz w:val="24"/>
          <w:highlight w:val="none"/>
        </w:rPr>
      </w:pPr>
    </w:p>
    <w:p w14:paraId="64275429">
      <w:pPr>
        <w:pStyle w:val="26"/>
        <w:keepNext w:val="0"/>
        <w:pageBreakBefore w:val="0"/>
        <w:tabs>
          <w:tab w:val="clear" w:pos="720"/>
        </w:tabs>
        <w:snapToGrid w:val="0"/>
        <w:jc w:val="both"/>
        <w:outlineLvl w:val="9"/>
        <w:rPr>
          <w:rFonts w:hint="eastAsia" w:ascii="仿宋" w:hAnsi="仿宋" w:eastAsia="仿宋" w:cs="仿宋"/>
          <w:b w:val="0"/>
          <w:color w:val="auto"/>
          <w:sz w:val="24"/>
          <w:highlight w:val="none"/>
        </w:rPr>
      </w:pPr>
    </w:p>
    <w:p w14:paraId="35C64D9D">
      <w:pPr>
        <w:pStyle w:val="26"/>
        <w:keepNext w:val="0"/>
        <w:pageBreakBefore w:val="0"/>
        <w:tabs>
          <w:tab w:val="clear" w:pos="720"/>
        </w:tabs>
        <w:snapToGrid w:val="0"/>
        <w:jc w:val="both"/>
        <w:outlineLvl w:val="9"/>
        <w:rPr>
          <w:rFonts w:hint="eastAsia" w:ascii="仿宋" w:hAnsi="仿宋" w:eastAsia="仿宋" w:cs="仿宋"/>
          <w:b w:val="0"/>
          <w:color w:val="auto"/>
          <w:sz w:val="24"/>
          <w:highlight w:val="none"/>
        </w:rPr>
      </w:pPr>
    </w:p>
    <w:p w14:paraId="0255F0E4">
      <w:pPr>
        <w:pStyle w:val="26"/>
        <w:keepNext w:val="0"/>
        <w:pageBreakBefore w:val="0"/>
        <w:tabs>
          <w:tab w:val="clear" w:pos="720"/>
        </w:tabs>
        <w:snapToGrid w:val="0"/>
        <w:jc w:val="both"/>
        <w:outlineLvl w:val="9"/>
        <w:rPr>
          <w:rFonts w:hint="eastAsia" w:ascii="仿宋" w:hAnsi="仿宋" w:eastAsia="仿宋" w:cs="仿宋"/>
          <w:b w:val="0"/>
          <w:color w:val="auto"/>
          <w:sz w:val="24"/>
          <w:highlight w:val="none"/>
        </w:rPr>
      </w:pPr>
    </w:p>
    <w:p w14:paraId="33C17E65">
      <w:pPr>
        <w:pStyle w:val="26"/>
        <w:keepNext w:val="0"/>
        <w:pageBreakBefore w:val="0"/>
        <w:tabs>
          <w:tab w:val="clear" w:pos="720"/>
        </w:tabs>
        <w:snapToGrid w:val="0"/>
        <w:jc w:val="both"/>
        <w:outlineLvl w:val="9"/>
        <w:rPr>
          <w:rFonts w:hint="eastAsia" w:ascii="仿宋" w:hAnsi="仿宋" w:eastAsia="仿宋" w:cs="仿宋"/>
          <w:b w:val="0"/>
          <w:color w:val="auto"/>
          <w:sz w:val="24"/>
          <w:highlight w:val="none"/>
        </w:rPr>
      </w:pPr>
    </w:p>
    <w:p w14:paraId="7E078B35">
      <w:pPr>
        <w:pStyle w:val="26"/>
        <w:keepNext w:val="0"/>
        <w:pageBreakBefore w:val="0"/>
        <w:tabs>
          <w:tab w:val="clear" w:pos="720"/>
        </w:tabs>
        <w:snapToGrid w:val="0"/>
        <w:jc w:val="both"/>
        <w:outlineLvl w:val="9"/>
        <w:rPr>
          <w:rFonts w:hint="eastAsia" w:ascii="仿宋" w:hAnsi="仿宋" w:eastAsia="仿宋" w:cs="仿宋"/>
          <w:b w:val="0"/>
          <w:color w:val="auto"/>
          <w:sz w:val="24"/>
          <w:highlight w:val="none"/>
        </w:rPr>
      </w:pPr>
    </w:p>
    <w:p w14:paraId="3F93E5D8">
      <w:pPr>
        <w:pStyle w:val="26"/>
        <w:keepNext w:val="0"/>
        <w:pageBreakBefore w:val="0"/>
        <w:tabs>
          <w:tab w:val="clear" w:pos="720"/>
        </w:tabs>
        <w:snapToGrid w:val="0"/>
        <w:jc w:val="both"/>
        <w:outlineLvl w:val="9"/>
        <w:rPr>
          <w:rFonts w:hint="eastAsia" w:ascii="仿宋" w:hAnsi="仿宋" w:eastAsia="仿宋" w:cs="仿宋"/>
          <w:b w:val="0"/>
          <w:color w:val="auto"/>
          <w:sz w:val="24"/>
          <w:highlight w:val="none"/>
        </w:rPr>
      </w:pPr>
    </w:p>
    <w:p w14:paraId="642FE275">
      <w:pPr>
        <w:pStyle w:val="26"/>
        <w:keepNext w:val="0"/>
        <w:pageBreakBefore w:val="0"/>
        <w:tabs>
          <w:tab w:val="clear" w:pos="720"/>
        </w:tabs>
        <w:snapToGrid w:val="0"/>
        <w:jc w:val="both"/>
        <w:outlineLvl w:val="9"/>
        <w:rPr>
          <w:rFonts w:hint="eastAsia" w:ascii="仿宋" w:hAnsi="仿宋" w:eastAsia="仿宋" w:cs="仿宋"/>
          <w:b w:val="0"/>
          <w:color w:val="auto"/>
          <w:sz w:val="24"/>
          <w:highlight w:val="none"/>
        </w:rPr>
      </w:pPr>
    </w:p>
    <w:p w14:paraId="77C6AAF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r>
        <w:rPr>
          <w:rFonts w:hint="eastAsia" w:ascii="仿宋" w:hAnsi="仿宋" w:eastAsia="仿宋" w:cs="仿宋"/>
          <w:b/>
          <w:color w:val="auto"/>
          <w:kern w:val="0"/>
          <w:sz w:val="36"/>
          <w:szCs w:val="36"/>
          <w:highlight w:val="none"/>
        </w:rPr>
        <w:t>报价文件部分</w:t>
      </w:r>
    </w:p>
    <w:p w14:paraId="27711C89">
      <w:pPr>
        <w:spacing w:line="360" w:lineRule="auto"/>
        <w:jc w:val="center"/>
        <w:outlineLvl w:val="0"/>
        <w:rPr>
          <w:rFonts w:hint="eastAsia" w:ascii="仿宋" w:hAnsi="仿宋" w:eastAsia="仿宋" w:cs="仿宋"/>
          <w:b/>
          <w:color w:val="auto"/>
          <w:kern w:val="0"/>
          <w:sz w:val="24"/>
          <w:highlight w:val="none"/>
        </w:rPr>
      </w:pPr>
    </w:p>
    <w:p w14:paraId="3CCD277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2E1D930">
      <w:pPr>
        <w:spacing w:line="360" w:lineRule="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szCs w:val="28"/>
          <w:highlight w:val="none"/>
        </w:rPr>
        <w:t>开标一览表(报价表)</w:t>
      </w:r>
      <w:r>
        <w:rPr>
          <w:rFonts w:hint="eastAsia" w:ascii="仿宋" w:hAnsi="仿宋" w:eastAsia="仿宋" w:cs="仿宋"/>
          <w:color w:val="auto"/>
          <w:kern w:val="0"/>
          <w:sz w:val="24"/>
          <w:highlight w:val="none"/>
        </w:rPr>
        <w:t>……………………………………………………（页码）</w:t>
      </w:r>
    </w:p>
    <w:p w14:paraId="30819084">
      <w:pPr>
        <w:spacing w:line="360" w:lineRule="auto"/>
        <w:ind w:left="2" w:firstLine="480" w:firstLineChars="200"/>
        <w:rPr>
          <w:rFonts w:hint="eastAsia" w:ascii="仿宋" w:hAnsi="仿宋" w:eastAsia="仿宋" w:cs="仿宋"/>
          <w:color w:val="auto"/>
          <w:sz w:val="24"/>
          <w:highlight w:val="none"/>
        </w:rPr>
      </w:pPr>
    </w:p>
    <w:p w14:paraId="0F009347">
      <w:pPr>
        <w:spacing w:line="360" w:lineRule="auto"/>
        <w:ind w:left="2" w:firstLine="480" w:firstLineChars="200"/>
        <w:rPr>
          <w:rFonts w:hint="eastAsia" w:ascii="仿宋" w:hAnsi="仿宋" w:eastAsia="仿宋" w:cs="仿宋"/>
          <w:color w:val="auto"/>
          <w:sz w:val="24"/>
          <w:highlight w:val="none"/>
        </w:rPr>
      </w:pPr>
    </w:p>
    <w:p w14:paraId="5C59F6A0">
      <w:pPr>
        <w:spacing w:line="360" w:lineRule="auto"/>
        <w:ind w:left="2" w:firstLine="480" w:firstLineChars="200"/>
        <w:rPr>
          <w:rFonts w:hint="eastAsia" w:ascii="仿宋" w:hAnsi="仿宋" w:eastAsia="仿宋" w:cs="仿宋"/>
          <w:color w:val="auto"/>
          <w:sz w:val="24"/>
          <w:highlight w:val="none"/>
        </w:rPr>
      </w:pPr>
    </w:p>
    <w:p w14:paraId="6A657896">
      <w:pPr>
        <w:spacing w:line="360" w:lineRule="auto"/>
        <w:ind w:left="2" w:firstLine="480" w:firstLineChars="200"/>
        <w:rPr>
          <w:rFonts w:hint="eastAsia" w:ascii="仿宋" w:hAnsi="仿宋" w:eastAsia="仿宋" w:cs="仿宋"/>
          <w:color w:val="auto"/>
          <w:sz w:val="24"/>
          <w:highlight w:val="none"/>
        </w:rPr>
      </w:pPr>
    </w:p>
    <w:p w14:paraId="4D776191">
      <w:pPr>
        <w:spacing w:line="360" w:lineRule="auto"/>
        <w:ind w:left="2" w:firstLine="480" w:firstLineChars="200"/>
        <w:rPr>
          <w:rFonts w:hint="eastAsia" w:ascii="仿宋" w:hAnsi="仿宋" w:eastAsia="仿宋" w:cs="仿宋"/>
          <w:color w:val="auto"/>
          <w:sz w:val="24"/>
          <w:highlight w:val="none"/>
        </w:rPr>
      </w:pPr>
    </w:p>
    <w:p w14:paraId="17E4013C">
      <w:pPr>
        <w:snapToGrid w:val="0"/>
        <w:spacing w:line="360" w:lineRule="auto"/>
        <w:jc w:val="center"/>
        <w:outlineLvl w:val="0"/>
        <w:rPr>
          <w:rFonts w:hint="eastAsia" w:ascii="仿宋" w:hAnsi="仿宋" w:eastAsia="仿宋" w:cs="仿宋"/>
          <w:b/>
          <w:color w:val="auto"/>
          <w:kern w:val="0"/>
          <w:sz w:val="32"/>
          <w:szCs w:val="32"/>
          <w:highlight w:val="none"/>
        </w:rPr>
      </w:pPr>
    </w:p>
    <w:p w14:paraId="68A58A04">
      <w:pPr>
        <w:snapToGrid w:val="0"/>
        <w:spacing w:line="360" w:lineRule="auto"/>
        <w:jc w:val="center"/>
        <w:outlineLvl w:val="0"/>
        <w:rPr>
          <w:rFonts w:hint="eastAsia" w:ascii="仿宋" w:hAnsi="仿宋" w:eastAsia="仿宋" w:cs="仿宋"/>
          <w:b/>
          <w:color w:val="auto"/>
          <w:kern w:val="0"/>
          <w:sz w:val="32"/>
          <w:szCs w:val="32"/>
          <w:highlight w:val="none"/>
        </w:rPr>
      </w:pPr>
    </w:p>
    <w:p w14:paraId="1EFE5B5A">
      <w:pPr>
        <w:snapToGrid w:val="0"/>
        <w:spacing w:line="360" w:lineRule="auto"/>
        <w:jc w:val="center"/>
        <w:outlineLvl w:val="0"/>
        <w:rPr>
          <w:rFonts w:hint="eastAsia" w:ascii="仿宋" w:hAnsi="仿宋" w:eastAsia="仿宋" w:cs="仿宋"/>
          <w:b/>
          <w:color w:val="auto"/>
          <w:kern w:val="0"/>
          <w:sz w:val="32"/>
          <w:szCs w:val="32"/>
          <w:highlight w:val="none"/>
        </w:rPr>
      </w:pPr>
    </w:p>
    <w:p w14:paraId="3334A727">
      <w:pPr>
        <w:snapToGrid w:val="0"/>
        <w:spacing w:line="360" w:lineRule="auto"/>
        <w:jc w:val="center"/>
        <w:outlineLvl w:val="0"/>
        <w:rPr>
          <w:rFonts w:hint="eastAsia" w:ascii="仿宋" w:hAnsi="仿宋" w:eastAsia="仿宋" w:cs="仿宋"/>
          <w:b/>
          <w:color w:val="auto"/>
          <w:kern w:val="0"/>
          <w:sz w:val="32"/>
          <w:szCs w:val="32"/>
          <w:highlight w:val="none"/>
        </w:rPr>
      </w:pPr>
    </w:p>
    <w:p w14:paraId="67771401">
      <w:pPr>
        <w:snapToGrid w:val="0"/>
        <w:spacing w:line="360" w:lineRule="auto"/>
        <w:jc w:val="center"/>
        <w:outlineLvl w:val="0"/>
        <w:rPr>
          <w:rFonts w:hint="eastAsia" w:ascii="仿宋" w:hAnsi="仿宋" w:eastAsia="仿宋" w:cs="仿宋"/>
          <w:b/>
          <w:color w:val="auto"/>
          <w:kern w:val="0"/>
          <w:sz w:val="32"/>
          <w:szCs w:val="32"/>
          <w:highlight w:val="none"/>
        </w:rPr>
      </w:pPr>
    </w:p>
    <w:p w14:paraId="089321F6">
      <w:pPr>
        <w:snapToGrid w:val="0"/>
        <w:spacing w:line="360" w:lineRule="auto"/>
        <w:jc w:val="center"/>
        <w:outlineLvl w:val="0"/>
        <w:rPr>
          <w:rFonts w:hint="eastAsia" w:ascii="仿宋" w:hAnsi="仿宋" w:eastAsia="仿宋" w:cs="仿宋"/>
          <w:b/>
          <w:color w:val="auto"/>
          <w:kern w:val="0"/>
          <w:sz w:val="32"/>
          <w:szCs w:val="32"/>
          <w:highlight w:val="none"/>
        </w:rPr>
      </w:pPr>
    </w:p>
    <w:p w14:paraId="5C06E738">
      <w:pPr>
        <w:snapToGrid w:val="0"/>
        <w:spacing w:line="360" w:lineRule="auto"/>
        <w:jc w:val="center"/>
        <w:outlineLvl w:val="0"/>
        <w:rPr>
          <w:rFonts w:hint="eastAsia" w:ascii="仿宋" w:hAnsi="仿宋" w:eastAsia="仿宋" w:cs="仿宋"/>
          <w:b/>
          <w:color w:val="auto"/>
          <w:kern w:val="0"/>
          <w:sz w:val="32"/>
          <w:szCs w:val="32"/>
          <w:highlight w:val="none"/>
        </w:rPr>
      </w:pPr>
    </w:p>
    <w:p w14:paraId="252FE79D">
      <w:pPr>
        <w:snapToGrid w:val="0"/>
        <w:spacing w:line="360" w:lineRule="auto"/>
        <w:jc w:val="center"/>
        <w:outlineLvl w:val="0"/>
        <w:rPr>
          <w:rFonts w:hint="eastAsia" w:ascii="仿宋" w:hAnsi="仿宋" w:eastAsia="仿宋" w:cs="仿宋"/>
          <w:b/>
          <w:color w:val="auto"/>
          <w:kern w:val="0"/>
          <w:sz w:val="32"/>
          <w:szCs w:val="32"/>
          <w:highlight w:val="none"/>
        </w:rPr>
      </w:pPr>
    </w:p>
    <w:p w14:paraId="3818E000">
      <w:pPr>
        <w:snapToGrid w:val="0"/>
        <w:spacing w:line="360" w:lineRule="auto"/>
        <w:jc w:val="center"/>
        <w:outlineLvl w:val="0"/>
        <w:rPr>
          <w:rFonts w:hint="eastAsia" w:ascii="仿宋" w:hAnsi="仿宋" w:eastAsia="仿宋" w:cs="仿宋"/>
          <w:b/>
          <w:color w:val="auto"/>
          <w:kern w:val="0"/>
          <w:sz w:val="32"/>
          <w:szCs w:val="32"/>
          <w:highlight w:val="none"/>
        </w:rPr>
      </w:pPr>
    </w:p>
    <w:p w14:paraId="42E95FF1">
      <w:pPr>
        <w:snapToGrid w:val="0"/>
        <w:spacing w:line="360" w:lineRule="auto"/>
        <w:jc w:val="center"/>
        <w:outlineLvl w:val="0"/>
        <w:rPr>
          <w:rFonts w:hint="eastAsia" w:ascii="仿宋" w:hAnsi="仿宋" w:eastAsia="仿宋" w:cs="仿宋"/>
          <w:b/>
          <w:color w:val="auto"/>
          <w:kern w:val="0"/>
          <w:sz w:val="32"/>
          <w:szCs w:val="32"/>
          <w:highlight w:val="none"/>
        </w:rPr>
      </w:pPr>
    </w:p>
    <w:p w14:paraId="721DF522">
      <w:pPr>
        <w:snapToGrid w:val="0"/>
        <w:spacing w:line="360" w:lineRule="auto"/>
        <w:jc w:val="center"/>
        <w:outlineLvl w:val="0"/>
        <w:rPr>
          <w:rFonts w:hint="eastAsia" w:ascii="仿宋" w:hAnsi="仿宋" w:eastAsia="仿宋" w:cs="仿宋"/>
          <w:b/>
          <w:color w:val="auto"/>
          <w:kern w:val="0"/>
          <w:sz w:val="32"/>
          <w:szCs w:val="32"/>
          <w:highlight w:val="none"/>
        </w:rPr>
      </w:pPr>
    </w:p>
    <w:p w14:paraId="4D8F1AB7">
      <w:pPr>
        <w:snapToGrid w:val="0"/>
        <w:spacing w:line="360" w:lineRule="auto"/>
        <w:jc w:val="center"/>
        <w:outlineLvl w:val="0"/>
        <w:rPr>
          <w:rFonts w:hint="eastAsia" w:ascii="仿宋" w:hAnsi="仿宋" w:eastAsia="仿宋" w:cs="仿宋"/>
          <w:b/>
          <w:color w:val="auto"/>
          <w:kern w:val="0"/>
          <w:sz w:val="32"/>
          <w:szCs w:val="32"/>
          <w:highlight w:val="none"/>
        </w:rPr>
      </w:pPr>
    </w:p>
    <w:p w14:paraId="5686709B">
      <w:pPr>
        <w:snapToGrid w:val="0"/>
        <w:spacing w:line="360" w:lineRule="auto"/>
        <w:jc w:val="center"/>
        <w:outlineLvl w:val="0"/>
        <w:rPr>
          <w:rFonts w:hint="eastAsia" w:ascii="仿宋" w:hAnsi="仿宋" w:eastAsia="仿宋" w:cs="仿宋"/>
          <w:b/>
          <w:color w:val="auto"/>
          <w:kern w:val="0"/>
          <w:sz w:val="32"/>
          <w:szCs w:val="32"/>
          <w:highlight w:val="none"/>
        </w:rPr>
      </w:pPr>
    </w:p>
    <w:p w14:paraId="65655CDC">
      <w:pPr>
        <w:pStyle w:val="26"/>
        <w:keepNext w:val="0"/>
        <w:pageBreakBefore w:val="0"/>
        <w:tabs>
          <w:tab w:val="clear" w:pos="720"/>
        </w:tabs>
        <w:snapToGrid w:val="0"/>
        <w:ind w:firstLine="640"/>
        <w:outlineLvl w:val="9"/>
        <w:rPr>
          <w:rFonts w:hint="eastAsia" w:ascii="仿宋" w:hAnsi="仿宋" w:eastAsia="仿宋" w:cs="仿宋"/>
          <w:color w:val="auto"/>
          <w:kern w:val="2"/>
          <w:sz w:val="32"/>
          <w:szCs w:val="32"/>
          <w:highlight w:val="none"/>
        </w:rPr>
        <w:sectPr>
          <w:footerReference r:id="rId12" w:type="first"/>
          <w:footerReference r:id="rId10" w:type="default"/>
          <w:headerReference r:id="rId9" w:type="even"/>
          <w:footerReference r:id="rId11" w:type="even"/>
          <w:pgSz w:w="11906" w:h="16838"/>
          <w:pgMar w:top="1247" w:right="1418" w:bottom="1276"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p>
    <w:p w14:paraId="03E2466A">
      <w:pPr>
        <w:pStyle w:val="26"/>
        <w:keepNext w:val="0"/>
        <w:pageBreakBefore w:val="0"/>
        <w:tabs>
          <w:tab w:val="clear" w:pos="720"/>
        </w:tabs>
        <w:snapToGrid w:val="0"/>
        <w:ind w:firstLine="640"/>
        <w:outlineLvl w:val="9"/>
        <w:rPr>
          <w:rFonts w:hint="eastAsia" w:ascii="仿宋" w:hAnsi="仿宋" w:eastAsia="仿宋" w:cs="仿宋"/>
          <w:b/>
          <w:color w:val="auto"/>
          <w:kern w:val="2"/>
          <w:sz w:val="32"/>
          <w:szCs w:val="32"/>
          <w:highlight w:val="none"/>
        </w:rPr>
      </w:pPr>
      <w:r>
        <w:rPr>
          <w:rFonts w:hint="eastAsia" w:ascii="仿宋" w:hAnsi="仿宋" w:eastAsia="仿宋" w:cs="仿宋"/>
          <w:color w:val="auto"/>
          <w:kern w:val="2"/>
          <w:sz w:val="32"/>
          <w:szCs w:val="32"/>
          <w:highlight w:val="none"/>
        </w:rPr>
        <w:t>一、</w:t>
      </w:r>
      <w:r>
        <w:rPr>
          <w:rFonts w:hint="eastAsia" w:ascii="仿宋" w:hAnsi="仿宋" w:eastAsia="仿宋" w:cs="仿宋"/>
          <w:b/>
          <w:color w:val="auto"/>
          <w:kern w:val="2"/>
          <w:sz w:val="32"/>
          <w:szCs w:val="32"/>
          <w:highlight w:val="none"/>
        </w:rPr>
        <w:t>开标一览表(报价表)</w:t>
      </w:r>
    </w:p>
    <w:p w14:paraId="28BA984A">
      <w:pPr>
        <w:snapToGrid w:val="0"/>
        <w:spacing w:line="360" w:lineRule="auto"/>
        <w:rPr>
          <w:rFonts w:hint="eastAsia" w:ascii="仿宋" w:hAnsi="仿宋" w:eastAsia="仿宋" w:cs="仿宋"/>
          <w:color w:val="auto"/>
          <w:kern w:val="0"/>
          <w:sz w:val="24"/>
          <w:highlight w:val="none"/>
          <w:lang w:val="zh-CN"/>
        </w:rPr>
      </w:pPr>
      <w:bookmarkStart w:id="445" w:name="_Toc86217005"/>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w:t>
      </w:r>
    </w:p>
    <w:p w14:paraId="484D652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项目编号：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标项：</w:t>
      </w:r>
    </w:p>
    <w:tbl>
      <w:tblPr>
        <w:tblStyle w:val="17"/>
        <w:tblW w:w="10116"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018"/>
        <w:gridCol w:w="1226"/>
        <w:gridCol w:w="1244"/>
        <w:gridCol w:w="1317"/>
        <w:gridCol w:w="1482"/>
        <w:gridCol w:w="1042"/>
      </w:tblGrid>
      <w:tr w14:paraId="2406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16" w:type="dxa"/>
            <w:gridSpan w:val="7"/>
            <w:noWrap w:val="0"/>
            <w:vAlign w:val="center"/>
          </w:tcPr>
          <w:p w14:paraId="63CF8C82">
            <w:pPr>
              <w:spacing w:line="360" w:lineRule="auto"/>
              <w:jc w:val="center"/>
              <w:rPr>
                <w:rFonts w:ascii="仿宋" w:hAnsi="仿宋" w:eastAsia="仿宋" w:cs="仿宋_GB2312"/>
                <w:color w:val="auto"/>
                <w:sz w:val="24"/>
                <w:highlight w:val="none"/>
              </w:rPr>
            </w:pPr>
            <w:r>
              <w:rPr>
                <w:rFonts w:hint="eastAsia" w:ascii="仿宋" w:hAnsi="仿宋" w:eastAsia="仿宋"/>
                <w:b/>
                <w:color w:val="auto"/>
                <w:sz w:val="24"/>
                <w:highlight w:val="none"/>
              </w:rPr>
              <w:t>服务类</w:t>
            </w:r>
          </w:p>
        </w:tc>
      </w:tr>
      <w:tr w14:paraId="58ED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7" w:type="dxa"/>
            <w:noWrap w:val="0"/>
            <w:vAlign w:val="center"/>
          </w:tcPr>
          <w:p w14:paraId="183763E2">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3018" w:type="dxa"/>
            <w:noWrap w:val="0"/>
            <w:vAlign w:val="center"/>
          </w:tcPr>
          <w:p w14:paraId="2F7E7900">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lang w:val="en-US" w:eastAsia="zh-CN"/>
              </w:rPr>
              <w:t>服务</w:t>
            </w:r>
            <w:r>
              <w:rPr>
                <w:rFonts w:hint="eastAsia" w:ascii="仿宋" w:hAnsi="仿宋" w:eastAsia="仿宋"/>
                <w:b/>
                <w:color w:val="auto"/>
                <w:sz w:val="24"/>
                <w:highlight w:val="none"/>
              </w:rPr>
              <w:t>内容</w:t>
            </w:r>
          </w:p>
        </w:tc>
        <w:tc>
          <w:tcPr>
            <w:tcW w:w="1226" w:type="dxa"/>
            <w:noWrap w:val="0"/>
            <w:vAlign w:val="center"/>
          </w:tcPr>
          <w:p w14:paraId="1D639AC9">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单位(项)</w:t>
            </w:r>
          </w:p>
        </w:tc>
        <w:tc>
          <w:tcPr>
            <w:tcW w:w="1244" w:type="dxa"/>
            <w:noWrap w:val="0"/>
            <w:vAlign w:val="center"/>
          </w:tcPr>
          <w:p w14:paraId="791C3722">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工作量（</w:t>
            </w:r>
            <w:r>
              <w:rPr>
                <w:rFonts w:hint="eastAsia" w:ascii="仿宋" w:hAnsi="仿宋" w:eastAsia="仿宋"/>
                <w:b/>
                <w:color w:val="auto"/>
                <w:sz w:val="24"/>
                <w:highlight w:val="none"/>
                <w:lang w:val="en-US" w:eastAsia="zh-CN"/>
              </w:rPr>
              <w:t>月</w:t>
            </w:r>
            <w:r>
              <w:rPr>
                <w:rFonts w:hint="eastAsia" w:ascii="仿宋" w:hAnsi="仿宋" w:eastAsia="仿宋"/>
                <w:b/>
                <w:color w:val="auto"/>
                <w:sz w:val="24"/>
                <w:highlight w:val="none"/>
              </w:rPr>
              <w:t>）</w:t>
            </w:r>
          </w:p>
        </w:tc>
        <w:tc>
          <w:tcPr>
            <w:tcW w:w="1317" w:type="dxa"/>
            <w:noWrap w:val="0"/>
            <w:vAlign w:val="center"/>
          </w:tcPr>
          <w:p w14:paraId="4167B8AD">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月单价（元）</w:t>
            </w:r>
          </w:p>
        </w:tc>
        <w:tc>
          <w:tcPr>
            <w:tcW w:w="1482" w:type="dxa"/>
            <w:noWrap w:val="0"/>
            <w:vAlign w:val="center"/>
          </w:tcPr>
          <w:p w14:paraId="64C3ABAE">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一年总价（元）</w:t>
            </w:r>
          </w:p>
        </w:tc>
        <w:tc>
          <w:tcPr>
            <w:tcW w:w="1042" w:type="dxa"/>
            <w:noWrap w:val="0"/>
            <w:vAlign w:val="center"/>
          </w:tcPr>
          <w:p w14:paraId="6F77CBA7">
            <w:pPr>
              <w:spacing w:line="360" w:lineRule="auto"/>
              <w:jc w:val="center"/>
              <w:rPr>
                <w:rFonts w:ascii="仿宋" w:hAnsi="仿宋" w:eastAsia="仿宋"/>
                <w:b/>
                <w:color w:val="auto"/>
                <w:sz w:val="24"/>
                <w:highlight w:val="none"/>
                <w:lang w:val="zh-CN"/>
              </w:rPr>
            </w:pPr>
            <w:r>
              <w:rPr>
                <w:rFonts w:hint="eastAsia" w:ascii="仿宋" w:hAnsi="仿宋" w:eastAsia="仿宋"/>
                <w:b/>
                <w:color w:val="auto"/>
                <w:sz w:val="24"/>
                <w:highlight w:val="none"/>
                <w:lang w:val="zh-CN"/>
              </w:rPr>
              <w:t>备注</w:t>
            </w:r>
          </w:p>
        </w:tc>
      </w:tr>
      <w:tr w14:paraId="3747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87" w:type="dxa"/>
            <w:noWrap w:val="0"/>
            <w:vAlign w:val="center"/>
          </w:tcPr>
          <w:p w14:paraId="60F1C69E">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3018" w:type="dxa"/>
            <w:noWrap w:val="0"/>
            <w:vAlign w:val="center"/>
          </w:tcPr>
          <w:p w14:paraId="1392E769">
            <w:pPr>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钱清街道现有物业小区外围的各类窨井1254只、无物业小区内外窨井2400只、各市政道路窨井3615只，合计全街道公共区域雨水井、废水井、无主窨井约为7269只</w:t>
            </w:r>
            <w:r>
              <w:rPr>
                <w:rFonts w:hint="eastAsia" w:ascii="仿宋" w:hAnsi="仿宋" w:eastAsia="仿宋" w:cs="仿宋_GB2312"/>
                <w:color w:val="auto"/>
                <w:sz w:val="24"/>
                <w:highlight w:val="none"/>
                <w:lang w:eastAsia="zh-CN"/>
              </w:rPr>
              <w:t>，集镇范围内窨井管道疏通。</w:t>
            </w:r>
          </w:p>
        </w:tc>
        <w:tc>
          <w:tcPr>
            <w:tcW w:w="1226" w:type="dxa"/>
            <w:noWrap w:val="0"/>
            <w:vAlign w:val="center"/>
          </w:tcPr>
          <w:p w14:paraId="4BD6EF78">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244" w:type="dxa"/>
            <w:noWrap w:val="0"/>
            <w:vAlign w:val="center"/>
          </w:tcPr>
          <w:p w14:paraId="08DD166B">
            <w:pPr>
              <w:spacing w:line="360" w:lineRule="auto"/>
              <w:ind w:left="0" w:leftChars="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2</w:t>
            </w:r>
          </w:p>
        </w:tc>
        <w:tc>
          <w:tcPr>
            <w:tcW w:w="1317" w:type="dxa"/>
            <w:noWrap w:val="0"/>
            <w:vAlign w:val="center"/>
          </w:tcPr>
          <w:p w14:paraId="251570B6">
            <w:pPr>
              <w:spacing w:line="360" w:lineRule="auto"/>
              <w:jc w:val="center"/>
              <w:rPr>
                <w:rFonts w:ascii="仿宋" w:hAnsi="仿宋" w:eastAsia="仿宋" w:cs="仿宋_GB2312"/>
                <w:color w:val="auto"/>
                <w:sz w:val="24"/>
                <w:highlight w:val="none"/>
              </w:rPr>
            </w:pPr>
          </w:p>
        </w:tc>
        <w:tc>
          <w:tcPr>
            <w:tcW w:w="1482" w:type="dxa"/>
            <w:noWrap w:val="0"/>
            <w:vAlign w:val="center"/>
          </w:tcPr>
          <w:p w14:paraId="556A6DDE">
            <w:pPr>
              <w:spacing w:line="360" w:lineRule="auto"/>
              <w:jc w:val="center"/>
              <w:rPr>
                <w:rFonts w:ascii="仿宋" w:hAnsi="仿宋" w:eastAsia="仿宋" w:cs="仿宋_GB2312"/>
                <w:color w:val="auto"/>
                <w:sz w:val="24"/>
                <w:highlight w:val="none"/>
              </w:rPr>
            </w:pPr>
          </w:p>
        </w:tc>
        <w:tc>
          <w:tcPr>
            <w:tcW w:w="1042" w:type="dxa"/>
            <w:noWrap w:val="0"/>
            <w:vAlign w:val="center"/>
          </w:tcPr>
          <w:p w14:paraId="439154A3">
            <w:pPr>
              <w:spacing w:line="360" w:lineRule="auto"/>
              <w:jc w:val="center"/>
              <w:rPr>
                <w:rFonts w:ascii="仿宋" w:hAnsi="仿宋" w:eastAsia="仿宋" w:cs="仿宋_GB2312"/>
                <w:color w:val="auto"/>
                <w:sz w:val="24"/>
                <w:highlight w:val="none"/>
              </w:rPr>
            </w:pPr>
          </w:p>
        </w:tc>
      </w:tr>
      <w:tr w14:paraId="7CC7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16" w:type="dxa"/>
            <w:gridSpan w:val="7"/>
            <w:noWrap w:val="0"/>
            <w:vAlign w:val="center"/>
          </w:tcPr>
          <w:p w14:paraId="6F444CDF">
            <w:pPr>
              <w:spacing w:line="360" w:lineRule="auto"/>
              <w:jc w:val="left"/>
              <w:rPr>
                <w:rFonts w:ascii="仿宋" w:hAnsi="仿宋" w:eastAsia="仿宋" w:cs="仿宋_GB2312"/>
                <w:color w:val="auto"/>
                <w:sz w:val="24"/>
                <w:highlight w:val="none"/>
              </w:rPr>
            </w:pPr>
            <w:r>
              <w:rPr>
                <w:rFonts w:hint="eastAsia" w:ascii="仿宋" w:hAnsi="仿宋" w:eastAsia="仿宋"/>
                <w:b/>
                <w:color w:val="auto"/>
                <w:sz w:val="24"/>
                <w:highlight w:val="none"/>
              </w:rPr>
              <w:t>投标总价合计金额大写：                              小写： ￥</w:t>
            </w:r>
            <w:r>
              <w:rPr>
                <w:rFonts w:hint="eastAsia" w:ascii="仿宋" w:hAnsi="仿宋" w:eastAsia="仿宋"/>
                <w:b/>
                <w:color w:val="auto"/>
                <w:sz w:val="24"/>
                <w:highlight w:val="none"/>
                <w:u w:val="single"/>
              </w:rPr>
              <w:t xml:space="preserve">         </w:t>
            </w:r>
            <w:r>
              <w:rPr>
                <w:rFonts w:hint="eastAsia" w:ascii="仿宋" w:hAnsi="仿宋" w:eastAsia="仿宋"/>
                <w:b/>
                <w:color w:val="auto"/>
                <w:sz w:val="24"/>
                <w:highlight w:val="none"/>
              </w:rPr>
              <w:t xml:space="preserve">                                                    </w:t>
            </w:r>
          </w:p>
        </w:tc>
      </w:tr>
    </w:tbl>
    <w:p w14:paraId="42FF6D9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2DAE60C">
      <w:pPr>
        <w:keepNext w:val="0"/>
        <w:keepLines w:val="0"/>
        <w:pageBreakBefore w:val="0"/>
        <w:widowControl w:val="0"/>
        <w:kinsoku/>
        <w:wordWrap/>
        <w:overflowPunct/>
        <w:topLinePunct w:val="0"/>
        <w:autoSpaceDE/>
        <w:autoSpaceDN/>
        <w:bidi w:val="0"/>
        <w:adjustRightInd w:val="0"/>
        <w:spacing w:line="240" w:lineRule="auto"/>
        <w:ind w:left="-2" w:leftChars="-1"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w:t>
      </w:r>
      <w:r>
        <w:rPr>
          <w:rFonts w:hint="eastAsia" w:ascii="仿宋" w:hAnsi="仿宋" w:eastAsia="仿宋" w:cs="仿宋"/>
          <w:color w:val="auto"/>
          <w:sz w:val="24"/>
          <w:highlight w:val="none"/>
        </w:rPr>
        <w:t>改，如无对应内容，则填写：“无或/”。</w:t>
      </w:r>
    </w:p>
    <w:p w14:paraId="0C441CA5">
      <w:pPr>
        <w:keepNext w:val="0"/>
        <w:keepLines w:val="0"/>
        <w:pageBreakBefore w:val="0"/>
        <w:widowControl w:val="0"/>
        <w:kinsoku/>
        <w:wordWrap/>
        <w:overflowPunct/>
        <w:topLinePunct w:val="0"/>
        <w:autoSpaceDE/>
        <w:autoSpaceDN/>
        <w:bidi w:val="0"/>
        <w:adjustRightInd w:val="0"/>
        <w:snapToGrid/>
        <w:spacing w:line="240" w:lineRule="auto"/>
        <w:ind w:left="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2、有关本项目实施所涉及的一切费用（详见前附表）均计入报价。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0CC1A79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3、特别提示：采购代理机构将对项目名称和项目编号，中标供应商名称、地址和中标金额，主要中标标的的名称、规格型号、数量、单价、服务要求等予以公示。</w:t>
      </w:r>
    </w:p>
    <w:p w14:paraId="05EA9B62">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02A2DEDA">
      <w:pPr>
        <w:keepNext w:val="0"/>
        <w:keepLines w:val="0"/>
        <w:pageBreakBefore w:val="0"/>
        <w:widowControl w:val="0"/>
        <w:kinsoku/>
        <w:wordWrap/>
        <w:overflowPunct/>
        <w:topLinePunct w:val="0"/>
        <w:autoSpaceDE/>
        <w:autoSpaceDN/>
        <w:bidi w:val="0"/>
        <w:adjustRightInd w:val="0"/>
        <w:spacing w:line="240" w:lineRule="auto"/>
        <w:ind w:right="1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5、</w:t>
      </w:r>
      <w:r>
        <w:rPr>
          <w:rFonts w:hint="eastAsia" w:ascii="仿宋" w:hAnsi="仿宋" w:eastAsia="仿宋" w:cs="仿宋_GB2312"/>
          <w:color w:val="auto"/>
          <w:kern w:val="0"/>
          <w:sz w:val="24"/>
          <w:highlight w:val="none"/>
          <w:lang w:val="zh-CN"/>
        </w:rPr>
        <w:t>总价=</w:t>
      </w:r>
      <w:r>
        <w:rPr>
          <w:rFonts w:hint="eastAsia" w:ascii="仿宋" w:hAnsi="仿宋" w:eastAsia="仿宋" w:cs="仿宋_GB2312"/>
          <w:color w:val="auto"/>
          <w:kern w:val="0"/>
          <w:sz w:val="24"/>
          <w:highlight w:val="none"/>
        </w:rPr>
        <w:t>工作量</w:t>
      </w:r>
      <w:r>
        <w:rPr>
          <w:rFonts w:hint="eastAsia" w:ascii="仿宋" w:hAnsi="仿宋" w:eastAsia="仿宋" w:cs="仿宋_GB2312"/>
          <w:color w:val="auto"/>
          <w:kern w:val="0"/>
          <w:sz w:val="24"/>
          <w:highlight w:val="none"/>
          <w:lang w:val="zh-CN"/>
        </w:rPr>
        <w:t>×</w:t>
      </w:r>
      <w:r>
        <w:rPr>
          <w:rFonts w:hint="eastAsia" w:ascii="仿宋" w:hAnsi="仿宋" w:eastAsia="仿宋"/>
          <w:color w:val="auto"/>
          <w:sz w:val="24"/>
          <w:highlight w:val="none"/>
        </w:rPr>
        <w:t>月单价</w:t>
      </w:r>
      <w:r>
        <w:rPr>
          <w:rFonts w:hint="eastAsia" w:ascii="仿宋" w:hAnsi="仿宋" w:eastAsia="仿宋" w:cs="仿宋_GB2312"/>
          <w:color w:val="auto"/>
          <w:kern w:val="0"/>
          <w:sz w:val="24"/>
          <w:highlight w:val="none"/>
          <w:lang w:val="zh-CN"/>
        </w:rPr>
        <w:t>。</w:t>
      </w:r>
    </w:p>
    <w:p w14:paraId="1CADC19D">
      <w:pPr>
        <w:keepNext w:val="0"/>
        <w:keepLines w:val="0"/>
        <w:pageBreakBefore w:val="0"/>
        <w:widowControl w:val="0"/>
        <w:kinsoku/>
        <w:wordWrap/>
        <w:overflowPunct/>
        <w:topLinePunct w:val="0"/>
        <w:autoSpaceDE/>
        <w:autoSpaceDN/>
        <w:bidi w:val="0"/>
        <w:adjustRightInd w:val="0"/>
        <w:spacing w:line="240" w:lineRule="auto"/>
        <w:ind w:right="1200"/>
        <w:jc w:val="both"/>
        <w:textAlignment w:val="auto"/>
        <w:rPr>
          <w:rFonts w:hint="default" w:ascii="仿宋" w:hAnsi="仿宋" w:eastAsia="仿宋" w:cs="仿宋"/>
          <w:color w:val="auto"/>
          <w:sz w:val="24"/>
          <w:highlight w:val="none"/>
          <w:lang w:val="en-US"/>
        </w:rPr>
      </w:pPr>
    </w:p>
    <w:p w14:paraId="0B94058D">
      <w:pPr>
        <w:spacing w:line="360" w:lineRule="auto"/>
        <w:ind w:right="1200" w:firstLine="5280" w:firstLineChars="2200"/>
        <w:jc w:val="both"/>
        <w:rPr>
          <w:rFonts w:hint="eastAsia" w:ascii="仿宋" w:hAnsi="仿宋" w:eastAsia="仿宋" w:cs="仿宋"/>
          <w:color w:val="auto"/>
          <w:sz w:val="24"/>
          <w:highlight w:val="none"/>
        </w:rPr>
      </w:pPr>
    </w:p>
    <w:p w14:paraId="1BB699E3">
      <w:pPr>
        <w:spacing w:line="360" w:lineRule="auto"/>
        <w:ind w:right="1200" w:firstLine="5280" w:firstLineChars="2200"/>
        <w:jc w:val="both"/>
        <w:rPr>
          <w:rFonts w:hint="eastAsia" w:ascii="仿宋" w:hAnsi="仿宋" w:eastAsia="仿宋" w:cs="仿宋"/>
          <w:color w:val="auto"/>
          <w:sz w:val="24"/>
          <w:highlight w:val="none"/>
        </w:rPr>
      </w:pPr>
    </w:p>
    <w:p w14:paraId="2B0826CB">
      <w:pPr>
        <w:spacing w:line="360" w:lineRule="auto"/>
        <w:ind w:right="1200" w:firstLine="5280" w:firstLineChars="2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18425BF">
      <w:pPr>
        <w:spacing w:line="360" w:lineRule="auto"/>
        <w:ind w:right="1200" w:firstLine="5520" w:firstLineChars="2300"/>
        <w:jc w:val="both"/>
        <w:rPr>
          <w:rFonts w:hint="eastAsia" w:ascii="仿宋" w:hAnsi="仿宋" w:eastAsia="仿宋" w:cs="仿宋"/>
          <w:color w:val="auto"/>
          <w:sz w:val="24"/>
          <w:szCs w:val="36"/>
          <w:highlight w:val="none"/>
          <w:lang w:val="zh-CN"/>
        </w:rPr>
        <w:sectPr>
          <w:pgSz w:w="11906" w:h="16838"/>
          <w:pgMar w:top="1276" w:right="1418" w:bottom="1247"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highlight w:val="none"/>
        </w:rPr>
        <w:t>日期：  年   月   日</w:t>
      </w:r>
      <w:bookmarkEnd w:id="445"/>
    </w:p>
    <w:p w14:paraId="267C1FE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A012CD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B28E32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95CF5E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single"/>
        </w:rPr>
        <w:t>_________________________</w:t>
      </w:r>
    </w:p>
    <w:p w14:paraId="31B0EA7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____________________________</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___________</w:t>
      </w:r>
    </w:p>
    <w:p w14:paraId="22C7A0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_____________________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__________</w:t>
      </w:r>
    </w:p>
    <w:p w14:paraId="7B2D8616">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single"/>
        </w:rPr>
        <w:t>____________________</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__________</w:t>
      </w:r>
    </w:p>
    <w:p w14:paraId="11690C6A">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____________________________</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___________</w:t>
      </w:r>
    </w:p>
    <w:p w14:paraId="211D373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29C1C01">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single"/>
        </w:rPr>
        <w:t>_________________________________________</w:t>
      </w:r>
    </w:p>
    <w:p w14:paraId="053526AD">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single"/>
        </w:rPr>
        <w:t>__________________</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rPr>
        <w:t>_____________</w:t>
      </w:r>
    </w:p>
    <w:p w14:paraId="231CD81B">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single"/>
        </w:rPr>
        <w:t>____________________________________________</w:t>
      </w:r>
    </w:p>
    <w:p w14:paraId="4505140C">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single"/>
        </w:rPr>
        <w:t>_______________</w:t>
      </w:r>
    </w:p>
    <w:p w14:paraId="4E65F83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9A8E71B">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single"/>
        </w:rPr>
        <w:t>_________________________________________________________________</w:t>
      </w:r>
    </w:p>
    <w:p w14:paraId="583376B3">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single"/>
        </w:rPr>
        <w:t>__________________________________________________________________</w:t>
      </w:r>
    </w:p>
    <w:p w14:paraId="345EFC97">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___________________________________________________________________________</w:t>
      </w:r>
    </w:p>
    <w:p w14:paraId="48FC77B9">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single"/>
        </w:rPr>
        <w:t>__________________________________________________________________</w:t>
      </w:r>
    </w:p>
    <w:p w14:paraId="1ECA3757">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___________________________________________________________________________</w:t>
      </w:r>
    </w:p>
    <w:p w14:paraId="305654E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B6267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800947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051D410">
      <w:pPr>
        <w:snapToGrid w:val="0"/>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请求：</w:t>
      </w:r>
      <w:r>
        <w:rPr>
          <w:rFonts w:hint="eastAsia" w:ascii="仿宋" w:hAnsi="仿宋" w:eastAsia="仿宋" w:cs="仿宋"/>
          <w:bCs/>
          <w:color w:val="auto"/>
          <w:sz w:val="24"/>
          <w:highlight w:val="none"/>
          <w:u w:val="words"/>
        </w:rPr>
        <w:t>______________________________________________________________________</w:t>
      </w:r>
    </w:p>
    <w:p w14:paraId="3A284095">
      <w:pPr>
        <w:spacing w:line="360" w:lineRule="auto"/>
        <w:rPr>
          <w:rFonts w:hint="eastAsia" w:ascii="仿宋" w:hAnsi="仿宋" w:eastAsia="仿宋" w:cs="仿宋"/>
          <w:color w:val="auto"/>
          <w:sz w:val="24"/>
          <w:highlight w:val="none"/>
        </w:rPr>
      </w:pPr>
    </w:p>
    <w:p w14:paraId="7FD0DB13">
      <w:pPr>
        <w:spacing w:line="360" w:lineRule="auto"/>
        <w:rPr>
          <w:rFonts w:hint="eastAsia" w:ascii="仿宋" w:hAnsi="仿宋" w:eastAsia="仿宋" w:cs="仿宋"/>
          <w:color w:val="auto"/>
          <w:sz w:val="24"/>
          <w:highlight w:val="none"/>
        </w:rPr>
      </w:pPr>
    </w:p>
    <w:p w14:paraId="637C34F8">
      <w:pPr>
        <w:spacing w:line="360" w:lineRule="auto"/>
        <w:rPr>
          <w:rFonts w:hint="eastAsia" w:ascii="仿宋" w:hAnsi="仿宋" w:eastAsia="仿宋" w:cs="仿宋"/>
          <w:color w:val="auto"/>
          <w:sz w:val="24"/>
          <w:highlight w:val="none"/>
        </w:rPr>
      </w:pPr>
    </w:p>
    <w:p w14:paraId="716BC5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A0C4A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CDEE37B">
      <w:pPr>
        <w:spacing w:line="360" w:lineRule="auto"/>
        <w:rPr>
          <w:rFonts w:hint="eastAsia" w:ascii="仿宋" w:hAnsi="仿宋" w:eastAsia="仿宋" w:cs="仿宋"/>
          <w:b/>
          <w:color w:val="auto"/>
          <w:sz w:val="24"/>
          <w:highlight w:val="none"/>
        </w:rPr>
      </w:pPr>
    </w:p>
    <w:p w14:paraId="7EA0F22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B1E10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4D598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0B4372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D3C511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4963D2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E47D50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3BACEDC">
      <w:pPr>
        <w:widowControl/>
        <w:spacing w:line="360" w:lineRule="auto"/>
        <w:ind w:firstLine="600" w:firstLineChars="200"/>
        <w:jc w:val="left"/>
        <w:rPr>
          <w:rFonts w:hint="eastAsia" w:ascii="仿宋" w:hAnsi="仿宋" w:eastAsia="仿宋" w:cs="仿宋"/>
          <w:color w:val="auto"/>
          <w:sz w:val="30"/>
          <w:szCs w:val="30"/>
          <w:highlight w:val="none"/>
        </w:rPr>
      </w:pPr>
    </w:p>
    <w:p w14:paraId="34A0F9CD">
      <w:pPr>
        <w:spacing w:line="360" w:lineRule="auto"/>
        <w:jc w:val="center"/>
        <w:rPr>
          <w:rFonts w:hint="eastAsia" w:ascii="仿宋" w:hAnsi="仿宋" w:eastAsia="仿宋" w:cs="仿宋"/>
          <w:b/>
          <w:color w:val="auto"/>
          <w:spacing w:val="6"/>
          <w:sz w:val="32"/>
          <w:szCs w:val="32"/>
          <w:highlight w:val="none"/>
        </w:rPr>
      </w:pPr>
    </w:p>
    <w:p w14:paraId="27F60771">
      <w:pPr>
        <w:spacing w:line="360" w:lineRule="auto"/>
        <w:jc w:val="center"/>
        <w:rPr>
          <w:rFonts w:hint="eastAsia" w:ascii="仿宋" w:hAnsi="仿宋" w:eastAsia="仿宋" w:cs="仿宋"/>
          <w:b/>
          <w:color w:val="auto"/>
          <w:spacing w:val="6"/>
          <w:sz w:val="32"/>
          <w:szCs w:val="32"/>
          <w:highlight w:val="none"/>
        </w:rPr>
      </w:pPr>
    </w:p>
    <w:p w14:paraId="3446B3F8">
      <w:pPr>
        <w:spacing w:line="360" w:lineRule="auto"/>
        <w:jc w:val="center"/>
        <w:rPr>
          <w:rFonts w:hint="eastAsia" w:ascii="仿宋" w:hAnsi="仿宋" w:eastAsia="仿宋" w:cs="仿宋"/>
          <w:b/>
          <w:color w:val="auto"/>
          <w:spacing w:val="6"/>
          <w:sz w:val="32"/>
          <w:szCs w:val="32"/>
          <w:highlight w:val="none"/>
        </w:rPr>
      </w:pPr>
    </w:p>
    <w:p w14:paraId="507390A1">
      <w:pPr>
        <w:spacing w:line="360" w:lineRule="auto"/>
        <w:jc w:val="center"/>
        <w:rPr>
          <w:rFonts w:hint="eastAsia" w:ascii="仿宋" w:hAnsi="仿宋" w:eastAsia="仿宋" w:cs="仿宋"/>
          <w:b/>
          <w:color w:val="auto"/>
          <w:spacing w:val="6"/>
          <w:sz w:val="32"/>
          <w:szCs w:val="32"/>
          <w:highlight w:val="none"/>
        </w:rPr>
      </w:pPr>
    </w:p>
    <w:p w14:paraId="3FF2C25A">
      <w:pPr>
        <w:spacing w:line="360" w:lineRule="auto"/>
        <w:jc w:val="center"/>
        <w:rPr>
          <w:rFonts w:hint="eastAsia" w:ascii="仿宋" w:hAnsi="仿宋" w:eastAsia="仿宋" w:cs="仿宋"/>
          <w:b/>
          <w:color w:val="auto"/>
          <w:spacing w:val="6"/>
          <w:sz w:val="32"/>
          <w:szCs w:val="32"/>
          <w:highlight w:val="none"/>
        </w:rPr>
      </w:pPr>
    </w:p>
    <w:p w14:paraId="0D8608C1">
      <w:pPr>
        <w:spacing w:line="360" w:lineRule="auto"/>
        <w:jc w:val="center"/>
        <w:rPr>
          <w:rFonts w:hint="eastAsia" w:ascii="仿宋" w:hAnsi="仿宋" w:eastAsia="仿宋" w:cs="仿宋"/>
          <w:b/>
          <w:color w:val="auto"/>
          <w:spacing w:val="6"/>
          <w:sz w:val="32"/>
          <w:szCs w:val="32"/>
          <w:highlight w:val="none"/>
        </w:rPr>
      </w:pPr>
    </w:p>
    <w:p w14:paraId="40D40265">
      <w:pPr>
        <w:spacing w:line="360" w:lineRule="auto"/>
        <w:jc w:val="center"/>
        <w:rPr>
          <w:rFonts w:hint="eastAsia" w:ascii="仿宋" w:hAnsi="仿宋" w:eastAsia="仿宋" w:cs="仿宋"/>
          <w:b/>
          <w:color w:val="auto"/>
          <w:spacing w:val="6"/>
          <w:sz w:val="32"/>
          <w:szCs w:val="32"/>
          <w:highlight w:val="none"/>
        </w:rPr>
      </w:pPr>
    </w:p>
    <w:p w14:paraId="229151F6">
      <w:pPr>
        <w:spacing w:line="360" w:lineRule="auto"/>
        <w:jc w:val="center"/>
        <w:rPr>
          <w:rFonts w:hint="eastAsia" w:ascii="仿宋" w:hAnsi="仿宋" w:eastAsia="仿宋" w:cs="仿宋"/>
          <w:b/>
          <w:color w:val="auto"/>
          <w:spacing w:val="6"/>
          <w:sz w:val="32"/>
          <w:szCs w:val="32"/>
          <w:highlight w:val="none"/>
        </w:rPr>
      </w:pPr>
    </w:p>
    <w:p w14:paraId="3646201E">
      <w:pPr>
        <w:spacing w:line="360" w:lineRule="auto"/>
        <w:jc w:val="center"/>
        <w:rPr>
          <w:rFonts w:hint="eastAsia" w:ascii="仿宋" w:hAnsi="仿宋" w:eastAsia="仿宋" w:cs="仿宋"/>
          <w:b/>
          <w:color w:val="auto"/>
          <w:spacing w:val="6"/>
          <w:sz w:val="32"/>
          <w:szCs w:val="32"/>
          <w:highlight w:val="none"/>
        </w:rPr>
      </w:pPr>
    </w:p>
    <w:p w14:paraId="643E80C6">
      <w:pPr>
        <w:spacing w:line="360" w:lineRule="auto"/>
        <w:jc w:val="center"/>
        <w:rPr>
          <w:rFonts w:hint="eastAsia" w:ascii="仿宋" w:hAnsi="仿宋" w:eastAsia="仿宋" w:cs="仿宋"/>
          <w:b/>
          <w:color w:val="auto"/>
          <w:spacing w:val="6"/>
          <w:sz w:val="32"/>
          <w:szCs w:val="32"/>
          <w:highlight w:val="none"/>
        </w:rPr>
      </w:pPr>
    </w:p>
    <w:p w14:paraId="6D1214BE">
      <w:pPr>
        <w:spacing w:line="360" w:lineRule="auto"/>
        <w:jc w:val="center"/>
        <w:rPr>
          <w:rFonts w:hint="eastAsia" w:ascii="仿宋" w:hAnsi="仿宋" w:eastAsia="仿宋" w:cs="仿宋"/>
          <w:b/>
          <w:color w:val="auto"/>
          <w:spacing w:val="6"/>
          <w:sz w:val="32"/>
          <w:szCs w:val="32"/>
          <w:highlight w:val="none"/>
        </w:rPr>
      </w:pPr>
    </w:p>
    <w:p w14:paraId="70AC714F">
      <w:pPr>
        <w:spacing w:line="360" w:lineRule="auto"/>
        <w:jc w:val="center"/>
        <w:rPr>
          <w:rFonts w:hint="eastAsia" w:ascii="仿宋" w:hAnsi="仿宋" w:eastAsia="仿宋" w:cs="仿宋"/>
          <w:b/>
          <w:color w:val="auto"/>
          <w:spacing w:val="6"/>
          <w:sz w:val="32"/>
          <w:szCs w:val="32"/>
          <w:highlight w:val="none"/>
        </w:rPr>
      </w:pPr>
    </w:p>
    <w:p w14:paraId="09EC6AB7">
      <w:pPr>
        <w:spacing w:line="360" w:lineRule="auto"/>
        <w:jc w:val="left"/>
        <w:rPr>
          <w:rFonts w:hint="eastAsia" w:ascii="仿宋" w:hAnsi="仿宋" w:eastAsia="仿宋" w:cs="仿宋"/>
          <w:b/>
          <w:color w:val="auto"/>
          <w:spacing w:val="6"/>
          <w:sz w:val="32"/>
          <w:szCs w:val="32"/>
          <w:highlight w:val="none"/>
        </w:rPr>
      </w:pPr>
    </w:p>
    <w:p w14:paraId="6D968BAA">
      <w:pPr>
        <w:spacing w:line="360" w:lineRule="auto"/>
        <w:jc w:val="left"/>
        <w:rPr>
          <w:rFonts w:hint="eastAsia" w:ascii="仿宋" w:hAnsi="仿宋" w:eastAsia="仿宋" w:cs="仿宋"/>
          <w:b/>
          <w:color w:val="auto"/>
          <w:spacing w:val="6"/>
          <w:sz w:val="32"/>
          <w:szCs w:val="32"/>
          <w:highlight w:val="none"/>
        </w:rPr>
      </w:pPr>
    </w:p>
    <w:p w14:paraId="4B38BD3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0F6DF80">
      <w:pPr>
        <w:spacing w:line="360" w:lineRule="auto"/>
        <w:jc w:val="center"/>
        <w:rPr>
          <w:rFonts w:hint="eastAsia" w:ascii="仿宋" w:hAnsi="仿宋" w:eastAsia="仿宋" w:cs="仿宋"/>
          <w:b/>
          <w:color w:val="auto"/>
          <w:sz w:val="24"/>
          <w:highlight w:val="none"/>
        </w:rPr>
      </w:pPr>
    </w:p>
    <w:p w14:paraId="6908812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A5226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BD0BFA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words"/>
        </w:rPr>
        <w:t>__________________________________</w:t>
      </w:r>
    </w:p>
    <w:p w14:paraId="1827D6D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words"/>
        </w:rPr>
        <w:t>___________________________</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words"/>
        </w:rPr>
        <w:t>_________</w:t>
      </w:r>
    </w:p>
    <w:p w14:paraId="3D2DFEB0">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words"/>
        </w:rPr>
        <w:t>_______________</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words"/>
        </w:rPr>
        <w:t>___________</w:t>
      </w:r>
    </w:p>
    <w:p w14:paraId="6A531CB2">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words"/>
        </w:rPr>
        <w:t>_______________</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words"/>
        </w:rPr>
        <w:t>____________</w:t>
      </w:r>
    </w:p>
    <w:p w14:paraId="7A566336">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words"/>
        </w:rPr>
        <w:t>___________________________</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words"/>
        </w:rPr>
        <w:t>_________</w:t>
      </w:r>
    </w:p>
    <w:p w14:paraId="094F903D">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words"/>
        </w:rPr>
        <w:t>_______________________________</w:t>
      </w:r>
    </w:p>
    <w:p w14:paraId="1A866F8E">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words"/>
        </w:rPr>
        <w:t>___________________________</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words"/>
        </w:rPr>
        <w:t>_________</w:t>
      </w:r>
    </w:p>
    <w:p w14:paraId="12E5FFBE">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words"/>
        </w:rPr>
        <w:t>_______________</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words"/>
        </w:rPr>
        <w:t>____________</w:t>
      </w:r>
    </w:p>
    <w:p w14:paraId="3B86C9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D21EE4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07E0C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words"/>
        </w:rPr>
        <w:t>__________________________________</w:t>
      </w:r>
    </w:p>
    <w:p w14:paraId="164FABA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words"/>
        </w:rPr>
        <w:t>___________________________</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words"/>
        </w:rPr>
        <w:t>_________</w:t>
      </w:r>
    </w:p>
    <w:p w14:paraId="1A28053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words"/>
        </w:rPr>
        <w:t>_______________</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____________</w:t>
      </w:r>
    </w:p>
    <w:p w14:paraId="6331E6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EF8835F">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words"/>
        </w:rPr>
        <w:t>__________________________________</w:t>
      </w:r>
    </w:p>
    <w:p w14:paraId="1FDD952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words"/>
        </w:rPr>
        <w:t>_____________________</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words"/>
        </w:rPr>
        <w:t>______________</w:t>
      </w:r>
    </w:p>
    <w:p w14:paraId="7D7177B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words"/>
        </w:rPr>
        <w:t>__________________________________</w:t>
      </w:r>
    </w:p>
    <w:p w14:paraId="17F502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words"/>
        </w:rPr>
        <w:t>__________________________________</w:t>
      </w:r>
    </w:p>
    <w:p w14:paraId="63DBD75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采购文件公告:是/否    公告期限：</w:t>
      </w:r>
      <w:r>
        <w:rPr>
          <w:rFonts w:hint="eastAsia" w:ascii="仿宋" w:hAnsi="仿宋" w:eastAsia="仿宋" w:cs="仿宋"/>
          <w:color w:val="auto"/>
          <w:sz w:val="24"/>
          <w:highlight w:val="none"/>
          <w:u w:val="words"/>
        </w:rPr>
        <w:t>_________________</w:t>
      </w:r>
    </w:p>
    <w:p w14:paraId="6D713B9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采购结果公告:是/否    公告期限：</w:t>
      </w:r>
      <w:r>
        <w:rPr>
          <w:rFonts w:hint="eastAsia" w:ascii="仿宋" w:hAnsi="仿宋" w:eastAsia="仿宋" w:cs="仿宋"/>
          <w:color w:val="auto"/>
          <w:sz w:val="24"/>
          <w:highlight w:val="none"/>
          <w:u w:val="words"/>
        </w:rPr>
        <w:t>_________________</w:t>
      </w:r>
    </w:p>
    <w:p w14:paraId="0CB0EA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10F96AB">
      <w:pPr>
        <w:spacing w:line="360" w:lineRule="auto"/>
        <w:ind w:firstLine="480" w:firstLineChars="200"/>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words"/>
        </w:rPr>
        <w:t>_____</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words"/>
        </w:rPr>
        <w:t>__</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words"/>
        </w:rPr>
        <w:t>__</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words"/>
        </w:rPr>
        <w:t>__________________</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words"/>
        </w:rPr>
        <w:t>__________________________________________________________________________</w:t>
      </w:r>
    </w:p>
    <w:p w14:paraId="1F1147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采购人/代理机构于</w:t>
      </w:r>
      <w:r>
        <w:rPr>
          <w:rFonts w:hint="eastAsia" w:ascii="仿宋" w:hAnsi="仿宋" w:eastAsia="仿宋" w:cs="仿宋"/>
          <w:color w:val="auto"/>
          <w:sz w:val="24"/>
          <w:highlight w:val="none"/>
          <w:u w:val="words"/>
        </w:rPr>
        <w:t>____</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words"/>
        </w:rPr>
        <w:t>__</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words"/>
        </w:rPr>
        <w:t>__</w:t>
      </w:r>
      <w:r>
        <w:rPr>
          <w:rFonts w:hint="eastAsia" w:ascii="仿宋" w:hAnsi="仿宋" w:eastAsia="仿宋" w:cs="仿宋"/>
          <w:color w:val="auto"/>
          <w:sz w:val="24"/>
          <w:highlight w:val="none"/>
        </w:rPr>
        <w:t>日,就质疑事项作出了答复/没有在法定期限内作出答复。</w:t>
      </w:r>
    </w:p>
    <w:p w14:paraId="15E70D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56E0E0B">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words"/>
        </w:rPr>
        <w:t>________________________________________________________________</w:t>
      </w:r>
    </w:p>
    <w:p w14:paraId="223AFA97">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words"/>
        </w:rPr>
        <w:t>__________________________________________________________________</w:t>
      </w:r>
    </w:p>
    <w:p w14:paraId="0A1BA86D">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u w:val="words"/>
        </w:rPr>
        <w:t>___________________________________________________________________________</w:t>
      </w:r>
    </w:p>
    <w:p w14:paraId="6F0B56FA">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words"/>
        </w:rPr>
        <w:t>__________________________________________________________________</w:t>
      </w:r>
    </w:p>
    <w:p w14:paraId="6E709F08">
      <w:pPr>
        <w:spacing w:line="360" w:lineRule="auto"/>
        <w:rPr>
          <w:rFonts w:hint="eastAsia" w:ascii="仿宋" w:hAnsi="仿宋" w:eastAsia="仿宋" w:cs="仿宋"/>
          <w:color w:val="auto"/>
          <w:sz w:val="24"/>
          <w:highlight w:val="none"/>
          <w:u w:val="words"/>
        </w:rPr>
      </w:pPr>
      <w:r>
        <w:rPr>
          <w:rFonts w:hint="eastAsia" w:ascii="仿宋" w:hAnsi="仿宋" w:eastAsia="仿宋" w:cs="仿宋"/>
          <w:color w:val="auto"/>
          <w:sz w:val="24"/>
          <w:highlight w:val="none"/>
          <w:u w:val="words"/>
        </w:rPr>
        <w:t>___________________________________________________________________________</w:t>
      </w:r>
    </w:p>
    <w:p w14:paraId="4D0A2B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371A23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52DF4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014E0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words"/>
        </w:rPr>
        <w:t>______________________________________________________________________</w:t>
      </w:r>
    </w:p>
    <w:p w14:paraId="04E2B871">
      <w:pPr>
        <w:spacing w:line="360" w:lineRule="auto"/>
        <w:rPr>
          <w:rFonts w:hint="eastAsia" w:ascii="仿宋" w:hAnsi="仿宋" w:eastAsia="仿宋" w:cs="仿宋"/>
          <w:color w:val="auto"/>
          <w:sz w:val="24"/>
          <w:highlight w:val="none"/>
          <w:u w:val="single"/>
        </w:rPr>
      </w:pPr>
    </w:p>
    <w:p w14:paraId="038AF83C">
      <w:pPr>
        <w:spacing w:line="360" w:lineRule="auto"/>
        <w:rPr>
          <w:rFonts w:hint="eastAsia" w:ascii="仿宋" w:hAnsi="仿宋" w:eastAsia="仿宋" w:cs="仿宋"/>
          <w:color w:val="auto"/>
          <w:sz w:val="24"/>
          <w:highlight w:val="none"/>
        </w:rPr>
      </w:pPr>
    </w:p>
    <w:p w14:paraId="3BFF34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2992E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1946505">
      <w:pPr>
        <w:spacing w:line="360" w:lineRule="auto"/>
        <w:rPr>
          <w:rFonts w:hint="eastAsia" w:ascii="仿宋" w:hAnsi="仿宋" w:eastAsia="仿宋" w:cs="仿宋"/>
          <w:b/>
          <w:color w:val="auto"/>
          <w:sz w:val="24"/>
          <w:highlight w:val="none"/>
        </w:rPr>
      </w:pPr>
    </w:p>
    <w:p w14:paraId="44906158">
      <w:pPr>
        <w:spacing w:line="360" w:lineRule="auto"/>
        <w:rPr>
          <w:rFonts w:hint="eastAsia" w:ascii="仿宋" w:hAnsi="仿宋" w:eastAsia="仿宋" w:cs="仿宋"/>
          <w:b/>
          <w:color w:val="auto"/>
          <w:sz w:val="24"/>
          <w:highlight w:val="none"/>
        </w:rPr>
      </w:pPr>
    </w:p>
    <w:p w14:paraId="211E871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8871A1D">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D09710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A8E9C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B46B1E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359CB2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0AC9BA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28438B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A5490CE">
      <w:pPr>
        <w:pStyle w:val="26"/>
        <w:keepNext w:val="0"/>
        <w:pageBreakBefore w:val="0"/>
        <w:tabs>
          <w:tab w:val="clear" w:pos="720"/>
        </w:tabs>
        <w:snapToGrid w:val="0"/>
        <w:jc w:val="both"/>
        <w:outlineLvl w:val="9"/>
        <w:rPr>
          <w:rFonts w:hint="eastAsia" w:ascii="仿宋" w:hAnsi="仿宋" w:eastAsia="仿宋" w:cs="仿宋"/>
          <w:color w:val="auto"/>
          <w:sz w:val="24"/>
          <w:highlight w:val="none"/>
        </w:rPr>
      </w:pPr>
    </w:p>
    <w:p w14:paraId="7969DF9C"/>
    <w:sectPr>
      <w:footerReference r:id="rId15" w:type="first"/>
      <w:footerReference r:id="rId13" w:type="default"/>
      <w:footerReference r:id="rId14" w:type="even"/>
      <w:pgSz w:w="11906" w:h="16838"/>
      <w:pgMar w:top="1247" w:right="1418" w:bottom="1276"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85403">
    <w:pPr>
      <w:pStyle w:val="12"/>
      <w:jc w:val="center"/>
      <w:rPr>
        <w:rFonts w:hint="eastAsia"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112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11250" cy="1828800"/>
                      </a:xfrm>
                      <a:prstGeom prst="rect">
                        <a:avLst/>
                      </a:prstGeom>
                      <a:noFill/>
                      <a:ln w="15875">
                        <a:noFill/>
                      </a:ln>
                    </wps:spPr>
                    <wps:txbx>
                      <w:txbxContent>
                        <w:p w14:paraId="5A597544">
                          <w:pPr>
                            <w:pStyle w:val="1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87.5pt;mso-position-horizontal:center;mso-position-horizontal-relative:margin;z-index:251660288;mso-width-relative:page;mso-height-relative:page;" filled="f" stroked="f" coordsize="21600,21600" o:gfxdata="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4xRDv1AAAAAUBAAAPAAAAAAAAAAEAIAAAACIAAABkcnMv&#10;ZG93bnJldi54bWxQSwECFAAUAAAACACHTuJAAa5A4s4BAACXAwAADgAAAAAAAAABACAAAAAjAQAA&#10;ZHJzL2Uyb0RvYy54bWxQSwUGAAAAAAYABgBZAQAAYwUAAAAA&#10;">
              <v:fill on="f" focussize="0,0"/>
              <v:stroke on="f" weight="1.25pt"/>
              <v:imagedata o:title=""/>
              <o:lock v:ext="edit" aspectratio="f"/>
              <v:textbox inset="0mm,0mm,0mm,0mm" style="mso-fit-shape-to-text:t;">
                <w:txbxContent>
                  <w:p w14:paraId="5A597544">
                    <w:pPr>
                      <w:pStyle w:val="12"/>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1F8231D1">
    <w:pPr>
      <w:rPr>
        <w:rFonts w:hint="eastAsia"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DC51">
    <w:pPr>
      <w:pStyle w:val="12"/>
      <w:framePr w:wrap="around" w:vAnchor="text" w:hAnchor="margin" w:xAlign="right" w:y="1"/>
      <w:rPr>
        <w:rStyle w:val="20"/>
      </w:rPr>
    </w:pPr>
    <w:r>
      <w:fldChar w:fldCharType="begin"/>
    </w:r>
    <w:r>
      <w:rPr>
        <w:rStyle w:val="20"/>
      </w:rPr>
      <w:instrText xml:space="preserve">PAGE  </w:instrText>
    </w:r>
    <w:r>
      <w:fldChar w:fldCharType="separate"/>
    </w:r>
    <w:r>
      <w:fldChar w:fldCharType="end"/>
    </w:r>
  </w:p>
  <w:p w14:paraId="02632FEA">
    <w:pPr>
      <w:pStyle w:val="12"/>
      <w:ind w:right="360"/>
    </w:pPr>
  </w:p>
  <w:p w14:paraId="226C65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634A2">
    <w:pPr>
      <w:pStyle w:val="12"/>
      <w:jc w:val="center"/>
      <w:rPr>
        <w:rFonts w:hint="eastAsia"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98BDFB">
                          <w:pPr>
                            <w:pStyle w:val="1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698BDFB">
                    <w:pPr>
                      <w:pStyle w:val="1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01435DFB">
    <w:pPr>
      <w:rPr>
        <w:rFonts w:hint="eastAsia"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6525">
    <w:pPr>
      <w:pStyle w:val="12"/>
      <w:jc w:val="center"/>
      <w:rPr>
        <w:rFonts w:hint="eastAsia"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403F9C">
                          <w:pPr>
                            <w:pStyle w:val="1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10403F9C">
                    <w:pPr>
                      <w:pStyle w:val="1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361F4BCA">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841FC">
    <w:pPr>
      <w:pStyle w:val="12"/>
      <w:framePr w:wrap="around" w:vAnchor="text" w:hAnchor="margin" w:xAlign="right" w:y="1"/>
      <w:rPr>
        <w:rStyle w:val="20"/>
      </w:rPr>
    </w:pPr>
    <w:r>
      <w:fldChar w:fldCharType="begin"/>
    </w:r>
    <w:r>
      <w:rPr>
        <w:rStyle w:val="20"/>
      </w:rPr>
      <w:instrText xml:space="preserve">PAGE  </w:instrText>
    </w:r>
    <w:r>
      <w:fldChar w:fldCharType="separate"/>
    </w:r>
    <w:r>
      <w:fldChar w:fldCharType="end"/>
    </w:r>
  </w:p>
  <w:p w14:paraId="6BDFA089">
    <w:pPr>
      <w:pStyle w:val="12"/>
      <w:ind w:right="360"/>
    </w:pPr>
  </w:p>
  <w:p w14:paraId="0F6BE5A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D7F31">
    <w:pPr>
      <w:pStyle w:val="12"/>
      <w:jc w:val="center"/>
      <w:rPr>
        <w:rFonts w:hint="eastAsia"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1586A7">
                          <w:pPr>
                            <w:pStyle w:val="1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721586A7">
                    <w:pPr>
                      <w:pStyle w:val="1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14:paraId="3BE5E4EB">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985B">
    <w:pPr>
      <w:pStyle w:val="12"/>
      <w:jc w:val="center"/>
      <w:rPr>
        <w:rFonts w:hint="eastAsia"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813C15">
                          <w:pPr>
                            <w:pStyle w:val="1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6813C15">
                    <w:pPr>
                      <w:pStyle w:val="1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56001">
    <w:pPr>
      <w:pStyle w:val="12"/>
      <w:framePr w:wrap="around" w:vAnchor="text" w:hAnchor="margin" w:xAlign="right" w:y="1"/>
      <w:rPr>
        <w:rStyle w:val="20"/>
      </w:rPr>
    </w:pPr>
    <w:r>
      <w:fldChar w:fldCharType="begin"/>
    </w:r>
    <w:r>
      <w:rPr>
        <w:rStyle w:val="20"/>
      </w:rPr>
      <w:instrText xml:space="preserve">PAGE  </w:instrText>
    </w:r>
    <w:r>
      <w:fldChar w:fldCharType="separate"/>
    </w:r>
    <w:r>
      <w:fldChar w:fldCharType="end"/>
    </w:r>
  </w:p>
  <w:p w14:paraId="25B6F22F">
    <w:pPr>
      <w:pStyle w:val="1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B376">
    <w:pPr>
      <w:pStyle w:val="12"/>
      <w:jc w:val="center"/>
      <w:rPr>
        <w:rFonts w:hint="eastAsia"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F0A1CF">
                          <w:pPr>
                            <w:pStyle w:val="1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0F0A1CF">
                    <w:pPr>
                      <w:pStyle w:val="1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FAE3">
    <w:pPr>
      <w:pStyle w:val="13"/>
      <w:jc w:val="right"/>
    </w:pPr>
    <w:r>
      <w:rPr>
        <w:rFonts w:hint="eastAsia"/>
      </w:rPr>
      <w:t xml:space="preserve">                                                                                                                               绍兴市柯桥区政府采购公开招标文件</w:t>
    </w:r>
  </w:p>
  <w:p w14:paraId="51AD76EB">
    <w:pPr>
      <w:pStyle w:val="16"/>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66BA">
    <w:pPr>
      <w:pStyle w:val="13"/>
    </w:pPr>
  </w:p>
  <w:p w14:paraId="585AA9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F919C">
    <w:pPr>
      <w:pStyle w:val="13"/>
      <w:jc w:val="right"/>
    </w:pPr>
    <w:r>
      <w:rPr>
        <w:rFonts w:hint="eastAsia"/>
      </w:rPr>
      <w:t xml:space="preserve">                                                                     </w:t>
    </w:r>
    <w:r>
      <w:t xml:space="preserve">  </w:t>
    </w:r>
    <w:r>
      <w:rPr>
        <w:rFonts w:hint="eastAsia"/>
      </w:rPr>
      <w:t xml:space="preserve">                                                        绍兴市柯桥区政府采购公开招标文件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33CBB">
    <w:pPr>
      <w:pStyle w:val="13"/>
    </w:pPr>
  </w:p>
  <w:p w14:paraId="0CB299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70E16D6D"/>
    <w:multiLevelType w:val="singleLevel"/>
    <w:tmpl w:val="70E16D6D"/>
    <w:lvl w:ilvl="0" w:tentative="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B213F"/>
    <w:rsid w:val="00377076"/>
    <w:rsid w:val="003D6656"/>
    <w:rsid w:val="00496DA9"/>
    <w:rsid w:val="0058523E"/>
    <w:rsid w:val="00902C2A"/>
    <w:rsid w:val="009049D8"/>
    <w:rsid w:val="00977B14"/>
    <w:rsid w:val="00CB5A10"/>
    <w:rsid w:val="01671BDD"/>
    <w:rsid w:val="017E6F26"/>
    <w:rsid w:val="019D55FE"/>
    <w:rsid w:val="01B97F5E"/>
    <w:rsid w:val="01D6466C"/>
    <w:rsid w:val="01DA23AF"/>
    <w:rsid w:val="02385327"/>
    <w:rsid w:val="02922C89"/>
    <w:rsid w:val="02985DC6"/>
    <w:rsid w:val="029E162E"/>
    <w:rsid w:val="02AB78A7"/>
    <w:rsid w:val="02BF3353"/>
    <w:rsid w:val="02C866AB"/>
    <w:rsid w:val="02E37041"/>
    <w:rsid w:val="02F254D6"/>
    <w:rsid w:val="034321D6"/>
    <w:rsid w:val="03483348"/>
    <w:rsid w:val="03600692"/>
    <w:rsid w:val="03B73ED7"/>
    <w:rsid w:val="0402799B"/>
    <w:rsid w:val="04C133B2"/>
    <w:rsid w:val="04ED41A7"/>
    <w:rsid w:val="051060E7"/>
    <w:rsid w:val="052B4CCF"/>
    <w:rsid w:val="05502988"/>
    <w:rsid w:val="05C173E2"/>
    <w:rsid w:val="05DE61E6"/>
    <w:rsid w:val="061614DB"/>
    <w:rsid w:val="062956B3"/>
    <w:rsid w:val="064A73D7"/>
    <w:rsid w:val="071A4FFB"/>
    <w:rsid w:val="0760566F"/>
    <w:rsid w:val="0781151E"/>
    <w:rsid w:val="079E5C2C"/>
    <w:rsid w:val="07B055D8"/>
    <w:rsid w:val="07C136C9"/>
    <w:rsid w:val="07E07FF3"/>
    <w:rsid w:val="0843315B"/>
    <w:rsid w:val="08606F9C"/>
    <w:rsid w:val="089D4136"/>
    <w:rsid w:val="08D8516E"/>
    <w:rsid w:val="0979767A"/>
    <w:rsid w:val="09AF5ECF"/>
    <w:rsid w:val="09C0632E"/>
    <w:rsid w:val="09D5345C"/>
    <w:rsid w:val="0A283ED3"/>
    <w:rsid w:val="0A4A209B"/>
    <w:rsid w:val="0A595E3B"/>
    <w:rsid w:val="0AB319EF"/>
    <w:rsid w:val="0AB85257"/>
    <w:rsid w:val="0AF50259"/>
    <w:rsid w:val="0AF85654"/>
    <w:rsid w:val="0B4B1C27"/>
    <w:rsid w:val="0B554854"/>
    <w:rsid w:val="0BC8771C"/>
    <w:rsid w:val="0C2D757F"/>
    <w:rsid w:val="0C517711"/>
    <w:rsid w:val="0C5866C7"/>
    <w:rsid w:val="0CEB1914"/>
    <w:rsid w:val="0CFB142B"/>
    <w:rsid w:val="0D0C188A"/>
    <w:rsid w:val="0D1129FD"/>
    <w:rsid w:val="0D200E92"/>
    <w:rsid w:val="0D38442D"/>
    <w:rsid w:val="0D533015"/>
    <w:rsid w:val="0D9D0734"/>
    <w:rsid w:val="0DA25D4B"/>
    <w:rsid w:val="0DC61A39"/>
    <w:rsid w:val="0DED346A"/>
    <w:rsid w:val="0E213113"/>
    <w:rsid w:val="0E26697C"/>
    <w:rsid w:val="0E341099"/>
    <w:rsid w:val="0E670397"/>
    <w:rsid w:val="0E6F0323"/>
    <w:rsid w:val="0E9658AF"/>
    <w:rsid w:val="0E981627"/>
    <w:rsid w:val="0EBD108E"/>
    <w:rsid w:val="0EC046DA"/>
    <w:rsid w:val="0ECE5049"/>
    <w:rsid w:val="0EF3685E"/>
    <w:rsid w:val="0F062CF3"/>
    <w:rsid w:val="0F152C78"/>
    <w:rsid w:val="0F220EF1"/>
    <w:rsid w:val="0F227143"/>
    <w:rsid w:val="0F2C7FC2"/>
    <w:rsid w:val="0F3A0931"/>
    <w:rsid w:val="0F3B1FB3"/>
    <w:rsid w:val="0F655282"/>
    <w:rsid w:val="10022AD1"/>
    <w:rsid w:val="1025513D"/>
    <w:rsid w:val="103435D2"/>
    <w:rsid w:val="104F3F68"/>
    <w:rsid w:val="106A6FF4"/>
    <w:rsid w:val="107E2A9F"/>
    <w:rsid w:val="10802373"/>
    <w:rsid w:val="10953945"/>
    <w:rsid w:val="10B4201D"/>
    <w:rsid w:val="10E2302E"/>
    <w:rsid w:val="11290C5D"/>
    <w:rsid w:val="115A7068"/>
    <w:rsid w:val="117D2D56"/>
    <w:rsid w:val="11BD75F7"/>
    <w:rsid w:val="11C75D80"/>
    <w:rsid w:val="11CB5870"/>
    <w:rsid w:val="12086AC4"/>
    <w:rsid w:val="122D2087"/>
    <w:rsid w:val="125308C6"/>
    <w:rsid w:val="12771554"/>
    <w:rsid w:val="12E12E71"/>
    <w:rsid w:val="12F928B1"/>
    <w:rsid w:val="130F6E68"/>
    <w:rsid w:val="133451EC"/>
    <w:rsid w:val="133E6515"/>
    <w:rsid w:val="13405DEA"/>
    <w:rsid w:val="13873A19"/>
    <w:rsid w:val="138A52B7"/>
    <w:rsid w:val="13DA4490"/>
    <w:rsid w:val="1407694F"/>
    <w:rsid w:val="141B23B3"/>
    <w:rsid w:val="144D4C62"/>
    <w:rsid w:val="14902DA1"/>
    <w:rsid w:val="14997EA7"/>
    <w:rsid w:val="14A10B0A"/>
    <w:rsid w:val="14BA7E1E"/>
    <w:rsid w:val="14DE58BA"/>
    <w:rsid w:val="14EC447B"/>
    <w:rsid w:val="150F0169"/>
    <w:rsid w:val="15966195"/>
    <w:rsid w:val="15B13177"/>
    <w:rsid w:val="15F5735F"/>
    <w:rsid w:val="165B2F3A"/>
    <w:rsid w:val="16893F4C"/>
    <w:rsid w:val="16A14DF1"/>
    <w:rsid w:val="16EB42BE"/>
    <w:rsid w:val="170A0BE8"/>
    <w:rsid w:val="17312619"/>
    <w:rsid w:val="175B7BF4"/>
    <w:rsid w:val="17800EAB"/>
    <w:rsid w:val="178C3CF3"/>
    <w:rsid w:val="17FB6783"/>
    <w:rsid w:val="182932F0"/>
    <w:rsid w:val="182C4B8E"/>
    <w:rsid w:val="183103F7"/>
    <w:rsid w:val="183F48C2"/>
    <w:rsid w:val="18552337"/>
    <w:rsid w:val="18814EDA"/>
    <w:rsid w:val="18FF04F5"/>
    <w:rsid w:val="192A5572"/>
    <w:rsid w:val="194D300E"/>
    <w:rsid w:val="1991739F"/>
    <w:rsid w:val="19AF1F1B"/>
    <w:rsid w:val="19C77265"/>
    <w:rsid w:val="19D43730"/>
    <w:rsid w:val="1A1C4775"/>
    <w:rsid w:val="1A7B5455"/>
    <w:rsid w:val="1B010554"/>
    <w:rsid w:val="1B3F2E2B"/>
    <w:rsid w:val="1B4D19EC"/>
    <w:rsid w:val="1B4D5548"/>
    <w:rsid w:val="1B79633D"/>
    <w:rsid w:val="1BB13D28"/>
    <w:rsid w:val="1BB47375"/>
    <w:rsid w:val="1BD17F27"/>
    <w:rsid w:val="1C0A3439"/>
    <w:rsid w:val="1CBA4E5F"/>
    <w:rsid w:val="1CFC5477"/>
    <w:rsid w:val="1D305121"/>
    <w:rsid w:val="1DA6457A"/>
    <w:rsid w:val="1DA94809"/>
    <w:rsid w:val="1DF223D6"/>
    <w:rsid w:val="1DF54E68"/>
    <w:rsid w:val="1E110AAE"/>
    <w:rsid w:val="1E5B7F7C"/>
    <w:rsid w:val="1F0C571A"/>
    <w:rsid w:val="1F576995"/>
    <w:rsid w:val="1F58270D"/>
    <w:rsid w:val="1FBC4A4A"/>
    <w:rsid w:val="1FC41B50"/>
    <w:rsid w:val="1FF64400"/>
    <w:rsid w:val="1FF97A4C"/>
    <w:rsid w:val="200F54C2"/>
    <w:rsid w:val="208D63E6"/>
    <w:rsid w:val="20915ED7"/>
    <w:rsid w:val="20A025BE"/>
    <w:rsid w:val="20C77B4A"/>
    <w:rsid w:val="20CF4C51"/>
    <w:rsid w:val="20DF30E6"/>
    <w:rsid w:val="20E029BA"/>
    <w:rsid w:val="21B55BF5"/>
    <w:rsid w:val="21BF6A73"/>
    <w:rsid w:val="21C64D69"/>
    <w:rsid w:val="220A23E4"/>
    <w:rsid w:val="22124DF5"/>
    <w:rsid w:val="22145011"/>
    <w:rsid w:val="22546188"/>
    <w:rsid w:val="226A69DF"/>
    <w:rsid w:val="22772009"/>
    <w:rsid w:val="22E83DA8"/>
    <w:rsid w:val="22FD7853"/>
    <w:rsid w:val="23052BAC"/>
    <w:rsid w:val="23614286"/>
    <w:rsid w:val="23B1063E"/>
    <w:rsid w:val="24084702"/>
    <w:rsid w:val="240864B0"/>
    <w:rsid w:val="244119C2"/>
    <w:rsid w:val="247E6772"/>
    <w:rsid w:val="24B14D99"/>
    <w:rsid w:val="24B403E6"/>
    <w:rsid w:val="24C85C3F"/>
    <w:rsid w:val="24EF7670"/>
    <w:rsid w:val="255319AC"/>
    <w:rsid w:val="258778A8"/>
    <w:rsid w:val="25BD776E"/>
    <w:rsid w:val="25F211C5"/>
    <w:rsid w:val="26C16DEA"/>
    <w:rsid w:val="26E31456"/>
    <w:rsid w:val="2705317A"/>
    <w:rsid w:val="27223D2C"/>
    <w:rsid w:val="275B2D9A"/>
    <w:rsid w:val="27A74232"/>
    <w:rsid w:val="27AF141A"/>
    <w:rsid w:val="27F82CDF"/>
    <w:rsid w:val="28243AD4"/>
    <w:rsid w:val="285443B9"/>
    <w:rsid w:val="292E4C0A"/>
    <w:rsid w:val="294A756A"/>
    <w:rsid w:val="2964687E"/>
    <w:rsid w:val="29673C78"/>
    <w:rsid w:val="29A722B4"/>
    <w:rsid w:val="29AF7346"/>
    <w:rsid w:val="29DB4666"/>
    <w:rsid w:val="29E4176D"/>
    <w:rsid w:val="2A2B3E3A"/>
    <w:rsid w:val="2A3F1EAA"/>
    <w:rsid w:val="2A467D32"/>
    <w:rsid w:val="2A68414C"/>
    <w:rsid w:val="2A6F54DA"/>
    <w:rsid w:val="2AA8279A"/>
    <w:rsid w:val="2ADA66CC"/>
    <w:rsid w:val="2AF61758"/>
    <w:rsid w:val="2B053749"/>
    <w:rsid w:val="2B18432F"/>
    <w:rsid w:val="2B22254D"/>
    <w:rsid w:val="2B604E23"/>
    <w:rsid w:val="2B7E34FB"/>
    <w:rsid w:val="2BD82C0B"/>
    <w:rsid w:val="2BE07D12"/>
    <w:rsid w:val="2BFD08C4"/>
    <w:rsid w:val="2C4E7372"/>
    <w:rsid w:val="2C602C01"/>
    <w:rsid w:val="2C6B213F"/>
    <w:rsid w:val="2CFE48F4"/>
    <w:rsid w:val="2D4C33DC"/>
    <w:rsid w:val="2DA336ED"/>
    <w:rsid w:val="2DAC25A2"/>
    <w:rsid w:val="2DE75388"/>
    <w:rsid w:val="2E6B5FB9"/>
    <w:rsid w:val="2E8D23D3"/>
    <w:rsid w:val="2E9574DA"/>
    <w:rsid w:val="2EA96AE1"/>
    <w:rsid w:val="2EC102CF"/>
    <w:rsid w:val="2F1C30A3"/>
    <w:rsid w:val="2F340AA1"/>
    <w:rsid w:val="2F4800A8"/>
    <w:rsid w:val="2FA86D99"/>
    <w:rsid w:val="2FBB2F70"/>
    <w:rsid w:val="2FCC2A87"/>
    <w:rsid w:val="2FFB336C"/>
    <w:rsid w:val="2FFE4C0B"/>
    <w:rsid w:val="30030473"/>
    <w:rsid w:val="302F4575"/>
    <w:rsid w:val="30576DE8"/>
    <w:rsid w:val="3058256D"/>
    <w:rsid w:val="3091782D"/>
    <w:rsid w:val="30AE03DF"/>
    <w:rsid w:val="30CD2F5B"/>
    <w:rsid w:val="30DA7426"/>
    <w:rsid w:val="30F5600E"/>
    <w:rsid w:val="31142E74"/>
    <w:rsid w:val="31175F84"/>
    <w:rsid w:val="31230DCD"/>
    <w:rsid w:val="313F372D"/>
    <w:rsid w:val="314E571E"/>
    <w:rsid w:val="31526969"/>
    <w:rsid w:val="315C42DF"/>
    <w:rsid w:val="316311C9"/>
    <w:rsid w:val="3166515D"/>
    <w:rsid w:val="317A6513"/>
    <w:rsid w:val="318F6462"/>
    <w:rsid w:val="31CF2D03"/>
    <w:rsid w:val="31E56082"/>
    <w:rsid w:val="31F92D57"/>
    <w:rsid w:val="328F5FEE"/>
    <w:rsid w:val="3296737C"/>
    <w:rsid w:val="32A41A99"/>
    <w:rsid w:val="32BB6DE3"/>
    <w:rsid w:val="32EC51EE"/>
    <w:rsid w:val="33BC2E13"/>
    <w:rsid w:val="33D068BE"/>
    <w:rsid w:val="33ED7470"/>
    <w:rsid w:val="33FC5905"/>
    <w:rsid w:val="34384B8F"/>
    <w:rsid w:val="345B087E"/>
    <w:rsid w:val="345D45F6"/>
    <w:rsid w:val="34621C0C"/>
    <w:rsid w:val="34873421"/>
    <w:rsid w:val="34DA79F4"/>
    <w:rsid w:val="34F34F5A"/>
    <w:rsid w:val="35C0308E"/>
    <w:rsid w:val="360C62D3"/>
    <w:rsid w:val="362A675A"/>
    <w:rsid w:val="36394BEF"/>
    <w:rsid w:val="366D6646"/>
    <w:rsid w:val="36743E79"/>
    <w:rsid w:val="367E6AA5"/>
    <w:rsid w:val="36A4475E"/>
    <w:rsid w:val="36BD137C"/>
    <w:rsid w:val="37922808"/>
    <w:rsid w:val="37F27B04"/>
    <w:rsid w:val="37F94635"/>
    <w:rsid w:val="382947EF"/>
    <w:rsid w:val="38341B11"/>
    <w:rsid w:val="38393973"/>
    <w:rsid w:val="38877E93"/>
    <w:rsid w:val="38C05153"/>
    <w:rsid w:val="38ED3A6E"/>
    <w:rsid w:val="39070FD4"/>
    <w:rsid w:val="39673821"/>
    <w:rsid w:val="39853925"/>
    <w:rsid w:val="399A5826"/>
    <w:rsid w:val="39A16D33"/>
    <w:rsid w:val="39C90037"/>
    <w:rsid w:val="3A10210A"/>
    <w:rsid w:val="3A157721"/>
    <w:rsid w:val="3A3556CD"/>
    <w:rsid w:val="3A804B9A"/>
    <w:rsid w:val="3A811F62"/>
    <w:rsid w:val="3A8328DC"/>
    <w:rsid w:val="3AA840F1"/>
    <w:rsid w:val="3ADE7B13"/>
    <w:rsid w:val="3B0F23C2"/>
    <w:rsid w:val="3B3D6F2F"/>
    <w:rsid w:val="3B7F12F6"/>
    <w:rsid w:val="3B8406BA"/>
    <w:rsid w:val="3BBD1E1E"/>
    <w:rsid w:val="3C1934F8"/>
    <w:rsid w:val="3C9B0E7C"/>
    <w:rsid w:val="3CA37266"/>
    <w:rsid w:val="3CE358B4"/>
    <w:rsid w:val="3CEC29BB"/>
    <w:rsid w:val="3D08531B"/>
    <w:rsid w:val="3D3B2FFA"/>
    <w:rsid w:val="3D516CC2"/>
    <w:rsid w:val="3D606F05"/>
    <w:rsid w:val="3D956BAE"/>
    <w:rsid w:val="3DA037A5"/>
    <w:rsid w:val="3E012496"/>
    <w:rsid w:val="3E6622F9"/>
    <w:rsid w:val="3EA51073"/>
    <w:rsid w:val="3EBE7921"/>
    <w:rsid w:val="3ED47476"/>
    <w:rsid w:val="3F0B4C4E"/>
    <w:rsid w:val="3F12422F"/>
    <w:rsid w:val="3F15211D"/>
    <w:rsid w:val="3F285800"/>
    <w:rsid w:val="3F395C5F"/>
    <w:rsid w:val="400B75FC"/>
    <w:rsid w:val="404C3770"/>
    <w:rsid w:val="40771093"/>
    <w:rsid w:val="407F76A2"/>
    <w:rsid w:val="40972C3D"/>
    <w:rsid w:val="40CB0B39"/>
    <w:rsid w:val="40EB4D37"/>
    <w:rsid w:val="411918A4"/>
    <w:rsid w:val="411E6EBB"/>
    <w:rsid w:val="414C1C7A"/>
    <w:rsid w:val="415723CD"/>
    <w:rsid w:val="415D5C35"/>
    <w:rsid w:val="417967E7"/>
    <w:rsid w:val="4194717D"/>
    <w:rsid w:val="41994793"/>
    <w:rsid w:val="41B5345B"/>
    <w:rsid w:val="41B82E6B"/>
    <w:rsid w:val="41CA7043"/>
    <w:rsid w:val="41D43A1D"/>
    <w:rsid w:val="421B164C"/>
    <w:rsid w:val="42206C63"/>
    <w:rsid w:val="428002FC"/>
    <w:rsid w:val="42870A90"/>
    <w:rsid w:val="42BF022A"/>
    <w:rsid w:val="42D53EF1"/>
    <w:rsid w:val="432307B8"/>
    <w:rsid w:val="433C5D1E"/>
    <w:rsid w:val="43452E25"/>
    <w:rsid w:val="436A0F22"/>
    <w:rsid w:val="43C55D14"/>
    <w:rsid w:val="440F1E51"/>
    <w:rsid w:val="44290050"/>
    <w:rsid w:val="443F7874"/>
    <w:rsid w:val="447C2876"/>
    <w:rsid w:val="44A122DD"/>
    <w:rsid w:val="44ED72D0"/>
    <w:rsid w:val="4513485D"/>
    <w:rsid w:val="45240818"/>
    <w:rsid w:val="453C3DB3"/>
    <w:rsid w:val="45464C32"/>
    <w:rsid w:val="45482758"/>
    <w:rsid w:val="45561319"/>
    <w:rsid w:val="4665733A"/>
    <w:rsid w:val="467F664E"/>
    <w:rsid w:val="46B06807"/>
    <w:rsid w:val="46B1432D"/>
    <w:rsid w:val="46B67B95"/>
    <w:rsid w:val="46C978C9"/>
    <w:rsid w:val="46F10BCE"/>
    <w:rsid w:val="472E17E0"/>
    <w:rsid w:val="48032FB6"/>
    <w:rsid w:val="481C1C7A"/>
    <w:rsid w:val="484215A7"/>
    <w:rsid w:val="48523EE0"/>
    <w:rsid w:val="48580F04"/>
    <w:rsid w:val="485E2293"/>
    <w:rsid w:val="48825F81"/>
    <w:rsid w:val="4893018E"/>
    <w:rsid w:val="48945CB4"/>
    <w:rsid w:val="48D2515B"/>
    <w:rsid w:val="48FA1FBB"/>
    <w:rsid w:val="48FC3F85"/>
    <w:rsid w:val="49025314"/>
    <w:rsid w:val="49441489"/>
    <w:rsid w:val="49B54134"/>
    <w:rsid w:val="49E8450A"/>
    <w:rsid w:val="4A761B16"/>
    <w:rsid w:val="4A7D4C52"/>
    <w:rsid w:val="4AD36F68"/>
    <w:rsid w:val="4B456392"/>
    <w:rsid w:val="4B9759E4"/>
    <w:rsid w:val="4BBE19C6"/>
    <w:rsid w:val="4D027691"/>
    <w:rsid w:val="4D665E71"/>
    <w:rsid w:val="4D902EEE"/>
    <w:rsid w:val="4DD23507"/>
    <w:rsid w:val="4DF07278"/>
    <w:rsid w:val="4E5B34FC"/>
    <w:rsid w:val="4EA3763A"/>
    <w:rsid w:val="4EC015B1"/>
    <w:rsid w:val="4EE51018"/>
    <w:rsid w:val="4F0E4A13"/>
    <w:rsid w:val="4F6031FC"/>
    <w:rsid w:val="4F813436"/>
    <w:rsid w:val="4FA90297"/>
    <w:rsid w:val="4FB37368"/>
    <w:rsid w:val="4FDA03FE"/>
    <w:rsid w:val="50047BC4"/>
    <w:rsid w:val="501A5F60"/>
    <w:rsid w:val="50812FC2"/>
    <w:rsid w:val="50C25AB5"/>
    <w:rsid w:val="50D70E34"/>
    <w:rsid w:val="50DD469C"/>
    <w:rsid w:val="51320E64"/>
    <w:rsid w:val="514A5AAA"/>
    <w:rsid w:val="51516E38"/>
    <w:rsid w:val="517448D5"/>
    <w:rsid w:val="51917ACC"/>
    <w:rsid w:val="519934D1"/>
    <w:rsid w:val="51D672E8"/>
    <w:rsid w:val="51EE0B2B"/>
    <w:rsid w:val="522D3402"/>
    <w:rsid w:val="52350508"/>
    <w:rsid w:val="523D0094"/>
    <w:rsid w:val="52862B12"/>
    <w:rsid w:val="52B70F1D"/>
    <w:rsid w:val="53065A01"/>
    <w:rsid w:val="5334256E"/>
    <w:rsid w:val="535E583D"/>
    <w:rsid w:val="536A5F90"/>
    <w:rsid w:val="537B019D"/>
    <w:rsid w:val="537D2167"/>
    <w:rsid w:val="53964FD7"/>
    <w:rsid w:val="539D45B7"/>
    <w:rsid w:val="53AA2830"/>
    <w:rsid w:val="53BF2B4F"/>
    <w:rsid w:val="541A1764"/>
    <w:rsid w:val="5422686A"/>
    <w:rsid w:val="542645AC"/>
    <w:rsid w:val="543D5452"/>
    <w:rsid w:val="546F1220"/>
    <w:rsid w:val="54992FD0"/>
    <w:rsid w:val="54EA382C"/>
    <w:rsid w:val="54EB4EAE"/>
    <w:rsid w:val="54FB77E7"/>
    <w:rsid w:val="55286102"/>
    <w:rsid w:val="55410F72"/>
    <w:rsid w:val="55AC6D33"/>
    <w:rsid w:val="55BB2AD2"/>
    <w:rsid w:val="55E24503"/>
    <w:rsid w:val="560C1580"/>
    <w:rsid w:val="56D007FF"/>
    <w:rsid w:val="56E04EE6"/>
    <w:rsid w:val="571903F8"/>
    <w:rsid w:val="571E097E"/>
    <w:rsid w:val="57325016"/>
    <w:rsid w:val="575A0C66"/>
    <w:rsid w:val="57727B09"/>
    <w:rsid w:val="57AE1BE8"/>
    <w:rsid w:val="57BE68AA"/>
    <w:rsid w:val="57E26A3C"/>
    <w:rsid w:val="57F95B34"/>
    <w:rsid w:val="57FD52E2"/>
    <w:rsid w:val="585039A6"/>
    <w:rsid w:val="5853793A"/>
    <w:rsid w:val="585A4825"/>
    <w:rsid w:val="585A65D3"/>
    <w:rsid w:val="587F6039"/>
    <w:rsid w:val="588E0972"/>
    <w:rsid w:val="588E5F10"/>
    <w:rsid w:val="58AA3D2E"/>
    <w:rsid w:val="58C60230"/>
    <w:rsid w:val="58CD149A"/>
    <w:rsid w:val="58FC58DC"/>
    <w:rsid w:val="58FE78A6"/>
    <w:rsid w:val="597C6A1D"/>
    <w:rsid w:val="59883613"/>
    <w:rsid w:val="598D29D8"/>
    <w:rsid w:val="599E2E37"/>
    <w:rsid w:val="59A10231"/>
    <w:rsid w:val="59B44408"/>
    <w:rsid w:val="59EF3692"/>
    <w:rsid w:val="5A1B7FE4"/>
    <w:rsid w:val="5A8F024E"/>
    <w:rsid w:val="5ACD5782"/>
    <w:rsid w:val="5AE40D1D"/>
    <w:rsid w:val="5B9C33A6"/>
    <w:rsid w:val="5BA81D4B"/>
    <w:rsid w:val="5BE865EB"/>
    <w:rsid w:val="5BF31517"/>
    <w:rsid w:val="5C0F4AD3"/>
    <w:rsid w:val="5C441A74"/>
    <w:rsid w:val="5C677510"/>
    <w:rsid w:val="5C78796F"/>
    <w:rsid w:val="5C9F4EFC"/>
    <w:rsid w:val="5CBA3AE4"/>
    <w:rsid w:val="5CD03307"/>
    <w:rsid w:val="5D107BA8"/>
    <w:rsid w:val="5D373386"/>
    <w:rsid w:val="5D5E0913"/>
    <w:rsid w:val="5D6121B1"/>
    <w:rsid w:val="5DC42740"/>
    <w:rsid w:val="5DE132F2"/>
    <w:rsid w:val="5DEC6513"/>
    <w:rsid w:val="5E2D6537"/>
    <w:rsid w:val="5EBD5B0D"/>
    <w:rsid w:val="5EE17A4E"/>
    <w:rsid w:val="5EF64B7B"/>
    <w:rsid w:val="5F0454EA"/>
    <w:rsid w:val="5F8B1768"/>
    <w:rsid w:val="5F9F3465"/>
    <w:rsid w:val="5FC24B5D"/>
    <w:rsid w:val="5FF7504F"/>
    <w:rsid w:val="601E082E"/>
    <w:rsid w:val="60762418"/>
    <w:rsid w:val="608F34D9"/>
    <w:rsid w:val="60E47381"/>
    <w:rsid w:val="6151078F"/>
    <w:rsid w:val="615C785F"/>
    <w:rsid w:val="6162474A"/>
    <w:rsid w:val="61882403"/>
    <w:rsid w:val="61C91196"/>
    <w:rsid w:val="61CF0031"/>
    <w:rsid w:val="61D03DA9"/>
    <w:rsid w:val="61DC274E"/>
    <w:rsid w:val="61EB0BE3"/>
    <w:rsid w:val="61EF2482"/>
    <w:rsid w:val="61F45CEA"/>
    <w:rsid w:val="620144FF"/>
    <w:rsid w:val="62061579"/>
    <w:rsid w:val="62233ED9"/>
    <w:rsid w:val="625E13B5"/>
    <w:rsid w:val="62AF7E63"/>
    <w:rsid w:val="62EA49F7"/>
    <w:rsid w:val="6311467A"/>
    <w:rsid w:val="631A1780"/>
    <w:rsid w:val="63576530"/>
    <w:rsid w:val="63972DD1"/>
    <w:rsid w:val="63DE7667"/>
    <w:rsid w:val="63DF6526"/>
    <w:rsid w:val="6410048D"/>
    <w:rsid w:val="6457430E"/>
    <w:rsid w:val="648A621A"/>
    <w:rsid w:val="64AB76F6"/>
    <w:rsid w:val="652266CA"/>
    <w:rsid w:val="653528A1"/>
    <w:rsid w:val="65387C9C"/>
    <w:rsid w:val="653A7EB8"/>
    <w:rsid w:val="6582360D"/>
    <w:rsid w:val="65A22AD0"/>
    <w:rsid w:val="65E10333"/>
    <w:rsid w:val="664B7EA3"/>
    <w:rsid w:val="66552ACF"/>
    <w:rsid w:val="665A1E94"/>
    <w:rsid w:val="666F3B91"/>
    <w:rsid w:val="66886A01"/>
    <w:rsid w:val="6696787D"/>
    <w:rsid w:val="66C13CC1"/>
    <w:rsid w:val="670342D9"/>
    <w:rsid w:val="67114C48"/>
    <w:rsid w:val="671464E6"/>
    <w:rsid w:val="67296552"/>
    <w:rsid w:val="679F04A6"/>
    <w:rsid w:val="67B657F0"/>
    <w:rsid w:val="67C9107F"/>
    <w:rsid w:val="67E20393"/>
    <w:rsid w:val="67E61C31"/>
    <w:rsid w:val="6864524C"/>
    <w:rsid w:val="686B0388"/>
    <w:rsid w:val="68866F70"/>
    <w:rsid w:val="68C1269E"/>
    <w:rsid w:val="699D27C3"/>
    <w:rsid w:val="69AE2BF1"/>
    <w:rsid w:val="69B80BF4"/>
    <w:rsid w:val="6A2E78BF"/>
    <w:rsid w:val="6A5C267E"/>
    <w:rsid w:val="6A675F97"/>
    <w:rsid w:val="6A7F011B"/>
    <w:rsid w:val="6AF24D91"/>
    <w:rsid w:val="6B1B7E43"/>
    <w:rsid w:val="6B3D47D2"/>
    <w:rsid w:val="6B46295F"/>
    <w:rsid w:val="6B560E7C"/>
    <w:rsid w:val="6B6A2B79"/>
    <w:rsid w:val="6BAE4C55"/>
    <w:rsid w:val="6C0E5BFA"/>
    <w:rsid w:val="6C1D408F"/>
    <w:rsid w:val="6C983716"/>
    <w:rsid w:val="6CC12C6C"/>
    <w:rsid w:val="6D31515A"/>
    <w:rsid w:val="6D673814"/>
    <w:rsid w:val="6D853C9A"/>
    <w:rsid w:val="6D8A5754"/>
    <w:rsid w:val="6D981C1F"/>
    <w:rsid w:val="6DB93944"/>
    <w:rsid w:val="6DFA6436"/>
    <w:rsid w:val="6E13574A"/>
    <w:rsid w:val="6E272FA3"/>
    <w:rsid w:val="6E55366C"/>
    <w:rsid w:val="6E922B12"/>
    <w:rsid w:val="6EC72090"/>
    <w:rsid w:val="6EDA6267"/>
    <w:rsid w:val="6F03131A"/>
    <w:rsid w:val="6F1C00B2"/>
    <w:rsid w:val="6F2614AD"/>
    <w:rsid w:val="6F3E67F6"/>
    <w:rsid w:val="6F9A4451"/>
    <w:rsid w:val="6FA32AFD"/>
    <w:rsid w:val="6FB24AEE"/>
    <w:rsid w:val="6FE63B07"/>
    <w:rsid w:val="6FEC0000"/>
    <w:rsid w:val="6FF944CB"/>
    <w:rsid w:val="700C41FF"/>
    <w:rsid w:val="703419A7"/>
    <w:rsid w:val="70390D6C"/>
    <w:rsid w:val="707B014B"/>
    <w:rsid w:val="70C1148D"/>
    <w:rsid w:val="70C525FF"/>
    <w:rsid w:val="70EE5FFA"/>
    <w:rsid w:val="710F390D"/>
    <w:rsid w:val="71267542"/>
    <w:rsid w:val="71593474"/>
    <w:rsid w:val="71666934"/>
    <w:rsid w:val="71844269"/>
    <w:rsid w:val="71AD37BF"/>
    <w:rsid w:val="71C034F3"/>
    <w:rsid w:val="71C1726B"/>
    <w:rsid w:val="722577FA"/>
    <w:rsid w:val="72842772"/>
    <w:rsid w:val="729624A5"/>
    <w:rsid w:val="729B5D0E"/>
    <w:rsid w:val="729B7ABC"/>
    <w:rsid w:val="72C65A98"/>
    <w:rsid w:val="73441F01"/>
    <w:rsid w:val="735859AD"/>
    <w:rsid w:val="73780BB9"/>
    <w:rsid w:val="73797DFD"/>
    <w:rsid w:val="739764D5"/>
    <w:rsid w:val="73E060CE"/>
    <w:rsid w:val="73E159A2"/>
    <w:rsid w:val="73EC4A73"/>
    <w:rsid w:val="73F456D6"/>
    <w:rsid w:val="74051691"/>
    <w:rsid w:val="741E6BF6"/>
    <w:rsid w:val="742A559B"/>
    <w:rsid w:val="747131CA"/>
    <w:rsid w:val="750951B1"/>
    <w:rsid w:val="75610B49"/>
    <w:rsid w:val="758D193E"/>
    <w:rsid w:val="759233F8"/>
    <w:rsid w:val="75E4177A"/>
    <w:rsid w:val="76085468"/>
    <w:rsid w:val="76191423"/>
    <w:rsid w:val="761A519B"/>
    <w:rsid w:val="76704A4E"/>
    <w:rsid w:val="768F16E6"/>
    <w:rsid w:val="76DB492B"/>
    <w:rsid w:val="76EC08E6"/>
    <w:rsid w:val="77185B7F"/>
    <w:rsid w:val="7798281C"/>
    <w:rsid w:val="77AF5277"/>
    <w:rsid w:val="77C456AE"/>
    <w:rsid w:val="78202F3D"/>
    <w:rsid w:val="7826607A"/>
    <w:rsid w:val="783B1B25"/>
    <w:rsid w:val="78811502"/>
    <w:rsid w:val="78C37D6C"/>
    <w:rsid w:val="78EA70A7"/>
    <w:rsid w:val="793B7786"/>
    <w:rsid w:val="79450781"/>
    <w:rsid w:val="79863274"/>
    <w:rsid w:val="79986B03"/>
    <w:rsid w:val="79AB4A88"/>
    <w:rsid w:val="79E32474"/>
    <w:rsid w:val="7A1545F8"/>
    <w:rsid w:val="7A2B3E1B"/>
    <w:rsid w:val="7A2B7977"/>
    <w:rsid w:val="7A8D0632"/>
    <w:rsid w:val="7AC84B63"/>
    <w:rsid w:val="7AED2E7F"/>
    <w:rsid w:val="7AF406B1"/>
    <w:rsid w:val="7AF75AAB"/>
    <w:rsid w:val="7B29035B"/>
    <w:rsid w:val="7B3B008E"/>
    <w:rsid w:val="7B5B428C"/>
    <w:rsid w:val="7B735A7A"/>
    <w:rsid w:val="7B827A6B"/>
    <w:rsid w:val="7BD55DED"/>
    <w:rsid w:val="7C02295A"/>
    <w:rsid w:val="7C3F68AA"/>
    <w:rsid w:val="7C727ADF"/>
    <w:rsid w:val="7C732A85"/>
    <w:rsid w:val="7CE85FF3"/>
    <w:rsid w:val="7D52346D"/>
    <w:rsid w:val="7D8555F0"/>
    <w:rsid w:val="7E024E93"/>
    <w:rsid w:val="7E386B07"/>
    <w:rsid w:val="7E447259"/>
    <w:rsid w:val="7E4B4A8C"/>
    <w:rsid w:val="7E6675FF"/>
    <w:rsid w:val="7E7332BB"/>
    <w:rsid w:val="7E7C2E97"/>
    <w:rsid w:val="7E7F64E4"/>
    <w:rsid w:val="7E834226"/>
    <w:rsid w:val="7EB663A9"/>
    <w:rsid w:val="7ECD36F3"/>
    <w:rsid w:val="7EE91B44"/>
    <w:rsid w:val="7EF42A2E"/>
    <w:rsid w:val="7FA97CBC"/>
    <w:rsid w:val="7FDB3BED"/>
    <w:rsid w:val="7FE231CE"/>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pPr>
    <w:rPr>
      <w:rFonts w:hAnsi="Times New Roman" w:cs="Times New Roman"/>
      <w:snapToGrid/>
      <w:szCs w:val="20"/>
    </w:r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caption"/>
    <w:basedOn w:val="1"/>
    <w:next w:val="1"/>
    <w:qFormat/>
    <w:uiPriority w:val="0"/>
    <w:rPr>
      <w:b/>
      <w:sz w:val="28"/>
      <w:szCs w:val="20"/>
    </w:rPr>
  </w:style>
  <w:style w:type="paragraph" w:styleId="9">
    <w:name w:val="Body Text"/>
    <w:basedOn w:val="1"/>
    <w:next w:val="1"/>
    <w:qFormat/>
    <w:uiPriority w:val="0"/>
    <w:pPr>
      <w:autoSpaceDE w:val="0"/>
      <w:autoSpaceDN w:val="0"/>
      <w:adjustRightInd w:val="0"/>
      <w:spacing w:line="360" w:lineRule="auto"/>
    </w:pPr>
    <w:rPr>
      <w:rFonts w:ascii="宋体" w:hAnsi="Arial" w:cs="Arial"/>
      <w:snapToGrid w:val="0"/>
      <w:sz w:val="24"/>
      <w:szCs w:val="21"/>
      <w:lang w:val="zh-CN"/>
    </w:rPr>
  </w:style>
  <w:style w:type="paragraph" w:styleId="10">
    <w:name w:val="Body Text Indent"/>
    <w:basedOn w:val="1"/>
    <w:qFormat/>
    <w:uiPriority w:val="0"/>
    <w:pPr>
      <w:spacing w:line="480" w:lineRule="exact"/>
      <w:ind w:firstLine="480" w:firstLineChars="200"/>
    </w:pPr>
    <w:rPr>
      <w:rFonts w:ascii="宋体" w:hAnsi="宋体"/>
      <w:sz w:val="24"/>
    </w:rPr>
  </w:style>
  <w:style w:type="paragraph" w:styleId="11">
    <w:name w:val="Plain Text"/>
    <w:basedOn w:val="1"/>
    <w:qFormat/>
    <w:uiPriority w:val="0"/>
    <w:rPr>
      <w:rFonts w:ascii="宋体" w:hAnsi="Courier New" w:cs="Arial"/>
      <w:snapToGrid w:val="0"/>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6"/>
    <w:basedOn w:val="1"/>
    <w:next w:val="1"/>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table" w:styleId="18">
    <w:name w:val="Table Grid"/>
    <w:basedOn w:val="1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0"/>
    <w:rPr>
      <w:rFonts w:ascii="Arial" w:hAnsi="Arial" w:eastAsia="黑体" w:cs="Arial"/>
      <w:snapToGrid w:val="0"/>
      <w:color w:val="000000"/>
      <w:kern w:val="0"/>
      <w:sz w:val="18"/>
      <w:szCs w:val="18"/>
      <w:u w:val="none"/>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正文2"/>
    <w:basedOn w:val="1"/>
    <w:qFormat/>
    <w:uiPriority w:val="0"/>
    <w:pPr>
      <w:spacing w:before="156" w:beforeLines="0" w:line="360" w:lineRule="auto"/>
      <w:ind w:firstLine="510" w:firstLineChars="200"/>
    </w:pPr>
    <w:rPr>
      <w:sz w:val="24"/>
      <w:szCs w:val="20"/>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Heading1"/>
    <w:basedOn w:val="1"/>
    <w:next w:val="1"/>
    <w:qFormat/>
    <w:uiPriority w:val="0"/>
    <w:pPr>
      <w:keepNext/>
      <w:keepLines/>
      <w:widowControl/>
      <w:adjustRightInd/>
      <w:spacing w:before="340" w:after="330" w:line="578" w:lineRule="auto"/>
      <w:textAlignment w:val="baseline"/>
    </w:pPr>
    <w:rPr>
      <w:b/>
      <w:bCs/>
      <w:kern w:val="44"/>
      <w:sz w:val="44"/>
      <w:szCs w:val="44"/>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7">
    <w:name w:val="样式5"/>
    <w:basedOn w:val="1"/>
    <w:qFormat/>
    <w:uiPriority w:val="0"/>
    <w:pPr>
      <w:spacing w:line="440" w:lineRule="exact"/>
      <w:ind w:left="2" w:firstLine="480" w:firstLineChars="200"/>
    </w:pPr>
    <w:rPr>
      <w:rFonts w:ascii="仿宋_GB2312" w:hAnsi="仿宋" w:eastAsia="仿宋_GB2312"/>
      <w:sz w:val="24"/>
    </w:rPr>
  </w:style>
  <w:style w:type="character" w:customStyle="1" w:styleId="28">
    <w:name w:val="font21"/>
    <w:basedOn w:val="19"/>
    <w:qFormat/>
    <w:uiPriority w:val="0"/>
    <w:rPr>
      <w:rFonts w:hint="eastAsia" w:ascii="仿宋" w:hAnsi="仿宋" w:eastAsia="仿宋" w:cs="仿宋"/>
      <w:color w:val="000000"/>
      <w:sz w:val="18"/>
      <w:szCs w:val="18"/>
      <w:u w:val="none"/>
    </w:rPr>
  </w:style>
  <w:style w:type="character" w:customStyle="1" w:styleId="29">
    <w:name w:val="font61"/>
    <w:basedOn w:val="19"/>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25217</Words>
  <Characters>26986</Characters>
  <Lines>0</Lines>
  <Paragraphs>0</Paragraphs>
  <TotalTime>10</TotalTime>
  <ScaleCrop>false</ScaleCrop>
  <LinksUpToDate>false</LinksUpToDate>
  <CharactersWithSpaces>27606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2024-12-26T01:53:00Z</dcterms:created>
  <dc:creator>Yc.</dc:creator>
  <cp:lastModifiedBy>TANG</cp:lastModifiedBy>
  <dcterms:modified xsi:type="dcterms:W3CDTF">2025-03-20T15:27:18Z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C755F8CA1C844D0E93DF1409EE6EB1D0_11</vt:lpwstr>
  </property>
  <property fmtid="{D5CDD505-2E9C-101B-9397-08002B2CF9AE}" pid="4" name="KSOTemplateDocerSaveRecord">
    <vt:lpwstr>eyJoZGlkIjoiNTBjMjA4MDYxYjdkYmFiNWI0NjdkMzY2ODZlYThkY2QiLCJ1c2VySWQiOiI4NzY1ODkxNzMifQ==</vt:lpwstr>
  </property>
</Properties>
</file>