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b/>
          <w:spacing w:val="-12"/>
          <w:sz w:val="48"/>
          <w:szCs w:val="48"/>
          <w:lang w:eastAsia="zh-CN"/>
        </w:rPr>
      </w:pPr>
      <w:r>
        <w:rPr>
          <w:rFonts w:hint="eastAsia" w:ascii="仿宋_GB2312" w:hAnsi="仿宋_GB2312" w:eastAsia="仿宋_GB2312" w:cs="仿宋_GB2312"/>
          <w:b/>
          <w:spacing w:val="-12"/>
          <w:sz w:val="48"/>
          <w:szCs w:val="48"/>
          <w:lang w:eastAsia="zh-CN"/>
        </w:rPr>
        <w:t>绍兴市人民医院镜湖总院电器类采购项目（重招）</w:t>
      </w:r>
    </w:p>
    <w:p>
      <w:pPr>
        <w:outlineLvl w:val="0"/>
        <w:rPr>
          <w:rFonts w:ascii="仿宋_GB2312" w:hAnsi="仿宋_GB2312" w:eastAsia="仿宋_GB2312" w:cs="仿宋_GB2312"/>
          <w:sz w:val="44"/>
        </w:rPr>
      </w:pPr>
    </w:p>
    <w:p>
      <w:pPr>
        <w:outlineLvl w:val="0"/>
        <w:rPr>
          <w:rFonts w:ascii="仿宋_GB2312" w:hAnsi="仿宋_GB2312" w:eastAsia="仿宋_GB2312" w:cs="仿宋_GB2312"/>
          <w:sz w:val="44"/>
        </w:rPr>
      </w:pP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 w:hAnsi="仿宋" w:eastAsia="仿宋" w:cs="仿宋"/>
          <w:b/>
          <w:sz w:val="28"/>
          <w:szCs w:val="28"/>
          <w:lang w:eastAsia="zh-CN"/>
        </w:rPr>
        <w:t>SXJHCG-2024-N0223</w:t>
      </w:r>
      <w:r>
        <w:rPr>
          <w:rFonts w:hint="eastAsia" w:ascii="仿宋_GB2312" w:hAnsi="仿宋_GB2312" w:eastAsia="仿宋_GB2312" w:cs="仿宋_GB2312"/>
          <w:b/>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九</w:t>
            </w:r>
            <w:r>
              <w:rPr>
                <w:rFonts w:hint="eastAsia" w:ascii="仿宋_GB2312" w:hAnsi="仿宋_GB2312" w:eastAsia="仿宋_GB2312" w:cs="仿宋_GB2312"/>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0"/>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100"/>
                    <w:wordWrap w:val="0"/>
                    <w:spacing w:afterLines="0" w:line="440" w:lineRule="exact"/>
                    <w:ind w:firstLine="480"/>
                    <w:jc w:val="left"/>
                    <w:rPr>
                      <w:rFonts w:ascii="仿宋_GB2312" w:hAnsi="新宋体" w:eastAsia="仿宋_GB2312"/>
                      <w:szCs w:val="24"/>
                    </w:rPr>
                  </w:pPr>
                  <w:r>
                    <w:rPr>
                      <w:rFonts w:hint="eastAsia" w:ascii="仿宋" w:hAnsi="仿宋" w:eastAsia="仿宋" w:cs="仿宋"/>
                      <w:sz w:val="24"/>
                      <w:u w:val="single"/>
                      <w:lang w:eastAsia="zh-CN"/>
                    </w:rPr>
                    <w:t>绍兴市人民医院镜湖总院电器类采购项目（重招）</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10</w:t>
                  </w:r>
                  <w:r>
                    <w:rPr>
                      <w:rFonts w:hint="eastAsia" w:ascii="仿宋_GB2312" w:hAnsi="新宋体" w:eastAsia="仿宋_GB2312"/>
                      <w:szCs w:val="24"/>
                    </w:rPr>
                    <w:t>月</w:t>
                  </w:r>
                  <w:r>
                    <w:rPr>
                      <w:rFonts w:hint="eastAsia" w:ascii="仿宋_GB2312" w:hAnsi="新宋体" w:eastAsia="仿宋_GB2312"/>
                      <w:szCs w:val="24"/>
                      <w:lang w:val="en-US" w:eastAsia="zh-CN"/>
                    </w:rPr>
                    <w:t>09</w:t>
                  </w:r>
                  <w:r>
                    <w:rPr>
                      <w:rFonts w:hint="eastAsia" w:ascii="仿宋_GB2312" w:hAnsi="新宋体" w:eastAsia="仿宋_GB2312"/>
                      <w:szCs w:val="24"/>
                    </w:rPr>
                    <w:t>日</w:t>
                  </w:r>
                  <w:r>
                    <w:rPr>
                      <w:rFonts w:hint="eastAsia" w:ascii="仿宋_GB2312" w:hAnsi="新宋体" w:eastAsia="仿宋_GB2312"/>
                      <w:szCs w:val="24"/>
                      <w:lang w:val="en-US" w:eastAsia="zh-CN"/>
                    </w:rPr>
                    <w:t>09</w:t>
                  </w:r>
                  <w:r>
                    <w:rPr>
                      <w:rFonts w:hint="eastAsia" w:ascii="仿宋_GB2312" w:hAnsi="新宋体" w:eastAsia="仿宋_GB2312"/>
                      <w:szCs w:val="24"/>
                    </w:rPr>
                    <w:t>点</w:t>
                  </w:r>
                  <w:r>
                    <w:rPr>
                      <w:rFonts w:hint="eastAsia" w:ascii="仿宋_GB2312" w:hAnsi="新宋体" w:eastAsia="仿宋_GB2312"/>
                      <w:szCs w:val="24"/>
                      <w:lang w:val="en-US" w:eastAsia="zh-CN"/>
                    </w:rPr>
                    <w:t>3</w:t>
                  </w:r>
                  <w:r>
                    <w:rPr>
                      <w:rFonts w:hint="eastAsia" w:ascii="仿宋_GB2312" w:hAnsi="新宋体" w:eastAsia="仿宋_GB2312"/>
                      <w:szCs w:val="24"/>
                    </w:rPr>
                    <w:t>0分00秒（北京时间）前递交（上传）投标文件。</w:t>
                  </w:r>
                </w:p>
              </w:tc>
            </w:tr>
          </w:tbl>
          <w:p>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 xml:space="preserve">SXJHCG-2024-N0223  </w:t>
            </w:r>
          </w:p>
          <w:p>
            <w:pPr>
              <w:pStyle w:val="100"/>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绍兴市人民医院镜湖总院电器类采购项目（重招）</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w:t>
            </w:r>
            <w:r>
              <w:rPr>
                <w:rFonts w:hint="eastAsia" w:ascii="仿宋_GB2312" w:hAnsi="新宋体" w:eastAsia="仿宋_GB2312"/>
                <w:b/>
                <w:szCs w:val="24"/>
                <w:lang w:val="en-US" w:eastAsia="zh-CN"/>
              </w:rPr>
              <w:t>3460900.00</w:t>
            </w:r>
          </w:p>
          <w:p>
            <w:pPr>
              <w:pStyle w:val="100"/>
              <w:spacing w:afterLines="0" w:line="440" w:lineRule="exact"/>
              <w:ind w:firstLine="482"/>
              <w:rPr>
                <w:rFonts w:hint="default" w:ascii="仿宋_GB2312" w:hAnsi="新宋体" w:eastAsia="仿宋_GB2312"/>
                <w:bCs/>
                <w:szCs w:val="24"/>
                <w:lang w:val="en-US" w:eastAsia="zh-CN"/>
              </w:rPr>
            </w:pPr>
            <w:r>
              <w:rPr>
                <w:rFonts w:hint="eastAsia" w:ascii="仿宋_GB2312" w:hAnsi="新宋体" w:eastAsia="仿宋_GB2312"/>
                <w:b/>
                <w:szCs w:val="24"/>
              </w:rPr>
              <w:t>最高限价（元）：</w:t>
            </w:r>
            <w:r>
              <w:rPr>
                <w:rFonts w:hint="eastAsia" w:ascii="仿宋_GB2312" w:hAnsi="新宋体" w:eastAsia="仿宋_GB2312"/>
                <w:b/>
                <w:szCs w:val="24"/>
                <w:lang w:val="en-US" w:eastAsia="zh-CN"/>
              </w:rPr>
              <w:t>360500.00，2244600.00，855800.00</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标项名称：其他类采购项目</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预算金额（元）：360500.00</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最高限价（元）：360500.00</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二</w:t>
            </w:r>
            <w:r>
              <w:rPr>
                <w:rFonts w:hint="eastAsia" w:ascii="仿宋" w:hAnsi="仿宋" w:eastAsia="仿宋" w:cs="仿宋"/>
                <w:bCs/>
                <w:sz w:val="24"/>
              </w:rPr>
              <w:t>：</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标项名称：消毒类采购项目</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预算金额（元）：2244600.00</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最高限价（元）：2244600.00</w:t>
            </w:r>
          </w:p>
          <w:p>
            <w:pPr>
              <w:spacing w:line="440" w:lineRule="exact"/>
              <w:ind w:firstLine="960" w:firstLineChars="400"/>
              <w:rPr>
                <w:rFonts w:hint="eastAsia" w:ascii="仿宋" w:hAnsi="仿宋" w:eastAsia="仿宋" w:cs="仿宋"/>
                <w:bCs/>
                <w:sz w:val="24"/>
                <w:lang w:val="en-US" w:eastAsia="zh-CN"/>
              </w:rPr>
            </w:pPr>
            <w:r>
              <w:rPr>
                <w:rFonts w:hint="eastAsia" w:ascii="仿宋" w:hAnsi="仿宋" w:eastAsia="仿宋" w:cs="仿宋"/>
                <w:bCs/>
                <w:sz w:val="24"/>
                <w:lang w:val="en-US" w:eastAsia="zh-CN"/>
              </w:rPr>
              <w:t>主要内容：</w:t>
            </w:r>
            <w:r>
              <w:rPr>
                <w:rFonts w:hint="eastAsia" w:ascii="仿宋" w:hAnsi="仿宋" w:eastAsia="仿宋" w:cs="仿宋"/>
                <w:b/>
                <w:sz w:val="24"/>
                <w:lang w:val="en-US" w:eastAsia="zh-CN"/>
              </w:rPr>
              <w:t>详见招标文件。</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val="en-US" w:eastAsia="zh-CN"/>
              </w:rPr>
              <w:t>三</w:t>
            </w:r>
            <w:r>
              <w:rPr>
                <w:rFonts w:hint="eastAsia" w:ascii="仿宋" w:hAnsi="仿宋" w:eastAsia="仿宋" w:cs="仿宋"/>
                <w:bCs/>
                <w:sz w:val="24"/>
              </w:rPr>
              <w:t>：</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标项名称：营养配置中心采购项目</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预算金额（元）：855800.00</w:t>
            </w:r>
          </w:p>
          <w:p>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最高限价（元）：855800.00</w:t>
            </w:r>
          </w:p>
          <w:p>
            <w:pPr>
              <w:spacing w:line="440" w:lineRule="exact"/>
              <w:ind w:firstLine="960" w:firstLineChars="400"/>
              <w:rPr>
                <w:rFonts w:ascii="仿宋" w:hAnsi="仿宋" w:eastAsia="仿宋" w:cs="仿宋"/>
                <w:b/>
              </w:rPr>
            </w:pPr>
            <w:r>
              <w:rPr>
                <w:rFonts w:hint="eastAsia" w:ascii="仿宋" w:hAnsi="仿宋" w:eastAsia="仿宋" w:cs="仿宋"/>
                <w:bCs/>
                <w:sz w:val="24"/>
              </w:rPr>
              <w:t>主要内容：</w:t>
            </w:r>
            <w:r>
              <w:rPr>
                <w:rFonts w:hint="eastAsia" w:ascii="仿宋" w:hAnsi="仿宋" w:eastAsia="仿宋" w:cs="仿宋"/>
                <w:b/>
                <w:sz w:val="24"/>
              </w:rPr>
              <w:t>详见招标文件。</w:t>
            </w:r>
          </w:p>
          <w:p>
            <w:pPr>
              <w:pStyle w:val="100"/>
              <w:spacing w:afterLines="0" w:line="440" w:lineRule="exact"/>
              <w:ind w:firstLine="480"/>
              <w:rPr>
                <w:rFonts w:ascii="仿宋_GB2312" w:hAnsi="新宋体" w:eastAsia="仿宋_GB2312"/>
                <w:szCs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spacing w:line="440" w:lineRule="exact"/>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01标</w:t>
            </w:r>
          </w:p>
          <w:p>
            <w:pPr>
              <w:pStyle w:val="100"/>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1005407364"/>
              </w:sdtPr>
              <w:sdtEndPr>
                <w:rPr>
                  <w:rFonts w:hint="eastAsia" w:ascii="仿宋_GB2312" w:hAnsi="仿宋" w:eastAsia="仿宋_GB2312" w:cs="Arial"/>
                  <w:color w:val="auto"/>
                  <w:sz w:val="21"/>
                  <w:szCs w:val="21"/>
                </w:rPr>
              </w:sdtEndPr>
              <w:sdtContent>
                <w:r>
                  <w:rPr>
                    <w:rFonts w:hint="eastAsia" w:ascii="仿宋_GB2312" w:hAnsi="MS Gothic" w:eastAsia="仿宋_GB2312" w:cs="Arial"/>
                    <w:color w:val="auto"/>
                  </w:rPr>
                  <w:sym w:font="Wingdings" w:char="F0FE"/>
                </w:r>
              </w:sdtContent>
            </w:sdt>
            <w:r>
              <w:rPr>
                <w:rFonts w:hint="eastAsia" w:ascii="仿宋_GB2312" w:hAnsi="仿宋" w:eastAsia="仿宋_GB2312"/>
                <w:color w:val="auto"/>
              </w:rPr>
              <w:t>无；</w:t>
            </w:r>
          </w:p>
          <w:p>
            <w:pPr>
              <w:spacing w:line="360" w:lineRule="auto"/>
              <w:ind w:firstLine="480" w:firstLineChars="200"/>
              <w:rPr>
                <w:rFonts w:ascii="仿宋_GB2312" w:hAnsi="仿宋" w:eastAsia="仿宋_GB2312"/>
                <w:sz w:val="24"/>
              </w:rPr>
            </w:pPr>
            <w:r>
              <w:rPr>
                <w:rFonts w:ascii="MS Gothic" w:hAnsi="MS Gothic" w:eastAsia="MS Gothic" w:cs="Arial"/>
                <w:color w:val="auto"/>
                <w:kern w:val="0"/>
                <w:sz w:val="24"/>
              </w:rPr>
              <w:t>☐</w:t>
            </w:r>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6666548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440" w:lineRule="exact"/>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02、03</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_GB2312" w:hAnsi="仿宋" w:eastAsia="仿宋_GB2312"/>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Style w:val="100"/>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4.本项目的特定资格要求：</w:t>
            </w:r>
            <w:r>
              <w:rPr>
                <w:rFonts w:hint="eastAsia" w:ascii="仿宋_GB2312" w:hAnsi="仿宋" w:eastAsia="仿宋_GB2312" w:cs="Times New Roman"/>
                <w:color w:val="auto"/>
                <w:sz w:val="24"/>
                <w:u w:val="single"/>
                <w:lang w:val="en-US" w:eastAsia="zh-CN"/>
              </w:rPr>
              <w:t>无。</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10</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10</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 xml:space="preserve">点 </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10</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点</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 分00秒</w:t>
            </w:r>
            <w:r>
              <w:rPr>
                <w:rFonts w:hint="eastAsia" w:ascii="仿宋_GB2312" w:hAnsi="仿宋" w:eastAsia="仿宋_GB2312" w:cs="仿宋"/>
                <w:bCs/>
                <w:sz w:val="24"/>
                <w:u w:val="single"/>
              </w:rPr>
              <w:t xml:space="preserve">  </w:t>
            </w:r>
          </w:p>
          <w:p>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r>
              <w:rPr>
                <w:rFonts w:ascii="仿宋_GB2312" w:hAnsi="新宋体" w:eastAsia="仿宋_GB2312"/>
                <w:szCs w:val="24"/>
              </w:rPr>
              <w:t>  </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sz w:val="24"/>
              </w:rPr>
              <w:t>王玉珏</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sz w:val="24"/>
              </w:rPr>
              <w:t>0575-88558837</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sz w:val="24"/>
              </w:rPr>
              <w:t>沈少卿</w:t>
            </w:r>
            <w:r>
              <w:rPr>
                <w:rFonts w:hint="eastAsia" w:ascii="仿宋_GB2312" w:hAnsi="新宋体" w:eastAsia="仿宋_GB2312"/>
                <w:szCs w:val="24"/>
              </w:rPr>
              <w:t xml:space="preserve">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 w:hAnsi="仿宋" w:eastAsia="仿宋" w:cs="仿宋"/>
                <w:sz w:val="24"/>
              </w:rPr>
              <w:t>0575-88558836</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_GB2312" w:hAnsi="新宋体" w:eastAsia="仿宋_GB2312"/>
                <w:szCs w:val="24"/>
                <w:lang w:val="en-US" w:eastAsia="zh-CN"/>
              </w:rPr>
              <w:t>杨华英</w:t>
            </w:r>
            <w:r>
              <w:rPr>
                <w:rFonts w:hint="eastAsia" w:ascii="仿宋_GB2312" w:hAnsi="新宋体" w:eastAsia="仿宋_GB2312"/>
                <w:szCs w:val="24"/>
              </w:rPr>
              <w:t xml:space="preserve">、林佳囡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pPr>
              <w:pStyle w:val="10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赵国富</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0575-85209697</w:t>
            </w:r>
            <w:r>
              <w:rPr>
                <w:rFonts w:ascii="仿宋_GB2312" w:hAnsi="新宋体" w:eastAsia="仿宋_GB2312"/>
                <w:szCs w:val="24"/>
              </w:rPr>
              <w:t>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hint="eastAsia" w:ascii="仿宋_GB2312" w:hAnsi="新宋体" w:eastAsia="仿宋_GB2312"/>
              </w:rPr>
              <w:t>0575-85209697</w:t>
            </w:r>
            <w:r>
              <w:rPr>
                <w:rFonts w:hint="eastAsia" w:ascii="仿宋_GB2312" w:hAnsi="新宋体" w:eastAsia="仿宋_GB2312"/>
                <w:szCs w:val="24"/>
              </w:rPr>
              <w:t>     </w:t>
            </w:r>
            <w:r>
              <w:rPr>
                <w:rFonts w:ascii="仿宋_GB2312" w:hAnsi="新宋体" w:eastAsia="仿宋_GB2312"/>
                <w:szCs w:val="24"/>
              </w:rPr>
              <w:t>  </w:t>
            </w:r>
          </w:p>
          <w:p>
            <w:pPr>
              <w:pStyle w:val="100"/>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36666548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b w:val="0"/>
                <w:bCs w:val="0"/>
                <w:snapToGrid w:val="0"/>
                <w:kern w:val="28"/>
                <w:sz w:val="24"/>
                <w:u w:val="single"/>
              </w:rPr>
              <w:t>标项一：序号3：对讲机；序号14：电话机；序号30：点钞机</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投标截止时间前</w:t>
            </w:r>
            <w:r>
              <w:rPr>
                <w:rFonts w:hint="eastAsia" w:ascii="仿宋_GB2312" w:hAnsi="仿宋" w:eastAsia="仿宋_GB2312"/>
                <w:kern w:val="0"/>
                <w:sz w:val="24"/>
              </w:rPr>
              <w:t>；地点：</w:t>
            </w:r>
            <w:r>
              <w:rPr>
                <w:rFonts w:hint="eastAsia" w:ascii="仿宋_GB2312" w:hAnsi="仿宋" w:eastAsia="仿宋_GB2312"/>
                <w:sz w:val="24"/>
                <w:u w:val="single"/>
              </w:rPr>
              <w:t>绍兴市越城区灵芝街道颐高广场1幢1105室</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lang w:val="en-US" w:eastAsia="zh-CN"/>
              </w:rPr>
              <w:t>杨华英</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lang w:val="en-US" w:eastAsia="zh-CN"/>
              </w:rPr>
              <w:t>18888705730</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r>
              <w:rPr>
                <w:rFonts w:hint="eastAsia" w:ascii="仿宋_GB2312" w:hAnsi="仿宋" w:eastAsia="仿宋_GB2312"/>
                <w:sz w:val="24"/>
                <w:lang w:eastAsia="zh-CN"/>
              </w:rPr>
              <w:t>，</w:t>
            </w:r>
            <w:r>
              <w:rPr>
                <w:rFonts w:hint="eastAsia" w:ascii="仿宋_GB2312" w:hAnsi="仿宋" w:eastAsia="仿宋_GB2312"/>
                <w:sz w:val="24"/>
              </w:rPr>
              <w:t>样品需贴有标注供应商名称且加盖公章的标签。</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cs="仿宋"/>
                <w:sz w:val="24"/>
              </w:rPr>
            </w:pPr>
            <w:sdt>
              <w:sdtPr>
                <w:rPr>
                  <w:rFonts w:hint="eastAsia" w:ascii="仿宋_GB2312" w:hAnsi="仿宋" w:eastAsia="仿宋_GB2312" w:cs="Arial"/>
                  <w:kern w:val="0"/>
                  <w:sz w:val="24"/>
                </w:rPr>
                <w:id w:val="-88309930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pPr>
              <w:spacing w:line="440" w:lineRule="exact"/>
              <w:rPr>
                <w:rFonts w:ascii="仿宋_GB2312" w:hAnsi="仿宋" w:eastAsia="仿宋_GB2312" w:cs="仿宋"/>
                <w:b/>
                <w:bCs/>
                <w:sz w:val="24"/>
              </w:rPr>
            </w:pPr>
            <w:sdt>
              <w:sdtPr>
                <w:rPr>
                  <w:rFonts w:hint="eastAsia" w:ascii="仿宋_GB2312" w:hAnsi="仿宋" w:eastAsia="仿宋_GB2312" w:cs="Arial"/>
                  <w:kern w:val="0"/>
                  <w:sz w:val="24"/>
                </w:rPr>
                <w:id w:val="1675530190"/>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rPr>
              <w:t>B有方案讲解演示：</w:t>
            </w:r>
          </w:p>
          <w:p>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（1）在评标时安排每个供应商进行方案讲解演示。每个供应商时间不超过</w:t>
            </w:r>
            <w:r>
              <w:rPr>
                <w:rFonts w:hint="eastAsia" w:ascii="仿宋_GB2312" w:hAnsi="仿宋" w:eastAsia="仿宋_GB2312" w:cs="仿宋"/>
                <w:b/>
                <w:bCs/>
                <w:sz w:val="24"/>
                <w:u w:val="single"/>
              </w:rPr>
              <w:t xml:space="preserve"> 15 </w:t>
            </w:r>
            <w:r>
              <w:rPr>
                <w:rFonts w:hint="eastAsia" w:ascii="仿宋_GB2312" w:hAnsi="仿宋" w:eastAsia="仿宋_GB2312" w:cs="仿宋"/>
                <w:b/>
                <w:bCs/>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（2）方案讲解演示可选择以下其中一种方式：</w:t>
            </w:r>
          </w:p>
          <w:p>
            <w:pPr>
              <w:spacing w:line="440" w:lineRule="exact"/>
              <w:rPr>
                <w:rFonts w:ascii="仿宋_GB2312" w:hAnsi="仿宋" w:eastAsia="仿宋_GB2312" w:cs="仿宋"/>
                <w:b/>
                <w:bCs/>
                <w:sz w:val="24"/>
                <w:lang w:val="zh-CN"/>
              </w:rPr>
            </w:pPr>
            <w:sdt>
              <w:sdtPr>
                <w:rPr>
                  <w:rFonts w:hint="eastAsia" w:ascii="仿宋_GB2312" w:hAnsi="仿宋" w:eastAsia="仿宋_GB2312" w:cs="Arial"/>
                  <w:kern w:val="0"/>
                  <w:sz w:val="24"/>
                </w:rPr>
                <w:id w:val="111016353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36666549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36666549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p>
                <w:pPr>
                  <w:snapToGrid w:val="0"/>
                  <w:spacing w:line="440" w:lineRule="exact"/>
                  <w:rPr>
                    <w:rFonts w:hint="eastAsia" w:ascii="仿宋" w:eastAsia="仿宋" w:cs="仿宋"/>
                    <w:b w:val="0"/>
                    <w:bCs w:val="0"/>
                    <w:kern w:val="0"/>
                    <w:sz w:val="24"/>
                    <w:szCs w:val="24"/>
                    <w:lang w:val="en-US"/>
                  </w:rPr>
                </w:pPr>
                <w:r>
                  <w:rPr>
                    <w:rFonts w:hint="eastAsia" w:ascii="仿宋" w:eastAsia="仿宋" w:cs="仿宋"/>
                    <w:b w:val="0"/>
                    <w:bCs w:val="0"/>
                    <w:kern w:val="0"/>
                    <w:sz w:val="24"/>
                    <w:szCs w:val="24"/>
                    <w:lang w:val="en-US"/>
                  </w:rPr>
                  <w:t>0</w:t>
                </w:r>
                <w:r>
                  <w:rPr>
                    <w:rFonts w:hint="eastAsia" w:ascii="仿宋" w:eastAsia="仿宋" w:cs="仿宋"/>
                    <w:b w:val="0"/>
                    <w:bCs w:val="0"/>
                    <w:kern w:val="0"/>
                    <w:sz w:val="24"/>
                    <w:szCs w:val="24"/>
                    <w:lang w:val="en-US" w:eastAsia="zh-CN"/>
                  </w:rPr>
                  <w:t>1</w:t>
                </w:r>
                <w:r>
                  <w:rPr>
                    <w:rFonts w:hint="eastAsia" w:ascii="仿宋" w:eastAsia="仿宋" w:cs="仿宋"/>
                    <w:b w:val="0"/>
                    <w:bCs w:val="0"/>
                    <w:kern w:val="0"/>
                    <w:sz w:val="24"/>
                    <w:szCs w:val="24"/>
                    <w:lang w:val="en-US"/>
                  </w:rPr>
                  <w:t xml:space="preserve">标： </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序号14：电话机</w:t>
                </w:r>
                <w:r>
                  <w:rPr>
                    <w:rFonts w:hint="eastAsia" w:ascii="仿宋" w:hAnsi="仿宋" w:eastAsia="仿宋" w:cs="仿宋"/>
                    <w:kern w:val="0"/>
                    <w:sz w:val="24"/>
                  </w:rPr>
                  <w:t xml:space="preserve">。 </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 xml:space="preserve">服务类。 </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 xml:space="preserve">标： </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序号1：壁挂式循环风紫外线空气消毒机</w:t>
                </w:r>
                <w:r>
                  <w:rPr>
                    <w:rFonts w:hint="eastAsia" w:ascii="仿宋" w:hAnsi="仿宋" w:eastAsia="仿宋" w:cs="仿宋"/>
                    <w:sz w:val="24"/>
                  </w:rPr>
                  <w:t xml:space="preserve">。 </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 xml:space="preserve">服务类。 </w:t>
                </w:r>
              </w:p>
              <w:p>
                <w:pPr>
                  <w:snapToGrid w:val="0"/>
                  <w:spacing w:line="440" w:lineRule="exact"/>
                  <w:rPr>
                    <w:rFonts w:hint="eastAsia" w:ascii="仿宋" w:eastAsia="仿宋" w:cs="仿宋"/>
                    <w:b w:val="0"/>
                    <w:bCs w:val="0"/>
                    <w:kern w:val="0"/>
                    <w:sz w:val="24"/>
                    <w:szCs w:val="24"/>
                    <w:lang w:val="en-US"/>
                  </w:rPr>
                </w:pPr>
                <w:r>
                  <w:rPr>
                    <w:rFonts w:hint="eastAsia" w:ascii="仿宋" w:eastAsia="仿宋" w:cs="仿宋"/>
                    <w:b w:val="0"/>
                    <w:bCs w:val="0"/>
                    <w:kern w:val="0"/>
                    <w:sz w:val="24"/>
                    <w:szCs w:val="24"/>
                    <w:lang w:val="en-US"/>
                  </w:rPr>
                  <w:t>0</w:t>
                </w:r>
                <w:r>
                  <w:rPr>
                    <w:rFonts w:hint="eastAsia" w:ascii="仿宋" w:eastAsia="仿宋" w:cs="仿宋"/>
                    <w:b w:val="0"/>
                    <w:bCs w:val="0"/>
                    <w:kern w:val="0"/>
                    <w:sz w:val="24"/>
                    <w:szCs w:val="24"/>
                    <w:lang w:val="en-US" w:eastAsia="zh-CN"/>
                  </w:rPr>
                  <w:t>3</w:t>
                </w:r>
                <w:r>
                  <w:rPr>
                    <w:rFonts w:hint="eastAsia" w:ascii="仿宋" w:eastAsia="仿宋" w:cs="仿宋"/>
                    <w:b w:val="0"/>
                    <w:bCs w:val="0"/>
                    <w:kern w:val="0"/>
                    <w:sz w:val="24"/>
                    <w:szCs w:val="24"/>
                    <w:lang w:val="en-US"/>
                  </w:rPr>
                  <w:t xml:space="preserve">标： </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序号1：多功能自由配方粉末混合包装机</w:t>
                </w:r>
                <w:r>
                  <w:rPr>
                    <w:rFonts w:hint="eastAsia" w:ascii="仿宋" w:hAnsi="仿宋" w:eastAsia="仿宋" w:cs="仿宋"/>
                    <w:sz w:val="24"/>
                  </w:rPr>
                  <w:t xml:space="preserve">。 </w:t>
                </w:r>
              </w:p>
              <w:p>
                <w:pPr>
                  <w:snapToGrid w:val="0"/>
                  <w:spacing w:line="440" w:lineRule="exact"/>
                  <w:rPr>
                    <w:rFonts w:ascii="仿宋_GB2312" w:hAnsi="仿宋_GB2312" w:eastAsia="仿宋_GB2312" w:cs="仿宋_GB2312"/>
                    <w:sz w:val="24"/>
                  </w:rPr>
                </w:pPr>
                <w:r>
                  <w:rPr>
                    <w:rFonts w:hint="eastAsia" w:ascii="仿宋" w:hAnsi="仿宋" w:eastAsia="仿宋" w:cs="仿宋"/>
                    <w:kern w:val="0"/>
                    <w:sz w:val="24"/>
                  </w:rPr>
                  <w:t>☐B</w:t>
                </w:r>
                <w:r>
                  <w:rPr>
                    <w:rFonts w:hint="eastAsia" w:ascii="仿宋" w:hAnsi="仿宋" w:eastAsia="仿宋" w:cs="仿宋"/>
                    <w:sz w:val="24"/>
                  </w:rPr>
                  <w:t>服务类。</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pPr>
              <w:snapToGrid w:val="0"/>
              <w:spacing w:line="440" w:lineRule="exact"/>
              <w:rPr>
                <w:rFonts w:ascii="仿宋" w:hAnsi="仿宋" w:eastAsia="仿宋" w:cs="仿宋"/>
                <w:kern w:val="0"/>
                <w:sz w:val="24"/>
              </w:rPr>
            </w:pPr>
            <w:r>
              <w:rPr>
                <w:rFonts w:hint="eastAsia" w:ascii="仿宋" w:hAnsi="仿宋" w:eastAsia="仿宋" w:cs="仿宋"/>
                <w:kern w:val="0"/>
                <w:sz w:val="24"/>
              </w:rPr>
              <w:t>（2）标的：</w:t>
            </w:r>
            <w:r>
              <w:rPr>
                <w:rFonts w:hint="eastAsia" w:ascii="仿宋" w:hAnsi="仿宋" w:eastAsia="仿宋" w:cs="仿宋"/>
                <w:kern w:val="0"/>
                <w:sz w:val="24"/>
                <w:u w:val="single"/>
              </w:rPr>
              <w:t xml:space="preserve"> 02</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p>
            <w:pPr>
              <w:snapToGrid w:val="0"/>
              <w:spacing w:line="440" w:lineRule="exact"/>
              <w:rPr>
                <w:rFonts w:hint="eastAsia" w:eastAsia="仿宋"/>
                <w:lang w:eastAsia="zh-CN"/>
              </w:rPr>
            </w:pPr>
            <w:r>
              <w:rPr>
                <w:rFonts w:hint="eastAsia" w:ascii="仿宋" w:hAnsi="仿宋" w:eastAsia="仿宋" w:cs="仿宋"/>
                <w:kern w:val="0"/>
                <w:sz w:val="24"/>
              </w:rPr>
              <w:t>（3）标的：</w:t>
            </w:r>
            <w:r>
              <w:rPr>
                <w:rFonts w:hint="eastAsia" w:ascii="仿宋" w:hAnsi="仿宋" w:eastAsia="仿宋" w:cs="仿宋"/>
                <w:kern w:val="0"/>
                <w:sz w:val="24"/>
                <w:u w:val="single"/>
              </w:rPr>
              <w:t xml:space="preserve"> 03</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lang w:val="en-US" w:eastAsia="zh-CN"/>
                <w14:textFill>
                  <w14:solidFill>
                    <w14:schemeClr w14:val="tx1"/>
                  </w14:solidFill>
                </w14:textFill>
              </w:rPr>
              <w:t>4</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lang w:val="en-US" w:eastAsia="zh-CN"/>
              </w:rPr>
              <w:t>6</w:t>
            </w:r>
            <w:r>
              <w:rPr>
                <w:rFonts w:hint="eastAsia" w:ascii="仿宋_GB2312" w:hAnsi="宋体" w:eastAsia="仿宋_GB2312"/>
                <w:sz w:val="24"/>
              </w:rPr>
              <w:t xml:space="preserve">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366665492"/>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366665493"/>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autoSpaceDE w:val="0"/>
              <w:autoSpaceDN w:val="0"/>
              <w:spacing w:line="360" w:lineRule="exact"/>
              <w:textAlignment w:val="bottom"/>
              <w:rPr>
                <w:rFonts w:hint="eastAsia" w:ascii="仿宋_GB2312" w:hAnsi="宋体" w:eastAsia="仿宋_GB2312"/>
                <w:b/>
                <w:sz w:val="24"/>
              </w:rPr>
            </w:pPr>
            <w:r>
              <w:rPr>
                <w:rFonts w:hint="eastAsia" w:ascii="仿宋_GB2312" w:hAnsi="宋体" w:eastAsia="仿宋_GB2312"/>
                <w:b/>
                <w:sz w:val="24"/>
              </w:rPr>
              <w:t>采购代理服务费：</w:t>
            </w:r>
          </w:p>
          <w:p>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成交金额500万元至1000万元的部分，货物类采购费率0.80%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spacing w:line="288" w:lineRule="auto"/>
              <w:rPr>
                <w:rFonts w:ascii="仿宋_GB2312" w:hAnsi="仿宋" w:eastAsia="仿宋_GB2312" w:cs="仿宋"/>
                <w:b/>
                <w:kern w:val="0"/>
                <w:sz w:val="24"/>
                <w:szCs w:val="21"/>
              </w:rPr>
            </w:pPr>
            <w:r>
              <w:rPr>
                <w:rFonts w:hint="eastAsia" w:ascii="仿宋" w:hAnsi="仿宋" w:eastAsia="仿宋" w:cs="仿宋"/>
                <w:sz w:val="24"/>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120"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bookmarkStart w:id="1" w:name="_Toc84325929"/>
      <w:bookmarkStart w:id="2" w:name="_Toc81372776"/>
      <w:bookmarkStart w:id="3" w:name="_Toc81372953"/>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b/>
          <w:color w:val="auto"/>
          <w:sz w:val="24"/>
          <w:lang w:eastAsia="zh-CN"/>
        </w:rPr>
      </w:pPr>
      <w:r>
        <w:rPr>
          <w:rFonts w:hint="eastAsia" w:ascii="仿宋_GB2312" w:hAnsi="仿宋" w:eastAsia="仿宋_GB2312" w:cs="仿宋"/>
          <w:b/>
          <w:color w:val="auto"/>
          <w:sz w:val="24"/>
        </w:rPr>
        <w:t>8.25</w:t>
      </w:r>
      <w:r>
        <w:rPr>
          <w:rFonts w:hint="eastAsia" w:ascii="仿宋" w:hAnsi="仿宋" w:eastAsia="仿宋" w:cs="仿宋"/>
          <w:b/>
          <w:color w:val="auto"/>
          <w:sz w:val="24"/>
          <w:highlight w:val="none"/>
        </w:rPr>
        <w:t>未提供样品或提供的样品不满足采购需求实质性要求的</w:t>
      </w:r>
      <w:r>
        <w:rPr>
          <w:rFonts w:hint="eastAsia" w:ascii="仿宋_GB2312" w:hAnsi="仿宋" w:eastAsia="仿宋_GB2312" w:cs="仿宋"/>
          <w:b/>
          <w:color w:val="auto"/>
          <w:sz w:val="24"/>
          <w:lang w:eastAsia="zh-CN"/>
        </w:rPr>
        <w:t>；</w:t>
      </w:r>
    </w:p>
    <w:p>
      <w:pPr>
        <w:snapToGrid w:val="0"/>
        <w:spacing w:line="440" w:lineRule="exact"/>
        <w:ind w:firstLine="482" w:firstLineChars="200"/>
        <w:jc w:val="left"/>
        <w:rPr>
          <w:rFonts w:ascii="仿宋_GB2312" w:hAnsi="仿宋" w:eastAsia="仿宋_GB2312" w:cs="仿宋"/>
          <w:color w:val="auto"/>
        </w:rPr>
      </w:pPr>
      <w:r>
        <w:rPr>
          <w:rFonts w:hint="eastAsia" w:ascii="仿宋" w:hAnsi="仿宋" w:eastAsia="仿宋" w:cs="仿宋"/>
          <w:b/>
          <w:color w:val="auto"/>
          <w:sz w:val="24"/>
          <w:highlight w:val="none"/>
          <w:lang w:val="en-US" w:eastAsia="zh-CN"/>
        </w:rPr>
        <w:t>8.26</w:t>
      </w:r>
      <w:r>
        <w:rPr>
          <w:rFonts w:hint="eastAsia" w:ascii="仿宋_GB2312" w:hAnsi="仿宋" w:eastAsia="仿宋_GB2312" w:cs="仿宋"/>
          <w:b/>
          <w:color w:val="auto"/>
          <w:sz w:val="24"/>
        </w:rPr>
        <w:t>其他违反法律、法规的情形</w:t>
      </w:r>
      <w:r>
        <w:rPr>
          <w:rFonts w:hint="eastAsia" w:ascii="仿宋" w:hAnsi="仿宋" w:eastAsia="仿宋" w:cs="仿宋"/>
          <w:b/>
          <w:color w:val="auto"/>
          <w:sz w:val="24"/>
          <w:highlight w:val="none"/>
          <w:lang w:eastAsia="zh-CN"/>
        </w:rPr>
        <w:t>。</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rPr>
      </w:pPr>
    </w:p>
    <w:p>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kern w:val="0"/>
          <w:sz w:val="24"/>
        </w:rPr>
      </w:pPr>
    </w:p>
    <w:p>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340" w:lineRule="exact"/>
        <w:ind w:firstLine="482" w:firstLineChars="200"/>
        <w:rPr>
          <w:rFonts w:hint="eastAsia" w:ascii="仿宋" w:hAnsi="仿宋" w:eastAsia="仿宋" w:cs="仿宋"/>
          <w:b/>
          <w:color w:val="auto"/>
          <w:kern w:val="0"/>
          <w:sz w:val="24"/>
          <w:szCs w:val="24"/>
        </w:rPr>
      </w:pPr>
      <w:bookmarkStart w:id="4" w:name="_Toc80157775"/>
      <w:bookmarkStart w:id="5" w:name="_Toc84325981"/>
      <w:bookmarkStart w:id="6" w:name="_Toc81372964"/>
      <w:bookmarkStart w:id="7" w:name="_Toc81372787"/>
      <w:r>
        <w:rPr>
          <w:rFonts w:hint="eastAsia" w:ascii="仿宋" w:hAnsi="仿宋" w:eastAsia="仿宋" w:cs="仿宋"/>
          <w:b/>
          <w:bCs/>
          <w:color w:val="auto"/>
          <w:sz w:val="24"/>
          <w:szCs w:val="24"/>
          <w:bdr w:val="single" w:color="auto" w:sz="4" w:space="0"/>
        </w:rPr>
        <w:t>01标</w:t>
      </w:r>
      <w:r>
        <w:rPr>
          <w:rFonts w:hint="eastAsia" w:ascii="仿宋" w:hAnsi="仿宋" w:eastAsia="仿宋" w:cs="仿宋"/>
          <w:b/>
          <w:color w:val="auto"/>
          <w:sz w:val="24"/>
          <w:szCs w:val="24"/>
        </w:rPr>
        <w:t>其他类采购项目，金额</w:t>
      </w:r>
      <w:r>
        <w:rPr>
          <w:rFonts w:hint="eastAsia" w:ascii="仿宋" w:hAnsi="仿宋" w:eastAsia="仿宋" w:cs="仿宋"/>
          <w:b/>
          <w:color w:val="auto"/>
          <w:kern w:val="0"/>
          <w:sz w:val="24"/>
          <w:szCs w:val="24"/>
        </w:rPr>
        <w:t>36.05万元</w:t>
      </w:r>
    </w:p>
    <w:p>
      <w:pPr>
        <w:spacing w:line="360" w:lineRule="auto"/>
        <w:outlineLvl w:val="0"/>
        <w:rPr>
          <w:rFonts w:hint="eastAsia" w:ascii="仿宋" w:hAnsi="仿宋" w:eastAsia="仿宋" w:cs="仿宋"/>
          <w:b/>
          <w:color w:val="auto"/>
          <w:kern w:val="0"/>
          <w:sz w:val="24"/>
          <w:szCs w:val="24"/>
        </w:rPr>
      </w:pPr>
      <w:r>
        <w:rPr>
          <w:rFonts w:hint="eastAsia" w:ascii="仿宋" w:hAnsi="仿宋" w:eastAsia="仿宋" w:cs="仿宋"/>
          <w:b/>
          <w:color w:val="auto"/>
          <w:sz w:val="24"/>
          <w:szCs w:val="24"/>
        </w:rPr>
        <w:t>一、采购清单：</w:t>
      </w:r>
    </w:p>
    <w:tbl>
      <w:tblPr>
        <w:tblStyle w:val="63"/>
        <w:tblW w:w="11087" w:type="dxa"/>
        <w:tblInd w:w="-979" w:type="dxa"/>
        <w:tblLayout w:type="fixed"/>
        <w:tblCellMar>
          <w:top w:w="0" w:type="dxa"/>
          <w:left w:w="108" w:type="dxa"/>
          <w:bottom w:w="0" w:type="dxa"/>
          <w:right w:w="108" w:type="dxa"/>
        </w:tblCellMar>
      </w:tblPr>
      <w:tblGrid>
        <w:gridCol w:w="690"/>
        <w:gridCol w:w="1260"/>
        <w:gridCol w:w="585"/>
        <w:gridCol w:w="4502"/>
        <w:gridCol w:w="735"/>
        <w:gridCol w:w="1005"/>
        <w:gridCol w:w="2310"/>
      </w:tblGrid>
      <w:tr>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产品名称</w:t>
            </w:r>
          </w:p>
        </w:tc>
        <w:tc>
          <w:tcPr>
            <w:tcW w:w="5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45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规格参数及要求</w:t>
            </w:r>
          </w:p>
        </w:tc>
        <w:tc>
          <w:tcPr>
            <w:tcW w:w="7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0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上限单价（元）</w:t>
            </w:r>
          </w:p>
        </w:tc>
        <w:tc>
          <w:tcPr>
            <w:tcW w:w="2310" w:type="dxa"/>
            <w:tcBorders>
              <w:top w:val="single" w:color="auto" w:sz="4" w:space="0"/>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参考图片</w:t>
            </w:r>
          </w:p>
        </w:tc>
      </w:tr>
      <w:tr>
        <w:tblPrEx>
          <w:tblCellMar>
            <w:top w:w="0" w:type="dxa"/>
            <w:left w:w="108" w:type="dxa"/>
            <w:bottom w:w="0" w:type="dxa"/>
            <w:right w:w="108" w:type="dxa"/>
          </w:tblCellMar>
        </w:tblPrEx>
        <w:trPr>
          <w:trHeight w:val="732"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小音箱</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输入接头：3.5mm插头，频率响应：150hz-18khz，输入电流：USB 5V/1A，音箱材质：木质,尺寸：15*7.0*9.0cm，</w:t>
            </w:r>
            <w:r>
              <w:rPr>
                <w:rStyle w:val="79"/>
                <w:rFonts w:hint="eastAsia" w:ascii="仿宋" w:hAnsi="仿宋" w:eastAsia="仿宋" w:cs="仿宋"/>
                <w:color w:val="auto"/>
                <w:sz w:val="24"/>
                <w:szCs w:val="24"/>
              </w:rPr>
              <w:t>误差范围：±2cm</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490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806450" cy="51054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3286" cy="520882"/>
                          </a:xfrm>
                          <a:prstGeom prst="rect">
                            <a:avLst/>
                          </a:prstGeom>
                          <a:noFill/>
                        </pic:spPr>
                      </pic:pic>
                    </a:graphicData>
                  </a:graphic>
                </wp:inline>
              </w:drawing>
            </w:r>
          </w:p>
        </w:tc>
      </w:tr>
      <w:tr>
        <w:tblPrEx>
          <w:tblCellMar>
            <w:top w:w="0" w:type="dxa"/>
            <w:left w:w="108" w:type="dxa"/>
            <w:bottom w:w="0" w:type="dxa"/>
            <w:right w:w="108" w:type="dxa"/>
          </w:tblCellMar>
        </w:tblPrEx>
        <w:trPr>
          <w:trHeight w:val="528"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26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对讲机</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功率≤5w，电压3.7V，满电待机时间≥20天，信道数量≥16个，各种环境适用，尺寸：5.0*4.0*20.0cm</w:t>
            </w:r>
            <w:r>
              <w:rPr>
                <w:rStyle w:val="79"/>
                <w:rFonts w:hint="eastAsia" w:ascii="仿宋" w:hAnsi="仿宋" w:eastAsia="仿宋" w:cs="仿宋"/>
                <w:color w:val="auto"/>
                <w:sz w:val="24"/>
                <w:szCs w:val="24"/>
              </w:rPr>
              <w:t>，误差范围：±1cm</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520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94945" cy="502920"/>
                  <wp:effectExtent l="0" t="0" r="146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9020" cy="513379"/>
                          </a:xfrm>
                          <a:prstGeom prst="rect">
                            <a:avLst/>
                          </a:prstGeom>
                          <a:noFill/>
                        </pic:spPr>
                      </pic:pic>
                    </a:graphicData>
                  </a:graphic>
                </wp:inline>
              </w:drawing>
            </w:r>
          </w:p>
        </w:tc>
      </w:tr>
      <w:tr>
        <w:tblPrEx>
          <w:tblCellMar>
            <w:top w:w="0" w:type="dxa"/>
            <w:left w:w="108" w:type="dxa"/>
            <w:bottom w:w="0" w:type="dxa"/>
            <w:right w:w="108" w:type="dxa"/>
          </w:tblCellMar>
        </w:tblPrEx>
        <w:trPr>
          <w:trHeight w:val="52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26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对讲机（样品）</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窗口双向大功率对讲机，主机：工程级ABS塑料，喇叭功率≥10W，电源插口5.5×2.1mm，电源线长≥1.8m，规格≥12V；分机：工程级ABS塑料，音频插头3.</w:t>
            </w: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mm,音频线长≥2m</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425</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609600" cy="3886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9600" cy="388620"/>
                          </a:xfrm>
                          <a:prstGeom prst="rect">
                            <a:avLst/>
                          </a:prstGeom>
                          <a:noFill/>
                        </pic:spPr>
                      </pic:pic>
                    </a:graphicData>
                  </a:graphic>
                </wp:inline>
              </w:drawing>
            </w:r>
          </w:p>
        </w:tc>
      </w:tr>
      <w:tr>
        <w:tblPrEx>
          <w:tblCellMar>
            <w:top w:w="0" w:type="dxa"/>
            <w:left w:w="108" w:type="dxa"/>
            <w:bottom w:w="0" w:type="dxa"/>
            <w:right w:w="108" w:type="dxa"/>
          </w:tblCellMar>
        </w:tblPrEx>
        <w:trPr>
          <w:trHeight w:val="30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26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喊话机（耳麦）</w:t>
            </w:r>
          </w:p>
        </w:tc>
        <w:tc>
          <w:tcPr>
            <w:tcW w:w="58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单边导线，插拔耳麦，头戴式，振膜类型：圈铁，换线支持:3.5mm,插头接口：3.5mm,输出阻抗：1000Ω</w:t>
            </w:r>
            <w:r>
              <w:rPr>
                <w:rStyle w:val="79"/>
                <w:rFonts w:hint="eastAsia" w:ascii="仿宋" w:hAnsi="仿宋" w:eastAsia="仿宋" w:cs="仿宋"/>
                <w:color w:val="auto"/>
                <w:sz w:val="24"/>
                <w:szCs w:val="24"/>
              </w:rPr>
              <w:t>±30%，频率响应50Hz-16KHz,灵敏度：-45dB±3dB</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410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p>
        </w:tc>
      </w:tr>
      <w:tr>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婴儿电子秤</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婴儿电子秤，台式，</w:t>
            </w:r>
            <w:r>
              <w:rPr>
                <w:rFonts w:hint="eastAsia" w:ascii="仿宋" w:hAnsi="仿宋" w:eastAsia="仿宋" w:cs="仿宋"/>
                <w:color w:val="auto"/>
                <w:sz w:val="24"/>
                <w:szCs w:val="24"/>
                <w:shd w:val="clear" w:color="auto" w:fill="FFFFFF"/>
              </w:rPr>
              <w:t>最小分度值：5g，称重范围：0~15kg</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139</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211580" cy="583565"/>
                  <wp:effectExtent l="0" t="0" r="7620" b="6985"/>
                  <wp:docPr id="8" name="图片 8" descr="D:\微信\WeChat Files\wxid_a5c8mgl71z1212\FileStorage\Temp\1718958443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WeChat Files\wxid_a5c8mgl71z1212\FileStorage\Temp\17189584437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54285" cy="604177"/>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智能体脂秤</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材质：电极片，高强度钢化玻璃，</w:t>
            </w:r>
            <w:r>
              <w:rPr>
                <w:rFonts w:hint="eastAsia" w:ascii="仿宋" w:hAnsi="仿宋" w:eastAsia="仿宋" w:cs="仿宋"/>
                <w:color w:val="auto"/>
                <w:kern w:val="0"/>
                <w:sz w:val="24"/>
                <w:szCs w:val="24"/>
              </w:rPr>
              <w:t>称重范围0.1-150公斤，可充电，连接方式：蓝牙，精准至0.1kg</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54</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99</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p>
        </w:tc>
      </w:tr>
      <w:tr>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电脑写字板</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块</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整版尺寸：18*11cm,误差：</w:t>
            </w:r>
            <w:r>
              <w:rPr>
                <w:rStyle w:val="79"/>
                <w:rFonts w:hint="eastAsia" w:ascii="仿宋" w:hAnsi="仿宋" w:eastAsia="仿宋" w:cs="仿宋"/>
                <w:color w:val="auto"/>
                <w:sz w:val="24"/>
                <w:szCs w:val="24"/>
              </w:rPr>
              <w:t>±2cm,手写区：11*6.6cm</w:t>
            </w:r>
            <w:r>
              <w:rPr>
                <w:rFonts w:hint="eastAsia" w:ascii="仿宋" w:hAnsi="仿宋" w:eastAsia="仿宋" w:cs="仿宋"/>
                <w:color w:val="auto"/>
                <w:kern w:val="0"/>
                <w:sz w:val="24"/>
                <w:szCs w:val="24"/>
              </w:rPr>
              <w:t>误差：</w:t>
            </w:r>
            <w:r>
              <w:rPr>
                <w:rStyle w:val="79"/>
                <w:rFonts w:hint="eastAsia" w:ascii="仿宋" w:hAnsi="仿宋" w:eastAsia="仿宋" w:cs="仿宋"/>
                <w:color w:val="auto"/>
                <w:sz w:val="24"/>
                <w:szCs w:val="24"/>
              </w:rPr>
              <w:t>±2cm，</w:t>
            </w:r>
            <w:r>
              <w:rPr>
                <w:rFonts w:hint="eastAsia" w:ascii="仿宋" w:hAnsi="仿宋" w:eastAsia="仿宋" w:cs="仿宋"/>
                <w:color w:val="auto"/>
                <w:kern w:val="0"/>
                <w:sz w:val="24"/>
                <w:szCs w:val="24"/>
              </w:rPr>
              <w:t>机械压力感应，USB接口，配件：手写板，数据线，书写笔，光盘</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866140" cy="5943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V="1">
                            <a:off x="0" y="0"/>
                            <a:ext cx="894631" cy="613608"/>
                          </a:xfrm>
                          <a:prstGeom prst="rect">
                            <a:avLst/>
                          </a:prstGeom>
                          <a:noFill/>
                        </pic:spPr>
                      </pic:pic>
                    </a:graphicData>
                  </a:graphic>
                </wp:inline>
              </w:drawing>
            </w:r>
          </w:p>
        </w:tc>
      </w:tr>
      <w:tr>
        <w:tblPrEx>
          <w:tblCellMar>
            <w:top w:w="0" w:type="dxa"/>
            <w:left w:w="108" w:type="dxa"/>
            <w:bottom w:w="0" w:type="dxa"/>
            <w:right w:w="108" w:type="dxa"/>
          </w:tblCellMar>
        </w:tblPrEx>
        <w:trPr>
          <w:trHeight w:val="902"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电动订书机</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智能电动订书机,可订≥20张复印纸，进纸深度6-40mm可调</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385</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76605" cy="434340"/>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3488" cy="454816"/>
                          </a:xfrm>
                          <a:prstGeom prst="rect">
                            <a:avLst/>
                          </a:prstGeom>
                          <a:noFill/>
                        </pic:spPr>
                      </pic:pic>
                    </a:graphicData>
                  </a:graphic>
                </wp:inline>
              </w:drawing>
            </w:r>
          </w:p>
        </w:tc>
      </w:tr>
      <w:tr>
        <w:tblPrEx>
          <w:tblCellMar>
            <w:top w:w="0" w:type="dxa"/>
            <w:left w:w="108" w:type="dxa"/>
            <w:bottom w:w="0" w:type="dxa"/>
            <w:right w:w="108" w:type="dxa"/>
          </w:tblCellMar>
        </w:tblPrEx>
        <w:trPr>
          <w:trHeight w:val="312"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封口机</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脉动功率400W，电源220V-230V,50/60HZ,封接长度：0-300mm,封接宽度：0-2.8mm,加热时间0.2-2s</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168</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089660" cy="1045210"/>
                  <wp:effectExtent l="0" t="0" r="15240" b="2540"/>
                  <wp:docPr id="10" name="图片 10" descr="D:\微信\WeChat Files\wxid_a5c8mgl71z1212\FileStorage\Temp\1720421078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微信\WeChat Files\wxid_a5c8mgl71z1212\FileStorage\Temp\172042107802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97000" cy="1052528"/>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声贝监测仪</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测量范围：30-130dBA,精准度：±1.5dB,分辨率：0.1dB,频率加权特性：A加权，取样频率：2次/秒,1/2英寸电容式麦克风，工作温度：0-40ºC,储存温度：-10-60ºC，AC输出：100mvms,DC输出：10V/dB</w:t>
            </w:r>
          </w:p>
        </w:tc>
        <w:tc>
          <w:tcPr>
            <w:tcW w:w="7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85</w:t>
            </w:r>
          </w:p>
        </w:tc>
        <w:tc>
          <w:tcPr>
            <w:tcW w:w="2310" w:type="dxa"/>
            <w:tcBorders>
              <w:top w:val="single" w:color="auto" w:sz="4" w:space="0"/>
              <w:left w:val="single" w:color="auto" w:sz="4" w:space="0"/>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p>
        </w:tc>
      </w:tr>
      <w:tr>
        <w:tblPrEx>
          <w:tblCellMar>
            <w:top w:w="0" w:type="dxa"/>
            <w:left w:w="108" w:type="dxa"/>
            <w:bottom w:w="0" w:type="dxa"/>
            <w:right w:w="108" w:type="dxa"/>
          </w:tblCellMar>
        </w:tblPrEx>
        <w:trPr>
          <w:trHeight w:val="336"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12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天平</w:t>
            </w:r>
          </w:p>
        </w:tc>
        <w:tc>
          <w:tcPr>
            <w:tcW w:w="5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把</w:t>
            </w:r>
          </w:p>
        </w:tc>
        <w:tc>
          <w:tcPr>
            <w:tcW w:w="45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Style w:val="79"/>
                <w:rFonts w:hint="eastAsia" w:ascii="仿宋" w:hAnsi="仿宋" w:eastAsia="仿宋" w:cs="仿宋"/>
                <w:color w:val="auto"/>
                <w:sz w:val="24"/>
                <w:szCs w:val="24"/>
              </w:rPr>
              <w:t>称重范围：0.5g-500g,分度值0.5g,配套砝码7个+镊子1个</w:t>
            </w:r>
          </w:p>
        </w:tc>
        <w:tc>
          <w:tcPr>
            <w:tcW w:w="7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79</w:t>
            </w:r>
          </w:p>
        </w:tc>
        <w:tc>
          <w:tcPr>
            <w:tcW w:w="2310" w:type="dxa"/>
            <w:tcBorders>
              <w:top w:val="single" w:color="auto" w:sz="4" w:space="0"/>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94360" cy="474345"/>
                  <wp:effectExtent l="0" t="0" r="152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424" cy="488352"/>
                          </a:xfrm>
                          <a:prstGeom prst="rect">
                            <a:avLst/>
                          </a:prstGeom>
                          <a:noFill/>
                        </pic:spPr>
                      </pic:pic>
                    </a:graphicData>
                  </a:graphic>
                </wp:inline>
              </w:drawing>
            </w:r>
          </w:p>
        </w:tc>
      </w:tr>
      <w:tr>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鹅颈灯</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优质不锈钢，升降范围：130-150mm,输入功率≤200VA，外径管≥25mm,内径管≥16mm,旋钮调节，使用灯泡功率≤200W</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330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0225" cy="731520"/>
                  <wp:effectExtent l="0" t="0" r="317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0225" cy="731520"/>
                          </a:xfrm>
                          <a:prstGeom prst="rect">
                            <a:avLst/>
                          </a:prstGeom>
                          <a:noFill/>
                        </pic:spPr>
                      </pic:pic>
                    </a:graphicData>
                  </a:graphic>
                </wp:inline>
              </w:drawing>
            </w:r>
          </w:p>
        </w:tc>
      </w:tr>
      <w:tr>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电话机（样品，核心产品）</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支持单键重拨、免提通话、来电显示，来电存储≥30组，去电储存≥10组，液晶显示屏亮度可调节，音量可调整</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2013</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83</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71500" cy="563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1500" cy="563880"/>
                          </a:xfrm>
                          <a:prstGeom prst="rect">
                            <a:avLst/>
                          </a:prstGeom>
                          <a:noFill/>
                        </pic:spPr>
                      </pic:pic>
                    </a:graphicData>
                  </a:graphic>
                </wp:inline>
              </w:drawing>
            </w:r>
          </w:p>
        </w:tc>
      </w:tr>
      <w:tr>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记录仪</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拍照分辨率≥5800万像素，摄像分辨率≥1440P，支持多种时长的分段保存，内置麦克风、扬声器，高速Type-c接口，支持TF卡扩展，内存≥64GB，红外夜视、循环录影、按键式，待机时长≥10小时</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399</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85495" cy="987425"/>
                  <wp:effectExtent l="0" t="0" r="1460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85495" cy="987425"/>
                          </a:xfrm>
                          <a:prstGeom prst="rect">
                            <a:avLst/>
                          </a:prstGeom>
                          <a:noFill/>
                        </pic:spPr>
                      </pic:pic>
                    </a:graphicData>
                  </a:graphic>
                </wp:inline>
              </w:drawing>
            </w:r>
          </w:p>
        </w:tc>
      </w:tr>
      <w:tr>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语音显示器</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液晶屏，带板，正常显示</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2500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3400" cy="428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2959" cy="436369"/>
                          </a:xfrm>
                          <a:prstGeom prst="rect">
                            <a:avLst/>
                          </a:prstGeom>
                          <a:noFill/>
                        </pic:spPr>
                      </pic:pic>
                    </a:graphicData>
                  </a:graphic>
                </wp:inline>
              </w:drawing>
            </w:r>
          </w:p>
        </w:tc>
      </w:tr>
      <w:tr>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保险柜</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单门，低碳高密度合金钢材质，双重报警功能，五年质保，重量125</w:t>
            </w:r>
            <w:r>
              <w:rPr>
                <w:rStyle w:val="79"/>
                <w:rFonts w:hint="eastAsia" w:ascii="仿宋" w:hAnsi="仿宋" w:eastAsia="仿宋" w:cs="仿宋"/>
                <w:color w:val="auto"/>
                <w:sz w:val="24"/>
                <w:szCs w:val="24"/>
              </w:rPr>
              <w:t>±2kg,外部尺寸：150*60*56cm,误差±2cm,</w:t>
            </w:r>
            <w:r>
              <w:rPr>
                <w:rFonts w:hint="eastAsia" w:ascii="仿宋" w:hAnsi="仿宋" w:eastAsia="仿宋" w:cs="仿宋"/>
                <w:color w:val="auto"/>
                <w:kern w:val="0"/>
                <w:sz w:val="24"/>
                <w:szCs w:val="24"/>
              </w:rPr>
              <w:t>开启方式：钥匙/密码/指纹</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1850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468630" cy="791845"/>
                  <wp:effectExtent l="0" t="0" r="762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8630" cy="791845"/>
                          </a:xfrm>
                          <a:prstGeom prst="rect">
                            <a:avLst/>
                          </a:prstGeom>
                          <a:noFill/>
                        </pic:spPr>
                      </pic:pic>
                    </a:graphicData>
                  </a:graphic>
                </wp:inline>
              </w:drawing>
            </w:r>
          </w:p>
        </w:tc>
      </w:tr>
      <w:tr>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保险柜</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单门，低碳高密度合金钢材质，双重报警功能，五年质保，重量92</w:t>
            </w:r>
            <w:r>
              <w:rPr>
                <w:rStyle w:val="79"/>
                <w:rFonts w:hint="eastAsia" w:ascii="仿宋" w:hAnsi="仿宋" w:eastAsia="仿宋" w:cs="仿宋"/>
                <w:color w:val="auto"/>
                <w:sz w:val="24"/>
                <w:szCs w:val="24"/>
              </w:rPr>
              <w:t>±5kg,外部尺寸：120*56*62cm,误差±2cm</w:t>
            </w:r>
            <w:r>
              <w:rPr>
                <w:rFonts w:hint="eastAsia" w:ascii="仿宋" w:hAnsi="仿宋" w:eastAsia="仿宋" w:cs="仿宋"/>
                <w:color w:val="auto"/>
                <w:kern w:val="0"/>
                <w:sz w:val="24"/>
                <w:szCs w:val="24"/>
              </w:rPr>
              <w:t>开启方式：</w:t>
            </w:r>
            <w:r>
              <w:rPr>
                <w:rStyle w:val="79"/>
                <w:rFonts w:hint="eastAsia" w:ascii="仿宋" w:hAnsi="仿宋" w:eastAsia="仿宋" w:cs="仿宋"/>
                <w:color w:val="auto"/>
                <w:sz w:val="24"/>
                <w:szCs w:val="24"/>
              </w:rPr>
              <w:t>钥匙/密码/指纹</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1850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34670" cy="685165"/>
                  <wp:effectExtent l="0" t="0" r="1778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4670" cy="685165"/>
                          </a:xfrm>
                          <a:prstGeom prst="rect">
                            <a:avLst/>
                          </a:prstGeom>
                          <a:noFill/>
                        </pic:spPr>
                      </pic:pic>
                    </a:graphicData>
                  </a:graphic>
                </wp:inline>
              </w:drawing>
            </w:r>
          </w:p>
        </w:tc>
      </w:tr>
      <w:tr>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收款钱箱</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4502"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30*20*15cm，误差：</w:t>
            </w:r>
            <w:r>
              <w:rPr>
                <w:rStyle w:val="79"/>
                <w:rFonts w:hint="eastAsia" w:ascii="仿宋" w:hAnsi="仿宋" w:eastAsia="仿宋" w:cs="仿宋"/>
                <w:color w:val="auto"/>
                <w:sz w:val="24"/>
                <w:szCs w:val="24"/>
              </w:rPr>
              <w:t>±2cm，带</w:t>
            </w:r>
            <w:r>
              <w:rPr>
                <w:rFonts w:hint="eastAsia" w:ascii="仿宋" w:hAnsi="仿宋" w:eastAsia="仿宋" w:cs="仿宋"/>
                <w:color w:val="auto"/>
                <w:kern w:val="0"/>
                <w:sz w:val="24"/>
                <w:szCs w:val="24"/>
              </w:rPr>
              <w:t>挂锁</w:t>
            </w:r>
            <w:r>
              <w:rPr>
                <w:rStyle w:val="79"/>
                <w:rFonts w:hint="eastAsia" w:ascii="仿宋" w:hAnsi="仿宋" w:eastAsia="仿宋" w:cs="仿宋"/>
                <w:color w:val="auto"/>
                <w:sz w:val="24"/>
                <w:szCs w:val="24"/>
              </w:rPr>
              <w:t>，金属材质</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67</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10540" cy="544195"/>
                  <wp:effectExtent l="0" t="0" r="381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7074" cy="551636"/>
                          </a:xfrm>
                          <a:prstGeom prst="rect">
                            <a:avLst/>
                          </a:prstGeom>
                          <a:noFill/>
                        </pic:spPr>
                      </pic:pic>
                    </a:graphicData>
                  </a:graphic>
                </wp:inline>
              </w:drawing>
            </w:r>
          </w:p>
        </w:tc>
      </w:tr>
      <w:tr>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126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点钞机(样品)</w:t>
            </w:r>
          </w:p>
        </w:tc>
        <w:tc>
          <w:tcPr>
            <w:tcW w:w="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点钞速度≥900张/分钟，进钞与接容量≥130张，记数显示范围≥1-9999张</w:t>
            </w:r>
          </w:p>
          <w:p>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预置数显示范围：1-999张，点钞尺寸：长度110-180mm，宽度50-80mm,厚度 0.075-0.15mm</w:t>
            </w:r>
          </w:p>
          <w:p>
            <w:pPr>
              <w:widowControl/>
              <w:numPr>
                <w:ilvl w:val="0"/>
                <w:numId w:val="6"/>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送钞方式：磨擦分张</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3199</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784860" cy="1012825"/>
                  <wp:effectExtent l="0" t="0" r="1524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06059" cy="1040673"/>
                          </a:xfrm>
                          <a:prstGeom prst="rect">
                            <a:avLst/>
                          </a:prstGeom>
                          <a:noFill/>
                        </pic:spPr>
                      </pic:pic>
                    </a:graphicData>
                  </a:graphic>
                </wp:inline>
              </w:drawing>
            </w:r>
          </w:p>
        </w:tc>
      </w:tr>
      <w:tr>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一体化速印机</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高速全自动孔版数码制版印刷，速度≥130张/分钟;</w:t>
            </w:r>
          </w:p>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最大印刷区域≥289mm x 413mm</w:t>
            </w:r>
          </w:p>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缩放比率：具备无倍缩放（50%至200%），≥7种快速可调缩放比。</w:t>
            </w:r>
          </w:p>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印刷位置调整水平：±15mm 垂直：±10mm，</w:t>
            </w:r>
          </w:p>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最快制版时间：≤14秒，使用原稿台：50mm-310mm * 90mm-432mm;</w:t>
            </w:r>
          </w:p>
          <w:p>
            <w:pPr>
              <w:widowControl/>
              <w:numPr>
                <w:ilvl w:val="0"/>
                <w:numId w:val="7"/>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使用自动进稿器：100mm-300mm x 148mm-432mm。</w:t>
            </w:r>
          </w:p>
          <w:p>
            <w:pPr>
              <w:widowControl/>
              <w:tabs>
                <w:tab w:val="left" w:pos="312"/>
              </w:tabs>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7.使用自动进稿器：50g/m2-128g/m2(普通纸张)。</w:t>
            </w:r>
          </w:p>
          <w:p>
            <w:pPr>
              <w:widowControl/>
              <w:tabs>
                <w:tab w:val="left" w:pos="312"/>
              </w:tabs>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8.采用一体化把手设计，需抗菌抗压、耐腐蚀，与台面一体成型。</w:t>
            </w:r>
          </w:p>
          <w:p>
            <w:pPr>
              <w:widowControl/>
              <w:numPr>
                <w:ilvl w:val="255"/>
                <w:numId w:val="0"/>
              </w:num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9.最大扫描尺寸≥297mm * 432mm。扫描分辨率≥600dpi * 600dpi</w:t>
            </w:r>
          </w:p>
          <w:p>
            <w:pPr>
              <w:widowControl/>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印刷分辨率</w:t>
            </w:r>
            <w:r>
              <w:rPr>
                <w:rFonts w:hint="eastAsia" w:ascii="仿宋" w:hAnsi="仿宋" w:eastAsia="仿宋" w:cs="仿宋"/>
                <w:color w:val="auto"/>
                <w:kern w:val="0"/>
                <w:sz w:val="24"/>
                <w:szCs w:val="24"/>
              </w:rPr>
              <w:tab/>
            </w:r>
            <w:r>
              <w:rPr>
                <w:rFonts w:hint="eastAsia" w:ascii="仿宋" w:hAnsi="仿宋" w:eastAsia="仿宋" w:cs="仿宋"/>
                <w:color w:val="auto"/>
                <w:kern w:val="0"/>
                <w:sz w:val="24"/>
                <w:szCs w:val="24"/>
              </w:rPr>
              <w:t>≥600dpi x 600dpi，印刷纸张尺寸：100mm-300mm * 148mm-432mm。</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36750</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548640" cy="646430"/>
                  <wp:effectExtent l="0" t="0" r="381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5527" cy="654756"/>
                          </a:xfrm>
                          <a:prstGeom prst="rect">
                            <a:avLst/>
                          </a:prstGeom>
                          <a:noFill/>
                        </pic:spPr>
                      </pic:pic>
                    </a:graphicData>
                  </a:graphic>
                </wp:inline>
              </w:drawing>
            </w:r>
          </w:p>
        </w:tc>
      </w:tr>
      <w:tr>
        <w:tblPrEx>
          <w:tblCellMar>
            <w:top w:w="0" w:type="dxa"/>
            <w:left w:w="108" w:type="dxa"/>
            <w:bottom w:w="0" w:type="dxa"/>
            <w:right w:w="108" w:type="dxa"/>
          </w:tblCellMar>
        </w:tblPrEx>
        <w:trPr>
          <w:trHeight w:val="2256"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净化超净台</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4502" w:type="dxa"/>
            <w:tcBorders>
              <w:top w:val="nil"/>
              <w:left w:val="nil"/>
              <w:bottom w:val="single" w:color="auto" w:sz="4" w:space="0"/>
              <w:right w:val="single" w:color="auto" w:sz="4" w:space="0"/>
            </w:tcBorders>
            <w:shd w:val="clear" w:color="auto" w:fill="auto"/>
            <w:vAlign w:val="center"/>
          </w:tcPr>
          <w:p>
            <w:pPr>
              <w:widowControl/>
              <w:spacing w:line="32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显示方式:LCD,单工位，洁净等级100级（HEPA过滤器对0.3um粒子过滤效果≥99.9%以上）；工作风速范围:0.3-0.6m/s,振动半峰值≤5µm(X、Y、Z)方向，照度≥300Lux，高效过滤器规格及数量820*615*50*1mm，荧光灯/紫外线规格及数量20w*1/20w*1,尺寸：990*724*1650mm</w:t>
            </w:r>
            <w:r>
              <w:rPr>
                <w:rStyle w:val="79"/>
                <w:rFonts w:hint="eastAsia" w:ascii="仿宋" w:hAnsi="仿宋" w:eastAsia="仿宋" w:cs="仿宋"/>
                <w:color w:val="auto"/>
                <w:sz w:val="24"/>
                <w:szCs w:val="24"/>
              </w:rPr>
              <w:t>,误差：±2cm，材质：外壳，优质冷轧钢板，操作台面：SUS3</w:t>
            </w:r>
            <w:bookmarkStart w:id="163" w:name="_GoBack"/>
            <w:bookmarkEnd w:id="163"/>
            <w:r>
              <w:rPr>
                <w:rStyle w:val="79"/>
                <w:rFonts w:hint="eastAsia" w:ascii="仿宋" w:hAnsi="仿宋" w:eastAsia="仿宋" w:cs="仿宋"/>
                <w:color w:val="auto"/>
                <w:sz w:val="24"/>
                <w:szCs w:val="24"/>
              </w:rPr>
              <w:t>04拉丝不锈钢，空气流向：垂直流。</w:t>
            </w:r>
          </w:p>
        </w:tc>
        <w:tc>
          <w:tcPr>
            <w:tcW w:w="7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0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highlight w:val="yellow"/>
              </w:rPr>
            </w:pPr>
            <w:r>
              <w:rPr>
                <w:rFonts w:hint="eastAsia" w:ascii="仿宋" w:hAnsi="仿宋" w:eastAsia="仿宋" w:cs="仿宋"/>
                <w:color w:val="auto"/>
                <w:kern w:val="0"/>
                <w:sz w:val="24"/>
                <w:szCs w:val="24"/>
              </w:rPr>
              <w:t>5926</w:t>
            </w:r>
          </w:p>
        </w:tc>
        <w:tc>
          <w:tcPr>
            <w:tcW w:w="2310" w:type="dxa"/>
            <w:tcBorders>
              <w:top w:val="nil"/>
              <w:left w:val="nil"/>
              <w:bottom w:val="single" w:color="auto" w:sz="4" w:space="0"/>
              <w:right w:val="single" w:color="auto" w:sz="4" w:space="0"/>
            </w:tcBorders>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inline distT="0" distB="0" distL="0" distR="0">
                  <wp:extent cx="1143635" cy="1200785"/>
                  <wp:effectExtent l="0" t="0" r="18415"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8160" cy="1200785"/>
                          </a:xfrm>
                          <a:prstGeom prst="rect">
                            <a:avLst/>
                          </a:prstGeom>
                          <a:noFill/>
                        </pic:spPr>
                      </pic:pic>
                    </a:graphicData>
                  </a:graphic>
                </wp:inline>
              </w:drawing>
            </w:r>
          </w:p>
        </w:tc>
      </w:tr>
    </w:tbl>
    <w:p>
      <w:pPr>
        <w:spacing w:line="40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二、其他要求：</w:t>
      </w:r>
    </w:p>
    <w:p>
      <w:pPr>
        <w:spacing w:line="440" w:lineRule="exact"/>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1.质保要求：</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提供的产品按国家三包执行。质保期内，如出现故障，在收到采购人的电话后，对一般故障能在15分钟内响应，2小时内到达现场，4小时内解决问题，必要时提供备机，保证采购人的使用；如提供产品因本身质量问题导致采购人无法正常使用，</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应无条件更换产品。</w:t>
      </w:r>
    </w:p>
    <w:p>
      <w:pPr>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kern w:val="0"/>
          <w:sz w:val="24"/>
          <w:szCs w:val="24"/>
        </w:rPr>
        <w:t>2.保修质量要求：符合质量要求，发现质量问题必需及时维修，无法维修的需及时调换。</w:t>
      </w:r>
    </w:p>
    <w:p>
      <w:pPr>
        <w:spacing w:line="360" w:lineRule="auto"/>
        <w:outlineLvl w:val="0"/>
        <w:rPr>
          <w:rFonts w:hint="eastAsia" w:ascii="仿宋" w:hAnsi="仿宋" w:eastAsia="仿宋" w:cs="仿宋"/>
          <w:b/>
          <w:color w:val="auto"/>
          <w:sz w:val="24"/>
          <w:szCs w:val="24"/>
        </w:rPr>
      </w:pPr>
      <w:r>
        <w:rPr>
          <w:rFonts w:hint="eastAsia" w:ascii="仿宋" w:hAnsi="仿宋" w:eastAsia="仿宋" w:cs="仿宋"/>
          <w:b/>
          <w:bCs/>
          <w:color w:val="auto"/>
          <w:sz w:val="24"/>
          <w:szCs w:val="24"/>
          <w:bdr w:val="single" w:color="auto" w:sz="4" w:space="0"/>
        </w:rPr>
        <w:t>0</w:t>
      </w:r>
      <w:r>
        <w:rPr>
          <w:rFonts w:hint="eastAsia" w:ascii="仿宋" w:hAnsi="仿宋" w:eastAsia="仿宋" w:cs="仿宋"/>
          <w:b/>
          <w:bCs/>
          <w:color w:val="auto"/>
          <w:sz w:val="24"/>
          <w:szCs w:val="24"/>
          <w:bdr w:val="single" w:color="auto" w:sz="4" w:space="0"/>
          <w:lang w:val="en-US" w:eastAsia="zh-CN"/>
        </w:rPr>
        <w:t>2</w:t>
      </w:r>
      <w:r>
        <w:rPr>
          <w:rFonts w:hint="eastAsia" w:ascii="仿宋" w:hAnsi="仿宋" w:eastAsia="仿宋" w:cs="仿宋"/>
          <w:b/>
          <w:bCs/>
          <w:color w:val="auto"/>
          <w:sz w:val="24"/>
          <w:szCs w:val="24"/>
          <w:bdr w:val="single" w:color="auto" w:sz="4" w:space="0"/>
        </w:rPr>
        <w:t>标</w:t>
      </w:r>
      <w:r>
        <w:rPr>
          <w:rFonts w:hint="eastAsia" w:ascii="仿宋" w:hAnsi="仿宋" w:eastAsia="仿宋" w:cs="仿宋"/>
          <w:b/>
          <w:color w:val="auto"/>
          <w:sz w:val="24"/>
          <w:szCs w:val="24"/>
        </w:rPr>
        <w:t>消毒类采购项目，金额224.46万元</w:t>
      </w:r>
    </w:p>
    <w:p>
      <w:pPr>
        <w:spacing w:line="360"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一、采购清单：</w:t>
      </w:r>
    </w:p>
    <w:tbl>
      <w:tblPr>
        <w:tblStyle w:val="63"/>
        <w:tblpPr w:leftFromText="180" w:rightFromText="180" w:vertAnchor="text" w:horzAnchor="margin" w:tblpXSpec="center" w:tblpY="757"/>
        <w:tblW w:w="7864" w:type="dxa"/>
        <w:tblInd w:w="0" w:type="dxa"/>
        <w:tblLayout w:type="fixed"/>
        <w:tblCellMar>
          <w:top w:w="0" w:type="dxa"/>
          <w:left w:w="108" w:type="dxa"/>
          <w:bottom w:w="0" w:type="dxa"/>
          <w:right w:w="108" w:type="dxa"/>
        </w:tblCellMar>
      </w:tblPr>
      <w:tblGrid>
        <w:gridCol w:w="914"/>
        <w:gridCol w:w="3719"/>
        <w:gridCol w:w="1051"/>
        <w:gridCol w:w="968"/>
        <w:gridCol w:w="1212"/>
      </w:tblGrid>
      <w:tr>
        <w:tblPrEx>
          <w:tblCellMar>
            <w:top w:w="0" w:type="dxa"/>
            <w:left w:w="108" w:type="dxa"/>
            <w:bottom w:w="0" w:type="dxa"/>
            <w:right w:w="108" w:type="dxa"/>
          </w:tblCellMar>
        </w:tblPrEx>
        <w:trPr>
          <w:trHeight w:val="415" w:hRule="atLeast"/>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3719"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产品名称</w:t>
            </w:r>
          </w:p>
        </w:tc>
        <w:tc>
          <w:tcPr>
            <w:tcW w:w="1051"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968"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212"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单价</w:t>
            </w:r>
          </w:p>
        </w:tc>
      </w:tr>
      <w:tr>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壁挂式循环风紫外线空气消毒机(核心产品）</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392</w:t>
            </w:r>
          </w:p>
        </w:tc>
        <w:tc>
          <w:tcPr>
            <w:tcW w:w="121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2400</w:t>
            </w:r>
          </w:p>
        </w:tc>
      </w:tr>
      <w:tr>
        <w:tblPrEx>
          <w:tblCellMar>
            <w:top w:w="0" w:type="dxa"/>
            <w:left w:w="108" w:type="dxa"/>
            <w:bottom w:w="0" w:type="dxa"/>
            <w:right w:w="108" w:type="dxa"/>
          </w:tblCellMar>
        </w:tblPrEx>
        <w:trPr>
          <w:trHeight w:val="340"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壁挂式等离子体空气消毒机</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12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3200</w:t>
            </w:r>
          </w:p>
        </w:tc>
      </w:tr>
      <w:tr>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吸顶式150立方等离子体空气消毒机</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58</w:t>
            </w:r>
          </w:p>
        </w:tc>
        <w:tc>
          <w:tcPr>
            <w:tcW w:w="121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6800</w:t>
            </w:r>
          </w:p>
        </w:tc>
      </w:tr>
      <w:tr>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移动紫外线消毒灯</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60</w:t>
            </w:r>
          </w:p>
        </w:tc>
        <w:tc>
          <w:tcPr>
            <w:tcW w:w="121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w:t>
            </w:r>
          </w:p>
        </w:tc>
      </w:tr>
      <w:tr>
        <w:tblPrEx>
          <w:tblCellMar>
            <w:top w:w="0" w:type="dxa"/>
            <w:left w:w="108" w:type="dxa"/>
            <w:bottom w:w="0" w:type="dxa"/>
            <w:right w:w="108" w:type="dxa"/>
          </w:tblCellMar>
        </w:tblPrEx>
        <w:trPr>
          <w:trHeight w:val="389"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床单位消毒器</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97</w:t>
            </w:r>
          </w:p>
        </w:tc>
        <w:tc>
          <w:tcPr>
            <w:tcW w:w="121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6800</w:t>
            </w:r>
          </w:p>
        </w:tc>
      </w:tr>
      <w:tr>
        <w:tblPrEx>
          <w:tblCellMar>
            <w:top w:w="0" w:type="dxa"/>
            <w:left w:w="108" w:type="dxa"/>
            <w:bottom w:w="0" w:type="dxa"/>
            <w:right w:w="108" w:type="dxa"/>
          </w:tblCellMar>
        </w:tblPrEx>
        <w:trPr>
          <w:trHeight w:val="351" w:hRule="atLeast"/>
        </w:trPr>
        <w:tc>
          <w:tcPr>
            <w:tcW w:w="91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3719" w:type="dxa"/>
            <w:tcBorders>
              <w:top w:val="nil"/>
              <w:left w:val="nil"/>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过氧化氢消毒机</w:t>
            </w:r>
          </w:p>
        </w:tc>
        <w:tc>
          <w:tcPr>
            <w:tcW w:w="1051"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只</w:t>
            </w:r>
          </w:p>
        </w:tc>
        <w:tc>
          <w:tcPr>
            <w:tcW w:w="968"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21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65000</w:t>
            </w:r>
          </w:p>
        </w:tc>
      </w:tr>
    </w:tbl>
    <w:p>
      <w:pPr>
        <w:snapToGrid w:val="0"/>
        <w:spacing w:line="440" w:lineRule="exact"/>
        <w:jc w:val="left"/>
        <w:rPr>
          <w:rFonts w:hint="eastAsia" w:ascii="仿宋" w:hAnsi="仿宋" w:eastAsia="仿宋" w:cs="仿宋"/>
          <w:b/>
          <w:color w:val="auto"/>
          <w:sz w:val="24"/>
          <w:szCs w:val="24"/>
        </w:rPr>
      </w:pPr>
    </w:p>
    <w:p>
      <w:pPr>
        <w:pStyle w:val="907"/>
        <w:spacing w:line="340" w:lineRule="exact"/>
        <w:ind w:firstLine="0" w:firstLineChars="0"/>
        <w:jc w:val="center"/>
        <w:rPr>
          <w:rFonts w:hint="eastAsia" w:ascii="仿宋" w:hAnsi="仿宋" w:eastAsia="仿宋" w:cs="仿宋"/>
          <w:b/>
          <w:color w:val="auto"/>
          <w:sz w:val="24"/>
          <w:szCs w:val="24"/>
        </w:rPr>
      </w:pPr>
    </w:p>
    <w:p>
      <w:pPr>
        <w:spacing w:line="34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壁挂式循环风紫外线空气消毒机</w:t>
      </w:r>
    </w:p>
    <w:p>
      <w:pPr>
        <w:pStyle w:val="907"/>
        <w:spacing w:line="340" w:lineRule="exact"/>
        <w:ind w:firstLine="482"/>
        <w:jc w:val="center"/>
        <w:rPr>
          <w:rFonts w:hint="eastAsia" w:ascii="仿宋" w:hAnsi="仿宋" w:eastAsia="仿宋" w:cs="仿宋"/>
          <w:b/>
          <w:color w:val="auto"/>
          <w:sz w:val="24"/>
          <w:szCs w:val="24"/>
        </w:rPr>
      </w:pPr>
    </w:p>
    <w:tbl>
      <w:tblPr>
        <w:tblStyle w:val="63"/>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8889" w:type="dxa"/>
            <w:gridSpan w:val="2"/>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一、用途：用于临床、医技科室空气消毒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89" w:type="dxa"/>
            <w:gridSpan w:val="2"/>
            <w:vAlign w:val="center"/>
          </w:tcPr>
          <w:p>
            <w:pPr>
              <w:spacing w:line="2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7702" w:type="dxa"/>
            <w:vAlign w:val="center"/>
          </w:tcPr>
          <w:p>
            <w:pPr>
              <w:spacing w:line="2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人机共存，动态持续消毒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高强度紫外线杀菌(≥8000h)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初效、中效过滤网双重过滤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静电去除烟尘及细菌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光触媒（Tio2）、活性碳抗菌除异味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负离子清新净化空气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风速（高、中、低）可调，风向多向循环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87" w:type="dxa"/>
            <w:vMerge w:val="restart"/>
            <w:vAlign w:val="center"/>
          </w:tcPr>
          <w:p>
            <w:pPr>
              <w:spacing w:line="300" w:lineRule="exact"/>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7702" w:type="dxa"/>
            <w:vMerge w:val="restart"/>
            <w:vAlign w:val="center"/>
          </w:tcPr>
          <w:p>
            <w:pPr>
              <w:spacing w:line="240" w:lineRule="exact"/>
              <w:rPr>
                <w:rFonts w:hint="eastAsia" w:ascii="仿宋" w:hAnsi="仿宋" w:eastAsia="仿宋" w:cs="仿宋"/>
                <w:bCs/>
                <w:color w:val="auto"/>
                <w:sz w:val="24"/>
                <w:szCs w:val="24"/>
              </w:rPr>
            </w:pPr>
            <w:r>
              <w:rPr>
                <w:rFonts w:hint="eastAsia" w:ascii="仿宋" w:hAnsi="仿宋" w:eastAsia="仿宋" w:cs="仿宋"/>
                <w:color w:val="auto"/>
                <w:sz w:val="24"/>
                <w:szCs w:val="24"/>
              </w:rPr>
              <w:t>中文液晶显示器，可选择临时、自动两种工作模式</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临时运行：临时消毒时选用，可调整消毒时间；</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自动运行：按设定的程控时间消毒，可任意设置≥6组工作时段。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7" w:type="dxa"/>
            <w:vMerge w:val="continue"/>
            <w:vAlign w:val="center"/>
          </w:tcPr>
          <w:p>
            <w:pPr>
              <w:spacing w:line="240" w:lineRule="exact"/>
              <w:rPr>
                <w:rFonts w:hint="eastAsia" w:ascii="仿宋" w:hAnsi="仿宋" w:eastAsia="仿宋" w:cs="仿宋"/>
                <w:color w:val="auto"/>
                <w:sz w:val="24"/>
                <w:szCs w:val="24"/>
              </w:rPr>
            </w:pPr>
          </w:p>
        </w:tc>
        <w:tc>
          <w:tcPr>
            <w:tcW w:w="7702"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87" w:type="dxa"/>
            <w:vMerge w:val="continue"/>
            <w:vAlign w:val="center"/>
          </w:tcPr>
          <w:p>
            <w:pPr>
              <w:spacing w:line="240" w:lineRule="exact"/>
              <w:rPr>
                <w:rFonts w:hint="eastAsia" w:ascii="仿宋" w:hAnsi="仿宋" w:eastAsia="仿宋" w:cs="仿宋"/>
                <w:color w:val="auto"/>
                <w:sz w:val="24"/>
                <w:szCs w:val="24"/>
              </w:rPr>
            </w:pPr>
          </w:p>
        </w:tc>
        <w:tc>
          <w:tcPr>
            <w:tcW w:w="7702"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2.1.9</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紫外线、电机、负离子自动监测、故障报警、寿命计时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2.1.10</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2.1.11</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远红外遥控操作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889" w:type="dxa"/>
            <w:gridSpan w:val="2"/>
            <w:vAlign w:val="center"/>
          </w:tcPr>
          <w:p>
            <w:pPr>
              <w:spacing w:line="240" w:lineRule="exact"/>
              <w:rPr>
                <w:rFonts w:hint="eastAsia" w:ascii="仿宋" w:hAnsi="仿宋" w:eastAsia="仿宋" w:cs="仿宋"/>
                <w:bCs/>
                <w:color w:val="auto"/>
                <w:sz w:val="24"/>
                <w:szCs w:val="24"/>
                <w:highlight w:val="yellow"/>
              </w:rPr>
            </w:pPr>
            <w:r>
              <w:rPr>
                <w:rFonts w:hint="eastAsia" w:ascii="仿宋" w:hAnsi="仿宋" w:eastAsia="仿宋" w:cs="仿宋"/>
                <w:bCs/>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循环风量≥1000m3/h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适用体积≤100m3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消毒效果：≤7cfu/m3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白色葡萄球菌杀灭率：≥99.9%（提供CMA检验报告）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紫外线照射强度：≥159uw/c㎡（提供CMA检验报告）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机外紫外线泄露：≤1uv/cm2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消毒时空气的臭氧量：≤0.003 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负氧离子释放量：≥6×106个/cm3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770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噪音：≤50db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8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3.1.10</w:t>
            </w:r>
          </w:p>
        </w:tc>
        <w:tc>
          <w:tcPr>
            <w:tcW w:w="7702" w:type="dxa"/>
            <w:vAlign w:val="center"/>
          </w:tcPr>
          <w:p>
            <w:pPr>
              <w:spacing w:line="240" w:lineRule="exact"/>
              <w:rPr>
                <w:rFonts w:hint="eastAsia" w:ascii="仿宋" w:hAnsi="仿宋" w:eastAsia="仿宋" w:cs="仿宋"/>
                <w:bCs/>
                <w:color w:val="auto"/>
                <w:sz w:val="24"/>
                <w:szCs w:val="24"/>
                <w:highlight w:val="yellow"/>
              </w:rPr>
            </w:pPr>
            <w:r>
              <w:rPr>
                <w:rFonts w:hint="eastAsia" w:ascii="仿宋" w:hAnsi="仿宋" w:eastAsia="仿宋" w:cs="仿宋"/>
                <w:color w:val="auto"/>
                <w:sz w:val="24"/>
                <w:szCs w:val="24"/>
              </w:rPr>
              <w:t>外形尺寸：≤1080*330*220mm</w:t>
            </w:r>
          </w:p>
        </w:tc>
      </w:tr>
    </w:tbl>
    <w:p>
      <w:pPr>
        <w:spacing w:line="340" w:lineRule="exact"/>
        <w:rPr>
          <w:rFonts w:hint="eastAsia" w:ascii="仿宋" w:hAnsi="仿宋" w:eastAsia="仿宋" w:cs="仿宋"/>
          <w:b/>
          <w:color w:val="auto"/>
          <w:sz w:val="24"/>
          <w:szCs w:val="24"/>
        </w:rPr>
      </w:pPr>
    </w:p>
    <w:p>
      <w:pPr>
        <w:spacing w:line="34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壁挂式等离子体空气消毒机</w:t>
      </w:r>
    </w:p>
    <w:p>
      <w:pPr>
        <w:pStyle w:val="907"/>
        <w:spacing w:line="340" w:lineRule="exact"/>
        <w:ind w:firstLine="482"/>
        <w:jc w:val="center"/>
        <w:rPr>
          <w:rFonts w:hint="eastAsia" w:ascii="仿宋" w:hAnsi="仿宋" w:eastAsia="仿宋" w:cs="仿宋"/>
          <w:b/>
          <w:color w:val="auto"/>
          <w:sz w:val="24"/>
          <w:szCs w:val="24"/>
        </w:rPr>
      </w:pPr>
    </w:p>
    <w:tbl>
      <w:tblPr>
        <w:tblStyle w:val="63"/>
        <w:tblpPr w:leftFromText="180" w:rightFromText="180" w:vertAnchor="text" w:tblpX="-283" w:tblpY="1"/>
        <w:tblOverlap w:val="never"/>
        <w:tblW w:w="9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8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312" w:type="dxa"/>
            <w:gridSpan w:val="2"/>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一、用途：手术室空气消毒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9312" w:type="dxa"/>
            <w:gridSpan w:val="2"/>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动态消毒（人机共存）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金属过滤网只清洗免更换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rPr>
              <w:t>高压等离子体高效、广谱杀菌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等离子体电场故障监测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底部进风，上部出风，可防止吹凉风。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机身采用金属钣金材质防自燃隐患，平板设计制造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restart"/>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8252" w:type="dxa"/>
            <w:vMerge w:val="restart"/>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中文液晶显示器，可选择临时、自动两种工作模式</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临时运行：临时消毒时用，可调整消毒时间；</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自动运行：按设定的程控时间消毒，可按要求设置≥6工作时段。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pPr>
              <w:rPr>
                <w:rFonts w:hint="eastAsia" w:ascii="仿宋" w:hAnsi="仿宋" w:eastAsia="仿宋" w:cs="仿宋"/>
                <w:color w:val="auto"/>
                <w:sz w:val="24"/>
                <w:szCs w:val="24"/>
              </w:rPr>
            </w:pPr>
          </w:p>
        </w:tc>
        <w:tc>
          <w:tcPr>
            <w:tcW w:w="8252"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60" w:type="dxa"/>
            <w:vMerge w:val="continue"/>
            <w:vAlign w:val="center"/>
          </w:tcPr>
          <w:p>
            <w:pPr>
              <w:rPr>
                <w:rFonts w:hint="eastAsia" w:ascii="仿宋" w:hAnsi="仿宋" w:eastAsia="仿宋" w:cs="仿宋"/>
                <w:color w:val="auto"/>
                <w:sz w:val="24"/>
                <w:szCs w:val="24"/>
              </w:rPr>
            </w:pPr>
          </w:p>
        </w:tc>
        <w:tc>
          <w:tcPr>
            <w:tcW w:w="8252"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2.1.9</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等离子体电场、风机故障报警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2.1.10</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红外线遥控控制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9312" w:type="dxa"/>
            <w:gridSpan w:val="2"/>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循环风量：≥800m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适用体积：≤100m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8252" w:type="dxa"/>
            <w:vAlign w:val="center"/>
          </w:tcPr>
          <w:p>
            <w:pPr>
              <w:pStyle w:val="19"/>
              <w:rPr>
                <w:rFonts w:hint="eastAsia" w:ascii="仿宋" w:hAnsi="仿宋" w:eastAsia="仿宋" w:cs="仿宋"/>
                <w:color w:val="auto"/>
                <w:sz w:val="24"/>
                <w:szCs w:val="24"/>
              </w:rPr>
            </w:pPr>
            <w:r>
              <w:rPr>
                <w:rFonts w:hint="eastAsia" w:ascii="仿宋" w:hAnsi="仿宋" w:eastAsia="仿宋" w:cs="仿宋"/>
                <w:bCs/>
                <w:color w:val="auto"/>
                <w:sz w:val="24"/>
                <w:szCs w:val="24"/>
              </w:rPr>
              <w:t>消毒效果：≤163cfu/m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（提供CMA检测报告）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自然菌杀灭率：≥92％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空气消毒的臭氧量：≤0.01 mg/m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等离子体密度：3.0×10</w:t>
            </w:r>
            <w:r>
              <w:rPr>
                <w:rFonts w:hint="eastAsia" w:ascii="仿宋" w:hAnsi="仿宋" w:eastAsia="仿宋" w:cs="仿宋"/>
                <w:bCs/>
                <w:color w:val="auto"/>
                <w:sz w:val="24"/>
                <w:szCs w:val="24"/>
                <w:vertAlign w:val="superscript"/>
              </w:rPr>
              <w:t>17</w:t>
            </w:r>
            <w:r>
              <w:rPr>
                <w:rFonts w:hint="eastAsia" w:ascii="仿宋" w:hAnsi="仿宋" w:eastAsia="仿宋" w:cs="仿宋"/>
                <w:bCs/>
                <w:color w:val="auto"/>
                <w:sz w:val="24"/>
                <w:szCs w:val="24"/>
              </w:rPr>
              <w:t>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-3.6×10</w:t>
            </w:r>
            <w:r>
              <w:rPr>
                <w:rFonts w:hint="eastAsia" w:ascii="仿宋" w:hAnsi="仿宋" w:eastAsia="仿宋" w:cs="仿宋"/>
                <w:bCs/>
                <w:color w:val="auto"/>
                <w:sz w:val="24"/>
                <w:szCs w:val="24"/>
                <w:vertAlign w:val="superscript"/>
              </w:rPr>
              <w:t>18</w:t>
            </w:r>
            <w:r>
              <w:rPr>
                <w:rFonts w:hint="eastAsia" w:ascii="仿宋" w:hAnsi="仿宋" w:eastAsia="仿宋" w:cs="仿宋"/>
                <w:bCs/>
                <w:color w:val="auto"/>
                <w:sz w:val="24"/>
                <w:szCs w:val="24"/>
              </w:rPr>
              <w:t>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负离子释放量：≥6×10</w:t>
            </w:r>
            <w:r>
              <w:rPr>
                <w:rFonts w:hint="eastAsia" w:ascii="仿宋" w:hAnsi="仿宋" w:eastAsia="仿宋" w:cs="仿宋"/>
                <w:bCs/>
                <w:color w:val="auto"/>
                <w:sz w:val="24"/>
                <w:szCs w:val="24"/>
                <w:vertAlign w:val="superscript"/>
              </w:rPr>
              <w:t>6</w:t>
            </w:r>
            <w:r>
              <w:rPr>
                <w:rFonts w:hint="eastAsia" w:ascii="仿宋" w:hAnsi="仿宋" w:eastAsia="仿宋" w:cs="仿宋"/>
                <w:bCs/>
                <w:color w:val="auto"/>
                <w:sz w:val="24"/>
                <w:szCs w:val="24"/>
              </w:rPr>
              <w:t>个/cm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06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8252"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噪音：≤50db</w:t>
            </w:r>
          </w:p>
        </w:tc>
      </w:tr>
    </w:tbl>
    <w:p>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吸顶式等离子体空气消毒机</w:t>
      </w:r>
    </w:p>
    <w:tbl>
      <w:tblPr>
        <w:tblStyle w:val="63"/>
        <w:tblW w:w="9357"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8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357" w:type="dxa"/>
            <w:gridSpan w:val="2"/>
            <w:vAlign w:val="center"/>
          </w:tcPr>
          <w:p>
            <w:pPr>
              <w:spacing w:line="400" w:lineRule="exact"/>
              <w:rPr>
                <w:rFonts w:hint="eastAsia" w:ascii="仿宋" w:hAnsi="仿宋" w:eastAsia="仿宋" w:cs="仿宋"/>
                <w:b/>
                <w:color w:val="auto"/>
                <w:sz w:val="24"/>
                <w:szCs w:val="24"/>
              </w:rPr>
            </w:pPr>
            <w:r>
              <w:rPr>
                <w:rFonts w:hint="eastAsia" w:ascii="仿宋" w:hAnsi="仿宋" w:eastAsia="仿宋" w:cs="仿宋"/>
                <w:color w:val="auto"/>
                <w:sz w:val="24"/>
                <w:szCs w:val="24"/>
              </w:rPr>
              <w:t>一、用途：用于供应室清洗区、内镜中心麻醉复苏室、血透治疗区等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357" w:type="dxa"/>
            <w:gridSpan w:val="2"/>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2.1.1</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动态消毒（人机共存）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2.1.2</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金属过滤器免更换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2.1.3</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负离子清新净化空气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2.1.4</w:t>
            </w:r>
          </w:p>
        </w:tc>
        <w:tc>
          <w:tcPr>
            <w:tcW w:w="8167" w:type="dxa"/>
            <w:vAlign w:val="center"/>
          </w:tcPr>
          <w:p>
            <w:pPr>
              <w:spacing w:line="2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高压等离子体高效、广谱杀菌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2.1.5</w:t>
            </w:r>
          </w:p>
        </w:tc>
        <w:tc>
          <w:tcPr>
            <w:tcW w:w="8167" w:type="dxa"/>
            <w:vAlign w:val="center"/>
          </w:tcPr>
          <w:p>
            <w:pPr>
              <w:spacing w:line="240" w:lineRule="exac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等离子体电场故障监测、风机故障报警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190" w:type="dxa"/>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2.1.6</w:t>
            </w:r>
          </w:p>
        </w:tc>
        <w:tc>
          <w:tcPr>
            <w:tcW w:w="8167" w:type="dxa"/>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过滤网清洗自动提示功能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90" w:type="dxa"/>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2.1.7</w:t>
            </w:r>
          </w:p>
        </w:tc>
        <w:tc>
          <w:tcPr>
            <w:tcW w:w="8167" w:type="dxa"/>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低噪音风机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restart"/>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2.1.8</w:t>
            </w:r>
          </w:p>
        </w:tc>
        <w:tc>
          <w:tcPr>
            <w:tcW w:w="8167" w:type="dxa"/>
            <w:vMerge w:val="restart"/>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中文液晶显示器，可选择临时、自动两种工作模式</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临时运行：临时消毒时用，可调整消毒时间；</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自动运行：按设定的程控时间消毒，按要求设置工作时段。≥4个时段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pPr>
              <w:rPr>
                <w:rFonts w:hint="eastAsia" w:ascii="仿宋" w:hAnsi="仿宋" w:eastAsia="仿宋" w:cs="仿宋"/>
                <w:color w:val="auto"/>
                <w:sz w:val="24"/>
                <w:szCs w:val="24"/>
              </w:rPr>
            </w:pPr>
          </w:p>
        </w:tc>
        <w:tc>
          <w:tcPr>
            <w:tcW w:w="8167"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90" w:type="dxa"/>
            <w:vMerge w:val="continue"/>
            <w:vAlign w:val="center"/>
          </w:tcPr>
          <w:p>
            <w:pPr>
              <w:rPr>
                <w:rFonts w:hint="eastAsia" w:ascii="仿宋" w:hAnsi="仿宋" w:eastAsia="仿宋" w:cs="仿宋"/>
                <w:color w:val="auto"/>
                <w:sz w:val="24"/>
                <w:szCs w:val="24"/>
              </w:rPr>
            </w:pPr>
          </w:p>
        </w:tc>
        <w:tc>
          <w:tcPr>
            <w:tcW w:w="8167" w:type="dxa"/>
            <w:vMerge w:val="continue"/>
            <w:vAlign w:val="center"/>
          </w:tcPr>
          <w:p>
            <w:pPr>
              <w:spacing w:line="24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357" w:type="dxa"/>
            <w:gridSpan w:val="2"/>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循环风量：≥1400m</w:t>
            </w:r>
            <w:r>
              <w:rPr>
                <w:rFonts w:hint="eastAsia" w:ascii="仿宋" w:hAnsi="仿宋" w:eastAsia="仿宋" w:cs="仿宋"/>
                <w:bCs/>
                <w:color w:val="auto"/>
                <w:sz w:val="24"/>
                <w:szCs w:val="24"/>
                <w:vertAlign w:val="superscript"/>
              </w:rPr>
              <w:t>3</w:t>
            </w:r>
            <w:r>
              <w:rPr>
                <w:rFonts w:hint="eastAsia" w:ascii="仿宋" w:hAnsi="仿宋" w:eastAsia="仿宋" w:cs="仿宋"/>
                <w:bCs/>
                <w:color w:val="auto"/>
                <w:sz w:val="24"/>
                <w:szCs w:val="24"/>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适用体积：≤150m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消毒效果：≤106cfu/m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自然菌杀灭率：≥94％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白色葡萄球菌杀灭率：≥99.9％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空气消毒的臭氧量：≤0.003 mg/m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负离子释放量：≥6×10</w:t>
            </w:r>
            <w:r>
              <w:rPr>
                <w:rFonts w:hint="eastAsia" w:ascii="仿宋" w:hAnsi="仿宋" w:eastAsia="仿宋" w:cs="仿宋"/>
                <w:bCs/>
                <w:color w:val="auto"/>
                <w:sz w:val="24"/>
                <w:szCs w:val="24"/>
                <w:vertAlign w:val="superscript"/>
              </w:rPr>
              <w:t>6</w:t>
            </w:r>
            <w:r>
              <w:rPr>
                <w:rFonts w:hint="eastAsia" w:ascii="仿宋" w:hAnsi="仿宋" w:eastAsia="仿宋" w:cs="仿宋"/>
                <w:bCs/>
                <w:color w:val="auto"/>
                <w:sz w:val="24"/>
                <w:szCs w:val="24"/>
              </w:rPr>
              <w:t>个/cm</w:t>
            </w:r>
            <w:r>
              <w:rPr>
                <w:rFonts w:hint="eastAsia" w:ascii="仿宋" w:hAnsi="仿宋" w:eastAsia="仿宋" w:cs="仿宋"/>
                <w:bCs/>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噪音：≤50db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19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8167"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bCs/>
                <w:color w:val="auto"/>
                <w:sz w:val="24"/>
                <w:szCs w:val="24"/>
              </w:rPr>
              <w:t>尺寸：≤</w:t>
            </w:r>
            <w:r>
              <w:rPr>
                <w:rFonts w:hint="eastAsia" w:ascii="仿宋" w:hAnsi="仿宋" w:eastAsia="仿宋" w:cs="仿宋"/>
                <w:color w:val="auto"/>
                <w:sz w:val="24"/>
                <w:szCs w:val="24"/>
              </w:rPr>
              <w:t>670×770×345mm，±15mm</w:t>
            </w:r>
          </w:p>
        </w:tc>
      </w:tr>
    </w:tbl>
    <w:p>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紫外线消毒车</w:t>
      </w:r>
    </w:p>
    <w:tbl>
      <w:tblPr>
        <w:tblStyle w:val="63"/>
        <w:tblW w:w="9190"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 w:hRule="atLeast"/>
        </w:trPr>
        <w:tc>
          <w:tcPr>
            <w:tcW w:w="9190" w:type="dxa"/>
            <w:gridSpan w:val="2"/>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一、用途：临床等病房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90" w:type="dxa"/>
            <w:gridSpan w:val="2"/>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杀菌灯紫外线光照强度大，寿命长，光衰小。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产品能杀灭甲型H1N1、SARS病毒、流感病毒、乙型肝炎、大肠杆菌和其他传染类病菌(特别是通过空气传播的病菌)。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定时功能，消毒车在规定时间内自动停止工作，消毒时间自由设定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功率可扩展，备有两支30W灯管接口，自由选择打开一支或两支灯管带360度车轮，便于移动。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2.5</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灯管可折叠，可调整角度：0-180度任意可调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190" w:type="dxa"/>
            <w:gridSpan w:val="2"/>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紫外线灯管功率：30W×2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8070" w:type="dxa"/>
            <w:vAlign w:val="center"/>
          </w:tcPr>
          <w:p>
            <w:pPr>
              <w:spacing w:line="2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辐射紫外线波长：250-280nm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紫外线辐射强度：≥70uw/cm</w:t>
            </w:r>
            <w:r>
              <w:rPr>
                <w:rFonts w:hint="eastAsia" w:ascii="仿宋" w:hAnsi="仿宋" w:eastAsia="仿宋" w:cs="仿宋"/>
                <w:color w:val="auto"/>
                <w:sz w:val="24"/>
                <w:szCs w:val="24"/>
                <w:vertAlign w:val="superscript"/>
              </w:rPr>
              <w:t>2</w:t>
            </w:r>
            <w:r>
              <w:rPr>
                <w:rFonts w:hint="eastAsia" w:ascii="仿宋" w:hAnsi="仿宋" w:eastAsia="仿宋" w:cs="仿宋"/>
                <w:bCs/>
                <w:color w:val="auto"/>
                <w:sz w:val="24"/>
                <w:szCs w:val="24"/>
              </w:rPr>
              <w:t>（提供CMA检测报告）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807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消毒效果：</w:t>
            </w:r>
          </w:p>
          <w:p>
            <w:pPr>
              <w:rPr>
                <w:rFonts w:hint="eastAsia" w:ascii="仿宋" w:hAnsi="仿宋" w:eastAsia="仿宋" w:cs="仿宋"/>
                <w:color w:val="auto"/>
                <w:sz w:val="24"/>
                <w:szCs w:val="24"/>
              </w:rPr>
            </w:pPr>
            <w:r>
              <w:rPr>
                <w:rFonts w:hint="eastAsia" w:ascii="仿宋" w:hAnsi="仿宋" w:eastAsia="仿宋" w:cs="仿宋"/>
                <w:color w:val="auto"/>
                <w:sz w:val="24"/>
                <w:szCs w:val="24"/>
              </w:rPr>
              <w:t>大肠杆菌杀灭对数值均&gt;3.00、</w:t>
            </w:r>
          </w:p>
          <w:p>
            <w:pPr>
              <w:rPr>
                <w:rFonts w:hint="eastAsia" w:ascii="仿宋" w:hAnsi="仿宋" w:eastAsia="仿宋" w:cs="仿宋"/>
                <w:color w:val="auto"/>
                <w:sz w:val="24"/>
                <w:szCs w:val="24"/>
              </w:rPr>
            </w:pPr>
            <w:r>
              <w:rPr>
                <w:rFonts w:hint="eastAsia" w:ascii="仿宋" w:hAnsi="仿宋" w:eastAsia="仿宋" w:cs="仿宋"/>
                <w:color w:val="auto"/>
                <w:sz w:val="24"/>
                <w:szCs w:val="24"/>
              </w:rPr>
              <w:t>白色念珠菌杀灭对数值均&gt;3.00</w:t>
            </w:r>
          </w:p>
          <w:p>
            <w:pPr>
              <w:rPr>
                <w:rFonts w:hint="eastAsia" w:ascii="仿宋" w:hAnsi="仿宋" w:eastAsia="仿宋" w:cs="仿宋"/>
                <w:color w:val="auto"/>
                <w:sz w:val="24"/>
                <w:szCs w:val="24"/>
              </w:rPr>
            </w:pPr>
            <w:r>
              <w:rPr>
                <w:rFonts w:hint="eastAsia" w:ascii="仿宋" w:hAnsi="仿宋" w:eastAsia="仿宋" w:cs="仿宋"/>
                <w:color w:val="auto"/>
                <w:sz w:val="24"/>
                <w:szCs w:val="24"/>
              </w:rPr>
              <w:t>铜绿假单胞菌杀灭对数值均&gt;3.00、</w:t>
            </w:r>
          </w:p>
          <w:p>
            <w:pPr>
              <w:rPr>
                <w:rFonts w:hint="eastAsia" w:ascii="仿宋" w:hAnsi="仿宋" w:eastAsia="仿宋" w:cs="仿宋"/>
                <w:color w:val="auto"/>
                <w:sz w:val="24"/>
                <w:szCs w:val="24"/>
              </w:rPr>
            </w:pPr>
            <w:r>
              <w:rPr>
                <w:rFonts w:hint="eastAsia" w:ascii="仿宋" w:hAnsi="仿宋" w:eastAsia="仿宋" w:cs="仿宋"/>
                <w:color w:val="auto"/>
                <w:sz w:val="24"/>
                <w:szCs w:val="24"/>
              </w:rPr>
              <w:t>金黄色葡萄球菌杀灭对数值均&gt;3.00、</w:t>
            </w:r>
          </w:p>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物表表面自然菌的平均杀灭对数值&gt;1.00，</w:t>
            </w:r>
            <w:r>
              <w:rPr>
                <w:rFonts w:hint="eastAsia" w:ascii="仿宋" w:hAnsi="仿宋" w:eastAsia="仿宋" w:cs="仿宋"/>
                <w:bCs/>
                <w:color w:val="auto"/>
                <w:sz w:val="24"/>
                <w:szCs w:val="24"/>
              </w:rPr>
              <w:t>（提供CMA检测报告）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0" w:type="dxa"/>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8070" w:type="dxa"/>
            <w:vAlign w:val="center"/>
          </w:tcPr>
          <w:p>
            <w:pPr>
              <w:spacing w:line="240" w:lineRule="exact"/>
              <w:rPr>
                <w:rFonts w:hint="eastAsia" w:ascii="仿宋" w:hAnsi="仿宋" w:eastAsia="仿宋" w:cs="仿宋"/>
                <w:color w:val="auto"/>
                <w:sz w:val="24"/>
                <w:szCs w:val="24"/>
              </w:rPr>
            </w:pPr>
            <w:r>
              <w:rPr>
                <w:rFonts w:hint="eastAsia" w:ascii="仿宋" w:hAnsi="仿宋" w:eastAsia="仿宋" w:cs="仿宋"/>
                <w:color w:val="auto"/>
                <w:sz w:val="24"/>
                <w:szCs w:val="24"/>
              </w:rPr>
              <w:t>消毒时间自控范围：0-120分钟使用</w:t>
            </w:r>
          </w:p>
        </w:tc>
      </w:tr>
    </w:tbl>
    <w:p>
      <w:pPr>
        <w:spacing w:before="156" w:beforeLines="50" w:after="156" w:afterLines="5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床单位消毒器</w:t>
      </w:r>
    </w:p>
    <w:tbl>
      <w:tblPr>
        <w:tblStyle w:val="63"/>
        <w:tblW w:w="9180" w:type="dxa"/>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0"/>
        <w:gridCol w:w="7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一、用途：病床消毒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9180" w:type="dxa"/>
            <w:gridSpan w:val="2"/>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2.1</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外形为：移动式。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2.2</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额定功率：≤300W。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2.3</w:t>
            </w:r>
          </w:p>
        </w:tc>
        <w:tc>
          <w:tcPr>
            <w:tcW w:w="7980" w:type="dxa"/>
            <w:vAlign w:val="center"/>
          </w:tcPr>
          <w:p>
            <w:pPr>
              <w:rPr>
                <w:rFonts w:hint="eastAsia" w:ascii="仿宋" w:hAnsi="仿宋" w:eastAsia="仿宋" w:cs="仿宋"/>
                <w:bCs/>
                <w:color w:val="auto"/>
                <w:sz w:val="24"/>
                <w:szCs w:val="24"/>
              </w:rPr>
            </w:pPr>
            <w:r>
              <w:rPr>
                <w:rFonts w:hint="eastAsia" w:ascii="仿宋" w:hAnsi="仿宋" w:eastAsia="仿宋" w:cs="仿宋"/>
                <w:color w:val="auto"/>
                <w:sz w:val="24"/>
                <w:szCs w:val="24"/>
              </w:rPr>
              <w:t>产品金属外壳，防阻燃功能。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color w:val="auto"/>
                <w:sz w:val="24"/>
                <w:szCs w:val="24"/>
              </w:rPr>
              <w:t>2.4</w:t>
            </w:r>
          </w:p>
        </w:tc>
        <w:tc>
          <w:tcPr>
            <w:tcW w:w="7980" w:type="dxa"/>
            <w:vAlign w:val="center"/>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显示屏：液晶触摸屏，中文显示。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rPr>
              <w:t>可对单床位进行消毒，也可同时对相邻两张病床进行消毒。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具有抽气功能。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具有解析还原剩余臭氧的功能，消毒完成后，消毒袋内的剩余臭氧还原成氧气再排入室内。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2.8</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一键开机，自动完成抽真空-充臭氧-消毒-解析-消毒完毕，完成消毒后自动报警，并自动关机。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2.9</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抽气时间、充臭氧时间、消毒时间、解析时间均可1-120分钟可调。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9180" w:type="dxa"/>
            <w:gridSpan w:val="2"/>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200"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▲3.1</w:t>
            </w:r>
          </w:p>
        </w:tc>
        <w:tc>
          <w:tcPr>
            <w:tcW w:w="7980"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臭氧浓度：≥1600mg/ m³,；</w:t>
            </w:r>
          </w:p>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AB口输出臭氧浓度&gt;2800mg/m³；</w:t>
            </w:r>
          </w:p>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臭氧产量：≥5000mg/H，消毒器工作时臭氧泄露量≤0.06mg/ m³。（提供CMA检测报告）</w:t>
            </w:r>
          </w:p>
        </w:tc>
      </w:tr>
    </w:tbl>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过氧化氢消毒器</w:t>
      </w:r>
    </w:p>
    <w:tbl>
      <w:tblPr>
        <w:tblStyle w:val="63"/>
        <w:tblW w:w="9160"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7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60" w:type="dxa"/>
            <w:gridSpan w:val="2"/>
            <w:vAlign w:val="center"/>
          </w:tcPr>
          <w:p>
            <w:pPr>
              <w:jc w:val="left"/>
              <w:rPr>
                <w:rFonts w:hint="eastAsia" w:ascii="仿宋" w:hAnsi="仿宋" w:eastAsia="仿宋" w:cs="仿宋"/>
                <w:color w:val="auto"/>
                <w:sz w:val="24"/>
                <w:szCs w:val="24"/>
              </w:rPr>
            </w:pPr>
            <w:r>
              <w:rPr>
                <w:rFonts w:hint="eastAsia" w:ascii="仿宋" w:hAnsi="仿宋" w:eastAsia="仿宋" w:cs="仿宋"/>
                <w:bCs/>
                <w:color w:val="auto"/>
                <w:sz w:val="24"/>
                <w:szCs w:val="24"/>
              </w:rPr>
              <w:t>一、医疗卫生机构中对重症监护室、隔离病房等特定空间内的空气和物表进行彻底的消毒，具有安全可靠，智能化程度高，使用方便等特点。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二、功能、特点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902" w:type="dxa"/>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适用范围：适用空气及物体表面消毒。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902" w:type="dxa"/>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外形为：移动式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902" w:type="dxa"/>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雾化方式：采用超低容量喷雾法进行消毒，在达到高水平消杀效果的同时，能耗更低，节约药液量。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902" w:type="dxa"/>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根据不同场景需求，可实现主动消杀（人机分离）和被动消杀（人机共存）。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0" w:type="dxa"/>
            <w:gridSpan w:val="2"/>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三、主要技术参数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7902" w:type="dxa"/>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消毒时间：可根据空间大小自定义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过氧化氢浓度：3.5%-5.0%±0.5(%，w/w)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3.3</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消毒液容积：≥4L，消毒空间：≥200m³。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3.4</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氢氧化氢的消耗量：≥4ml/m³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消毒时间：消毒灭菌时间：≥30min，根据空间大小自定义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记录方式：消毒完毕后，通过微电脑控制系统智能音频提示，可选择打印消毒数据，供使用单位签字、查验、长期储存及追溯。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高效降解无残留，对人员和环境友好，对物体无损伤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200m³内空气中自然菌平均消亡率＞99.90%。以上均符合《消毒技术规范》的评价规定要求。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能够杀灭细菌芽孢，符合卫生部对消毒器械高水平消毒要求，枯草杆菌黑色变种芽孢5代平均杀灭对数值≥3.0，符合《消毒技术规范》的评价规定要求。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7902"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提供消毒液检验报告、消毒效果检验报告、安全评价报告等证书。</w:t>
            </w:r>
          </w:p>
        </w:tc>
      </w:tr>
    </w:tbl>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其他要求：</w:t>
      </w:r>
    </w:p>
    <w:p>
      <w:pPr>
        <w:spacing w:line="4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1.保修期不少于3年（提供厂家及供应商盖章承诺），保修期内维修保养一年至少4次，并承担维修保养过程中产生的包含但不限于材料、人工等一切费用。</w:t>
      </w:r>
    </w:p>
    <w:p>
      <w:pPr>
        <w:snapToGrid w:val="0"/>
        <w:spacing w:line="4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2.质保期内出现故障，在收到采购人的电话后，对一般故障能在15分钟内响应，2小时内到达现场，4小时内解决问题，必要时提供备机，保证采购人的使用。</w:t>
      </w:r>
    </w:p>
    <w:p>
      <w:pPr>
        <w:widowControl/>
        <w:adjustRightInd/>
        <w:jc w:val="left"/>
        <w:rPr>
          <w:rFonts w:hint="eastAsia" w:ascii="仿宋" w:hAnsi="仿宋" w:eastAsia="仿宋" w:cs="仿宋"/>
          <w:b/>
          <w:color w:val="auto"/>
          <w:sz w:val="24"/>
          <w:szCs w:val="24"/>
        </w:rPr>
      </w:pPr>
      <w:r>
        <w:rPr>
          <w:rFonts w:hint="eastAsia" w:ascii="仿宋" w:hAnsi="仿宋" w:eastAsia="仿宋" w:cs="仿宋"/>
          <w:b/>
          <w:bCs/>
          <w:color w:val="auto"/>
          <w:sz w:val="24"/>
          <w:szCs w:val="24"/>
          <w:bdr w:val="single" w:color="auto" w:sz="4" w:space="0"/>
        </w:rPr>
        <w:t>0</w:t>
      </w:r>
      <w:r>
        <w:rPr>
          <w:rFonts w:hint="eastAsia" w:ascii="仿宋" w:hAnsi="仿宋" w:eastAsia="仿宋" w:cs="仿宋"/>
          <w:b/>
          <w:bCs/>
          <w:color w:val="auto"/>
          <w:sz w:val="24"/>
          <w:szCs w:val="24"/>
          <w:bdr w:val="single" w:color="auto" w:sz="4" w:space="0"/>
          <w:lang w:val="en-US" w:eastAsia="zh-CN"/>
        </w:rPr>
        <w:t>3</w:t>
      </w:r>
      <w:r>
        <w:rPr>
          <w:rFonts w:hint="eastAsia" w:ascii="仿宋" w:hAnsi="仿宋" w:eastAsia="仿宋" w:cs="仿宋"/>
          <w:b/>
          <w:bCs/>
          <w:color w:val="auto"/>
          <w:sz w:val="24"/>
          <w:szCs w:val="24"/>
          <w:bdr w:val="single" w:color="auto" w:sz="4" w:space="0"/>
        </w:rPr>
        <w:t>标</w:t>
      </w:r>
      <w:r>
        <w:rPr>
          <w:rFonts w:hint="eastAsia" w:ascii="仿宋" w:hAnsi="仿宋" w:eastAsia="仿宋" w:cs="仿宋"/>
          <w:b/>
          <w:color w:val="auto"/>
          <w:sz w:val="24"/>
          <w:szCs w:val="24"/>
        </w:rPr>
        <w:t>营养配置中心采购项目，金额85.58万</w:t>
      </w:r>
    </w:p>
    <w:p>
      <w:pPr>
        <w:spacing w:line="360"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一、采购清单：</w:t>
      </w:r>
    </w:p>
    <w:tbl>
      <w:tblPr>
        <w:tblStyle w:val="63"/>
        <w:tblW w:w="8551" w:type="dxa"/>
        <w:tblInd w:w="0" w:type="dxa"/>
        <w:tblLayout w:type="autofit"/>
        <w:tblCellMar>
          <w:top w:w="0" w:type="dxa"/>
          <w:left w:w="108" w:type="dxa"/>
          <w:bottom w:w="0" w:type="dxa"/>
          <w:right w:w="108" w:type="dxa"/>
        </w:tblCellMar>
      </w:tblPr>
      <w:tblGrid>
        <w:gridCol w:w="1597"/>
        <w:gridCol w:w="2829"/>
        <w:gridCol w:w="1597"/>
        <w:gridCol w:w="931"/>
        <w:gridCol w:w="1597"/>
      </w:tblGrid>
      <w:tr>
        <w:tblPrEx>
          <w:tblCellMar>
            <w:top w:w="0" w:type="dxa"/>
            <w:left w:w="108" w:type="dxa"/>
            <w:bottom w:w="0" w:type="dxa"/>
            <w:right w:w="108" w:type="dxa"/>
          </w:tblCellMar>
        </w:tblPrEx>
        <w:trPr>
          <w:trHeight w:val="263" w:hRule="atLeast"/>
        </w:trPr>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2829"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物资名称</w:t>
            </w:r>
          </w:p>
        </w:tc>
        <w:tc>
          <w:tcPr>
            <w:tcW w:w="1597"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931"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1597" w:type="dxa"/>
            <w:tcBorders>
              <w:top w:val="single" w:color="000000" w:sz="4" w:space="0"/>
              <w:left w:val="nil"/>
              <w:bottom w:val="single" w:color="000000" w:sz="4" w:space="0"/>
              <w:right w:val="single" w:color="000000" w:sz="4" w:space="0"/>
            </w:tcBorders>
            <w:shd w:val="clear" w:color="000000"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单价</w:t>
            </w:r>
          </w:p>
        </w:tc>
      </w:tr>
      <w:tr>
        <w:tblPrEx>
          <w:tblCellMar>
            <w:top w:w="0" w:type="dxa"/>
            <w:left w:w="108" w:type="dxa"/>
            <w:bottom w:w="0" w:type="dxa"/>
            <w:right w:w="108" w:type="dxa"/>
          </w:tblCellMar>
        </w:tblPrEx>
        <w:trPr>
          <w:trHeight w:val="538"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多功能自由配方粉末混合包装机（核心产品）</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全自动液体灌装机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恒温定量水机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7500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反渗透净水机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恒温摇床</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留样冰箱</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冷藏冰箱</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烘干消毒机</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食物电子秤</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144</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2829"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皮褶厚度计</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235</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电子握力计</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79</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烧杯</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28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玻棒</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r>
      <w:tr>
        <w:tblPrEx>
          <w:tblCellMar>
            <w:top w:w="0" w:type="dxa"/>
            <w:left w:w="108" w:type="dxa"/>
            <w:bottom w:w="0" w:type="dxa"/>
            <w:right w:w="108" w:type="dxa"/>
          </w:tblCellMar>
        </w:tblPrEx>
        <w:trPr>
          <w:trHeight w:val="263" w:hRule="atLeast"/>
        </w:trPr>
        <w:tc>
          <w:tcPr>
            <w:tcW w:w="159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28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不锈钢托盘</w:t>
            </w:r>
          </w:p>
        </w:tc>
        <w:tc>
          <w:tcPr>
            <w:tcW w:w="1597"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93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实验台</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13.7</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中央操作台</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延米</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282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全钢货架</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931"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59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3200</w:t>
            </w:r>
          </w:p>
        </w:tc>
      </w:tr>
      <w:tr>
        <w:tblPrEx>
          <w:tblCellMar>
            <w:top w:w="0" w:type="dxa"/>
            <w:left w:w="108" w:type="dxa"/>
            <w:bottom w:w="0" w:type="dxa"/>
            <w:right w:w="108" w:type="dxa"/>
          </w:tblCellMar>
        </w:tblPrEx>
        <w:trPr>
          <w:trHeight w:val="263" w:hRule="atLeast"/>
        </w:trPr>
        <w:tc>
          <w:tcPr>
            <w:tcW w:w="1597"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2829"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货柜</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931"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597" w:type="dxa"/>
            <w:tcBorders>
              <w:top w:val="nil"/>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4000</w:t>
            </w:r>
          </w:p>
        </w:tc>
      </w:tr>
    </w:tbl>
    <w:p>
      <w:pPr>
        <w:snapToGrid w:val="0"/>
        <w:spacing w:line="440" w:lineRule="exact"/>
        <w:jc w:val="center"/>
        <w:rPr>
          <w:rFonts w:hint="eastAsia" w:ascii="仿宋" w:hAnsi="仿宋" w:eastAsia="仿宋" w:cs="仿宋"/>
          <w:b/>
          <w:color w:val="auto"/>
          <w:sz w:val="24"/>
          <w:szCs w:val="24"/>
        </w:rPr>
      </w:pPr>
      <w:r>
        <w:rPr>
          <w:rFonts w:hint="eastAsia" w:ascii="仿宋" w:hAnsi="仿宋" w:eastAsia="仿宋" w:cs="仿宋"/>
          <w:color w:val="auto"/>
          <w:kern w:val="0"/>
          <w:sz w:val="24"/>
          <w:szCs w:val="24"/>
        </w:rPr>
        <w:t>多功能自由配方粉末混合包装机</w:t>
      </w:r>
    </w:p>
    <w:tbl>
      <w:tblPr>
        <w:tblStyle w:val="63"/>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用于肠内营养特医食品粉剂的个性化配置、包装</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由称重系统、分装模块、自动打印模块组成</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三</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主要功能与技术参数</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应用功能：料盒在配置范围内，可独立也可混合使用；储袋式实时喷码；可远程控制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color w:val="auto"/>
                <w:sz w:val="24"/>
                <w:szCs w:val="24"/>
              </w:rPr>
              <w:t>▲</w:t>
            </w:r>
            <w:r>
              <w:rPr>
                <w:rFonts w:hint="eastAsia" w:ascii="仿宋" w:hAnsi="仿宋" w:eastAsia="仿宋" w:cs="仿宋"/>
                <w:bCs/>
                <w:color w:val="auto"/>
                <w:sz w:val="24"/>
                <w:szCs w:val="24"/>
              </w:rPr>
              <w:t>3.2</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满足不同料仓的选择组合和实时混料更换，实现个性化配置的目标</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3.3</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配料数量≥5种</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配备自动补料仓≥2组，补料过程不需要停机</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配置速度调节范围：60-120份/小时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color w:val="auto"/>
                <w:sz w:val="24"/>
                <w:szCs w:val="24"/>
              </w:rPr>
              <w:t>分装类型：≥3种分装模式，储袋式分装模块带自动喷码功能，实时打印标签</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罐装范围：3-60g</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功率：≥1300W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tcPr>
          <w:p>
            <w:pPr>
              <w:rPr>
                <w:rFonts w:hint="eastAsia" w:ascii="仿宋" w:hAnsi="仿宋" w:eastAsia="仿宋" w:cs="仿宋"/>
                <w:color w:val="auto"/>
                <w:sz w:val="24"/>
                <w:szCs w:val="24"/>
              </w:rPr>
            </w:pPr>
          </w:p>
        </w:tc>
      </w:tr>
    </w:tbl>
    <w:p>
      <w:pPr>
        <w:snapToGrid w:val="0"/>
        <w:spacing w:line="560" w:lineRule="exact"/>
        <w:ind w:firstLine="360" w:firstLineChars="150"/>
        <w:jc w:val="center"/>
        <w:rPr>
          <w:rFonts w:hint="eastAsia" w:ascii="仿宋" w:hAnsi="仿宋" w:eastAsia="仿宋" w:cs="仿宋"/>
          <w:b/>
          <w:color w:val="auto"/>
          <w:sz w:val="24"/>
          <w:szCs w:val="24"/>
        </w:rPr>
      </w:pPr>
      <w:r>
        <w:rPr>
          <w:rFonts w:hint="eastAsia" w:ascii="仿宋" w:hAnsi="仿宋" w:eastAsia="仿宋" w:cs="仿宋"/>
          <w:bCs/>
          <w:color w:val="auto"/>
          <w:sz w:val="24"/>
          <w:szCs w:val="24"/>
        </w:rPr>
        <w:t>全自动液体灌装机</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用于肠内营养特医食品液体的个性化配置、包装</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主要配置</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高精准全自动称重放料系统、大容量混匀系统、自动清洗系统、上料和罐装系统组成</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三</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主要功能与技术参数</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7141" w:type="dxa"/>
          </w:tcPr>
          <w:p>
            <w:pPr>
              <w:rPr>
                <w:rFonts w:hint="eastAsia" w:ascii="仿宋" w:hAnsi="仿宋" w:eastAsia="仿宋" w:cs="仿宋"/>
                <w:b/>
                <w:color w:val="auto"/>
                <w:sz w:val="24"/>
                <w:szCs w:val="24"/>
              </w:rPr>
            </w:pPr>
            <w:r>
              <w:rPr>
                <w:rFonts w:hint="eastAsia" w:ascii="仿宋" w:hAnsi="仿宋" w:eastAsia="仿宋" w:cs="仿宋"/>
                <w:bCs/>
                <w:color w:val="auto"/>
                <w:sz w:val="24"/>
                <w:szCs w:val="24"/>
              </w:rPr>
              <w:t>应用功能：料盒在配置范围内，可独立也可混合使用</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3.2</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放料仓≥2组</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3.3</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配置速度调节范围：60-150袋/小时</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3.4</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分装范围：50m-500ml</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3.5</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全封闭非接触配置环境，</w:t>
            </w:r>
            <w:r>
              <w:rPr>
                <w:rFonts w:hint="eastAsia" w:ascii="仿宋" w:hAnsi="仿宋" w:eastAsia="仿宋" w:cs="仿宋"/>
                <w:bCs/>
                <w:color w:val="auto"/>
                <w:sz w:val="24"/>
                <w:szCs w:val="24"/>
              </w:rPr>
              <w:t>一键式全自动完成</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3.6</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配置自动送袋、上盖、旋盖机构，保证系统高效稳定运行</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3.7</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材质：不锈钢喷塑，料盒食品级PP</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3.8</w:t>
            </w:r>
          </w:p>
        </w:tc>
        <w:tc>
          <w:tcPr>
            <w:tcW w:w="7141" w:type="dxa"/>
            <w:vAlign w:val="center"/>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功率：≥1600W</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3.9</w:t>
            </w:r>
          </w:p>
        </w:tc>
        <w:tc>
          <w:tcPr>
            <w:tcW w:w="7141" w:type="dxa"/>
            <w:vAlign w:val="center"/>
          </w:tcPr>
          <w:p>
            <w:pPr>
              <w:jc w:val="left"/>
              <w:rPr>
                <w:rFonts w:hint="eastAsia" w:ascii="仿宋" w:hAnsi="仿宋" w:eastAsia="仿宋" w:cs="仿宋"/>
                <w:b/>
                <w:color w:val="auto"/>
                <w:sz w:val="24"/>
                <w:szCs w:val="24"/>
              </w:rPr>
            </w:pPr>
            <w:r>
              <w:rPr>
                <w:rFonts w:hint="eastAsia" w:ascii="仿宋" w:hAnsi="仿宋" w:eastAsia="仿宋" w:cs="仿宋"/>
                <w:bCs/>
                <w:color w:val="auto"/>
                <w:sz w:val="24"/>
                <w:szCs w:val="24"/>
              </w:rPr>
              <w:t>上料、罐装系统均可自主拆卸清洗、消毒</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4.0</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sz w:val="24"/>
                <w:szCs w:val="24"/>
              </w:rPr>
              <w:t>提供免费接口供其它系统使用及认证，并承担与软件相关的智能点餐系统等相关医院信息系统接口费用。</w:t>
            </w:r>
          </w:p>
        </w:tc>
        <w:tc>
          <w:tcPr>
            <w:tcW w:w="709"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color w:val="auto"/>
          <w:sz w:val="24"/>
          <w:szCs w:val="24"/>
        </w:rPr>
      </w:pPr>
    </w:p>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恒温摇床</w:t>
      </w:r>
    </w:p>
    <w:tbl>
      <w:tblPr>
        <w:tblStyle w:val="63"/>
        <w:tblW w:w="8643"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14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141" w:type="dxa"/>
            <w:vAlign w:val="center"/>
          </w:tcPr>
          <w:p>
            <w:pPr>
              <w:jc w:val="left"/>
              <w:rPr>
                <w:rFonts w:hint="eastAsia" w:ascii="仿宋" w:hAnsi="仿宋" w:eastAsia="仿宋" w:cs="仿宋"/>
                <w:bCs/>
                <w:color w:val="auto"/>
                <w:sz w:val="24"/>
                <w:szCs w:val="24"/>
              </w:rPr>
            </w:pPr>
            <w:r>
              <w:rPr>
                <w:rFonts w:hint="eastAsia" w:ascii="仿宋" w:hAnsi="仿宋" w:eastAsia="仿宋" w:cs="仿宋"/>
                <w:color w:val="auto"/>
                <w:sz w:val="24"/>
                <w:szCs w:val="24"/>
              </w:rPr>
              <w:t>用于对温度和振荡频率有较高要求的摇匀装置</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141"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振荡</w:t>
            </w:r>
            <w:r>
              <w:rPr>
                <w:rFonts w:hint="eastAsia" w:ascii="仿宋" w:hAnsi="仿宋" w:eastAsia="仿宋" w:cs="仿宋"/>
                <w:color w:val="auto"/>
                <w:kern w:val="0"/>
                <w:sz w:val="24"/>
                <w:szCs w:val="24"/>
              </w:rPr>
              <w:t>频率：40～250rpm</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输入功率：≥450W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141" w:type="dxa"/>
          </w:tcPr>
          <w:p>
            <w:pPr>
              <w:rPr>
                <w:rFonts w:hint="eastAsia" w:ascii="仿宋" w:hAnsi="仿宋" w:eastAsia="仿宋" w:cs="仿宋"/>
                <w:color w:val="auto"/>
                <w:sz w:val="24"/>
                <w:szCs w:val="24"/>
              </w:rPr>
            </w:pPr>
            <w:r>
              <w:rPr>
                <w:rFonts w:hint="eastAsia" w:ascii="仿宋" w:hAnsi="仿宋" w:eastAsia="仿宋" w:cs="仿宋"/>
                <w:color w:val="auto"/>
                <w:kern w:val="0"/>
                <w:sz w:val="24"/>
                <w:szCs w:val="24"/>
              </w:rPr>
              <w:t>控制器：液晶控制器</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振幅：15-23mm</w:t>
            </w:r>
          </w:p>
        </w:tc>
        <w:tc>
          <w:tcPr>
            <w:tcW w:w="709" w:type="dxa"/>
          </w:tcPr>
          <w:p>
            <w:pPr>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标准配置：万能弹簧夹</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141" w:type="dxa"/>
            <w:vAlign w:val="center"/>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控温范围：RT+5～65℃</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2.8</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温度分辨率：≤0.1℃</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2.9</w:t>
            </w:r>
          </w:p>
        </w:tc>
        <w:tc>
          <w:tcPr>
            <w:tcW w:w="7141"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定时范围：0-5999min</w:t>
            </w:r>
          </w:p>
        </w:tc>
        <w:tc>
          <w:tcPr>
            <w:tcW w:w="709"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color w:val="auto"/>
          <w:sz w:val="24"/>
          <w:szCs w:val="24"/>
        </w:rPr>
      </w:pP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恒温定量水机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恒温、定量水</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功能与主要技术参数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水箱容量：≥1L</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93" w:type="dxa"/>
            <w:vAlign w:val="center"/>
          </w:tcPr>
          <w:p>
            <w:pPr>
              <w:spacing w:line="4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spacing w:line="460" w:lineRule="exact"/>
              <w:rPr>
                <w:rFonts w:hint="eastAsia" w:ascii="仿宋" w:hAnsi="仿宋" w:eastAsia="仿宋" w:cs="仿宋"/>
                <w:color w:val="auto"/>
                <w:sz w:val="24"/>
                <w:szCs w:val="24"/>
              </w:rPr>
            </w:pPr>
            <w:r>
              <w:rPr>
                <w:rFonts w:hint="eastAsia" w:ascii="仿宋" w:hAnsi="仿宋" w:eastAsia="仿宋" w:cs="仿宋"/>
                <w:color w:val="auto"/>
                <w:sz w:val="24"/>
                <w:szCs w:val="24"/>
              </w:rPr>
              <w:t>功率：≥2200W</w:t>
            </w:r>
          </w:p>
        </w:tc>
        <w:tc>
          <w:tcPr>
            <w:tcW w:w="709" w:type="dxa"/>
          </w:tcPr>
          <w:p>
            <w:pPr>
              <w:spacing w:line="460" w:lineRule="exact"/>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pPr>
              <w:rPr>
                <w:rFonts w:hint="eastAsia" w:ascii="仿宋" w:hAnsi="仿宋" w:eastAsia="仿宋" w:cs="仿宋"/>
                <w:color w:val="auto"/>
                <w:sz w:val="24"/>
                <w:szCs w:val="24"/>
              </w:rPr>
            </w:pPr>
            <w:r>
              <w:rPr>
                <w:rFonts w:hint="eastAsia" w:ascii="仿宋" w:hAnsi="仿宋" w:eastAsia="仿宋" w:cs="仿宋"/>
                <w:bCs/>
                <w:color w:val="auto"/>
                <w:sz w:val="24"/>
                <w:szCs w:val="24"/>
              </w:rPr>
              <w:t>取水量：150-300ml</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热水能力：≥30L/H沸水</w:t>
            </w:r>
          </w:p>
        </w:tc>
        <w:tc>
          <w:tcPr>
            <w:tcW w:w="709" w:type="dxa"/>
            <w:vAlign w:val="center"/>
          </w:tcPr>
          <w:p>
            <w:pPr>
              <w:jc w:val="left"/>
              <w:rPr>
                <w:rFonts w:hint="eastAsia" w:ascii="仿宋" w:hAnsi="仿宋" w:eastAsia="仿宋" w:cs="仿宋"/>
                <w:b/>
                <w:color w:val="auto"/>
                <w:sz w:val="24"/>
                <w:szCs w:val="24"/>
              </w:rPr>
            </w:pPr>
          </w:p>
        </w:tc>
      </w:tr>
    </w:tbl>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反渗透净水机</w:t>
      </w:r>
    </w:p>
    <w:tbl>
      <w:tblPr>
        <w:tblStyle w:val="63"/>
        <w:tblW w:w="9107" w:type="dxa"/>
        <w:tblInd w:w="-4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09"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净水机</w:t>
            </w:r>
          </w:p>
        </w:tc>
        <w:tc>
          <w:tcPr>
            <w:tcW w:w="709"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09"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功率：≥96W</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水箱容量:20G碳钢压力桶</w:t>
            </w:r>
          </w:p>
        </w:tc>
        <w:tc>
          <w:tcPr>
            <w:tcW w:w="709"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2.3</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过滤方式：内置20碳钢压力桶，20寸三级滤瓶，400G反渗透膜*2,大T后置活性炭</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进水压力：0.15-0.3MPa</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使用环境：5~40℃</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供水量：≥120L/H</w:t>
            </w:r>
          </w:p>
        </w:tc>
        <w:tc>
          <w:tcPr>
            <w:tcW w:w="709"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反渗透后水质达到生活饮用水标准，提供第三方检测报告</w:t>
            </w:r>
          </w:p>
        </w:tc>
        <w:tc>
          <w:tcPr>
            <w:tcW w:w="709" w:type="dxa"/>
            <w:vAlign w:val="center"/>
          </w:tcPr>
          <w:p>
            <w:pPr>
              <w:jc w:val="left"/>
              <w:rPr>
                <w:rFonts w:hint="eastAsia" w:ascii="仿宋" w:hAnsi="仿宋" w:eastAsia="仿宋" w:cs="仿宋"/>
                <w:b/>
                <w:color w:val="auto"/>
                <w:sz w:val="24"/>
                <w:szCs w:val="24"/>
              </w:rPr>
            </w:pPr>
          </w:p>
        </w:tc>
      </w:tr>
    </w:tbl>
    <w:p>
      <w:pPr>
        <w:spacing w:line="52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烘干消毒机</w:t>
      </w:r>
    </w:p>
    <w:tbl>
      <w:tblPr>
        <w:tblStyle w:val="63"/>
        <w:tblW w:w="9276" w:type="dxa"/>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05"/>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60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78"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605"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烘干消毒</w:t>
            </w:r>
          </w:p>
        </w:tc>
        <w:tc>
          <w:tcPr>
            <w:tcW w:w="878"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605"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78"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功率：≥1800W</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操作方式：触控数显</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605"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容量：≥900L</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消毒温度：45~70℃</w:t>
            </w:r>
          </w:p>
        </w:tc>
        <w:tc>
          <w:tcPr>
            <w:tcW w:w="878"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2.5</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消毒方式：负离子+双热风烘干+紫外线</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层架材质：无磁不锈钢</w:t>
            </w:r>
          </w:p>
        </w:tc>
        <w:tc>
          <w:tcPr>
            <w:tcW w:w="878"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605"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78" w:type="dxa"/>
            <w:vAlign w:val="center"/>
          </w:tcPr>
          <w:p>
            <w:pPr>
              <w:jc w:val="left"/>
              <w:rPr>
                <w:rFonts w:hint="eastAsia" w:ascii="仿宋" w:hAnsi="仿宋" w:eastAsia="仿宋" w:cs="仿宋"/>
                <w:b/>
                <w:color w:val="auto"/>
                <w:sz w:val="24"/>
                <w:szCs w:val="24"/>
              </w:rPr>
            </w:pPr>
          </w:p>
        </w:tc>
      </w:tr>
    </w:tbl>
    <w:p>
      <w:pPr>
        <w:pStyle w:val="327"/>
        <w:ind w:firstLine="0"/>
        <w:rPr>
          <w:rFonts w:hint="eastAsia" w:ascii="仿宋" w:hAnsi="仿宋" w:eastAsia="仿宋" w:cs="仿宋"/>
          <w:color w:val="auto"/>
          <w:sz w:val="24"/>
          <w:szCs w:val="24"/>
        </w:rPr>
      </w:pPr>
    </w:p>
    <w:tbl>
      <w:tblPr>
        <w:tblStyle w:val="63"/>
        <w:tblpPr w:leftFromText="180" w:rightFromText="180" w:vertAnchor="text" w:horzAnchor="margin" w:tblpXSpec="center" w:tblpY="433"/>
        <w:tblW w:w="8676"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638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6384"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795"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一</w:t>
            </w:r>
          </w:p>
        </w:tc>
        <w:tc>
          <w:tcPr>
            <w:tcW w:w="6384"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6384"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w:t>
            </w:r>
          </w:p>
        </w:tc>
        <w:tc>
          <w:tcPr>
            <w:tcW w:w="795"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二</w:t>
            </w:r>
          </w:p>
        </w:tc>
        <w:tc>
          <w:tcPr>
            <w:tcW w:w="6384"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795"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电源：</w:t>
            </w:r>
            <w:r>
              <w:rPr>
                <w:rFonts w:hint="eastAsia" w:ascii="仿宋" w:hAnsi="仿宋" w:eastAsia="仿宋" w:cs="仿宋"/>
                <w:color w:val="auto"/>
                <w:kern w:val="0"/>
                <w:sz w:val="24"/>
                <w:szCs w:val="24"/>
              </w:rPr>
              <w:t>220V 50Hz</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6384"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795"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2.4</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温度范围：2-20℃</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795"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7"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6384"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795" w:type="dxa"/>
            <w:vAlign w:val="center"/>
          </w:tcPr>
          <w:p>
            <w:pPr>
              <w:jc w:val="left"/>
              <w:rPr>
                <w:rFonts w:hint="eastAsia" w:ascii="仿宋" w:hAnsi="仿宋" w:eastAsia="仿宋" w:cs="仿宋"/>
                <w:b/>
                <w:color w:val="auto"/>
                <w:sz w:val="24"/>
                <w:szCs w:val="24"/>
              </w:rPr>
            </w:pPr>
          </w:p>
        </w:tc>
      </w:tr>
    </w:tbl>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冷藏冰箱</w:t>
      </w:r>
    </w:p>
    <w:p>
      <w:pPr>
        <w:spacing w:line="240" w:lineRule="exact"/>
        <w:rPr>
          <w:rFonts w:hint="eastAsia" w:ascii="仿宋" w:hAnsi="仿宋" w:eastAsia="仿宋" w:cs="仿宋"/>
          <w:color w:val="auto"/>
          <w:sz w:val="24"/>
          <w:szCs w:val="24"/>
        </w:rPr>
      </w:pPr>
    </w:p>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留样冰箱</w:t>
      </w:r>
    </w:p>
    <w:tbl>
      <w:tblPr>
        <w:tblStyle w:val="63"/>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283"/>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7283"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技术规格、要求</w:t>
            </w:r>
          </w:p>
        </w:tc>
        <w:tc>
          <w:tcPr>
            <w:tcW w:w="821" w:type="dxa"/>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一</w:t>
            </w:r>
          </w:p>
        </w:tc>
        <w:tc>
          <w:tcPr>
            <w:tcW w:w="7283"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设备用途</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1.1</w:t>
            </w:r>
          </w:p>
        </w:tc>
        <w:tc>
          <w:tcPr>
            <w:tcW w:w="7283" w:type="dxa"/>
            <w:vAlign w:val="center"/>
          </w:tcPr>
          <w:p>
            <w:pPr>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冷藏、阴凉</w:t>
            </w:r>
          </w:p>
        </w:tc>
        <w:tc>
          <w:tcPr>
            <w:tcW w:w="821" w:type="dxa"/>
            <w:vAlign w:val="center"/>
          </w:tcPr>
          <w:p>
            <w:pPr>
              <w:jc w:val="left"/>
              <w:rPr>
                <w:rFonts w:hint="eastAsia" w:ascii="仿宋" w:hAnsi="仿宋" w:eastAsia="仿宋" w:cs="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二</w:t>
            </w:r>
          </w:p>
        </w:tc>
        <w:tc>
          <w:tcPr>
            <w:tcW w:w="7283" w:type="dxa"/>
          </w:tcPr>
          <w:p>
            <w:pPr>
              <w:rPr>
                <w:rFonts w:hint="eastAsia" w:ascii="仿宋" w:hAnsi="仿宋" w:eastAsia="仿宋" w:cs="仿宋"/>
                <w:bCs/>
                <w:color w:val="auto"/>
                <w:sz w:val="24"/>
                <w:szCs w:val="24"/>
              </w:rPr>
            </w:pPr>
            <w:r>
              <w:rPr>
                <w:rFonts w:hint="eastAsia" w:ascii="仿宋" w:hAnsi="仿宋" w:eastAsia="仿宋" w:cs="仿宋"/>
                <w:bCs/>
                <w:color w:val="auto"/>
                <w:sz w:val="24"/>
                <w:szCs w:val="24"/>
              </w:rPr>
              <w:t>主要技术参数</w:t>
            </w:r>
          </w:p>
        </w:tc>
        <w:tc>
          <w:tcPr>
            <w:tcW w:w="821" w:type="dxa"/>
          </w:tcPr>
          <w:p>
            <w:pPr>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容量：≥800L</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制冷方式：风冷</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2.3</w:t>
            </w:r>
          </w:p>
        </w:tc>
        <w:tc>
          <w:tcPr>
            <w:tcW w:w="7283"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箱体结构：双门上机</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温度范围：冷藏2-8℃，阴凉8-20℃</w:t>
            </w:r>
          </w:p>
        </w:tc>
        <w:tc>
          <w:tcPr>
            <w:tcW w:w="821" w:type="dxa"/>
          </w:tcPr>
          <w:p>
            <w:pP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2.5</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能效等级≥2级</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2.6</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制冷机管路：脱脂铜管；</w:t>
            </w:r>
          </w:p>
        </w:tc>
        <w:tc>
          <w:tcPr>
            <w:tcW w:w="821" w:type="dxa"/>
            <w:vAlign w:val="center"/>
          </w:tcPr>
          <w:p>
            <w:pPr>
              <w:jc w:val="left"/>
              <w:rPr>
                <w:rFonts w:hint="eastAsia" w:ascii="仿宋" w:hAnsi="仿宋" w:eastAsia="仿宋" w:cs="仿宋"/>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93" w:type="dxa"/>
            <w:vAlign w:val="center"/>
          </w:tcPr>
          <w:p>
            <w:pPr>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2.7</w:t>
            </w:r>
          </w:p>
        </w:tc>
        <w:tc>
          <w:tcPr>
            <w:tcW w:w="7283" w:type="dxa"/>
          </w:tcPr>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质保期按国家三包规定执行</w:t>
            </w:r>
          </w:p>
        </w:tc>
        <w:tc>
          <w:tcPr>
            <w:tcW w:w="821" w:type="dxa"/>
            <w:vAlign w:val="center"/>
          </w:tcPr>
          <w:p>
            <w:pPr>
              <w:jc w:val="left"/>
              <w:rPr>
                <w:rFonts w:hint="eastAsia" w:ascii="仿宋" w:hAnsi="仿宋" w:eastAsia="仿宋" w:cs="仿宋"/>
                <w:b/>
                <w:color w:val="auto"/>
                <w:sz w:val="24"/>
                <w:szCs w:val="24"/>
              </w:rPr>
            </w:pPr>
          </w:p>
        </w:tc>
      </w:tr>
    </w:tbl>
    <w:p>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9-18主要参数及规格</w:t>
      </w:r>
    </w:p>
    <w:tbl>
      <w:tblPr>
        <w:tblStyle w:val="64"/>
        <w:tblW w:w="8897"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20"/>
        <w:gridCol w:w="790"/>
        <w:gridCol w:w="5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食物电子秤</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1kg，精度0.1g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皮褶厚度计</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测量范围：0-60mm；精度0.2mm；误差±0.5mm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电子握力计</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拉力≤180KG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烧杯</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500ml，玻璃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玻棒</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根</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20cm，玻璃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不锈钢托盘</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3040不锈钢，11-12寸，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实验台边台</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中央操作台</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延米</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定制：1.0mm冷轧钢板，防静电环氧树脂喷涂，理化板台面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全钢货架</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定制：2.0mm冷轧钢板，环氧树脂喷涂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0" w:type="dxa"/>
            <w:noWrap/>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142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货柜</w:t>
            </w:r>
          </w:p>
        </w:tc>
        <w:tc>
          <w:tcPr>
            <w:tcW w:w="790" w:type="dxa"/>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台</w:t>
            </w:r>
          </w:p>
        </w:tc>
        <w:tc>
          <w:tcPr>
            <w:tcW w:w="5847" w:type="dxa"/>
          </w:tcPr>
          <w:p>
            <w:pPr>
              <w:rPr>
                <w:rFonts w:hint="eastAsia" w:ascii="仿宋" w:hAnsi="仿宋" w:eastAsia="仿宋" w:cs="仿宋"/>
                <w:color w:val="auto"/>
                <w:sz w:val="24"/>
                <w:szCs w:val="24"/>
              </w:rPr>
            </w:pPr>
            <w:r>
              <w:rPr>
                <w:rFonts w:hint="eastAsia" w:ascii="仿宋" w:hAnsi="仿宋" w:eastAsia="仿宋" w:cs="仿宋"/>
                <w:color w:val="auto"/>
                <w:sz w:val="24"/>
                <w:szCs w:val="24"/>
              </w:rPr>
              <w:t>定制：1.0mm冷轧钢板，环氧树脂喷涂</w:t>
            </w:r>
          </w:p>
        </w:tc>
      </w:tr>
    </w:tbl>
    <w:p>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其他要求：</w:t>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除参数中已有质保要求的设备和序号9-14的货物外，其它设备保修期3年（提供厂家及供应商盖章承诺），保修期内对非人为损坏的部位或零件进行免费维修、更换，维修保养一年至少4次，其中反渗透净水机滤芯免费更换≥2次/年，同时承担维修、保养过程中产生的包含但不限于材料、人工等一切费用；保修期后只收取配件费，免人工费，</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在投标时提供配件清单及价格。</w:t>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szCs w:val="24"/>
        </w:rPr>
        <w:t>提供设备保修期过后的全保报价（提供厂家及供应商盖章承诺，报年保修价，每年应不高于设备成交价的6%）。</w:t>
      </w:r>
      <w:r>
        <w:rPr>
          <w:rFonts w:hint="eastAsia" w:ascii="仿宋" w:hAnsi="仿宋" w:eastAsia="仿宋" w:cs="仿宋"/>
          <w:color w:val="auto"/>
          <w:kern w:val="0"/>
          <w:sz w:val="24"/>
          <w:szCs w:val="24"/>
        </w:rPr>
        <w:tab/>
      </w:r>
    </w:p>
    <w:p>
      <w:pPr>
        <w:spacing w:line="44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3、维修响应：质保期内出现故障，在收到采购人的电话后，对一般故障能在15分钟内响应，2小时内到达现场，4小时内解决问题，必要时提供备机，保证采购人的使用。</w:t>
      </w:r>
    </w:p>
    <w:p>
      <w:pPr>
        <w:rPr>
          <w:rFonts w:hint="eastAsia" w:ascii="仿宋" w:hAnsi="仿宋" w:eastAsia="仿宋" w:cs="仿宋"/>
          <w:b/>
          <w:color w:val="auto"/>
          <w:sz w:val="24"/>
          <w:szCs w:val="24"/>
        </w:rPr>
      </w:pPr>
      <w:r>
        <w:rPr>
          <w:rFonts w:hint="eastAsia" w:ascii="仿宋" w:hAnsi="仿宋" w:eastAsia="仿宋" w:cs="仿宋"/>
          <w:b/>
          <w:color w:val="auto"/>
          <w:sz w:val="24"/>
          <w:szCs w:val="24"/>
        </w:rPr>
        <w:t>必备要求：0</w:t>
      </w:r>
      <w:r>
        <w:rPr>
          <w:rFonts w:hint="eastAsia" w:ascii="仿宋" w:hAnsi="仿宋" w:eastAsia="仿宋" w:cs="仿宋"/>
          <w:b/>
          <w:bCs/>
          <w:color w:val="auto"/>
          <w:sz w:val="24"/>
          <w:szCs w:val="24"/>
        </w:rPr>
        <w:t>1标、02标、03标所投标段内所有产品种类必须全部覆盖。</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二、商务要求（01、02、03）：</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1、产品投标单价高于医院单价的作为无效投标处理。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2、本项目数量为预估数量，采购人按实际需要量分批采购，根据中标单价按实结算，至合同供货期满或相应标段预算金额采购完止。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3、付款方式：《浙江省财政厅关于进一步发挥政府采购政策功能全力推动经济稳进提质的通知》（浙财采监〔2022〕3号）等文件要求执行，具体付款方式由双方协商后在合同中明确。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4、到货期：中标供应商需在医院发出采购需求后一般情况下7个工作日内送至指定地点，按医院需求配送到位。其中增加的运输费、安装费、调试费等一切费用由中标供应商承担。每延迟一天，扣除合同金额的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5、验收方式：</w:t>
      </w:r>
      <w:r>
        <w:rPr>
          <w:rFonts w:hint="eastAsia" w:ascii="仿宋" w:hAnsi="仿宋" w:eastAsia="仿宋" w:cs="仿宋"/>
          <w:bCs/>
          <w:color w:val="auto"/>
          <w:sz w:val="24"/>
          <w:szCs w:val="24"/>
          <w:lang w:val="en-US" w:eastAsia="zh-CN"/>
        </w:rPr>
        <w:t>采购人</w:t>
      </w:r>
      <w:r>
        <w:rPr>
          <w:rFonts w:hint="eastAsia" w:ascii="仿宋" w:hAnsi="仿宋" w:eastAsia="仿宋" w:cs="仿宋"/>
          <w:bCs/>
          <w:color w:val="auto"/>
          <w:sz w:val="24"/>
          <w:szCs w:val="24"/>
        </w:rPr>
        <w:t>对所供货物进行最终验收，如果发现与合同不符，供应商须承担由此发生的一切损失和费用，并接受相应的处罚。</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6、合同期:</w:t>
      </w:r>
      <w:r>
        <w:rPr>
          <w:rFonts w:hint="eastAsia" w:ascii="仿宋" w:hAnsi="仿宋" w:eastAsia="仿宋" w:cs="仿宋"/>
          <w:bCs/>
          <w:color w:val="auto"/>
          <w:sz w:val="24"/>
          <w:szCs w:val="24"/>
          <w:lang w:val="en-US" w:eastAsia="zh-CN"/>
        </w:rPr>
        <w:t>自合同签订之日起一年</w:t>
      </w:r>
      <w:r>
        <w:rPr>
          <w:rFonts w:hint="eastAsia" w:ascii="仿宋" w:hAnsi="仿宋" w:eastAsia="仿宋" w:cs="仿宋"/>
          <w:bCs/>
          <w:color w:val="auto"/>
          <w:sz w:val="24"/>
          <w:szCs w:val="24"/>
        </w:rPr>
        <w:t>或采购金额达到合同金额。本合同为固定单价合同，合同金额为预算金额。若供应商在合同期内出现三次不及时响应送货的，扣除合同金额的1%；供应商一个月内出现两次断供行为的，视其不能正常履约，医院将重新组织招标，且没收全部履约保证金，并视情节轻重报告财政部门。</w:t>
      </w:r>
    </w:p>
    <w:p>
      <w:pPr>
        <w:snapToGrid w:val="0"/>
        <w:spacing w:line="440" w:lineRule="exact"/>
        <w:rPr>
          <w:rFonts w:hint="eastAsia" w:ascii="仿宋" w:hAnsi="仿宋" w:eastAsia="仿宋_GB2312" w:cs="仿宋"/>
          <w:bCs/>
          <w:color w:val="auto"/>
          <w:sz w:val="24"/>
          <w:szCs w:val="24"/>
          <w:lang w:eastAsia="zh-CN"/>
        </w:rPr>
      </w:pPr>
      <w:r>
        <w:rPr>
          <w:rFonts w:hint="eastAsia" w:ascii="仿宋" w:hAnsi="仿宋" w:eastAsia="仿宋" w:cs="仿宋"/>
          <w:bCs/>
          <w:color w:val="auto"/>
          <w:sz w:val="24"/>
          <w:szCs w:val="24"/>
        </w:rPr>
        <w:t>7、履约保证金：</w:t>
      </w:r>
      <w:r>
        <w:rPr>
          <w:rFonts w:hint="eastAsia" w:ascii="仿宋_GB2312" w:hAnsi="仿宋" w:eastAsia="仿宋_GB2312" w:cs="仿宋"/>
          <w:color w:val="auto"/>
          <w:sz w:val="24"/>
        </w:rPr>
        <w:t>在签订合同时，收取不高于中标额的1%的履约保证金</w:t>
      </w:r>
      <w:r>
        <w:rPr>
          <w:rFonts w:hint="eastAsia" w:ascii="仿宋_GB2312" w:hAnsi="仿宋" w:eastAsia="仿宋_GB2312" w:cs="仿宋"/>
          <w:color w:val="auto"/>
          <w:sz w:val="24"/>
          <w:lang w:eastAsia="zh-CN"/>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8、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9、合同期内若遇中标产品价格下调，</w:t>
      </w:r>
      <w:r>
        <w:rPr>
          <w:rFonts w:hint="eastAsia" w:ascii="仿宋" w:hAnsi="仿宋" w:eastAsia="仿宋" w:cs="仿宋"/>
          <w:color w:val="auto"/>
          <w:kern w:val="0"/>
          <w:sz w:val="24"/>
          <w:szCs w:val="24"/>
          <w:lang w:val="en-US" w:eastAsia="zh-CN"/>
        </w:rPr>
        <w:t>供应商</w:t>
      </w:r>
      <w:r>
        <w:rPr>
          <w:rFonts w:hint="eastAsia" w:ascii="仿宋" w:hAnsi="仿宋" w:eastAsia="仿宋" w:cs="仿宋"/>
          <w:bCs/>
          <w:color w:val="auto"/>
          <w:sz w:val="24"/>
          <w:szCs w:val="24"/>
        </w:rPr>
        <w:t>需主动向医院申报并下调交易价格，医院不定期进行抽查，发现未主动申报下调价格，将在履约保证金中或其他应支付款项中加倍扣除相应的金额。</w:t>
      </w:r>
    </w:p>
    <w:p>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10、在合同期内因产品自身问题，导致中标产品无法达到预期效果或采购人不满意结果的，中标供应商须根据采购人要求无条件提供解决方案，直至问题解决。</w:t>
      </w:r>
    </w:p>
    <w:p>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11、认证证书提供复印件并加盖公章。</w:t>
      </w:r>
    </w:p>
    <w:p>
      <w:pPr>
        <w:spacing w:line="440" w:lineRule="exact"/>
        <w:rPr>
          <w:rFonts w:ascii="仿宋" w:hAnsi="仿宋" w:eastAsia="仿宋" w:cs="仿宋"/>
          <w:color w:val="auto"/>
          <w:kern w:val="0"/>
          <w:sz w:val="24"/>
        </w:rPr>
      </w:pPr>
      <w:r>
        <w:rPr>
          <w:rFonts w:ascii="仿宋" w:hAnsi="仿宋" w:eastAsia="仿宋" w:cs="仿宋"/>
          <w:color w:val="auto"/>
          <w:kern w:val="0"/>
          <w:sz w:val="24"/>
        </w:rPr>
        <w:t>12</w:t>
      </w:r>
      <w:r>
        <w:rPr>
          <w:rFonts w:hint="eastAsia" w:ascii="仿宋" w:hAnsi="仿宋" w:eastAsia="仿宋" w:cs="仿宋"/>
          <w:color w:val="auto"/>
          <w:kern w:val="0"/>
          <w:sz w:val="24"/>
        </w:rPr>
        <w:t>、</w:t>
      </w:r>
      <w:r>
        <w:rPr>
          <w:rFonts w:ascii="仿宋" w:hAnsi="仿宋" w:eastAsia="仿宋" w:cs="仿宋"/>
          <w:color w:val="auto"/>
          <w:kern w:val="0"/>
          <w:sz w:val="24"/>
        </w:rPr>
        <w:t>设备停产后，零配件保持供应8年以上</w:t>
      </w:r>
      <w:r>
        <w:rPr>
          <w:rFonts w:hint="eastAsia" w:ascii="仿宋" w:hAnsi="仿宋" w:eastAsia="仿宋" w:cs="仿宋"/>
          <w:color w:val="auto"/>
          <w:kern w:val="0"/>
          <w:sz w:val="24"/>
        </w:rPr>
        <w:t>。</w:t>
      </w:r>
      <w:r>
        <w:rPr>
          <w:rFonts w:ascii="仿宋" w:hAnsi="仿宋" w:eastAsia="仿宋" w:cs="仿宋"/>
          <w:color w:val="auto"/>
          <w:kern w:val="0"/>
          <w:sz w:val="24"/>
        </w:rPr>
        <w:tab/>
      </w:r>
    </w:p>
    <w:p>
      <w:pPr>
        <w:spacing w:line="440" w:lineRule="exact"/>
        <w:rPr>
          <w:rFonts w:ascii="仿宋" w:hAnsi="仿宋" w:eastAsia="仿宋" w:cs="仿宋"/>
          <w:color w:val="auto"/>
          <w:kern w:val="0"/>
          <w:sz w:val="24"/>
        </w:rPr>
      </w:pPr>
      <w:r>
        <w:rPr>
          <w:rFonts w:ascii="仿宋" w:hAnsi="仿宋" w:eastAsia="仿宋" w:cs="仿宋"/>
          <w:color w:val="auto"/>
          <w:kern w:val="0"/>
          <w:sz w:val="24"/>
        </w:rPr>
        <w:t>13</w:t>
      </w:r>
      <w:r>
        <w:rPr>
          <w:rFonts w:hint="eastAsia" w:ascii="仿宋" w:hAnsi="仿宋" w:eastAsia="仿宋" w:cs="仿宋"/>
          <w:color w:val="auto"/>
          <w:kern w:val="0"/>
          <w:sz w:val="24"/>
        </w:rPr>
        <w:t>、 安装及验收标准：符合我国国家有关技术规范和技术标准。</w:t>
      </w:r>
    </w:p>
    <w:p>
      <w:pPr>
        <w:spacing w:line="440" w:lineRule="exact"/>
        <w:rPr>
          <w:rFonts w:ascii="仿宋" w:hAnsi="仿宋" w:eastAsia="仿宋" w:cs="仿宋"/>
          <w:color w:val="auto"/>
          <w:kern w:val="0"/>
          <w:sz w:val="24"/>
        </w:rPr>
      </w:pPr>
      <w:r>
        <w:rPr>
          <w:rFonts w:ascii="仿宋" w:hAnsi="仿宋" w:eastAsia="仿宋" w:cs="仿宋"/>
          <w:color w:val="auto"/>
          <w:kern w:val="0"/>
          <w:sz w:val="24"/>
        </w:rPr>
        <w:t>14</w:t>
      </w:r>
      <w:r>
        <w:rPr>
          <w:rFonts w:hint="eastAsia" w:ascii="仿宋" w:hAnsi="仿宋" w:eastAsia="仿宋" w:cs="仿宋"/>
          <w:color w:val="auto"/>
          <w:kern w:val="0"/>
          <w:sz w:val="24"/>
        </w:rPr>
        <w:t>、验收完成后对操作及使用人员进行基础维护与保养培训，包括课件及现场培训。</w:t>
      </w:r>
    </w:p>
    <w:p>
      <w:pPr>
        <w:spacing w:line="440" w:lineRule="exact"/>
        <w:rPr>
          <w:rFonts w:ascii="仿宋" w:hAnsi="仿宋" w:eastAsia="仿宋" w:cs="仿宋"/>
          <w:color w:val="auto"/>
          <w:kern w:val="0"/>
          <w:sz w:val="24"/>
        </w:rPr>
      </w:pPr>
      <w:r>
        <w:rPr>
          <w:rFonts w:ascii="仿宋" w:hAnsi="仿宋" w:eastAsia="仿宋" w:cs="仿宋"/>
          <w:color w:val="auto"/>
          <w:kern w:val="0"/>
          <w:sz w:val="24"/>
        </w:rPr>
        <w:t>15</w:t>
      </w:r>
      <w:r>
        <w:rPr>
          <w:rFonts w:hint="eastAsia" w:ascii="仿宋" w:hAnsi="仿宋" w:eastAsia="仿宋" w:cs="仿宋"/>
          <w:color w:val="auto"/>
          <w:kern w:val="0"/>
          <w:sz w:val="24"/>
        </w:rPr>
        <w:t>、本项目为交钥匙工程，为保证招标设备正常运行所需的相关配件，无论清单中是否明确列明，或存在数量偏差，请</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rPr>
        <w:t>综合考虑，一并计入报价，今后不作调整。</w:t>
      </w:r>
    </w:p>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pPr>
        <w:pStyle w:val="312"/>
        <w:ind w:left="0" w:leftChars="0" w:firstLine="0" w:firstLineChars="0"/>
        <w:rPr>
          <w:rFonts w:ascii="仿宋_GB2312" w:hAnsi="仿宋" w:eastAsia="仿宋_GB2312" w:cs="仿宋"/>
          <w:szCs w:val="24"/>
        </w:rPr>
      </w:pPr>
    </w:p>
    <w:p>
      <w:pPr>
        <w:pStyle w:val="312"/>
        <w:jc w:val="center"/>
        <w:rPr>
          <w:rFonts w:ascii="仿宋_GB2312" w:hAnsi="仿宋" w:eastAsia="仿宋_GB2312" w:cs="仿宋"/>
          <w:szCs w:val="24"/>
        </w:rPr>
      </w:pPr>
    </w:p>
    <w:p>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pStyle w:val="312"/>
        <w:rPr>
          <w:rFonts w:ascii="仿宋_GB2312" w:hAnsi="仿宋" w:eastAsia="仿宋_GB2312" w:cs="仿宋"/>
          <w:szCs w:val="24"/>
        </w:rPr>
      </w:pPr>
    </w:p>
    <w:p>
      <w:pPr>
        <w:pStyle w:val="312"/>
        <w:rPr>
          <w:rFonts w:ascii="仿宋_GB2312" w:hAnsi="仿宋" w:eastAsia="仿宋_GB2312" w:cs="仿宋"/>
          <w:szCs w:val="24"/>
        </w:rPr>
      </w:pP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11"/>
        <w:spacing w:before="120" w:line="22" w:lineRule="atLeast"/>
        <w:rPr>
          <w:rFonts w:hAnsi="仿宋" w:cs="仿宋"/>
          <w:szCs w:val="24"/>
        </w:rPr>
      </w:pPr>
    </w:p>
    <w:p>
      <w:pPr>
        <w:pStyle w:val="311"/>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560" w:lineRule="exact"/>
        <w:ind w:firstLine="482" w:firstLineChars="200"/>
        <w:outlineLvl w:val="0"/>
        <w:rPr>
          <w:rFonts w:ascii="仿宋_GB2312" w:hAnsi="仿宋" w:eastAsia="仿宋_GB2312" w:cs="仿宋"/>
          <w:b/>
          <w:sz w:val="24"/>
        </w:rPr>
      </w:pPr>
      <w:bookmarkStart w:id="8" w:name="_Toc2232"/>
      <w:bookmarkStart w:id="9" w:name="_Toc3029"/>
      <w:bookmarkStart w:id="10" w:name="_Toc24059"/>
      <w:r>
        <w:rPr>
          <w:rFonts w:hint="eastAsia" w:ascii="仿宋_GB2312" w:hAnsi="仿宋" w:eastAsia="仿宋_GB2312" w:cs="仿宋"/>
          <w:b/>
          <w:sz w:val="24"/>
        </w:rPr>
        <w:t>1.1 合同组成部分</w:t>
      </w:r>
      <w:bookmarkEnd w:id="8"/>
      <w:bookmarkEnd w:id="9"/>
      <w:bookmarkEnd w:id="1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560" w:lineRule="exact"/>
        <w:ind w:firstLine="482" w:firstLineChars="200"/>
        <w:outlineLvl w:val="0"/>
        <w:rPr>
          <w:rFonts w:ascii="仿宋_GB2312" w:hAnsi="仿宋" w:eastAsia="仿宋_GB2312" w:cs="仿宋"/>
          <w:b/>
          <w:sz w:val="24"/>
        </w:rPr>
      </w:pPr>
      <w:bookmarkStart w:id="11" w:name="_Toc21295"/>
      <w:bookmarkStart w:id="12" w:name="_Toc27126"/>
      <w:bookmarkStart w:id="13" w:name="_Toc24300"/>
      <w:r>
        <w:rPr>
          <w:rFonts w:hint="eastAsia" w:ascii="仿宋_GB2312" w:hAnsi="仿宋" w:eastAsia="仿宋_GB2312" w:cs="仿宋"/>
          <w:b/>
          <w:sz w:val="24"/>
        </w:rPr>
        <w:t>1.2 货物</w:t>
      </w:r>
      <w:bookmarkEnd w:id="11"/>
      <w:bookmarkEnd w:id="12"/>
      <w:bookmarkEnd w:id="13"/>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pPr>
        <w:spacing w:line="560" w:lineRule="exact"/>
        <w:ind w:firstLine="482" w:firstLineChars="200"/>
        <w:outlineLvl w:val="0"/>
        <w:rPr>
          <w:rFonts w:ascii="仿宋_GB2312" w:hAnsi="仿宋" w:eastAsia="仿宋_GB2312" w:cs="仿宋"/>
          <w:b/>
          <w:sz w:val="24"/>
        </w:rPr>
      </w:pPr>
      <w:bookmarkStart w:id="14" w:name="_Toc21631"/>
      <w:bookmarkStart w:id="15" w:name="_Toc23292"/>
      <w:bookmarkStart w:id="16" w:name="_Toc21551"/>
      <w:r>
        <w:rPr>
          <w:rFonts w:hint="eastAsia" w:ascii="仿宋_GB2312" w:hAnsi="仿宋" w:eastAsia="仿宋_GB2312" w:cs="仿宋"/>
          <w:b/>
          <w:sz w:val="24"/>
        </w:rPr>
        <w:t>1.3 价款</w:t>
      </w:r>
      <w:bookmarkEnd w:id="14"/>
      <w:bookmarkEnd w:id="15"/>
      <w:bookmarkEnd w:id="1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sz w:val="24"/>
                <w:szCs w:val="24"/>
              </w:rPr>
            </w:pPr>
          </w:p>
        </w:tc>
      </w:tr>
    </w:tbl>
    <w:p>
      <w:pPr>
        <w:pStyle w:val="313"/>
        <w:spacing w:before="0" w:beforeAutospacing="0" w:after="0" w:afterAutospacing="0" w:line="360" w:lineRule="auto"/>
        <w:ind w:firstLine="480"/>
        <w:rPr>
          <w:rFonts w:ascii="仿宋_GB2312" w:hAnsi="仿宋" w:eastAsia="仿宋_GB2312" w:cs="仿宋"/>
          <w:b/>
        </w:rPr>
      </w:pPr>
      <w:bookmarkStart w:id="17" w:name="_Toc10340"/>
      <w:bookmarkStart w:id="18" w:name="_Toc22618"/>
      <w:bookmarkStart w:id="19" w:name="_Toc1814"/>
      <w:r>
        <w:rPr>
          <w:rFonts w:hint="eastAsia" w:ascii="仿宋_GB2312" w:hAnsi="仿宋" w:eastAsia="仿宋_GB2312" w:cs="仿宋"/>
          <w:b/>
        </w:rPr>
        <w:t>1.4履约保证金</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7"/>
      <w:bookmarkEnd w:id="18"/>
      <w:bookmarkEnd w:id="19"/>
      <w:r>
        <w:rPr>
          <w:rFonts w:hint="eastAsia" w:ascii="仿宋_GB2312" w:hAnsi="仿宋" w:eastAsia="仿宋_GB2312" w:cs="仿宋"/>
          <w:b/>
          <w:sz w:val="24"/>
        </w:rPr>
        <w:t>预付款</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0" w:name="_Toc19304"/>
      <w:bookmarkStart w:id="21" w:name="_Toc32071"/>
      <w:bookmarkStart w:id="22" w:name="_Toc2846"/>
      <w:r>
        <w:rPr>
          <w:rFonts w:hint="eastAsia" w:ascii="仿宋_GB2312" w:hAnsi="仿宋" w:eastAsia="仿宋_GB2312" w:cs="仿宋"/>
          <w:b/>
          <w:sz w:val="24"/>
        </w:rPr>
        <w:t>1.7货物交付期限、地点和方式</w:t>
      </w:r>
      <w:bookmarkEnd w:id="20"/>
      <w:bookmarkEnd w:id="21"/>
      <w:bookmarkEnd w:id="22"/>
    </w:p>
    <w:p>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23" w:name="_Toc19554"/>
      <w:bookmarkStart w:id="24" w:name="_Toc21423"/>
      <w:bookmarkStart w:id="25" w:name="_Toc27250"/>
      <w:r>
        <w:rPr>
          <w:rFonts w:hint="eastAsia" w:ascii="仿宋_GB2312" w:hAnsi="仿宋" w:eastAsia="仿宋_GB2312" w:cs="仿宋"/>
          <w:b/>
          <w:sz w:val="24"/>
        </w:rPr>
        <w:t>1.8违约责任</w:t>
      </w:r>
      <w:bookmarkEnd w:id="23"/>
      <w:bookmarkEnd w:id="24"/>
      <w:bookmarkEnd w:id="2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pPr>
        <w:spacing w:line="560" w:lineRule="exact"/>
        <w:ind w:firstLine="482" w:firstLineChars="200"/>
        <w:outlineLvl w:val="0"/>
        <w:rPr>
          <w:rFonts w:ascii="仿宋_GB2312" w:hAnsi="仿宋" w:eastAsia="仿宋_GB2312" w:cs="仿宋"/>
          <w:b/>
          <w:sz w:val="24"/>
        </w:rPr>
      </w:pPr>
      <w:bookmarkStart w:id="26" w:name="_Toc28375"/>
      <w:bookmarkStart w:id="27" w:name="_Toc16021"/>
      <w:bookmarkStart w:id="28" w:name="_Toc15583"/>
      <w:r>
        <w:rPr>
          <w:rFonts w:hint="eastAsia" w:ascii="仿宋_GB2312" w:hAnsi="仿宋" w:eastAsia="仿宋_GB2312" w:cs="仿宋"/>
          <w:b/>
          <w:sz w:val="24"/>
        </w:rPr>
        <w:t>1.9合同争议的解决</w:t>
      </w:r>
      <w:bookmarkEnd w:id="26"/>
      <w:bookmarkEnd w:id="27"/>
      <w:bookmarkEnd w:id="28"/>
    </w:p>
    <w:p>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pPr>
        <w:spacing w:line="560" w:lineRule="exact"/>
        <w:ind w:firstLine="482" w:firstLineChars="200"/>
        <w:outlineLvl w:val="0"/>
        <w:rPr>
          <w:rFonts w:ascii="仿宋_GB2312" w:hAnsi="仿宋" w:eastAsia="仿宋_GB2312" w:cs="仿宋"/>
          <w:b/>
          <w:sz w:val="24"/>
        </w:rPr>
      </w:pPr>
      <w:bookmarkStart w:id="29" w:name="_Toc15322"/>
      <w:bookmarkStart w:id="30" w:name="_Toc11173"/>
      <w:bookmarkStart w:id="31" w:name="_Toc7245"/>
      <w:r>
        <w:rPr>
          <w:rFonts w:hint="eastAsia" w:ascii="仿宋_GB2312" w:hAnsi="仿宋" w:eastAsia="仿宋_GB2312" w:cs="仿宋"/>
          <w:b/>
          <w:sz w:val="24"/>
        </w:rPr>
        <w:t>2.0 合同生效</w:t>
      </w:r>
      <w:bookmarkEnd w:id="29"/>
      <w:bookmarkEnd w:id="30"/>
      <w:bookmarkEnd w:id="31"/>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560" w:lineRule="exact"/>
        <w:rPr>
          <w:rFonts w:ascii="仿宋_GB2312" w:hAnsi="仿宋" w:eastAsia="仿宋_GB2312" w:cs="仿宋"/>
          <w:sz w:val="24"/>
          <w:lang w:val="zh-CN"/>
        </w:rPr>
      </w:pP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2"/>
        <w:spacing w:line="560" w:lineRule="exact"/>
        <w:ind w:firstLine="482"/>
        <w:jc w:val="center"/>
        <w:rPr>
          <w:rFonts w:ascii="仿宋_GB2312" w:hAnsi="仿宋" w:eastAsia="仿宋_GB2312" w:cs="仿宋"/>
          <w:b/>
          <w:szCs w:val="24"/>
        </w:rPr>
      </w:pPr>
    </w:p>
    <w:p>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32" w:name="_Toc28763"/>
      <w:bookmarkStart w:id="33" w:name="_Ref467379101"/>
      <w:bookmarkStart w:id="34" w:name="_Toc487900349"/>
      <w:bookmarkStart w:id="35" w:name="_Toc19614"/>
      <w:bookmarkStart w:id="36" w:name="_Toc279701240"/>
      <w:bookmarkStart w:id="37" w:name="_Ref467379195"/>
      <w:bookmarkStart w:id="38" w:name="_Ref467379225"/>
      <w:bookmarkStart w:id="39" w:name="_Ref467378404"/>
      <w:bookmarkStart w:id="40" w:name="_Ref467378499"/>
      <w:bookmarkStart w:id="41" w:name="_Ref467379205"/>
      <w:bookmarkStart w:id="42" w:name="_Toc259093669"/>
      <w:bookmarkStart w:id="43" w:name="_Ref467379214"/>
      <w:bookmarkStart w:id="44" w:name="_Ref467379094"/>
      <w:bookmarkStart w:id="45" w:name="_Ref467379109"/>
      <w:bookmarkStart w:id="46" w:name="_Ref467378463"/>
      <w:bookmarkStart w:id="47" w:name="_Toc16917"/>
      <w:r>
        <w:rPr>
          <w:rFonts w:hint="eastAsia" w:ascii="仿宋_GB2312" w:hAnsi="仿宋" w:eastAsia="仿宋_GB2312" w:cs="仿宋"/>
          <w:b/>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sz w:val="24"/>
        </w:rPr>
      </w:pPr>
      <w:bookmarkStart w:id="48" w:name="_Ref467378840"/>
      <w:r>
        <w:rPr>
          <w:rFonts w:hint="eastAsia" w:ascii="仿宋_GB2312" w:hAnsi="仿宋" w:eastAsia="仿宋_GB2312" w:cs="仿宋"/>
          <w:sz w:val="24"/>
        </w:rPr>
        <w:t>2.1.4 “甲方”系指与中标或成交供应商签署合同的采购人</w:t>
      </w:r>
      <w:bookmarkEnd w:id="48"/>
      <w:r>
        <w:rPr>
          <w:rFonts w:hint="eastAsia" w:ascii="仿宋_GB2312" w:hAnsi="仿宋" w:eastAsia="仿宋_GB2312" w:cs="仿宋"/>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bookmarkStart w:id="49" w:name="_Ref467379400"/>
      <w:r>
        <w:rPr>
          <w:rFonts w:hint="eastAsia" w:ascii="仿宋_GB2312" w:hAnsi="仿宋" w:eastAsia="仿宋_GB2312" w:cs="仿宋"/>
          <w:sz w:val="24"/>
        </w:rPr>
        <w:t>2.1.5 “乙方”系指根据合同约定交付货物的中标或成交供应商</w:t>
      </w:r>
      <w:bookmarkEnd w:id="49"/>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bookmarkStart w:id="50" w:name="_Ref467379436"/>
      <w:r>
        <w:rPr>
          <w:rFonts w:hint="eastAsia" w:ascii="仿宋_GB2312" w:hAnsi="仿宋" w:eastAsia="仿宋_GB2312" w:cs="仿宋"/>
          <w:sz w:val="24"/>
        </w:rPr>
        <w:t>2.1.6 “现场”系指合同约定货物将要运至或者安装的地点。</w:t>
      </w:r>
      <w:bookmarkEnd w:id="50"/>
    </w:p>
    <w:p>
      <w:pPr>
        <w:spacing w:line="560" w:lineRule="exact"/>
        <w:ind w:firstLine="482" w:firstLineChars="200"/>
        <w:outlineLvl w:val="0"/>
        <w:rPr>
          <w:rFonts w:ascii="仿宋_GB2312" w:hAnsi="仿宋" w:eastAsia="仿宋_GB2312" w:cs="仿宋"/>
          <w:b/>
          <w:sz w:val="24"/>
        </w:rPr>
      </w:pPr>
      <w:bookmarkStart w:id="51" w:name="_Toc487900350"/>
      <w:bookmarkStart w:id="52" w:name="_Toc13336"/>
      <w:bookmarkStart w:id="53" w:name="_Toc259093670"/>
      <w:bookmarkStart w:id="54" w:name="_Toc32504"/>
      <w:bookmarkStart w:id="55" w:name="_Toc279701241"/>
      <w:bookmarkStart w:id="56" w:name="_Toc27635"/>
      <w:r>
        <w:rPr>
          <w:rFonts w:hint="eastAsia" w:ascii="仿宋_GB2312" w:hAnsi="仿宋" w:eastAsia="仿宋_GB2312" w:cs="仿宋"/>
          <w:b/>
          <w:sz w:val="24"/>
        </w:rPr>
        <w:t>2.2 技术规范</w:t>
      </w:r>
      <w:bookmarkEnd w:id="51"/>
      <w:bookmarkEnd w:id="52"/>
      <w:bookmarkEnd w:id="53"/>
      <w:bookmarkEnd w:id="54"/>
      <w:bookmarkEnd w:id="55"/>
      <w:bookmarkEnd w:id="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57" w:name="_Toc9829"/>
      <w:bookmarkStart w:id="58" w:name="_Toc487900351"/>
      <w:bookmarkStart w:id="59" w:name="_Toc27853"/>
      <w:bookmarkStart w:id="60" w:name="_Toc259093671"/>
      <w:bookmarkStart w:id="61" w:name="_Toc31634"/>
      <w:bookmarkStart w:id="62" w:name="_Toc279701242"/>
      <w:r>
        <w:rPr>
          <w:rFonts w:hint="eastAsia" w:ascii="仿宋_GB2312" w:hAnsi="仿宋" w:eastAsia="仿宋_GB2312" w:cs="仿宋"/>
          <w:b/>
          <w:sz w:val="24"/>
        </w:rPr>
        <w:t>2.3 知识产权</w:t>
      </w:r>
      <w:bookmarkEnd w:id="57"/>
      <w:bookmarkEnd w:id="58"/>
      <w:bookmarkEnd w:id="59"/>
      <w:bookmarkEnd w:id="60"/>
      <w:bookmarkEnd w:id="61"/>
      <w:bookmarkEnd w:id="6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3" w:name="_Toc4194"/>
      <w:bookmarkStart w:id="64" w:name="_Toc29149"/>
      <w:bookmarkStart w:id="65" w:name="_Toc11932"/>
      <w:r>
        <w:rPr>
          <w:rFonts w:hint="eastAsia" w:ascii="仿宋_GB2312" w:hAnsi="仿宋" w:eastAsia="仿宋_GB2312" w:cs="仿宋"/>
          <w:b/>
          <w:sz w:val="24"/>
        </w:rPr>
        <w:t>2.4 包装和装运</w:t>
      </w:r>
      <w:bookmarkEnd w:id="63"/>
      <w:bookmarkEnd w:id="64"/>
      <w:bookmarkEnd w:id="6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66" w:name="_Ref467378591"/>
      <w:bookmarkStart w:id="67" w:name="_Ref467379542"/>
      <w:bookmarkStart w:id="68" w:name="_Toc279701245"/>
      <w:bookmarkStart w:id="69" w:name="_Ref467379527"/>
      <w:bookmarkStart w:id="70" w:name="_Toc259093674"/>
      <w:bookmarkStart w:id="71" w:name="_Toc487900354"/>
      <w:bookmarkStart w:id="72" w:name="_Ref467379536"/>
      <w:bookmarkStart w:id="73" w:name="_Ref467378541"/>
      <w:bookmarkStart w:id="74" w:name="_Toc19074"/>
      <w:bookmarkStart w:id="75" w:name="_Toc30272"/>
      <w:bookmarkStart w:id="76" w:name="_Toc26182"/>
      <w:r>
        <w:rPr>
          <w:rFonts w:hint="eastAsia" w:ascii="仿宋_GB2312" w:hAnsi="仿宋" w:eastAsia="仿宋_GB2312" w:cs="仿宋"/>
          <w:b/>
          <w:sz w:val="24"/>
        </w:rPr>
        <w:t>2.</w:t>
      </w:r>
      <w:bookmarkEnd w:id="66"/>
      <w:bookmarkEnd w:id="67"/>
      <w:bookmarkEnd w:id="68"/>
      <w:bookmarkEnd w:id="69"/>
      <w:bookmarkEnd w:id="70"/>
      <w:bookmarkEnd w:id="71"/>
      <w:bookmarkEnd w:id="72"/>
      <w:bookmarkEnd w:id="73"/>
      <w:r>
        <w:rPr>
          <w:rFonts w:hint="eastAsia" w:ascii="仿宋_GB2312" w:hAnsi="仿宋" w:eastAsia="仿宋_GB2312" w:cs="仿宋"/>
          <w:b/>
          <w:sz w:val="24"/>
        </w:rPr>
        <w:t>5 履约检查和问题反馈</w:t>
      </w:r>
      <w:bookmarkEnd w:id="74"/>
      <w:bookmarkEnd w:id="75"/>
      <w:bookmarkEnd w:id="76"/>
    </w:p>
    <w:p>
      <w:pPr>
        <w:spacing w:line="560" w:lineRule="exact"/>
        <w:ind w:firstLine="480" w:firstLineChars="200"/>
        <w:rPr>
          <w:rFonts w:ascii="仿宋_GB2312" w:hAnsi="仿宋" w:eastAsia="仿宋_GB2312" w:cs="仿宋"/>
          <w:sz w:val="24"/>
        </w:rPr>
      </w:pPr>
      <w:bookmarkStart w:id="77" w:name="_Ref467379657"/>
      <w:r>
        <w:rPr>
          <w:rFonts w:hint="eastAsia" w:ascii="仿宋_GB2312" w:hAnsi="仿宋" w:eastAsia="仿宋_GB2312" w:cs="仿宋"/>
          <w:sz w:val="24"/>
        </w:rPr>
        <w:t>2.5.1</w:t>
      </w:r>
      <w:bookmarkEnd w:id="77"/>
      <w:bookmarkStart w:id="78" w:name="_Toc186431854"/>
      <w:bookmarkStart w:id="79" w:name="_Ref467379807"/>
      <w:bookmarkStart w:id="80" w:name="_Ref467379793"/>
      <w:bookmarkStart w:id="81" w:name="_Toc259093676"/>
      <w:bookmarkStart w:id="82" w:name="_Toc487900357"/>
      <w:bookmarkStart w:id="83" w:name="_Toc27970124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8"/>
      <w:bookmarkStart w:id="84" w:name="_Toc186431855"/>
      <w:r>
        <w:rPr>
          <w:rFonts w:hint="eastAsia" w:ascii="仿宋_GB2312" w:hAnsi="仿宋" w:eastAsia="仿宋_GB2312" w:cs="仿宋"/>
          <w:sz w:val="24"/>
        </w:rPr>
        <w:t>。</w:t>
      </w:r>
    </w:p>
    <w:bookmarkEnd w:id="79"/>
    <w:bookmarkEnd w:id="80"/>
    <w:bookmarkEnd w:id="81"/>
    <w:bookmarkEnd w:id="82"/>
    <w:bookmarkEnd w:id="83"/>
    <w:bookmarkEnd w:id="84"/>
    <w:p>
      <w:pPr>
        <w:spacing w:line="560" w:lineRule="exact"/>
        <w:ind w:firstLine="482" w:firstLineChars="200"/>
        <w:outlineLvl w:val="0"/>
        <w:rPr>
          <w:rFonts w:ascii="仿宋_GB2312" w:hAnsi="仿宋" w:eastAsia="仿宋_GB2312" w:cs="仿宋"/>
          <w:b/>
          <w:sz w:val="24"/>
        </w:rPr>
      </w:pPr>
      <w:bookmarkStart w:id="85" w:name="_Ref467379852"/>
      <w:bookmarkStart w:id="86" w:name="_Ref467379863"/>
      <w:bookmarkStart w:id="87" w:name="_Toc279701248"/>
      <w:bookmarkStart w:id="88" w:name="_Toc487900358"/>
      <w:bookmarkStart w:id="89" w:name="_Ref467379923"/>
      <w:bookmarkStart w:id="90" w:name="_Toc259093677"/>
      <w:bookmarkStart w:id="91" w:name="_Toc3225"/>
      <w:bookmarkStart w:id="92" w:name="_Toc16110"/>
      <w:bookmarkStart w:id="93" w:name="_Toc774"/>
      <w:r>
        <w:rPr>
          <w:rFonts w:hint="eastAsia" w:ascii="仿宋_GB2312" w:hAnsi="仿宋" w:eastAsia="仿宋_GB2312" w:cs="仿宋"/>
          <w:b/>
          <w:sz w:val="24"/>
        </w:rPr>
        <w:t>2.6 技术资料</w:t>
      </w:r>
      <w:bookmarkEnd w:id="85"/>
      <w:bookmarkEnd w:id="86"/>
      <w:bookmarkEnd w:id="87"/>
      <w:bookmarkEnd w:id="88"/>
      <w:bookmarkEnd w:id="89"/>
      <w:bookmarkEnd w:id="90"/>
      <w:r>
        <w:rPr>
          <w:rFonts w:hint="eastAsia" w:ascii="仿宋_GB2312" w:hAnsi="仿宋" w:eastAsia="仿宋_GB2312" w:cs="仿宋"/>
          <w:b/>
          <w:sz w:val="24"/>
        </w:rPr>
        <w:t>和保密义务</w:t>
      </w:r>
      <w:bookmarkEnd w:id="91"/>
      <w:bookmarkEnd w:id="92"/>
      <w:bookmarkEnd w:id="9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94" w:name="_Toc7860"/>
      <w:r>
        <w:rPr>
          <w:rFonts w:hint="eastAsia" w:ascii="仿宋_GB2312" w:hAnsi="仿宋" w:eastAsia="仿宋_GB2312" w:cs="仿宋"/>
          <w:b/>
          <w:sz w:val="24"/>
        </w:rPr>
        <w:t>2.7 质量保证</w:t>
      </w:r>
      <w:bookmarkEnd w:id="9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95" w:name="_Toc17244"/>
      <w:bookmarkStart w:id="96" w:name="_Toc259093681"/>
      <w:bookmarkStart w:id="97" w:name="_Toc279701252"/>
      <w:bookmarkStart w:id="98" w:name="_Toc487900362"/>
      <w:r>
        <w:rPr>
          <w:rFonts w:hint="eastAsia" w:ascii="仿宋_GB2312" w:hAnsi="仿宋" w:eastAsia="仿宋_GB2312" w:cs="仿宋"/>
          <w:b/>
          <w:sz w:val="24"/>
        </w:rPr>
        <w:t>2.8 货物的风险负担</w:t>
      </w:r>
      <w:bookmarkEnd w:id="95"/>
    </w:p>
    <w:p>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99" w:name="_Toc14055"/>
      <w:r>
        <w:rPr>
          <w:rFonts w:hint="eastAsia" w:ascii="仿宋_GB2312" w:hAnsi="仿宋" w:eastAsia="仿宋_GB2312" w:cs="仿宋"/>
          <w:b/>
          <w:sz w:val="24"/>
        </w:rPr>
        <w:t>2.9 延迟交货</w:t>
      </w:r>
      <w:bookmarkEnd w:id="96"/>
      <w:bookmarkEnd w:id="97"/>
      <w:bookmarkEnd w:id="98"/>
      <w:bookmarkEnd w:id="9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sz w:val="24"/>
        </w:rPr>
      </w:pPr>
      <w:bookmarkStart w:id="100" w:name="_Toc7502"/>
      <w:bookmarkStart w:id="101" w:name="_Toc279701254"/>
      <w:bookmarkStart w:id="102" w:name="_Toc487900364"/>
      <w:bookmarkStart w:id="103" w:name="_Ref467378121"/>
      <w:bookmarkStart w:id="104" w:name="_Toc259093683"/>
      <w:r>
        <w:rPr>
          <w:rFonts w:hint="eastAsia" w:ascii="仿宋_GB2312" w:hAnsi="仿宋" w:eastAsia="仿宋_GB2312" w:cs="仿宋"/>
          <w:b/>
          <w:sz w:val="24"/>
        </w:rPr>
        <w:t>2.10 合同变更</w:t>
      </w:r>
      <w:bookmarkEnd w:id="10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5" w:name="_Toc487900369"/>
      <w:bookmarkStart w:id="106" w:name="_Toc279701259"/>
      <w:bookmarkStart w:id="107" w:name="_Toc259093688"/>
    </w:p>
    <w:p>
      <w:pPr>
        <w:spacing w:line="560" w:lineRule="exact"/>
        <w:ind w:firstLine="482" w:firstLineChars="200"/>
        <w:outlineLvl w:val="0"/>
        <w:rPr>
          <w:rFonts w:ascii="仿宋_GB2312" w:hAnsi="仿宋" w:eastAsia="仿宋_GB2312" w:cs="仿宋"/>
          <w:b/>
          <w:sz w:val="24"/>
        </w:rPr>
      </w:pPr>
      <w:bookmarkStart w:id="108" w:name="_Toc15237"/>
      <w:bookmarkStart w:id="109" w:name="_Toc22955"/>
      <w:bookmarkStart w:id="110" w:name="_Toc10366"/>
      <w:r>
        <w:rPr>
          <w:rFonts w:hint="eastAsia" w:ascii="仿宋_GB2312" w:hAnsi="仿宋" w:eastAsia="仿宋_GB2312" w:cs="仿宋"/>
          <w:b/>
          <w:sz w:val="24"/>
        </w:rPr>
        <w:t>2.11 合同转让</w:t>
      </w:r>
      <w:bookmarkEnd w:id="105"/>
      <w:bookmarkEnd w:id="106"/>
      <w:bookmarkEnd w:id="107"/>
      <w:r>
        <w:rPr>
          <w:rFonts w:hint="eastAsia" w:ascii="仿宋_GB2312" w:hAnsi="仿宋" w:eastAsia="仿宋_GB2312" w:cs="仿宋"/>
          <w:b/>
          <w:sz w:val="24"/>
        </w:rPr>
        <w:t>和分包</w:t>
      </w:r>
      <w:bookmarkEnd w:id="108"/>
      <w:bookmarkEnd w:id="109"/>
      <w:bookmarkEnd w:id="11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sz w:val="24"/>
        </w:rPr>
      </w:pPr>
      <w:bookmarkStart w:id="111" w:name="_Toc16508"/>
      <w:bookmarkStart w:id="112" w:name="_Toc13566"/>
      <w:bookmarkStart w:id="113" w:name="_Toc14066"/>
      <w:r>
        <w:rPr>
          <w:rFonts w:hint="eastAsia" w:ascii="仿宋_GB2312" w:hAnsi="仿宋" w:eastAsia="仿宋_GB2312" w:cs="仿宋"/>
          <w:b/>
          <w:sz w:val="24"/>
        </w:rPr>
        <w:t>2.12 不可抗力</w:t>
      </w:r>
      <w:bookmarkEnd w:id="111"/>
      <w:bookmarkEnd w:id="112"/>
      <w:bookmarkEnd w:id="11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114" w:name="_Toc30676"/>
      <w:bookmarkStart w:id="115" w:name="_Toc259093684"/>
      <w:bookmarkStart w:id="116" w:name="_Toc6969"/>
      <w:bookmarkStart w:id="117" w:name="_Toc487900365"/>
      <w:bookmarkStart w:id="118" w:name="_Toc689"/>
      <w:bookmarkStart w:id="119" w:name="_Toc279701255"/>
      <w:r>
        <w:rPr>
          <w:rFonts w:hint="eastAsia" w:ascii="仿宋_GB2312" w:hAnsi="仿宋" w:eastAsia="仿宋_GB2312" w:cs="仿宋"/>
          <w:b/>
          <w:sz w:val="24"/>
        </w:rPr>
        <w:t>2.13 税费</w:t>
      </w:r>
      <w:bookmarkEnd w:id="114"/>
      <w:bookmarkEnd w:id="115"/>
      <w:bookmarkEnd w:id="116"/>
      <w:bookmarkEnd w:id="117"/>
      <w:bookmarkEnd w:id="118"/>
      <w:bookmarkEnd w:id="11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sz w:val="24"/>
        </w:rPr>
      </w:pPr>
      <w:bookmarkStart w:id="120" w:name="_Toc7102"/>
      <w:bookmarkStart w:id="121" w:name="_Toc487900368"/>
      <w:bookmarkStart w:id="122" w:name="_Toc16959"/>
      <w:bookmarkStart w:id="123" w:name="_Toc8298"/>
      <w:bookmarkStart w:id="124" w:name="_Toc279701258"/>
      <w:bookmarkStart w:id="125" w:name="_Toc259093687"/>
      <w:r>
        <w:rPr>
          <w:rFonts w:hint="eastAsia" w:ascii="仿宋_GB2312" w:hAnsi="仿宋" w:eastAsia="仿宋_GB2312" w:cs="仿宋"/>
          <w:b/>
          <w:sz w:val="24"/>
        </w:rPr>
        <w:t>2.14乙方破产</w:t>
      </w:r>
      <w:bookmarkEnd w:id="120"/>
      <w:bookmarkEnd w:id="121"/>
      <w:bookmarkEnd w:id="122"/>
      <w:bookmarkEnd w:id="123"/>
      <w:bookmarkEnd w:id="124"/>
      <w:bookmarkEnd w:id="12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26" w:name="_Toc29333"/>
      <w:bookmarkStart w:id="127" w:name="_Toc15387"/>
      <w:bookmarkStart w:id="128" w:name="_Toc6134"/>
      <w:r>
        <w:rPr>
          <w:rFonts w:hint="eastAsia" w:ascii="仿宋_GB2312" w:hAnsi="仿宋" w:eastAsia="仿宋_GB2312" w:cs="仿宋"/>
          <w:b/>
          <w:sz w:val="24"/>
        </w:rPr>
        <w:t>2.15 合同中止、终止</w:t>
      </w:r>
      <w:bookmarkEnd w:id="126"/>
      <w:bookmarkEnd w:id="127"/>
      <w:bookmarkEnd w:id="128"/>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29" w:name="_Toc1125"/>
      <w:bookmarkStart w:id="130" w:name="_Toc6596"/>
      <w:bookmarkStart w:id="131" w:name="_Toc14563"/>
      <w:r>
        <w:rPr>
          <w:rFonts w:hint="eastAsia" w:ascii="仿宋_GB2312" w:hAnsi="仿宋" w:eastAsia="仿宋_GB2312" w:cs="仿宋"/>
          <w:b/>
          <w:sz w:val="24"/>
        </w:rPr>
        <w:t>2.16检验和验收</w:t>
      </w:r>
      <w:bookmarkEnd w:id="129"/>
      <w:bookmarkEnd w:id="130"/>
      <w:bookmarkEnd w:id="131"/>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1"/>
    <w:bookmarkEnd w:id="102"/>
    <w:bookmarkEnd w:id="103"/>
    <w:bookmarkEnd w:id="104"/>
    <w:p>
      <w:pPr>
        <w:spacing w:line="560" w:lineRule="exact"/>
        <w:ind w:firstLine="482" w:firstLineChars="200"/>
        <w:outlineLvl w:val="0"/>
        <w:rPr>
          <w:rFonts w:ascii="仿宋_GB2312" w:hAnsi="仿宋" w:eastAsia="仿宋_GB2312" w:cs="仿宋"/>
          <w:b/>
          <w:sz w:val="24"/>
        </w:rPr>
      </w:pPr>
      <w:bookmarkStart w:id="132" w:name="_Toc487900371"/>
      <w:bookmarkStart w:id="133" w:name="_Toc279701261"/>
      <w:bookmarkStart w:id="134" w:name="_Toc259093690"/>
      <w:bookmarkStart w:id="135" w:name="_Toc11284"/>
      <w:bookmarkStart w:id="136" w:name="_Toc19604"/>
      <w:bookmarkStart w:id="137" w:name="_Toc25182"/>
      <w:r>
        <w:rPr>
          <w:rFonts w:hint="eastAsia" w:ascii="仿宋_GB2312" w:hAnsi="仿宋" w:eastAsia="仿宋_GB2312" w:cs="仿宋"/>
          <w:b/>
          <w:sz w:val="24"/>
        </w:rPr>
        <w:t>2.17 通知</w:t>
      </w:r>
      <w:bookmarkEnd w:id="132"/>
      <w:bookmarkEnd w:id="133"/>
      <w:bookmarkEnd w:id="134"/>
      <w:r>
        <w:rPr>
          <w:rFonts w:hint="eastAsia" w:ascii="仿宋_GB2312" w:hAnsi="仿宋" w:eastAsia="仿宋_GB2312" w:cs="仿宋"/>
          <w:b/>
          <w:sz w:val="24"/>
        </w:rPr>
        <w:t>和送达</w:t>
      </w:r>
      <w:bookmarkEnd w:id="135"/>
      <w:bookmarkEnd w:id="136"/>
      <w:bookmarkEnd w:id="137"/>
    </w:p>
    <w:p>
      <w:pPr>
        <w:spacing w:line="560" w:lineRule="exact"/>
        <w:ind w:firstLine="480" w:firstLineChars="200"/>
        <w:rPr>
          <w:rFonts w:ascii="仿宋_GB2312" w:hAnsi="仿宋" w:eastAsia="仿宋_GB2312" w:cs="仿宋"/>
          <w:sz w:val="24"/>
        </w:rPr>
      </w:pPr>
      <w:bookmarkStart w:id="138" w:name="_Toc6698"/>
      <w:bookmarkStart w:id="139" w:name="_Toc3135"/>
      <w:bookmarkStart w:id="140" w:name="_Toc259093691"/>
      <w:bookmarkStart w:id="141" w:name="_Toc279701262"/>
      <w:bookmarkStart w:id="142" w:name="_Toc48790037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8"/>
      <w:bookmarkEnd w:id="139"/>
    </w:p>
    <w:p>
      <w:pPr>
        <w:spacing w:line="560" w:lineRule="exact"/>
        <w:ind w:firstLine="480" w:firstLineChars="200"/>
        <w:rPr>
          <w:rFonts w:ascii="仿宋_GB2312" w:hAnsi="仿宋" w:eastAsia="仿宋_GB2312" w:cs="仿宋"/>
          <w:sz w:val="24"/>
        </w:rPr>
      </w:pPr>
      <w:bookmarkStart w:id="143" w:name="_Toc23128"/>
      <w:bookmarkStart w:id="144" w:name="_Toc23294"/>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ascii="仿宋_GB2312" w:hAnsi="仿宋" w:eastAsia="仿宋_GB2312" w:cs="仿宋"/>
          <w:b/>
          <w:sz w:val="24"/>
        </w:rPr>
      </w:pPr>
      <w:bookmarkStart w:id="145" w:name="_Toc4355"/>
      <w:bookmarkStart w:id="146" w:name="_Toc18540"/>
      <w:bookmarkStart w:id="147" w:name="_Toc30599"/>
      <w:r>
        <w:rPr>
          <w:rFonts w:hint="eastAsia" w:ascii="仿宋_GB2312" w:hAnsi="仿宋" w:eastAsia="仿宋_GB2312" w:cs="仿宋"/>
          <w:b/>
          <w:sz w:val="24"/>
        </w:rPr>
        <w:t>2.18 计量单位</w:t>
      </w:r>
      <w:bookmarkEnd w:id="140"/>
      <w:bookmarkEnd w:id="141"/>
      <w:bookmarkEnd w:id="142"/>
      <w:bookmarkEnd w:id="145"/>
      <w:bookmarkEnd w:id="146"/>
      <w:bookmarkEnd w:id="14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48" w:name="_Toc259093692"/>
      <w:bookmarkStart w:id="149" w:name="_Toc279701263"/>
      <w:bookmarkStart w:id="150" w:name="_Toc10330"/>
      <w:bookmarkStart w:id="151" w:name="_Toc487900373"/>
      <w:bookmarkStart w:id="152" w:name="_Toc18567"/>
      <w:bookmarkStart w:id="153" w:name="_Toc12773"/>
      <w:r>
        <w:rPr>
          <w:rFonts w:hint="eastAsia" w:ascii="仿宋_GB2312" w:hAnsi="仿宋" w:eastAsia="仿宋_GB2312" w:cs="仿宋"/>
          <w:b/>
          <w:sz w:val="24"/>
        </w:rPr>
        <w:t>2.19 合同使用的文字和适用的法律</w:t>
      </w:r>
      <w:bookmarkEnd w:id="148"/>
      <w:bookmarkEnd w:id="149"/>
      <w:bookmarkEnd w:id="150"/>
      <w:bookmarkEnd w:id="151"/>
      <w:bookmarkEnd w:id="152"/>
      <w:bookmarkEnd w:id="15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outlineLvl w:val="0"/>
        <w:rPr>
          <w:rFonts w:ascii="仿宋_GB2312" w:hAnsi="仿宋" w:eastAsia="仿宋_GB2312" w:cs="仿宋"/>
          <w:b/>
          <w:sz w:val="24"/>
        </w:rPr>
      </w:pPr>
      <w:bookmarkStart w:id="154" w:name="_Toc6885"/>
      <w:bookmarkStart w:id="155" w:name="_Toc14001"/>
      <w:bookmarkStart w:id="156" w:name="_Toc19890"/>
      <w:r>
        <w:rPr>
          <w:rFonts w:hint="eastAsia" w:ascii="仿宋_GB2312" w:hAnsi="仿宋" w:eastAsia="仿宋_GB2312" w:cs="仿宋"/>
          <w:b/>
          <w:sz w:val="24"/>
        </w:rPr>
        <w:t>2.20 合同份数</w:t>
      </w:r>
      <w:bookmarkEnd w:id="154"/>
      <w:bookmarkEnd w:id="155"/>
      <w:bookmarkEnd w:id="15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pPr>
              <w:spacing w:line="360" w:lineRule="auto"/>
              <w:rPr>
                <w:rFonts w:ascii="仿宋_GB2312" w:hAnsi="仿宋" w:eastAsia="仿宋_GB2312" w:cs="仿宋"/>
                <w:sz w:val="24"/>
              </w:rPr>
            </w:pPr>
          </w:p>
        </w:tc>
      </w:tr>
    </w:tbl>
    <w:p>
      <w:pPr>
        <w:rPr>
          <w:rFonts w:ascii="仿宋_GB2312" w:hAnsi="仿宋" w:eastAsia="仿宋_GB2312" w:cs="仿宋"/>
        </w:rPr>
      </w:pPr>
    </w:p>
    <w:p>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60</w:t>
      </w:r>
      <w:r>
        <w:rPr>
          <w:rFonts w:hint="eastAsia" w:ascii="仿宋" w:hAnsi="仿宋" w:eastAsia="仿宋" w:cs="仿宋"/>
          <w:color w:val="auto"/>
          <w:sz w:val="24"/>
        </w:rPr>
        <w:t>分，价格分</w:t>
      </w:r>
      <w:r>
        <w:rPr>
          <w:rFonts w:hint="eastAsia" w:ascii="仿宋" w:hAnsi="仿宋" w:eastAsia="仿宋" w:cs="仿宋"/>
          <w:color w:val="auto"/>
          <w:sz w:val="24"/>
          <w:u w:val="single"/>
        </w:rPr>
        <w:t>40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60</w:t>
      </w:r>
      <w:r>
        <w:rPr>
          <w:rFonts w:hint="eastAsia" w:ascii="仿宋" w:hAnsi="仿宋" w:eastAsia="仿宋" w:cs="仿宋"/>
          <w:b/>
          <w:bCs/>
          <w:iCs/>
          <w:color w:val="auto"/>
          <w:sz w:val="24"/>
        </w:rPr>
        <w:t>分）</w:t>
      </w:r>
    </w:p>
    <w:p>
      <w:pPr>
        <w:spacing w:line="440" w:lineRule="exact"/>
        <w:rPr>
          <w:rFonts w:ascii="仿宋" w:hAnsi="仿宋" w:eastAsia="仿宋" w:cs="仿宋"/>
          <w:color w:val="auto"/>
          <w:sz w:val="24"/>
          <w:shd w:val="clear" w:color="auto" w:fill="FFFFFF"/>
        </w:rPr>
      </w:pPr>
      <w:r>
        <w:rPr>
          <w:rFonts w:hint="eastAsia" w:ascii="仿宋" w:hAnsi="仿宋" w:eastAsia="仿宋" w:cs="仿宋"/>
          <w:b/>
          <w:bCs/>
          <w:iCs/>
          <w:color w:val="auto"/>
          <w:sz w:val="24"/>
        </w:rPr>
        <w:t>01标评分标准：</w:t>
      </w:r>
    </w:p>
    <w:tbl>
      <w:tblPr>
        <w:tblStyle w:val="63"/>
        <w:tblpPr w:leftFromText="180" w:rightFromText="180" w:vertAnchor="text" w:horzAnchor="margin" w:tblpXSpec="center" w:tblpY="338"/>
        <w:tblOverlap w:val="never"/>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95"/>
        <w:gridCol w:w="733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14" w:type="dxa"/>
            <w:vAlign w:val="center"/>
          </w:tcPr>
          <w:p>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序号</w:t>
            </w:r>
          </w:p>
        </w:tc>
        <w:tc>
          <w:tcPr>
            <w:tcW w:w="1295" w:type="dxa"/>
            <w:vAlign w:val="center"/>
          </w:tcPr>
          <w:p>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评分项</w:t>
            </w:r>
          </w:p>
        </w:tc>
        <w:tc>
          <w:tcPr>
            <w:tcW w:w="7335" w:type="dxa"/>
            <w:vAlign w:val="center"/>
          </w:tcPr>
          <w:p>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评审依据及标准</w:t>
            </w:r>
          </w:p>
        </w:tc>
        <w:tc>
          <w:tcPr>
            <w:tcW w:w="795" w:type="dxa"/>
            <w:vAlign w:val="center"/>
          </w:tcPr>
          <w:p>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2" w:hRule="atLeast"/>
          <w:jc w:val="center"/>
        </w:trPr>
        <w:tc>
          <w:tcPr>
            <w:tcW w:w="814"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295" w:type="dxa"/>
            <w:vAlign w:val="center"/>
          </w:tcPr>
          <w:p>
            <w:pPr>
              <w:spacing w:line="300" w:lineRule="exact"/>
              <w:jc w:val="center"/>
              <w:rPr>
                <w:rFonts w:ascii="仿宋" w:hAnsi="仿宋" w:eastAsia="仿宋" w:cs="仿宋"/>
                <w:color w:val="auto"/>
                <w:kern w:val="0"/>
                <w:sz w:val="24"/>
              </w:rPr>
            </w:pPr>
            <w:r>
              <w:rPr>
                <w:rFonts w:hint="eastAsia" w:ascii="仿宋" w:hAnsi="仿宋" w:eastAsia="仿宋" w:cs="仿宋"/>
                <w:color w:val="auto"/>
                <w:sz w:val="24"/>
              </w:rPr>
              <w:t>企业业绩</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795" w:type="dxa"/>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14" w:type="dxa"/>
            <w:vAlign w:val="center"/>
          </w:tcPr>
          <w:p>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2</w:t>
            </w:r>
          </w:p>
        </w:tc>
        <w:tc>
          <w:tcPr>
            <w:tcW w:w="1295" w:type="dxa"/>
            <w:vAlign w:val="center"/>
          </w:tcPr>
          <w:p>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企业综合</w:t>
            </w:r>
            <w:r>
              <w:rPr>
                <w:rFonts w:ascii="仿宋" w:hAnsi="仿宋" w:eastAsia="仿宋" w:cs="仿宋"/>
                <w:bCs/>
                <w:iCs/>
                <w:color w:val="auto"/>
                <w:sz w:val="24"/>
              </w:rPr>
              <w:t>能力</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对投标人运营情况及效率，如经营能力和水平、经营产品的优异性等进行评价打分，0-4分。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投标人对照要求自行组织材料，无材料的，不得分。</w:t>
            </w:r>
          </w:p>
        </w:tc>
        <w:tc>
          <w:tcPr>
            <w:tcW w:w="795" w:type="dxa"/>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14"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3</w:t>
            </w:r>
          </w:p>
        </w:tc>
        <w:tc>
          <w:tcPr>
            <w:tcW w:w="1295"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样品</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结合投标人提供的样品，投标样品的材质、工艺、细节处理水平，功能、技术指标与需求的符合程度等由评标委员会进行综合评分：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一、序号3对讲机：</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2.语音质量、通信效果0-2分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二、序号14电话机：</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2.声音质量、通信效果0-2分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三、序号20点钞机：</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2.点钞速度等0-2分</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pPr>
              <w:spacing w:line="400" w:lineRule="exact"/>
              <w:ind w:firstLine="538" w:firstLineChars="200"/>
              <w:rPr>
                <w:rFonts w:hint="eastAsia" w:ascii="仿宋" w:hAnsi="仿宋" w:eastAsia="仿宋" w:cs="仿宋"/>
                <w:color w:val="auto"/>
                <w:sz w:val="24"/>
                <w:lang w:val="en-US" w:eastAsia="zh-CN"/>
              </w:rPr>
            </w:pPr>
            <w:r>
              <w:rPr>
                <w:rFonts w:hint="eastAsia" w:ascii="仿宋_GB2312" w:hAnsi="仿宋_GB2312" w:eastAsia="仿宋_GB2312" w:cs="仿宋_GB2312"/>
                <w:b/>
                <w:bCs/>
                <w:color w:val="auto"/>
                <w:spacing w:val="14"/>
                <w:sz w:val="24"/>
              </w:rPr>
              <w:t>注：</w:t>
            </w:r>
            <w:r>
              <w:rPr>
                <w:rFonts w:ascii="仿宋_GB2312" w:hAnsi="仿宋_GB2312" w:eastAsia="仿宋_GB2312" w:cs="仿宋_GB2312"/>
                <w:b/>
                <w:bCs/>
                <w:color w:val="auto"/>
                <w:spacing w:val="14"/>
                <w:sz w:val="24"/>
              </w:rPr>
              <w:t>对未提供样品或提供样品不满足采购</w:t>
            </w:r>
            <w:r>
              <w:rPr>
                <w:rFonts w:hint="eastAsia" w:ascii="仿宋_GB2312" w:hAnsi="仿宋_GB2312" w:eastAsia="仿宋_GB2312" w:cs="仿宋_GB2312"/>
                <w:b/>
                <w:bCs/>
                <w:color w:val="auto"/>
                <w:spacing w:val="14"/>
                <w:sz w:val="24"/>
              </w:rPr>
              <w:t>需</w:t>
            </w:r>
            <w:r>
              <w:rPr>
                <w:rFonts w:ascii="仿宋_GB2312" w:hAnsi="仿宋_GB2312" w:eastAsia="仿宋_GB2312" w:cs="仿宋_GB2312"/>
                <w:b/>
                <w:bCs/>
                <w:color w:val="auto"/>
                <w:spacing w:val="14"/>
                <w:sz w:val="24"/>
              </w:rPr>
              <w:t>求实质性条件的，按无效投标处理。</w:t>
            </w:r>
          </w:p>
        </w:tc>
        <w:tc>
          <w:tcPr>
            <w:tcW w:w="795" w:type="dxa"/>
            <w:vAlign w:val="center"/>
          </w:tcPr>
          <w:p>
            <w:pPr>
              <w:jc w:val="center"/>
              <w:rPr>
                <w:rFonts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14"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295"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技术响应</w:t>
            </w:r>
            <w:r>
              <w:rPr>
                <w:rFonts w:hint="eastAsia" w:ascii="仿宋" w:hAnsi="仿宋" w:eastAsia="仿宋" w:cs="仿宋"/>
                <w:b/>
                <w:bCs/>
                <w:color w:val="auto"/>
                <w:sz w:val="24"/>
              </w:rPr>
              <w:t>（样品除外）</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对应于招标文件第三部分招标项目范围及要求—采购清单—功能及主要技术参数：完全满足招标文件要求的得20分，每有一项负偏离扣0.5分，扣完为止。</w:t>
            </w:r>
          </w:p>
        </w:tc>
        <w:tc>
          <w:tcPr>
            <w:tcW w:w="795" w:type="dxa"/>
            <w:vAlign w:val="center"/>
          </w:tcPr>
          <w:p>
            <w:pPr>
              <w:snapToGrid w:val="0"/>
              <w:ind w:right="-130"/>
              <w:jc w:val="center"/>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4"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5</w:t>
            </w:r>
          </w:p>
        </w:tc>
        <w:tc>
          <w:tcPr>
            <w:tcW w:w="1295"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技术服务</w:t>
            </w:r>
            <w:r>
              <w:rPr>
                <w:rFonts w:ascii="仿宋" w:hAnsi="仿宋" w:eastAsia="仿宋" w:cs="仿宋"/>
                <w:bCs/>
                <w:iCs/>
                <w:color w:val="auto"/>
                <w:sz w:val="24"/>
              </w:rPr>
              <w:t>能力</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售后服务机构技术服务人员情况（提供姓名、工作经验、相关证书情况），需包含但不限于以下要点：①人员经验；②人员相关证书；③人员数量。由评标委员会进行评议：0-3分，未提供相关内容的不得分。0-3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根据投标人提供的，反映服务水平和能力的人员材料进行评价打分，无材料的，不得分。</w:t>
            </w:r>
          </w:p>
        </w:tc>
        <w:tc>
          <w:tcPr>
            <w:tcW w:w="795" w:type="dxa"/>
            <w:vAlign w:val="center"/>
          </w:tcPr>
          <w:p>
            <w:pPr>
              <w:ind w:left="-88" w:leftChars="-42" w:right="-113" w:rightChars="-54"/>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295" w:type="dxa"/>
            <w:vAlign w:val="center"/>
          </w:tcPr>
          <w:p>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供货方案</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根据投标人提供的供货方案，需包含但不限于以下要点：①供货期限；②交货方式；③供货保障流程；④供货流程要点；⑤供货实施步骤等。由评标委员会进行评议：0-3分。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bCs/>
                <w:iC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295" w:type="dxa"/>
            <w:vAlign w:val="center"/>
          </w:tcPr>
          <w:p>
            <w:pPr>
              <w:spacing w:line="400" w:lineRule="exact"/>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7335" w:type="dxa"/>
            <w:tcBorders>
              <w:bottom w:val="single" w:color="auto" w:sz="4" w:space="0"/>
            </w:tcBorders>
            <w:vAlign w:val="center"/>
          </w:tcPr>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根据投标人提供的安装与验收方案，需包含但不限于以下要点：①安装方案；②安装人员配置；③调试要求；④开箱测试方式；⑤产品验收方案。由评标委员会进行评议：0-3分。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pPr>
              <w:spacing w:line="400" w:lineRule="exact"/>
              <w:jc w:val="center"/>
              <w:rPr>
                <w:rFonts w:ascii="仿宋" w:hAnsi="仿宋" w:eastAsia="仿宋" w:cs="仿宋"/>
                <w:bCs/>
                <w:iCs/>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14" w:type="dxa"/>
            <w:tcBorders>
              <w:left w:val="single" w:color="auto" w:sz="4" w:space="0"/>
              <w:right w:val="single" w:color="auto" w:sz="4" w:space="0"/>
            </w:tcBorders>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95" w:type="dxa"/>
            <w:tcBorders>
              <w:top w:val="single" w:color="auto" w:sz="4" w:space="0"/>
              <w:left w:val="single" w:color="auto" w:sz="4" w:space="0"/>
              <w:right w:val="single" w:color="auto" w:sz="4" w:space="0"/>
            </w:tcBorders>
            <w:vAlign w:val="center"/>
          </w:tcPr>
          <w:p>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7335" w:type="dxa"/>
            <w:tcBorders>
              <w:left w:val="single" w:color="auto" w:sz="4" w:space="0"/>
              <w:righ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服务承诺，需包含但不限于以下要点：①服务方式；②服务响应时间；③技术支持；④服务体系；⑤退换货品承诺、⑥应急保障措施⑦维修保养措施等。由评标委员会进行评议：0-5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tcBorders>
              <w:left w:val="single" w:color="auto" w:sz="4" w:space="0"/>
              <w:right w:val="single" w:color="auto" w:sz="4" w:space="0"/>
            </w:tcBorders>
            <w:vAlign w:val="center"/>
          </w:tcPr>
          <w:p>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14"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95"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优惠措施</w:t>
            </w:r>
          </w:p>
        </w:tc>
        <w:tc>
          <w:tcPr>
            <w:tcW w:w="7335"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根据投标人提供的其它实质性优惠条件进行综合打分，每提供一个得1分，最高得3分，不提供不得分。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（注：所提供的优惠条件不能涉及报价）</w:t>
            </w:r>
          </w:p>
        </w:tc>
        <w:tc>
          <w:tcPr>
            <w:tcW w:w="795" w:type="dxa"/>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3</w:t>
            </w:r>
          </w:p>
        </w:tc>
      </w:tr>
    </w:tbl>
    <w:p>
      <w:pPr>
        <w:spacing w:line="440" w:lineRule="exact"/>
        <w:rPr>
          <w:rFonts w:ascii="仿宋" w:hAnsi="仿宋" w:eastAsia="仿宋" w:cs="仿宋"/>
          <w:color w:val="auto"/>
          <w:sz w:val="24"/>
          <w:shd w:val="clear" w:color="auto" w:fill="FFFFFF"/>
        </w:rPr>
      </w:pPr>
    </w:p>
    <w:p>
      <w:pPr>
        <w:snapToGrid w:val="0"/>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02标评分标准：</w:t>
      </w:r>
    </w:p>
    <w:tbl>
      <w:tblPr>
        <w:tblStyle w:val="6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260"/>
        <w:gridCol w:w="7424"/>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序号</w:t>
            </w:r>
          </w:p>
        </w:tc>
        <w:tc>
          <w:tcPr>
            <w:tcW w:w="1260" w:type="dxa"/>
            <w:vAlign w:val="center"/>
          </w:tcPr>
          <w:p>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7424" w:type="dxa"/>
            <w:vAlign w:val="center"/>
          </w:tcPr>
          <w:p>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评审依据及标准</w:t>
            </w:r>
          </w:p>
        </w:tc>
        <w:tc>
          <w:tcPr>
            <w:tcW w:w="706" w:type="dxa"/>
            <w:vAlign w:val="center"/>
          </w:tcPr>
          <w:p>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260" w:type="dxa"/>
            <w:vAlign w:val="center"/>
          </w:tcPr>
          <w:p>
            <w:pPr>
              <w:spacing w:line="400" w:lineRule="exact"/>
              <w:jc w:val="center"/>
              <w:rPr>
                <w:rFonts w:ascii="仿宋" w:hAnsi="仿宋" w:eastAsia="仿宋" w:cs="仿宋"/>
                <w:color w:val="auto"/>
                <w:kern w:val="0"/>
                <w:sz w:val="24"/>
              </w:rPr>
            </w:pPr>
            <w:r>
              <w:rPr>
                <w:rFonts w:hint="eastAsia" w:ascii="仿宋" w:hAnsi="仿宋" w:eastAsia="仿宋" w:cs="仿宋"/>
                <w:color w:val="auto"/>
                <w:sz w:val="24"/>
              </w:rPr>
              <w:t>企业业绩</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706" w:type="dxa"/>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260"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技术响应</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对应于招标文件第三部分招标项目范围及要求—采购清单—功能及主要技术参数，完全满足招标文件要求的得20分，打▲指标出现负偏离每项扣2分；其他一般性指标负偏离扣1分，扣完为止。</w:t>
            </w:r>
          </w:p>
        </w:tc>
        <w:tc>
          <w:tcPr>
            <w:tcW w:w="706"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78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260"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所投</w:t>
            </w:r>
            <w:r>
              <w:rPr>
                <w:rFonts w:ascii="仿宋" w:hAnsi="仿宋" w:eastAsia="仿宋" w:cs="仿宋"/>
                <w:color w:val="auto"/>
                <w:sz w:val="24"/>
              </w:rPr>
              <w:t>产品性能</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1、根据投标设备生产的技术先进性、产品创新性进行评价，综合所投设备的方法原理、技术路线、功能特点等方面打分，0-4分。</w:t>
            </w:r>
          </w:p>
          <w:p>
            <w:pPr>
              <w:spacing w:line="400" w:lineRule="exact"/>
              <w:rPr>
                <w:rFonts w:ascii="仿宋" w:hAnsi="仿宋" w:eastAsia="仿宋" w:cs="仿宋"/>
                <w:color w:val="auto"/>
                <w:sz w:val="24"/>
              </w:rPr>
            </w:pPr>
            <w:r>
              <w:rPr>
                <w:rFonts w:hint="eastAsia" w:ascii="仿宋" w:hAnsi="仿宋" w:eastAsia="仿宋" w:cs="仿宋"/>
                <w:color w:val="auto"/>
                <w:sz w:val="24"/>
                <w:lang w:val="en-US" w:eastAsia="zh-CN"/>
              </w:rPr>
              <w:t>2、根据投标设备性能稳定性、易用性、所投产品的</w:t>
            </w:r>
            <w:r>
              <w:rPr>
                <w:rFonts w:hint="eastAsia" w:ascii="仿宋" w:hAnsi="仿宋" w:eastAsia="仿宋" w:cs="仿宋"/>
                <w:color w:val="auto"/>
                <w:kern w:val="0"/>
                <w:sz w:val="24"/>
              </w:rPr>
              <w:t>操作便捷性、既往应用情况等方面打分</w:t>
            </w:r>
            <w:r>
              <w:rPr>
                <w:rFonts w:hint="eastAsia" w:ascii="仿宋" w:hAnsi="仿宋" w:eastAsia="仿宋" w:cs="仿宋"/>
                <w:color w:val="auto"/>
                <w:sz w:val="24"/>
                <w:lang w:val="en-US" w:eastAsia="zh-CN"/>
              </w:rPr>
              <w:t>，0-4分。</w:t>
            </w:r>
          </w:p>
        </w:tc>
        <w:tc>
          <w:tcPr>
            <w:tcW w:w="706" w:type="dxa"/>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781" w:type="dxa"/>
            <w:tcBorders>
              <w:top w:val="nil"/>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260" w:type="dxa"/>
            <w:tcBorders>
              <w:top w:val="nil"/>
              <w:left w:val="nil"/>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技术服务能力</w:t>
            </w:r>
          </w:p>
        </w:tc>
        <w:tc>
          <w:tcPr>
            <w:tcW w:w="7424" w:type="dxa"/>
            <w:vAlign w:val="center"/>
          </w:tcPr>
          <w:p>
            <w:pPr>
              <w:spacing w:line="400" w:lineRule="exact"/>
              <w:rPr>
                <w:rFonts w:hint="eastAsia" w:ascii="仿宋" w:hAnsi="仿宋" w:eastAsia="仿宋" w:cs="仿宋"/>
                <w:color w:val="auto"/>
                <w:sz w:val="24"/>
                <w:lang w:eastAsia="zh-CN"/>
              </w:rPr>
            </w:pPr>
            <w:r>
              <w:rPr>
                <w:rFonts w:hint="eastAsia" w:ascii="仿宋" w:hAnsi="仿宋" w:eastAsia="仿宋" w:cs="仿宋"/>
                <w:color w:val="auto"/>
                <w:sz w:val="24"/>
              </w:rPr>
              <w:t>根据投标人结合自身实际提供的售后服务机构技术服务人员情况（提供姓名、工作经验、相关证书情况），需包含但不限于以下要点：①人员经验；②人员相关证书；③人员数量。由评标委员会进行评议：0-3分</w:t>
            </w:r>
            <w:r>
              <w:rPr>
                <w:rFonts w:hint="eastAsia" w:ascii="仿宋" w:hAnsi="仿宋" w:eastAsia="仿宋" w:cs="仿宋"/>
                <w:color w:val="auto"/>
                <w:sz w:val="24"/>
                <w:lang w:eastAsia="zh-CN"/>
              </w:rPr>
              <w:t>。</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706" w:type="dxa"/>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1260"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供货方案</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根据投标人提供的供货方案，需包含但不限于以下要点：①供货期限；②交货方式；③供货保障流程；④供货流程要点；⑤供货实施步骤。由评标委员会进行评议：0-3</w:t>
            </w:r>
            <w:r>
              <w:rPr>
                <w:rFonts w:hint="eastAsia" w:ascii="仿宋" w:hAnsi="仿宋" w:eastAsia="仿宋" w:cs="仿宋"/>
                <w:color w:val="auto"/>
                <w:sz w:val="24"/>
                <w:lang w:val="en-US" w:eastAsia="zh-CN"/>
              </w:rPr>
              <w:t>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706" w:type="dxa"/>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260" w:type="dxa"/>
            <w:tcBorders>
              <w:top w:val="single" w:color="auto" w:sz="4" w:space="0"/>
              <w:left w:val="single" w:color="auto" w:sz="4" w:space="0"/>
            </w:tcBorders>
            <w:vAlign w:val="center"/>
          </w:tcPr>
          <w:p>
            <w:pPr>
              <w:spacing w:line="400" w:lineRule="exact"/>
              <w:jc w:val="center"/>
              <w:rPr>
                <w:rFonts w:ascii="仿宋" w:hAnsi="仿宋" w:eastAsia="仿宋" w:cs="仿宋"/>
                <w:b/>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7424" w:type="dxa"/>
            <w:vAlign w:val="center"/>
          </w:tcPr>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根据投标人提供的安装与验收方案，需包含但不限于以下要点：①安装方案；②安装人员配置；③调试要求；④开箱测试方式；⑤产品验收方案。由评标委员会进行评议：0-3分。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260" w:type="dxa"/>
            <w:tcBorders>
              <w:top w:val="single" w:color="auto" w:sz="4" w:space="0"/>
              <w:left w:val="single" w:color="auto" w:sz="4" w:space="0"/>
            </w:tcBorders>
            <w:vAlign w:val="center"/>
          </w:tcPr>
          <w:p>
            <w:pPr>
              <w:spacing w:line="400" w:lineRule="exact"/>
              <w:jc w:val="center"/>
              <w:rPr>
                <w:rFonts w:ascii="仿宋" w:hAnsi="仿宋" w:eastAsia="仿宋" w:cs="仿宋"/>
                <w:bCs/>
                <w:color w:val="auto"/>
                <w:kern w:val="0"/>
                <w:sz w:val="24"/>
              </w:rPr>
            </w:pPr>
            <w:r>
              <w:rPr>
                <w:rFonts w:hint="eastAsia" w:ascii="仿宋" w:hAnsi="仿宋" w:eastAsia="仿宋" w:cs="仿宋"/>
                <w:color w:val="auto"/>
                <w:sz w:val="24"/>
              </w:rPr>
              <w:t>应急保障方案</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根据投标人提供与医院实际相结合的应急保障方案，需包含但不限于以下要点：①应急响应时间②应急处置措施③提供应急设备等进行打分，0-3分。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1" w:type="dxa"/>
            <w:tcBorders>
              <w:left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60" w:type="dxa"/>
            <w:tcBorders>
              <w:top w:val="single" w:color="auto" w:sz="4" w:space="0"/>
              <w:left w:val="single" w:color="auto" w:sz="4" w:space="0"/>
            </w:tcBorders>
            <w:vAlign w:val="center"/>
          </w:tcPr>
          <w:p>
            <w:pPr>
              <w:spacing w:line="400" w:lineRule="exact"/>
              <w:jc w:val="center"/>
              <w:rPr>
                <w:rFonts w:ascii="仿宋" w:hAnsi="仿宋" w:eastAsia="仿宋" w:cs="仿宋"/>
                <w:b/>
                <w:color w:val="auto"/>
                <w:kern w:val="0"/>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根据投标人结合自身实际提供的服务承诺，需包含但不限于以下要点：①服务方式；②服务响应时间；③技术支持；④服务体系；⑤退换货品承诺等。由评标委员会进行评议：0-6分。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06" w:type="dxa"/>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1" w:type="dxa"/>
            <w:tcBorders>
              <w:lef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60"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质保期</w:t>
            </w:r>
          </w:p>
        </w:tc>
        <w:tc>
          <w:tcPr>
            <w:tcW w:w="7424" w:type="dxa"/>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在满足招标文件免费质保年限要求的基础上，每延长免费原厂质保期1年加2分，不足1年不计分，最高得6分。</w:t>
            </w:r>
          </w:p>
        </w:tc>
        <w:tc>
          <w:tcPr>
            <w:tcW w:w="706"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81" w:type="dxa"/>
            <w:tcBorders>
              <w:left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260" w:type="dxa"/>
            <w:tcBorders>
              <w:top w:val="single" w:color="auto" w:sz="4" w:space="0"/>
              <w:lef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优惠措施</w:t>
            </w:r>
          </w:p>
        </w:tc>
        <w:tc>
          <w:tcPr>
            <w:tcW w:w="7424" w:type="dxa"/>
            <w:tcBorders>
              <w:top w:val="single" w:color="auto" w:sz="4" w:space="0"/>
              <w:righ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根据投标人提供的配件供应及价格的合理性打分，0-4分。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（注：所提供的优惠条件不能涉及报价）</w:t>
            </w:r>
          </w:p>
        </w:tc>
        <w:tc>
          <w:tcPr>
            <w:tcW w:w="706" w:type="dxa"/>
            <w:tcBorders>
              <w:top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ascii="仿宋" w:hAnsi="仿宋" w:eastAsia="仿宋" w:cs="仿宋"/>
                <w:color w:val="auto"/>
                <w:sz w:val="24"/>
              </w:rPr>
              <w:t>4</w:t>
            </w:r>
          </w:p>
        </w:tc>
      </w:tr>
    </w:tbl>
    <w:p>
      <w:pPr>
        <w:snapToGrid w:val="0"/>
        <w:spacing w:line="440" w:lineRule="exact"/>
        <w:rPr>
          <w:rFonts w:hint="eastAsia" w:ascii="仿宋" w:hAnsi="仿宋" w:eastAsia="仿宋" w:cs="仿宋"/>
          <w:b/>
          <w:bCs/>
          <w:iCs/>
          <w:color w:val="auto"/>
          <w:sz w:val="24"/>
        </w:rPr>
      </w:pP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03标</w:t>
      </w:r>
      <w:r>
        <w:rPr>
          <w:rFonts w:hint="eastAsia" w:ascii="仿宋" w:hAnsi="仿宋" w:eastAsia="仿宋" w:cs="仿宋"/>
          <w:b/>
          <w:bCs/>
          <w:iCs/>
          <w:color w:val="auto"/>
          <w:sz w:val="24"/>
        </w:rPr>
        <w:t>评分标准</w:t>
      </w:r>
      <w:r>
        <w:rPr>
          <w:rFonts w:hint="eastAsia" w:ascii="仿宋" w:hAnsi="仿宋" w:eastAsia="仿宋" w:cs="仿宋"/>
          <w:b/>
          <w:color w:val="auto"/>
          <w:sz w:val="24"/>
        </w:rPr>
        <w:t>：</w:t>
      </w:r>
    </w:p>
    <w:tbl>
      <w:tblPr>
        <w:tblStyle w:val="63"/>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30"/>
        <w:gridCol w:w="6870"/>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序号</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评分项</w:t>
            </w:r>
          </w:p>
        </w:tc>
        <w:tc>
          <w:tcPr>
            <w:tcW w:w="6870"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评审依据及标准</w:t>
            </w:r>
          </w:p>
        </w:tc>
        <w:tc>
          <w:tcPr>
            <w:tcW w:w="9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auto"/>
                <w:kern w:val="0"/>
                <w:sz w:val="24"/>
              </w:rPr>
            </w:pPr>
            <w:r>
              <w:rPr>
                <w:rFonts w:hint="eastAsia" w:ascii="仿宋" w:hAnsi="仿宋" w:eastAsia="仿宋" w:cs="仿宋"/>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1</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bCs/>
                <w:color w:val="auto"/>
                <w:kern w:val="0"/>
                <w:sz w:val="24"/>
              </w:rPr>
              <w:t>企业业绩</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bCs/>
                <w:color w:val="auto"/>
                <w:kern w:val="0"/>
                <w:sz w:val="24"/>
              </w:rPr>
              <w:t>2</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bCs/>
                <w:color w:val="auto"/>
                <w:kern w:val="0"/>
                <w:sz w:val="24"/>
              </w:rPr>
              <w:t>技术</w:t>
            </w:r>
            <w:r>
              <w:rPr>
                <w:rFonts w:ascii="仿宋" w:hAnsi="仿宋" w:eastAsia="仿宋" w:cs="仿宋"/>
                <w:bCs/>
                <w:color w:val="auto"/>
                <w:kern w:val="0"/>
                <w:sz w:val="24"/>
              </w:rPr>
              <w:t>响应</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对应于招标文件第三部分招标项目范围及要求—采购清单—功能及主要技术参数，完全满足招标文件要求的得20分，打▲指标出现负偏离每项扣2分；其他一般性指标负偏离扣1分，扣完为止。</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olor w:val="auto"/>
                <w:sz w:val="24"/>
              </w:rPr>
              <w:t>3</w:t>
            </w:r>
          </w:p>
        </w:tc>
        <w:tc>
          <w:tcPr>
            <w:tcW w:w="123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olor w:val="auto"/>
                <w:sz w:val="24"/>
              </w:rPr>
            </w:pPr>
            <w:r>
              <w:rPr>
                <w:rFonts w:hint="eastAsia" w:ascii="仿宋" w:hAnsi="仿宋" w:eastAsia="仿宋"/>
                <w:color w:val="auto"/>
                <w:sz w:val="24"/>
              </w:rPr>
              <w:t>所投产品</w:t>
            </w:r>
          </w:p>
          <w:p>
            <w:pPr>
              <w:widowControl/>
              <w:jc w:val="center"/>
              <w:rPr>
                <w:rFonts w:ascii="仿宋" w:hAnsi="仿宋" w:eastAsia="仿宋" w:cs="仿宋"/>
                <w:color w:val="auto"/>
                <w:sz w:val="24"/>
              </w:rPr>
            </w:pPr>
            <w:r>
              <w:rPr>
                <w:rFonts w:hint="eastAsia" w:ascii="仿宋" w:hAnsi="仿宋" w:eastAsia="仿宋"/>
                <w:color w:val="auto"/>
                <w:sz w:val="24"/>
              </w:rPr>
              <w:t>性能</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根据投标设备研发生产的技术先进性、产品创新性进行评价，综合所投设备的方法原理、技术路线、功能特点等方面进行综合打分，0-4分。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olor w:val="auto"/>
                <w:sz w:val="24"/>
              </w:rPr>
            </w:pPr>
          </w:p>
        </w:tc>
        <w:tc>
          <w:tcPr>
            <w:tcW w:w="1230"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根据投标设备性能稳定性、准确性和可靠性、市场应用状况、使用所限等方面进行综合打分，0-4分。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rPr>
            </w:pPr>
            <w:r>
              <w:rPr>
                <w:rFonts w:hint="eastAsia" w:ascii="仿宋" w:hAnsi="仿宋" w:eastAsia="仿宋" w:cs="仿宋"/>
                <w:color w:val="auto"/>
                <w:sz w:val="24"/>
              </w:rPr>
              <w:t>4</w:t>
            </w:r>
          </w:p>
        </w:tc>
        <w:tc>
          <w:tcPr>
            <w:tcW w:w="123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color w:val="auto"/>
                <w:sz w:val="24"/>
              </w:rPr>
              <w:t>供货方案</w:t>
            </w:r>
          </w:p>
        </w:tc>
        <w:tc>
          <w:tcPr>
            <w:tcW w:w="6870"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根据投标人提供的供货方案，需包含但不限于以下要点：①供货期限；②交货方式；③供货保障流程；④供货流程要点；⑤供货实施步骤等。由评标委员会进行综合评议：0-3分。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5</w:t>
            </w:r>
          </w:p>
        </w:tc>
        <w:tc>
          <w:tcPr>
            <w:tcW w:w="1230" w:type="dxa"/>
            <w:tcBorders>
              <w:top w:val="single" w:color="auto" w:sz="4" w:space="0"/>
              <w:left w:val="single" w:color="auto" w:sz="4" w:space="0"/>
            </w:tcBorders>
            <w:vAlign w:val="center"/>
          </w:tcPr>
          <w:p>
            <w:pPr>
              <w:widowControl/>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6870" w:type="dxa"/>
            <w:tcBorders>
              <w:top w:val="single" w:color="auto" w:sz="4" w:space="0"/>
              <w:left w:val="single" w:color="auto" w:sz="4" w:space="0"/>
            </w:tcBorders>
            <w:vAlign w:val="center"/>
          </w:tcPr>
          <w:p>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rPr>
              <w:t>根据投标人提供的安装与验收方案，需包含但不限于以下要点：①安装方案；②安装人员配置；③调试要求；④开箱测试方式；⑤产品验收方案。由评标委员会进行综合评议：</w:t>
            </w:r>
            <w:r>
              <w:rPr>
                <w:rFonts w:hint="eastAsia" w:ascii="仿宋" w:hAnsi="仿宋" w:eastAsia="仿宋" w:cs="仿宋"/>
                <w:color w:val="auto"/>
                <w:sz w:val="24"/>
                <w:lang w:val="en-US" w:eastAsia="zh-CN"/>
              </w:rPr>
              <w:t>0-3分。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doub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0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6</w:t>
            </w:r>
          </w:p>
        </w:tc>
        <w:tc>
          <w:tcPr>
            <w:tcW w:w="1230" w:type="dxa"/>
            <w:tcBorders>
              <w:top w:val="single" w:color="auto" w:sz="4" w:space="0"/>
              <w:left w:val="nil"/>
              <w:bottom w:val="single" w:color="auto" w:sz="4" w:space="0"/>
              <w:right w:val="single" w:color="auto" w:sz="4" w:space="0"/>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6870" w:type="dxa"/>
            <w:tcBorders>
              <w:top w:val="single" w:color="auto" w:sz="4" w:space="0"/>
              <w:left w:val="nil"/>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根据投标人技术服务力量进行评价，综合投标人所具备的技术人员数量、培训情况、所投标设备既往服务采购人情况等方面打分；0-4分。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902" w:type="dxa"/>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7</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仿宋" w:hAnsi="仿宋" w:eastAsia="仿宋" w:cs="仿宋"/>
                <w:bCs/>
                <w:color w:val="auto"/>
                <w:kern w:val="0"/>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与采购人实际相符合的实质性服务承诺及保障措施，需包含但不限于以下要点：①服务方式；②服务响应时间；③技术支持；④服务体系；⑤退换货品承诺、⑥应急保障等。由评标委员会进行综合评议：0-6分。</w:t>
            </w:r>
          </w:p>
          <w:p>
            <w:pPr>
              <w:spacing w:line="400" w:lineRule="exact"/>
              <w:rPr>
                <w:rFonts w:ascii="仿宋" w:hAnsi="仿宋" w:eastAsia="仿宋" w:cs="仿宋"/>
                <w:color w:val="auto"/>
                <w:sz w:val="24"/>
              </w:rPr>
            </w:pPr>
            <w:r>
              <w:rPr>
                <w:rFonts w:hint="eastAsia" w:ascii="仿宋" w:hAnsi="仿宋" w:eastAsia="仿宋" w:cs="仿宋"/>
                <w:color w:val="auto"/>
                <w:sz w:val="24"/>
              </w:rPr>
              <w:t>未提供相关内容的不得分。</w:t>
            </w:r>
          </w:p>
        </w:tc>
        <w:tc>
          <w:tcPr>
            <w:tcW w:w="909" w:type="dxa"/>
            <w:tcBorders>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2" w:type="dxa"/>
            <w:tcBorders>
              <w:left w:val="single" w:color="auto" w:sz="4" w:space="0"/>
              <w:right w:val="single" w:color="auto" w:sz="4" w:space="0"/>
            </w:tcBorders>
            <w:vAlign w:val="center"/>
          </w:tcPr>
          <w:p>
            <w:pPr>
              <w:widowControl/>
              <w:jc w:val="center"/>
              <w:rPr>
                <w:rFonts w:ascii="仿宋" w:hAnsi="仿宋" w:eastAsia="仿宋" w:cs="仿宋"/>
                <w:color w:val="auto"/>
                <w:sz w:val="24"/>
              </w:rPr>
            </w:pPr>
            <w:r>
              <w:rPr>
                <w:rFonts w:hint="eastAsia" w:ascii="仿宋" w:hAnsi="仿宋" w:eastAsia="仿宋" w:cs="仿宋"/>
                <w:color w:val="auto"/>
                <w:sz w:val="24"/>
              </w:rPr>
              <w:t>8</w:t>
            </w:r>
          </w:p>
        </w:tc>
        <w:tc>
          <w:tcPr>
            <w:tcW w:w="1230" w:type="dxa"/>
            <w:tcBorders>
              <w:top w:val="single" w:color="auto" w:sz="4" w:space="0"/>
              <w:left w:val="single" w:color="auto" w:sz="4" w:space="0"/>
              <w:right w:val="single" w:color="auto" w:sz="4" w:space="0"/>
            </w:tcBorders>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质保期</w:t>
            </w:r>
          </w:p>
        </w:tc>
        <w:tc>
          <w:tcPr>
            <w:tcW w:w="6870" w:type="dxa"/>
            <w:tcBorders>
              <w:top w:val="single" w:color="auto" w:sz="4" w:space="0"/>
              <w:left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在满足招标文件免费质保年限要求的基础上，每延长免费原厂质保期1年加2分，不足1年不计分，最高得6分。（承诺延长的质保期需同样免费提供维修保养服务）</w:t>
            </w:r>
          </w:p>
        </w:tc>
        <w:tc>
          <w:tcPr>
            <w:tcW w:w="909" w:type="dxa"/>
            <w:tcBorders>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0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480" w:lineRule="auto"/>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23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bCs/>
                <w:color w:val="auto"/>
                <w:kern w:val="0"/>
                <w:sz w:val="24"/>
              </w:rPr>
              <w:t>优惠措施</w:t>
            </w: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根据投标人提供的消耗品、选配件是否通用等的合理性进行综合打分。0-4分。</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4"/>
              </w:rPr>
            </w:pPr>
          </w:p>
        </w:tc>
        <w:tc>
          <w:tcPr>
            <w:tcW w:w="1230" w:type="dxa"/>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p>
        </w:tc>
        <w:tc>
          <w:tcPr>
            <w:tcW w:w="687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根据投标人提供的备品、备件实施方案的可行性和优惠性进行综合打分0-2分。</w:t>
            </w:r>
            <w:r>
              <w:rPr>
                <w:rFonts w:hint="eastAsia" w:ascii="仿宋" w:hAnsi="仿宋" w:eastAsia="仿宋" w:cs="仿宋"/>
                <w:bCs/>
                <w:snapToGrid w:val="0"/>
                <w:color w:val="auto"/>
                <w:kern w:val="0"/>
                <w:sz w:val="24"/>
              </w:rPr>
              <w:t>（注：所提供的优惠条件不能涉及报价）</w:t>
            </w:r>
          </w:p>
        </w:tc>
        <w:tc>
          <w:tcPr>
            <w:tcW w:w="90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rPr>
            </w:pPr>
            <w:r>
              <w:rPr>
                <w:rFonts w:ascii="仿宋" w:hAnsi="仿宋" w:eastAsia="仿宋" w:cs="仿宋"/>
                <w:color w:val="auto"/>
                <w:sz w:val="24"/>
              </w:rPr>
              <w:t>2</w:t>
            </w:r>
          </w:p>
        </w:tc>
      </w:tr>
    </w:tbl>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40</w:t>
      </w:r>
      <w:r>
        <w:rPr>
          <w:rFonts w:hint="eastAsia" w:ascii="仿宋" w:hAnsi="仿宋" w:eastAsia="仿宋" w:cs="仿宋"/>
          <w:b/>
          <w:bCs/>
          <w:iCs/>
          <w:color w:val="auto"/>
          <w:sz w:val="24"/>
        </w:rPr>
        <w:t>分）（01、02、03）</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w:t>
      </w:r>
      <w:r>
        <w:rPr>
          <w:rFonts w:ascii="仿宋_GB2312" w:hAnsi="宋体" w:eastAsia="仿宋_GB2312"/>
          <w:bCs/>
          <w:iCs/>
          <w:color w:val="auto"/>
          <w:sz w:val="24"/>
        </w:rPr>
        <w:t>=(评标基准价／投标报价)×价格权值×100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_GB2312" w:hAnsi="宋体" w:eastAsia="仿宋_GB2312"/>
          <w:bCs/>
          <w:iCs/>
          <w:color w:val="auto"/>
          <w:sz w:val="24"/>
        </w:rPr>
        <w:t>即：投标报价得分</w:t>
      </w:r>
      <w:r>
        <w:rPr>
          <w:rFonts w:ascii="仿宋_GB2312" w:hAnsi="宋体" w:eastAsia="仿宋_GB2312"/>
          <w:bCs/>
          <w:iCs/>
          <w:color w:val="auto"/>
          <w:sz w:val="24"/>
        </w:rPr>
        <w:t>=(评标基准价／投标报价)×</w:t>
      </w:r>
      <w:r>
        <w:rPr>
          <w:rFonts w:hint="eastAsia" w:ascii="仿宋_GB2312" w:hAnsi="宋体" w:eastAsia="仿宋_GB2312"/>
          <w:bCs/>
          <w:iCs/>
          <w:color w:val="auto"/>
          <w:sz w:val="24"/>
          <w:lang w:val="en-US" w:eastAsia="zh-CN"/>
        </w:rPr>
        <w:t>4</w:t>
      </w:r>
      <w:r>
        <w:rPr>
          <w:rFonts w:ascii="仿宋_GB2312" w:hAnsi="宋体" w:eastAsia="仿宋_GB2312"/>
          <w:bCs/>
          <w:iCs/>
          <w:color w:val="auto"/>
          <w:sz w:val="24"/>
        </w:rPr>
        <w:t>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宋体" w:eastAsia="仿宋_GB2312"/>
          <w:b/>
          <w:sz w:val="36"/>
          <w:szCs w:val="36"/>
        </w:rPr>
      </w:pPr>
    </w:p>
    <w:p>
      <w:pPr>
        <w:pStyle w:val="25"/>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绍兴市人民医院镜湖总院电器类采购项目（重招）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eastAsia="zh-CN"/>
          <w14:textFill>
            <w14:solidFill>
              <w14:schemeClr w14:val="tx1"/>
            </w14:solidFill>
          </w14:textFill>
        </w:rPr>
        <w:t>SXJHCG-2024-N0223</w:t>
      </w:r>
      <w:r>
        <w:rPr>
          <w:rFonts w:hint="eastAsia" w:ascii="仿宋_GB2312" w:hAnsi="仿宋" w:eastAsia="仿宋_GB2312" w:cs="仿宋"/>
          <w:color w:val="000000" w:themeColor="text1"/>
          <w:sz w:val="24"/>
          <w14:textFill>
            <w14:solidFill>
              <w14:schemeClr w14:val="tx1"/>
            </w14:solidFill>
          </w14:textFill>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8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100"/>
        <w:spacing w:after="120" w:line="336" w:lineRule="auto"/>
        <w:ind w:firstLine="480"/>
        <w:rPr>
          <w:rFonts w:ascii="仿宋_GB2312" w:hAnsi="仿宋" w:eastAsia="仿宋_GB2312" w:cs="仿宋"/>
          <w:szCs w:val="24"/>
        </w:rPr>
      </w:pPr>
    </w:p>
    <w:p>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绍兴市人民医院镜湖总院电器类采购项目（重招）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绍兴市人民医院镜湖总院电器类采购项目（重招）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4"/>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8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1"/>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按你方招标文件要求，我们，本投标文件签字方，谨此向你方发出要约如下：如你方接受本投标，我方承诺按照如下开标一览表（报价表）的价格完成绍兴市人民医院镜湖总院电器类采购项目（重招</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p>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01标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434"/>
        <w:gridCol w:w="1677"/>
        <w:gridCol w:w="1559"/>
        <w:gridCol w:w="1384"/>
        <w:gridCol w:w="1384"/>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4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pPr>
              <w:spacing w:line="360" w:lineRule="auto"/>
              <w:jc w:val="center"/>
              <w:rPr>
                <w:rFonts w:hint="eastAsia" w:ascii="仿宋_GB2312" w:hAnsi="仿宋" w:eastAsia="仿宋_GB2312" w:cs="仿宋"/>
                <w:b/>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2445"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小音箱</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restart"/>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喊话机（耳麦）</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婴儿电子秤</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智能体脂秤</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电脑写字板</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电动订书机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封口机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声贝监测仪</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天平</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鹅颈灯</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电话机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记录仪</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语音显示器</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收款钱箱</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19</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点钞机(样品)</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1417" w:type="dxa"/>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一体化速印机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w:t>
            </w:r>
          </w:p>
        </w:tc>
        <w:tc>
          <w:tcPr>
            <w:tcW w:w="1417" w:type="dxa"/>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净化超净台</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pPr>
              <w:spacing w:line="360" w:lineRule="auto"/>
              <w:jc w:val="center"/>
              <w:rPr>
                <w:rFonts w:ascii="仿宋_GB2312" w:hAnsi="仿宋" w:eastAsia="仿宋_GB2312" w:cs="仿宋"/>
                <w:sz w:val="24"/>
              </w:rPr>
            </w:pPr>
          </w:p>
        </w:tc>
      </w:tr>
    </w:tbl>
    <w:p>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02标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725"/>
        <w:gridCol w:w="1980"/>
        <w:gridCol w:w="1590"/>
        <w:gridCol w:w="1677"/>
        <w:gridCol w:w="1559"/>
        <w:gridCol w:w="1384"/>
        <w:gridCol w:w="1384"/>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93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725"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980"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159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pPr>
              <w:spacing w:line="360" w:lineRule="auto"/>
              <w:jc w:val="center"/>
              <w:rPr>
                <w:rFonts w:hint="eastAsia" w:ascii="仿宋_GB2312" w:hAnsi="仿宋" w:eastAsia="仿宋_GB2312" w:cs="仿宋"/>
                <w:b/>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2445"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33"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壁挂式循环风紫外线空气消毒机</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restart"/>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壁挂式等离子体空气消毒机</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吸顶式150立方等离子体空气消毒机</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移动紫外线消毒灯</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床单位消毒器</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33"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725" w:type="dxa"/>
            <w:vAlign w:val="center"/>
          </w:tcPr>
          <w:p>
            <w:pPr>
              <w:widowControl/>
              <w:adjustRightInd/>
              <w:jc w:val="left"/>
              <w:rPr>
                <w:rFonts w:ascii="仿宋_GB2312" w:hAnsi="仿宋" w:eastAsia="仿宋_GB2312" w:cs="仿宋"/>
                <w:sz w:val="24"/>
              </w:rPr>
            </w:pPr>
            <w:r>
              <w:rPr>
                <w:rFonts w:hint="eastAsia" w:ascii="仿宋" w:hAnsi="仿宋" w:eastAsia="仿宋" w:cs="仿宋"/>
                <w:color w:val="000000"/>
                <w:kern w:val="0"/>
                <w:sz w:val="24"/>
                <w:szCs w:val="24"/>
              </w:rPr>
              <w:t>过氧化氢消毒机</w:t>
            </w:r>
          </w:p>
        </w:tc>
        <w:tc>
          <w:tcPr>
            <w:tcW w:w="1980" w:type="dxa"/>
            <w:vAlign w:val="center"/>
          </w:tcPr>
          <w:p>
            <w:pPr>
              <w:snapToGrid w:val="0"/>
              <w:spacing w:line="360" w:lineRule="auto"/>
              <w:jc w:val="center"/>
              <w:rPr>
                <w:rFonts w:ascii="仿宋_GB2312" w:hAnsi="仿宋" w:eastAsia="仿宋_GB2312" w:cs="仿宋"/>
                <w:sz w:val="24"/>
              </w:rPr>
            </w:pPr>
          </w:p>
        </w:tc>
        <w:tc>
          <w:tcPr>
            <w:tcW w:w="1590"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pPr>
              <w:spacing w:line="360" w:lineRule="auto"/>
              <w:jc w:val="center"/>
              <w:rPr>
                <w:rFonts w:ascii="仿宋_GB2312" w:hAnsi="仿宋" w:eastAsia="仿宋_GB2312" w:cs="仿宋"/>
                <w:sz w:val="24"/>
              </w:rPr>
            </w:pPr>
          </w:p>
        </w:tc>
      </w:tr>
    </w:tbl>
    <w:p>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pPr>
        <w:snapToGrid w:val="0"/>
        <w:spacing w:line="360" w:lineRule="auto"/>
        <w:ind w:firstLine="480" w:firstLineChars="200"/>
        <w:jc w:val="left"/>
        <w:rPr>
          <w:rFonts w:hint="default"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eastAsia" w:ascii="仿宋_GB2312" w:hAnsi="仿宋" w:eastAsia="仿宋_GB2312" w:cs="仿宋"/>
          <w:kern w:val="0"/>
          <w:sz w:val="24"/>
          <w:lang w:val="en-US" w:eastAsia="zh-CN"/>
        </w:rPr>
      </w:pPr>
    </w:p>
    <w:p>
      <w:pPr>
        <w:snapToGrid w:val="0"/>
        <w:spacing w:line="360" w:lineRule="auto"/>
        <w:ind w:firstLine="480" w:firstLineChars="200"/>
        <w:jc w:val="left"/>
        <w:rPr>
          <w:rFonts w:hint="default"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03标</w:t>
      </w:r>
    </w:p>
    <w:tbl>
      <w:tblPr>
        <w:tblStyle w:val="63"/>
        <w:tblW w:w="14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434"/>
        <w:gridCol w:w="1677"/>
        <w:gridCol w:w="1559"/>
        <w:gridCol w:w="1384"/>
        <w:gridCol w:w="1384"/>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4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384" w:type="dxa"/>
            <w:vAlign w:val="center"/>
          </w:tcPr>
          <w:p>
            <w:pPr>
              <w:spacing w:line="360" w:lineRule="auto"/>
              <w:jc w:val="center"/>
              <w:rPr>
                <w:rFonts w:hint="eastAsia" w:ascii="仿宋_GB2312" w:hAnsi="仿宋" w:eastAsia="仿宋_GB2312" w:cs="仿宋"/>
                <w:b/>
                <w:color w:val="auto"/>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2445"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多功能自由配方粉末混合包装机（核心产品）</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restart"/>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全自动液体灌装机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恒温定量水机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color w:val="0000FF"/>
                <w:sz w:val="24"/>
              </w:rPr>
            </w:pPr>
          </w:p>
        </w:tc>
        <w:tc>
          <w:tcPr>
            <w:tcW w:w="1677" w:type="dxa"/>
            <w:vAlign w:val="center"/>
          </w:tcPr>
          <w:p>
            <w:pPr>
              <w:snapToGrid w:val="0"/>
              <w:spacing w:line="360" w:lineRule="auto"/>
              <w:jc w:val="center"/>
              <w:rPr>
                <w:rFonts w:ascii="仿宋_GB2312" w:hAnsi="仿宋" w:eastAsia="仿宋_GB2312" w:cs="仿宋"/>
                <w:color w:val="0000FF"/>
                <w:sz w:val="24"/>
              </w:rPr>
            </w:pPr>
          </w:p>
        </w:tc>
        <w:tc>
          <w:tcPr>
            <w:tcW w:w="1559" w:type="dxa"/>
            <w:vAlign w:val="center"/>
          </w:tcPr>
          <w:p>
            <w:pPr>
              <w:spacing w:line="360" w:lineRule="auto"/>
              <w:jc w:val="center"/>
              <w:rPr>
                <w:rFonts w:ascii="仿宋_GB2312" w:hAnsi="仿宋" w:eastAsia="仿宋_GB2312" w:cs="仿宋"/>
                <w:color w:val="0000FF"/>
                <w:sz w:val="24"/>
              </w:rPr>
            </w:pPr>
          </w:p>
        </w:tc>
        <w:tc>
          <w:tcPr>
            <w:tcW w:w="1384" w:type="dxa"/>
            <w:vMerge w:val="continue"/>
            <w:vAlign w:val="center"/>
          </w:tcPr>
          <w:p>
            <w:pPr>
              <w:spacing w:line="360" w:lineRule="auto"/>
              <w:jc w:val="center"/>
              <w:rPr>
                <w:rFonts w:ascii="仿宋_GB2312" w:hAnsi="仿宋" w:eastAsia="仿宋_GB2312" w:cs="仿宋"/>
                <w:color w:val="0000FF"/>
                <w:sz w:val="24"/>
              </w:rPr>
            </w:pPr>
          </w:p>
        </w:tc>
        <w:tc>
          <w:tcPr>
            <w:tcW w:w="1384" w:type="dxa"/>
            <w:vAlign w:val="center"/>
          </w:tcPr>
          <w:p>
            <w:pPr>
              <w:spacing w:line="360" w:lineRule="auto"/>
              <w:jc w:val="center"/>
              <w:rPr>
                <w:rFonts w:ascii="仿宋_GB2312" w:hAnsi="仿宋" w:eastAsia="仿宋_GB2312" w:cs="仿宋"/>
                <w:color w:val="0000FF"/>
                <w:sz w:val="24"/>
              </w:rPr>
            </w:pPr>
          </w:p>
        </w:tc>
        <w:tc>
          <w:tcPr>
            <w:tcW w:w="2445" w:type="dxa"/>
            <w:vAlign w:val="center"/>
          </w:tcPr>
          <w:p>
            <w:pPr>
              <w:spacing w:line="360" w:lineRule="auto"/>
              <w:jc w:val="center"/>
              <w:rPr>
                <w:rFonts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反渗透净水机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恒温摇床</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留样冰箱</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冷藏冰箱</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烘干消毒机</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食物电子秤</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皮褶厚度计</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电子握力计</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烧杯</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玻棒</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不锈钢托盘</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实验台</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中央操作台</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全钢货架</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1417" w:type="dxa"/>
            <w:vAlign w:val="center"/>
          </w:tcPr>
          <w:p>
            <w:pPr>
              <w:widowControl/>
              <w:jc w:val="center"/>
              <w:rPr>
                <w:rFonts w:ascii="仿宋_GB2312" w:hAnsi="仿宋" w:eastAsia="仿宋_GB2312" w:cs="仿宋"/>
                <w:sz w:val="24"/>
              </w:rPr>
            </w:pPr>
            <w:r>
              <w:rPr>
                <w:rFonts w:hint="eastAsia" w:ascii="仿宋" w:hAnsi="仿宋" w:eastAsia="仿宋" w:cs="仿宋"/>
                <w:color w:val="000000" w:themeColor="text1"/>
                <w:kern w:val="0"/>
                <w:sz w:val="24"/>
                <w:szCs w:val="24"/>
                <w14:textFill>
                  <w14:solidFill>
                    <w14:schemeClr w14:val="tx1"/>
                  </w14:solidFill>
                </w14:textFill>
              </w:rPr>
              <w:t>货柜</w:t>
            </w:r>
          </w:p>
        </w:tc>
        <w:tc>
          <w:tcPr>
            <w:tcW w:w="1843" w:type="dxa"/>
            <w:vAlign w:val="center"/>
          </w:tcPr>
          <w:p>
            <w:pPr>
              <w:snapToGrid w:val="0"/>
              <w:spacing w:line="360" w:lineRule="auto"/>
              <w:jc w:val="center"/>
              <w:rPr>
                <w:rFonts w:ascii="仿宋_GB2312" w:hAnsi="仿宋" w:eastAsia="仿宋_GB2312" w:cs="仿宋"/>
                <w:sz w:val="24"/>
              </w:rPr>
            </w:pPr>
          </w:p>
        </w:tc>
        <w:tc>
          <w:tcPr>
            <w:tcW w:w="2434" w:type="dxa"/>
            <w:vAlign w:val="center"/>
          </w:tcPr>
          <w:p>
            <w:pPr>
              <w:snapToGrid w:val="0"/>
              <w:spacing w:line="360" w:lineRule="auto"/>
              <w:jc w:val="center"/>
              <w:rPr>
                <w:rFonts w:ascii="仿宋_GB2312" w:hAnsi="仿宋" w:eastAsia="仿宋_GB2312" w:cs="仿宋"/>
                <w:sz w:val="24"/>
              </w:rPr>
            </w:pPr>
          </w:p>
        </w:tc>
        <w:tc>
          <w:tcPr>
            <w:tcW w:w="1677"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384" w:type="dxa"/>
            <w:vMerge w:val="continue"/>
            <w:vAlign w:val="center"/>
          </w:tcPr>
          <w:p>
            <w:pPr>
              <w:spacing w:line="360" w:lineRule="auto"/>
              <w:jc w:val="center"/>
              <w:rPr>
                <w:rFonts w:ascii="仿宋_GB2312" w:hAnsi="仿宋" w:eastAsia="仿宋_GB2312" w:cs="仿宋"/>
                <w:sz w:val="24"/>
              </w:rPr>
            </w:pPr>
          </w:p>
        </w:tc>
        <w:tc>
          <w:tcPr>
            <w:tcW w:w="1384" w:type="dxa"/>
            <w:vAlign w:val="center"/>
          </w:tcPr>
          <w:p>
            <w:pPr>
              <w:spacing w:line="360" w:lineRule="auto"/>
              <w:jc w:val="center"/>
              <w:rPr>
                <w:rFonts w:ascii="仿宋_GB2312" w:hAnsi="仿宋" w:eastAsia="仿宋_GB2312" w:cs="仿宋"/>
                <w:sz w:val="24"/>
              </w:rPr>
            </w:pPr>
          </w:p>
        </w:tc>
        <w:tc>
          <w:tcPr>
            <w:tcW w:w="2445"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8449" w:type="dxa"/>
            <w:gridSpan w:val="5"/>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28"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8449" w:type="dxa"/>
            <w:gridSpan w:val="5"/>
            <w:vAlign w:val="center"/>
          </w:tcPr>
          <w:p>
            <w:pPr>
              <w:spacing w:line="360" w:lineRule="auto"/>
              <w:jc w:val="center"/>
              <w:rPr>
                <w:rFonts w:ascii="仿宋_GB2312" w:hAnsi="仿宋" w:eastAsia="仿宋_GB2312" w:cs="仿宋"/>
                <w:sz w:val="24"/>
              </w:rPr>
            </w:pPr>
          </w:p>
        </w:tc>
      </w:tr>
    </w:tbl>
    <w:p>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szCs w:val="24"/>
          <w:highlight w:val="none"/>
          <w:lang w:val="en-US" w:eastAsia="zh-CN"/>
        </w:rPr>
        <w:t>所有标项</w:t>
      </w:r>
      <w:r>
        <w:rPr>
          <w:rFonts w:hint="eastAsia" w:ascii="仿宋" w:hAnsi="仿宋" w:eastAsia="仿宋" w:cs="仿宋"/>
          <w:b/>
          <w:bCs w:val="0"/>
          <w:color w:val="FF0000"/>
          <w:kern w:val="1"/>
          <w:sz w:val="24"/>
          <w:highlight w:val="none"/>
          <w:lang w:eastAsia="zh-CN"/>
        </w:rPr>
        <w:t>投标报价时报按</w:t>
      </w:r>
      <w:r>
        <w:rPr>
          <w:rFonts w:hint="eastAsia" w:ascii="仿宋" w:hAnsi="仿宋" w:eastAsia="仿宋" w:cs="仿宋"/>
          <w:b/>
          <w:bCs w:val="0"/>
          <w:color w:val="FF0000"/>
          <w:kern w:val="1"/>
          <w:sz w:val="24"/>
          <w:highlight w:val="none"/>
          <w:lang w:val="en-US" w:eastAsia="zh-CN"/>
        </w:rPr>
        <w:t>采购清单</w:t>
      </w:r>
      <w:r>
        <w:rPr>
          <w:rFonts w:hint="eastAsia" w:ascii="仿宋" w:hAnsi="仿宋" w:eastAsia="仿宋" w:cs="仿宋"/>
          <w:b/>
          <w:bCs w:val="0"/>
          <w:color w:val="FF0000"/>
          <w:kern w:val="1"/>
          <w:sz w:val="24"/>
          <w:highlight w:val="none"/>
          <w:lang w:eastAsia="zh-CN"/>
        </w:rPr>
        <w:t>提供分项价格，</w:t>
      </w:r>
      <w:r>
        <w:rPr>
          <w:rFonts w:hint="eastAsia" w:ascii="仿宋" w:hAnsi="仿宋" w:eastAsia="仿宋" w:cs="仿宋"/>
          <w:b/>
          <w:bCs w:val="0"/>
          <w:color w:val="FF0000"/>
          <w:kern w:val="1"/>
          <w:sz w:val="24"/>
          <w:highlight w:val="none"/>
          <w:lang w:val="en-US" w:eastAsia="zh-CN"/>
        </w:rPr>
        <w:t>下浮率报价为统一下浮，小数点后保留2位。</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pPr>
        <w:snapToGrid w:val="0"/>
        <w:spacing w:line="360" w:lineRule="auto"/>
        <w:ind w:firstLine="480" w:firstLineChars="200"/>
        <w:jc w:val="left"/>
        <w:rPr>
          <w:rFonts w:hint="default" w:ascii="仿宋_GB2312" w:hAnsi="仿宋" w:eastAsia="仿宋_GB2312" w:cs="仿宋"/>
          <w:kern w:val="0"/>
          <w:sz w:val="24"/>
          <w:lang w:val="en-US" w:eastAsia="zh-CN"/>
        </w:rPr>
        <w:sectPr>
          <w:pgSz w:w="16838" w:h="11906" w:orient="landscape"/>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57" w:name="_Hlk101259491"/>
      <w:r>
        <w:rPr>
          <w:rFonts w:hint="eastAsia" w:ascii="仿宋_GB2312" w:hAnsi="仿宋" w:eastAsia="仿宋_GB2312" w:cs="仿宋"/>
          <w:sz w:val="32"/>
          <w:szCs w:val="32"/>
        </w:rPr>
        <w:t>（如果有）</w:t>
      </w:r>
      <w:bookmarkEnd w:id="157"/>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Ansi="仿宋" w:cs="仿宋"/>
          <w:b/>
          <w:color w:val="auto"/>
        </w:rPr>
      </w:pPr>
    </w:p>
    <w:p>
      <w:pPr>
        <w:pStyle w:val="81"/>
        <w:rPr>
          <w:rFonts w:ascii="仿宋_GB2312" w:hAnsi="仿宋" w:eastAsia="仿宋_GB2312" w:cs="仿宋"/>
          <w:b/>
          <w:sz w:val="24"/>
        </w:rPr>
      </w:pPr>
    </w:p>
    <w:p>
      <w:pPr>
        <w:rPr>
          <w:rFonts w:ascii="仿宋_GB2312" w:hAnsi="仿宋" w:eastAsia="仿宋_GB2312" w:cs="仿宋"/>
          <w:b/>
          <w:sz w:val="24"/>
        </w:rPr>
      </w:pPr>
    </w:p>
    <w:p>
      <w:pPr>
        <w:pStyle w:val="80"/>
        <w:rPr>
          <w:rFonts w:hAnsi="仿宋" w:cs="仿宋"/>
          <w:b/>
          <w:color w:val="auto"/>
        </w:rPr>
      </w:pPr>
    </w:p>
    <w:p>
      <w:pPr>
        <w:pStyle w:val="81"/>
        <w:rPr>
          <w:rFonts w:ascii="仿宋_GB2312" w:eastAsia="仿宋_GB2312"/>
        </w:rPr>
      </w:pPr>
    </w:p>
    <w:p>
      <w:pPr>
        <w:pStyle w:val="81"/>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80"/>
        <w:widowControl/>
        <w:spacing w:line="360" w:lineRule="auto"/>
        <w:ind w:firstLine="120" w:firstLineChars="50"/>
        <w:rPr>
          <w:rFonts w:hAnsi="仿宋" w:cs="仿宋"/>
          <w:b/>
          <w:color w:val="auto"/>
        </w:rPr>
      </w:pPr>
    </w:p>
    <w:p>
      <w:pPr>
        <w:pStyle w:val="81"/>
        <w:spacing w:line="360" w:lineRule="auto"/>
        <w:ind w:left="0" w:firstLine="120" w:firstLineChars="50"/>
        <w:jc w:val="left"/>
        <w:rPr>
          <w:rFonts w:ascii="仿宋_GB2312" w:hAnsi="仿宋" w:eastAsia="仿宋_GB2312" w:cs="仿宋"/>
          <w:b/>
          <w:sz w:val="24"/>
        </w:rPr>
      </w:pPr>
    </w:p>
    <w:p>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58" w:name="_Toc465665161"/>
      <w:r>
        <w:rPr>
          <w:rFonts w:hint="eastAsia" w:ascii="仿宋_GB2312" w:hAnsi="仿宋" w:cs="仿宋"/>
        </w:rPr>
        <w:t>附件</w:t>
      </w:r>
      <w:bookmarkEnd w:id="158"/>
    </w:p>
    <w:p>
      <w:pPr>
        <w:spacing w:line="360" w:lineRule="auto"/>
        <w:rPr>
          <w:rFonts w:ascii="仿宋_GB2312" w:hAnsi="仿宋" w:eastAsia="仿宋_GB2312" w:cs="仿宋"/>
          <w:b/>
          <w:sz w:val="24"/>
        </w:rPr>
      </w:pPr>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8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ascii="仿宋_GB2312" w:hAnsi="仿宋" w:eastAsia="仿宋_GB2312" w:cs="仿宋"/>
          <w:kern w:val="0"/>
          <w:sz w:val="24"/>
          <w:lang w:val="zh-CN"/>
        </w:rPr>
      </w:pPr>
      <w:bookmarkStart w:id="159"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59"/>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0"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0"/>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80"/>
        <w:rPr>
          <w:rFonts w:hAnsi="仿宋" w:cs="仿宋"/>
          <w:b/>
          <w:color w:val="auto"/>
          <w:spacing w:val="6"/>
          <w:sz w:val="32"/>
          <w:szCs w:val="32"/>
        </w:rPr>
      </w:pPr>
    </w:p>
    <w:p>
      <w:pPr>
        <w:pStyle w:val="81"/>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80"/>
        <w:rPr>
          <w:rFonts w:hAnsi="仿宋" w:cs="仿宋"/>
          <w:b/>
          <w:color w:val="auto"/>
          <w:spacing w:val="6"/>
          <w:sz w:val="32"/>
          <w:szCs w:val="32"/>
        </w:rPr>
      </w:pPr>
    </w:p>
    <w:p>
      <w:pPr>
        <w:pStyle w:val="81"/>
        <w:rPr>
          <w:rFonts w:ascii="仿宋_GB2312" w:eastAsia="仿宋_GB2312"/>
        </w:rPr>
      </w:pPr>
    </w:p>
    <w:p>
      <w:pPr>
        <w:spacing w:line="360" w:lineRule="auto"/>
        <w:rPr>
          <w:rFonts w:ascii="仿宋_GB2312" w:hAnsi="仿宋" w:eastAsia="仿宋_GB2312" w:cs="仿宋"/>
          <w:b/>
          <w:spacing w:val="6"/>
          <w:sz w:val="32"/>
          <w:szCs w:val="32"/>
        </w:rPr>
      </w:pPr>
      <w:bookmarkStart w:id="161" w:name="OLE_LINK13"/>
      <w:bookmarkStart w:id="162" w:name="OLE_LINK14"/>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1"/>
    <w:bookmarkEnd w:id="162"/>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 xml:space="preserve">绍兴市嘉华项目管理有限公司                                    招标文件招标编号: </w:t>
    </w:r>
    <w:r>
      <w:rPr>
        <w:rFonts w:hint="eastAsia"/>
        <w:lang w:eastAsia="zh-CN"/>
      </w:rPr>
      <w:t>SXJHCG-2024-N0223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09D20DA"/>
    <w:multiLevelType w:val="singleLevel"/>
    <w:tmpl w:val="709D20DA"/>
    <w:lvl w:ilvl="0" w:tentative="0">
      <w:start w:val="1"/>
      <w:numFmt w:val="decimal"/>
      <w:lvlText w:val="%1."/>
      <w:lvlJc w:val="left"/>
      <w:pPr>
        <w:tabs>
          <w:tab w:val="left" w:pos="312"/>
        </w:tabs>
      </w:pPr>
    </w:lvl>
  </w:abstractNum>
  <w:abstractNum w:abstractNumId="7">
    <w:nsid w:val="74CDA2B4"/>
    <w:multiLevelType w:val="singleLevel"/>
    <w:tmpl w:val="74CDA2B4"/>
    <w:lvl w:ilvl="0" w:tentative="0">
      <w:start w:val="1"/>
      <w:numFmt w:val="decimal"/>
      <w:lvlText w:val="%1."/>
      <w:lvlJc w:val="left"/>
      <w:pPr>
        <w:tabs>
          <w:tab w:val="left" w:pos="312"/>
        </w:tabs>
      </w:pPr>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368D"/>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6ED2"/>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D782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86C"/>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64EE"/>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6B0"/>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18BB"/>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658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C7CAD"/>
    <w:rsid w:val="00FD0273"/>
    <w:rsid w:val="00FE07EE"/>
    <w:rsid w:val="00FE5E89"/>
    <w:rsid w:val="00FE7260"/>
    <w:rsid w:val="00FF0866"/>
    <w:rsid w:val="00FF0CA9"/>
    <w:rsid w:val="00FF724C"/>
    <w:rsid w:val="00FF7BD2"/>
    <w:rsid w:val="04990641"/>
    <w:rsid w:val="08020E14"/>
    <w:rsid w:val="08F978AC"/>
    <w:rsid w:val="09826733"/>
    <w:rsid w:val="098B0432"/>
    <w:rsid w:val="0AD61269"/>
    <w:rsid w:val="0B253438"/>
    <w:rsid w:val="0BA409D7"/>
    <w:rsid w:val="0C4B31F1"/>
    <w:rsid w:val="0EF42C95"/>
    <w:rsid w:val="10097E05"/>
    <w:rsid w:val="10337DED"/>
    <w:rsid w:val="10DC40EA"/>
    <w:rsid w:val="12E533D6"/>
    <w:rsid w:val="13466A59"/>
    <w:rsid w:val="136D3B78"/>
    <w:rsid w:val="177B1AE6"/>
    <w:rsid w:val="18E24FEA"/>
    <w:rsid w:val="19923DF0"/>
    <w:rsid w:val="19CF064A"/>
    <w:rsid w:val="19E41CD3"/>
    <w:rsid w:val="1BA423FA"/>
    <w:rsid w:val="1CC675F2"/>
    <w:rsid w:val="1E7627CD"/>
    <w:rsid w:val="1F4648B6"/>
    <w:rsid w:val="20FB4C13"/>
    <w:rsid w:val="21E65A7B"/>
    <w:rsid w:val="236D2C2B"/>
    <w:rsid w:val="25866341"/>
    <w:rsid w:val="25B50D40"/>
    <w:rsid w:val="25BA474F"/>
    <w:rsid w:val="2618546A"/>
    <w:rsid w:val="273B4DEE"/>
    <w:rsid w:val="29751124"/>
    <w:rsid w:val="2989420F"/>
    <w:rsid w:val="29A83F96"/>
    <w:rsid w:val="2A421007"/>
    <w:rsid w:val="2AE3017A"/>
    <w:rsid w:val="2C0922CF"/>
    <w:rsid w:val="2D2F0F65"/>
    <w:rsid w:val="2EDA14AE"/>
    <w:rsid w:val="2FA54326"/>
    <w:rsid w:val="304A60A2"/>
    <w:rsid w:val="30826BA6"/>
    <w:rsid w:val="331423DB"/>
    <w:rsid w:val="368054A0"/>
    <w:rsid w:val="36F21220"/>
    <w:rsid w:val="38376BE2"/>
    <w:rsid w:val="3B517DF8"/>
    <w:rsid w:val="3BFF2436"/>
    <w:rsid w:val="3D242985"/>
    <w:rsid w:val="3D5E16BB"/>
    <w:rsid w:val="43905F62"/>
    <w:rsid w:val="43F4340C"/>
    <w:rsid w:val="44DA359B"/>
    <w:rsid w:val="46172CA4"/>
    <w:rsid w:val="46EE5581"/>
    <w:rsid w:val="480F1D14"/>
    <w:rsid w:val="48F84495"/>
    <w:rsid w:val="4A084BAC"/>
    <w:rsid w:val="4BC95B46"/>
    <w:rsid w:val="4BEB6533"/>
    <w:rsid w:val="4C29510B"/>
    <w:rsid w:val="4C6E2D5E"/>
    <w:rsid w:val="4D4D28DD"/>
    <w:rsid w:val="4D77007F"/>
    <w:rsid w:val="4E597AEA"/>
    <w:rsid w:val="4FCB1466"/>
    <w:rsid w:val="50D457E8"/>
    <w:rsid w:val="5140605E"/>
    <w:rsid w:val="51C14C15"/>
    <w:rsid w:val="51F1661C"/>
    <w:rsid w:val="52CF6267"/>
    <w:rsid w:val="53920DAC"/>
    <w:rsid w:val="55C67DF5"/>
    <w:rsid w:val="55C93236"/>
    <w:rsid w:val="55EE24D3"/>
    <w:rsid w:val="563B3D0C"/>
    <w:rsid w:val="567C6706"/>
    <w:rsid w:val="56DF3CA2"/>
    <w:rsid w:val="580D25F6"/>
    <w:rsid w:val="59166000"/>
    <w:rsid w:val="5B0D544B"/>
    <w:rsid w:val="5B430CB2"/>
    <w:rsid w:val="5B6D5D3E"/>
    <w:rsid w:val="5BC07095"/>
    <w:rsid w:val="5DC07141"/>
    <w:rsid w:val="5F576F4A"/>
    <w:rsid w:val="5FDF689B"/>
    <w:rsid w:val="5FEE0364"/>
    <w:rsid w:val="60617BB3"/>
    <w:rsid w:val="60F7609E"/>
    <w:rsid w:val="620E34D3"/>
    <w:rsid w:val="639871BE"/>
    <w:rsid w:val="63F5076C"/>
    <w:rsid w:val="681A5D7E"/>
    <w:rsid w:val="691177D7"/>
    <w:rsid w:val="693A4383"/>
    <w:rsid w:val="6A261A93"/>
    <w:rsid w:val="6ADF3F0B"/>
    <w:rsid w:val="6B1B42E7"/>
    <w:rsid w:val="6B321C23"/>
    <w:rsid w:val="6BA60F13"/>
    <w:rsid w:val="6BC06C3D"/>
    <w:rsid w:val="6BC42254"/>
    <w:rsid w:val="6C740CC0"/>
    <w:rsid w:val="6D68758C"/>
    <w:rsid w:val="6EDB63E4"/>
    <w:rsid w:val="701C7922"/>
    <w:rsid w:val="72CC6E6D"/>
    <w:rsid w:val="72D80D10"/>
    <w:rsid w:val="72E87C49"/>
    <w:rsid w:val="7341725F"/>
    <w:rsid w:val="73C97E65"/>
    <w:rsid w:val="74402C1D"/>
    <w:rsid w:val="76C96C40"/>
    <w:rsid w:val="77A330A6"/>
    <w:rsid w:val="78A35F18"/>
    <w:rsid w:val="79151C26"/>
    <w:rsid w:val="7C4A67DB"/>
    <w:rsid w:val="7DFBB8BB"/>
    <w:rsid w:val="7E5D52A1"/>
    <w:rsid w:val="7EC87E8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5"/>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字符1"/>
    <w:link w:val="2"/>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3"/>
    <w:qFormat/>
    <w:uiPriority w:val="0"/>
    <w:rPr>
      <w:rFonts w:ascii="Arial" w:hAnsi="Arial" w:eastAsia="黑体"/>
      <w:b/>
      <w:kern w:val="2"/>
      <w:sz w:val="32"/>
      <w:lang w:val="en-US" w:eastAsia="zh-CN" w:bidi="ar-SA"/>
    </w:rPr>
  </w:style>
  <w:style w:type="character" w:customStyle="1" w:styleId="87">
    <w:name w:val="标题 3 字符1"/>
    <w:link w:val="4"/>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9"/>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39"/>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文本首行缩进 字符"/>
    <w:basedOn w:val="193"/>
    <w:link w:val="24"/>
    <w:qFormat/>
    <w:uiPriority w:val="0"/>
    <w:rPr>
      <w:rFonts w:eastAsia="仿宋_GB2312"/>
      <w:kern w:val="2"/>
      <w:sz w:val="21"/>
      <w:szCs w:val="24"/>
      <w:lang w:val="en-US" w:eastAsia="zh-CN" w:bidi="ar-SA"/>
    </w:rPr>
  </w:style>
  <w:style w:type="character" w:customStyle="1" w:styleId="233">
    <w:name w:val="正文文本首行缩进 2 字符"/>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0"/>
    <w:qFormat/>
    <w:uiPriority w:val="0"/>
    <w:rPr>
      <w:rFonts w:ascii="宋体" w:hAnsi="宋体"/>
      <w:i/>
      <w:iCs/>
      <w:sz w:val="24"/>
      <w:szCs w:val="24"/>
    </w:rPr>
  </w:style>
  <w:style w:type="character" w:customStyle="1" w:styleId="320">
    <w:name w:val="尾注文本 字符"/>
    <w:basedOn w:val="70"/>
    <w:link w:val="38"/>
    <w:qFormat/>
    <w:uiPriority w:val="0"/>
    <w:rPr>
      <w:kern w:val="2"/>
      <w:sz w:val="21"/>
      <w:szCs w:val="24"/>
      <w:lang w:val="zh-CN"/>
    </w:rPr>
  </w:style>
  <w:style w:type="character" w:customStyle="1" w:styleId="321">
    <w:name w:val="签名 字符"/>
    <w:basedOn w:val="70"/>
    <w:link w:val="42"/>
    <w:qFormat/>
    <w:uiPriority w:val="0"/>
    <w:rPr>
      <w:rFonts w:eastAsia="仿宋_GB2312"/>
      <w:sz w:val="24"/>
    </w:rPr>
  </w:style>
  <w:style w:type="character" w:customStyle="1" w:styleId="322">
    <w:name w:val="副标题 字符"/>
    <w:basedOn w:val="70"/>
    <w:link w:val="47"/>
    <w:qFormat/>
    <w:uiPriority w:val="0"/>
    <w:rPr>
      <w:rFonts w:ascii="Arial" w:hAnsi="Arial" w:eastAsia="隶书"/>
      <w:b/>
      <w:bCs/>
      <w:kern w:val="28"/>
      <w:sz w:val="44"/>
      <w:szCs w:val="32"/>
    </w:rPr>
  </w:style>
  <w:style w:type="character" w:customStyle="1" w:styleId="323">
    <w:name w:val="脚注文本 字符"/>
    <w:basedOn w:val="70"/>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emf"/><Relationship Id="rId32" Type="http://schemas.openxmlformats.org/officeDocument/2006/relationships/oleObject" Target="embeddings/oleObject2.bin"/><Relationship Id="rId31" Type="http://schemas.openxmlformats.org/officeDocument/2006/relationships/image" Target="media/image19.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56941</Words>
  <Characters>62442</Characters>
  <Lines>451</Lines>
  <Paragraphs>127</Paragraphs>
  <TotalTime>4</TotalTime>
  <ScaleCrop>false</ScaleCrop>
  <LinksUpToDate>false</LinksUpToDate>
  <CharactersWithSpaces>69546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2024-07-17T03:59:00Z</dcterms:created>
  <dc:creator>USER</dc:creator>
  <cp:lastModifiedBy>lucky</cp:lastModifiedBy>
  <cp:lastPrinted>2024-08-29T01:25:00Z</cp:lastPrinted>
  <dcterms:modified xsi:type="dcterms:W3CDTF">2024-09-18T14:06:41Z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63E4372E76DB433D8A30DFD03746840A_13</vt:lpwstr>
  </property>
</Properties>
</file>