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_GB2312" w:hAnsi="仿宋_GB2312" w:eastAsia="仿宋_GB2312" w:cs="仿宋_GB2312"/>
          <w:b/>
          <w:spacing w:val="-12"/>
          <w:sz w:val="48"/>
          <w:szCs w:val="48"/>
          <w:lang w:eastAsia="zh-CN"/>
        </w:rPr>
      </w:pPr>
      <w:bookmarkStart w:id="163" w:name="_GoBack"/>
      <w:r>
        <w:rPr>
          <w:rFonts w:hint="eastAsia" w:ascii="仿宋_GB2312" w:hAnsi="仿宋_GB2312" w:eastAsia="仿宋_GB2312" w:cs="仿宋_GB2312"/>
          <w:b/>
          <w:spacing w:val="-12"/>
          <w:sz w:val="48"/>
          <w:szCs w:val="48"/>
          <w:lang w:eastAsia="zh-CN"/>
        </w:rPr>
        <w:t>绍兴市人民医院镜湖总院营养配置中心采购项目（</w:t>
      </w:r>
      <w:r>
        <w:rPr>
          <w:rFonts w:hint="eastAsia" w:ascii="仿宋_GB2312" w:hAnsi="仿宋_GB2312" w:eastAsia="仿宋_GB2312" w:cs="仿宋_GB2312"/>
          <w:b/>
          <w:spacing w:val="-12"/>
          <w:sz w:val="48"/>
          <w:szCs w:val="48"/>
          <w:lang w:val="en-US" w:eastAsia="zh-CN"/>
        </w:rPr>
        <w:t>第四次</w:t>
      </w:r>
      <w:r>
        <w:rPr>
          <w:rFonts w:hint="eastAsia" w:ascii="仿宋_GB2312" w:hAnsi="仿宋_GB2312" w:eastAsia="仿宋_GB2312" w:cs="仿宋_GB2312"/>
          <w:b/>
          <w:spacing w:val="-12"/>
          <w:sz w:val="48"/>
          <w:szCs w:val="48"/>
          <w:lang w:eastAsia="zh-CN"/>
        </w:rPr>
        <w:t>重招）</w:t>
      </w:r>
    </w:p>
    <w:bookmarkEnd w:id="163"/>
    <w:p>
      <w:pPr>
        <w:outlineLvl w:val="0"/>
        <w:rPr>
          <w:rFonts w:ascii="仿宋_GB2312" w:hAnsi="仿宋_GB2312" w:eastAsia="仿宋_GB2312" w:cs="仿宋_GB2312"/>
          <w:sz w:val="44"/>
        </w:rPr>
      </w:pPr>
    </w:p>
    <w:p>
      <w:pPr>
        <w:outlineLvl w:val="0"/>
        <w:rPr>
          <w:rFonts w:ascii="仿宋_GB2312" w:hAnsi="仿宋_GB2312" w:eastAsia="仿宋_GB2312" w:cs="仿宋_GB2312"/>
          <w:sz w:val="44"/>
        </w:rPr>
      </w:pP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公</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开</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招</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标</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文</w:t>
      </w:r>
    </w:p>
    <w:p>
      <w:pPr>
        <w:jc w:val="center"/>
        <w:outlineLvl w:val="0"/>
        <w:rPr>
          <w:rFonts w:ascii="仿宋_GB2312" w:hAnsi="仿宋_GB2312" w:eastAsia="仿宋_GB2312" w:cs="仿宋_GB2312"/>
          <w:sz w:val="44"/>
        </w:rPr>
      </w:pPr>
      <w:r>
        <w:rPr>
          <w:rFonts w:hint="eastAsia" w:ascii="仿宋_GB2312" w:hAnsi="仿宋_GB2312" w:eastAsia="仿宋_GB2312" w:cs="仿宋_GB2312"/>
          <w:b/>
          <w:sz w:val="72"/>
          <w:szCs w:val="72"/>
        </w:rPr>
        <w:t>件</w:t>
      </w:r>
    </w:p>
    <w:p>
      <w:pPr>
        <w:jc w:val="center"/>
        <w:outlineLvl w:val="0"/>
        <w:rPr>
          <w:rFonts w:ascii="仿宋_GB2312" w:hAnsi="仿宋_GB2312" w:eastAsia="仿宋_GB2312" w:cs="仿宋_GB2312"/>
          <w:sz w:val="44"/>
        </w:rPr>
      </w:pPr>
      <w:r>
        <w:rPr>
          <w:rFonts w:hint="eastAsia" w:ascii="仿宋_GB2312" w:hAnsi="仿宋_GB2312" w:eastAsia="仿宋_GB2312" w:cs="仿宋_GB2312"/>
          <w:sz w:val="44"/>
        </w:rPr>
        <w:t>（电子招投标）</w:t>
      </w:r>
    </w:p>
    <w:p>
      <w:pPr>
        <w:jc w:val="center"/>
        <w:outlineLvl w:val="0"/>
        <w:rPr>
          <w:rFonts w:ascii="仿宋_GB2312" w:hAnsi="仿宋_GB2312" w:eastAsia="仿宋_GB2312" w:cs="仿宋_GB2312"/>
          <w:sz w:val="44"/>
        </w:rPr>
      </w:pPr>
    </w:p>
    <w:p>
      <w:pPr>
        <w:jc w:val="center"/>
        <w:outlineLvl w:val="0"/>
        <w:rPr>
          <w:rFonts w:ascii="仿宋_GB2312" w:hAnsi="仿宋_GB2312" w:eastAsia="仿宋_GB2312" w:cs="仿宋_GB2312"/>
          <w:sz w:val="44"/>
        </w:rPr>
      </w:pPr>
    </w:p>
    <w:p>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招标编号:</w:t>
      </w:r>
      <w:r>
        <w:rPr>
          <w:rFonts w:hint="eastAsia" w:ascii="仿宋" w:hAnsi="仿宋" w:eastAsia="仿宋" w:cs="仿宋"/>
          <w:b/>
          <w:sz w:val="28"/>
          <w:szCs w:val="28"/>
          <w:lang w:eastAsia="zh-CN"/>
        </w:rPr>
        <w:t>SXJHCG-2024-N0303</w:t>
      </w:r>
      <w:r>
        <w:rPr>
          <w:rFonts w:hint="eastAsia" w:ascii="仿宋_GB2312" w:hAnsi="仿宋_GB2312" w:eastAsia="仿宋_GB2312" w:cs="仿宋_GB2312"/>
          <w:b/>
          <w:sz w:val="28"/>
          <w:szCs w:val="28"/>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5445" w:type="dxa"/>
            <w:vAlign w:val="center"/>
          </w:tcPr>
          <w:p>
            <w:pPr>
              <w:spacing w:line="320" w:lineRule="exact"/>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0"/>
                <w:kern w:val="0"/>
                <w:sz w:val="28"/>
                <w:szCs w:val="28"/>
                <w:fitText w:val="1680" w:id="1"/>
              </w:rPr>
              <w:t>采购代理机构</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2"/>
              </w:rPr>
              <w:t>监督单</w:t>
            </w:r>
            <w:r>
              <w:rPr>
                <w:rFonts w:hint="eastAsia" w:ascii="仿宋_GB2312" w:hAnsi="仿宋_GB2312" w:eastAsia="仿宋_GB2312" w:cs="仿宋_GB2312"/>
                <w:spacing w:val="1"/>
                <w:kern w:val="0"/>
                <w:sz w:val="28"/>
                <w:szCs w:val="28"/>
                <w:fitText w:val="1680" w:id="2"/>
              </w:rPr>
              <w:t>位</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仿宋_GB2312" w:hAnsi="仿宋_GB2312" w:eastAsia="仿宋_GB2312" w:cs="仿宋_GB2312"/>
                <w:sz w:val="28"/>
                <w:szCs w:val="28"/>
              </w:rPr>
            </w:pPr>
          </w:p>
        </w:tc>
        <w:tc>
          <w:tcPr>
            <w:tcW w:w="5445" w:type="dxa"/>
          </w:tcPr>
          <w:p>
            <w:pPr>
              <w:spacing w:after="100" w:afterAutospacing="1" w:line="440" w:lineRule="exact"/>
              <w:rPr>
                <w:rFonts w:ascii="仿宋_GB2312" w:hAnsi="仿宋_GB2312" w:eastAsia="仿宋_GB2312" w:cs="仿宋_GB2312"/>
                <w:sz w:val="28"/>
                <w:szCs w:val="28"/>
              </w:rPr>
            </w:pP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二○二四年</w:t>
            </w:r>
            <w:r>
              <w:rPr>
                <w:rFonts w:hint="eastAsia" w:ascii="仿宋_GB2312" w:hAnsi="仿宋_GB2312" w:eastAsia="仿宋_GB2312" w:cs="仿宋_GB2312"/>
                <w:sz w:val="28"/>
                <w:szCs w:val="28"/>
                <w:lang w:val="en-US" w:eastAsia="zh-CN"/>
              </w:rPr>
              <w:t>十二</w:t>
            </w:r>
            <w:r>
              <w:rPr>
                <w:rFonts w:hint="eastAsia" w:ascii="仿宋_GB2312" w:hAnsi="仿宋_GB2312" w:eastAsia="仿宋_GB2312" w:cs="仿宋_GB2312"/>
                <w:sz w:val="28"/>
                <w:szCs w:val="28"/>
              </w:rPr>
              <w:t>月</w:t>
            </w:r>
          </w:p>
        </w:tc>
      </w:tr>
    </w:tbl>
    <w:p>
      <w:pPr>
        <w:pageBreakBefore/>
        <w:jc w:val="center"/>
        <w:rPr>
          <w:rFonts w:ascii="隶书" w:eastAsia="隶书"/>
          <w:b/>
          <w:sz w:val="44"/>
          <w:szCs w:val="44"/>
        </w:rPr>
      </w:pPr>
      <w:r>
        <w:rPr>
          <w:rFonts w:hint="eastAsia" w:ascii="隶书" w:eastAsia="隶书"/>
          <w:b/>
          <w:sz w:val="44"/>
          <w:szCs w:val="44"/>
        </w:rPr>
        <w:t xml:space="preserve">  </w:t>
      </w: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r>
              <w:rPr>
                <w:rFonts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100"/>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100"/>
                    <w:wordWrap w:val="0"/>
                    <w:spacing w:afterLines="0" w:line="440" w:lineRule="exact"/>
                    <w:ind w:firstLine="480"/>
                    <w:jc w:val="left"/>
                    <w:rPr>
                      <w:rFonts w:ascii="仿宋_GB2312" w:hAnsi="新宋体" w:eastAsia="仿宋_GB2312"/>
                      <w:szCs w:val="24"/>
                    </w:rPr>
                  </w:pPr>
                  <w:r>
                    <w:rPr>
                      <w:rFonts w:hint="eastAsia" w:ascii="仿宋" w:hAnsi="仿宋" w:eastAsia="仿宋" w:cs="仿宋"/>
                      <w:sz w:val="24"/>
                      <w:u w:val="single"/>
                      <w:lang w:eastAsia="zh-CN"/>
                    </w:rPr>
                    <w:t>绍兴市人民医院镜湖总院营养配置中心采购项目（第四次重招）</w:t>
                  </w:r>
                  <w:r>
                    <w:rPr>
                      <w:rFonts w:hint="eastAsia" w:ascii="仿宋_GB2312" w:hAnsi="新宋体" w:eastAsia="仿宋_GB2312"/>
                      <w:szCs w:val="24"/>
                    </w:rPr>
                    <w:t>招标项目的潜在投标人应在政采云平台（https://www.zcygov.cn/）获取（下载）招标文件，并于2024年</w:t>
                  </w:r>
                  <w:r>
                    <w:rPr>
                      <w:rFonts w:hint="eastAsia" w:ascii="仿宋_GB2312" w:hAnsi="新宋体" w:eastAsia="仿宋_GB2312"/>
                      <w:szCs w:val="24"/>
                      <w:lang w:val="en-US" w:eastAsia="zh-CN"/>
                    </w:rPr>
                    <w:t>12</w:t>
                  </w:r>
                  <w:r>
                    <w:rPr>
                      <w:rFonts w:hint="eastAsia" w:ascii="仿宋_GB2312" w:hAnsi="新宋体" w:eastAsia="仿宋_GB2312"/>
                      <w:szCs w:val="24"/>
                    </w:rPr>
                    <w:t>月</w:t>
                  </w:r>
                  <w:r>
                    <w:rPr>
                      <w:rFonts w:hint="eastAsia" w:ascii="仿宋_GB2312" w:hAnsi="新宋体" w:eastAsia="仿宋_GB2312"/>
                      <w:szCs w:val="24"/>
                      <w:lang w:val="en-US" w:eastAsia="zh-CN"/>
                    </w:rPr>
                    <w:t>23</w:t>
                  </w:r>
                  <w:r>
                    <w:rPr>
                      <w:rFonts w:hint="eastAsia" w:ascii="仿宋_GB2312" w:hAnsi="新宋体" w:eastAsia="仿宋_GB2312"/>
                      <w:szCs w:val="24"/>
                    </w:rPr>
                    <w:t>日</w:t>
                  </w:r>
                  <w:r>
                    <w:rPr>
                      <w:rFonts w:hint="eastAsia" w:ascii="仿宋_GB2312" w:hAnsi="新宋体" w:eastAsia="仿宋_GB2312"/>
                      <w:szCs w:val="24"/>
                      <w:lang w:val="en-US" w:eastAsia="zh-CN"/>
                    </w:rPr>
                    <w:t>09</w:t>
                  </w:r>
                  <w:r>
                    <w:rPr>
                      <w:rFonts w:hint="eastAsia" w:ascii="仿宋_GB2312" w:hAnsi="新宋体" w:eastAsia="仿宋_GB2312"/>
                      <w:szCs w:val="24"/>
                    </w:rPr>
                    <w:t>点</w:t>
                  </w:r>
                  <w:r>
                    <w:rPr>
                      <w:rFonts w:hint="eastAsia" w:ascii="仿宋_GB2312" w:hAnsi="新宋体" w:eastAsia="仿宋_GB2312"/>
                      <w:szCs w:val="24"/>
                      <w:lang w:val="en-US" w:eastAsia="zh-CN"/>
                    </w:rPr>
                    <w:t>3</w:t>
                  </w:r>
                  <w:r>
                    <w:rPr>
                      <w:rFonts w:hint="eastAsia" w:ascii="仿宋_GB2312" w:hAnsi="新宋体" w:eastAsia="仿宋_GB2312"/>
                      <w:szCs w:val="24"/>
                    </w:rPr>
                    <w:t>0分00秒（北京时间）前递交（上传）投标文件。</w:t>
                  </w:r>
                </w:p>
              </w:tc>
            </w:tr>
          </w:tbl>
          <w:p>
            <w:pPr>
              <w:pStyle w:val="100"/>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项目编号：</w:t>
            </w:r>
            <w:r>
              <w:rPr>
                <w:rFonts w:hint="eastAsia" w:ascii="仿宋_GB2312" w:hAnsi="新宋体" w:eastAsia="仿宋_GB2312"/>
                <w:szCs w:val="24"/>
              </w:rPr>
              <w:t>SXJHCG-2024-N0</w:t>
            </w:r>
            <w:r>
              <w:rPr>
                <w:rFonts w:hint="eastAsia" w:ascii="仿宋_GB2312" w:hAnsi="新宋体" w:eastAsia="仿宋_GB2312"/>
                <w:szCs w:val="24"/>
                <w:lang w:eastAsia="zh-CN"/>
              </w:rPr>
              <w:t>303</w:t>
            </w:r>
            <w:r>
              <w:rPr>
                <w:rFonts w:hint="eastAsia" w:ascii="仿宋_GB2312" w:hAnsi="新宋体" w:eastAsia="仿宋_GB2312"/>
                <w:szCs w:val="24"/>
              </w:rPr>
              <w:t xml:space="preserve">  </w:t>
            </w:r>
          </w:p>
          <w:p>
            <w:pPr>
              <w:pStyle w:val="100"/>
              <w:spacing w:afterLines="0" w:line="440" w:lineRule="exact"/>
              <w:ind w:right="-508" w:rightChars="-242" w:firstLine="482"/>
              <w:rPr>
                <w:rFonts w:hint="eastAsia" w:ascii="仿宋_GB2312" w:hAnsi="新宋体" w:eastAsia="仿宋_GB2312"/>
                <w:szCs w:val="24"/>
                <w:lang w:eastAsia="zh-CN"/>
              </w:rPr>
            </w:pPr>
            <w:r>
              <w:rPr>
                <w:rFonts w:hint="eastAsia" w:ascii="仿宋_GB2312" w:hAnsi="新宋体" w:eastAsia="仿宋_GB2312"/>
                <w:b/>
                <w:szCs w:val="24"/>
              </w:rPr>
              <w:t>项目名称：</w:t>
            </w:r>
            <w:r>
              <w:rPr>
                <w:rFonts w:hint="eastAsia" w:ascii="仿宋_GB2312" w:hAnsi="新宋体" w:eastAsia="仿宋_GB2312"/>
                <w:szCs w:val="24"/>
                <w:lang w:eastAsia="zh-CN"/>
              </w:rPr>
              <w:t>绍兴市人民医院镜湖总院营养配置中心采购项目（第四次重招）</w:t>
            </w:r>
          </w:p>
          <w:p>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采购方式：</w:t>
            </w:r>
            <w:r>
              <w:rPr>
                <w:rFonts w:hint="eastAsia" w:ascii="仿宋_GB2312" w:hAnsi="新宋体" w:eastAsia="仿宋_GB2312"/>
                <w:szCs w:val="24"/>
              </w:rPr>
              <w:t>公开招标</w:t>
            </w:r>
          </w:p>
          <w:p>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预算金额（元）：</w:t>
            </w:r>
            <w:r>
              <w:rPr>
                <w:rFonts w:hint="eastAsia" w:ascii="仿宋_GB2312" w:hAnsi="新宋体" w:eastAsia="仿宋_GB2312"/>
                <w:b/>
                <w:szCs w:val="24"/>
                <w:lang w:val="en-US" w:eastAsia="zh-CN"/>
              </w:rPr>
              <w:t>855800.00</w:t>
            </w:r>
          </w:p>
          <w:p>
            <w:pPr>
              <w:pStyle w:val="100"/>
              <w:spacing w:afterLines="0" w:line="440" w:lineRule="exact"/>
              <w:ind w:firstLine="482"/>
              <w:rPr>
                <w:rFonts w:hint="default" w:ascii="仿宋_GB2312" w:hAnsi="新宋体" w:eastAsia="仿宋_GB2312"/>
                <w:bCs/>
                <w:szCs w:val="24"/>
                <w:lang w:val="en-US" w:eastAsia="zh-CN"/>
              </w:rPr>
            </w:pPr>
            <w:r>
              <w:rPr>
                <w:rFonts w:hint="eastAsia" w:ascii="仿宋_GB2312" w:hAnsi="新宋体" w:eastAsia="仿宋_GB2312"/>
                <w:b/>
                <w:szCs w:val="24"/>
              </w:rPr>
              <w:t>最高限价（元）：</w:t>
            </w:r>
            <w:r>
              <w:rPr>
                <w:rFonts w:hint="eastAsia" w:ascii="仿宋_GB2312" w:hAnsi="新宋体" w:eastAsia="仿宋_GB2312"/>
                <w:b/>
                <w:szCs w:val="24"/>
                <w:lang w:val="en-US" w:eastAsia="zh-CN"/>
              </w:rPr>
              <w:t>855800.00</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标项一：</w:t>
            </w:r>
          </w:p>
          <w:p>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标项名称：</w:t>
            </w:r>
            <w:r>
              <w:rPr>
                <w:rFonts w:hint="eastAsia" w:ascii="仿宋_GB2312" w:hAnsi="新宋体" w:eastAsia="仿宋_GB2312"/>
                <w:szCs w:val="24"/>
                <w:lang w:eastAsia="zh-CN"/>
              </w:rPr>
              <w:t>绍兴市人民医院镜湖总院营养配置中心采购项目（第四次重招）</w:t>
            </w:r>
          </w:p>
          <w:p>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数量：1</w:t>
            </w:r>
          </w:p>
          <w:p>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预算金额（元）：855800.00</w:t>
            </w:r>
          </w:p>
          <w:p>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最高限价（元）：855800.00</w:t>
            </w:r>
          </w:p>
          <w:p>
            <w:pPr>
              <w:spacing w:line="440" w:lineRule="exact"/>
              <w:ind w:firstLine="960" w:firstLineChars="400"/>
              <w:rPr>
                <w:rFonts w:ascii="仿宋" w:hAnsi="仿宋" w:eastAsia="仿宋" w:cs="仿宋"/>
                <w:b/>
              </w:rPr>
            </w:pPr>
            <w:r>
              <w:rPr>
                <w:rFonts w:hint="eastAsia" w:ascii="仿宋" w:hAnsi="仿宋" w:eastAsia="仿宋" w:cs="仿宋"/>
                <w:bCs/>
                <w:sz w:val="24"/>
              </w:rPr>
              <w:t>主要内容：</w:t>
            </w:r>
            <w:r>
              <w:rPr>
                <w:rFonts w:hint="eastAsia" w:ascii="仿宋" w:hAnsi="仿宋" w:eastAsia="仿宋" w:cs="仿宋"/>
                <w:b/>
                <w:sz w:val="24"/>
              </w:rPr>
              <w:t>详见招标文件。</w:t>
            </w:r>
          </w:p>
          <w:p>
            <w:pPr>
              <w:pStyle w:val="100"/>
              <w:spacing w:afterLines="0" w:line="440" w:lineRule="exact"/>
              <w:ind w:firstLine="480"/>
              <w:rPr>
                <w:rFonts w:ascii="仿宋_GB2312" w:hAnsi="新宋体" w:eastAsia="仿宋_GB2312"/>
                <w:szCs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本项目接受联合体投标：</w:t>
            </w: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新宋体" w:eastAsia="仿宋_GB2312"/>
                <w:b/>
                <w:szCs w:val="24"/>
              </w:rPr>
              <w:t>是，</w:t>
            </w:r>
            <w:r>
              <w:rPr>
                <w:rFonts w:hint="eastAsia" w:ascii="MS Mincho" w:hAnsi="MS Mincho" w:eastAsia="MS Mincho" w:cs="MS Mincho"/>
                <w:b/>
                <w:szCs w:val="24"/>
              </w:rPr>
              <w:t>☐</w:t>
            </w:r>
            <w:r>
              <w:rPr>
                <w:rFonts w:hint="eastAsia" w:ascii="仿宋_GB2312" w:hAnsi="新宋体" w:eastAsia="仿宋_GB2312"/>
                <w:b/>
                <w:szCs w:val="24"/>
              </w:rPr>
              <w:t>否。</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pPr>
              <w:pStyle w:val="100"/>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0"/>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3.落实政府采购政策需满足的资格要求：</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_GB2312" w:hAnsi="仿宋" w:eastAsia="仿宋_GB2312"/>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pStyle w:val="100"/>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szCs w:val="24"/>
              </w:rPr>
              <w:t>4.本项目的特定资格要求：</w:t>
            </w:r>
            <w:r>
              <w:rPr>
                <w:rFonts w:hint="eastAsia" w:ascii="仿宋_GB2312" w:hAnsi="仿宋" w:eastAsia="仿宋_GB2312" w:cs="Times New Roman"/>
                <w:color w:val="auto"/>
                <w:sz w:val="24"/>
                <w:u w:val="single"/>
                <w:lang w:val="en-US" w:eastAsia="zh-CN"/>
              </w:rPr>
              <w:t>无。</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时间：</w:t>
            </w:r>
            <w:r>
              <w:rPr>
                <w:rFonts w:hint="eastAsia" w:ascii="仿宋_GB2312" w:hAnsi="仿宋" w:eastAsia="仿宋_GB2312" w:cs="仿宋"/>
                <w:sz w:val="24"/>
              </w:rPr>
              <w:t>/至</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12</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23</w:t>
            </w:r>
            <w:r>
              <w:rPr>
                <w:rFonts w:hint="eastAsia" w:ascii="仿宋_GB2312" w:hAnsi="仿宋" w:eastAsia="仿宋_GB2312" w:cs="仿宋"/>
                <w:sz w:val="24"/>
                <w:u w:val="single"/>
              </w:rPr>
              <w:t>日</w:t>
            </w:r>
            <w:r>
              <w:rPr>
                <w:rFonts w:hint="eastAsia" w:ascii="仿宋_GB2312" w:hAnsi="仿宋" w:eastAsia="仿宋_GB2312" w:cs="仿宋"/>
                <w:sz w:val="24"/>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方式：</w:t>
            </w:r>
            <w:r>
              <w:rPr>
                <w:rFonts w:hint="eastAsia" w:ascii="仿宋_GB2312" w:hAnsi="仿宋" w:eastAsia="仿宋_GB2312"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售价（元）：</w:t>
            </w:r>
            <w:r>
              <w:rPr>
                <w:rFonts w:hint="eastAsia" w:ascii="仿宋_GB2312" w:hAnsi="仿宋" w:eastAsia="仿宋_GB2312" w:cs="仿宋"/>
                <w:sz w:val="24"/>
              </w:rPr>
              <w:t xml:space="preserve">0 </w:t>
            </w:r>
            <w:r>
              <w:rPr>
                <w:rFonts w:hint="eastAsia" w:ascii="仿宋_GB2312" w:hAnsi="仿宋" w:eastAsia="仿宋_GB2312" w:cs="仿宋"/>
                <w:sz w:val="24"/>
              </w:rPr>
              <w:tab/>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提交投标文件截止时间：</w:t>
            </w:r>
            <w:r>
              <w:rPr>
                <w:rFonts w:hint="eastAsia" w:ascii="仿宋_GB2312" w:hAnsi="仿宋" w:eastAsia="仿宋_GB2312" w:cs="仿宋"/>
                <w:sz w:val="24"/>
                <w:u w:val="single"/>
              </w:rPr>
              <w:t xml:space="preserve"> 2024年</w:t>
            </w:r>
            <w:r>
              <w:rPr>
                <w:rFonts w:hint="eastAsia" w:ascii="仿宋_GB2312" w:hAnsi="仿宋" w:eastAsia="仿宋_GB2312" w:cs="仿宋"/>
                <w:sz w:val="24"/>
                <w:u w:val="single"/>
                <w:lang w:val="en-US" w:eastAsia="zh-CN"/>
              </w:rPr>
              <w:t>12</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23</w:t>
            </w:r>
            <w:r>
              <w:rPr>
                <w:rFonts w:hint="eastAsia" w:ascii="仿宋_GB2312" w:hAnsi="仿宋" w:eastAsia="仿宋_GB2312" w:cs="仿宋"/>
                <w:sz w:val="24"/>
                <w:u w:val="single"/>
              </w:rPr>
              <w:t>日</w:t>
            </w:r>
            <w:r>
              <w:rPr>
                <w:rFonts w:hint="eastAsia" w:ascii="仿宋_GB2312" w:hAnsi="仿宋" w:eastAsia="仿宋_GB2312" w:cs="仿宋"/>
                <w:sz w:val="24"/>
                <w:u w:val="single"/>
                <w:lang w:val="en-US" w:eastAsia="zh-CN"/>
              </w:rPr>
              <w:t>09</w:t>
            </w:r>
            <w:r>
              <w:rPr>
                <w:rFonts w:hint="eastAsia" w:ascii="仿宋_GB2312" w:hAnsi="仿宋" w:eastAsia="仿宋_GB2312" w:cs="仿宋"/>
                <w:sz w:val="24"/>
                <w:u w:val="single"/>
              </w:rPr>
              <w:t xml:space="preserve">点 </w:t>
            </w:r>
            <w:r>
              <w:rPr>
                <w:rFonts w:hint="eastAsia" w:ascii="仿宋_GB2312" w:hAnsi="仿宋" w:eastAsia="仿宋_GB2312" w:cs="仿宋"/>
                <w:sz w:val="24"/>
                <w:u w:val="single"/>
                <w:lang w:val="en-US" w:eastAsia="zh-CN"/>
              </w:rPr>
              <w:t>3</w:t>
            </w:r>
            <w:r>
              <w:rPr>
                <w:rFonts w:hint="eastAsia" w:ascii="仿宋_GB2312" w:hAnsi="仿宋" w:eastAsia="仿宋_GB2312" w:cs="仿宋"/>
                <w:sz w:val="24"/>
                <w:u w:val="single"/>
              </w:rPr>
              <w:t>0分00秒</w:t>
            </w:r>
            <w:r>
              <w:rPr>
                <w:rFonts w:hint="eastAsia" w:ascii="仿宋_GB2312" w:hAnsi="仿宋" w:eastAsia="仿宋_GB2312" w:cs="仿宋"/>
                <w:bCs/>
                <w:sz w:val="24"/>
                <w:u w:val="single"/>
              </w:rPr>
              <w:t xml:space="preserve"> </w:t>
            </w:r>
            <w:r>
              <w:rPr>
                <w:rFonts w:hint="eastAsia" w:ascii="仿宋_GB2312" w:hAnsi="仿宋" w:eastAsia="仿宋_GB2312" w:cs="仿宋"/>
                <w:sz w:val="24"/>
              </w:rPr>
              <w:t>（北京时间）</w:t>
            </w:r>
          </w:p>
          <w:p>
            <w:pPr>
              <w:spacing w:line="440" w:lineRule="exact"/>
              <w:ind w:firstLine="482" w:firstLineChars="200"/>
              <w:rPr>
                <w:rFonts w:ascii="仿宋_GB2312" w:hAnsi="仿宋" w:eastAsia="仿宋_GB2312" w:cs="仿宋"/>
                <w:b/>
                <w:sz w:val="24"/>
              </w:rPr>
            </w:pPr>
            <w:r>
              <w:rPr>
                <w:rFonts w:hint="eastAsia" w:ascii="仿宋_GB2312" w:hAnsi="仿宋" w:eastAsia="仿宋_GB2312" w:cs="仿宋"/>
                <w:b/>
                <w:sz w:val="24"/>
              </w:rPr>
              <w:t>投标地点（网址）：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ascii="仿宋_GB2312" w:hAnsi="仿宋" w:eastAsia="仿宋_GB2312" w:cs="仿宋"/>
                <w:bCs/>
                <w:sz w:val="24"/>
                <w:u w:val="single"/>
              </w:rPr>
            </w:pPr>
            <w:r>
              <w:rPr>
                <w:rFonts w:hint="eastAsia" w:ascii="仿宋_GB2312" w:hAnsi="仿宋" w:eastAsia="仿宋_GB2312" w:cs="仿宋"/>
                <w:b/>
                <w:sz w:val="24"/>
              </w:rPr>
              <w:t>开标时间：</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12</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23</w:t>
            </w:r>
            <w:r>
              <w:rPr>
                <w:rFonts w:hint="eastAsia" w:ascii="仿宋_GB2312" w:hAnsi="仿宋" w:eastAsia="仿宋_GB2312" w:cs="仿宋"/>
                <w:sz w:val="24"/>
                <w:u w:val="single"/>
              </w:rPr>
              <w:t>日</w:t>
            </w:r>
            <w:r>
              <w:rPr>
                <w:rFonts w:hint="eastAsia" w:ascii="仿宋_GB2312" w:hAnsi="仿宋" w:eastAsia="仿宋_GB2312" w:cs="仿宋"/>
                <w:sz w:val="24"/>
                <w:u w:val="single"/>
                <w:lang w:val="en-US" w:eastAsia="zh-CN"/>
              </w:rPr>
              <w:t>09</w:t>
            </w:r>
            <w:r>
              <w:rPr>
                <w:rFonts w:hint="eastAsia" w:ascii="仿宋_GB2312" w:hAnsi="仿宋" w:eastAsia="仿宋_GB2312" w:cs="仿宋"/>
                <w:sz w:val="24"/>
                <w:u w:val="single"/>
              </w:rPr>
              <w:t>点</w:t>
            </w:r>
            <w:r>
              <w:rPr>
                <w:rFonts w:hint="eastAsia" w:ascii="仿宋_GB2312" w:hAnsi="仿宋" w:eastAsia="仿宋_GB2312" w:cs="仿宋"/>
                <w:sz w:val="24"/>
                <w:u w:val="single"/>
                <w:lang w:val="en-US" w:eastAsia="zh-CN"/>
              </w:rPr>
              <w:t>3</w:t>
            </w:r>
            <w:r>
              <w:rPr>
                <w:rFonts w:hint="eastAsia" w:ascii="仿宋_GB2312" w:hAnsi="仿宋" w:eastAsia="仿宋_GB2312" w:cs="仿宋"/>
                <w:sz w:val="24"/>
                <w:u w:val="single"/>
              </w:rPr>
              <w:t>0 分00秒</w:t>
            </w:r>
            <w:r>
              <w:rPr>
                <w:rFonts w:hint="eastAsia" w:ascii="仿宋_GB2312" w:hAnsi="仿宋" w:eastAsia="仿宋_GB2312" w:cs="仿宋"/>
                <w:bCs/>
                <w:sz w:val="24"/>
                <w:u w:val="single"/>
              </w:rPr>
              <w:t xml:space="preserve">  </w:t>
            </w:r>
          </w:p>
          <w:p>
            <w:pPr>
              <w:pStyle w:val="100"/>
              <w:spacing w:afterLines="0" w:line="440" w:lineRule="exact"/>
              <w:ind w:firstLine="482"/>
              <w:rPr>
                <w:rFonts w:ascii="仿宋_GB2312" w:hAnsi="新宋体" w:eastAsia="仿宋_GB2312"/>
                <w:szCs w:val="24"/>
              </w:rPr>
            </w:pPr>
            <w:r>
              <w:rPr>
                <w:rFonts w:hint="eastAsia" w:ascii="仿宋_GB2312" w:hAnsi="仿宋" w:eastAsia="仿宋_GB2312" w:cs="仿宋"/>
                <w:b/>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r>
              <w:rPr>
                <w:rFonts w:ascii="仿宋_GB2312" w:hAnsi="新宋体" w:eastAsia="仿宋_GB2312"/>
                <w:szCs w:val="24"/>
              </w:rPr>
              <w:t>  </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0"/>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名称：绍兴市人民医院</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地址：绍兴市越城区中兴北路568号</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w:t>
            </w:r>
            <w:r>
              <w:rPr>
                <w:rFonts w:hint="eastAsia" w:ascii="仿宋" w:hAnsi="仿宋" w:eastAsia="仿宋" w:cs="仿宋"/>
                <w:sz w:val="24"/>
              </w:rPr>
              <w:t>王玉珏</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w:t>
            </w:r>
            <w:r>
              <w:rPr>
                <w:rFonts w:hint="eastAsia" w:ascii="仿宋" w:hAnsi="仿宋" w:eastAsia="仿宋" w:cs="仿宋"/>
                <w:sz w:val="24"/>
              </w:rPr>
              <w:t>0575-88558837</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w:t>
            </w:r>
            <w:r>
              <w:rPr>
                <w:rFonts w:hint="eastAsia" w:ascii="仿宋" w:hAnsi="仿宋" w:eastAsia="仿宋" w:cs="仿宋"/>
                <w:sz w:val="24"/>
              </w:rPr>
              <w:t>沈少卿</w:t>
            </w:r>
            <w:r>
              <w:rPr>
                <w:rFonts w:hint="eastAsia" w:ascii="仿宋_GB2312" w:hAnsi="新宋体" w:eastAsia="仿宋_GB2312"/>
                <w:szCs w:val="24"/>
              </w:rPr>
              <w:t xml:space="preserve">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w:t>
            </w:r>
            <w:r>
              <w:rPr>
                <w:rFonts w:hint="eastAsia" w:ascii="仿宋" w:hAnsi="仿宋" w:eastAsia="仿宋" w:cs="仿宋"/>
                <w:sz w:val="24"/>
              </w:rPr>
              <w:t>0575-88558836</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2.采购代理机构信息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名称：绍兴市嘉华项目管理有限公司</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地址：绍兴市越城区灵芝街道颐高广场1幢1105室</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w:t>
            </w:r>
            <w:r>
              <w:rPr>
                <w:rFonts w:hint="eastAsia" w:ascii="仿宋_GB2312" w:hAnsi="新宋体" w:eastAsia="仿宋_GB2312"/>
                <w:szCs w:val="24"/>
                <w:lang w:val="en-US" w:eastAsia="zh-CN"/>
              </w:rPr>
              <w:t>杨华英</w:t>
            </w:r>
            <w:r>
              <w:rPr>
                <w:rFonts w:hint="eastAsia" w:ascii="仿宋_GB2312" w:hAnsi="新宋体" w:eastAsia="仿宋_GB2312"/>
                <w:szCs w:val="24"/>
              </w:rPr>
              <w:t xml:space="preserve">、林佳囡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项目联系方式（询问）：18258044270</w:t>
            </w:r>
          </w:p>
          <w:p>
            <w:pPr>
              <w:pStyle w:val="100"/>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质疑联系人：</w:t>
            </w:r>
            <w:r>
              <w:rPr>
                <w:rFonts w:hint="eastAsia" w:ascii="仿宋_GB2312" w:hAnsi="新宋体" w:eastAsia="仿宋_GB2312"/>
                <w:szCs w:val="24"/>
                <w:lang w:val="en-US" w:eastAsia="zh-CN"/>
              </w:rPr>
              <w:t>赵国富</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质疑联系方式：18888705730 　　　　　　 </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hint="eastAsia" w:ascii="仿宋_GB2312" w:hAnsi="新宋体" w:eastAsia="仿宋_GB2312"/>
              </w:rPr>
              <w:t>0575-85209697</w:t>
            </w:r>
            <w:r>
              <w:rPr>
                <w:rFonts w:ascii="仿宋_GB2312" w:hAnsi="新宋体" w:eastAsia="仿宋_GB2312"/>
                <w:szCs w:val="24"/>
              </w:rPr>
              <w:t>       </w:t>
            </w:r>
          </w:p>
          <w:p>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w:t>
            </w:r>
            <w:r>
              <w:rPr>
                <w:rFonts w:hint="eastAsia" w:ascii="仿宋_GB2312" w:hAnsi="新宋体" w:eastAsia="仿宋_GB2312"/>
              </w:rPr>
              <w:t>0575-85209697</w:t>
            </w:r>
            <w:r>
              <w:rPr>
                <w:rFonts w:hint="eastAsia" w:ascii="仿宋_GB2312" w:hAnsi="新宋体" w:eastAsia="仿宋_GB2312"/>
                <w:szCs w:val="24"/>
              </w:rPr>
              <w:t>     </w:t>
            </w:r>
            <w:r>
              <w:rPr>
                <w:rFonts w:ascii="仿宋_GB2312" w:hAnsi="新宋体" w:eastAsia="仿宋_GB2312"/>
                <w:szCs w:val="24"/>
              </w:rPr>
              <w:t>  </w:t>
            </w:r>
          </w:p>
          <w:p>
            <w:pPr>
              <w:pStyle w:val="100"/>
              <w:spacing w:afterLines="0" w:line="440" w:lineRule="exact"/>
              <w:ind w:firstLine="480"/>
              <w:jc w:val="left"/>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w:t>
            </w:r>
            <w:r>
              <w:rPr>
                <w:rFonts w:ascii="仿宋_GB2312" w:hAnsi="新宋体" w:eastAsia="仿宋_GB2312"/>
                <w:szCs w:val="24"/>
              </w:rPr>
              <w:t>95763</w:t>
            </w:r>
            <w:r>
              <w:rPr>
                <w:rFonts w:hint="eastAsia" w:ascii="仿宋_GB2312" w:hAnsi="新宋体" w:eastAsia="仿宋_GB2312"/>
                <w:szCs w:val="24"/>
              </w:rPr>
              <w:t>获取热线服务帮助。</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366665487"/>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366665488"/>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36666548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ascii="仿宋_GB2312" w:hAnsi="仿宋" w:eastAsia="仿宋_GB2312"/>
                <w:kern w:val="0"/>
                <w:sz w:val="24"/>
              </w:rPr>
            </w:pPr>
            <w:r>
              <w:rPr>
                <w:rFonts w:hint="eastAsia" w:ascii="仿宋_GB2312" w:hAnsi="MS Gothic" w:eastAsia="仿宋_GB2312" w:cs="Arial"/>
                <w:kern w:val="0"/>
                <w:sz w:val="24"/>
                <w:lang w:eastAsia="zh-CN"/>
              </w:rPr>
              <w:t>□</w:t>
            </w:r>
            <w:r>
              <w:rPr>
                <w:rFonts w:hint="eastAsia" w:ascii="仿宋_GB2312" w:hAnsi="仿宋" w:eastAsia="仿宋_GB2312"/>
                <w:kern w:val="0"/>
                <w:sz w:val="24"/>
              </w:rPr>
              <w:t>B要求提供，</w:t>
            </w:r>
          </w:p>
          <w:p>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b w:val="0"/>
                <w:bCs w:val="0"/>
                <w:snapToGrid w:val="0"/>
                <w:kern w:val="28"/>
                <w:sz w:val="24"/>
                <w:u w:val="single"/>
                <w:lang w:val="en-US" w:eastAsia="zh-CN"/>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 w:hAnsi="仿宋" w:eastAsia="仿宋" w:cs="仿宋"/>
                <w:sz w:val="24"/>
                <w:u w:val="single"/>
                <w:lang w:val="en-US" w:eastAsia="zh-CN"/>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hint="eastAsia"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lang w:val="en-US" w:eastAsia="zh-CN"/>
              </w:rPr>
              <w:t xml:space="preserve">       </w:t>
            </w:r>
            <w:r>
              <w:rPr>
                <w:rFonts w:hint="eastAsia" w:ascii="仿宋_GB2312" w:hAnsi="仿宋" w:eastAsia="仿宋_GB2312"/>
                <w:kern w:val="0"/>
                <w:sz w:val="24"/>
              </w:rPr>
              <w:t>；地点：</w:t>
            </w:r>
            <w:r>
              <w:rPr>
                <w:rFonts w:hint="eastAsia" w:ascii="仿宋_GB2312" w:hAnsi="仿宋" w:eastAsia="仿宋_GB2312"/>
                <w:sz w:val="24"/>
                <w:u w:val="single"/>
                <w:lang w:val="en-US" w:eastAsia="zh-CN"/>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lang w:val="en-US" w:eastAsia="zh-CN"/>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lang w:val="en-US" w:eastAsia="zh-CN"/>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r>
              <w:rPr>
                <w:rFonts w:hint="eastAsia" w:ascii="仿宋_GB2312" w:hAnsi="仿宋" w:eastAsia="仿宋_GB2312"/>
                <w:sz w:val="24"/>
                <w:lang w:eastAsia="zh-CN"/>
              </w:rPr>
              <w:t>，</w:t>
            </w:r>
            <w:r>
              <w:rPr>
                <w:rFonts w:hint="eastAsia" w:ascii="仿宋_GB2312" w:hAnsi="仿宋" w:eastAsia="仿宋_GB2312"/>
                <w:sz w:val="24"/>
              </w:rPr>
              <w:t>样品需贴有标注供应商名称且加盖公章的标签。</w:t>
            </w:r>
          </w:p>
          <w:p>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cs="仿宋"/>
                <w:sz w:val="24"/>
              </w:rPr>
            </w:pPr>
            <w:sdt>
              <w:sdtPr>
                <w:rPr>
                  <w:rFonts w:hint="eastAsia" w:ascii="仿宋_GB2312" w:hAnsi="仿宋" w:eastAsia="仿宋_GB2312" w:cs="Arial"/>
                  <w:kern w:val="0"/>
                  <w:sz w:val="24"/>
                </w:rPr>
                <w:id w:val="-883099302"/>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r>
              <w:rPr>
                <w:rFonts w:hint="eastAsia" w:ascii="仿宋_GB2312" w:hAnsi="仿宋" w:eastAsia="仿宋_GB2312" w:cs="仿宋"/>
                <w:sz w:val="24"/>
              </w:rPr>
              <w:t>A无方案讲解演示。</w:t>
            </w:r>
          </w:p>
          <w:p>
            <w:pPr>
              <w:spacing w:line="440" w:lineRule="exact"/>
              <w:rPr>
                <w:rFonts w:ascii="仿宋_GB2312" w:hAnsi="仿宋" w:eastAsia="仿宋_GB2312" w:cs="仿宋"/>
                <w:b/>
                <w:bCs/>
                <w:sz w:val="24"/>
              </w:rPr>
            </w:pPr>
            <w:sdt>
              <w:sdtPr>
                <w:rPr>
                  <w:rFonts w:hint="eastAsia" w:ascii="仿宋_GB2312" w:hAnsi="仿宋" w:eastAsia="仿宋_GB2312" w:cs="Arial"/>
                  <w:kern w:val="0"/>
                  <w:sz w:val="24"/>
                </w:rPr>
                <w:id w:val="1675530190"/>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cs="仿宋"/>
                <w:b/>
                <w:bCs/>
                <w:sz w:val="24"/>
              </w:rPr>
              <w:t>B有方案讲解演示：</w:t>
            </w:r>
          </w:p>
          <w:p>
            <w:pPr>
              <w:spacing w:line="440" w:lineRule="exact"/>
              <w:rPr>
                <w:rFonts w:ascii="仿宋_GB2312" w:hAnsi="仿宋" w:eastAsia="仿宋_GB2312" w:cs="仿宋"/>
                <w:b/>
                <w:bCs/>
                <w:sz w:val="24"/>
                <w:lang w:val="zh-CN"/>
              </w:rPr>
            </w:pPr>
            <w:r>
              <w:rPr>
                <w:rFonts w:hint="eastAsia" w:ascii="仿宋_GB2312" w:hAnsi="仿宋" w:eastAsia="仿宋_GB2312" w:cs="仿宋"/>
                <w:b/>
                <w:bCs/>
                <w:sz w:val="24"/>
                <w:lang w:val="zh-CN"/>
              </w:rPr>
              <w:t>（1）在评标时安排每个供应商进行方案讲解演示。每个供应商时间不超过</w:t>
            </w:r>
            <w:r>
              <w:rPr>
                <w:rFonts w:hint="eastAsia" w:ascii="仿宋_GB2312" w:hAnsi="仿宋" w:eastAsia="仿宋_GB2312" w:cs="仿宋"/>
                <w:b/>
                <w:bCs/>
                <w:sz w:val="24"/>
                <w:u w:val="single"/>
              </w:rPr>
              <w:t xml:space="preserve"> 15 </w:t>
            </w:r>
            <w:r>
              <w:rPr>
                <w:rFonts w:hint="eastAsia" w:ascii="仿宋_GB2312" w:hAnsi="仿宋" w:eastAsia="仿宋_GB2312" w:cs="仿宋"/>
                <w:b/>
                <w:bCs/>
                <w:sz w:val="24"/>
                <w:lang w:val="zh-CN"/>
              </w:rPr>
              <w:t>分钟，讲解次序以投标文件解密时间先后次序为准。讲解演示结束后按要求解答评标委员会提问。</w:t>
            </w:r>
          </w:p>
          <w:p>
            <w:pPr>
              <w:spacing w:line="440" w:lineRule="exact"/>
              <w:rPr>
                <w:rFonts w:ascii="仿宋_GB2312" w:hAnsi="仿宋" w:eastAsia="仿宋_GB2312" w:cs="仿宋"/>
                <w:b/>
                <w:bCs/>
                <w:sz w:val="24"/>
                <w:lang w:val="zh-CN"/>
              </w:rPr>
            </w:pPr>
            <w:r>
              <w:rPr>
                <w:rFonts w:hint="eastAsia" w:ascii="仿宋_GB2312" w:hAnsi="仿宋" w:eastAsia="仿宋_GB2312" w:cs="仿宋"/>
                <w:b/>
                <w:bCs/>
                <w:sz w:val="24"/>
                <w:lang w:val="zh-CN"/>
              </w:rPr>
              <w:t>（2）方案讲解演示可选择以下其中一种方式：</w:t>
            </w:r>
          </w:p>
          <w:p>
            <w:pPr>
              <w:spacing w:line="440" w:lineRule="exact"/>
              <w:rPr>
                <w:rFonts w:ascii="仿宋_GB2312" w:hAnsi="仿宋" w:eastAsia="仿宋_GB2312" w:cs="仿宋"/>
                <w:b/>
                <w:bCs/>
                <w:sz w:val="24"/>
                <w:lang w:val="zh-CN"/>
              </w:rPr>
            </w:pPr>
            <w:sdt>
              <w:sdtPr>
                <w:rPr>
                  <w:rFonts w:hint="eastAsia" w:ascii="仿宋_GB2312" w:hAnsi="仿宋" w:eastAsia="仿宋_GB2312" w:cs="Arial"/>
                  <w:kern w:val="0"/>
                  <w:sz w:val="24"/>
                </w:rPr>
                <w:id w:val="1110163539"/>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cs="仿宋"/>
                <w:b/>
                <w:bCs/>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lang w:val="zh-CN"/>
              </w:rPr>
            </w:pPr>
            <w:r>
              <w:rPr>
                <w:rFonts w:hint="eastAsia" w:ascii="仿宋_GB2312" w:hAnsi="仿宋" w:eastAsia="仿宋_GB2312" w:cs="仿宋"/>
                <w:sz w:val="24"/>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sz w:val="24"/>
              </w:rPr>
            </w:pPr>
            <w:r>
              <w:rPr>
                <w:rFonts w:hint="eastAsia" w:ascii="仿宋_GB2312" w:hAnsi="仿宋" w:eastAsia="仿宋_GB2312"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366665490"/>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36666549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p>
                <w:pPr>
                  <w:snapToGrid w:val="0"/>
                  <w:spacing w:line="440" w:lineRule="exact"/>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序号1：多功能自由配方粉末混合包装机</w:t>
                </w:r>
                <w:r>
                  <w:rPr>
                    <w:rFonts w:hint="eastAsia" w:ascii="仿宋" w:hAnsi="仿宋" w:eastAsia="仿宋" w:cs="仿宋"/>
                    <w:sz w:val="24"/>
                  </w:rPr>
                  <w:t xml:space="preserve">。 </w:t>
                </w:r>
              </w:p>
              <w:p>
                <w:pPr>
                  <w:snapToGrid w:val="0"/>
                  <w:spacing w:line="440" w:lineRule="exact"/>
                  <w:rPr>
                    <w:rFonts w:ascii="仿宋_GB2312" w:hAnsi="仿宋_GB2312" w:eastAsia="仿宋_GB2312" w:cs="仿宋_GB2312"/>
                    <w:sz w:val="24"/>
                  </w:rPr>
                </w:pPr>
                <w:r>
                  <w:rPr>
                    <w:rFonts w:hint="eastAsia" w:ascii="仿宋" w:hAnsi="仿宋" w:eastAsia="仿宋" w:cs="仿宋"/>
                    <w:kern w:val="0"/>
                    <w:sz w:val="24"/>
                  </w:rPr>
                  <w:t>☐B</w:t>
                </w:r>
                <w:r>
                  <w:rPr>
                    <w:rFonts w:hint="eastAsia" w:ascii="仿宋" w:hAnsi="仿宋" w:eastAsia="仿宋" w:cs="仿宋"/>
                    <w:sz w:val="24"/>
                  </w:rPr>
                  <w:t>服务类。</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440" w:lineRule="exact"/>
              <w:rPr>
                <w:rFonts w:hint="eastAsia" w:eastAsia="仿宋"/>
                <w:lang w:eastAsia="zh-CN"/>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w:t>
            </w:r>
            <w:r>
              <w:rPr>
                <w:rFonts w:hint="eastAsia" w:ascii="仿宋" w:hAnsi="仿宋" w:eastAsia="仿宋" w:cs="仿宋"/>
                <w:kern w:val="0"/>
                <w:sz w:val="24"/>
              </w:rPr>
              <w:t>标，属于</w:t>
            </w:r>
            <w:r>
              <w:rPr>
                <w:rFonts w:hint="eastAsia" w:ascii="仿宋" w:hAnsi="仿宋" w:eastAsia="仿宋" w:cs="仿宋"/>
                <w:kern w:val="0"/>
                <w:sz w:val="24"/>
                <w:u w:val="single"/>
              </w:rPr>
              <w:t>工业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color w:val="000000" w:themeColor="text1"/>
                <w:sz w:val="24"/>
                <w14:textFill>
                  <w14:solidFill>
                    <w14:schemeClr w14:val="tx1"/>
                  </w14:solidFill>
                </w14:textFill>
              </w:rPr>
              <w:t>1</w:t>
            </w:r>
            <w:r>
              <w:rPr>
                <w:rFonts w:hint="eastAsia" w:ascii="仿宋_GB2312" w:hAnsi="宋体" w:eastAsia="仿宋_GB2312"/>
                <w:color w:val="000000" w:themeColor="text1"/>
                <w:sz w:val="24"/>
                <w:lang w:val="en-US" w:eastAsia="zh-CN"/>
                <w14:textFill>
                  <w14:solidFill>
                    <w14:schemeClr w14:val="tx1"/>
                  </w14:solidFill>
                </w14:textFill>
              </w:rPr>
              <w:t>4</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r>
              <w:rPr>
                <w:rFonts w:hint="eastAsia" w:ascii="仿宋_GB2312" w:hAnsi="宋体" w:eastAsia="仿宋_GB2312"/>
                <w:sz w:val="24"/>
                <w:lang w:val="en-US" w:eastAsia="zh-CN"/>
              </w:rPr>
              <w:t>6</w:t>
            </w:r>
            <w:r>
              <w:rPr>
                <w:rFonts w:hint="eastAsia" w:ascii="仿宋_GB2312" w:hAnsi="宋体" w:eastAsia="仿宋_GB2312"/>
                <w:sz w:val="24"/>
              </w:rPr>
              <w:t xml:space="preserve">                                                                                                                                                                                                                                                                                                                                                                                                                                                                                                                                                                                                                                                                                                                                                                                                                                                                                                                                                                                                                                                                                                                                                                                                                                                                                                                                        </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366665492"/>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A8"/>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366665493"/>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szCs w:val="21"/>
                  </w:rPr>
                  <w:sym w:font="Wingdings 2" w:char="0052"/>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8</w:t>
            </w:r>
          </w:p>
        </w:tc>
        <w:tc>
          <w:tcPr>
            <w:tcW w:w="8370" w:type="dxa"/>
            <w:gridSpan w:val="2"/>
            <w:vAlign w:val="center"/>
          </w:tcPr>
          <w:p>
            <w:pPr>
              <w:autoSpaceDE w:val="0"/>
              <w:autoSpaceDN w:val="0"/>
              <w:spacing w:line="360" w:lineRule="exact"/>
              <w:textAlignment w:val="bottom"/>
              <w:rPr>
                <w:rFonts w:hint="eastAsia" w:ascii="仿宋_GB2312" w:hAnsi="宋体" w:eastAsia="仿宋_GB2312"/>
                <w:b/>
                <w:sz w:val="24"/>
              </w:rPr>
            </w:pPr>
            <w:r>
              <w:rPr>
                <w:rFonts w:hint="eastAsia" w:ascii="仿宋_GB2312" w:hAnsi="宋体" w:eastAsia="仿宋_GB2312"/>
                <w:b/>
                <w:sz w:val="24"/>
              </w:rPr>
              <w:t>采购代理服务费：</w:t>
            </w:r>
          </w:p>
          <w:p>
            <w:pPr>
              <w:autoSpaceDE w:val="0"/>
              <w:autoSpaceDN w:val="0"/>
              <w:spacing w:line="360" w:lineRule="exact"/>
              <w:textAlignment w:val="bottom"/>
              <w:rPr>
                <w:rFonts w:hint="eastAsia" w:ascii="仿宋" w:eastAsia="仿宋" w:cs="仿宋_GB2312"/>
                <w:b w:val="0"/>
                <w:bCs w:val="0"/>
                <w:color w:val="000000" w:themeColor="text1"/>
                <w:sz w:val="24"/>
                <w:highlight w:val="none"/>
                <w14:textFill>
                  <w14:solidFill>
                    <w14:schemeClr w14:val="tx1"/>
                  </w14:solidFill>
                </w14:textFill>
              </w:rPr>
            </w:pPr>
            <w:r>
              <w:rPr>
                <w:rFonts w:hint="eastAsia" w:ascii="仿宋" w:hAnsi="Times New Roman" w:eastAsia="仿宋" w:cs="Times New Roman"/>
                <w:b w:val="0"/>
                <w:bCs w:val="0"/>
                <w:color w:val="000000" w:themeColor="text1"/>
                <w:sz w:val="24"/>
                <w14:textFill>
                  <w14:solidFill>
                    <w14:schemeClr w14:val="tx1"/>
                  </w14:solidFill>
                </w14:textFill>
              </w:rPr>
              <w:t>中标人须向招标代理机构交纳招标代理服务费，并在投标报价中自行考虑：</w:t>
            </w:r>
          </w:p>
          <w:p>
            <w:pPr>
              <w:spacing w:line="400" w:lineRule="atLeast"/>
              <w:rPr>
                <w:rFonts w:hint="eastAsia" w:ascii="仿宋" w:hAnsi="仿宋" w:eastAsia="仿宋"/>
                <w:bCs/>
                <w:color w:val="000000" w:themeColor="text1"/>
                <w:sz w:val="24"/>
                <w:highlight w:val="none"/>
                <w:lang w:val="en-US" w:eastAsia="zh-CN"/>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（1）按代理协议约定的内容，中标单位需支付以下费用，根据项目的</w:t>
            </w:r>
            <w:r>
              <w:rPr>
                <w:rFonts w:hint="eastAsia" w:ascii="仿宋" w:hAnsi="仿宋" w:eastAsia="仿宋"/>
                <w:bCs/>
                <w:color w:val="000000" w:themeColor="text1"/>
                <w:sz w:val="24"/>
                <w:highlight w:val="none"/>
                <w:lang w:val="en-US" w:eastAsia="zh-CN"/>
                <w14:textFill>
                  <w14:solidFill>
                    <w14:schemeClr w14:val="tx1"/>
                  </w14:solidFill>
                </w14:textFill>
              </w:rPr>
              <w:t>成交</w:t>
            </w:r>
            <w:r>
              <w:rPr>
                <w:rFonts w:hint="eastAsia" w:ascii="仿宋" w:hAnsi="仿宋" w:eastAsia="仿宋"/>
                <w:bCs/>
                <w:color w:val="000000" w:themeColor="text1"/>
                <w:sz w:val="24"/>
                <w:highlight w:val="none"/>
                <w14:textFill>
                  <w14:solidFill>
                    <w14:schemeClr w14:val="tx1"/>
                  </w14:solidFill>
                </w14:textFill>
              </w:rPr>
              <w:t>金额，采用差额定率累进法</w:t>
            </w:r>
            <w:r>
              <w:rPr>
                <w:rFonts w:hint="eastAsia" w:ascii="仿宋" w:hAnsi="仿宋" w:eastAsia="仿宋"/>
                <w:bCs/>
                <w:color w:val="000000" w:themeColor="text1"/>
                <w:sz w:val="24"/>
                <w:highlight w:val="none"/>
                <w:lang w:val="en-US" w:eastAsia="zh-CN"/>
                <w14:textFill>
                  <w14:solidFill>
                    <w14:schemeClr w14:val="tx1"/>
                  </w14:solidFill>
                </w14:textFill>
              </w:rPr>
              <w:t>计取后由中标单位按50%支付，代理服务费用低于3000元的按3000元收取，超过15000元按15000元计取。</w:t>
            </w:r>
          </w:p>
          <w:p>
            <w:pPr>
              <w:spacing w:line="400" w:lineRule="atLeast"/>
              <w:rPr>
                <w:rFonts w:hint="eastAsia"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具体费率标准如下：</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成交金额100万元以下的部分，货物类采购费率1.50%；成交金额100万元至500万元的部分，货物类采购费率1.10%</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成交金额500万元至1000万元的部分，货物类采购费率0.80%</w:t>
            </w:r>
            <w:r>
              <w:rPr>
                <w:rFonts w:hint="eastAsia" w:ascii="仿宋_GB2312" w:hAnsi="仿宋" w:eastAsia="仿宋_GB2312" w:cs="仿宋"/>
                <w:color w:val="000000" w:themeColor="text1"/>
                <w:sz w:val="24"/>
                <w:highlight w:val="none"/>
                <w:lang w:eastAsia="zh-CN"/>
                <w14:textFill>
                  <w14:solidFill>
                    <w14:schemeClr w14:val="tx1"/>
                  </w14:solidFill>
                </w14:textFill>
              </w:rPr>
              <w:t>。</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bCs/>
                <w:color w:val="000000" w:themeColor="text1"/>
                <w:sz w:val="24"/>
                <w:highlight w:val="none"/>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的交纳方式：</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w:t>
            </w:r>
            <w:r>
              <w:rPr>
                <w:rFonts w:hint="eastAsia" w:ascii="仿宋" w:hAnsi="仿宋" w:eastAsia="仿宋"/>
                <w:bCs/>
                <w:color w:val="000000" w:themeColor="text1"/>
                <w:sz w:val="24"/>
                <w:highlight w:val="none"/>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pPr>
              <w:spacing w:line="288" w:lineRule="auto"/>
              <w:rPr>
                <w:rFonts w:ascii="仿宋" w:hAnsi="仿宋" w:eastAsia="仿宋" w:cs="仿宋"/>
                <w:sz w:val="24"/>
              </w:rPr>
            </w:pPr>
            <w:r>
              <w:rPr>
                <w:rFonts w:hint="eastAsia" w:ascii="仿宋" w:hAnsi="仿宋" w:eastAsia="仿宋" w:cs="仿宋"/>
                <w:sz w:val="24"/>
              </w:rPr>
              <w:t>开户行：绍兴银行越城支行</w:t>
            </w:r>
          </w:p>
          <w:p>
            <w:pPr>
              <w:spacing w:line="288" w:lineRule="auto"/>
              <w:rPr>
                <w:rFonts w:ascii="仿宋" w:hAnsi="仿宋" w:eastAsia="仿宋" w:cs="仿宋"/>
                <w:sz w:val="24"/>
              </w:rPr>
            </w:pPr>
            <w:r>
              <w:rPr>
                <w:rFonts w:hint="eastAsia" w:ascii="仿宋" w:hAnsi="仿宋" w:eastAsia="仿宋" w:cs="仿宋"/>
                <w:sz w:val="24"/>
              </w:rPr>
              <w:t>账  号：2003968202000011</w:t>
            </w:r>
          </w:p>
          <w:p>
            <w:pPr>
              <w:spacing w:line="288" w:lineRule="auto"/>
              <w:rPr>
                <w:rFonts w:ascii="仿宋_GB2312" w:hAnsi="仿宋" w:eastAsia="仿宋_GB2312" w:cs="仿宋"/>
                <w:b/>
                <w:kern w:val="0"/>
                <w:sz w:val="24"/>
                <w:szCs w:val="21"/>
              </w:rPr>
            </w:pPr>
            <w:r>
              <w:rPr>
                <w:rFonts w:hint="eastAsia" w:ascii="仿宋" w:hAnsi="仿宋" w:eastAsia="仿宋" w:cs="仿宋"/>
                <w:sz w:val="24"/>
              </w:rPr>
              <w:t xml:space="preserve">（3）领取中标通知书前交纳。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rPr>
        <w:t>☑</w:t>
      </w:r>
      <w:r>
        <w:rPr>
          <w:rFonts w:hint="eastAsia" w:ascii="仿宋_GB2312" w:hAnsi="仿宋" w:eastAsia="仿宋_GB2312" w:cs="仿宋"/>
          <w:sz w:val="24"/>
        </w:rPr>
        <w:t>” 系指适用本项目的要求，“</w:t>
      </w:r>
      <w:r>
        <w:rPr>
          <w:rFonts w:hint="eastAsia" w:ascii="仿宋_GB2312" w:hAnsi="MS Mincho" w:eastAsia="MS Mincho" w:cs="MS Mincho"/>
          <w:sz w:val="24"/>
        </w:rPr>
        <w:t>☐</w:t>
      </w:r>
      <w:r>
        <w:rPr>
          <w:rFonts w:hint="eastAsia" w:ascii="仿宋_GB2312" w:hAnsi="仿宋" w:eastAsia="仿宋_GB2312" w:cs="仿宋"/>
          <w:sz w:val="24"/>
        </w:rPr>
        <w:t>”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before="120" w:beforeLines="50"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pPr>
        <w:snapToGrid w:val="0"/>
        <w:spacing w:line="440" w:lineRule="exact"/>
        <w:jc w:val="left"/>
        <w:rPr>
          <w:rFonts w:ascii="仿宋_GB2312" w:hAnsi="仿宋" w:eastAsia="仿宋_GB2312" w:cs="仿宋"/>
          <w:b/>
          <w:sz w:val="24"/>
        </w:rPr>
      </w:pPr>
      <w:bookmarkStart w:id="1" w:name="_Toc81372953"/>
      <w:bookmarkStart w:id="2" w:name="_Toc84325929"/>
      <w:bookmarkStart w:id="3" w:name="_Toc81372776"/>
      <w:r>
        <w:rPr>
          <w:rFonts w:hint="eastAsia" w:ascii="仿宋_GB2312" w:hAnsi="仿宋" w:eastAsia="仿宋_GB2312" w:cs="仿宋"/>
          <w:b/>
          <w:sz w:val="24"/>
        </w:rPr>
        <w:t>1．招标方式</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sz w:val="32"/>
          <w:szCs w:val="32"/>
        </w:rPr>
      </w:pPr>
      <w:r>
        <w:rPr>
          <w:rFonts w:hint="eastAsia" w:ascii="仿宋_GB2312" w:hAnsi="仿宋" w:cs="仿宋"/>
        </w:rPr>
        <w:t xml:space="preserve">  </w:t>
      </w:r>
      <w:r>
        <w:rPr>
          <w:rFonts w:hint="eastAsia" w:ascii="仿宋_GB2312" w:hAnsi="仿宋" w:cs="仿宋"/>
          <w:sz w:val="32"/>
          <w:szCs w:val="32"/>
        </w:rPr>
        <w:t xml:space="preserve">  </w:t>
      </w: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2.2.4法定代表人及其授权代表身份证复印件；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2.2.5法定代表人身份证明书；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2.2.7廉政承诺书（格式见第六部分附件）；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2.2.9供应商应提供针对项目的完整技术解决方案：</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2.2.16培训计划（如有）；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2.2.17验收方案；</w:t>
      </w:r>
    </w:p>
    <w:p>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2.3.1开标一览表（报价表）；</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2.3.2中小企业声明函（如果有）。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napToGrid w:val="0"/>
          <w:sz w:val="24"/>
        </w:rPr>
        <w:t xml:space="preserve">2.3.3 </w:t>
      </w:r>
      <w:r>
        <w:rPr>
          <w:rFonts w:hint="eastAsia" w:ascii="仿宋_GB2312" w:hAnsi="宋体" w:eastAsia="仿宋_GB2312" w:cs="仿宋_GB2312"/>
          <w:snapToGrid w:val="0"/>
          <w:sz w:val="24"/>
        </w:rPr>
        <w:t>残疾人福利性单位声明函（如果有）</w:t>
      </w:r>
    </w:p>
    <w:p>
      <w:pPr>
        <w:snapToGrid w:val="0"/>
        <w:spacing w:line="440" w:lineRule="exact"/>
        <w:rPr>
          <w:rFonts w:ascii="仿宋_GB2312" w:hAnsi="仿宋" w:eastAsia="仿宋_GB2312" w:cs="仿宋"/>
          <w:b/>
          <w:bCs/>
          <w:sz w:val="32"/>
        </w:rPr>
      </w:pPr>
      <w:r>
        <w:rPr>
          <w:rFonts w:hint="eastAsia" w:ascii="仿宋_GB2312" w:hAnsi="仿宋" w:eastAsia="仿宋_GB2312" w:cs="仿宋"/>
          <w:b/>
          <w:bCs/>
          <w:sz w:val="24"/>
          <w:szCs w:val="20"/>
        </w:rPr>
        <w:t>3.投标报价</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3.2招标文件未列明，而投标人认为必需的费用也需列入报价。</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3.4投标人提供虚假材料投标的，投标无效。</w:t>
      </w:r>
    </w:p>
    <w:p>
      <w:pPr>
        <w:pStyle w:val="183"/>
        <w:snapToGrid w:val="0"/>
        <w:spacing w:before="0" w:line="440" w:lineRule="exact"/>
        <w:ind w:firstLine="0" w:firstLineChars="0"/>
        <w:outlineLvl w:val="0"/>
        <w:rPr>
          <w:rFonts w:ascii="仿宋_GB2312" w:hAnsi="仿宋" w:eastAsia="仿宋_GB2312" w:cs="仿宋"/>
          <w:b/>
          <w:szCs w:val="24"/>
        </w:rPr>
      </w:pPr>
      <w:r>
        <w:rPr>
          <w:rFonts w:hint="eastAsia" w:ascii="仿宋_GB2312" w:hAnsi="仿宋" w:eastAsia="仿宋_GB2312" w:cs="仿宋"/>
          <w:b/>
          <w:kern w:val="0"/>
          <w:szCs w:val="24"/>
        </w:rPr>
        <w:t>4.</w:t>
      </w:r>
      <w:r>
        <w:rPr>
          <w:rFonts w:hint="eastAsia" w:ascii="仿宋_GB2312" w:hAnsi="仿宋" w:eastAsia="仿宋_GB2312" w:cs="仿宋"/>
          <w:b/>
          <w:kern w:val="0"/>
          <w:szCs w:val="24"/>
          <w:lang w:val="zh-CN"/>
        </w:rPr>
        <w:t xml:space="preserve"> </w:t>
      </w:r>
      <w:r>
        <w:rPr>
          <w:rFonts w:hint="eastAsia" w:ascii="仿宋_GB2312" w:hAnsi="仿宋" w:eastAsia="仿宋_GB2312" w:cs="仿宋"/>
          <w:b/>
          <w:szCs w:val="24"/>
        </w:rPr>
        <w:t>投标文件的编制和</w:t>
      </w:r>
      <w:r>
        <w:rPr>
          <w:rFonts w:hint="eastAsia" w:ascii="仿宋_GB2312" w:hAnsi="仿宋" w:eastAsia="仿宋_GB2312" w:cs="仿宋"/>
          <w:b/>
        </w:rPr>
        <w:t>签署</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pPr>
        <w:pStyle w:val="183"/>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pPr>
        <w:pStyle w:val="183"/>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1．电子招投标开标及评审程序</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rPr>
      </w:pPr>
      <w:r>
        <w:rPr>
          <w:rFonts w:hint="eastAsia" w:ascii="仿宋_GB2312" w:hAnsi="仿宋" w:eastAsia="仿宋_GB2312" w:cs="仿宋"/>
          <w:b/>
        </w:rPr>
        <w:t>7.投标文件的澄清</w:t>
      </w:r>
    </w:p>
    <w:p>
      <w:pPr>
        <w:pStyle w:val="15"/>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pPr>
        <w:snapToGrid w:val="0"/>
        <w:spacing w:line="440" w:lineRule="exact"/>
        <w:ind w:firstLine="482" w:firstLineChars="200"/>
        <w:jc w:val="left"/>
        <w:rPr>
          <w:rFonts w:hint="eastAsia" w:ascii="仿宋_GB2312" w:hAnsi="仿宋" w:eastAsia="仿宋_GB2312" w:cs="仿宋"/>
          <w:b/>
          <w:color w:val="auto"/>
          <w:sz w:val="24"/>
          <w:lang w:eastAsia="zh-CN"/>
        </w:rPr>
      </w:pPr>
      <w:r>
        <w:rPr>
          <w:rFonts w:hint="eastAsia" w:ascii="仿宋_GB2312" w:hAnsi="仿宋" w:eastAsia="仿宋_GB2312" w:cs="仿宋"/>
          <w:b/>
          <w:color w:val="auto"/>
          <w:sz w:val="24"/>
        </w:rPr>
        <w:t>8.25</w:t>
      </w:r>
      <w:r>
        <w:rPr>
          <w:rFonts w:hint="eastAsia" w:ascii="仿宋" w:hAnsi="仿宋" w:eastAsia="仿宋" w:cs="仿宋"/>
          <w:b/>
          <w:color w:val="auto"/>
          <w:sz w:val="24"/>
          <w:highlight w:val="none"/>
        </w:rPr>
        <w:t>未提供样品或提供的样品不满足采购需求实质性要求的</w:t>
      </w:r>
      <w:r>
        <w:rPr>
          <w:rFonts w:hint="eastAsia" w:ascii="仿宋_GB2312" w:hAnsi="仿宋" w:eastAsia="仿宋_GB2312" w:cs="仿宋"/>
          <w:b/>
          <w:color w:val="auto"/>
          <w:sz w:val="24"/>
          <w:lang w:eastAsia="zh-CN"/>
        </w:rPr>
        <w:t>；</w:t>
      </w:r>
    </w:p>
    <w:p>
      <w:pPr>
        <w:snapToGrid w:val="0"/>
        <w:spacing w:line="440" w:lineRule="exact"/>
        <w:ind w:firstLine="482" w:firstLineChars="200"/>
        <w:jc w:val="left"/>
        <w:rPr>
          <w:rFonts w:ascii="仿宋_GB2312" w:hAnsi="仿宋" w:eastAsia="仿宋_GB2312" w:cs="仿宋"/>
          <w:color w:val="auto"/>
        </w:rPr>
      </w:pPr>
      <w:r>
        <w:rPr>
          <w:rFonts w:hint="eastAsia" w:ascii="仿宋" w:hAnsi="仿宋" w:eastAsia="仿宋" w:cs="仿宋"/>
          <w:b/>
          <w:color w:val="auto"/>
          <w:sz w:val="24"/>
          <w:highlight w:val="none"/>
          <w:lang w:val="en-US" w:eastAsia="zh-CN"/>
        </w:rPr>
        <w:t>8.26</w:t>
      </w:r>
      <w:r>
        <w:rPr>
          <w:rFonts w:hint="eastAsia" w:ascii="仿宋_GB2312" w:hAnsi="仿宋" w:eastAsia="仿宋_GB2312" w:cs="仿宋"/>
          <w:b/>
          <w:color w:val="auto"/>
          <w:sz w:val="24"/>
        </w:rPr>
        <w:t>其他违反法律、法规的情形</w:t>
      </w:r>
      <w:r>
        <w:rPr>
          <w:rFonts w:hint="eastAsia" w:ascii="仿宋" w:hAnsi="仿宋" w:eastAsia="仿宋" w:cs="仿宋"/>
          <w:b/>
          <w:color w:val="auto"/>
          <w:sz w:val="24"/>
          <w:highlight w:val="none"/>
          <w:lang w:eastAsia="zh-CN"/>
        </w:rPr>
        <w:t>。</w:t>
      </w:r>
    </w:p>
    <w:p>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sz w:val="32"/>
          <w:szCs w:val="32"/>
        </w:rPr>
      </w:pPr>
    </w:p>
    <w:p>
      <w:pPr>
        <w:pStyle w:val="33"/>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
    <w:bookmarkEnd w:id="2"/>
    <w:bookmarkEnd w:id="3"/>
    <w:p>
      <w:pPr>
        <w:pStyle w:val="15"/>
        <w:spacing w:after="120" w:line="440" w:lineRule="exact"/>
        <w:ind w:left="840"/>
        <w:rPr>
          <w:rFonts w:ascii="仿宋_GB2312" w:hAnsi="仿宋" w:eastAsia="仿宋_GB2312" w:cs="仿宋"/>
          <w:b/>
          <w:szCs w:val="24"/>
        </w:rPr>
      </w:pPr>
      <w:r>
        <w:rPr>
          <w:rFonts w:hint="eastAsia" w:ascii="仿宋_GB2312" w:hAnsi="仿宋" w:eastAsia="仿宋_GB2312" w:cs="仿宋"/>
          <w:b/>
          <w:szCs w:val="24"/>
        </w:rPr>
        <w:t>1.中标条件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rPr>
          <w:rFonts w:hint="eastAsia"/>
        </w:rPr>
        <w:fldChar w:fldCharType="begin"/>
      </w:r>
      <w:r>
        <w:instrText xml:space="preserve"> HYPERLINK "http://ggb.sx.gov.cn" </w:instrText>
      </w:r>
      <w:r>
        <w:rPr>
          <w:rFonts w:hint="eastAsia"/>
        </w:rPr>
        <w:fldChar w:fldCharType="separate"/>
      </w:r>
      <w:r>
        <w:rPr>
          <w:rFonts w:hint="eastAsia" w:ascii="仿宋_GB2312" w:hAnsi="仿宋" w:eastAsia="仿宋_GB2312" w:cs="仿宋"/>
          <w:sz w:val="24"/>
        </w:rPr>
        <w:t>http://ggb.sx.gov.cn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kern w:val="0"/>
          <w:sz w:val="24"/>
        </w:rPr>
      </w:pPr>
    </w:p>
    <w:p>
      <w:pPr>
        <w:spacing w:line="336"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六、</w:t>
      </w:r>
      <w:r>
        <w:rPr>
          <w:rFonts w:hint="eastAsia" w:ascii="仿宋_GB2312" w:hAnsi="仿宋" w:eastAsia="仿宋_GB2312" w:cs="仿宋"/>
          <w:b/>
          <w:bCs/>
          <w:sz w:val="32"/>
          <w:szCs w:val="20"/>
        </w:rPr>
        <w:t>询问、质疑与投诉</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widowControl/>
        <w:adjustRightInd/>
        <w:jc w:val="left"/>
        <w:rPr>
          <w:rFonts w:hint="eastAsia" w:ascii="仿宋" w:hAnsi="仿宋" w:eastAsia="仿宋" w:cs="仿宋"/>
          <w:b/>
          <w:color w:val="auto"/>
          <w:sz w:val="24"/>
          <w:szCs w:val="24"/>
        </w:rPr>
      </w:pPr>
      <w:bookmarkStart w:id="4" w:name="_Toc81372787"/>
      <w:bookmarkStart w:id="5" w:name="_Toc84325981"/>
      <w:bookmarkStart w:id="6" w:name="_Toc80157775"/>
      <w:bookmarkStart w:id="7" w:name="_Toc81372964"/>
      <w:r>
        <w:rPr>
          <w:rFonts w:hint="eastAsia" w:ascii="仿宋" w:hAnsi="仿宋" w:eastAsia="仿宋" w:cs="仿宋"/>
          <w:b/>
          <w:bCs/>
          <w:color w:val="auto"/>
          <w:sz w:val="24"/>
          <w:szCs w:val="24"/>
          <w:bdr w:val="single" w:color="auto" w:sz="4" w:space="0"/>
        </w:rPr>
        <w:t>01标</w:t>
      </w:r>
      <w:r>
        <w:rPr>
          <w:rFonts w:hint="eastAsia" w:ascii="仿宋" w:hAnsi="仿宋" w:eastAsia="仿宋" w:cs="仿宋"/>
          <w:b/>
          <w:color w:val="auto"/>
          <w:sz w:val="24"/>
          <w:szCs w:val="24"/>
          <w:lang w:eastAsia="zh-CN"/>
        </w:rPr>
        <w:t>绍兴市人民医院镜湖总院营养配置中心采购项目（第四次重招）</w:t>
      </w:r>
      <w:r>
        <w:rPr>
          <w:rFonts w:hint="eastAsia" w:ascii="仿宋" w:hAnsi="仿宋" w:eastAsia="仿宋" w:cs="仿宋"/>
          <w:b/>
          <w:color w:val="auto"/>
          <w:sz w:val="24"/>
          <w:szCs w:val="24"/>
        </w:rPr>
        <w:t>，金额85.58万</w:t>
      </w:r>
    </w:p>
    <w:p>
      <w:pPr>
        <w:spacing w:line="360" w:lineRule="auto"/>
        <w:outlineLvl w:val="0"/>
        <w:rPr>
          <w:rFonts w:hint="eastAsia" w:ascii="仿宋" w:hAnsi="仿宋" w:eastAsia="仿宋" w:cs="仿宋"/>
          <w:b/>
          <w:color w:val="auto"/>
          <w:sz w:val="24"/>
          <w:szCs w:val="24"/>
        </w:rPr>
      </w:pPr>
      <w:r>
        <w:rPr>
          <w:rFonts w:hint="eastAsia" w:ascii="仿宋" w:hAnsi="仿宋" w:eastAsia="仿宋" w:cs="仿宋"/>
          <w:b/>
          <w:color w:val="auto"/>
          <w:sz w:val="24"/>
          <w:szCs w:val="24"/>
        </w:rPr>
        <w:t>一、采购清单：</w:t>
      </w:r>
    </w:p>
    <w:tbl>
      <w:tblPr>
        <w:tblStyle w:val="63"/>
        <w:tblW w:w="8551" w:type="dxa"/>
        <w:tblInd w:w="0" w:type="dxa"/>
        <w:tblLayout w:type="autofit"/>
        <w:tblCellMar>
          <w:top w:w="0" w:type="dxa"/>
          <w:left w:w="108" w:type="dxa"/>
          <w:bottom w:w="0" w:type="dxa"/>
          <w:right w:w="108" w:type="dxa"/>
        </w:tblCellMar>
      </w:tblPr>
      <w:tblGrid>
        <w:gridCol w:w="1597"/>
        <w:gridCol w:w="2829"/>
        <w:gridCol w:w="1597"/>
        <w:gridCol w:w="931"/>
        <w:gridCol w:w="1597"/>
      </w:tblGrid>
      <w:tr>
        <w:tblPrEx>
          <w:tblCellMar>
            <w:top w:w="0" w:type="dxa"/>
            <w:left w:w="108" w:type="dxa"/>
            <w:bottom w:w="0" w:type="dxa"/>
            <w:right w:w="108" w:type="dxa"/>
          </w:tblCellMar>
        </w:tblPrEx>
        <w:trPr>
          <w:trHeight w:val="263" w:hRule="atLeast"/>
        </w:trPr>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序号</w:t>
            </w:r>
          </w:p>
        </w:tc>
        <w:tc>
          <w:tcPr>
            <w:tcW w:w="2829" w:type="dxa"/>
            <w:tcBorders>
              <w:top w:val="single" w:color="000000" w:sz="4" w:space="0"/>
              <w:left w:val="nil"/>
              <w:bottom w:val="single" w:color="000000" w:sz="4" w:space="0"/>
              <w:right w:val="single" w:color="000000" w:sz="4" w:space="0"/>
            </w:tcBorders>
            <w:shd w:val="clear" w:color="000000"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物资名称</w:t>
            </w:r>
          </w:p>
        </w:tc>
        <w:tc>
          <w:tcPr>
            <w:tcW w:w="1597" w:type="dxa"/>
            <w:tcBorders>
              <w:top w:val="single" w:color="000000" w:sz="4" w:space="0"/>
              <w:left w:val="nil"/>
              <w:bottom w:val="single" w:color="000000" w:sz="4" w:space="0"/>
              <w:right w:val="single" w:color="000000" w:sz="4" w:space="0"/>
            </w:tcBorders>
            <w:shd w:val="clear" w:color="000000"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单位</w:t>
            </w:r>
          </w:p>
        </w:tc>
        <w:tc>
          <w:tcPr>
            <w:tcW w:w="931" w:type="dxa"/>
            <w:tcBorders>
              <w:top w:val="single" w:color="000000" w:sz="4" w:space="0"/>
              <w:left w:val="nil"/>
              <w:bottom w:val="single" w:color="000000" w:sz="4" w:space="0"/>
              <w:right w:val="single" w:color="000000" w:sz="4" w:space="0"/>
            </w:tcBorders>
            <w:shd w:val="clear" w:color="000000"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数量</w:t>
            </w:r>
          </w:p>
        </w:tc>
        <w:tc>
          <w:tcPr>
            <w:tcW w:w="1597" w:type="dxa"/>
            <w:tcBorders>
              <w:top w:val="single" w:color="000000" w:sz="4" w:space="0"/>
              <w:left w:val="nil"/>
              <w:bottom w:val="single" w:color="000000" w:sz="4" w:space="0"/>
              <w:right w:val="single" w:color="000000" w:sz="4" w:space="0"/>
            </w:tcBorders>
            <w:shd w:val="clear" w:color="000000"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单价</w:t>
            </w:r>
          </w:p>
        </w:tc>
      </w:tr>
      <w:tr>
        <w:tblPrEx>
          <w:tblCellMar>
            <w:top w:w="0" w:type="dxa"/>
            <w:left w:w="108" w:type="dxa"/>
            <w:bottom w:w="0" w:type="dxa"/>
            <w:right w:w="108" w:type="dxa"/>
          </w:tblCellMar>
        </w:tblPrEx>
        <w:trPr>
          <w:trHeight w:val="538"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多功能自由配方粉末混合包装机（核心产品）</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380000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全自动液体灌装机</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380000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恒温定量水机</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7500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反渗透净水机</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12000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恒温摇床</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10000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留样冰箱</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2600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冷藏冰箱</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3000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烘干消毒机</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3000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食物电子秤</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144</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auto"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2829"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皮褶厚度计</w:t>
            </w:r>
          </w:p>
        </w:tc>
        <w:tc>
          <w:tcPr>
            <w:tcW w:w="1597"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931"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597"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235</w:t>
            </w:r>
          </w:p>
        </w:tc>
      </w:tr>
      <w:tr>
        <w:tblPrEx>
          <w:tblCellMar>
            <w:top w:w="0" w:type="dxa"/>
            <w:left w:w="108" w:type="dxa"/>
            <w:bottom w:w="0" w:type="dxa"/>
            <w:right w:w="108" w:type="dxa"/>
          </w:tblCellMar>
        </w:tblPrEx>
        <w:trPr>
          <w:trHeight w:val="263" w:hRule="atLeast"/>
        </w:trPr>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w:t>
            </w:r>
          </w:p>
        </w:tc>
        <w:tc>
          <w:tcPr>
            <w:tcW w:w="28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电子握力计</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79</w:t>
            </w:r>
          </w:p>
        </w:tc>
      </w:tr>
      <w:tr>
        <w:tblPrEx>
          <w:tblCellMar>
            <w:top w:w="0" w:type="dxa"/>
            <w:left w:w="108" w:type="dxa"/>
            <w:bottom w:w="0" w:type="dxa"/>
            <w:right w:w="108" w:type="dxa"/>
          </w:tblCellMar>
        </w:tblPrEx>
        <w:trPr>
          <w:trHeight w:val="263" w:hRule="atLeast"/>
        </w:trPr>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w:t>
            </w:r>
          </w:p>
        </w:tc>
        <w:tc>
          <w:tcPr>
            <w:tcW w:w="28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烧杯</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r>
      <w:tr>
        <w:tblPrEx>
          <w:tblCellMar>
            <w:top w:w="0" w:type="dxa"/>
            <w:left w:w="108" w:type="dxa"/>
            <w:bottom w:w="0" w:type="dxa"/>
            <w:right w:w="108" w:type="dxa"/>
          </w:tblCellMar>
        </w:tblPrEx>
        <w:trPr>
          <w:trHeight w:val="263" w:hRule="atLeast"/>
        </w:trPr>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w:t>
            </w:r>
          </w:p>
        </w:tc>
        <w:tc>
          <w:tcPr>
            <w:tcW w:w="28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玻棒</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根</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r>
      <w:tr>
        <w:tblPrEx>
          <w:tblCellMar>
            <w:top w:w="0" w:type="dxa"/>
            <w:left w:w="108" w:type="dxa"/>
            <w:bottom w:w="0" w:type="dxa"/>
            <w:right w:w="108" w:type="dxa"/>
          </w:tblCellMar>
        </w:tblPrEx>
        <w:trPr>
          <w:trHeight w:val="263" w:hRule="atLeast"/>
        </w:trPr>
        <w:tc>
          <w:tcPr>
            <w:tcW w:w="1597"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w:t>
            </w:r>
          </w:p>
        </w:tc>
        <w:tc>
          <w:tcPr>
            <w:tcW w:w="28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不锈钢托盘</w:t>
            </w:r>
          </w:p>
        </w:tc>
        <w:tc>
          <w:tcPr>
            <w:tcW w:w="1597"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931"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15</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实验台</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延米</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13.7</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2600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中央操作台</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延米</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2400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全钢货架</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3200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auto"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w:t>
            </w:r>
          </w:p>
        </w:tc>
        <w:tc>
          <w:tcPr>
            <w:tcW w:w="2829"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货柜</w:t>
            </w:r>
          </w:p>
        </w:tc>
        <w:tc>
          <w:tcPr>
            <w:tcW w:w="1597"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597"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4000</w:t>
            </w:r>
          </w:p>
        </w:tc>
      </w:tr>
    </w:tbl>
    <w:p>
      <w:pPr>
        <w:snapToGrid w:val="0"/>
        <w:spacing w:line="440" w:lineRule="exact"/>
        <w:jc w:val="center"/>
        <w:rPr>
          <w:rFonts w:hint="eastAsia" w:ascii="仿宋" w:hAnsi="仿宋" w:eastAsia="仿宋" w:cs="仿宋"/>
          <w:b/>
          <w:color w:val="auto"/>
          <w:sz w:val="24"/>
          <w:szCs w:val="24"/>
        </w:rPr>
      </w:pPr>
      <w:r>
        <w:rPr>
          <w:rFonts w:hint="eastAsia" w:ascii="仿宋" w:hAnsi="仿宋" w:eastAsia="仿宋" w:cs="仿宋"/>
          <w:color w:val="auto"/>
          <w:kern w:val="0"/>
          <w:sz w:val="24"/>
          <w:szCs w:val="24"/>
        </w:rPr>
        <w:t>多功能自由配方粉末混合包装机</w:t>
      </w:r>
    </w:p>
    <w:tbl>
      <w:tblPr>
        <w:tblStyle w:val="63"/>
        <w:tblW w:w="8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4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141"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用于肠内营养特医食品粉剂的个性化配置、包装</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二</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主要配置</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2.1</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由称重系统、分装模块、自动打印模块组成</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三</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主要功能与技术参数</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3.1</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应用功能：料盒在配置范围内，可独立也可混合使用；储袋式实时喷码；可远程控制</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color w:val="auto"/>
                <w:sz w:val="24"/>
                <w:szCs w:val="24"/>
              </w:rPr>
              <w:t>▲</w:t>
            </w:r>
            <w:r>
              <w:rPr>
                <w:rFonts w:hint="eastAsia" w:ascii="仿宋" w:hAnsi="仿宋" w:eastAsia="仿宋" w:cs="仿宋"/>
                <w:bCs/>
                <w:color w:val="auto"/>
                <w:sz w:val="24"/>
                <w:szCs w:val="24"/>
              </w:rPr>
              <w:t>3.2</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满足不同料仓的选择组合和实时混料更换，实现个性化配置的目标</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3.3</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配料数量≥5种</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3.4</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配备自动补料仓≥2组，补料过程不需要停机</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3.5</w:t>
            </w:r>
          </w:p>
        </w:tc>
        <w:tc>
          <w:tcPr>
            <w:tcW w:w="7141" w:type="dxa"/>
            <w:vAlign w:val="center"/>
          </w:tcPr>
          <w:p>
            <w:pPr>
              <w:jc w:val="left"/>
              <w:rPr>
                <w:rFonts w:hint="eastAsia" w:ascii="仿宋" w:hAnsi="仿宋" w:eastAsia="仿宋" w:cs="仿宋"/>
                <w:b/>
                <w:color w:val="auto"/>
                <w:sz w:val="24"/>
                <w:szCs w:val="24"/>
              </w:rPr>
            </w:pPr>
            <w:r>
              <w:rPr>
                <w:rFonts w:hint="eastAsia" w:ascii="仿宋" w:hAnsi="仿宋" w:eastAsia="仿宋" w:cs="仿宋"/>
                <w:color w:val="auto"/>
                <w:sz w:val="24"/>
                <w:szCs w:val="24"/>
              </w:rPr>
              <w:t>配置速度调节范围：60-120份/小时</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3.6</w:t>
            </w:r>
          </w:p>
        </w:tc>
        <w:tc>
          <w:tcPr>
            <w:tcW w:w="7141" w:type="dxa"/>
            <w:vAlign w:val="center"/>
          </w:tcPr>
          <w:p>
            <w:pPr>
              <w:jc w:val="left"/>
              <w:rPr>
                <w:rFonts w:hint="eastAsia" w:ascii="仿宋" w:hAnsi="仿宋" w:eastAsia="仿宋" w:cs="仿宋"/>
                <w:b/>
                <w:color w:val="auto"/>
                <w:sz w:val="24"/>
                <w:szCs w:val="24"/>
              </w:rPr>
            </w:pPr>
            <w:r>
              <w:rPr>
                <w:rFonts w:hint="eastAsia" w:ascii="仿宋" w:hAnsi="仿宋" w:eastAsia="仿宋" w:cs="仿宋"/>
                <w:color w:val="auto"/>
                <w:sz w:val="24"/>
                <w:szCs w:val="24"/>
              </w:rPr>
              <w:t>分装类型：≥3种分装模式，储袋式分装模块带自动喷码功能，实时打印标签</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3.7</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罐装范围：3-60g</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3.8</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材质：不锈钢喷塑，料盒食品级PP</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3.9</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功率：≥1300W</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3.10</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sz w:val="24"/>
                <w:szCs w:val="24"/>
              </w:rPr>
              <w:t>提供免费接口供其它系统使用及认证，并承担与软件相关的智能点餐系统等相关医院信息系统接口费用。</w:t>
            </w:r>
          </w:p>
        </w:tc>
        <w:tc>
          <w:tcPr>
            <w:tcW w:w="709" w:type="dxa"/>
          </w:tcPr>
          <w:p>
            <w:pPr>
              <w:rPr>
                <w:rFonts w:hint="eastAsia" w:ascii="仿宋" w:hAnsi="仿宋" w:eastAsia="仿宋" w:cs="仿宋"/>
                <w:color w:val="auto"/>
                <w:sz w:val="24"/>
                <w:szCs w:val="24"/>
              </w:rPr>
            </w:pPr>
          </w:p>
        </w:tc>
      </w:tr>
    </w:tbl>
    <w:p>
      <w:pPr>
        <w:snapToGrid w:val="0"/>
        <w:spacing w:line="560" w:lineRule="exact"/>
        <w:ind w:firstLine="360" w:firstLineChars="150"/>
        <w:jc w:val="center"/>
        <w:rPr>
          <w:rFonts w:hint="eastAsia" w:ascii="仿宋" w:hAnsi="仿宋" w:eastAsia="仿宋" w:cs="仿宋"/>
          <w:b/>
          <w:color w:val="auto"/>
          <w:sz w:val="24"/>
          <w:szCs w:val="24"/>
        </w:rPr>
      </w:pPr>
      <w:r>
        <w:rPr>
          <w:rFonts w:hint="eastAsia" w:ascii="仿宋" w:hAnsi="仿宋" w:eastAsia="仿宋" w:cs="仿宋"/>
          <w:bCs/>
          <w:color w:val="auto"/>
          <w:sz w:val="24"/>
          <w:szCs w:val="24"/>
        </w:rPr>
        <w:t>全自动液体灌装机</w:t>
      </w:r>
    </w:p>
    <w:tbl>
      <w:tblPr>
        <w:tblStyle w:val="63"/>
        <w:tblW w:w="8643"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4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141"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pPr>
              <w:jc w:val="center"/>
              <w:rPr>
                <w:rFonts w:hint="eastAsia" w:ascii="仿宋" w:hAnsi="仿宋" w:eastAsia="仿宋" w:cs="仿宋"/>
                <w:b/>
                <w:color w:val="auto"/>
                <w:sz w:val="24"/>
                <w:szCs w:val="24"/>
              </w:rPr>
            </w:pPr>
          </w:p>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用于肠内营养特医食品液体的个性化配置、包装</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141"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主要配置</w:t>
            </w:r>
          </w:p>
        </w:tc>
        <w:tc>
          <w:tcPr>
            <w:tcW w:w="709"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高精准全自动称重放料系统、大容量混匀系统、自动清洗系统、上料和罐装系统组成</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三</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主要功能与技术参数</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7141" w:type="dxa"/>
          </w:tcPr>
          <w:p>
            <w:pPr>
              <w:rPr>
                <w:rFonts w:hint="eastAsia" w:ascii="仿宋" w:hAnsi="仿宋" w:eastAsia="仿宋" w:cs="仿宋"/>
                <w:b/>
                <w:color w:val="auto"/>
                <w:sz w:val="24"/>
                <w:szCs w:val="24"/>
              </w:rPr>
            </w:pPr>
            <w:r>
              <w:rPr>
                <w:rFonts w:hint="eastAsia" w:ascii="仿宋" w:hAnsi="仿宋" w:eastAsia="仿宋" w:cs="仿宋"/>
                <w:bCs/>
                <w:color w:val="auto"/>
                <w:sz w:val="24"/>
                <w:szCs w:val="24"/>
              </w:rPr>
              <w:t>应用功能：料盒在配置范围内，可独立也可混合使用</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3.2</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放料仓≥2组</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3.3</w:t>
            </w:r>
          </w:p>
        </w:tc>
        <w:tc>
          <w:tcPr>
            <w:tcW w:w="7141" w:type="dxa"/>
            <w:vAlign w:val="center"/>
          </w:tcPr>
          <w:p>
            <w:pPr>
              <w:jc w:val="left"/>
              <w:rPr>
                <w:rFonts w:hint="eastAsia" w:ascii="仿宋" w:hAnsi="仿宋" w:eastAsia="仿宋" w:cs="仿宋"/>
                <w:b/>
                <w:color w:val="auto"/>
                <w:sz w:val="24"/>
                <w:szCs w:val="24"/>
              </w:rPr>
            </w:pPr>
            <w:r>
              <w:rPr>
                <w:rFonts w:hint="eastAsia" w:ascii="仿宋" w:hAnsi="仿宋" w:eastAsia="仿宋" w:cs="仿宋"/>
                <w:bCs/>
                <w:color w:val="auto"/>
                <w:sz w:val="24"/>
                <w:szCs w:val="24"/>
              </w:rPr>
              <w:t>配置速度调节范围：60-150袋/小时</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3.4</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分装范围：50m-500ml</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3.5</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全封闭非接触配置环境，</w:t>
            </w:r>
            <w:r>
              <w:rPr>
                <w:rFonts w:hint="eastAsia" w:ascii="仿宋" w:hAnsi="仿宋" w:eastAsia="仿宋" w:cs="仿宋"/>
                <w:bCs/>
                <w:color w:val="auto"/>
                <w:sz w:val="24"/>
                <w:szCs w:val="24"/>
              </w:rPr>
              <w:t>一键式全自动完成</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3.6</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配置自动送袋、上盖、旋盖机构，保证系统高效稳定运行</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3.7</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材质：不锈钢喷塑，料盒食品级PP</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3.8</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功率：≥1600W</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3.9</w:t>
            </w:r>
          </w:p>
        </w:tc>
        <w:tc>
          <w:tcPr>
            <w:tcW w:w="7141" w:type="dxa"/>
            <w:vAlign w:val="center"/>
          </w:tcPr>
          <w:p>
            <w:pPr>
              <w:jc w:val="left"/>
              <w:rPr>
                <w:rFonts w:hint="eastAsia" w:ascii="仿宋" w:hAnsi="仿宋" w:eastAsia="仿宋" w:cs="仿宋"/>
                <w:b/>
                <w:color w:val="auto"/>
                <w:sz w:val="24"/>
                <w:szCs w:val="24"/>
              </w:rPr>
            </w:pPr>
            <w:r>
              <w:rPr>
                <w:rFonts w:hint="eastAsia" w:ascii="仿宋" w:hAnsi="仿宋" w:eastAsia="仿宋" w:cs="仿宋"/>
                <w:bCs/>
                <w:color w:val="auto"/>
                <w:sz w:val="24"/>
                <w:szCs w:val="24"/>
              </w:rPr>
              <w:t>上料、罐装系统均可自主拆卸清洗、消毒</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4.0</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sz w:val="24"/>
                <w:szCs w:val="24"/>
              </w:rPr>
              <w:t>提供免费接口供其它系统使用及认证，并承担与软件相关的智能点餐系统等相关医院信息系统接口费用。</w:t>
            </w:r>
          </w:p>
        </w:tc>
        <w:tc>
          <w:tcPr>
            <w:tcW w:w="709" w:type="dxa"/>
            <w:vAlign w:val="center"/>
          </w:tcPr>
          <w:p>
            <w:pPr>
              <w:jc w:val="left"/>
              <w:rPr>
                <w:rFonts w:hint="eastAsia" w:ascii="仿宋" w:hAnsi="仿宋" w:eastAsia="仿宋" w:cs="仿宋"/>
                <w:b/>
                <w:color w:val="auto"/>
                <w:sz w:val="24"/>
                <w:szCs w:val="24"/>
              </w:rPr>
            </w:pPr>
          </w:p>
        </w:tc>
      </w:tr>
    </w:tbl>
    <w:p>
      <w:pPr>
        <w:rPr>
          <w:rFonts w:hint="eastAsia" w:ascii="仿宋" w:hAnsi="仿宋" w:eastAsia="仿宋" w:cs="仿宋"/>
          <w:color w:val="auto"/>
          <w:sz w:val="24"/>
          <w:szCs w:val="24"/>
        </w:rPr>
      </w:pPr>
    </w:p>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恒温摇床</w:t>
      </w:r>
    </w:p>
    <w:tbl>
      <w:tblPr>
        <w:tblStyle w:val="63"/>
        <w:tblW w:w="8643"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4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141"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pPr>
              <w:jc w:val="center"/>
              <w:rPr>
                <w:rFonts w:hint="eastAsia" w:ascii="仿宋" w:hAnsi="仿宋" w:eastAsia="仿宋" w:cs="仿宋"/>
                <w:b/>
                <w:color w:val="auto"/>
                <w:sz w:val="24"/>
                <w:szCs w:val="24"/>
              </w:rPr>
            </w:pPr>
          </w:p>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color w:val="auto"/>
                <w:sz w:val="24"/>
                <w:szCs w:val="24"/>
              </w:rPr>
              <w:t>用于对温度和振荡频率有较高要求的摇匀装置</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141"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709"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振荡</w:t>
            </w:r>
            <w:r>
              <w:rPr>
                <w:rFonts w:hint="eastAsia" w:ascii="仿宋" w:hAnsi="仿宋" w:eastAsia="仿宋" w:cs="仿宋"/>
                <w:color w:val="auto"/>
                <w:kern w:val="0"/>
                <w:sz w:val="24"/>
                <w:szCs w:val="24"/>
              </w:rPr>
              <w:t>频率：40～250rpm</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输入功率：≥450W</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kern w:val="0"/>
                <w:sz w:val="24"/>
                <w:szCs w:val="24"/>
              </w:rPr>
              <w:t>控制器：液晶控制器</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2.4</w:t>
            </w:r>
          </w:p>
        </w:tc>
        <w:tc>
          <w:tcPr>
            <w:tcW w:w="7141"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振幅：15-23mm</w:t>
            </w:r>
          </w:p>
        </w:tc>
        <w:tc>
          <w:tcPr>
            <w:tcW w:w="709" w:type="dxa"/>
          </w:tcPr>
          <w:p>
            <w:pPr>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2.5</w:t>
            </w:r>
          </w:p>
        </w:tc>
        <w:tc>
          <w:tcPr>
            <w:tcW w:w="7141"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标准配置：万能弹簧夹</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141"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定时范围：0～5999min</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141" w:type="dxa"/>
            <w:vAlign w:val="center"/>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控温范围：RT+5～65℃</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2.8</w:t>
            </w:r>
          </w:p>
        </w:tc>
        <w:tc>
          <w:tcPr>
            <w:tcW w:w="7141"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温度分辨率：≤0.1℃</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2.9</w:t>
            </w:r>
          </w:p>
        </w:tc>
        <w:tc>
          <w:tcPr>
            <w:tcW w:w="7141"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定时范围：0-5999min</w:t>
            </w:r>
          </w:p>
        </w:tc>
        <w:tc>
          <w:tcPr>
            <w:tcW w:w="709" w:type="dxa"/>
            <w:vAlign w:val="center"/>
          </w:tcPr>
          <w:p>
            <w:pPr>
              <w:jc w:val="left"/>
              <w:rPr>
                <w:rFonts w:hint="eastAsia" w:ascii="仿宋" w:hAnsi="仿宋" w:eastAsia="仿宋" w:cs="仿宋"/>
                <w:b/>
                <w:color w:val="auto"/>
                <w:sz w:val="24"/>
                <w:szCs w:val="24"/>
              </w:rPr>
            </w:pPr>
          </w:p>
        </w:tc>
      </w:tr>
    </w:tbl>
    <w:p>
      <w:pPr>
        <w:rPr>
          <w:rFonts w:hint="eastAsia" w:ascii="仿宋" w:hAnsi="仿宋" w:eastAsia="仿宋" w:cs="仿宋"/>
          <w:color w:val="auto"/>
          <w:sz w:val="24"/>
          <w:szCs w:val="24"/>
        </w:rPr>
      </w:pPr>
    </w:p>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恒温定量水机</w:t>
      </w:r>
    </w:p>
    <w:tbl>
      <w:tblPr>
        <w:tblStyle w:val="63"/>
        <w:tblW w:w="9107" w:type="dxa"/>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60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605"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一</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恒温、定量水</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二</w:t>
            </w:r>
          </w:p>
        </w:tc>
        <w:tc>
          <w:tcPr>
            <w:tcW w:w="7605"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功能与主要技术参数</w:t>
            </w:r>
          </w:p>
        </w:tc>
        <w:tc>
          <w:tcPr>
            <w:tcW w:w="709"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605"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水箱容量：≥1L</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93" w:type="dxa"/>
            <w:vAlign w:val="center"/>
          </w:tcPr>
          <w:p>
            <w:pPr>
              <w:spacing w:line="4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605" w:type="dxa"/>
          </w:tcPr>
          <w:p>
            <w:pPr>
              <w:spacing w:line="460" w:lineRule="exact"/>
              <w:rPr>
                <w:rFonts w:hint="eastAsia" w:ascii="仿宋" w:hAnsi="仿宋" w:eastAsia="仿宋" w:cs="仿宋"/>
                <w:color w:val="auto"/>
                <w:sz w:val="24"/>
                <w:szCs w:val="24"/>
              </w:rPr>
            </w:pPr>
            <w:r>
              <w:rPr>
                <w:rFonts w:hint="eastAsia" w:ascii="仿宋" w:hAnsi="仿宋" w:eastAsia="仿宋" w:cs="仿宋"/>
                <w:color w:val="auto"/>
                <w:sz w:val="24"/>
                <w:szCs w:val="24"/>
              </w:rPr>
              <w:t>功率：≥2200W</w:t>
            </w:r>
          </w:p>
        </w:tc>
        <w:tc>
          <w:tcPr>
            <w:tcW w:w="709" w:type="dxa"/>
          </w:tcPr>
          <w:p>
            <w:pPr>
              <w:spacing w:line="46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605" w:type="dxa"/>
          </w:tcPr>
          <w:p>
            <w:pPr>
              <w:rPr>
                <w:rFonts w:hint="eastAsia" w:ascii="仿宋" w:hAnsi="仿宋" w:eastAsia="仿宋" w:cs="仿宋"/>
                <w:color w:val="auto"/>
                <w:sz w:val="24"/>
                <w:szCs w:val="24"/>
              </w:rPr>
            </w:pPr>
            <w:r>
              <w:rPr>
                <w:rFonts w:hint="eastAsia" w:ascii="仿宋" w:hAnsi="仿宋" w:eastAsia="仿宋" w:cs="仿宋"/>
                <w:bCs/>
                <w:color w:val="auto"/>
                <w:sz w:val="24"/>
                <w:szCs w:val="24"/>
              </w:rPr>
              <w:t>取水量：150-300ml</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2.4.</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进水压力：0.15-0.3MPa</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使用环境：5~40℃</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热水能力：≥30L/H沸水</w:t>
            </w:r>
          </w:p>
        </w:tc>
        <w:tc>
          <w:tcPr>
            <w:tcW w:w="709" w:type="dxa"/>
            <w:vAlign w:val="center"/>
          </w:tcPr>
          <w:p>
            <w:pPr>
              <w:jc w:val="left"/>
              <w:rPr>
                <w:rFonts w:hint="eastAsia" w:ascii="仿宋" w:hAnsi="仿宋" w:eastAsia="仿宋" w:cs="仿宋"/>
                <w:b/>
                <w:color w:val="auto"/>
                <w:sz w:val="24"/>
                <w:szCs w:val="24"/>
              </w:rPr>
            </w:pPr>
          </w:p>
        </w:tc>
      </w:tr>
    </w:tbl>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反渗透净水机</w:t>
      </w:r>
    </w:p>
    <w:tbl>
      <w:tblPr>
        <w:tblStyle w:val="63"/>
        <w:tblW w:w="9107" w:type="dxa"/>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60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605"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净水机</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605"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709"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605"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功率：≥96W</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605"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水箱容量:20G碳钢压力桶</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2.3</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过滤方式：内置20碳钢压力桶，20寸三级滤瓶，400G反渗透膜*2,大T后置活性炭</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2.4</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进水压力：0.15-0.3MPa</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使用环境：5~40℃</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供水量：≥120L/H</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反渗透后水质达到生活饮用水标准，提供第三方检测报告</w:t>
            </w:r>
          </w:p>
        </w:tc>
        <w:tc>
          <w:tcPr>
            <w:tcW w:w="709" w:type="dxa"/>
            <w:vAlign w:val="center"/>
          </w:tcPr>
          <w:p>
            <w:pPr>
              <w:jc w:val="left"/>
              <w:rPr>
                <w:rFonts w:hint="eastAsia" w:ascii="仿宋" w:hAnsi="仿宋" w:eastAsia="仿宋" w:cs="仿宋"/>
                <w:b/>
                <w:color w:val="auto"/>
                <w:sz w:val="24"/>
                <w:szCs w:val="24"/>
              </w:rPr>
            </w:pPr>
          </w:p>
        </w:tc>
      </w:tr>
    </w:tbl>
    <w:p>
      <w:pPr>
        <w:spacing w:line="52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烘干消毒机</w:t>
      </w:r>
    </w:p>
    <w:tbl>
      <w:tblPr>
        <w:tblStyle w:val="63"/>
        <w:tblW w:w="9276" w:type="dxa"/>
        <w:tblInd w:w="-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605"/>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605"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878"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878"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烘干消毒</w:t>
            </w:r>
          </w:p>
        </w:tc>
        <w:tc>
          <w:tcPr>
            <w:tcW w:w="878"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605"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878"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605"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功率：≥1800W</w:t>
            </w:r>
          </w:p>
        </w:tc>
        <w:tc>
          <w:tcPr>
            <w:tcW w:w="878"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605"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操作方式：触控数显</w:t>
            </w:r>
          </w:p>
        </w:tc>
        <w:tc>
          <w:tcPr>
            <w:tcW w:w="878"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605"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容量：≥900L</w:t>
            </w:r>
          </w:p>
        </w:tc>
        <w:tc>
          <w:tcPr>
            <w:tcW w:w="878"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消毒温度：45~70℃</w:t>
            </w:r>
          </w:p>
        </w:tc>
        <w:tc>
          <w:tcPr>
            <w:tcW w:w="878"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2.5</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消毒方式：负离子+双热风烘干+紫外线</w:t>
            </w:r>
          </w:p>
        </w:tc>
        <w:tc>
          <w:tcPr>
            <w:tcW w:w="878"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层架材质：无磁不锈钢</w:t>
            </w:r>
          </w:p>
        </w:tc>
        <w:tc>
          <w:tcPr>
            <w:tcW w:w="878"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质保期：按国家三包规定执行</w:t>
            </w:r>
          </w:p>
        </w:tc>
        <w:tc>
          <w:tcPr>
            <w:tcW w:w="878" w:type="dxa"/>
            <w:vAlign w:val="center"/>
          </w:tcPr>
          <w:p>
            <w:pPr>
              <w:jc w:val="left"/>
              <w:rPr>
                <w:rFonts w:hint="eastAsia" w:ascii="仿宋" w:hAnsi="仿宋" w:eastAsia="仿宋" w:cs="仿宋"/>
                <w:b/>
                <w:color w:val="auto"/>
                <w:sz w:val="24"/>
                <w:szCs w:val="24"/>
              </w:rPr>
            </w:pPr>
          </w:p>
        </w:tc>
      </w:tr>
    </w:tbl>
    <w:p>
      <w:pPr>
        <w:pStyle w:val="327"/>
        <w:ind w:firstLine="0"/>
        <w:rPr>
          <w:rFonts w:hint="eastAsia" w:ascii="仿宋" w:hAnsi="仿宋" w:eastAsia="仿宋" w:cs="仿宋"/>
          <w:color w:val="auto"/>
          <w:sz w:val="24"/>
          <w:szCs w:val="24"/>
        </w:rPr>
      </w:pPr>
    </w:p>
    <w:tbl>
      <w:tblPr>
        <w:tblStyle w:val="63"/>
        <w:tblpPr w:leftFromText="180" w:rightFromText="180" w:vertAnchor="text" w:horzAnchor="margin" w:tblpXSpec="center" w:tblpY="433"/>
        <w:tblW w:w="8676" w:type="dxa"/>
        <w:tblInd w:w="-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6384"/>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6384"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95"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7"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一</w:t>
            </w:r>
          </w:p>
        </w:tc>
        <w:tc>
          <w:tcPr>
            <w:tcW w:w="6384"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95"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6384"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冷藏</w:t>
            </w:r>
          </w:p>
        </w:tc>
        <w:tc>
          <w:tcPr>
            <w:tcW w:w="795"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二</w:t>
            </w:r>
          </w:p>
        </w:tc>
        <w:tc>
          <w:tcPr>
            <w:tcW w:w="6384"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795"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6384"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容量：≥800L</w:t>
            </w:r>
          </w:p>
        </w:tc>
        <w:tc>
          <w:tcPr>
            <w:tcW w:w="795"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6384"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电源：</w:t>
            </w:r>
            <w:r>
              <w:rPr>
                <w:rFonts w:hint="eastAsia" w:ascii="仿宋" w:hAnsi="仿宋" w:eastAsia="仿宋" w:cs="仿宋"/>
                <w:color w:val="auto"/>
                <w:kern w:val="0"/>
                <w:sz w:val="24"/>
                <w:szCs w:val="24"/>
              </w:rPr>
              <w:t>220V 50Hz</w:t>
            </w:r>
          </w:p>
        </w:tc>
        <w:tc>
          <w:tcPr>
            <w:tcW w:w="795"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6384"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制冷方式：风冷</w:t>
            </w:r>
          </w:p>
        </w:tc>
        <w:tc>
          <w:tcPr>
            <w:tcW w:w="795"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2.4</w:t>
            </w:r>
          </w:p>
        </w:tc>
        <w:tc>
          <w:tcPr>
            <w:tcW w:w="6384"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温度范围：2-20℃</w:t>
            </w:r>
          </w:p>
        </w:tc>
        <w:tc>
          <w:tcPr>
            <w:tcW w:w="795"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6384"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能效等级≥2级</w:t>
            </w:r>
          </w:p>
        </w:tc>
        <w:tc>
          <w:tcPr>
            <w:tcW w:w="795"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6384"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制冷机管路：脱脂铜管；</w:t>
            </w:r>
          </w:p>
        </w:tc>
        <w:tc>
          <w:tcPr>
            <w:tcW w:w="795"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6384"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质保期：按国家三包规定执行</w:t>
            </w:r>
          </w:p>
        </w:tc>
        <w:tc>
          <w:tcPr>
            <w:tcW w:w="795" w:type="dxa"/>
            <w:vAlign w:val="center"/>
          </w:tcPr>
          <w:p>
            <w:pPr>
              <w:jc w:val="left"/>
              <w:rPr>
                <w:rFonts w:hint="eastAsia" w:ascii="仿宋" w:hAnsi="仿宋" w:eastAsia="仿宋" w:cs="仿宋"/>
                <w:b/>
                <w:color w:val="auto"/>
                <w:sz w:val="24"/>
                <w:szCs w:val="24"/>
              </w:rPr>
            </w:pPr>
          </w:p>
        </w:tc>
      </w:tr>
    </w:tbl>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冷藏冰箱</w:t>
      </w:r>
    </w:p>
    <w:p>
      <w:pPr>
        <w:spacing w:line="240" w:lineRule="exact"/>
        <w:rPr>
          <w:rFonts w:hint="eastAsia" w:ascii="仿宋" w:hAnsi="仿宋" w:eastAsia="仿宋" w:cs="仿宋"/>
          <w:color w:val="auto"/>
          <w:sz w:val="24"/>
          <w:szCs w:val="24"/>
        </w:rPr>
      </w:pPr>
    </w:p>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留样冰箱</w:t>
      </w:r>
    </w:p>
    <w:tbl>
      <w:tblPr>
        <w:tblStyle w:val="63"/>
        <w:tblW w:w="8897"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283"/>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28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821"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283"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821"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283"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冷藏、阴凉</w:t>
            </w:r>
          </w:p>
        </w:tc>
        <w:tc>
          <w:tcPr>
            <w:tcW w:w="821"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283"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821"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283"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容量：≥800L</w:t>
            </w:r>
          </w:p>
        </w:tc>
        <w:tc>
          <w:tcPr>
            <w:tcW w:w="821"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283"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制冷方式：风冷</w:t>
            </w:r>
          </w:p>
        </w:tc>
        <w:tc>
          <w:tcPr>
            <w:tcW w:w="821"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283"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箱体结构：双门上机</w:t>
            </w:r>
          </w:p>
        </w:tc>
        <w:tc>
          <w:tcPr>
            <w:tcW w:w="821"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7283"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温度范围：冷藏2-8℃，阴凉8-20℃</w:t>
            </w:r>
          </w:p>
        </w:tc>
        <w:tc>
          <w:tcPr>
            <w:tcW w:w="821"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7283"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能效等级≥2级</w:t>
            </w:r>
          </w:p>
        </w:tc>
        <w:tc>
          <w:tcPr>
            <w:tcW w:w="821"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283"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制冷机管路：脱脂铜管；</w:t>
            </w:r>
          </w:p>
        </w:tc>
        <w:tc>
          <w:tcPr>
            <w:tcW w:w="821"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283"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质保期按国家三包规定执行</w:t>
            </w:r>
          </w:p>
        </w:tc>
        <w:tc>
          <w:tcPr>
            <w:tcW w:w="821" w:type="dxa"/>
            <w:vAlign w:val="center"/>
          </w:tcPr>
          <w:p>
            <w:pPr>
              <w:jc w:val="left"/>
              <w:rPr>
                <w:rFonts w:hint="eastAsia" w:ascii="仿宋" w:hAnsi="仿宋" w:eastAsia="仿宋" w:cs="仿宋"/>
                <w:b/>
                <w:color w:val="auto"/>
                <w:sz w:val="24"/>
                <w:szCs w:val="24"/>
              </w:rPr>
            </w:pPr>
          </w:p>
        </w:tc>
      </w:tr>
    </w:tbl>
    <w:p>
      <w:pPr>
        <w:rPr>
          <w:rFonts w:hint="eastAsia" w:ascii="仿宋" w:hAnsi="仿宋" w:eastAsia="仿宋" w:cs="仿宋"/>
          <w:b/>
          <w:bCs/>
          <w:color w:val="auto"/>
          <w:sz w:val="24"/>
          <w:szCs w:val="24"/>
        </w:rPr>
      </w:pPr>
      <w:r>
        <w:rPr>
          <w:rFonts w:hint="eastAsia" w:ascii="仿宋" w:hAnsi="仿宋" w:eastAsia="仿宋" w:cs="仿宋"/>
          <w:b/>
          <w:bCs/>
          <w:color w:val="auto"/>
          <w:sz w:val="24"/>
          <w:szCs w:val="24"/>
        </w:rPr>
        <w:t>9-18主要参数及规格</w:t>
      </w:r>
    </w:p>
    <w:tbl>
      <w:tblPr>
        <w:tblStyle w:val="64"/>
        <w:tblW w:w="8897"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20"/>
        <w:gridCol w:w="790"/>
        <w:gridCol w:w="5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食物电子秤</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台</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1kg，精度0.1g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皮褶厚度计</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测量范围：0-60mm；精度0.2mm；误差±0.5mm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电子握力计</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拉力≤180KG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烧杯</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500ml，玻璃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13</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玻棒</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根</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20cm，玻璃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14</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不锈钢托盘</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3040不锈钢，11-12寸，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实验台边台</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延米</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定制：1.0mm冷轧钢板，防静电环氧树脂喷涂，理化板台面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16</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中央操作台</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延米</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定制：1.0mm冷轧钢板，防静电环氧树脂喷涂，理化板台面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17</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全钢货架</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定制：2.0mm冷轧钢板，环氧树脂喷涂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18</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货柜</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台</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定制：1.0mm冷轧钢板，环氧树脂喷涂</w:t>
            </w:r>
          </w:p>
        </w:tc>
      </w:tr>
    </w:tbl>
    <w:p>
      <w:pPr>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其他要求：</w:t>
      </w:r>
    </w:p>
    <w:p>
      <w:pPr>
        <w:spacing w:line="44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除参数中已有质保要求的设备和序号9-14的货物外，其它设备保修期3年（提供供应商盖章承诺），保修期内对非人为损坏的部位或零件进行免费维修、更换，维修保养一年至少4次，其中反渗透净水机滤芯免费更换≥2次/年，同时承担维修、保养过程中产生的包含但不限于材料、人工等一切费用；保修期后只收取配件费，免人工费，</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szCs w:val="24"/>
        </w:rPr>
        <w:t>在投标时提供配件清单及价格。</w:t>
      </w:r>
    </w:p>
    <w:p>
      <w:pPr>
        <w:spacing w:line="44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szCs w:val="24"/>
        </w:rPr>
        <w:t>提供设备保修期过后的全保报价（提供厂家及供应商盖章承诺，报年保修价，每年应不高于设备成交价的6%）。</w:t>
      </w:r>
      <w:r>
        <w:rPr>
          <w:rFonts w:hint="eastAsia" w:ascii="仿宋" w:hAnsi="仿宋" w:eastAsia="仿宋" w:cs="仿宋"/>
          <w:color w:val="auto"/>
          <w:kern w:val="0"/>
          <w:sz w:val="24"/>
          <w:szCs w:val="24"/>
        </w:rPr>
        <w:tab/>
      </w:r>
    </w:p>
    <w:p>
      <w:pPr>
        <w:spacing w:line="44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3、维修响应：质保期内出现故障，在收到采购人的电话后，对一般故障能在15分钟内响应，2小时内到达现场，4小时内解决问题，必要时提供备机，保证采购人的使用。</w:t>
      </w:r>
    </w:p>
    <w:p>
      <w:pPr>
        <w:rPr>
          <w:rFonts w:hint="eastAsia" w:ascii="仿宋" w:hAnsi="仿宋" w:eastAsia="仿宋" w:cs="仿宋"/>
          <w:b/>
          <w:color w:val="auto"/>
          <w:sz w:val="24"/>
          <w:szCs w:val="24"/>
        </w:rPr>
      </w:pPr>
      <w:r>
        <w:rPr>
          <w:rFonts w:hint="eastAsia" w:ascii="仿宋" w:hAnsi="仿宋" w:eastAsia="仿宋" w:cs="仿宋"/>
          <w:b/>
          <w:bCs/>
          <w:color w:val="auto"/>
          <w:sz w:val="24"/>
          <w:szCs w:val="24"/>
        </w:rPr>
        <w:t>所投标段内所有产品种类必须全部覆盖。</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二、商务要求：</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1、产品投标单价高于医院单价的作为无效投标处理。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2、本项目数量为预估数量，采购人按实际需要量分批采购，根据中标单价按实结算，至合同供货期满或相应标段预算金额采购完止。</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3、付款方式：《浙江省财政厅关于进一步发挥政府采购政策功能全力推动经济稳进提质的通知》（浙财采监〔2022〕3号）等文件要求执行，具体付款方式由双方协商后在合同中明确。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4、到货期：中标供应商需在医院发出采购需求后一般情况下7个工作日内送至指定地点，按医院需求配送到位。其中增加的运输费、安装费、调试费等一切费用由中标供应商承担。每延迟一天，扣除合同金额的1‰。</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5、验收方式：</w:t>
      </w:r>
      <w:r>
        <w:rPr>
          <w:rFonts w:hint="eastAsia" w:ascii="仿宋" w:hAnsi="仿宋" w:eastAsia="仿宋" w:cs="仿宋"/>
          <w:bCs/>
          <w:color w:val="auto"/>
          <w:sz w:val="24"/>
          <w:szCs w:val="24"/>
          <w:lang w:val="en-US" w:eastAsia="zh-CN"/>
        </w:rPr>
        <w:t>采购人</w:t>
      </w:r>
      <w:r>
        <w:rPr>
          <w:rFonts w:hint="eastAsia" w:ascii="仿宋" w:hAnsi="仿宋" w:eastAsia="仿宋" w:cs="仿宋"/>
          <w:bCs/>
          <w:color w:val="auto"/>
          <w:sz w:val="24"/>
          <w:szCs w:val="24"/>
        </w:rPr>
        <w:t>对所供货物进行最终验收，如果发现与合同不符，供应商须承担由此发生的一切损失和费用，并接受相应的处罚。</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6、合同期:</w:t>
      </w:r>
      <w:r>
        <w:rPr>
          <w:rFonts w:hint="eastAsia" w:ascii="仿宋" w:hAnsi="仿宋" w:eastAsia="仿宋" w:cs="仿宋"/>
          <w:bCs/>
          <w:color w:val="auto"/>
          <w:sz w:val="24"/>
          <w:szCs w:val="24"/>
          <w:lang w:val="en-US" w:eastAsia="zh-CN"/>
        </w:rPr>
        <w:t>自合同签订之日起一年</w:t>
      </w:r>
      <w:r>
        <w:rPr>
          <w:rFonts w:hint="eastAsia" w:ascii="仿宋" w:hAnsi="仿宋" w:eastAsia="仿宋" w:cs="仿宋"/>
          <w:bCs/>
          <w:color w:val="auto"/>
          <w:sz w:val="24"/>
          <w:szCs w:val="24"/>
        </w:rPr>
        <w:t>或采购金额达到合同金额。本合同为固定单价合同，合同金额为预算金额。若供应商在合同期内出现三次不及时响应送货的，扣除合同金额的1%；供应商一个月内出现两次断供行为的，视其不能正常履约，医院将重新组织招标，且没收全部履约保证金，并视情节轻重报告财政部门。</w:t>
      </w:r>
    </w:p>
    <w:p>
      <w:pPr>
        <w:snapToGrid w:val="0"/>
        <w:spacing w:line="440" w:lineRule="exact"/>
        <w:rPr>
          <w:rFonts w:hint="eastAsia" w:ascii="仿宋" w:hAnsi="仿宋" w:eastAsia="仿宋_GB2312" w:cs="仿宋"/>
          <w:bCs/>
          <w:color w:val="auto"/>
          <w:sz w:val="24"/>
          <w:szCs w:val="24"/>
          <w:lang w:eastAsia="zh-CN"/>
        </w:rPr>
      </w:pPr>
      <w:r>
        <w:rPr>
          <w:rFonts w:hint="eastAsia" w:ascii="仿宋" w:hAnsi="仿宋" w:eastAsia="仿宋" w:cs="仿宋"/>
          <w:bCs/>
          <w:color w:val="auto"/>
          <w:sz w:val="24"/>
          <w:szCs w:val="24"/>
        </w:rPr>
        <w:t>7、履约保证金：</w:t>
      </w:r>
      <w:r>
        <w:rPr>
          <w:rFonts w:hint="eastAsia" w:ascii="仿宋_GB2312" w:hAnsi="仿宋" w:eastAsia="仿宋_GB2312" w:cs="仿宋"/>
          <w:color w:val="auto"/>
          <w:sz w:val="24"/>
        </w:rPr>
        <w:t>在签订合同时，收取不高于中标额的1%的履约保证金</w:t>
      </w:r>
      <w:r>
        <w:rPr>
          <w:rFonts w:hint="eastAsia" w:ascii="仿宋_GB2312" w:hAnsi="仿宋" w:eastAsia="仿宋_GB2312" w:cs="仿宋"/>
          <w:color w:val="auto"/>
          <w:sz w:val="24"/>
          <w:lang w:eastAsia="zh-CN"/>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8、合同期内如遇上级部门集中采购、组织开展联合采购或其他有关政策，与合同条款或合同供应模式发生冲突的，则医院有权单方解除合同，不视为医院违约，且双方互不承担责任。如医院采取集中配送或由第三方集中配送等物流供应新模式的（如SPD配送服务管理），中标供应商须同意按医院的新模式要求执行，且不得因此提出任何合同外的要求或费用等，否则医院也有权单方解除合同且不承担任何责任。</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9、合同期内若遇中标产品价格下调，</w:t>
      </w:r>
      <w:r>
        <w:rPr>
          <w:rFonts w:hint="eastAsia" w:ascii="仿宋" w:hAnsi="仿宋" w:eastAsia="仿宋" w:cs="仿宋"/>
          <w:color w:val="auto"/>
          <w:kern w:val="0"/>
          <w:sz w:val="24"/>
          <w:szCs w:val="24"/>
          <w:lang w:val="en-US" w:eastAsia="zh-CN"/>
        </w:rPr>
        <w:t>供应商</w:t>
      </w:r>
      <w:r>
        <w:rPr>
          <w:rFonts w:hint="eastAsia" w:ascii="仿宋" w:hAnsi="仿宋" w:eastAsia="仿宋" w:cs="仿宋"/>
          <w:bCs/>
          <w:color w:val="auto"/>
          <w:sz w:val="24"/>
          <w:szCs w:val="24"/>
        </w:rPr>
        <w:t>需主动向医院申报并下调交易价格，医院不定期进行抽查，发现未主动申报下调价格，将在履约保证金中或其他应支付款项中加倍扣除相应的金额。</w:t>
      </w:r>
    </w:p>
    <w:p>
      <w:pPr>
        <w:spacing w:line="440" w:lineRule="exact"/>
        <w:outlineLvl w:val="0"/>
        <w:rPr>
          <w:rFonts w:ascii="仿宋" w:hAnsi="仿宋" w:eastAsia="仿宋" w:cs="仿宋"/>
          <w:bCs/>
          <w:color w:val="auto"/>
          <w:sz w:val="24"/>
        </w:rPr>
      </w:pPr>
      <w:r>
        <w:rPr>
          <w:rFonts w:hint="eastAsia" w:ascii="仿宋" w:hAnsi="仿宋" w:eastAsia="仿宋" w:cs="仿宋"/>
          <w:bCs/>
          <w:color w:val="auto"/>
          <w:sz w:val="24"/>
        </w:rPr>
        <w:t>10、在合同期内因产品自身问题，导致中标产品无法达到预期效果或采购人不满意结果的，中标供应商须根据采购人要求无条件提供解决方案，直至问题解决。</w:t>
      </w:r>
    </w:p>
    <w:p>
      <w:pPr>
        <w:spacing w:line="440" w:lineRule="exact"/>
        <w:outlineLvl w:val="0"/>
        <w:rPr>
          <w:rFonts w:ascii="仿宋" w:hAnsi="仿宋" w:eastAsia="仿宋" w:cs="仿宋"/>
          <w:bCs/>
          <w:color w:val="auto"/>
          <w:sz w:val="24"/>
        </w:rPr>
      </w:pPr>
      <w:r>
        <w:rPr>
          <w:rFonts w:hint="eastAsia" w:ascii="仿宋" w:hAnsi="仿宋" w:eastAsia="仿宋" w:cs="仿宋"/>
          <w:bCs/>
          <w:color w:val="auto"/>
          <w:sz w:val="24"/>
        </w:rPr>
        <w:t>11、认证证书提供复印件并加盖公章。</w:t>
      </w:r>
    </w:p>
    <w:p>
      <w:pPr>
        <w:spacing w:line="440" w:lineRule="exact"/>
        <w:rPr>
          <w:rFonts w:ascii="仿宋" w:hAnsi="仿宋" w:eastAsia="仿宋" w:cs="仿宋"/>
          <w:color w:val="auto"/>
          <w:kern w:val="0"/>
          <w:sz w:val="24"/>
        </w:rPr>
      </w:pPr>
      <w:r>
        <w:rPr>
          <w:rFonts w:ascii="仿宋" w:hAnsi="仿宋" w:eastAsia="仿宋" w:cs="仿宋"/>
          <w:color w:val="auto"/>
          <w:kern w:val="0"/>
          <w:sz w:val="24"/>
        </w:rPr>
        <w:t>12</w:t>
      </w:r>
      <w:r>
        <w:rPr>
          <w:rFonts w:hint="eastAsia" w:ascii="仿宋" w:hAnsi="仿宋" w:eastAsia="仿宋" w:cs="仿宋"/>
          <w:color w:val="auto"/>
          <w:kern w:val="0"/>
          <w:sz w:val="24"/>
        </w:rPr>
        <w:t>、</w:t>
      </w:r>
      <w:r>
        <w:rPr>
          <w:rFonts w:ascii="仿宋" w:hAnsi="仿宋" w:eastAsia="仿宋" w:cs="仿宋"/>
          <w:color w:val="auto"/>
          <w:kern w:val="0"/>
          <w:sz w:val="24"/>
        </w:rPr>
        <w:t>设备停产后，零配件保持供应8年以上</w:t>
      </w:r>
      <w:r>
        <w:rPr>
          <w:rFonts w:hint="eastAsia" w:ascii="仿宋" w:hAnsi="仿宋" w:eastAsia="仿宋" w:cs="仿宋"/>
          <w:color w:val="auto"/>
          <w:kern w:val="0"/>
          <w:sz w:val="24"/>
        </w:rPr>
        <w:t>。</w:t>
      </w:r>
      <w:r>
        <w:rPr>
          <w:rFonts w:ascii="仿宋" w:hAnsi="仿宋" w:eastAsia="仿宋" w:cs="仿宋"/>
          <w:color w:val="auto"/>
          <w:kern w:val="0"/>
          <w:sz w:val="24"/>
        </w:rPr>
        <w:tab/>
      </w:r>
    </w:p>
    <w:p>
      <w:pPr>
        <w:spacing w:line="440" w:lineRule="exact"/>
        <w:rPr>
          <w:rFonts w:ascii="仿宋" w:hAnsi="仿宋" w:eastAsia="仿宋" w:cs="仿宋"/>
          <w:color w:val="auto"/>
          <w:kern w:val="0"/>
          <w:sz w:val="24"/>
        </w:rPr>
      </w:pPr>
      <w:r>
        <w:rPr>
          <w:rFonts w:ascii="仿宋" w:hAnsi="仿宋" w:eastAsia="仿宋" w:cs="仿宋"/>
          <w:color w:val="auto"/>
          <w:kern w:val="0"/>
          <w:sz w:val="24"/>
        </w:rPr>
        <w:t>13</w:t>
      </w:r>
      <w:r>
        <w:rPr>
          <w:rFonts w:hint="eastAsia" w:ascii="仿宋" w:hAnsi="仿宋" w:eastAsia="仿宋" w:cs="仿宋"/>
          <w:color w:val="auto"/>
          <w:kern w:val="0"/>
          <w:sz w:val="24"/>
        </w:rPr>
        <w:t>、 安装及验收标准：符合我国国家有关技术规范和技术标准。</w:t>
      </w:r>
    </w:p>
    <w:p>
      <w:pPr>
        <w:spacing w:line="440" w:lineRule="exact"/>
        <w:rPr>
          <w:rFonts w:ascii="仿宋" w:hAnsi="仿宋" w:eastAsia="仿宋" w:cs="仿宋"/>
          <w:color w:val="auto"/>
          <w:kern w:val="0"/>
          <w:sz w:val="24"/>
        </w:rPr>
      </w:pPr>
      <w:r>
        <w:rPr>
          <w:rFonts w:ascii="仿宋" w:hAnsi="仿宋" w:eastAsia="仿宋" w:cs="仿宋"/>
          <w:color w:val="auto"/>
          <w:kern w:val="0"/>
          <w:sz w:val="24"/>
        </w:rPr>
        <w:t>14</w:t>
      </w:r>
      <w:r>
        <w:rPr>
          <w:rFonts w:hint="eastAsia" w:ascii="仿宋" w:hAnsi="仿宋" w:eastAsia="仿宋" w:cs="仿宋"/>
          <w:color w:val="auto"/>
          <w:kern w:val="0"/>
          <w:sz w:val="24"/>
        </w:rPr>
        <w:t>、验收完成后对操作及使用人员进行基础维护与保养培训，包括课件及现场培训。</w:t>
      </w:r>
    </w:p>
    <w:p>
      <w:pPr>
        <w:spacing w:line="440" w:lineRule="exact"/>
        <w:rPr>
          <w:rFonts w:ascii="仿宋" w:hAnsi="仿宋" w:eastAsia="仿宋" w:cs="仿宋"/>
          <w:color w:val="auto"/>
          <w:kern w:val="0"/>
          <w:sz w:val="24"/>
        </w:rPr>
      </w:pPr>
      <w:r>
        <w:rPr>
          <w:rFonts w:ascii="仿宋" w:hAnsi="仿宋" w:eastAsia="仿宋" w:cs="仿宋"/>
          <w:color w:val="auto"/>
          <w:kern w:val="0"/>
          <w:sz w:val="24"/>
        </w:rPr>
        <w:t>15</w:t>
      </w:r>
      <w:r>
        <w:rPr>
          <w:rFonts w:hint="eastAsia" w:ascii="仿宋" w:hAnsi="仿宋" w:eastAsia="仿宋" w:cs="仿宋"/>
          <w:color w:val="auto"/>
          <w:kern w:val="0"/>
          <w:sz w:val="24"/>
        </w:rPr>
        <w:t>、本项目为交钥匙工程，为保证招标设备正常运行所需的相关配件，无论清单中是否明确列明，或存在数量偏差，请</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rPr>
        <w:t>综合考虑，一并计入报价，今后不作调整。</w:t>
      </w:r>
    </w:p>
    <w:p>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pPr>
        <w:spacing w:line="480" w:lineRule="auto"/>
        <w:jc w:val="center"/>
        <w:rPr>
          <w:rFonts w:ascii="仿宋_GB2312" w:hAnsi="仿宋" w:eastAsia="仿宋_GB2312" w:cs="仿宋"/>
          <w:b/>
          <w:sz w:val="28"/>
          <w:szCs w:val="28"/>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pPr>
        <w:pStyle w:val="312"/>
        <w:ind w:left="0" w:leftChars="0" w:firstLine="0" w:firstLineChars="0"/>
        <w:rPr>
          <w:rFonts w:ascii="仿宋_GB2312" w:hAnsi="仿宋" w:eastAsia="仿宋_GB2312" w:cs="仿宋"/>
          <w:szCs w:val="24"/>
        </w:rPr>
      </w:pPr>
    </w:p>
    <w:p>
      <w:pPr>
        <w:pStyle w:val="312"/>
        <w:jc w:val="center"/>
        <w:rPr>
          <w:rFonts w:ascii="仿宋_GB2312" w:hAnsi="仿宋" w:eastAsia="仿宋_GB2312" w:cs="仿宋"/>
          <w:szCs w:val="24"/>
        </w:rPr>
      </w:pPr>
    </w:p>
    <w:p>
      <w:pPr>
        <w:pStyle w:val="312"/>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pPr>
        <w:pStyle w:val="312"/>
        <w:rPr>
          <w:rFonts w:ascii="仿宋_GB2312" w:hAnsi="仿宋" w:eastAsia="仿宋_GB2312" w:cs="仿宋"/>
          <w:szCs w:val="24"/>
        </w:rPr>
      </w:pPr>
    </w:p>
    <w:p>
      <w:pPr>
        <w:pStyle w:val="312"/>
        <w:rPr>
          <w:rFonts w:ascii="仿宋_GB2312" w:hAnsi="仿宋" w:eastAsia="仿宋_GB2312" w:cs="仿宋"/>
          <w:szCs w:val="24"/>
        </w:rPr>
      </w:pP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pPr>
        <w:pStyle w:val="311"/>
        <w:spacing w:before="120" w:line="22" w:lineRule="atLeast"/>
        <w:rPr>
          <w:rFonts w:hAnsi="仿宋" w:cs="仿宋"/>
          <w:szCs w:val="24"/>
        </w:rPr>
      </w:pPr>
    </w:p>
    <w:p>
      <w:pPr>
        <w:pStyle w:val="311"/>
        <w:spacing w:before="120" w:line="22" w:lineRule="atLeast"/>
        <w:rPr>
          <w:rFonts w:hAnsi="仿宋" w:cs="仿宋"/>
          <w:szCs w:val="24"/>
        </w:rPr>
      </w:pPr>
    </w:p>
    <w:p>
      <w:pPr>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pPr>
        <w:widowControl/>
        <w:jc w:val="left"/>
        <w:rPr>
          <w:rFonts w:ascii="仿宋_GB2312" w:hAnsi="仿宋" w:eastAsia="仿宋_GB2312" w:cs="仿宋"/>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560" w:lineRule="exact"/>
        <w:ind w:firstLine="482" w:firstLineChars="200"/>
        <w:outlineLvl w:val="0"/>
        <w:rPr>
          <w:rFonts w:ascii="仿宋_GB2312" w:hAnsi="仿宋" w:eastAsia="仿宋_GB2312" w:cs="仿宋"/>
          <w:b/>
          <w:sz w:val="24"/>
        </w:rPr>
      </w:pPr>
      <w:bookmarkStart w:id="8" w:name="_Toc3029"/>
      <w:bookmarkStart w:id="9" w:name="_Toc2232"/>
      <w:bookmarkStart w:id="10" w:name="_Toc24059"/>
      <w:r>
        <w:rPr>
          <w:rFonts w:hint="eastAsia" w:ascii="仿宋_GB2312" w:hAnsi="仿宋" w:eastAsia="仿宋_GB2312" w:cs="仿宋"/>
          <w:b/>
          <w:sz w:val="24"/>
        </w:rPr>
        <w:t>1.1 合同组成部分</w:t>
      </w:r>
      <w:bookmarkEnd w:id="8"/>
      <w:bookmarkEnd w:id="9"/>
      <w:bookmarkEnd w:id="1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pPr>
        <w:spacing w:line="560" w:lineRule="exact"/>
        <w:ind w:firstLine="482" w:firstLineChars="200"/>
        <w:outlineLvl w:val="0"/>
        <w:rPr>
          <w:rFonts w:ascii="仿宋_GB2312" w:hAnsi="仿宋" w:eastAsia="仿宋_GB2312" w:cs="仿宋"/>
          <w:b/>
          <w:sz w:val="24"/>
        </w:rPr>
      </w:pPr>
      <w:bookmarkStart w:id="11" w:name="_Toc21295"/>
      <w:bookmarkStart w:id="12" w:name="_Toc24300"/>
      <w:bookmarkStart w:id="13" w:name="_Toc27126"/>
      <w:r>
        <w:rPr>
          <w:rFonts w:hint="eastAsia" w:ascii="仿宋_GB2312" w:hAnsi="仿宋" w:eastAsia="仿宋_GB2312" w:cs="仿宋"/>
          <w:b/>
          <w:sz w:val="24"/>
        </w:rPr>
        <w:t>1.2 货物</w:t>
      </w:r>
      <w:bookmarkEnd w:id="11"/>
      <w:bookmarkEnd w:id="12"/>
      <w:bookmarkEnd w:id="13"/>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pPr>
        <w:spacing w:line="560" w:lineRule="exact"/>
        <w:ind w:firstLine="482" w:firstLineChars="200"/>
        <w:outlineLvl w:val="0"/>
        <w:rPr>
          <w:rFonts w:ascii="仿宋_GB2312" w:hAnsi="仿宋" w:eastAsia="仿宋_GB2312" w:cs="仿宋"/>
          <w:b/>
          <w:sz w:val="24"/>
        </w:rPr>
      </w:pPr>
      <w:bookmarkStart w:id="14" w:name="_Toc21551"/>
      <w:bookmarkStart w:id="15" w:name="_Toc23292"/>
      <w:bookmarkStart w:id="16" w:name="_Toc21631"/>
      <w:r>
        <w:rPr>
          <w:rFonts w:hint="eastAsia" w:ascii="仿宋_GB2312" w:hAnsi="仿宋" w:eastAsia="仿宋_GB2312" w:cs="仿宋"/>
          <w:b/>
          <w:sz w:val="24"/>
        </w:rPr>
        <w:t>1.3 价款</w:t>
      </w:r>
      <w:bookmarkEnd w:id="14"/>
      <w:bookmarkEnd w:id="15"/>
      <w:bookmarkEnd w:id="1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bl>
    <w:p>
      <w:pPr>
        <w:pStyle w:val="313"/>
        <w:spacing w:before="0" w:beforeAutospacing="0" w:after="0" w:afterAutospacing="0" w:line="360" w:lineRule="auto"/>
        <w:ind w:firstLine="480"/>
        <w:rPr>
          <w:rFonts w:ascii="仿宋_GB2312" w:hAnsi="仿宋" w:eastAsia="仿宋_GB2312" w:cs="仿宋"/>
          <w:b/>
        </w:rPr>
      </w:pPr>
      <w:bookmarkStart w:id="17" w:name="_Toc1814"/>
      <w:bookmarkStart w:id="18" w:name="_Toc10340"/>
      <w:bookmarkStart w:id="19" w:name="_Toc22618"/>
      <w:r>
        <w:rPr>
          <w:rFonts w:hint="eastAsia" w:ascii="仿宋_GB2312" w:hAnsi="仿宋" w:eastAsia="仿宋_GB2312" w:cs="仿宋"/>
          <w:b/>
        </w:rPr>
        <w:t>1.4履约保证金</w:t>
      </w:r>
    </w:p>
    <w:p>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17"/>
      <w:bookmarkEnd w:id="18"/>
      <w:bookmarkEnd w:id="19"/>
      <w:r>
        <w:rPr>
          <w:rFonts w:hint="eastAsia" w:ascii="仿宋_GB2312" w:hAnsi="仿宋" w:eastAsia="仿宋_GB2312" w:cs="仿宋"/>
          <w:b/>
          <w:sz w:val="24"/>
        </w:rPr>
        <w:t>预付款</w:t>
      </w:r>
    </w:p>
    <w:p>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3"/>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3"/>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20" w:name="_Toc19304"/>
      <w:bookmarkStart w:id="21" w:name="_Toc2846"/>
      <w:bookmarkStart w:id="22" w:name="_Toc32071"/>
      <w:r>
        <w:rPr>
          <w:rFonts w:hint="eastAsia" w:ascii="仿宋_GB2312" w:hAnsi="仿宋" w:eastAsia="仿宋_GB2312" w:cs="仿宋"/>
          <w:b/>
          <w:sz w:val="24"/>
        </w:rPr>
        <w:t>1.7货物交付期限、地点和方式</w:t>
      </w:r>
      <w:bookmarkEnd w:id="20"/>
      <w:bookmarkEnd w:id="21"/>
      <w:bookmarkEnd w:id="22"/>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23" w:name="_Toc27250"/>
      <w:bookmarkStart w:id="24" w:name="_Toc19554"/>
      <w:bookmarkStart w:id="25" w:name="_Toc21423"/>
      <w:r>
        <w:rPr>
          <w:rFonts w:hint="eastAsia" w:ascii="仿宋_GB2312" w:hAnsi="仿宋" w:eastAsia="仿宋_GB2312" w:cs="仿宋"/>
          <w:b/>
          <w:sz w:val="24"/>
        </w:rPr>
        <w:t>1.8违约责任</w:t>
      </w:r>
      <w:bookmarkEnd w:id="23"/>
      <w:bookmarkEnd w:id="24"/>
      <w:bookmarkEnd w:id="2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pPr>
        <w:spacing w:line="560" w:lineRule="exact"/>
        <w:ind w:firstLine="482" w:firstLineChars="200"/>
        <w:outlineLvl w:val="0"/>
        <w:rPr>
          <w:rFonts w:ascii="仿宋_GB2312" w:hAnsi="仿宋" w:eastAsia="仿宋_GB2312" w:cs="仿宋"/>
          <w:b/>
          <w:sz w:val="24"/>
        </w:rPr>
      </w:pPr>
      <w:bookmarkStart w:id="26" w:name="_Toc28375"/>
      <w:bookmarkStart w:id="27" w:name="_Toc15583"/>
      <w:bookmarkStart w:id="28" w:name="_Toc16021"/>
      <w:r>
        <w:rPr>
          <w:rFonts w:hint="eastAsia" w:ascii="仿宋_GB2312" w:hAnsi="仿宋" w:eastAsia="仿宋_GB2312" w:cs="仿宋"/>
          <w:b/>
          <w:sz w:val="24"/>
        </w:rPr>
        <w:t>1.9合同争议的解决</w:t>
      </w:r>
      <w:bookmarkEnd w:id="26"/>
      <w:bookmarkEnd w:id="27"/>
      <w:bookmarkEnd w:id="28"/>
    </w:p>
    <w:p>
      <w:pPr>
        <w:spacing w:line="560" w:lineRule="exact"/>
        <w:ind w:left="-420" w:leftChars="-200" w:right="-420" w:rightChars="-200" w:firstLine="840" w:firstLineChars="3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本合同履行过程中发生的任何争议，双方当事人均可通过和解或者调解解决；不愿和解、调解或者和解、调解不成的，将争议提交绍兴市仲裁委员会仲裁。</w:t>
      </w:r>
    </w:p>
    <w:p>
      <w:pPr>
        <w:spacing w:line="560" w:lineRule="exact"/>
        <w:ind w:firstLine="482" w:firstLineChars="200"/>
        <w:outlineLvl w:val="0"/>
        <w:rPr>
          <w:rFonts w:ascii="仿宋_GB2312" w:hAnsi="仿宋" w:eastAsia="仿宋_GB2312" w:cs="仿宋"/>
          <w:b/>
          <w:sz w:val="24"/>
        </w:rPr>
      </w:pPr>
      <w:bookmarkStart w:id="29" w:name="_Toc7245"/>
      <w:bookmarkStart w:id="30" w:name="_Toc15322"/>
      <w:bookmarkStart w:id="31" w:name="_Toc11173"/>
      <w:r>
        <w:rPr>
          <w:rFonts w:hint="eastAsia" w:ascii="仿宋_GB2312" w:hAnsi="仿宋" w:eastAsia="仿宋_GB2312" w:cs="仿宋"/>
          <w:b/>
          <w:sz w:val="24"/>
        </w:rPr>
        <w:t>2.0 合同生效</w:t>
      </w:r>
      <w:bookmarkEnd w:id="29"/>
      <w:bookmarkEnd w:id="30"/>
      <w:bookmarkEnd w:id="31"/>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pPr>
        <w:pStyle w:val="312"/>
        <w:spacing w:line="560" w:lineRule="exact"/>
        <w:ind w:firstLine="482"/>
        <w:jc w:val="center"/>
        <w:rPr>
          <w:rFonts w:ascii="仿宋_GB2312" w:hAnsi="仿宋" w:eastAsia="仿宋_GB2312" w:cs="仿宋"/>
          <w:b/>
          <w:szCs w:val="24"/>
        </w:rPr>
      </w:pPr>
    </w:p>
    <w:p>
      <w:pPr>
        <w:pStyle w:val="312"/>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pPr>
        <w:spacing w:line="560" w:lineRule="exact"/>
        <w:ind w:firstLine="482" w:firstLineChars="200"/>
        <w:outlineLvl w:val="0"/>
        <w:rPr>
          <w:rFonts w:ascii="仿宋_GB2312" w:hAnsi="仿宋" w:eastAsia="仿宋_GB2312" w:cs="仿宋"/>
          <w:b/>
          <w:sz w:val="24"/>
        </w:rPr>
      </w:pPr>
      <w:bookmarkStart w:id="32" w:name="_Toc487900349"/>
      <w:bookmarkStart w:id="33" w:name="_Ref467379205"/>
      <w:bookmarkStart w:id="34" w:name="_Ref467379195"/>
      <w:bookmarkStart w:id="35" w:name="_Ref467379225"/>
      <w:bookmarkStart w:id="36" w:name="_Ref467378499"/>
      <w:bookmarkStart w:id="37" w:name="_Ref467379101"/>
      <w:bookmarkStart w:id="38" w:name="_Toc19614"/>
      <w:bookmarkStart w:id="39" w:name="_Toc16917"/>
      <w:bookmarkStart w:id="40" w:name="_Toc28763"/>
      <w:bookmarkStart w:id="41" w:name="_Toc279701240"/>
      <w:bookmarkStart w:id="42" w:name="_Ref467378404"/>
      <w:bookmarkStart w:id="43" w:name="_Ref467379109"/>
      <w:bookmarkStart w:id="44" w:name="_Ref467379214"/>
      <w:bookmarkStart w:id="45" w:name="_Ref467378463"/>
      <w:bookmarkStart w:id="46" w:name="_Toc259093669"/>
      <w:bookmarkStart w:id="47" w:name="_Ref467379094"/>
      <w:r>
        <w:rPr>
          <w:rFonts w:hint="eastAsia" w:ascii="仿宋_GB2312" w:hAnsi="仿宋" w:eastAsia="仿宋_GB2312" w:cs="仿宋"/>
          <w:b/>
          <w:sz w:val="24"/>
        </w:rPr>
        <w:t>2.1 定义</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sz w:val="24"/>
        </w:rPr>
      </w:pPr>
      <w:bookmarkStart w:id="48" w:name="_Ref467378840"/>
      <w:r>
        <w:rPr>
          <w:rFonts w:hint="eastAsia" w:ascii="仿宋_GB2312" w:hAnsi="仿宋" w:eastAsia="仿宋_GB2312" w:cs="仿宋"/>
          <w:sz w:val="24"/>
        </w:rPr>
        <w:t>2.1.4 “甲方”系指与中标或成交供应商签署合同的采购人</w:t>
      </w:r>
      <w:bookmarkEnd w:id="48"/>
      <w:r>
        <w:rPr>
          <w:rFonts w:hint="eastAsia" w:ascii="仿宋_GB2312" w:hAnsi="仿宋" w:eastAsia="仿宋_GB2312" w:cs="仿宋"/>
          <w:sz w:val="24"/>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rPr>
      </w:pPr>
      <w:bookmarkStart w:id="49" w:name="_Ref467379400"/>
      <w:r>
        <w:rPr>
          <w:rFonts w:hint="eastAsia" w:ascii="仿宋_GB2312" w:hAnsi="仿宋" w:eastAsia="仿宋_GB2312" w:cs="仿宋"/>
          <w:sz w:val="24"/>
        </w:rPr>
        <w:t>2.1.5 “乙方”系指根据合同约定交付货物的中标或成交供应商</w:t>
      </w:r>
      <w:bookmarkEnd w:id="49"/>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rPr>
      </w:pPr>
      <w:bookmarkStart w:id="50" w:name="_Ref467379436"/>
      <w:r>
        <w:rPr>
          <w:rFonts w:hint="eastAsia" w:ascii="仿宋_GB2312" w:hAnsi="仿宋" w:eastAsia="仿宋_GB2312" w:cs="仿宋"/>
          <w:sz w:val="24"/>
        </w:rPr>
        <w:t>2.1.6 “现场”系指合同约定货物将要运至或者安装的地点。</w:t>
      </w:r>
      <w:bookmarkEnd w:id="50"/>
    </w:p>
    <w:p>
      <w:pPr>
        <w:spacing w:line="560" w:lineRule="exact"/>
        <w:ind w:firstLine="482" w:firstLineChars="200"/>
        <w:outlineLvl w:val="0"/>
        <w:rPr>
          <w:rFonts w:ascii="仿宋_GB2312" w:hAnsi="仿宋" w:eastAsia="仿宋_GB2312" w:cs="仿宋"/>
          <w:b/>
          <w:sz w:val="24"/>
        </w:rPr>
      </w:pPr>
      <w:bookmarkStart w:id="51" w:name="_Toc13336"/>
      <w:bookmarkStart w:id="52" w:name="_Toc487900350"/>
      <w:bookmarkStart w:id="53" w:name="_Toc32504"/>
      <w:bookmarkStart w:id="54" w:name="_Toc259093670"/>
      <w:bookmarkStart w:id="55" w:name="_Toc279701241"/>
      <w:bookmarkStart w:id="56" w:name="_Toc27635"/>
      <w:r>
        <w:rPr>
          <w:rFonts w:hint="eastAsia" w:ascii="仿宋_GB2312" w:hAnsi="仿宋" w:eastAsia="仿宋_GB2312" w:cs="仿宋"/>
          <w:b/>
          <w:sz w:val="24"/>
        </w:rPr>
        <w:t>2.2 技术规范</w:t>
      </w:r>
      <w:bookmarkEnd w:id="51"/>
      <w:bookmarkEnd w:id="52"/>
      <w:bookmarkEnd w:id="53"/>
      <w:bookmarkEnd w:id="54"/>
      <w:bookmarkEnd w:id="55"/>
      <w:bookmarkEnd w:id="5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rPr>
      </w:pPr>
      <w:bookmarkStart w:id="57" w:name="_Toc31634"/>
      <w:bookmarkStart w:id="58" w:name="_Toc487900351"/>
      <w:bookmarkStart w:id="59" w:name="_Toc279701242"/>
      <w:bookmarkStart w:id="60" w:name="_Toc27853"/>
      <w:bookmarkStart w:id="61" w:name="_Toc9829"/>
      <w:bookmarkStart w:id="62" w:name="_Toc259093671"/>
      <w:r>
        <w:rPr>
          <w:rFonts w:hint="eastAsia" w:ascii="仿宋_GB2312" w:hAnsi="仿宋" w:eastAsia="仿宋_GB2312" w:cs="仿宋"/>
          <w:b/>
          <w:sz w:val="24"/>
        </w:rPr>
        <w:t>2.3 知识产权</w:t>
      </w:r>
      <w:bookmarkEnd w:id="57"/>
      <w:bookmarkEnd w:id="58"/>
      <w:bookmarkEnd w:id="59"/>
      <w:bookmarkEnd w:id="60"/>
      <w:bookmarkEnd w:id="61"/>
      <w:bookmarkEnd w:id="6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63" w:name="_Toc29149"/>
      <w:bookmarkStart w:id="64" w:name="_Toc4194"/>
      <w:bookmarkStart w:id="65" w:name="_Toc11932"/>
      <w:r>
        <w:rPr>
          <w:rFonts w:hint="eastAsia" w:ascii="仿宋_GB2312" w:hAnsi="仿宋" w:eastAsia="仿宋_GB2312" w:cs="仿宋"/>
          <w:b/>
          <w:sz w:val="24"/>
        </w:rPr>
        <w:t>2.4 包装和装运</w:t>
      </w:r>
      <w:bookmarkEnd w:id="63"/>
      <w:bookmarkEnd w:id="64"/>
      <w:bookmarkEnd w:id="6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66" w:name="_Ref467378591"/>
      <w:bookmarkStart w:id="67" w:name="_Ref467379542"/>
      <w:bookmarkStart w:id="68" w:name="_Ref467379527"/>
      <w:bookmarkStart w:id="69" w:name="_Toc279701245"/>
      <w:bookmarkStart w:id="70" w:name="_Ref467378541"/>
      <w:bookmarkStart w:id="71" w:name="_Ref467379536"/>
      <w:bookmarkStart w:id="72" w:name="_Toc259093674"/>
      <w:bookmarkStart w:id="73" w:name="_Toc487900354"/>
      <w:bookmarkStart w:id="74" w:name="_Toc19074"/>
      <w:bookmarkStart w:id="75" w:name="_Toc26182"/>
      <w:bookmarkStart w:id="76" w:name="_Toc30272"/>
      <w:r>
        <w:rPr>
          <w:rFonts w:hint="eastAsia" w:ascii="仿宋_GB2312" w:hAnsi="仿宋" w:eastAsia="仿宋_GB2312" w:cs="仿宋"/>
          <w:b/>
          <w:sz w:val="24"/>
        </w:rPr>
        <w:t>2.</w:t>
      </w:r>
      <w:bookmarkEnd w:id="66"/>
      <w:bookmarkEnd w:id="67"/>
      <w:bookmarkEnd w:id="68"/>
      <w:bookmarkEnd w:id="69"/>
      <w:bookmarkEnd w:id="70"/>
      <w:bookmarkEnd w:id="71"/>
      <w:bookmarkEnd w:id="72"/>
      <w:bookmarkEnd w:id="73"/>
      <w:r>
        <w:rPr>
          <w:rFonts w:hint="eastAsia" w:ascii="仿宋_GB2312" w:hAnsi="仿宋" w:eastAsia="仿宋_GB2312" w:cs="仿宋"/>
          <w:b/>
          <w:sz w:val="24"/>
        </w:rPr>
        <w:t>5 履约检查和问题反馈</w:t>
      </w:r>
      <w:bookmarkEnd w:id="74"/>
      <w:bookmarkEnd w:id="75"/>
      <w:bookmarkEnd w:id="76"/>
    </w:p>
    <w:p>
      <w:pPr>
        <w:spacing w:line="560" w:lineRule="exact"/>
        <w:ind w:firstLine="480" w:firstLineChars="200"/>
        <w:rPr>
          <w:rFonts w:ascii="仿宋_GB2312" w:hAnsi="仿宋" w:eastAsia="仿宋_GB2312" w:cs="仿宋"/>
          <w:sz w:val="24"/>
        </w:rPr>
      </w:pPr>
      <w:bookmarkStart w:id="77" w:name="_Ref467379657"/>
      <w:r>
        <w:rPr>
          <w:rFonts w:hint="eastAsia" w:ascii="仿宋_GB2312" w:hAnsi="仿宋" w:eastAsia="仿宋_GB2312" w:cs="仿宋"/>
          <w:sz w:val="24"/>
        </w:rPr>
        <w:t>2.5.1</w:t>
      </w:r>
      <w:bookmarkEnd w:id="77"/>
      <w:bookmarkStart w:id="78" w:name="_Toc186431854"/>
      <w:bookmarkStart w:id="79" w:name="_Ref467379807"/>
      <w:bookmarkStart w:id="80" w:name="_Toc487900357"/>
      <w:bookmarkStart w:id="81" w:name="_Ref467379793"/>
      <w:bookmarkStart w:id="82" w:name="_Toc259093676"/>
      <w:bookmarkStart w:id="83" w:name="_Toc279701247"/>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78"/>
      <w:bookmarkStart w:id="84" w:name="_Toc186431855"/>
      <w:r>
        <w:rPr>
          <w:rFonts w:hint="eastAsia" w:ascii="仿宋_GB2312" w:hAnsi="仿宋" w:eastAsia="仿宋_GB2312" w:cs="仿宋"/>
          <w:sz w:val="24"/>
        </w:rPr>
        <w:t>。</w:t>
      </w:r>
    </w:p>
    <w:bookmarkEnd w:id="79"/>
    <w:bookmarkEnd w:id="80"/>
    <w:bookmarkEnd w:id="81"/>
    <w:bookmarkEnd w:id="82"/>
    <w:bookmarkEnd w:id="83"/>
    <w:bookmarkEnd w:id="84"/>
    <w:p>
      <w:pPr>
        <w:spacing w:line="560" w:lineRule="exact"/>
        <w:ind w:firstLine="482" w:firstLineChars="200"/>
        <w:outlineLvl w:val="0"/>
        <w:rPr>
          <w:rFonts w:ascii="仿宋_GB2312" w:hAnsi="仿宋" w:eastAsia="仿宋_GB2312" w:cs="仿宋"/>
          <w:b/>
          <w:sz w:val="24"/>
        </w:rPr>
      </w:pPr>
      <w:bookmarkStart w:id="85" w:name="_Ref467379863"/>
      <w:bookmarkStart w:id="86" w:name="_Toc259093677"/>
      <w:bookmarkStart w:id="87" w:name="_Toc487900358"/>
      <w:bookmarkStart w:id="88" w:name="_Toc279701248"/>
      <w:bookmarkStart w:id="89" w:name="_Ref467379852"/>
      <w:bookmarkStart w:id="90" w:name="_Ref467379923"/>
      <w:bookmarkStart w:id="91" w:name="_Toc16110"/>
      <w:bookmarkStart w:id="92" w:name="_Toc3225"/>
      <w:bookmarkStart w:id="93" w:name="_Toc774"/>
      <w:r>
        <w:rPr>
          <w:rFonts w:hint="eastAsia" w:ascii="仿宋_GB2312" w:hAnsi="仿宋" w:eastAsia="仿宋_GB2312" w:cs="仿宋"/>
          <w:b/>
          <w:sz w:val="24"/>
        </w:rPr>
        <w:t>2.6 技术资料</w:t>
      </w:r>
      <w:bookmarkEnd w:id="85"/>
      <w:bookmarkEnd w:id="86"/>
      <w:bookmarkEnd w:id="87"/>
      <w:bookmarkEnd w:id="88"/>
      <w:bookmarkEnd w:id="89"/>
      <w:bookmarkEnd w:id="90"/>
      <w:r>
        <w:rPr>
          <w:rFonts w:hint="eastAsia" w:ascii="仿宋_GB2312" w:hAnsi="仿宋" w:eastAsia="仿宋_GB2312" w:cs="仿宋"/>
          <w:b/>
          <w:sz w:val="24"/>
        </w:rPr>
        <w:t>和保密义务</w:t>
      </w:r>
      <w:bookmarkEnd w:id="91"/>
      <w:bookmarkEnd w:id="92"/>
      <w:bookmarkEnd w:id="9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rPr>
      </w:pPr>
      <w:bookmarkStart w:id="94" w:name="_Toc7860"/>
      <w:r>
        <w:rPr>
          <w:rFonts w:hint="eastAsia" w:ascii="仿宋_GB2312" w:hAnsi="仿宋" w:eastAsia="仿宋_GB2312" w:cs="仿宋"/>
          <w:b/>
          <w:sz w:val="24"/>
        </w:rPr>
        <w:t>2.7 质量保证</w:t>
      </w:r>
      <w:bookmarkEnd w:id="94"/>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rPr>
      </w:pPr>
      <w:bookmarkStart w:id="95" w:name="_Toc17244"/>
      <w:bookmarkStart w:id="96" w:name="_Toc487900362"/>
      <w:bookmarkStart w:id="97" w:name="_Toc279701252"/>
      <w:bookmarkStart w:id="98" w:name="_Toc259093681"/>
      <w:r>
        <w:rPr>
          <w:rFonts w:hint="eastAsia" w:ascii="仿宋_GB2312" w:hAnsi="仿宋" w:eastAsia="仿宋_GB2312" w:cs="仿宋"/>
          <w:b/>
          <w:sz w:val="24"/>
        </w:rPr>
        <w:t>2.8 货物的风险负担</w:t>
      </w:r>
      <w:bookmarkEnd w:id="95"/>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99" w:name="_Toc14055"/>
      <w:r>
        <w:rPr>
          <w:rFonts w:hint="eastAsia" w:ascii="仿宋_GB2312" w:hAnsi="仿宋" w:eastAsia="仿宋_GB2312" w:cs="仿宋"/>
          <w:b/>
          <w:sz w:val="24"/>
        </w:rPr>
        <w:t>2.9 延迟交货</w:t>
      </w:r>
      <w:bookmarkEnd w:id="96"/>
      <w:bookmarkEnd w:id="97"/>
      <w:bookmarkEnd w:id="98"/>
      <w:bookmarkEnd w:id="9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sz w:val="24"/>
        </w:rPr>
      </w:pPr>
      <w:bookmarkStart w:id="100" w:name="_Toc7502"/>
      <w:bookmarkStart w:id="101" w:name="_Toc487900364"/>
      <w:bookmarkStart w:id="102" w:name="_Toc279701254"/>
      <w:bookmarkStart w:id="103" w:name="_Ref467378121"/>
      <w:bookmarkStart w:id="104" w:name="_Toc259093683"/>
      <w:r>
        <w:rPr>
          <w:rFonts w:hint="eastAsia" w:ascii="仿宋_GB2312" w:hAnsi="仿宋" w:eastAsia="仿宋_GB2312" w:cs="仿宋"/>
          <w:b/>
          <w:sz w:val="24"/>
        </w:rPr>
        <w:t>2.10 合同变更</w:t>
      </w:r>
      <w:bookmarkEnd w:id="10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05" w:name="_Toc279701259"/>
      <w:bookmarkStart w:id="106" w:name="_Toc487900369"/>
      <w:bookmarkStart w:id="107" w:name="_Toc259093688"/>
    </w:p>
    <w:p>
      <w:pPr>
        <w:spacing w:line="560" w:lineRule="exact"/>
        <w:ind w:firstLine="482" w:firstLineChars="200"/>
        <w:outlineLvl w:val="0"/>
        <w:rPr>
          <w:rFonts w:ascii="仿宋_GB2312" w:hAnsi="仿宋" w:eastAsia="仿宋_GB2312" w:cs="仿宋"/>
          <w:b/>
          <w:sz w:val="24"/>
        </w:rPr>
      </w:pPr>
      <w:bookmarkStart w:id="108" w:name="_Toc22955"/>
      <w:bookmarkStart w:id="109" w:name="_Toc15237"/>
      <w:bookmarkStart w:id="110" w:name="_Toc10366"/>
      <w:r>
        <w:rPr>
          <w:rFonts w:hint="eastAsia" w:ascii="仿宋_GB2312" w:hAnsi="仿宋" w:eastAsia="仿宋_GB2312" w:cs="仿宋"/>
          <w:b/>
          <w:sz w:val="24"/>
        </w:rPr>
        <w:t>2.11 合同转让</w:t>
      </w:r>
      <w:bookmarkEnd w:id="105"/>
      <w:bookmarkEnd w:id="106"/>
      <w:bookmarkEnd w:id="107"/>
      <w:r>
        <w:rPr>
          <w:rFonts w:hint="eastAsia" w:ascii="仿宋_GB2312" w:hAnsi="仿宋" w:eastAsia="仿宋_GB2312" w:cs="仿宋"/>
          <w:b/>
          <w:sz w:val="24"/>
        </w:rPr>
        <w:t>和分包</w:t>
      </w:r>
      <w:bookmarkEnd w:id="108"/>
      <w:bookmarkEnd w:id="109"/>
      <w:bookmarkEnd w:id="11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sz w:val="24"/>
        </w:rPr>
      </w:pPr>
      <w:bookmarkStart w:id="111" w:name="_Toc14066"/>
      <w:bookmarkStart w:id="112" w:name="_Toc13566"/>
      <w:bookmarkStart w:id="113" w:name="_Toc16508"/>
      <w:r>
        <w:rPr>
          <w:rFonts w:hint="eastAsia" w:ascii="仿宋_GB2312" w:hAnsi="仿宋" w:eastAsia="仿宋_GB2312" w:cs="仿宋"/>
          <w:b/>
          <w:sz w:val="24"/>
        </w:rPr>
        <w:t>2.12 不可抗力</w:t>
      </w:r>
      <w:bookmarkEnd w:id="111"/>
      <w:bookmarkEnd w:id="112"/>
      <w:bookmarkEnd w:id="11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rPr>
      </w:pPr>
      <w:bookmarkStart w:id="114" w:name="_Toc689"/>
      <w:bookmarkStart w:id="115" w:name="_Toc30676"/>
      <w:bookmarkStart w:id="116" w:name="_Toc279701255"/>
      <w:bookmarkStart w:id="117" w:name="_Toc6969"/>
      <w:bookmarkStart w:id="118" w:name="_Toc259093684"/>
      <w:bookmarkStart w:id="119" w:name="_Toc487900365"/>
      <w:r>
        <w:rPr>
          <w:rFonts w:hint="eastAsia" w:ascii="仿宋_GB2312" w:hAnsi="仿宋" w:eastAsia="仿宋_GB2312" w:cs="仿宋"/>
          <w:b/>
          <w:sz w:val="24"/>
        </w:rPr>
        <w:t>2.13 税费</w:t>
      </w:r>
      <w:bookmarkEnd w:id="114"/>
      <w:bookmarkEnd w:id="115"/>
      <w:bookmarkEnd w:id="116"/>
      <w:bookmarkEnd w:id="117"/>
      <w:bookmarkEnd w:id="118"/>
      <w:bookmarkEnd w:id="11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pPr>
        <w:spacing w:line="560" w:lineRule="exact"/>
        <w:ind w:firstLine="482" w:firstLineChars="200"/>
        <w:outlineLvl w:val="0"/>
        <w:rPr>
          <w:rFonts w:ascii="仿宋_GB2312" w:hAnsi="仿宋" w:eastAsia="仿宋_GB2312" w:cs="仿宋"/>
          <w:b/>
          <w:sz w:val="24"/>
        </w:rPr>
      </w:pPr>
      <w:bookmarkStart w:id="120" w:name="_Toc8298"/>
      <w:bookmarkStart w:id="121" w:name="_Toc16959"/>
      <w:bookmarkStart w:id="122" w:name="_Toc279701258"/>
      <w:bookmarkStart w:id="123" w:name="_Toc487900368"/>
      <w:bookmarkStart w:id="124" w:name="_Toc7102"/>
      <w:bookmarkStart w:id="125" w:name="_Toc259093687"/>
      <w:r>
        <w:rPr>
          <w:rFonts w:hint="eastAsia" w:ascii="仿宋_GB2312" w:hAnsi="仿宋" w:eastAsia="仿宋_GB2312" w:cs="仿宋"/>
          <w:b/>
          <w:sz w:val="24"/>
        </w:rPr>
        <w:t>2.14乙方破产</w:t>
      </w:r>
      <w:bookmarkEnd w:id="120"/>
      <w:bookmarkEnd w:id="121"/>
      <w:bookmarkEnd w:id="122"/>
      <w:bookmarkEnd w:id="123"/>
      <w:bookmarkEnd w:id="124"/>
      <w:bookmarkEnd w:id="12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rPr>
      </w:pPr>
      <w:bookmarkStart w:id="126" w:name="_Toc15387"/>
      <w:bookmarkStart w:id="127" w:name="_Toc29333"/>
      <w:bookmarkStart w:id="128" w:name="_Toc6134"/>
      <w:r>
        <w:rPr>
          <w:rFonts w:hint="eastAsia" w:ascii="仿宋_GB2312" w:hAnsi="仿宋" w:eastAsia="仿宋_GB2312" w:cs="仿宋"/>
          <w:b/>
          <w:sz w:val="24"/>
        </w:rPr>
        <w:t>2.15 合同中止、终止</w:t>
      </w:r>
      <w:bookmarkEnd w:id="126"/>
      <w:bookmarkEnd w:id="127"/>
      <w:bookmarkEnd w:id="12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rPr>
      </w:pPr>
      <w:bookmarkStart w:id="129" w:name="_Toc1125"/>
      <w:bookmarkStart w:id="130" w:name="_Toc14563"/>
      <w:bookmarkStart w:id="131" w:name="_Toc6596"/>
      <w:r>
        <w:rPr>
          <w:rFonts w:hint="eastAsia" w:ascii="仿宋_GB2312" w:hAnsi="仿宋" w:eastAsia="仿宋_GB2312" w:cs="仿宋"/>
          <w:b/>
          <w:sz w:val="24"/>
        </w:rPr>
        <w:t>2.16检验和验收</w:t>
      </w:r>
      <w:bookmarkEnd w:id="129"/>
      <w:bookmarkEnd w:id="130"/>
      <w:bookmarkEnd w:id="131"/>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01"/>
    <w:bookmarkEnd w:id="102"/>
    <w:bookmarkEnd w:id="103"/>
    <w:bookmarkEnd w:id="104"/>
    <w:p>
      <w:pPr>
        <w:spacing w:line="560" w:lineRule="exact"/>
        <w:ind w:firstLine="482" w:firstLineChars="200"/>
        <w:outlineLvl w:val="0"/>
        <w:rPr>
          <w:rFonts w:ascii="仿宋_GB2312" w:hAnsi="仿宋" w:eastAsia="仿宋_GB2312" w:cs="仿宋"/>
          <w:b/>
          <w:sz w:val="24"/>
        </w:rPr>
      </w:pPr>
      <w:bookmarkStart w:id="132" w:name="_Toc259093690"/>
      <w:bookmarkStart w:id="133" w:name="_Toc279701261"/>
      <w:bookmarkStart w:id="134" w:name="_Toc487900371"/>
      <w:bookmarkStart w:id="135" w:name="_Toc11284"/>
      <w:bookmarkStart w:id="136" w:name="_Toc19604"/>
      <w:bookmarkStart w:id="137" w:name="_Toc25182"/>
      <w:r>
        <w:rPr>
          <w:rFonts w:hint="eastAsia" w:ascii="仿宋_GB2312" w:hAnsi="仿宋" w:eastAsia="仿宋_GB2312" w:cs="仿宋"/>
          <w:b/>
          <w:sz w:val="24"/>
        </w:rPr>
        <w:t>2.17 通知</w:t>
      </w:r>
      <w:bookmarkEnd w:id="132"/>
      <w:bookmarkEnd w:id="133"/>
      <w:bookmarkEnd w:id="134"/>
      <w:r>
        <w:rPr>
          <w:rFonts w:hint="eastAsia" w:ascii="仿宋_GB2312" w:hAnsi="仿宋" w:eastAsia="仿宋_GB2312" w:cs="仿宋"/>
          <w:b/>
          <w:sz w:val="24"/>
        </w:rPr>
        <w:t>和送达</w:t>
      </w:r>
      <w:bookmarkEnd w:id="135"/>
      <w:bookmarkEnd w:id="136"/>
      <w:bookmarkEnd w:id="137"/>
    </w:p>
    <w:p>
      <w:pPr>
        <w:spacing w:line="560" w:lineRule="exact"/>
        <w:ind w:firstLine="480" w:firstLineChars="200"/>
        <w:rPr>
          <w:rFonts w:ascii="仿宋_GB2312" w:hAnsi="仿宋" w:eastAsia="仿宋_GB2312" w:cs="仿宋"/>
          <w:sz w:val="24"/>
        </w:rPr>
      </w:pPr>
      <w:bookmarkStart w:id="138" w:name="_Toc6698"/>
      <w:bookmarkStart w:id="139" w:name="_Toc3135"/>
      <w:bookmarkStart w:id="140" w:name="_Toc487900372"/>
      <w:bookmarkStart w:id="141" w:name="_Toc279701262"/>
      <w:bookmarkStart w:id="142" w:name="_Toc259093691"/>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38"/>
      <w:bookmarkEnd w:id="139"/>
    </w:p>
    <w:p>
      <w:pPr>
        <w:spacing w:line="560" w:lineRule="exact"/>
        <w:ind w:firstLine="480" w:firstLineChars="200"/>
        <w:rPr>
          <w:rFonts w:ascii="仿宋_GB2312" w:hAnsi="仿宋" w:eastAsia="仿宋_GB2312" w:cs="仿宋"/>
          <w:sz w:val="24"/>
        </w:rPr>
      </w:pPr>
      <w:bookmarkStart w:id="143" w:name="_Toc23128"/>
      <w:bookmarkStart w:id="144" w:name="_Toc23294"/>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pPr>
        <w:spacing w:line="560" w:lineRule="exact"/>
        <w:ind w:firstLine="482" w:firstLineChars="200"/>
        <w:outlineLvl w:val="0"/>
        <w:rPr>
          <w:rFonts w:ascii="仿宋_GB2312" w:hAnsi="仿宋" w:eastAsia="仿宋_GB2312" w:cs="仿宋"/>
          <w:b/>
          <w:sz w:val="24"/>
        </w:rPr>
      </w:pPr>
      <w:bookmarkStart w:id="145" w:name="_Toc30599"/>
      <w:bookmarkStart w:id="146" w:name="_Toc4355"/>
      <w:bookmarkStart w:id="147" w:name="_Toc18540"/>
      <w:r>
        <w:rPr>
          <w:rFonts w:hint="eastAsia" w:ascii="仿宋_GB2312" w:hAnsi="仿宋" w:eastAsia="仿宋_GB2312" w:cs="仿宋"/>
          <w:b/>
          <w:sz w:val="24"/>
        </w:rPr>
        <w:t>2.18 计量单位</w:t>
      </w:r>
      <w:bookmarkEnd w:id="140"/>
      <w:bookmarkEnd w:id="141"/>
      <w:bookmarkEnd w:id="142"/>
      <w:bookmarkEnd w:id="145"/>
      <w:bookmarkEnd w:id="146"/>
      <w:bookmarkEnd w:id="14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rPr>
      </w:pPr>
      <w:bookmarkStart w:id="148" w:name="_Toc12773"/>
      <w:bookmarkStart w:id="149" w:name="_Toc259093692"/>
      <w:bookmarkStart w:id="150" w:name="_Toc18567"/>
      <w:bookmarkStart w:id="151" w:name="_Toc10330"/>
      <w:bookmarkStart w:id="152" w:name="_Toc279701263"/>
      <w:bookmarkStart w:id="153" w:name="_Toc487900373"/>
      <w:r>
        <w:rPr>
          <w:rFonts w:hint="eastAsia" w:ascii="仿宋_GB2312" w:hAnsi="仿宋" w:eastAsia="仿宋_GB2312" w:cs="仿宋"/>
          <w:b/>
          <w:sz w:val="24"/>
        </w:rPr>
        <w:t>2.19 合同使用的文字和适用的法律</w:t>
      </w:r>
      <w:bookmarkEnd w:id="148"/>
      <w:bookmarkEnd w:id="149"/>
      <w:bookmarkEnd w:id="150"/>
      <w:bookmarkEnd w:id="151"/>
      <w:bookmarkEnd w:id="152"/>
      <w:bookmarkEnd w:id="15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outlineLvl w:val="0"/>
        <w:rPr>
          <w:rFonts w:ascii="仿宋_GB2312" w:hAnsi="仿宋" w:eastAsia="仿宋_GB2312" w:cs="仿宋"/>
          <w:b/>
          <w:sz w:val="24"/>
        </w:rPr>
      </w:pPr>
      <w:bookmarkStart w:id="154" w:name="_Toc6885"/>
      <w:bookmarkStart w:id="155" w:name="_Toc14001"/>
      <w:bookmarkStart w:id="156" w:name="_Toc19890"/>
      <w:r>
        <w:rPr>
          <w:rFonts w:hint="eastAsia" w:ascii="仿宋_GB2312" w:hAnsi="仿宋" w:eastAsia="仿宋_GB2312" w:cs="仿宋"/>
          <w:b/>
          <w:sz w:val="24"/>
        </w:rPr>
        <w:t>2.20 合同份数</w:t>
      </w:r>
      <w:bookmarkEnd w:id="154"/>
      <w:bookmarkEnd w:id="155"/>
      <w:bookmarkEnd w:id="15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1.8.6</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color w:val="000000" w:themeColor="text1"/>
                <w:sz w:val="24"/>
                <w14:textFill>
                  <w14:solidFill>
                    <w14:schemeClr w14:val="tx1"/>
                  </w14:solidFill>
                </w14:textFill>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sz w:val="24"/>
              </w:rPr>
            </w:pPr>
            <w:r>
              <w:rPr>
                <w:rFonts w:hint="eastAsia" w:ascii="仿宋_GB2312" w:hAnsi="仿宋" w:eastAsia="仿宋_GB2312" w:cs="仿宋"/>
                <w:sz w:val="24"/>
              </w:rPr>
              <w:t xml:space="preserve">2.8 </w:t>
            </w:r>
          </w:p>
        </w:tc>
        <w:tc>
          <w:tcPr>
            <w:tcW w:w="8176" w:type="dxa"/>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2.12.4</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pPr>
              <w:spacing w:line="360" w:lineRule="auto"/>
              <w:rPr>
                <w:rFonts w:ascii="仿宋_GB2312" w:hAnsi="仿宋" w:eastAsia="仿宋_GB2312" w:cs="仿宋"/>
                <w:sz w:val="24"/>
              </w:rPr>
            </w:pPr>
          </w:p>
        </w:tc>
      </w:tr>
    </w:tbl>
    <w:p>
      <w:pPr>
        <w:rPr>
          <w:rFonts w:ascii="仿宋_GB2312" w:hAnsi="仿宋" w:eastAsia="仿宋_GB2312" w:cs="仿宋"/>
        </w:rPr>
      </w:pPr>
    </w:p>
    <w:p>
      <w:pPr>
        <w:pStyle w:val="3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1、评标方法：</w:t>
      </w:r>
    </w:p>
    <w:p>
      <w:pPr>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rPr>
      </w:pPr>
      <w:r>
        <w:rPr>
          <w:rFonts w:hint="eastAsia" w:ascii="仿宋_GB2312" w:hAnsi="仿宋" w:eastAsia="仿宋_GB2312"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rPr>
      </w:pPr>
      <w:r>
        <w:rPr>
          <w:rFonts w:hint="eastAsia" w:ascii="仿宋_GB2312" w:hAnsi="仿宋" w:eastAsia="仿宋_GB2312" w:cs="仿宋"/>
          <w:b/>
          <w:color w:val="auto"/>
          <w:sz w:val="24"/>
        </w:rPr>
        <w:t>非单一产品采购项目，采购人应当根据采购项目技术构成、产品价格比重等合理确定核心产品，并在招标文件中载明。多家投标人提供的核心产品品牌相同的，按前款规定处理。</w:t>
      </w:r>
    </w:p>
    <w:bookmarkEnd w:id="4"/>
    <w:bookmarkEnd w:id="5"/>
    <w:bookmarkEnd w:id="6"/>
    <w:bookmarkEnd w:id="7"/>
    <w:p>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60</w:t>
      </w:r>
      <w:r>
        <w:rPr>
          <w:rFonts w:hint="eastAsia" w:ascii="仿宋" w:hAnsi="仿宋" w:eastAsia="仿宋" w:cs="仿宋"/>
          <w:color w:val="auto"/>
          <w:sz w:val="24"/>
        </w:rPr>
        <w:t>分，价格分</w:t>
      </w:r>
      <w:r>
        <w:rPr>
          <w:rFonts w:hint="eastAsia" w:ascii="仿宋" w:hAnsi="仿宋" w:eastAsia="仿宋" w:cs="仿宋"/>
          <w:color w:val="auto"/>
          <w:sz w:val="24"/>
          <w:u w:val="single"/>
        </w:rPr>
        <w:t>40</w:t>
      </w:r>
      <w:r>
        <w:rPr>
          <w:rFonts w:hint="eastAsia" w:ascii="仿宋" w:hAnsi="仿宋" w:eastAsia="仿宋" w:cs="仿宋"/>
          <w:color w:val="auto"/>
          <w:sz w:val="24"/>
        </w:rPr>
        <w:t>分。评分依下述所列为评标打分依据，分值如下（计算分值时，按其算术平均值保留小数2位）。</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60</w:t>
      </w:r>
      <w:r>
        <w:rPr>
          <w:rFonts w:hint="eastAsia" w:ascii="仿宋" w:hAnsi="仿宋" w:eastAsia="仿宋" w:cs="仿宋"/>
          <w:b/>
          <w:bCs/>
          <w:iCs/>
          <w:color w:val="auto"/>
          <w:sz w:val="24"/>
        </w:rPr>
        <w:t>分）</w:t>
      </w:r>
    </w:p>
    <w:tbl>
      <w:tblPr>
        <w:tblStyle w:val="63"/>
        <w:tblW w:w="9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230"/>
        <w:gridCol w:w="6870"/>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color w:val="auto"/>
                <w:kern w:val="0"/>
                <w:sz w:val="24"/>
              </w:rPr>
            </w:pPr>
            <w:r>
              <w:rPr>
                <w:rFonts w:hint="eastAsia" w:ascii="仿宋" w:hAnsi="仿宋" w:eastAsia="仿宋" w:cs="仿宋"/>
                <w:b/>
                <w:bCs/>
                <w:color w:val="auto"/>
                <w:kern w:val="0"/>
                <w:sz w:val="24"/>
              </w:rPr>
              <w:t>序号</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color w:val="auto"/>
                <w:kern w:val="0"/>
                <w:sz w:val="24"/>
              </w:rPr>
            </w:pPr>
            <w:r>
              <w:rPr>
                <w:rFonts w:hint="eastAsia" w:ascii="仿宋" w:hAnsi="仿宋" w:eastAsia="仿宋" w:cs="仿宋"/>
                <w:b/>
                <w:bCs/>
                <w:color w:val="auto"/>
                <w:kern w:val="0"/>
                <w:sz w:val="24"/>
              </w:rPr>
              <w:t>评分项</w:t>
            </w:r>
          </w:p>
        </w:tc>
        <w:tc>
          <w:tcPr>
            <w:tcW w:w="6870"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color w:val="auto"/>
                <w:kern w:val="0"/>
                <w:sz w:val="24"/>
              </w:rPr>
            </w:pPr>
            <w:r>
              <w:rPr>
                <w:rFonts w:hint="eastAsia" w:ascii="仿宋" w:hAnsi="仿宋" w:eastAsia="仿宋" w:cs="仿宋"/>
                <w:b/>
                <w:bCs/>
                <w:color w:val="auto"/>
                <w:kern w:val="0"/>
                <w:sz w:val="24"/>
              </w:rPr>
              <w:t>评审依据及标准</w:t>
            </w:r>
          </w:p>
        </w:tc>
        <w:tc>
          <w:tcPr>
            <w:tcW w:w="909"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color w:val="auto"/>
                <w:kern w:val="0"/>
                <w:sz w:val="24"/>
              </w:rPr>
            </w:pPr>
            <w:r>
              <w:rPr>
                <w:rFonts w:hint="eastAsia" w:ascii="仿宋" w:hAnsi="仿宋" w:eastAsia="仿宋" w:cs="仿宋"/>
                <w:b/>
                <w:bCs/>
                <w:color w:val="auto"/>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auto"/>
                <w:kern w:val="0"/>
                <w:sz w:val="24"/>
              </w:rPr>
            </w:pPr>
            <w:r>
              <w:rPr>
                <w:rFonts w:hint="eastAsia" w:ascii="仿宋" w:hAnsi="仿宋" w:eastAsia="仿宋" w:cs="仿宋"/>
                <w:bCs/>
                <w:color w:val="auto"/>
                <w:kern w:val="0"/>
                <w:sz w:val="24"/>
              </w:rPr>
              <w:t>1</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auto"/>
                <w:sz w:val="24"/>
              </w:rPr>
            </w:pPr>
            <w:r>
              <w:rPr>
                <w:rFonts w:hint="eastAsia" w:ascii="仿宋" w:hAnsi="仿宋" w:eastAsia="仿宋" w:cs="仿宋"/>
                <w:bCs/>
                <w:color w:val="auto"/>
                <w:kern w:val="0"/>
                <w:sz w:val="24"/>
              </w:rPr>
              <w:t>企业业绩</w:t>
            </w: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投标人自2021年1月1日以来（以合同签订时间为准）完成的同类案例，每有一个得1分，最高得4分。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注：1.每个案例提供合同和验收报告的复印件，并加盖投标人公章。 </w:t>
            </w:r>
          </w:p>
          <w:p>
            <w:pPr>
              <w:spacing w:line="40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2.投标产品为省级以上主管部门认定的首台套产品，自纳入《省推应用指导目录》起三年内参加政府采购活动，视同已具备相应销售业绩，业绩分为满分。</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auto"/>
                <w:kern w:val="0"/>
                <w:sz w:val="24"/>
              </w:rPr>
            </w:pPr>
            <w:r>
              <w:rPr>
                <w:rFonts w:hint="eastAsia" w:ascii="仿宋" w:hAnsi="仿宋" w:eastAsia="仿宋" w:cs="仿宋"/>
                <w:bCs/>
                <w:color w:val="auto"/>
                <w:kern w:val="0"/>
                <w:sz w:val="24"/>
              </w:rPr>
              <w:t>2</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auto"/>
                <w:sz w:val="24"/>
              </w:rPr>
            </w:pPr>
            <w:r>
              <w:rPr>
                <w:rFonts w:hint="eastAsia" w:ascii="仿宋" w:hAnsi="仿宋" w:eastAsia="仿宋" w:cs="仿宋"/>
                <w:bCs/>
                <w:color w:val="auto"/>
                <w:kern w:val="0"/>
                <w:sz w:val="24"/>
              </w:rPr>
              <w:t>技术</w:t>
            </w:r>
            <w:r>
              <w:rPr>
                <w:rFonts w:ascii="仿宋" w:hAnsi="仿宋" w:eastAsia="仿宋" w:cs="仿宋"/>
                <w:bCs/>
                <w:color w:val="auto"/>
                <w:kern w:val="0"/>
                <w:sz w:val="24"/>
              </w:rPr>
              <w:t>响应</w:t>
            </w: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对应于招标文件第三部分招标项目范围及要求—采购清单—功能及主要技术参数，完全满足招标文件要求的得20分，打▲指标出现负偏离每项扣2分；其他一般性指标负偏离扣1分，扣完为止。</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olor w:val="auto"/>
                <w:sz w:val="24"/>
              </w:rPr>
              <w:t>3</w:t>
            </w:r>
          </w:p>
        </w:tc>
        <w:tc>
          <w:tcPr>
            <w:tcW w:w="1230"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olor w:val="auto"/>
                <w:sz w:val="24"/>
              </w:rPr>
            </w:pPr>
            <w:r>
              <w:rPr>
                <w:rFonts w:hint="eastAsia" w:ascii="仿宋" w:hAnsi="仿宋" w:eastAsia="仿宋"/>
                <w:color w:val="auto"/>
                <w:sz w:val="24"/>
              </w:rPr>
              <w:t>所投产品</w:t>
            </w:r>
          </w:p>
          <w:p>
            <w:pPr>
              <w:widowControl/>
              <w:jc w:val="center"/>
              <w:rPr>
                <w:rFonts w:ascii="仿宋" w:hAnsi="仿宋" w:eastAsia="仿宋" w:cs="仿宋"/>
                <w:color w:val="auto"/>
                <w:sz w:val="24"/>
              </w:rPr>
            </w:pPr>
            <w:r>
              <w:rPr>
                <w:rFonts w:hint="eastAsia" w:ascii="仿宋" w:hAnsi="仿宋" w:eastAsia="仿宋"/>
                <w:color w:val="auto"/>
                <w:sz w:val="24"/>
              </w:rPr>
              <w:t>性能</w:t>
            </w: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根据投标设备研发生产的技术先进性、产品创新性进行评价，综合所投设备的方法原理、技术路线、功能特点等方面进行综合打分，0-4分。</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eastAsia="仿宋"/>
                <w:color w:val="auto"/>
                <w:sz w:val="24"/>
              </w:rPr>
            </w:pPr>
          </w:p>
        </w:tc>
        <w:tc>
          <w:tcPr>
            <w:tcW w:w="1230"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eastAsia="仿宋" w:cs="仿宋"/>
                <w:color w:val="auto"/>
                <w:sz w:val="24"/>
              </w:rPr>
            </w:pP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根据投标设备性能稳定性、准确性和可靠性、市场应用状况、使用所限等方面进行综合打分，0-4分。</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rPr>
            </w:pPr>
            <w:r>
              <w:rPr>
                <w:rFonts w:hint="eastAsia" w:ascii="仿宋" w:hAnsi="仿宋" w:eastAsia="仿宋" w:cs="仿宋"/>
                <w:color w:val="auto"/>
                <w:sz w:val="24"/>
              </w:rPr>
              <w:t>4</w:t>
            </w:r>
          </w:p>
        </w:tc>
        <w:tc>
          <w:tcPr>
            <w:tcW w:w="123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auto"/>
                <w:kern w:val="0"/>
                <w:sz w:val="24"/>
              </w:rPr>
            </w:pPr>
            <w:r>
              <w:rPr>
                <w:rFonts w:hint="eastAsia" w:ascii="仿宋" w:hAnsi="仿宋" w:eastAsia="仿宋" w:cs="仿宋"/>
                <w:color w:val="auto"/>
                <w:sz w:val="24"/>
              </w:rPr>
              <w:t>供货方案</w:t>
            </w:r>
          </w:p>
        </w:tc>
        <w:tc>
          <w:tcPr>
            <w:tcW w:w="6870" w:type="dxa"/>
            <w:tcBorders>
              <w:top w:val="single" w:color="auto" w:sz="4" w:space="0"/>
              <w:left w:val="nil"/>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根据投标人提供的供货方案，需包含但不限于以下要点：①供货期限；②交货方式；③供货保障流程；④供货流程要点；⑤供货实施步骤等。由评标委员会进行综合评议：0-3分。</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left w:val="single" w:color="auto" w:sz="4" w:space="0"/>
              <w:right w:val="single" w:color="auto" w:sz="4" w:space="0"/>
            </w:tcBorders>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5</w:t>
            </w:r>
          </w:p>
        </w:tc>
        <w:tc>
          <w:tcPr>
            <w:tcW w:w="1230" w:type="dxa"/>
            <w:tcBorders>
              <w:top w:val="single" w:color="auto" w:sz="4" w:space="0"/>
              <w:left w:val="single" w:color="auto" w:sz="4" w:space="0"/>
            </w:tcBorders>
            <w:vAlign w:val="center"/>
          </w:tcPr>
          <w:p>
            <w:pPr>
              <w:widowControl/>
              <w:jc w:val="center"/>
              <w:rPr>
                <w:rFonts w:ascii="仿宋" w:hAnsi="仿宋" w:eastAsia="仿宋" w:cs="仿宋"/>
                <w:bCs/>
                <w:color w:val="auto"/>
                <w:kern w:val="0"/>
                <w:sz w:val="24"/>
              </w:rPr>
            </w:pPr>
            <w:r>
              <w:rPr>
                <w:rFonts w:hint="eastAsia" w:ascii="仿宋" w:hAnsi="仿宋" w:eastAsia="仿宋" w:cs="仿宋"/>
                <w:color w:val="auto"/>
                <w:sz w:val="24"/>
              </w:rPr>
              <w:t>安装</w:t>
            </w:r>
            <w:r>
              <w:rPr>
                <w:rFonts w:ascii="仿宋" w:hAnsi="仿宋" w:eastAsia="仿宋" w:cs="仿宋"/>
                <w:color w:val="auto"/>
                <w:sz w:val="24"/>
              </w:rPr>
              <w:t>与验收方案</w:t>
            </w:r>
          </w:p>
        </w:tc>
        <w:tc>
          <w:tcPr>
            <w:tcW w:w="6870" w:type="dxa"/>
            <w:tcBorders>
              <w:top w:val="single" w:color="auto" w:sz="4" w:space="0"/>
              <w:left w:val="single" w:color="auto" w:sz="4" w:space="0"/>
            </w:tcBorders>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rPr>
              <w:t>根据投标人提供的安装与验收方案，需包含但不限于以下要点：①安装方案；②安装人员配置；③调试要求；④开箱测试方式；⑤产品验收方案。由评标委员会进行综合评议：</w:t>
            </w:r>
            <w:r>
              <w:rPr>
                <w:rFonts w:hint="eastAsia" w:ascii="仿宋" w:hAnsi="仿宋" w:eastAsia="仿宋" w:cs="仿宋"/>
                <w:color w:val="auto"/>
                <w:sz w:val="24"/>
                <w:lang w:val="en-US" w:eastAsia="zh-CN"/>
              </w:rPr>
              <w:t>0-3分。</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left w:val="doub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6</w:t>
            </w:r>
          </w:p>
        </w:tc>
        <w:tc>
          <w:tcPr>
            <w:tcW w:w="1230" w:type="dxa"/>
            <w:tcBorders>
              <w:top w:val="single" w:color="auto" w:sz="4" w:space="0"/>
              <w:left w:val="nil"/>
              <w:bottom w:val="single" w:color="auto" w:sz="4" w:space="0"/>
              <w:right w:val="single" w:color="auto" w:sz="4" w:space="0"/>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sz w:val="24"/>
              </w:rPr>
              <w:t>技术服务能力</w:t>
            </w:r>
          </w:p>
        </w:tc>
        <w:tc>
          <w:tcPr>
            <w:tcW w:w="6870" w:type="dxa"/>
            <w:tcBorders>
              <w:top w:val="single" w:color="auto" w:sz="4" w:space="0"/>
              <w:left w:val="nil"/>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根据投标人技术服务力量进行评价，综合投标人所具备的技术人员数量、培训情况、所投标设备既往服务采购人情况等方面打分；0-4分。</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left w:val="single" w:color="auto" w:sz="4" w:space="0"/>
              <w:bottom w:val="single" w:color="auto" w:sz="4" w:space="0"/>
              <w:right w:val="single" w:color="auto" w:sz="4" w:space="0"/>
            </w:tcBorders>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7</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仿宋" w:hAnsi="仿宋" w:eastAsia="仿宋" w:cs="仿宋"/>
                <w:bCs/>
                <w:color w:val="auto"/>
                <w:kern w:val="0"/>
                <w:sz w:val="24"/>
              </w:rPr>
            </w:pPr>
            <w:r>
              <w:rPr>
                <w:rFonts w:hint="eastAsia" w:ascii="仿宋" w:hAnsi="仿宋" w:eastAsia="仿宋" w:cs="仿宋"/>
                <w:color w:val="auto"/>
                <w:sz w:val="24"/>
              </w:rPr>
              <w:t>服务</w:t>
            </w:r>
            <w:r>
              <w:rPr>
                <w:rFonts w:ascii="仿宋" w:hAnsi="仿宋" w:eastAsia="仿宋" w:cs="仿宋"/>
                <w:color w:val="auto"/>
                <w:sz w:val="24"/>
              </w:rPr>
              <w:t>承诺</w:t>
            </w: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人提供的与采购人实际相符合的实质性服务承诺及保障措施，需包含但不限于以下要点：①服务方式；②服务响应时间；③技术支持；④服务体系；⑤退换货品承诺、⑥应急保障等。由评标委员会进行综合评议：0-6分。</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left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02" w:type="dxa"/>
            <w:tcBorders>
              <w:left w:val="single" w:color="auto" w:sz="4" w:space="0"/>
              <w:right w:val="single" w:color="auto" w:sz="4" w:space="0"/>
            </w:tcBorders>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8</w:t>
            </w:r>
          </w:p>
        </w:tc>
        <w:tc>
          <w:tcPr>
            <w:tcW w:w="1230" w:type="dxa"/>
            <w:tcBorders>
              <w:top w:val="single" w:color="auto" w:sz="4" w:space="0"/>
              <w:left w:val="single" w:color="auto" w:sz="4" w:space="0"/>
              <w:right w:val="single" w:color="auto" w:sz="4" w:space="0"/>
            </w:tcBorders>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质保期</w:t>
            </w:r>
          </w:p>
        </w:tc>
        <w:tc>
          <w:tcPr>
            <w:tcW w:w="6870" w:type="dxa"/>
            <w:tcBorders>
              <w:top w:val="single" w:color="auto" w:sz="4" w:space="0"/>
              <w:left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在满足招标文件免费质保年限要求的基础上，每延长免费原厂质保期1年加2分，不足1年不计分，最高得6分。（承诺延长的质保期需同样免费提供维修保养服务）</w:t>
            </w:r>
          </w:p>
        </w:tc>
        <w:tc>
          <w:tcPr>
            <w:tcW w:w="909" w:type="dxa"/>
            <w:tcBorders>
              <w:left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0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480" w:lineRule="auto"/>
              <w:jc w:val="center"/>
              <w:rPr>
                <w:rFonts w:ascii="仿宋" w:hAnsi="仿宋" w:eastAsia="仿宋" w:cs="仿宋"/>
                <w:color w:val="auto"/>
                <w:kern w:val="0"/>
                <w:sz w:val="24"/>
              </w:rPr>
            </w:pPr>
            <w:r>
              <w:rPr>
                <w:rFonts w:hint="eastAsia" w:ascii="仿宋" w:hAnsi="仿宋" w:eastAsia="仿宋" w:cs="仿宋"/>
                <w:color w:val="auto"/>
                <w:kern w:val="0"/>
                <w:sz w:val="24"/>
              </w:rPr>
              <w:t>9</w:t>
            </w:r>
          </w:p>
        </w:tc>
        <w:tc>
          <w:tcPr>
            <w:tcW w:w="123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bCs/>
                <w:color w:val="auto"/>
                <w:kern w:val="0"/>
                <w:sz w:val="24"/>
              </w:rPr>
              <w:t>优惠措施</w:t>
            </w: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根据投标人提供的消耗品、选配件是否通用等的合理性进行综合打分。0-4分。</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4"/>
              </w:rPr>
            </w:pPr>
          </w:p>
        </w:tc>
        <w:tc>
          <w:tcPr>
            <w:tcW w:w="1230"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根据投标人提供的备品、备件实施方案的可行性和优惠性进行综合打分0-2分。</w:t>
            </w:r>
            <w:r>
              <w:rPr>
                <w:rFonts w:hint="eastAsia" w:ascii="仿宋" w:hAnsi="仿宋" w:eastAsia="仿宋" w:cs="仿宋"/>
                <w:bCs/>
                <w:snapToGrid w:val="0"/>
                <w:color w:val="auto"/>
                <w:kern w:val="0"/>
                <w:sz w:val="24"/>
              </w:rPr>
              <w:t>（注：所提供的优惠条件不能涉及报价）</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ascii="仿宋" w:hAnsi="仿宋" w:eastAsia="仿宋" w:cs="仿宋"/>
                <w:color w:val="auto"/>
                <w:sz w:val="24"/>
              </w:rPr>
              <w:t>2</w:t>
            </w:r>
          </w:p>
        </w:tc>
      </w:tr>
    </w:tbl>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40</w:t>
      </w:r>
      <w:r>
        <w:rPr>
          <w:rFonts w:hint="eastAsia" w:ascii="仿宋" w:hAnsi="仿宋" w:eastAsia="仿宋" w:cs="仿宋"/>
          <w:b/>
          <w:bCs/>
          <w:iCs/>
          <w:color w:val="auto"/>
          <w:sz w:val="24"/>
        </w:rPr>
        <w:t>分）</w:t>
      </w:r>
    </w:p>
    <w:p>
      <w:pPr>
        <w:spacing w:line="440" w:lineRule="exact"/>
        <w:rPr>
          <w:rFonts w:ascii="仿宋_GB2312" w:hAnsi="宋体" w:eastAsia="仿宋_GB2312"/>
          <w:bCs/>
          <w:iCs/>
          <w:color w:val="auto"/>
          <w:sz w:val="24"/>
        </w:rPr>
      </w:pPr>
      <w:r>
        <w:rPr>
          <w:rFonts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w:t>
      </w:r>
      <w:r>
        <w:rPr>
          <w:rFonts w:ascii="仿宋_GB2312" w:hAnsi="宋体" w:eastAsia="仿宋_GB2312"/>
          <w:bCs/>
          <w:iCs/>
          <w:color w:val="auto"/>
          <w:sz w:val="24"/>
        </w:rPr>
        <w:t>=(评标基准价／投标报价)×价格权值×100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_GB2312" w:hAnsi="宋体" w:eastAsia="仿宋_GB2312"/>
          <w:bCs/>
          <w:iCs/>
          <w:color w:val="auto"/>
          <w:sz w:val="24"/>
        </w:rPr>
        <w:t>即：投标报价得分</w:t>
      </w:r>
      <w:r>
        <w:rPr>
          <w:rFonts w:ascii="仿宋_GB2312" w:hAnsi="宋体" w:eastAsia="仿宋_GB2312"/>
          <w:bCs/>
          <w:iCs/>
          <w:color w:val="auto"/>
          <w:sz w:val="24"/>
        </w:rPr>
        <w:t>=(评标基准价／投标报价)×</w:t>
      </w:r>
      <w:r>
        <w:rPr>
          <w:rFonts w:hint="eastAsia" w:ascii="仿宋_GB2312" w:hAnsi="宋体" w:eastAsia="仿宋_GB2312"/>
          <w:bCs/>
          <w:iCs/>
          <w:color w:val="auto"/>
          <w:sz w:val="24"/>
          <w:lang w:val="en-US" w:eastAsia="zh-CN"/>
        </w:rPr>
        <w:t>4</w:t>
      </w:r>
      <w:r>
        <w:rPr>
          <w:rFonts w:ascii="仿宋_GB2312" w:hAnsi="宋体" w:eastAsia="仿宋_GB2312"/>
          <w:bCs/>
          <w:iCs/>
          <w:color w:val="auto"/>
          <w:sz w:val="24"/>
        </w:rPr>
        <w:t>0</w:t>
      </w: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ascii="仿宋_GB2312" w:hAnsi="仿宋_GB2312" w:eastAsia="仿宋_GB2312" w:cs="仿宋_GB2312"/>
          <w:sz w:val="24"/>
        </w:rPr>
      </w:pP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adjustRightInd w:val="0"/>
        <w:spacing w:line="360" w:lineRule="auto"/>
        <w:jc w:val="center"/>
        <w:outlineLvl w:val="0"/>
        <w:rPr>
          <w:rFonts w:ascii="仿宋_GB2312" w:hAnsi="仿宋" w:eastAsia="仿宋_GB2312" w:cs="仿宋"/>
          <w:b/>
          <w:kern w:val="0"/>
          <w:sz w:val="36"/>
          <w:szCs w:val="36"/>
        </w:rPr>
      </w:pP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pPr>
        <w:spacing w:line="360" w:lineRule="auto"/>
        <w:ind w:firstLine="480" w:firstLineChars="200"/>
        <w:outlineLvl w:val="0"/>
        <w:rPr>
          <w:rFonts w:ascii="仿宋_GB2312" w:hAnsi="仿宋_GB2312" w:eastAsia="仿宋_GB2312" w:cs="仿宋_GB2312"/>
          <w:sz w:val="24"/>
        </w:rPr>
      </w:pPr>
    </w:p>
    <w:p>
      <w:pPr>
        <w:pStyle w:val="25"/>
        <w:spacing w:line="800" w:lineRule="atLeast"/>
        <w:ind w:left="0" w:leftChars="0"/>
        <w:rPr>
          <w:rFonts w:ascii="仿宋_GB2312" w:hAnsi="宋体" w:eastAsia="仿宋_GB2312"/>
          <w:b/>
          <w:sz w:val="36"/>
          <w:szCs w:val="36"/>
        </w:rPr>
      </w:pPr>
    </w:p>
    <w:p>
      <w:pPr>
        <w:pStyle w:val="25"/>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ascii="仿宋_GB2312" w:hAnsi="仿宋_GB2312" w:eastAsia="仿宋_GB2312" w:cs="仿宋_GB2312"/>
          <w:sz w:val="24"/>
        </w:rPr>
      </w:pP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绍兴市人民医院、绍兴市嘉华项目管理有限公司：</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我方参与</w:t>
      </w:r>
      <w:r>
        <w:rPr>
          <w:rFonts w:hint="eastAsia" w:ascii="仿宋_GB2312" w:hAnsi="仿宋" w:eastAsia="仿宋_GB2312" w:cs="仿宋"/>
          <w:color w:val="000000" w:themeColor="text1"/>
          <w:sz w:val="24"/>
          <w:lang w:eastAsia="zh-CN"/>
          <w14:textFill>
            <w14:solidFill>
              <w14:schemeClr w14:val="tx1"/>
            </w14:solidFill>
          </w14:textFill>
        </w:rPr>
        <w:t>绍兴市人民医院镜湖总院营养配置中心采购项目（第四次重招）</w:t>
      </w:r>
      <w:r>
        <w:rPr>
          <w:rFonts w:hint="eastAsia" w:ascii="仿宋_GB2312" w:hAnsi="仿宋" w:eastAsia="仿宋_GB2312" w:cs="仿宋"/>
          <w:color w:val="000000" w:themeColor="text1"/>
          <w:sz w:val="24"/>
          <w14:textFill>
            <w14:solidFill>
              <w14:schemeClr w14:val="tx1"/>
            </w14:solidFill>
          </w14:textFill>
        </w:rPr>
        <w:t>（招标编号:</w:t>
      </w:r>
      <w:r>
        <w:rPr>
          <w:rFonts w:hint="eastAsia" w:ascii="仿宋_GB2312" w:hAnsi="仿宋" w:eastAsia="仿宋_GB2312" w:cs="仿宋"/>
          <w:color w:val="000000" w:themeColor="text1"/>
          <w:sz w:val="24"/>
          <w:lang w:eastAsia="zh-CN"/>
          <w14:textFill>
            <w14:solidFill>
              <w14:schemeClr w14:val="tx1"/>
            </w14:solidFill>
          </w14:textFill>
        </w:rPr>
        <w:t>SXJHCG-2024-N0303</w:t>
      </w:r>
      <w:r>
        <w:rPr>
          <w:rFonts w:hint="eastAsia" w:ascii="仿宋_GB2312" w:hAnsi="仿宋" w:eastAsia="仿宋_GB2312" w:cs="仿宋"/>
          <w:color w:val="000000" w:themeColor="text1"/>
          <w:sz w:val="24"/>
          <w14:textFill>
            <w14:solidFill>
              <w14:schemeClr w14:val="tx1"/>
            </w14:solidFill>
          </w14:textFill>
        </w:rPr>
        <w:t>）政府采购活动，郑重承诺：</w:t>
      </w:r>
    </w:p>
    <w:p>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80"/>
        <w:rPr>
          <w:color w:val="auto"/>
        </w:rPr>
      </w:pPr>
    </w:p>
    <w:p>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rPr>
      </w:pPr>
    </w:p>
    <w:p>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ascii="仿宋_GB2312" w:hAnsi="仿宋" w:eastAsia="仿宋_GB2312" w:cs="仿宋"/>
          <w:b/>
          <w:kern w:val="0"/>
          <w:sz w:val="24"/>
        </w:rPr>
      </w:pPr>
    </w:p>
    <w:p>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223"/>
        <w:spacing w:line="336" w:lineRule="auto"/>
        <w:ind w:left="0" w:firstLine="0" w:firstLineChars="0"/>
        <w:rPr>
          <w:rFonts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pPr>
        <w:pStyle w:val="223"/>
        <w:spacing w:line="336" w:lineRule="auto"/>
        <w:ind w:left="0" w:firstLine="0" w:firstLineChars="0"/>
        <w:rPr>
          <w:rFonts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pPr>
        <w:pStyle w:val="223"/>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223"/>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223"/>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pPr>
        <w:pStyle w:val="223"/>
        <w:spacing w:line="336" w:lineRule="auto"/>
        <w:ind w:left="0" w:firstLine="0" w:firstLineChars="0"/>
        <w:rPr>
          <w:rFonts w:cs="仿宋"/>
        </w:rPr>
      </w:pPr>
      <w:r>
        <w:rPr>
          <w:rFonts w:hint="eastAsia" w:hAnsi="仿宋_GB2312" w:cs="仿宋_GB2312"/>
        </w:rPr>
        <w:t>（6）</w:t>
      </w:r>
      <w:r>
        <w:rPr>
          <w:rFonts w:hint="eastAsia" w:cs="仿宋"/>
        </w:rPr>
        <w:t>商务技术偏离表…………………………………………………………… （页码）</w:t>
      </w:r>
    </w:p>
    <w:p>
      <w:pPr>
        <w:pStyle w:val="223"/>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100"/>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绍兴市人民医院、绍兴市嘉华项目管理有限公司</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pPr>
        <w:pStyle w:val="100"/>
        <w:spacing w:after="120" w:line="336" w:lineRule="auto"/>
        <w:ind w:firstLine="480"/>
        <w:rPr>
          <w:rFonts w:ascii="仿宋_GB2312" w:hAnsi="仿宋" w:eastAsia="仿宋_GB2312" w:cs="仿宋"/>
          <w:szCs w:val="24"/>
        </w:rPr>
      </w:pP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ascii="仿宋_GB2312" w:hAnsi="仿宋" w:eastAsia="仿宋_GB2312" w:cs="仿宋"/>
          <w:sz w:val="24"/>
        </w:rPr>
      </w:pPr>
    </w:p>
    <w:p>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ascii="仿宋_GB2312" w:hAnsi="仿宋" w:eastAsia="仿宋_GB2312" w:cs="仿宋"/>
          <w:b/>
          <w:kern w:val="0"/>
          <w:sz w:val="32"/>
          <w:szCs w:val="32"/>
        </w:rPr>
      </w:pPr>
    </w:p>
    <w:p>
      <w:pPr>
        <w:spacing w:line="360" w:lineRule="auto"/>
        <w:jc w:val="center"/>
        <w:rPr>
          <w:rFonts w:ascii="仿宋_GB2312" w:hAnsi="仿宋_GB2312" w:eastAsia="仿宋_GB2312" w:cs="仿宋_GB2312"/>
          <w:b/>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绍兴市人民医院镜湖总院营养配置中心采购项目（第四次重招）</w:t>
      </w:r>
      <w:r>
        <w:rPr>
          <w:rFonts w:hint="eastAsia" w:ascii="仿宋_GB2312" w:hAnsi="仿宋" w:eastAsia="仿宋_GB2312" w:cs="仿宋"/>
          <w:sz w:val="24"/>
          <w:u w:val="single"/>
        </w:rPr>
        <w:t>（招标编号: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pPr>
        <w:ind w:firstLine="4920" w:firstLineChars="2050"/>
        <w:jc w:val="left"/>
        <w:rPr>
          <w:rFonts w:ascii="仿宋_GB2312" w:hAnsi="仿宋" w:eastAsia="仿宋_GB2312" w:cs="仿宋"/>
          <w:sz w:val="24"/>
        </w:rPr>
      </w:pPr>
    </w:p>
    <w:p>
      <w:pPr>
        <w:spacing w:line="800" w:lineRule="exact"/>
        <w:rPr>
          <w:rFonts w:ascii="仿宋_GB2312" w:hAnsi="仿宋" w:eastAsia="仿宋_GB2312" w:cs="仿宋"/>
          <w:b/>
          <w:sz w:val="24"/>
        </w:rPr>
      </w:pP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绍兴市人民医院镜湖总院营养配置中心采购项目（第四次重招）</w:t>
      </w:r>
      <w:r>
        <w:rPr>
          <w:rFonts w:hint="eastAsia" w:ascii="仿宋_GB2312" w:hAnsi="仿宋" w:eastAsia="仿宋_GB2312" w:cs="仿宋"/>
          <w:sz w:val="24"/>
          <w:u w:val="single"/>
        </w:rPr>
        <w:t>（招标编号: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jc w:val="center"/>
        <w:rPr>
          <w:rFonts w:ascii="仿宋_GB2312" w:hAnsi="仿宋" w:eastAsia="仿宋_GB2312" w:cs="仿宋"/>
          <w:b/>
          <w:kern w:val="0"/>
          <w:sz w:val="32"/>
          <w:szCs w:val="32"/>
        </w:rPr>
      </w:pPr>
    </w:p>
    <w:p>
      <w:pPr>
        <w:rPr>
          <w:rFonts w:ascii="仿宋_GB2312" w:hAnsi="仿宋" w:eastAsia="仿宋_GB2312" w:cs="仿宋"/>
        </w:rPr>
      </w:pP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lang w:val="zh-CN"/>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ascii="仿宋_GB2312" w:hAnsi="仿宋" w:eastAsia="仿宋_GB2312" w:cs="仿宋"/>
          <w:b/>
          <w:sz w:val="24"/>
        </w:rPr>
      </w:pPr>
    </w:p>
    <w:p>
      <w:pPr>
        <w:spacing w:line="800" w:lineRule="exact"/>
        <w:rPr>
          <w:rFonts w:ascii="仿宋_GB2312" w:hAnsi="仿宋" w:eastAsia="仿宋_GB2312" w:cs="仿宋"/>
          <w:b/>
          <w:sz w:val="24"/>
        </w:rPr>
      </w:pPr>
    </w:p>
    <w:p>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ascii="仿宋_GB2312" w:hAnsi="仿宋" w:eastAsia="仿宋_GB2312" w:cs="仿宋"/>
          <w:sz w:val="24"/>
        </w:rPr>
      </w:pPr>
      <w:r>
        <w:rPr>
          <w:rFonts w:hint="eastAsia" w:ascii="仿宋_GB2312" w:hAnsi="仿宋" w:eastAsia="仿宋_GB2312" w:cs="仿宋"/>
          <w:sz w:val="24"/>
        </w:rPr>
        <w:t>特此证明。</w:t>
      </w:r>
    </w:p>
    <w:p>
      <w:pPr>
        <w:spacing w:line="440" w:lineRule="exact"/>
        <w:rPr>
          <w:rFonts w:ascii="仿宋_GB2312" w:hAnsi="仿宋" w:eastAsia="仿宋_GB2312" w:cs="仿宋"/>
          <w:sz w:val="24"/>
        </w:rPr>
      </w:pPr>
    </w:p>
    <w:p>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ascii="仿宋_GB2312" w:hAnsi="仿宋" w:eastAsia="仿宋_GB2312" w:cs="仿宋"/>
          <w:sz w:val="24"/>
        </w:rPr>
      </w:pPr>
    </w:p>
    <w:p>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p>
    <w:p>
      <w:pPr>
        <w:rPr>
          <w:rFonts w:ascii="仿宋_GB2312" w:eastAsia="仿宋_GB2312"/>
        </w:rPr>
      </w:pP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ascii="仿宋_GB2312" w:hAnsi="仿宋" w:eastAsia="仿宋_GB2312" w:cs="仿宋"/>
          <w:b/>
          <w:kern w:val="0"/>
          <w:sz w:val="32"/>
          <w:szCs w:val="32"/>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ind w:firstLine="1911" w:firstLineChars="595"/>
        <w:rPr>
          <w:rFonts w:ascii="仿宋_GB2312" w:hAnsi="仿宋" w:eastAsia="仿宋_GB2312" w:cs="仿宋"/>
          <w:b/>
          <w:bCs/>
          <w:sz w:val="32"/>
          <w:szCs w:val="32"/>
        </w:rPr>
      </w:pPr>
    </w:p>
    <w:p>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ascii="仿宋_GB2312" w:hAnsi="仿宋" w:eastAsia="仿宋_GB2312" w:cs="仿宋"/>
          <w:sz w:val="24"/>
        </w:rPr>
      </w:pP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ascii="仿宋_GB2312" w:hAnsi="仿宋" w:eastAsia="仿宋_GB2312" w:cs="仿宋"/>
          <w:b/>
          <w:bCs/>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224"/>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1.95pt;width:443.25pt;" o:ole="t" filled="f" o:preferrelative="t" stroked="f" coordsize="21600,21600">
            <v:path/>
            <v:fill on="f" focussize="0,0"/>
            <v:stroke on="f"/>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kern w:val="0"/>
          <w:sz w:val="28"/>
          <w:szCs w:val="28"/>
        </w:rPr>
        <w:object>
          <v:shape id="_x0000_i1026" o:spt="75" type="#_x0000_t75" style="height:41.95pt;width:440.75pt;" o:ole="t" filled="f" o:preferrelative="t" stroked="f" coordsize="21600,21600">
            <v:path/>
            <v:fill on="f" focussize="0,0"/>
            <v:stroke on="f"/>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0"/>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_GB2312" w:hAnsi="仿宋" w:eastAsia="仿宋_GB2312" w:cs="仿宋"/>
          <w:sz w:val="24"/>
        </w:rPr>
      </w:pPr>
    </w:p>
    <w:p>
      <w:pPr>
        <w:pStyle w:val="8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8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80"/>
        <w:rPr>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8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81"/>
        <w:rPr>
          <w:rFonts w:ascii="仿宋_GB2312" w:eastAsia="仿宋_GB2312"/>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ascii="仿宋_GB2312" w:hAnsi="仿宋" w:eastAsia="仿宋_GB2312" w:cs="仿宋"/>
          <w:b/>
          <w:kern w:val="0"/>
          <w:sz w:val="36"/>
          <w:szCs w:val="36"/>
        </w:rPr>
      </w:pPr>
    </w:p>
    <w:p>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rPr>
          <w:rFonts w:ascii="仿宋_GB2312" w:hAnsi="仿宋" w:eastAsia="仿宋_GB2312" w:cs="仿宋"/>
          <w:b/>
          <w:kern w:val="0"/>
          <w:sz w:val="32"/>
          <w:szCs w:val="32"/>
        </w:rPr>
      </w:pPr>
    </w:p>
    <w:p>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绍兴市人民医院镜湖总院营养配置中心采购项目（第四次重招）</w:t>
      </w:r>
      <w:r>
        <w:rPr>
          <w:rFonts w:hint="eastAsia" w:ascii="仿宋_GB2312" w:hAnsi="仿宋" w:eastAsia="仿宋_GB2312" w:cs="仿宋"/>
          <w:sz w:val="24"/>
        </w:rPr>
        <w:t>（招标编号:       ）的实施</w:t>
      </w:r>
      <w:r>
        <w:rPr>
          <w:rFonts w:hint="eastAsia" w:ascii="仿宋_GB2312" w:hAnsi="仿宋" w:eastAsia="仿宋_GB2312" w:cs="仿宋"/>
          <w:kern w:val="0"/>
          <w:sz w:val="24"/>
          <w:lang w:val="zh-CN"/>
        </w:rPr>
        <w:t>。</w:t>
      </w:r>
    </w:p>
    <w:p>
      <w:pPr>
        <w:spacing w:line="360" w:lineRule="auto"/>
        <w:jc w:val="center"/>
        <w:rPr>
          <w:rFonts w:hint="eastAsia" w:ascii="仿宋_GB2312" w:hAnsi="仿宋" w:eastAsia="仿宋_GB2312" w:cs="仿宋"/>
          <w:kern w:val="0"/>
          <w:sz w:val="24"/>
          <w:lang w:val="en-US" w:eastAsia="zh-CN"/>
        </w:rPr>
      </w:pPr>
      <w:r>
        <w:rPr>
          <w:rFonts w:hint="eastAsia" w:ascii="仿宋_GB2312" w:hAnsi="仿宋" w:eastAsia="仿宋_GB2312" w:cs="仿宋"/>
          <w:b/>
          <w:kern w:val="0"/>
          <w:sz w:val="24"/>
          <w:lang w:val="zh-CN"/>
        </w:rPr>
        <w:t>开标一览表（报价表）(单位均为人民币元)</w:t>
      </w:r>
    </w:p>
    <w:tbl>
      <w:tblPr>
        <w:tblStyle w:val="63"/>
        <w:tblW w:w="14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4140"/>
        <w:gridCol w:w="2124"/>
        <w:gridCol w:w="2616"/>
        <w:gridCol w:w="258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159" w:type="dxa"/>
            <w:vAlign w:val="center"/>
          </w:tcPr>
          <w:p>
            <w:pPr>
              <w:spacing w:line="360" w:lineRule="auto"/>
              <w:jc w:val="both"/>
              <w:rPr>
                <w:rFonts w:ascii="仿宋_GB2312" w:hAnsi="仿宋" w:eastAsia="仿宋_GB2312" w:cs="仿宋"/>
                <w:b/>
                <w:sz w:val="24"/>
              </w:rPr>
            </w:pPr>
            <w:r>
              <w:rPr>
                <w:rFonts w:hint="eastAsia" w:ascii="仿宋_GB2312" w:hAnsi="仿宋" w:eastAsia="仿宋_GB2312" w:cs="仿宋"/>
                <w:b/>
                <w:sz w:val="24"/>
              </w:rPr>
              <w:t>序号</w:t>
            </w:r>
          </w:p>
        </w:tc>
        <w:tc>
          <w:tcPr>
            <w:tcW w:w="4140"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2124"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2616"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2580" w:type="dxa"/>
            <w:vAlign w:val="center"/>
          </w:tcPr>
          <w:p>
            <w:pPr>
              <w:spacing w:line="360" w:lineRule="auto"/>
              <w:jc w:val="center"/>
              <w:rPr>
                <w:rFonts w:hint="eastAsia" w:ascii="仿宋_GB2312" w:hAnsi="仿宋" w:eastAsia="仿宋_GB2312" w:cs="仿宋"/>
                <w:b/>
                <w:color w:val="auto"/>
                <w:sz w:val="24"/>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val="en-US" w:eastAsia="zh-CN"/>
              </w:rPr>
              <w:t>下浮率</w:t>
            </w:r>
            <w:r>
              <w:rPr>
                <w:rFonts w:hint="eastAsia" w:ascii="仿宋" w:hAnsi="仿宋" w:eastAsia="仿宋" w:cs="仿宋"/>
                <w:b/>
                <w:color w:val="auto"/>
                <w:sz w:val="24"/>
                <w:highlight w:val="none"/>
              </w:rPr>
              <w:t>）</w:t>
            </w:r>
          </w:p>
        </w:tc>
        <w:tc>
          <w:tcPr>
            <w:tcW w:w="1860"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59"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多功能自由配方粉末混合包装机（核心产品）</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color w:val="0000FF"/>
                <w:sz w:val="24"/>
              </w:rPr>
            </w:pPr>
          </w:p>
        </w:tc>
        <w:tc>
          <w:tcPr>
            <w:tcW w:w="2580" w:type="dxa"/>
            <w:vMerge w:val="restart"/>
            <w:vAlign w:val="center"/>
          </w:tcPr>
          <w:p>
            <w:pPr>
              <w:spacing w:line="360" w:lineRule="auto"/>
              <w:jc w:val="center"/>
              <w:rPr>
                <w:rFonts w:ascii="仿宋_GB2312" w:hAnsi="仿宋" w:eastAsia="仿宋_GB2312" w:cs="仿宋"/>
                <w:color w:val="0000FF"/>
                <w:sz w:val="24"/>
              </w:rPr>
            </w:pPr>
          </w:p>
        </w:tc>
        <w:tc>
          <w:tcPr>
            <w:tcW w:w="1860"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2</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全自动液体灌装机</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color w:val="0000FF"/>
                <w:sz w:val="24"/>
              </w:rPr>
            </w:pPr>
          </w:p>
        </w:tc>
        <w:tc>
          <w:tcPr>
            <w:tcW w:w="2580" w:type="dxa"/>
            <w:vMerge w:val="continue"/>
            <w:vAlign w:val="center"/>
          </w:tcPr>
          <w:p>
            <w:pPr>
              <w:spacing w:line="360" w:lineRule="auto"/>
              <w:jc w:val="center"/>
              <w:rPr>
                <w:rFonts w:ascii="仿宋_GB2312" w:hAnsi="仿宋" w:eastAsia="仿宋_GB2312" w:cs="仿宋"/>
                <w:color w:val="0000FF"/>
                <w:sz w:val="24"/>
              </w:rPr>
            </w:pPr>
          </w:p>
        </w:tc>
        <w:tc>
          <w:tcPr>
            <w:tcW w:w="1860"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hint="eastAsia" w:ascii="仿宋_GB2312" w:hAnsi="仿宋" w:eastAsia="仿宋_GB2312" w:cs="仿宋"/>
                <w:sz w:val="24"/>
                <w:lang w:eastAsia="zh-CN"/>
              </w:rPr>
            </w:pPr>
            <w:r>
              <w:rPr>
                <w:rFonts w:hint="eastAsia" w:ascii="仿宋" w:hAnsi="仿宋" w:eastAsia="仿宋" w:cs="仿宋"/>
                <w:color w:val="000000"/>
                <w:kern w:val="0"/>
                <w:sz w:val="24"/>
                <w:szCs w:val="24"/>
              </w:rPr>
              <w:t>3</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恒温定量水机</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color w:val="0000FF"/>
                <w:sz w:val="24"/>
              </w:rPr>
            </w:pPr>
          </w:p>
        </w:tc>
        <w:tc>
          <w:tcPr>
            <w:tcW w:w="2580" w:type="dxa"/>
            <w:vMerge w:val="continue"/>
            <w:vAlign w:val="center"/>
          </w:tcPr>
          <w:p>
            <w:pPr>
              <w:spacing w:line="360" w:lineRule="auto"/>
              <w:jc w:val="center"/>
              <w:rPr>
                <w:rFonts w:ascii="仿宋_GB2312" w:hAnsi="仿宋" w:eastAsia="仿宋_GB2312" w:cs="仿宋"/>
                <w:color w:val="0000FF"/>
                <w:sz w:val="24"/>
              </w:rPr>
            </w:pPr>
          </w:p>
        </w:tc>
        <w:tc>
          <w:tcPr>
            <w:tcW w:w="1860"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4</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反渗透净水机</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5</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恒温摇床</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6</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留样冰箱</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7</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冷藏冰箱</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8</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烘干消毒机</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9</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食物电子秤</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10</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皮褶厚度计</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11</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电子握力计</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12</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烧杯</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13</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玻棒</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14</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不锈钢托盘</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15</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实验台</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16</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中央操作台</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17</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全钢货架</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59"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18</w:t>
            </w:r>
          </w:p>
        </w:tc>
        <w:tc>
          <w:tcPr>
            <w:tcW w:w="4140"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货柜</w:t>
            </w:r>
          </w:p>
        </w:tc>
        <w:tc>
          <w:tcPr>
            <w:tcW w:w="2124" w:type="dxa"/>
            <w:vAlign w:val="center"/>
          </w:tcPr>
          <w:p>
            <w:pPr>
              <w:snapToGrid w:val="0"/>
              <w:spacing w:line="360" w:lineRule="auto"/>
              <w:jc w:val="center"/>
              <w:rPr>
                <w:rFonts w:ascii="仿宋_GB2312" w:hAnsi="仿宋" w:eastAsia="仿宋_GB2312" w:cs="仿宋"/>
                <w:sz w:val="24"/>
              </w:rPr>
            </w:pPr>
          </w:p>
        </w:tc>
        <w:tc>
          <w:tcPr>
            <w:tcW w:w="2616" w:type="dxa"/>
            <w:vAlign w:val="center"/>
          </w:tcPr>
          <w:p>
            <w:pPr>
              <w:snapToGrid w:val="0"/>
              <w:spacing w:line="360" w:lineRule="auto"/>
              <w:jc w:val="center"/>
              <w:rPr>
                <w:rFonts w:ascii="仿宋_GB2312" w:hAnsi="仿宋" w:eastAsia="仿宋_GB2312" w:cs="仿宋"/>
                <w:sz w:val="24"/>
              </w:rPr>
            </w:pPr>
          </w:p>
        </w:tc>
        <w:tc>
          <w:tcPr>
            <w:tcW w:w="2580" w:type="dxa"/>
            <w:vMerge w:val="continue"/>
            <w:vAlign w:val="center"/>
          </w:tcPr>
          <w:p>
            <w:pPr>
              <w:spacing w:line="360" w:lineRule="auto"/>
              <w:jc w:val="center"/>
              <w:rPr>
                <w:rFonts w:ascii="仿宋_GB2312" w:hAnsi="仿宋" w:eastAsia="仿宋_GB2312" w:cs="仿宋"/>
                <w:sz w:val="24"/>
              </w:rPr>
            </w:pPr>
          </w:p>
        </w:tc>
        <w:tc>
          <w:tcPr>
            <w:tcW w:w="1860"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299" w:type="dxa"/>
            <w:gridSpan w:val="2"/>
            <w:vAlign w:val="center"/>
          </w:tcPr>
          <w:p>
            <w:pPr>
              <w:spacing w:line="360" w:lineRule="auto"/>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（小写）</w:t>
            </w:r>
          </w:p>
        </w:tc>
        <w:tc>
          <w:tcPr>
            <w:tcW w:w="9180" w:type="dxa"/>
            <w:gridSpan w:val="4"/>
            <w:vAlign w:val="center"/>
          </w:tcPr>
          <w:p>
            <w:pPr>
              <w:spacing w:line="360" w:lineRule="auto"/>
              <w:jc w:val="center"/>
              <w:rPr>
                <w:rFonts w:ascii="仿宋_GB2312" w:hAnsi="仿宋" w:eastAsia="仿宋_GB2312" w:cs="仿宋"/>
                <w:sz w:val="24"/>
              </w:rPr>
            </w:pP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299" w:type="dxa"/>
            <w:gridSpan w:val="2"/>
            <w:vAlign w:val="center"/>
          </w:tcPr>
          <w:p>
            <w:pPr>
              <w:spacing w:line="360" w:lineRule="auto"/>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（大写）</w:t>
            </w:r>
          </w:p>
        </w:tc>
        <w:tc>
          <w:tcPr>
            <w:tcW w:w="9180" w:type="dxa"/>
            <w:gridSpan w:val="4"/>
            <w:vAlign w:val="center"/>
          </w:tcPr>
          <w:p>
            <w:pPr>
              <w:spacing w:line="360" w:lineRule="auto"/>
              <w:jc w:val="center"/>
              <w:rPr>
                <w:rFonts w:hint="default" w:ascii="仿宋_GB2312" w:hAnsi="仿宋" w:eastAsia="仿宋" w:cs="仿宋"/>
                <w:sz w:val="24"/>
                <w:lang w:val="en-US" w:eastAsia="zh-CN"/>
              </w:rPr>
            </w:pPr>
            <w:r>
              <w:rPr>
                <w:rFonts w:hint="eastAsia" w:ascii="仿宋" w:hAnsi="仿宋" w:eastAsia="仿宋" w:cs="仿宋"/>
                <w:sz w:val="24"/>
                <w:szCs w:val="24"/>
              </w:rPr>
              <w:t>百分之</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w:t>
            </w:r>
          </w:p>
        </w:tc>
      </w:tr>
    </w:tbl>
    <w:p>
      <w:pPr>
        <w:snapToGrid w:val="0"/>
        <w:spacing w:line="360" w:lineRule="auto"/>
        <w:ind w:firstLine="241" w:firstLineChars="100"/>
        <w:rPr>
          <w:rFonts w:hint="default" w:ascii="仿宋_GB2312" w:hAnsi="仿宋" w:eastAsia="仿宋_GB2312" w:cs="仿宋"/>
          <w:b/>
          <w:kern w:val="0"/>
          <w:sz w:val="24"/>
          <w:lang w:val="en-US" w:eastAsia="zh-CN"/>
        </w:rPr>
      </w:pPr>
      <w:r>
        <w:rPr>
          <w:rFonts w:hint="eastAsia" w:ascii="仿宋_GB2312" w:hAnsi="仿宋" w:eastAsia="仿宋_GB2312" w:cs="仿宋"/>
          <w:b/>
          <w:kern w:val="0"/>
          <w:sz w:val="24"/>
          <w:lang w:val="zh-CN"/>
        </w:rPr>
        <w:t>注：</w:t>
      </w:r>
      <w:r>
        <w:rPr>
          <w:rFonts w:hint="eastAsia" w:ascii="仿宋" w:hAnsi="仿宋" w:eastAsia="仿宋" w:cs="仿宋"/>
          <w:b/>
          <w:bCs w:val="0"/>
          <w:color w:val="auto"/>
          <w:kern w:val="1"/>
          <w:sz w:val="24"/>
          <w:highlight w:val="none"/>
          <w:lang w:val="en-US" w:eastAsia="zh-CN"/>
        </w:rPr>
        <w:t>下浮率报价为统一下浮，小数点后保留2位。</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投标人名称（电子签名）：</w:t>
      </w:r>
    </w:p>
    <w:p>
      <w:pPr>
        <w:snapToGrid w:val="0"/>
        <w:spacing w:line="360" w:lineRule="auto"/>
        <w:ind w:firstLine="480" w:firstLineChars="200"/>
        <w:jc w:val="left"/>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日期：   年   月   日</w:t>
      </w:r>
    </w:p>
    <w:p>
      <w:pPr>
        <w:snapToGrid w:val="0"/>
        <w:spacing w:line="360" w:lineRule="auto"/>
        <w:ind w:firstLine="480" w:firstLineChars="200"/>
        <w:jc w:val="left"/>
        <w:rPr>
          <w:rFonts w:hint="default" w:ascii="仿宋_GB2312" w:hAnsi="仿宋" w:eastAsia="仿宋_GB2312" w:cs="仿宋"/>
          <w:kern w:val="0"/>
          <w:sz w:val="24"/>
          <w:lang w:val="en-US" w:eastAsia="zh-CN"/>
        </w:rPr>
        <w:sectPr>
          <w:pgSz w:w="16838" w:h="11906" w:orient="landscape"/>
          <w:pgMar w:top="1814" w:right="1474" w:bottom="1814" w:left="1474" w:header="851" w:footer="992" w:gutter="0"/>
          <w:cols w:space="720" w:num="1"/>
          <w:docGrid w:linePitch="312" w:charSpace="0"/>
        </w:sectPr>
      </w:pPr>
    </w:p>
    <w:p>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pStyle w:val="220"/>
        <w:keepNext w:val="0"/>
        <w:pageBreakBefore w:val="0"/>
        <w:tabs>
          <w:tab w:val="clear" w:pos="720"/>
        </w:tabs>
        <w:snapToGrid w:val="0"/>
        <w:spacing w:before="120" w:after="120"/>
        <w:ind w:firstLine="643"/>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57" w:name="_Hlk101259491"/>
      <w:r>
        <w:rPr>
          <w:rFonts w:hint="eastAsia" w:ascii="仿宋_GB2312" w:hAnsi="仿宋" w:eastAsia="仿宋_GB2312" w:cs="仿宋"/>
          <w:sz w:val="32"/>
          <w:szCs w:val="32"/>
        </w:rPr>
        <w:t>（如果有）</w:t>
      </w:r>
      <w:bookmarkEnd w:id="157"/>
    </w:p>
    <w:p>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Ansi="仿宋" w:cs="仿宋"/>
          <w:b/>
          <w:color w:val="auto"/>
        </w:rPr>
      </w:pPr>
    </w:p>
    <w:p>
      <w:pPr>
        <w:pStyle w:val="81"/>
        <w:rPr>
          <w:rFonts w:ascii="仿宋_GB2312" w:hAnsi="仿宋" w:eastAsia="仿宋_GB2312" w:cs="仿宋"/>
          <w:b/>
          <w:sz w:val="24"/>
        </w:rPr>
      </w:pPr>
    </w:p>
    <w:p>
      <w:pPr>
        <w:rPr>
          <w:rFonts w:ascii="仿宋_GB2312" w:hAnsi="仿宋" w:eastAsia="仿宋_GB2312" w:cs="仿宋"/>
          <w:b/>
          <w:sz w:val="24"/>
        </w:rPr>
      </w:pPr>
    </w:p>
    <w:p>
      <w:pPr>
        <w:pStyle w:val="80"/>
        <w:rPr>
          <w:rFonts w:hAnsi="仿宋" w:cs="仿宋"/>
          <w:b/>
          <w:color w:val="auto"/>
        </w:rPr>
      </w:pPr>
    </w:p>
    <w:p>
      <w:pPr>
        <w:pStyle w:val="81"/>
        <w:rPr>
          <w:rFonts w:ascii="仿宋_GB2312" w:eastAsia="仿宋_GB2312"/>
        </w:rPr>
      </w:pPr>
    </w:p>
    <w:p>
      <w:pPr>
        <w:pStyle w:val="81"/>
        <w:rPr>
          <w:rFonts w:ascii="仿宋_GB2312" w:eastAsia="仿宋_GB2312"/>
        </w:rPr>
      </w:pPr>
    </w:p>
    <w:p>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80"/>
        <w:widowControl/>
        <w:spacing w:line="360" w:lineRule="auto"/>
        <w:ind w:firstLine="120" w:firstLineChars="50"/>
        <w:rPr>
          <w:rFonts w:hAnsi="仿宋" w:cs="仿宋"/>
          <w:b/>
          <w:color w:val="auto"/>
        </w:rPr>
      </w:pPr>
    </w:p>
    <w:p>
      <w:pPr>
        <w:pStyle w:val="81"/>
        <w:spacing w:line="360" w:lineRule="auto"/>
        <w:ind w:left="0" w:firstLine="120" w:firstLineChars="50"/>
        <w:jc w:val="left"/>
        <w:rPr>
          <w:rFonts w:ascii="仿宋_GB2312" w:hAnsi="仿宋" w:eastAsia="仿宋_GB2312" w:cs="仿宋"/>
          <w:b/>
          <w:sz w:val="24"/>
        </w:rPr>
      </w:pPr>
    </w:p>
    <w:p>
      <w:pPr>
        <w:pStyle w:val="220"/>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58" w:name="_Toc465665161"/>
      <w:r>
        <w:rPr>
          <w:rFonts w:hint="eastAsia" w:ascii="仿宋_GB2312" w:hAnsi="仿宋" w:cs="仿宋"/>
        </w:rPr>
        <w:t>附件</w:t>
      </w:r>
      <w:bookmarkEnd w:id="158"/>
    </w:p>
    <w:p>
      <w:pPr>
        <w:spacing w:line="360" w:lineRule="auto"/>
        <w:rPr>
          <w:rFonts w:ascii="仿宋_GB2312" w:hAnsi="仿宋" w:eastAsia="仿宋_GB2312" w:cs="仿宋"/>
          <w:b/>
          <w:sz w:val="24"/>
        </w:rPr>
      </w:pPr>
    </w:p>
    <w:p>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rPr>
      </w:pPr>
    </w:p>
    <w:p>
      <w:pPr>
        <w:spacing w:line="360" w:lineRule="auto"/>
        <w:jc w:val="center"/>
        <w:rPr>
          <w:rFonts w:ascii="仿宋_GB2312" w:hAnsi="仿宋" w:eastAsia="仿宋_GB2312" w:cs="仿宋"/>
          <w:b/>
          <w:spacing w:val="6"/>
          <w:sz w:val="32"/>
          <w:szCs w:val="32"/>
        </w:rPr>
      </w:pPr>
    </w:p>
    <w:p>
      <w:pPr>
        <w:spacing w:line="360" w:lineRule="auto"/>
        <w:jc w:val="center"/>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被投诉人2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投诉事项2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ascii="仿宋_GB2312" w:hAnsi="仿宋" w:eastAsia="仿宋_GB2312" w:cs="仿宋"/>
          <w:sz w:val="24"/>
          <w:u w:val="single"/>
        </w:rPr>
      </w:pPr>
    </w:p>
    <w:p>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80"/>
        <w:rPr>
          <w:color w:val="auto"/>
        </w:rPr>
      </w:pPr>
    </w:p>
    <w:p>
      <w:pPr>
        <w:rPr>
          <w:rFonts w:ascii="仿宋_GB2312" w:hAnsi="仿宋" w:eastAsia="仿宋_GB2312" w:cs="仿宋"/>
          <w:sz w:val="24"/>
        </w:rPr>
      </w:pPr>
      <w:r>
        <w:rPr>
          <w:rFonts w:hint="eastAsia" w:ascii="仿宋_GB2312" w:hAnsi="仿宋" w:eastAsia="仿宋_GB2312" w:cs="仿宋"/>
          <w:b/>
          <w:bCs/>
          <w:sz w:val="24"/>
        </w:rPr>
        <w:t>附：</w:t>
      </w:r>
    </w:p>
    <w:p>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360" w:lineRule="auto"/>
        <w:ind w:firstLine="576"/>
        <w:rPr>
          <w:rFonts w:ascii="仿宋_GB2312" w:hAnsi="仿宋" w:eastAsia="仿宋_GB2312" w:cs="仿宋"/>
          <w:kern w:val="0"/>
          <w:sz w:val="24"/>
          <w:lang w:val="zh-CN"/>
        </w:rPr>
      </w:pPr>
      <w:bookmarkStart w:id="159"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59"/>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（联合体成员X,……）</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360" w:lineRule="auto"/>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pPr>
        <w:snapToGrid w:val="0"/>
        <w:spacing w:line="360" w:lineRule="auto"/>
        <w:ind w:firstLine="576"/>
        <w:jc w:val="left"/>
        <w:rPr>
          <w:rFonts w:cs="仿宋"/>
          <w:kern w:val="0"/>
          <w:sz w:val="24"/>
        </w:rPr>
      </w:pPr>
      <w:r>
        <w:rPr>
          <w:rFonts w:hint="eastAsia" w:cs="仿宋"/>
          <w:kern w:val="0"/>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360" w:lineRule="auto"/>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w:t>
      </w:r>
      <w:bookmarkStart w:id="160"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60"/>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360" w:lineRule="auto"/>
        <w:ind w:firstLine="576"/>
        <w:rPr>
          <w:rFonts w:ascii="仿宋_GB2312" w:hAnsi="仿宋" w:eastAsia="仿宋_GB2312" w:cs="仿宋"/>
          <w:u w:val="single"/>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Style w:val="80"/>
        <w:rPr>
          <w:rFonts w:hAnsi="仿宋" w:cs="仿宋"/>
          <w:b/>
          <w:color w:val="auto"/>
          <w:spacing w:val="6"/>
          <w:sz w:val="32"/>
          <w:szCs w:val="32"/>
        </w:rPr>
      </w:pPr>
    </w:p>
    <w:p>
      <w:pPr>
        <w:pStyle w:val="81"/>
        <w:rPr>
          <w:rFonts w:ascii="仿宋_GB2312" w:hAnsi="仿宋" w:eastAsia="仿宋_GB2312" w:cs="仿宋"/>
          <w:b/>
          <w:spacing w:val="6"/>
          <w:sz w:val="32"/>
          <w:szCs w:val="32"/>
        </w:rPr>
      </w:pPr>
    </w:p>
    <w:p>
      <w:pPr>
        <w:rPr>
          <w:rFonts w:ascii="仿宋_GB2312" w:hAnsi="仿宋" w:eastAsia="仿宋_GB2312" w:cs="仿宋"/>
          <w:b/>
          <w:spacing w:val="6"/>
          <w:sz w:val="32"/>
          <w:szCs w:val="32"/>
        </w:rPr>
      </w:pPr>
    </w:p>
    <w:p>
      <w:pPr>
        <w:pStyle w:val="80"/>
        <w:rPr>
          <w:rFonts w:hAnsi="仿宋" w:cs="仿宋"/>
          <w:b/>
          <w:color w:val="auto"/>
          <w:spacing w:val="6"/>
          <w:sz w:val="32"/>
          <w:szCs w:val="32"/>
        </w:rPr>
      </w:pPr>
    </w:p>
    <w:p>
      <w:pPr>
        <w:pStyle w:val="81"/>
        <w:rPr>
          <w:rFonts w:ascii="仿宋_GB2312" w:eastAsia="仿宋_GB2312"/>
        </w:rPr>
      </w:pPr>
    </w:p>
    <w:p>
      <w:pPr>
        <w:spacing w:line="360" w:lineRule="auto"/>
        <w:rPr>
          <w:rFonts w:ascii="仿宋_GB2312" w:hAnsi="仿宋" w:eastAsia="仿宋_GB2312" w:cs="仿宋"/>
          <w:b/>
          <w:spacing w:val="6"/>
          <w:sz w:val="32"/>
          <w:szCs w:val="32"/>
        </w:rPr>
      </w:pPr>
      <w:bookmarkStart w:id="161" w:name="OLE_LINK14"/>
      <w:bookmarkStart w:id="162" w:name="OLE_LINK13"/>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61"/>
    <w:bookmarkEnd w:id="162"/>
    <w:p>
      <w:pPr>
        <w:spacing w:line="360" w:lineRule="auto"/>
        <w:rPr>
          <w:rFonts w:ascii="仿宋_GB2312" w:hAnsi="仿宋" w:eastAsia="仿宋_GB2312" w:cs="仿宋"/>
          <w:b/>
          <w:spacing w:val="6"/>
          <w:sz w:val="30"/>
          <w:szCs w:val="30"/>
        </w:rPr>
      </w:pP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ascii="仿宋_GB2312" w:hAnsi="仿宋" w:eastAsia="仿宋_GB2312" w:cs="仿宋"/>
          <w:sz w:val="24"/>
        </w:rPr>
      </w:pPr>
    </w:p>
    <w:p>
      <w:pPr>
        <w:spacing w:line="360" w:lineRule="auto"/>
        <w:ind w:firstLine="480" w:firstLineChars="200"/>
        <w:rPr>
          <w:rFonts w:ascii="仿宋_GB2312" w:hAnsi="仿宋" w:eastAsia="仿宋_GB2312" w:cs="仿宋"/>
          <w:sz w:val="24"/>
        </w:rPr>
      </w:pP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pPr>
        <w:spacing w:line="360" w:lineRule="auto"/>
        <w:jc w:val="center"/>
        <w:rPr>
          <w:rFonts w:ascii="仿宋_GB2312" w:hAnsi="仿宋" w:eastAsia="仿宋_GB2312" w:cs="仿宋"/>
          <w:sz w:val="24"/>
          <w:u w:val="single"/>
        </w:rPr>
      </w:pP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pacing w:line="360" w:lineRule="auto"/>
        <w:jc w:val="left"/>
        <w:rPr>
          <w:rFonts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注：</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pPr>
        <w:pStyle w:val="23"/>
        <w:rPr>
          <w:rFonts w:ascii="仿宋_GB2312"/>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ascii="仿宋_GB2312" w:hAnsi="仿宋" w:eastAsia="仿宋_GB2312" w:cs="仿宋"/>
          <w:kern w:val="0"/>
          <w:sz w:val="24"/>
        </w:rPr>
      </w:pP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ascii="仿宋_GB2312" w:hAnsi="仿宋" w:eastAsia="仿宋_GB2312" w:cs="仿宋"/>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7F" w:usb3="00000000" w:csb0="003F01F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 xml:space="preserve">绍兴市嘉华项目管理有限公司                                    招标文件招标编号: </w:t>
    </w:r>
    <w:r>
      <w:rPr>
        <w:rFonts w:hint="eastAsia"/>
        <w:lang w:eastAsia="zh-CN"/>
      </w:rPr>
      <w:t>SXJHCG-2024-N0303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2Y2VhMDhlNGEzYWQ3OGRhNGI4MGRjZGI5NTcyZjY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368D"/>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6ED2"/>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D782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86C"/>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64EE"/>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6B0"/>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18BB"/>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658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C7CAD"/>
    <w:rsid w:val="00FD0273"/>
    <w:rsid w:val="00FE07EE"/>
    <w:rsid w:val="00FE5E89"/>
    <w:rsid w:val="00FE7260"/>
    <w:rsid w:val="00FF0866"/>
    <w:rsid w:val="00FF0CA9"/>
    <w:rsid w:val="00FF724C"/>
    <w:rsid w:val="00FF7BD2"/>
    <w:rsid w:val="04990641"/>
    <w:rsid w:val="08020E14"/>
    <w:rsid w:val="08F978AC"/>
    <w:rsid w:val="09826733"/>
    <w:rsid w:val="098B0432"/>
    <w:rsid w:val="0A3B1342"/>
    <w:rsid w:val="0AD61269"/>
    <w:rsid w:val="0B253438"/>
    <w:rsid w:val="0BA409D7"/>
    <w:rsid w:val="0C4B31F1"/>
    <w:rsid w:val="0EF42C95"/>
    <w:rsid w:val="10097E05"/>
    <w:rsid w:val="10337DED"/>
    <w:rsid w:val="10DC40EA"/>
    <w:rsid w:val="12E533D6"/>
    <w:rsid w:val="13466A59"/>
    <w:rsid w:val="136D3B78"/>
    <w:rsid w:val="177B1AE6"/>
    <w:rsid w:val="18E24FEA"/>
    <w:rsid w:val="19923DF0"/>
    <w:rsid w:val="19CF064A"/>
    <w:rsid w:val="19E41CD3"/>
    <w:rsid w:val="1BA423FA"/>
    <w:rsid w:val="1CC675F2"/>
    <w:rsid w:val="1E7627CD"/>
    <w:rsid w:val="1F4648B6"/>
    <w:rsid w:val="20FB4C13"/>
    <w:rsid w:val="21E65A7B"/>
    <w:rsid w:val="236D2C2B"/>
    <w:rsid w:val="25866341"/>
    <w:rsid w:val="25B50D40"/>
    <w:rsid w:val="25BA474F"/>
    <w:rsid w:val="2618546A"/>
    <w:rsid w:val="273B4DEE"/>
    <w:rsid w:val="29751124"/>
    <w:rsid w:val="2989420F"/>
    <w:rsid w:val="29A83F96"/>
    <w:rsid w:val="2A421007"/>
    <w:rsid w:val="2AE3017A"/>
    <w:rsid w:val="2C0922CF"/>
    <w:rsid w:val="2D2F0F65"/>
    <w:rsid w:val="2EDA14AE"/>
    <w:rsid w:val="2FA54326"/>
    <w:rsid w:val="304A60A2"/>
    <w:rsid w:val="30826BA6"/>
    <w:rsid w:val="32EE1252"/>
    <w:rsid w:val="331423DB"/>
    <w:rsid w:val="368054A0"/>
    <w:rsid w:val="36F21220"/>
    <w:rsid w:val="38376BE2"/>
    <w:rsid w:val="3B517DF8"/>
    <w:rsid w:val="3BFF2436"/>
    <w:rsid w:val="3D242985"/>
    <w:rsid w:val="3D5E16BB"/>
    <w:rsid w:val="3F847289"/>
    <w:rsid w:val="43905F62"/>
    <w:rsid w:val="43F4340C"/>
    <w:rsid w:val="44DA359B"/>
    <w:rsid w:val="46172CA4"/>
    <w:rsid w:val="46EE5581"/>
    <w:rsid w:val="480F1D14"/>
    <w:rsid w:val="48F84495"/>
    <w:rsid w:val="4A084BAC"/>
    <w:rsid w:val="4BC95B46"/>
    <w:rsid w:val="4BEB6533"/>
    <w:rsid w:val="4C29510B"/>
    <w:rsid w:val="4C6E2D5E"/>
    <w:rsid w:val="4D4D28DD"/>
    <w:rsid w:val="4D77007F"/>
    <w:rsid w:val="4E597AEA"/>
    <w:rsid w:val="4FCB1466"/>
    <w:rsid w:val="5034050C"/>
    <w:rsid w:val="50D457E8"/>
    <w:rsid w:val="5140605E"/>
    <w:rsid w:val="51C14C15"/>
    <w:rsid w:val="51F1661C"/>
    <w:rsid w:val="52CF6267"/>
    <w:rsid w:val="53920DAC"/>
    <w:rsid w:val="55C67DF5"/>
    <w:rsid w:val="55C93236"/>
    <w:rsid w:val="55EE24D3"/>
    <w:rsid w:val="563B3D0C"/>
    <w:rsid w:val="567C6706"/>
    <w:rsid w:val="56DF3CA2"/>
    <w:rsid w:val="580D25F6"/>
    <w:rsid w:val="59166000"/>
    <w:rsid w:val="5B0D544B"/>
    <w:rsid w:val="5B430CB2"/>
    <w:rsid w:val="5B6D5D3E"/>
    <w:rsid w:val="5BC07095"/>
    <w:rsid w:val="5DC07141"/>
    <w:rsid w:val="5F576F4A"/>
    <w:rsid w:val="5FDF689B"/>
    <w:rsid w:val="5FEE0364"/>
    <w:rsid w:val="60617BB3"/>
    <w:rsid w:val="60F7609E"/>
    <w:rsid w:val="620E34D3"/>
    <w:rsid w:val="639871BE"/>
    <w:rsid w:val="63F5076C"/>
    <w:rsid w:val="681A5D7E"/>
    <w:rsid w:val="691177D7"/>
    <w:rsid w:val="693A4383"/>
    <w:rsid w:val="6A261A93"/>
    <w:rsid w:val="6ADF3F0B"/>
    <w:rsid w:val="6B1B42E7"/>
    <w:rsid w:val="6B321C23"/>
    <w:rsid w:val="6BA60F13"/>
    <w:rsid w:val="6BC06C3D"/>
    <w:rsid w:val="6BC42254"/>
    <w:rsid w:val="6C740CC0"/>
    <w:rsid w:val="6D68758C"/>
    <w:rsid w:val="6EDB63E4"/>
    <w:rsid w:val="701C7922"/>
    <w:rsid w:val="72CC6E6D"/>
    <w:rsid w:val="72D80D10"/>
    <w:rsid w:val="72E87C49"/>
    <w:rsid w:val="7341725F"/>
    <w:rsid w:val="73C97E65"/>
    <w:rsid w:val="74402C1D"/>
    <w:rsid w:val="76C96C40"/>
    <w:rsid w:val="77A330A6"/>
    <w:rsid w:val="78A35F18"/>
    <w:rsid w:val="79151C26"/>
    <w:rsid w:val="7B287E2C"/>
    <w:rsid w:val="7C4A67DB"/>
    <w:rsid w:val="7DFBB8BB"/>
    <w:rsid w:val="7E20166D"/>
    <w:rsid w:val="7E5D52A1"/>
    <w:rsid w:val="7EC87E8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9"/>
    <w:qFormat/>
    <w:uiPriority w:val="0"/>
    <w:pPr>
      <w:keepNext/>
      <w:widowControl/>
      <w:numPr>
        <w:ilvl w:val="0"/>
        <w:numId w:val="4"/>
      </w:numPr>
      <w:jc w:val="left"/>
      <w:outlineLvl w:val="4"/>
    </w:pPr>
    <w:rPr>
      <w:kern w:val="0"/>
      <w:sz w:val="24"/>
      <w:szCs w:val="20"/>
    </w:rPr>
  </w:style>
  <w:style w:type="paragraph" w:styleId="8">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4"/>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0"/>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9"/>
    <w:qFormat/>
    <w:uiPriority w:val="0"/>
    <w:pPr>
      <w:shd w:val="clear" w:color="auto" w:fill="000080"/>
    </w:pPr>
  </w:style>
  <w:style w:type="paragraph" w:styleId="19">
    <w:name w:val="annotation text"/>
    <w:basedOn w:val="1"/>
    <w:link w:val="102"/>
    <w:qFormat/>
    <w:uiPriority w:val="99"/>
    <w:pPr>
      <w:jc w:val="left"/>
    </w:pPr>
  </w:style>
  <w:style w:type="paragraph" w:styleId="20">
    <w:name w:val="Salutation"/>
    <w:basedOn w:val="1"/>
    <w:next w:val="1"/>
    <w:link w:val="317"/>
    <w:qFormat/>
    <w:uiPriority w:val="0"/>
    <w:pPr>
      <w:adjustRightInd w:val="0"/>
    </w:pPr>
    <w:rPr>
      <w:rFonts w:ascii="仿宋_GB2312" w:eastAsia="仿宋_GB2312"/>
      <w:sz w:val="28"/>
      <w:szCs w:val="20"/>
    </w:rPr>
  </w:style>
  <w:style w:type="paragraph" w:styleId="21">
    <w:name w:val="Body Text 3"/>
    <w:basedOn w:val="1"/>
    <w:link w:val="318"/>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5"/>
    <w:qFormat/>
    <w:uiPriority w:val="0"/>
    <w:pPr>
      <w:spacing w:line="360" w:lineRule="auto"/>
    </w:pPr>
    <w:rPr>
      <w:rFonts w:eastAsia="仿宋_GB2312"/>
      <w:sz w:val="28"/>
    </w:rPr>
  </w:style>
  <w:style w:type="paragraph" w:styleId="24">
    <w:name w:val="Body Text First Indent"/>
    <w:basedOn w:val="23"/>
    <w:next w:val="1"/>
    <w:link w:val="232"/>
    <w:qFormat/>
    <w:uiPriority w:val="0"/>
    <w:pPr>
      <w:spacing w:after="120" w:line="240" w:lineRule="auto"/>
      <w:ind w:firstLine="420" w:firstLineChars="100"/>
    </w:pPr>
    <w:rPr>
      <w:rFonts w:eastAsia="宋体"/>
      <w:sz w:val="21"/>
    </w:rPr>
  </w:style>
  <w:style w:type="paragraph" w:styleId="25">
    <w:name w:val="Body Text Indent"/>
    <w:basedOn w:val="1"/>
    <w:link w:val="96"/>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4"/>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7"/>
    <w:qFormat/>
    <w:uiPriority w:val="0"/>
    <w:rPr>
      <w:rFonts w:ascii="楷体_GB2312" w:eastAsia="楷体_GB2312"/>
      <w:b/>
      <w:sz w:val="28"/>
      <w:szCs w:val="20"/>
    </w:rPr>
  </w:style>
  <w:style w:type="paragraph" w:styleId="37">
    <w:name w:val="Body Text Indent 2"/>
    <w:basedOn w:val="1"/>
    <w:link w:val="111"/>
    <w:qFormat/>
    <w:uiPriority w:val="0"/>
    <w:pPr>
      <w:spacing w:after="120" w:line="480" w:lineRule="auto"/>
      <w:ind w:left="420" w:leftChars="200"/>
    </w:pPr>
  </w:style>
  <w:style w:type="paragraph" w:styleId="38">
    <w:name w:val="endnote text"/>
    <w:basedOn w:val="1"/>
    <w:link w:val="320"/>
    <w:qFormat/>
    <w:uiPriority w:val="0"/>
    <w:pPr>
      <w:adjustRightInd w:val="0"/>
    </w:pPr>
    <w:rPr>
      <w:lang w:val="zh-CN"/>
    </w:rPr>
  </w:style>
  <w:style w:type="paragraph" w:styleId="39">
    <w:name w:val="Balloon Text"/>
    <w:basedOn w:val="1"/>
    <w:link w:val="228"/>
    <w:qFormat/>
    <w:uiPriority w:val="0"/>
    <w:rPr>
      <w:sz w:val="18"/>
      <w:szCs w:val="18"/>
    </w:rPr>
  </w:style>
  <w:style w:type="paragraph" w:styleId="40">
    <w:name w:val="footer"/>
    <w:basedOn w:val="1"/>
    <w:link w:val="99"/>
    <w:qFormat/>
    <w:uiPriority w:val="99"/>
    <w:pPr>
      <w:tabs>
        <w:tab w:val="center" w:pos="4153"/>
        <w:tab w:val="right" w:pos="8306"/>
      </w:tabs>
      <w:snapToGrid w:val="0"/>
      <w:jc w:val="left"/>
    </w:pPr>
    <w:rPr>
      <w:sz w:val="18"/>
      <w:szCs w:val="18"/>
    </w:rPr>
  </w:style>
  <w:style w:type="paragraph" w:styleId="41">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basedOn w:val="1"/>
    <w:next w:val="1"/>
    <w:link w:val="322"/>
    <w:qFormat/>
    <w:uiPriority w:val="0"/>
    <w:pPr>
      <w:adjustRightInd w:val="0"/>
      <w:snapToGrid w:val="0"/>
      <w:spacing w:before="240" w:after="480"/>
      <w:jc w:val="center"/>
    </w:pPr>
    <w:rPr>
      <w:rFonts w:ascii="Arial" w:hAnsi="Arial" w:eastAsia="隶书"/>
      <w:b/>
      <w:bCs/>
      <w:kern w:val="28"/>
      <w:sz w:val="44"/>
      <w:szCs w:val="32"/>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3"/>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9"/>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1"/>
    <w:qFormat/>
    <w:uiPriority w:val="0"/>
    <w:pPr>
      <w:widowControl/>
      <w:spacing w:afterLines="50"/>
    </w:pPr>
    <w:rPr>
      <w:b/>
      <w:bCs/>
      <w:kern w:val="0"/>
      <w:sz w:val="24"/>
      <w:szCs w:val="20"/>
    </w:rPr>
  </w:style>
  <w:style w:type="paragraph" w:styleId="62">
    <w:name w:val="Body Text First Indent 2"/>
    <w:basedOn w:val="25"/>
    <w:link w:val="233"/>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表格文字"/>
    <w:basedOn w:val="1"/>
    <w:next w:val="23"/>
    <w:qFormat/>
    <w:uiPriority w:val="0"/>
    <w:pPr>
      <w:ind w:firstLine="200" w:firstLineChars="200"/>
    </w:pPr>
    <w:rPr>
      <w:rFonts w:ascii="Arial" w:hAnsi="Arial"/>
      <w:spacing w:val="-5"/>
      <w:kern w:val="0"/>
      <w:sz w:val="24"/>
      <w:szCs w:val="20"/>
    </w:rPr>
  </w:style>
  <w:style w:type="character" w:customStyle="1" w:styleId="83">
    <w:name w:val="标题 1 字符1"/>
    <w:link w:val="2"/>
    <w:qFormat/>
    <w:uiPriority w:val="9"/>
    <w:rPr>
      <w:rFonts w:eastAsia="仿宋_GB2312"/>
      <w:b/>
      <w:kern w:val="44"/>
      <w:sz w:val="44"/>
      <w:lang w:val="en-US" w:eastAsia="zh-CN" w:bidi="ar-SA"/>
    </w:rPr>
  </w:style>
  <w:style w:type="character" w:customStyle="1" w:styleId="84">
    <w:name w:val="正文缩进 字符2"/>
    <w:link w:val="6"/>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字符1"/>
    <w:link w:val="3"/>
    <w:qFormat/>
    <w:uiPriority w:val="0"/>
    <w:rPr>
      <w:rFonts w:ascii="Arial" w:hAnsi="Arial" w:eastAsia="黑体"/>
      <w:b/>
      <w:kern w:val="2"/>
      <w:sz w:val="32"/>
      <w:lang w:val="en-US" w:eastAsia="zh-CN" w:bidi="ar-SA"/>
    </w:rPr>
  </w:style>
  <w:style w:type="character" w:customStyle="1" w:styleId="87">
    <w:name w:val="标题 3 字符1"/>
    <w:link w:val="4"/>
    <w:qFormat/>
    <w:uiPriority w:val="0"/>
    <w:rPr>
      <w:rFonts w:eastAsia="仿宋_GB2312"/>
      <w:b/>
      <w:kern w:val="2"/>
      <w:sz w:val="32"/>
      <w:lang w:val="en-US" w:eastAsia="zh-CN" w:bidi="ar-SA"/>
    </w:rPr>
  </w:style>
  <w:style w:type="character" w:customStyle="1" w:styleId="88">
    <w:name w:val="标题 4 字符1"/>
    <w:link w:val="5"/>
    <w:qFormat/>
    <w:uiPriority w:val="9"/>
    <w:rPr>
      <w:rFonts w:ascii="Arial" w:hAnsi="Arial" w:eastAsia="黑体"/>
      <w:b/>
      <w:kern w:val="2"/>
      <w:sz w:val="28"/>
      <w:lang w:val="en-US" w:eastAsia="zh-CN" w:bidi="ar-SA"/>
    </w:rPr>
  </w:style>
  <w:style w:type="character" w:customStyle="1" w:styleId="89">
    <w:name w:val="标题 5 字符"/>
    <w:link w:val="7"/>
    <w:qFormat/>
    <w:uiPriority w:val="0"/>
    <w:rPr>
      <w:rFonts w:eastAsia="宋体"/>
      <w:sz w:val="24"/>
      <w:lang w:val="en-US" w:eastAsia="zh-CN" w:bidi="ar-SA"/>
    </w:rPr>
  </w:style>
  <w:style w:type="character" w:customStyle="1" w:styleId="90">
    <w:name w:val="标题 6 字符"/>
    <w:link w:val="8"/>
    <w:qFormat/>
    <w:uiPriority w:val="0"/>
    <w:rPr>
      <w:rFonts w:ascii="宋体" w:hAnsi="Arial" w:eastAsia="宋体"/>
      <w:sz w:val="24"/>
      <w:lang w:val="en-US" w:eastAsia="zh-CN" w:bidi="ar-SA"/>
    </w:rPr>
  </w:style>
  <w:style w:type="character" w:customStyle="1" w:styleId="91">
    <w:name w:val="标题 7 字符"/>
    <w:link w:val="9"/>
    <w:qFormat/>
    <w:uiPriority w:val="0"/>
    <w:rPr>
      <w:rFonts w:ascii="宋体" w:hAnsi="Arial" w:eastAsia="宋体"/>
      <w:b/>
      <w:sz w:val="24"/>
      <w:lang w:val="en-US" w:eastAsia="zh-CN" w:bidi="ar-SA"/>
    </w:rPr>
  </w:style>
  <w:style w:type="character" w:customStyle="1" w:styleId="92">
    <w:name w:val="标题 8 字符"/>
    <w:link w:val="10"/>
    <w:qFormat/>
    <w:uiPriority w:val="0"/>
    <w:rPr>
      <w:rFonts w:ascii="Arial" w:hAnsi="Arial" w:eastAsia="黑体"/>
      <w:sz w:val="24"/>
      <w:lang w:val="en-US" w:eastAsia="zh-CN" w:bidi="ar-SA"/>
    </w:rPr>
  </w:style>
  <w:style w:type="character" w:customStyle="1" w:styleId="93">
    <w:name w:val="标题 9 字符"/>
    <w:link w:val="11"/>
    <w:qFormat/>
    <w:uiPriority w:val="0"/>
    <w:rPr>
      <w:rFonts w:ascii="Arial" w:hAnsi="Arial" w:eastAsia="黑体"/>
      <w:sz w:val="24"/>
      <w:lang w:val="en-US" w:eastAsia="zh-CN" w:bidi="ar-SA"/>
    </w:rPr>
  </w:style>
  <w:style w:type="character" w:customStyle="1" w:styleId="94">
    <w:name w:val="纯文本 字符1"/>
    <w:link w:val="33"/>
    <w:qFormat/>
    <w:uiPriority w:val="0"/>
    <w:rPr>
      <w:rFonts w:ascii="宋体" w:hAnsi="Courier New" w:eastAsia="宋体"/>
      <w:kern w:val="2"/>
      <w:sz w:val="21"/>
      <w:lang w:val="en-US" w:eastAsia="zh-CN" w:bidi="ar-SA"/>
    </w:rPr>
  </w:style>
  <w:style w:type="paragraph" w:customStyle="1" w:styleId="95">
    <w:name w:val="表正文"/>
    <w:basedOn w:val="1"/>
    <w:next w:val="33"/>
    <w:qFormat/>
    <w:uiPriority w:val="0"/>
    <w:rPr>
      <w:rFonts w:ascii="宋体" w:hAnsi="Courier New"/>
      <w:szCs w:val="20"/>
    </w:rPr>
  </w:style>
  <w:style w:type="character" w:customStyle="1" w:styleId="96">
    <w:name w:val="正文文本缩进 字符1"/>
    <w:link w:val="25"/>
    <w:qFormat/>
    <w:uiPriority w:val="0"/>
    <w:rPr>
      <w:rFonts w:eastAsia="宋体"/>
      <w:kern w:val="2"/>
      <w:sz w:val="21"/>
      <w:szCs w:val="24"/>
      <w:lang w:val="en-US" w:eastAsia="zh-CN" w:bidi="ar-SA"/>
    </w:rPr>
  </w:style>
  <w:style w:type="character" w:customStyle="1" w:styleId="97">
    <w:name w:val="日期 字符"/>
    <w:link w:val="36"/>
    <w:qFormat/>
    <w:uiPriority w:val="0"/>
    <w:rPr>
      <w:rFonts w:ascii="楷体_GB2312" w:eastAsia="楷体_GB2312"/>
      <w:b/>
      <w:kern w:val="2"/>
      <w:sz w:val="28"/>
      <w:lang w:val="en-US" w:eastAsia="zh-CN" w:bidi="ar-SA"/>
    </w:rPr>
  </w:style>
  <w:style w:type="character" w:customStyle="1" w:styleId="98">
    <w:name w:val="页眉 字符2"/>
    <w:link w:val="41"/>
    <w:qFormat/>
    <w:uiPriority w:val="0"/>
    <w:rPr>
      <w:rFonts w:eastAsia="宋体"/>
      <w:kern w:val="2"/>
      <w:sz w:val="18"/>
      <w:szCs w:val="18"/>
      <w:lang w:val="en-US" w:eastAsia="zh-CN" w:bidi="ar-SA"/>
    </w:rPr>
  </w:style>
  <w:style w:type="character" w:customStyle="1" w:styleId="99">
    <w:name w:val="页脚 字符2"/>
    <w:link w:val="40"/>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字符1"/>
    <w:link w:val="19"/>
    <w:qFormat/>
    <w:uiPriority w:val="0"/>
    <w:rPr>
      <w:rFonts w:eastAsia="宋体"/>
      <w:kern w:val="2"/>
      <w:sz w:val="21"/>
      <w:szCs w:val="24"/>
      <w:lang w:val="en-US" w:eastAsia="zh-CN" w:bidi="ar-SA"/>
    </w:rPr>
  </w:style>
  <w:style w:type="character" w:customStyle="1" w:styleId="103">
    <w:name w:val="正文文本 2 字符1"/>
    <w:link w:val="56"/>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1">
    <w:name w:val="正文文本缩进 2 字符"/>
    <w:link w:val="37"/>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字符"/>
    <w:link w:val="23"/>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0"/>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0"/>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字符"/>
    <w:link w:val="18"/>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18"/>
    <w:qFormat/>
    <w:uiPriority w:val="0"/>
    <w:rPr>
      <w:rFonts w:ascii="Tahoma" w:hAnsi="Tahoma"/>
      <w:sz w:val="24"/>
    </w:rPr>
  </w:style>
  <w:style w:type="paragraph" w:customStyle="1" w:styleId="169">
    <w:name w:val="Char Char Char"/>
    <w:basedOn w:val="18"/>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0"/>
    <w:qFormat/>
    <w:uiPriority w:val="0"/>
  </w:style>
  <w:style w:type="paragraph" w:customStyle="1" w:styleId="181">
    <w:name w:val="样式 正文缩进 + 首行缩进:  2 字符"/>
    <w:basedOn w:val="6"/>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0"/>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5"/>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字符1"/>
    <w:basedOn w:val="70"/>
    <w:link w:val="39"/>
    <w:qFormat/>
    <w:uiPriority w:val="0"/>
    <w:rPr>
      <w:kern w:val="2"/>
      <w:sz w:val="18"/>
      <w:szCs w:val="18"/>
    </w:rPr>
  </w:style>
  <w:style w:type="character" w:customStyle="1" w:styleId="229">
    <w:name w:val="正文文本缩进 3 字符"/>
    <w:basedOn w:val="70"/>
    <w:link w:val="53"/>
    <w:qFormat/>
    <w:uiPriority w:val="0"/>
    <w:rPr>
      <w:kern w:val="2"/>
      <w:sz w:val="16"/>
      <w:szCs w:val="16"/>
    </w:rPr>
  </w:style>
  <w:style w:type="character" w:customStyle="1" w:styleId="230">
    <w:name w:val="HTML 预设格式 字符"/>
    <w:basedOn w:val="70"/>
    <w:link w:val="58"/>
    <w:qFormat/>
    <w:uiPriority w:val="0"/>
    <w:rPr>
      <w:rFonts w:ascii="黑体" w:hAnsi="Courier New" w:eastAsia="黑体" w:cs="Courier New"/>
    </w:rPr>
  </w:style>
  <w:style w:type="character" w:customStyle="1" w:styleId="231">
    <w:name w:val="批注主题 字符"/>
    <w:basedOn w:val="198"/>
    <w:link w:val="61"/>
    <w:qFormat/>
    <w:uiPriority w:val="0"/>
    <w:rPr>
      <w:rFonts w:eastAsia="宋体"/>
      <w:b/>
      <w:bCs/>
      <w:kern w:val="2"/>
      <w:sz w:val="24"/>
      <w:szCs w:val="24"/>
      <w:lang w:val="en-US" w:eastAsia="zh-CN" w:bidi="ar-SA"/>
    </w:rPr>
  </w:style>
  <w:style w:type="character" w:customStyle="1" w:styleId="232">
    <w:name w:val="正文文本首行缩进 字符"/>
    <w:basedOn w:val="193"/>
    <w:link w:val="24"/>
    <w:qFormat/>
    <w:uiPriority w:val="0"/>
    <w:rPr>
      <w:rFonts w:eastAsia="仿宋_GB2312"/>
      <w:kern w:val="2"/>
      <w:sz w:val="21"/>
      <w:szCs w:val="24"/>
      <w:lang w:val="en-US" w:eastAsia="zh-CN" w:bidi="ar-SA"/>
    </w:rPr>
  </w:style>
  <w:style w:type="character" w:customStyle="1" w:styleId="233">
    <w:name w:val="正文文本首行缩进 2 字符"/>
    <w:basedOn w:val="96"/>
    <w:link w:val="62"/>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0"/>
    <w:qFormat/>
    <w:uiPriority w:val="0"/>
    <w:rPr>
      <w:rFonts w:hint="eastAsia" w:ascii="宋体" w:hAnsi="宋体" w:eastAsia="宋体" w:cs="宋体"/>
      <w:color w:val="000000"/>
      <w:sz w:val="22"/>
      <w:szCs w:val="22"/>
      <w:u w:val="none"/>
    </w:rPr>
  </w:style>
  <w:style w:type="character" w:customStyle="1" w:styleId="296">
    <w:name w:val="font11"/>
    <w:basedOn w:val="70"/>
    <w:qFormat/>
    <w:uiPriority w:val="0"/>
    <w:rPr>
      <w:rFonts w:hint="eastAsia" w:ascii="宋体" w:hAnsi="宋体" w:eastAsia="宋体" w:cs="宋体"/>
      <w:color w:val="FF0000"/>
      <w:sz w:val="22"/>
      <w:szCs w:val="22"/>
      <w:u w:val="none"/>
    </w:rPr>
  </w:style>
  <w:style w:type="character" w:customStyle="1" w:styleId="297">
    <w:name w:val="font41"/>
    <w:basedOn w:val="70"/>
    <w:qFormat/>
    <w:uiPriority w:val="0"/>
    <w:rPr>
      <w:rFonts w:hint="default" w:ascii="等线" w:hAnsi="等线" w:eastAsia="等线" w:cs="等线"/>
      <w:color w:val="FF0000"/>
      <w:sz w:val="22"/>
      <w:szCs w:val="22"/>
      <w:u w:val="none"/>
    </w:rPr>
  </w:style>
  <w:style w:type="character" w:customStyle="1" w:styleId="298">
    <w:name w:val="font21"/>
    <w:basedOn w:val="70"/>
    <w:qFormat/>
    <w:uiPriority w:val="0"/>
    <w:rPr>
      <w:rFonts w:hint="default" w:ascii="等线" w:hAnsi="等线" w:eastAsia="等线" w:cs="等线"/>
      <w:color w:val="000000"/>
      <w:sz w:val="22"/>
      <w:szCs w:val="22"/>
      <w:u w:val="none"/>
    </w:rPr>
  </w:style>
  <w:style w:type="character" w:customStyle="1" w:styleId="299">
    <w:name w:val="font51"/>
    <w:basedOn w:val="70"/>
    <w:qFormat/>
    <w:uiPriority w:val="0"/>
    <w:rPr>
      <w:rFonts w:hint="default" w:ascii="等线" w:hAnsi="等线" w:eastAsia="等线" w:cs="等线"/>
      <w:color w:val="FF0000"/>
      <w:sz w:val="22"/>
      <w:szCs w:val="22"/>
      <w:u w:val="none"/>
    </w:rPr>
  </w:style>
  <w:style w:type="character" w:customStyle="1" w:styleId="300">
    <w:name w:val="font61"/>
    <w:basedOn w:val="70"/>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0"/>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0"/>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字符"/>
    <w:link w:val="16"/>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80"/>
    <w:qFormat/>
    <w:uiPriority w:val="0"/>
    <w:rPr>
      <w:color w:val="000000"/>
      <w:sz w:val="24"/>
      <w:szCs w:val="24"/>
    </w:rPr>
  </w:style>
  <w:style w:type="character" w:customStyle="1" w:styleId="317">
    <w:name w:val="称呼 字符"/>
    <w:basedOn w:val="70"/>
    <w:link w:val="20"/>
    <w:qFormat/>
    <w:uiPriority w:val="0"/>
    <w:rPr>
      <w:rFonts w:ascii="仿宋_GB2312" w:eastAsia="仿宋_GB2312"/>
      <w:kern w:val="2"/>
      <w:sz w:val="28"/>
    </w:rPr>
  </w:style>
  <w:style w:type="character" w:customStyle="1" w:styleId="318">
    <w:name w:val="正文文本 3 字符"/>
    <w:basedOn w:val="70"/>
    <w:link w:val="21"/>
    <w:qFormat/>
    <w:uiPriority w:val="0"/>
    <w:rPr>
      <w:kern w:val="2"/>
      <w:sz w:val="21"/>
    </w:rPr>
  </w:style>
  <w:style w:type="character" w:customStyle="1" w:styleId="319">
    <w:name w:val="HTML 地址 字符"/>
    <w:basedOn w:val="70"/>
    <w:link w:val="30"/>
    <w:qFormat/>
    <w:uiPriority w:val="0"/>
    <w:rPr>
      <w:rFonts w:ascii="宋体" w:hAnsi="宋体"/>
      <w:i/>
      <w:iCs/>
      <w:sz w:val="24"/>
      <w:szCs w:val="24"/>
    </w:rPr>
  </w:style>
  <w:style w:type="character" w:customStyle="1" w:styleId="320">
    <w:name w:val="尾注文本 字符"/>
    <w:basedOn w:val="70"/>
    <w:link w:val="38"/>
    <w:qFormat/>
    <w:uiPriority w:val="0"/>
    <w:rPr>
      <w:kern w:val="2"/>
      <w:sz w:val="21"/>
      <w:szCs w:val="24"/>
      <w:lang w:val="zh-CN"/>
    </w:rPr>
  </w:style>
  <w:style w:type="character" w:customStyle="1" w:styleId="321">
    <w:name w:val="签名 字符"/>
    <w:basedOn w:val="70"/>
    <w:link w:val="42"/>
    <w:qFormat/>
    <w:uiPriority w:val="0"/>
    <w:rPr>
      <w:rFonts w:eastAsia="仿宋_GB2312"/>
      <w:sz w:val="24"/>
    </w:rPr>
  </w:style>
  <w:style w:type="character" w:customStyle="1" w:styleId="322">
    <w:name w:val="副标题 字符"/>
    <w:basedOn w:val="70"/>
    <w:link w:val="47"/>
    <w:qFormat/>
    <w:uiPriority w:val="0"/>
    <w:rPr>
      <w:rFonts w:ascii="Arial" w:hAnsi="Arial" w:eastAsia="隶书"/>
      <w:b/>
      <w:bCs/>
      <w:kern w:val="28"/>
      <w:sz w:val="44"/>
      <w:szCs w:val="32"/>
    </w:rPr>
  </w:style>
  <w:style w:type="character" w:customStyle="1" w:styleId="323">
    <w:name w:val="脚注文本 字符"/>
    <w:basedOn w:val="70"/>
    <w:link w:val="50"/>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0"/>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3"/>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0"/>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5"/>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5"/>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basedOn w:val="70"/>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4"/>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3"/>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3"/>
    <w:qFormat/>
    <w:uiPriority w:val="0"/>
    <w:pPr>
      <w:tabs>
        <w:tab w:val="left" w:pos="1260"/>
        <w:tab w:val="left" w:pos="1680"/>
        <w:tab w:val="left" w:pos="2100"/>
      </w:tabs>
      <w:ind w:left="0"/>
      <w:outlineLvl w:val="3"/>
    </w:pPr>
  </w:style>
  <w:style w:type="paragraph" w:customStyle="1" w:styleId="785">
    <w:name w:val="一级条标题"/>
    <w:basedOn w:val="786"/>
    <w:next w:val="163"/>
    <w:qFormat/>
    <w:uiPriority w:val="0"/>
    <w:pPr>
      <w:tabs>
        <w:tab w:val="left" w:pos="1260"/>
        <w:tab w:val="left" w:pos="1680"/>
      </w:tabs>
      <w:ind w:left="1680"/>
      <w:outlineLvl w:val="2"/>
    </w:pPr>
  </w:style>
  <w:style w:type="paragraph" w:customStyle="1" w:styleId="786">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3"/>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3"/>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8"/>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2"/>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szCs w:val="21"/>
    </w:rPr>
  </w:style>
  <w:style w:type="character" w:customStyle="1" w:styleId="1040">
    <w:name w:val="font101"/>
    <w:basedOn w:val="70"/>
    <w:qFormat/>
    <w:uiPriority w:val="0"/>
    <w:rPr>
      <w:rFonts w:ascii="等线" w:hAnsi="等线" w:eastAsia="等线" w:cs="等线"/>
      <w:b/>
      <w:bCs/>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3106</Words>
  <Characters>3547</Characters>
  <Lines>451</Lines>
  <Paragraphs>127</Paragraphs>
  <TotalTime>15</TotalTime>
  <ScaleCrop>false</ScaleCrop>
  <LinksUpToDate>false</LinksUpToDate>
  <CharactersWithSpaces>3667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2024-07-17T03:59:00Z</dcterms:created>
  <dc:creator>USER</dc:creator>
  <cp:lastModifiedBy>Administrator</cp:lastModifiedBy>
  <cp:lastPrinted>2024-08-29T01:25:00Z</cp:lastPrinted>
  <dcterms:modified xsi:type="dcterms:W3CDTF">2024-12-03T04:35:51Z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5A9B3B942A154F9C91FF2567F54A0A85_13</vt:lpwstr>
  </property>
</Properties>
</file>