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sz w:val="48"/>
          <w:szCs w:val="48"/>
          <w:highlight w:val="none"/>
        </w:rPr>
      </w:pPr>
    </w:p>
    <w:p>
      <w:pPr>
        <w:adjustRightInd/>
        <w:spacing w:line="360" w:lineRule="auto"/>
        <w:jc w:val="center"/>
        <w:rPr>
          <w:rFonts w:ascii="仿宋" w:hAnsi="仿宋" w:eastAsia="仿宋" w:cs="仿宋"/>
          <w:b/>
          <w:bCs/>
          <w:sz w:val="56"/>
          <w:szCs w:val="56"/>
          <w:highlight w:val="none"/>
        </w:rPr>
      </w:pPr>
      <w:r>
        <w:rPr>
          <w:rFonts w:hint="eastAsia" w:ascii="仿宋" w:hAnsi="仿宋" w:eastAsia="仿宋" w:cs="仿宋"/>
          <w:b/>
          <w:bCs/>
          <w:sz w:val="56"/>
          <w:szCs w:val="56"/>
          <w:highlight w:val="none"/>
        </w:rPr>
        <w:t>绍兴市妇幼保健院绿植租摆服务项目</w:t>
      </w:r>
    </w:p>
    <w:p>
      <w:pPr>
        <w:jc w:val="center"/>
        <w:outlineLvl w:val="0"/>
        <w:rPr>
          <w:rFonts w:ascii="仿宋" w:hAnsi="仿宋" w:eastAsia="仿宋" w:cs="仿宋"/>
          <w:b/>
          <w:sz w:val="72"/>
          <w:szCs w:val="72"/>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rPr>
          <w:rFonts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jc w:val="center"/>
        <w:rPr>
          <w:rFonts w:ascii="仿宋" w:hAnsi="仿宋" w:eastAsia="仿宋" w:cs="仿宋"/>
          <w:b/>
          <w:sz w:val="28"/>
          <w:szCs w:val="28"/>
          <w:highlight w:val="none"/>
        </w:rPr>
      </w:pPr>
      <w:r>
        <w:rPr>
          <w:rFonts w:hint="eastAsia" w:ascii="仿宋" w:hAnsi="仿宋" w:eastAsia="仿宋" w:cs="仿宋"/>
          <w:b/>
          <w:sz w:val="28"/>
          <w:szCs w:val="28"/>
          <w:highlight w:val="none"/>
        </w:rPr>
        <w:t>招标编号:SXJHCG-2024-N0231</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ascii="仿宋" w:hAnsi="仿宋" w:eastAsia="仿宋" w:cs="仿宋"/>
                <w:sz w:val="28"/>
                <w:szCs w:val="28"/>
                <w:highlight w:val="none"/>
              </w:rPr>
            </w:pPr>
            <w:r>
              <w:rPr>
                <w:rFonts w:hint="eastAsia" w:ascii="仿宋" w:hAnsi="仿宋" w:eastAsia="仿宋" w:cs="仿宋"/>
                <w:sz w:val="28"/>
                <w:szCs w:val="28"/>
                <w:highlight w:val="none"/>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411792398"/>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二○二四年九月</w:t>
            </w:r>
          </w:p>
        </w:tc>
      </w:tr>
    </w:tbl>
    <w:p>
      <w:pPr>
        <w:pStyle w:val="639"/>
        <w:rPr>
          <w:rFonts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9"/>
        <w:spacing w:before="0" w:after="0" w:line="360" w:lineRule="auto"/>
        <w:ind w:left="0" w:firstLine="0"/>
        <w:rPr>
          <w:rFonts w:ascii="仿宋" w:hAnsi="仿宋" w:eastAsia="仿宋" w:cs="仿宋"/>
          <w:highlight w:val="none"/>
        </w:rPr>
      </w:pPr>
    </w:p>
    <w:p>
      <w:pPr>
        <w:pStyle w:val="639"/>
        <w:spacing w:before="0" w:after="0" w:line="360" w:lineRule="auto"/>
        <w:ind w:left="0" w:firstLine="0"/>
        <w:rPr>
          <w:rFonts w:ascii="仿宋" w:hAnsi="仿宋" w:eastAsia="仿宋" w:cs="仿宋"/>
          <w:highlight w:val="none"/>
        </w:rPr>
      </w:pPr>
    </w:p>
    <w:p>
      <w:pPr>
        <w:spacing w:line="360" w:lineRule="auto"/>
        <w:jc w:val="center"/>
        <w:rPr>
          <w:rFonts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   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1"/>
    <w:p>
      <w:pPr>
        <w:adjustRightInd/>
        <w:spacing w:line="360" w:lineRule="auto"/>
        <w:jc w:val="center"/>
        <w:outlineLvl w:val="0"/>
        <w:rPr>
          <w:rFonts w:ascii="仿宋" w:hAnsi="仿宋" w:eastAsia="仿宋" w:cs="仿宋"/>
          <w:b/>
          <w:sz w:val="36"/>
          <w:szCs w:val="20"/>
          <w:highlight w:val="none"/>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绍兴市妇幼保健院绿植租摆服务项目招标项目的潜在投标人应在政采云平台（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hint="eastAsia" w:ascii="仿宋" w:hAnsi="仿宋" w:eastAsia="仿宋" w:cs="仿宋"/>
          <w:color w:val="auto"/>
          <w:kern w:val="2"/>
          <w:sz w:val="24"/>
          <w:szCs w:val="24"/>
          <w:highlight w:val="none"/>
        </w:rPr>
        <w:t>https://www.zcygov.cn/）获取（下载）招标文件，并于2024年</w:t>
      </w:r>
      <w:r>
        <w:rPr>
          <w:rStyle w:val="76"/>
          <w:rFonts w:hint="eastAsia" w:ascii="仿宋" w:hAnsi="仿宋" w:eastAsia="仿宋" w:cs="仿宋"/>
          <w:color w:val="auto"/>
          <w:kern w:val="2"/>
          <w:sz w:val="24"/>
          <w:szCs w:val="24"/>
          <w:highlight w:val="none"/>
          <w:lang w:val="en-US" w:eastAsia="zh-CN"/>
        </w:rPr>
        <w:t>10</w:t>
      </w:r>
      <w:r>
        <w:rPr>
          <w:rStyle w:val="76"/>
          <w:rFonts w:hint="eastAsia" w:ascii="仿宋" w:hAnsi="仿宋" w:eastAsia="仿宋" w:cs="仿宋"/>
          <w:color w:val="auto"/>
          <w:kern w:val="2"/>
          <w:sz w:val="24"/>
          <w:szCs w:val="24"/>
          <w:highlight w:val="none"/>
        </w:rPr>
        <w:t>月</w:t>
      </w:r>
      <w:r>
        <w:rPr>
          <w:rStyle w:val="76"/>
          <w:rFonts w:hint="eastAsia" w:ascii="仿宋" w:hAnsi="仿宋" w:eastAsia="仿宋" w:cs="仿宋"/>
          <w:color w:val="auto"/>
          <w:kern w:val="2"/>
          <w:sz w:val="24"/>
          <w:szCs w:val="24"/>
          <w:highlight w:val="none"/>
          <w:lang w:val="en-US" w:eastAsia="zh-CN"/>
        </w:rPr>
        <w:t>31</w:t>
      </w:r>
      <w:r>
        <w:rPr>
          <w:rStyle w:val="76"/>
          <w:rFonts w:hint="eastAsia" w:ascii="仿宋" w:hAnsi="仿宋" w:eastAsia="仿宋" w:cs="仿宋"/>
          <w:color w:val="auto"/>
          <w:kern w:val="2"/>
          <w:sz w:val="24"/>
          <w:szCs w:val="24"/>
          <w:highlight w:val="none"/>
        </w:rPr>
        <w:t>日</w:t>
      </w:r>
      <w:r>
        <w:rPr>
          <w:rStyle w:val="76"/>
          <w:rFonts w:hint="eastAsia" w:ascii="仿宋" w:hAnsi="仿宋" w:eastAsia="仿宋" w:cs="仿宋"/>
          <w:color w:val="auto"/>
          <w:kern w:val="2"/>
          <w:sz w:val="24"/>
          <w:szCs w:val="24"/>
          <w:highlight w:val="none"/>
          <w:lang w:val="en-US" w:eastAsia="zh-CN"/>
        </w:rPr>
        <w:t>09</w:t>
      </w:r>
      <w:r>
        <w:rPr>
          <w:rStyle w:val="76"/>
          <w:rFonts w:hint="eastAsia" w:ascii="仿宋" w:hAnsi="仿宋" w:eastAsia="仿宋" w:cs="仿宋"/>
          <w:color w:val="auto"/>
          <w:kern w:val="2"/>
          <w:sz w:val="24"/>
          <w:szCs w:val="24"/>
          <w:highlight w:val="none"/>
        </w:rPr>
        <w:t>点30分</w:t>
      </w:r>
      <w:r>
        <w:rPr>
          <w:rStyle w:val="76"/>
          <w:rFonts w:hint="eastAsia" w:ascii="仿宋" w:hAnsi="仿宋" w:eastAsia="仿宋" w:cs="仿宋"/>
          <w:bCs/>
          <w:color w:val="auto"/>
          <w:kern w:val="2"/>
          <w:sz w:val="24"/>
          <w:szCs w:val="24"/>
          <w:highlight w:val="none"/>
        </w:rPr>
        <w:t>00秒</w:t>
      </w:r>
      <w:r>
        <w:rPr>
          <w:rStyle w:val="76"/>
          <w:rFonts w:hint="eastAsia" w:ascii="仿宋" w:hAnsi="仿宋" w:eastAsia="仿宋" w:cs="仿宋"/>
          <w:bCs/>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项目编号：</w:t>
      </w:r>
      <w:r>
        <w:rPr>
          <w:rFonts w:hint="eastAsia" w:ascii="仿宋" w:hAnsi="仿宋" w:eastAsia="仿宋" w:cs="仿宋"/>
          <w:sz w:val="24"/>
          <w:highlight w:val="none"/>
        </w:rPr>
        <w:t>SXJHCG-2024-N0231</w:t>
      </w:r>
      <w:bookmarkStart w:id="181" w:name="_GoBack"/>
      <w:bookmarkEnd w:id="181"/>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项目名称：绍兴市妇幼保健院绿植租摆服务项目</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采购方式：公开招标（服务）</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预算金额（元）：100000.00</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最高限价（元）：100000.00</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采购需求：详见采购文件。</w:t>
      </w:r>
    </w:p>
    <w:p>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标项一：</w:t>
      </w:r>
    </w:p>
    <w:p>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sz w:val="24"/>
          <w:highlight w:val="none"/>
        </w:rPr>
        <w:t>绍兴市妇幼保健院绿植租摆服务项目</w:t>
      </w:r>
    </w:p>
    <w:p>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数量：1</w:t>
      </w:r>
    </w:p>
    <w:p>
      <w:pPr>
        <w:spacing w:line="440" w:lineRule="exact"/>
        <w:ind w:firstLine="960" w:firstLineChars="400"/>
        <w:rPr>
          <w:rFonts w:ascii="仿宋" w:hAnsi="仿宋" w:eastAsia="仿宋" w:cs="仿宋"/>
          <w:bCs/>
          <w:sz w:val="24"/>
          <w:highlight w:val="none"/>
        </w:rPr>
      </w:pPr>
      <w:r>
        <w:rPr>
          <w:rFonts w:hint="eastAsia" w:ascii="仿宋" w:hAnsi="仿宋" w:eastAsia="仿宋" w:cs="仿宋"/>
          <w:bCs/>
          <w:sz w:val="24"/>
          <w:highlight w:val="none"/>
        </w:rPr>
        <w:t>预算金额（元）：100000.00</w:t>
      </w:r>
    </w:p>
    <w:p>
      <w:pPr>
        <w:spacing w:line="440" w:lineRule="exact"/>
        <w:ind w:firstLine="960" w:firstLineChars="400"/>
        <w:rPr>
          <w:rFonts w:ascii="仿宋" w:hAnsi="仿宋" w:eastAsia="仿宋" w:cs="仿宋"/>
          <w:bCs/>
          <w:sz w:val="24"/>
          <w:highlight w:val="none"/>
        </w:rPr>
      </w:pPr>
      <w:r>
        <w:rPr>
          <w:rFonts w:hint="eastAsia" w:ascii="仿宋" w:hAnsi="仿宋" w:eastAsia="仿宋" w:cs="仿宋"/>
          <w:bCs/>
          <w:sz w:val="24"/>
          <w:highlight w:val="none"/>
        </w:rPr>
        <w:t>最高限价（元）：100000.00</w:t>
      </w:r>
    </w:p>
    <w:p>
      <w:pPr>
        <w:spacing w:line="440" w:lineRule="exact"/>
        <w:ind w:firstLine="960" w:firstLineChars="400"/>
        <w:rPr>
          <w:rFonts w:ascii="仿宋" w:hAnsi="仿宋" w:eastAsia="仿宋" w:cs="仿宋"/>
          <w:bCs/>
          <w:sz w:val="24"/>
          <w:highlight w:val="none"/>
        </w:rPr>
      </w:pPr>
      <w:r>
        <w:rPr>
          <w:rFonts w:hint="eastAsia" w:ascii="仿宋" w:hAnsi="仿宋" w:eastAsia="仿宋" w:cs="仿宋"/>
          <w:bCs/>
          <w:sz w:val="24"/>
          <w:highlight w:val="none"/>
        </w:rPr>
        <w:t>单位：项</w:t>
      </w:r>
    </w:p>
    <w:p>
      <w:pPr>
        <w:spacing w:line="440" w:lineRule="exact"/>
        <w:ind w:firstLine="960" w:firstLineChars="4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 xml:space="preserve">详见招标文件。  </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按双方合同约定条款执行。</w:t>
      </w:r>
    </w:p>
    <w:p>
      <w:pPr>
        <w:spacing w:line="440" w:lineRule="exact"/>
        <w:ind w:firstLine="482" w:firstLineChars="200"/>
        <w:rPr>
          <w:rFonts w:ascii="仿宋" w:hAnsi="仿宋" w:eastAsia="仿宋" w:cs="仿宋"/>
          <w:bCs/>
          <w:sz w:val="24"/>
          <w:highlight w:val="none"/>
        </w:rPr>
      </w:pPr>
      <w:r>
        <w:rPr>
          <w:rFonts w:hint="eastAsia" w:ascii="仿宋" w:hAnsi="仿宋" w:eastAsia="仿宋" w:cs="仿宋"/>
          <w:b/>
          <w:sz w:val="24"/>
          <w:highlight w:val="none"/>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sz w:val="24"/>
          <w:highlight w:val="none"/>
        </w:rPr>
        <w:sym w:font="Wingdings" w:char="00A8"/>
      </w:r>
      <w:r>
        <w:rPr>
          <w:rFonts w:hint="eastAsia" w:ascii="仿宋" w:hAnsi="仿宋" w:eastAsia="仿宋" w:cs="仿宋"/>
          <w:b/>
          <w:sz w:val="24"/>
          <w:highlight w:val="none"/>
        </w:rPr>
        <w:t>否。</w:t>
      </w:r>
    </w:p>
    <w:p>
      <w:pPr>
        <w:spacing w:line="440" w:lineRule="exact"/>
        <w:rPr>
          <w:rFonts w:ascii="仿宋" w:hAnsi="仿宋" w:eastAsia="仿宋" w:cs="仿宋"/>
          <w:bCs/>
          <w:sz w:val="24"/>
          <w:highlight w:val="none"/>
        </w:rPr>
      </w:pPr>
      <w:r>
        <w:rPr>
          <w:rFonts w:hint="eastAsia" w:ascii="仿宋" w:hAnsi="仿宋" w:eastAsia="仿宋" w:cs="仿宋"/>
          <w:b/>
          <w:sz w:val="24"/>
          <w:highlight w:val="none"/>
        </w:rPr>
        <w:t>二、申请人的资格要求：</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bCs/>
          <w:sz w:val="24"/>
          <w:highlight w:val="none"/>
        </w:rPr>
        <w:t>1. 满足《中华人民共和国政府采购法》第二十二条规定；未被“信用中国”</w:t>
      </w:r>
      <w:r>
        <w:rPr>
          <w:rFonts w:hint="eastAsia" w:ascii="仿宋" w:hAnsi="仿宋" w:eastAsia="仿宋" w:cs="仿宋"/>
          <w:snapToGrid w:val="0"/>
          <w:kern w:val="28"/>
          <w:sz w:val="24"/>
          <w:szCs w:val="20"/>
          <w:highlight w:val="none"/>
        </w:rPr>
        <w:t>（www.creditchina.gov.cn)、中国政府采购网（www.ccgp.gov.cn）列入失信被执行人、重大税收违法案件当事人名单、政府采购严重违法失信行为记录名单；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服务全部由符合政策要求的中小企业承接，提供中小企业声明函；</w:t>
      </w:r>
    </w:p>
    <w:p>
      <w:pPr>
        <w:spacing w:line="360" w:lineRule="auto"/>
        <w:ind w:firstLine="960" w:firstLineChars="400"/>
        <w:rPr>
          <w:rFonts w:ascii="仿宋" w:hAnsi="仿宋" w:eastAsia="仿宋" w:cs="仿宋"/>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服务全部由符合政策要求的小微企业承接，提供中小企业声明函；</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4.本项目的特定资格要求：无。</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2024年</w:t>
      </w:r>
      <w:r>
        <w:rPr>
          <w:rFonts w:hint="eastAsia" w:ascii="仿宋" w:hAnsi="仿宋" w:eastAsia="仿宋" w:cs="仿宋"/>
          <w:sz w:val="24"/>
          <w:highlight w:val="none"/>
          <w:u w:val="single"/>
          <w:lang w:val="en-US" w:eastAsia="zh-CN"/>
        </w:rPr>
        <w:t>10</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31</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，每天上午00:00至12:00，下午12:00至23:59（北京时间，线上获取法定节假日均可，线下获取文件法定节假日除外）</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360" w:lineRule="auto"/>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2024年10月31日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点30分00秒</w:t>
      </w:r>
      <w:r>
        <w:rPr>
          <w:rFonts w:hint="eastAsia" w:ascii="仿宋" w:hAnsi="仿宋" w:eastAsia="仿宋" w:cs="仿宋"/>
          <w:sz w:val="24"/>
          <w:highlight w:val="none"/>
        </w:rPr>
        <w:t>（北京时间）</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2024年10月31日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点30分00秒</w:t>
      </w:r>
      <w:r>
        <w:rPr>
          <w:rFonts w:hint="eastAsia" w:ascii="仿宋" w:hAnsi="仿宋" w:eastAsia="仿宋" w:cs="仿宋"/>
          <w:sz w:val="24"/>
          <w:highlight w:val="none"/>
        </w:rPr>
        <w:t>（北京时间）</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绍兴市越城区灵芝街道颐高广场1幢1105室，政采云平台（https://www.zcygov.cn/）上开启投标文件。</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五、采购意向公开链接</w:t>
      </w:r>
    </w:p>
    <w:p>
      <w:pPr>
        <w:spacing w:line="360" w:lineRule="auto"/>
        <w:ind w:firstLine="420" w:firstLineChars="200"/>
        <w:rPr>
          <w:rFonts w:ascii="仿宋" w:hAnsi="仿宋" w:eastAsia="仿宋" w:cs="仿宋"/>
          <w:sz w:val="24"/>
          <w:highlight w:val="none"/>
        </w:rPr>
      </w:pPr>
      <w:r>
        <w:rPr>
          <w:highlight w:val="none"/>
        </w:rPr>
        <w:fldChar w:fldCharType="begin"/>
      </w:r>
      <w:r>
        <w:rPr>
          <w:highlight w:val="none"/>
        </w:rPr>
        <w:instrText xml:space="preserve"> HYPERLINK "https://zfcg.czt.zj.gov.cn/site/detail?categoryCode=ZcyAnnouncement&amp;parentId=600007&amp;articleId=ycqlOovOlYPpVkjsjgJsGA==" </w:instrText>
      </w:r>
      <w:r>
        <w:rPr>
          <w:highlight w:val="none"/>
        </w:rPr>
        <w:fldChar w:fldCharType="separate"/>
      </w:r>
      <w:r>
        <w:rPr>
          <w:rFonts w:hint="eastAsia" w:ascii="仿宋" w:hAnsi="仿宋" w:eastAsia="仿宋" w:cs="仿宋"/>
          <w:sz w:val="24"/>
          <w:highlight w:val="none"/>
        </w:rPr>
        <w:t>https://zfcg.czt.zj.gov.cn/site/detail?categoryCode=ZcyAnnouncement&amp;parentId=600007&amp;articleId=ycqlOovOlYPpVkjsjgJsGA==</w:t>
      </w:r>
      <w:r>
        <w:rPr>
          <w:rFonts w:hint="eastAsia" w:ascii="仿宋" w:hAnsi="仿宋" w:eastAsia="仿宋" w:cs="仿宋"/>
          <w:sz w:val="24"/>
          <w:highlight w:val="none"/>
        </w:rPr>
        <w:fldChar w:fldCharType="end"/>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 xml:space="preserve">六、公告期限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七、其他补充事宜</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sz w:val="24"/>
          <w:highlight w:val="none"/>
        </w:rPr>
      </w:pPr>
      <w:r>
        <w:rPr>
          <w:rFonts w:hint="eastAsia" w:ascii="仿宋" w:hAnsi="仿宋" w:eastAsia="仿宋" w:cs="仿宋"/>
          <w:b/>
          <w:bCs/>
          <w:sz w:val="24"/>
          <w:highlight w:val="none"/>
        </w:rPr>
        <w:t>八、对本次采购提出询问、质疑、投诉，请按以下方式联系</w:t>
      </w:r>
    </w:p>
    <w:p>
      <w:pPr>
        <w:spacing w:line="440" w:lineRule="exact"/>
        <w:ind w:firstLine="482" w:firstLineChars="200"/>
        <w:rPr>
          <w:highlight w:val="none"/>
        </w:rPr>
      </w:pPr>
      <w:bookmarkStart w:id="5" w:name="_Toc35393637"/>
      <w:bookmarkStart w:id="6" w:name="_Toc35393806"/>
      <w:bookmarkStart w:id="7" w:name="_Toc28359096"/>
      <w:bookmarkStart w:id="8" w:name="_Toc28359019"/>
      <w:r>
        <w:rPr>
          <w:rFonts w:hint="eastAsia" w:ascii="仿宋" w:hAnsi="仿宋" w:eastAsia="仿宋" w:cs="仿宋"/>
          <w:b/>
          <w:bCs/>
          <w:sz w:val="24"/>
          <w:highlight w:val="none"/>
        </w:rPr>
        <w:t>1.采购人信息</w:t>
      </w:r>
      <w:bookmarkEnd w:id="5"/>
      <w:bookmarkEnd w:id="6"/>
      <w:bookmarkEnd w:id="7"/>
      <w:bookmarkEnd w:id="8"/>
      <w:r>
        <w:rPr>
          <w:rFonts w:hint="eastAsia" w:ascii="仿宋" w:hAnsi="仿宋" w:eastAsia="仿宋" w:cs="仿宋"/>
          <w:b/>
          <w:bCs/>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称：绍兴市妇幼保健院</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址：绍兴市越城区凤林东路222号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项目联系人（询问）：丁佳盈</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项目联系方式（询问）：0575-88217305</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质疑联系人：孔月华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质疑联系方式：0575-88217331</w:t>
      </w:r>
    </w:p>
    <w:p>
      <w:pPr>
        <w:spacing w:line="440" w:lineRule="exact"/>
        <w:ind w:firstLine="482" w:firstLineChars="200"/>
        <w:rPr>
          <w:rFonts w:ascii="仿宋" w:hAnsi="仿宋" w:eastAsia="仿宋" w:cs="仿宋"/>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b/>
          <w:bCs/>
          <w:sz w:val="24"/>
          <w:highlight w:val="none"/>
        </w:rPr>
        <w:t>2.采购代理机构信息</w:t>
      </w:r>
      <w:bookmarkEnd w:id="9"/>
      <w:bookmarkEnd w:id="10"/>
      <w:bookmarkEnd w:id="11"/>
      <w:bookmarkEnd w:id="12"/>
      <w:r>
        <w:rPr>
          <w:rFonts w:hint="eastAsia" w:ascii="仿宋" w:hAnsi="仿宋" w:eastAsia="仿宋" w:cs="仿宋"/>
          <w:b/>
          <w:bCs/>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名    称：绍兴市嘉华项目管理有限公司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址：绍兴市越城区灵芝街道颐高广场1幢1105室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pPr>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项目联系人（询问）：王菲尔、</w:t>
      </w:r>
      <w:r>
        <w:rPr>
          <w:rFonts w:hint="eastAsia" w:ascii="仿宋" w:hAnsi="仿宋" w:eastAsia="仿宋" w:cs="仿宋"/>
          <w:sz w:val="24"/>
          <w:highlight w:val="none"/>
          <w:lang w:val="en-US" w:eastAsia="zh-CN"/>
        </w:rPr>
        <w:t>赵国富</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项目联系方式（询问）：0575-85220681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质疑联系人：杨华英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质疑联系方式：18888705730</w:t>
      </w:r>
    </w:p>
    <w:p>
      <w:pPr>
        <w:spacing w:line="360" w:lineRule="auto"/>
        <w:ind w:firstLine="482" w:firstLineChars="200"/>
        <w:rPr>
          <w:rFonts w:ascii="仿宋" w:hAnsi="仿宋" w:eastAsia="仿宋" w:cs="仿宋"/>
          <w:b/>
          <w:sz w:val="24"/>
          <w:highlight w:val="none"/>
        </w:rPr>
      </w:pPr>
      <w:bookmarkStart w:id="13" w:name="_Toc35393808"/>
      <w:bookmarkStart w:id="14" w:name="_Toc35393639"/>
      <w:bookmarkStart w:id="15" w:name="_Toc28359098"/>
      <w:bookmarkStart w:id="16" w:name="_Toc28359021"/>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称：绍兴市财政局</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址：绍兴市越城区凤林西路151号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真：0575-85209697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 系 人：张婷婷</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监督投诉电话：0575-85209697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widowControl/>
        <w:adjustRightInd/>
        <w:jc w:val="left"/>
        <w:rPr>
          <w:rFonts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分包：</w:t>
            </w:r>
          </w:p>
          <w:p>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sz w:val="24"/>
                <w:szCs w:val="20"/>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p>
            <w:pPr>
              <w:autoSpaceDE w:val="0"/>
              <w:autoSpaceDN w:val="0"/>
              <w:spacing w:line="440" w:lineRule="exact"/>
              <w:textAlignment w:val="bottom"/>
              <w:rPr>
                <w:rFonts w:ascii="仿宋" w:hAnsi="仿宋" w:eastAsia="仿宋" w:cs="仿宋"/>
                <w:b/>
                <w:sz w:val="24"/>
                <w:highlight w:val="none"/>
              </w:rPr>
            </w:pPr>
            <w:r>
              <w:rPr>
                <w:rFonts w:hint="eastAsia" w:ascii="仿宋_GB2312" w:hAnsi="仿宋" w:eastAsia="仿宋_GB2312"/>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A无方案讲解演示。</w:t>
            </w:r>
          </w:p>
          <w:p>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B有方案讲解演示：</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cs="Arial"/>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租赁和商务服务业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sz w:val="24"/>
                <w:highlight w:val="none"/>
              </w:rPr>
              <w:sym w:font="Wingdings" w:char="00A8"/>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19</w:t>
            </w:r>
          </w:p>
        </w:tc>
        <w:tc>
          <w:tcPr>
            <w:tcW w:w="8370"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①中标服务费：</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按代理协议约定的内容，中标单位需支付以下费用，根据项目的中标金额并按照以下收费标准的50%执行。采用差额定率累进法进行计算，具体费率标准如下：中标金额100万元以下的部分，服务类采购费率1.50%。本项目不足2000元，按2000元计算，超过15000元的按15000元收取。</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账  号：2003968202000011</w:t>
            </w:r>
          </w:p>
          <w:p>
            <w:pPr>
              <w:spacing w:line="336" w:lineRule="auto"/>
              <w:ind w:firstLine="480" w:firstLineChars="200"/>
              <w:rPr>
                <w:rFonts w:ascii="仿宋" w:hAnsi="仿宋" w:eastAsia="仿宋" w:cs="仿宋"/>
                <w:highlight w:val="none"/>
              </w:rPr>
            </w:pPr>
            <w:r>
              <w:rPr>
                <w:rFonts w:hint="eastAsia" w:ascii="仿宋" w:hAnsi="仿宋" w:eastAsia="仿宋" w:cs="仿宋"/>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highlight w:val="none"/>
        </w:rPr>
      </w:pPr>
      <w:bookmarkStart w:id="17" w:name="第三部分"/>
      <w:bookmarkStart w:id="18" w:name="_Toc164416483"/>
    </w:p>
    <w:p>
      <w:pPr>
        <w:adjustRightInd/>
        <w:spacing w:line="360" w:lineRule="auto"/>
        <w:jc w:val="center"/>
        <w:outlineLvl w:val="0"/>
        <w:rPr>
          <w:rFonts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pStyle w:val="81"/>
        <w:rPr>
          <w:rFonts w:hint="default"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rPr>
        <w:t>☑</w:t>
      </w:r>
      <w:r>
        <w:rPr>
          <w:rFonts w:hint="eastAsia" w:ascii="仿宋" w:hAnsi="仿宋" w:eastAsia="仿宋" w:cs="仿宋"/>
          <w:sz w:val="24"/>
          <w:highlight w:val="none"/>
        </w:rPr>
        <w:t>”系指适用本项目的要求，“☐”系指不适用本项目的要求。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3.4.1 采购人优先采购被认定为首台套产品和“制造精品”的自主创新产品。</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440" w:lineRule="exact"/>
        <w:ind w:firstLine="480" w:firstLineChars="200"/>
        <w:rPr>
          <w:rFonts w:ascii="仿宋" w:hAnsi="仿宋" w:eastAsia="仿宋" w:cs="仿宋"/>
          <w:sz w:val="24"/>
          <w:highlight w:val="none"/>
        </w:rPr>
      </w:pPr>
      <w:r>
        <w:rPr>
          <w:rFonts w:hint="eastAsia" w:ascii="仿宋_GB2312" w:hAnsi="仿宋" w:eastAsia="仿宋_GB2312"/>
          <w:sz w:val="24"/>
          <w:highlight w:val="none"/>
        </w:rPr>
        <w:t>平等对待内外资企业和符合条件的破产重整企业，切实保障企业公平竞争，</w:t>
      </w:r>
      <w:r>
        <w:rPr>
          <w:rFonts w:hint="eastAsia" w:ascii="仿宋" w:hAnsi="仿宋" w:eastAsia="仿宋" w:cs="仿宋"/>
          <w:sz w:val="24"/>
          <w:highlight w:val="none"/>
        </w:rPr>
        <w:t>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b/>
          <w:bCs/>
          <w:sz w:val="24"/>
          <w:highlight w:val="none"/>
        </w:rPr>
      </w:pPr>
      <w:r>
        <w:rPr>
          <w:rFonts w:hint="eastAsia" w:ascii="仿宋_GB2312" w:hAnsi="仿宋" w:eastAsia="仿宋_GB2312"/>
          <w:b/>
          <w:bCs/>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b/>
          <w:sz w:val="32"/>
          <w:szCs w:val="3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bCs/>
          <w:sz w:val="24"/>
          <w:highlight w:val="none"/>
        </w:rPr>
        <w:t>公开招标</w:t>
      </w:r>
      <w:r>
        <w:rPr>
          <w:rFonts w:hint="eastAsia" w:ascii="仿宋" w:hAnsi="仿宋" w:eastAsia="仿宋" w:cs="仿宋"/>
          <w:sz w:val="24"/>
          <w:highlight w:val="none"/>
        </w:rPr>
        <w:t>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中标人须向招标代理机构交纳代理服务费及招标评标过程中与之所产生的各类费用，具体详见投标须知前附表。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2.1.5本项目的特定资格要求（如果有)。</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ascii="仿宋" w:hAnsi="仿宋" w:eastAsia="仿宋" w:cs="仿宋"/>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2.2.5法定代表人及其授权代表身份证复印件;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ascii="仿宋" w:hAnsi="仿宋" w:eastAsia="仿宋" w:cs="仿宋"/>
          <w:highlight w:val="none"/>
          <w:lang w:val="zh-CN"/>
        </w:rPr>
      </w:pPr>
      <w:r>
        <w:rPr>
          <w:rFonts w:hint="eastAsia" w:ascii="仿宋" w:hAnsi="仿宋" w:eastAsia="仿宋" w:cs="仿宋"/>
          <w:sz w:val="24"/>
          <w:highlight w:val="none"/>
        </w:rPr>
        <w:t>2.2.19投标人需要说明的其他文件和说明（格式自拟）。</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2.3.1开标一览表（报价表）；</w:t>
      </w:r>
    </w:p>
    <w:p>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2.3.2中小企业声明函（如果有）；</w:t>
      </w:r>
    </w:p>
    <w:p>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2.3.3 残疾人福利性单位声明函（如果有）。</w:t>
      </w:r>
    </w:p>
    <w:p>
      <w:pPr>
        <w:pStyle w:val="61"/>
        <w:autoSpaceDE/>
        <w:autoSpaceDN/>
        <w:snapToGrid w:val="0"/>
        <w:spacing w:line="440" w:lineRule="exact"/>
        <w:ind w:firstLine="0"/>
        <w:rPr>
          <w:rFonts w:ascii="仿宋" w:hAnsi="仿宋" w:eastAsia="仿宋" w:cs="仿宋"/>
          <w:b/>
          <w:bCs/>
          <w:highlight w:val="none"/>
        </w:rPr>
      </w:pPr>
      <w:r>
        <w:rPr>
          <w:rFonts w:ascii="仿宋" w:hAnsi="仿宋" w:eastAsia="仿宋" w:cs="仿宋"/>
          <w:b/>
          <w:bCs/>
          <w:highlight w:val="none"/>
          <w:lang w:val="en-US"/>
        </w:rPr>
        <w:t>3.</w:t>
      </w:r>
      <w:r>
        <w:rPr>
          <w:rFonts w:hint="eastAsia" w:ascii="仿宋" w:hAnsi="仿宋" w:eastAsia="仿宋" w:cs="仿宋"/>
          <w:b/>
          <w:bCs/>
          <w:highlight w:val="none"/>
          <w:lang w:val="en-US"/>
        </w:rPr>
        <w:t>投标报价</w:t>
      </w:r>
    </w:p>
    <w:p>
      <w:pPr>
        <w:pStyle w:val="61"/>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3.1供应商应按招标文件中《开标一览表》等附表要求填写。</w:t>
      </w:r>
    </w:p>
    <w:p>
      <w:pPr>
        <w:pStyle w:val="61"/>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3.2报价为采购人可以合格使用产品的价格，包括货款、包装、运输、保险、货到就位以及安装、调试、培训、保修及产品知识产权等一切费用。</w:t>
      </w:r>
    </w:p>
    <w:p>
      <w:pPr>
        <w:pStyle w:val="61"/>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3.3招标文件未列明，而供应商认为必需的费用也需列入报价。</w:t>
      </w:r>
    </w:p>
    <w:p>
      <w:pPr>
        <w:pStyle w:val="61"/>
        <w:autoSpaceDE/>
        <w:autoSpaceDN/>
        <w:snapToGrid w:val="0"/>
        <w:spacing w:line="440" w:lineRule="exact"/>
        <w:ind w:firstLine="723" w:firstLineChars="300"/>
        <w:rPr>
          <w:rFonts w:ascii="仿宋" w:hAnsi="仿宋" w:eastAsia="仿宋" w:cs="仿宋"/>
          <w:b/>
          <w:szCs w:val="24"/>
          <w:highlight w:val="none"/>
        </w:rPr>
      </w:pPr>
      <w:r>
        <w:rPr>
          <w:rFonts w:ascii="仿宋" w:hAnsi="仿宋" w:eastAsia="仿宋" w:cs="仿宋"/>
          <w:b/>
          <w:bCs/>
          <w:highlight w:val="none"/>
          <w:lang w:val="en-US"/>
        </w:rPr>
        <w:t>3.4投标报价只允许有一个报价，有选择的报价将不予接受（除指定外）。</w:t>
      </w:r>
      <w:r>
        <w:rPr>
          <w:rFonts w:ascii="仿宋" w:hAnsi="仿宋" w:eastAsia="仿宋" w:cs="仿宋"/>
          <w:b/>
          <w:kern w:val="0"/>
          <w:szCs w:val="24"/>
          <w:highlight w:val="none"/>
        </w:rPr>
        <w:t>4.</w:t>
      </w:r>
      <w:r>
        <w:rPr>
          <w:rFonts w:hint="eastAsia" w:ascii="仿宋" w:hAnsi="仿宋" w:eastAsia="仿宋" w:cs="仿宋"/>
          <w:b/>
          <w:kern w:val="0"/>
          <w:szCs w:val="24"/>
          <w:highlight w:val="none"/>
        </w:rPr>
        <w:t xml:space="preserve">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pPr>
        <w:pStyle w:val="164"/>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.2 在投标截止时间以后，不能补充、修改投标文件。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4采购人、采购代理机构可以视情况延长投标文件提交的截止时间。在上述情况下，采购代理机构与投标人以前在投标截止期方面的全部权利、责任和义务，将适用于延长至新的投标截止期。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pPr>
        <w:pStyle w:val="164"/>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pStyle w:val="164"/>
        <w:spacing w:before="0"/>
        <w:ind w:firstLine="643"/>
        <w:rPr>
          <w:rFonts w:ascii="仿宋" w:hAnsi="仿宋" w:eastAsia="仿宋" w:cs="仿宋"/>
          <w:b/>
          <w:sz w:val="32"/>
          <w:highlight w:val="none"/>
        </w:rPr>
      </w:pPr>
    </w:p>
    <w:p>
      <w:pPr>
        <w:spacing w:line="360" w:lineRule="auto"/>
        <w:jc w:val="center"/>
        <w:rPr>
          <w:rFonts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napToGrid w:val="0"/>
        <w:spacing w:line="440" w:lineRule="exact"/>
        <w:ind w:firstLine="482" w:firstLineChars="200"/>
        <w:jc w:val="left"/>
        <w:rPr>
          <w:rFonts w:hint="eastAsia" w:ascii="仿宋" w:hAnsi="仿宋" w:eastAsia="仿宋" w:cs="仿宋"/>
          <w:b/>
          <w:sz w:val="24"/>
          <w:lang w:eastAsia="zh-CN"/>
        </w:rPr>
      </w:pPr>
      <w:r>
        <w:rPr>
          <w:rFonts w:hint="eastAsia" w:ascii="仿宋" w:hAnsi="仿宋" w:eastAsia="仿宋" w:cs="仿宋"/>
          <w:b/>
          <w:sz w:val="24"/>
          <w:lang w:val="en-US" w:eastAsia="zh-CN"/>
        </w:rPr>
        <w:t>8.25</w:t>
      </w:r>
      <w:r>
        <w:rPr>
          <w:rFonts w:hint="eastAsia" w:ascii="仿宋" w:hAnsi="仿宋" w:eastAsia="仿宋" w:cs="仿宋"/>
          <w:b/>
          <w:sz w:val="24"/>
        </w:rPr>
        <w:t>（1）不同供应商的电子投标(响应)文件上传计算机的网卡MAC地址、CPU序列号和硬盘序列号等硬件信息相同的；（2）不同供应商联系人为同一人或不同联系人的联系电话一致，且无法合理解释的</w:t>
      </w:r>
      <w:r>
        <w:rPr>
          <w:rFonts w:hint="eastAsia" w:ascii="仿宋" w:hAnsi="仿宋" w:eastAsia="仿宋" w:cs="仿宋"/>
          <w:b/>
          <w:sz w:val="24"/>
          <w:lang w:eastAsia="zh-CN"/>
        </w:rPr>
        <w:t>；</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6</w:t>
      </w:r>
      <w:r>
        <w:rPr>
          <w:rFonts w:hint="eastAsia" w:ascii="仿宋" w:hAnsi="仿宋" w:eastAsia="仿宋" w:cs="仿宋"/>
          <w:b/>
          <w:sz w:val="24"/>
        </w:rPr>
        <w:t>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highlight w:val="none"/>
        </w:rPr>
      </w:pPr>
    </w:p>
    <w:bookmarkEnd w:id="19"/>
    <w:p>
      <w:pPr>
        <w:pStyle w:val="34"/>
        <w:spacing w:line="360" w:lineRule="auto"/>
        <w:ind w:firstLine="726"/>
        <w:jc w:val="center"/>
        <w:rPr>
          <w:rFonts w:ascii="仿宋" w:hAnsi="仿宋" w:eastAsia="仿宋" w:cs="仿宋"/>
          <w:b/>
          <w:sz w:val="32"/>
          <w:szCs w:val="32"/>
          <w:highlight w:val="none"/>
        </w:rPr>
      </w:pPr>
      <w:bookmarkStart w:id="20" w:name="_Hlt74730295"/>
      <w:bookmarkEnd w:id="20"/>
      <w:bookmarkStart w:id="21" w:name="_Hlt75236011"/>
      <w:bookmarkEnd w:id="21"/>
      <w:bookmarkStart w:id="22" w:name="_Hlt68403820"/>
      <w:bookmarkEnd w:id="22"/>
      <w:bookmarkStart w:id="23" w:name="_Hlt74707468"/>
      <w:bookmarkEnd w:id="23"/>
      <w:bookmarkStart w:id="24" w:name="_Hlt74729768"/>
      <w:bookmarkEnd w:id="24"/>
      <w:bookmarkStart w:id="25" w:name="_Hlt68073093"/>
      <w:bookmarkEnd w:id="25"/>
      <w:bookmarkStart w:id="26" w:name="_Hlt75236290"/>
      <w:bookmarkEnd w:id="26"/>
      <w:bookmarkStart w:id="27" w:name="_Hlt68057669"/>
      <w:bookmarkEnd w:id="27"/>
      <w:bookmarkStart w:id="28" w:name="_Hlt74714665"/>
      <w:bookmarkEnd w:id="28"/>
      <w:bookmarkStart w:id="29" w:name="_Hlt68072990"/>
      <w:bookmarkEnd w:id="29"/>
      <w:bookmarkStart w:id="30" w:name="_Hlt75236101"/>
      <w:bookmarkEnd w:id="30"/>
      <w:bookmarkStart w:id="31" w:name="_Hlt68072998"/>
      <w:bookmarkEnd w:id="31"/>
      <w:bookmarkStart w:id="32" w:name="_Toc81372776"/>
      <w:bookmarkStart w:id="33" w:name="_Toc84325929"/>
      <w:bookmarkStart w:id="34" w:name="_Toc81372953"/>
      <w:r>
        <w:rPr>
          <w:rFonts w:hint="eastAsia" w:ascii="仿宋" w:hAnsi="仿宋" w:eastAsia="仿宋" w:cs="仿宋"/>
          <w:b/>
          <w:sz w:val="32"/>
          <w:szCs w:val="32"/>
          <w:highlight w:val="none"/>
        </w:rPr>
        <w:t>五、授予合同</w:t>
      </w:r>
    </w:p>
    <w:bookmarkEnd w:id="32"/>
    <w:bookmarkEnd w:id="33"/>
    <w:bookmarkEnd w:id="34"/>
    <w:p>
      <w:pPr>
        <w:pStyle w:val="15"/>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采购机构通过政采云平台向中标供应商签发中标通知书。请中标供应商自行登录政采云平台下载并打印中标通知书。</w:t>
      </w:r>
      <w:r>
        <w:rPr>
          <w:rFonts w:hint="eastAsia" w:ascii="仿宋" w:hAnsi="仿宋" w:eastAsia="仿宋" w:cs="仿宋"/>
          <w:kern w:val="0"/>
          <w:sz w:val="24"/>
          <w:highlight w:val="none"/>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3.3采购人、采购代理机构对中标结果不作任何说明和解释，也不回答任何提问。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6.5采购人负责加强对中标人的履约管理，并按照采购合同约定，及时向中标人支付采购资金。对于中标人违反采购合同约定的行为，采购人应当及时处理，依法追究其违约责任。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highlight w:val="none"/>
        </w:rPr>
      </w:pPr>
    </w:p>
    <w:p>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pPr>
        <w:spacing w:line="336" w:lineRule="auto"/>
        <w:rPr>
          <w:rFonts w:ascii="仿宋" w:hAnsi="仿宋" w:eastAsia="仿宋" w:cs="仿宋"/>
          <w:b/>
          <w:sz w:val="32"/>
          <w:szCs w:val="32"/>
          <w:highlight w:val="none"/>
        </w:rPr>
      </w:pPr>
      <w:r>
        <w:rPr>
          <w:rFonts w:ascii="仿宋" w:hAnsi="仿宋" w:eastAsia="仿宋" w:cs="仿宋"/>
          <w:b/>
          <w:bCs/>
          <w:sz w:val="24"/>
          <w:szCs w:val="20"/>
          <w:highlight w:val="none"/>
        </w:rPr>
        <w:t>1.在线询问、质疑、投诉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2.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3. 供应商质疑</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ascii="仿宋" w:hAnsi="仿宋" w:eastAsia="仿宋" w:cs="仿宋"/>
          <w:kern w:val="0"/>
          <w:sz w:val="24"/>
          <w:szCs w:val="20"/>
          <w:highlight w:val="none"/>
          <w:lang w:val="zh-CN"/>
        </w:rPr>
        <w:t>3</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3.1.2.4对同一采购程序环节的质疑，供应商须一次性提出。</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4.供应商投诉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4.3供应商投诉应当有明确的请求和必要的证明材料。</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4.4以联合体形式参加政府采购活动的，其投诉应当由组成联合体的所有供应商共同提出。</w:t>
      </w:r>
    </w:p>
    <w:p>
      <w:pPr>
        <w:snapToGrid w:val="0"/>
        <w:spacing w:line="360" w:lineRule="auto"/>
        <w:ind w:firstLine="482" w:firstLineChars="200"/>
        <w:jc w:val="left"/>
        <w:outlineLvl w:val="0"/>
        <w:rPr>
          <w:rFonts w:ascii="仿宋" w:hAnsi="仿宋" w:eastAsia="仿宋" w:cs="仿宋"/>
          <w:b/>
          <w:sz w:val="32"/>
          <w:szCs w:val="32"/>
          <w:highlight w:val="none"/>
        </w:rPr>
      </w:pPr>
      <w:r>
        <w:rPr>
          <w:rFonts w:ascii="仿宋" w:hAnsi="仿宋" w:eastAsia="仿宋" w:cs="仿宋"/>
          <w:b/>
          <w:bCs/>
          <w:sz w:val="24"/>
          <w:szCs w:val="20"/>
          <w:highlight w:val="none"/>
        </w:rPr>
        <w:t>投诉书范本及制作说明详见附件2。</w:t>
      </w:r>
    </w:p>
    <w:p>
      <w:pPr>
        <w:pStyle w:val="23"/>
        <w:spacing w:line="440" w:lineRule="exact"/>
        <w:ind w:firstLine="480" w:firstLineChars="200"/>
        <w:rPr>
          <w:rFonts w:ascii="仿宋" w:hAnsi="仿宋" w:eastAsia="仿宋" w:cs="仿宋"/>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spacing w:line="360" w:lineRule="auto"/>
        <w:jc w:val="center"/>
        <w:outlineLvl w:val="0"/>
        <w:rPr>
          <w:rFonts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pPr>
        <w:snapToGrid w:val="0"/>
        <w:spacing w:line="440" w:lineRule="exact"/>
        <w:jc w:val="left"/>
        <w:rPr>
          <w:rFonts w:ascii="仿宋" w:hAnsi="仿宋" w:eastAsia="仿宋" w:cs="仿宋"/>
          <w:b/>
          <w:sz w:val="24"/>
          <w:highlight w:val="none"/>
        </w:rPr>
      </w:pPr>
      <w:bookmarkStart w:id="36" w:name="第五部分"/>
      <w:bookmarkStart w:id="37" w:name="_Toc86217003"/>
      <w:r>
        <w:rPr>
          <w:rFonts w:hint="eastAsia" w:ascii="仿宋" w:hAnsi="仿宋" w:eastAsia="仿宋" w:cs="仿宋"/>
          <w:b/>
          <w:sz w:val="24"/>
          <w:highlight w:val="none"/>
        </w:rPr>
        <w:t>1. 项目实施人员费用</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2.招标项目设备（或服务）名称及数量：</w:t>
      </w:r>
    </w:p>
    <w:p>
      <w:pPr>
        <w:spacing w:line="440" w:lineRule="exact"/>
        <w:rPr>
          <w:rFonts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rPr>
        <w:t>绍兴市妇幼保健院绿植租摆服务项目 预算金额：100000.00元</w:t>
      </w:r>
    </w:p>
    <w:p>
      <w:pPr>
        <w:spacing w:line="360" w:lineRule="auto"/>
        <w:rPr>
          <w:rFonts w:ascii="仿宋" w:hAnsi="仿宋" w:eastAsia="仿宋" w:cs="仿宋"/>
          <w:color w:val="000000"/>
          <w:sz w:val="24"/>
          <w:highlight w:val="none"/>
        </w:rPr>
      </w:pPr>
      <w:bookmarkStart w:id="38" w:name="_Toc234378296"/>
      <w:bookmarkEnd w:id="38"/>
      <w:bookmarkStart w:id="39" w:name="_Hlt67893219"/>
      <w:bookmarkEnd w:id="39"/>
      <w:bookmarkStart w:id="40" w:name="_Toc237851471"/>
      <w:bookmarkEnd w:id="40"/>
      <w:bookmarkStart w:id="41" w:name="_Hlt75083407"/>
      <w:bookmarkEnd w:id="41"/>
      <w:bookmarkStart w:id="42" w:name="_Toc240256273"/>
      <w:bookmarkEnd w:id="42"/>
      <w:bookmarkStart w:id="43" w:name="_Hlt67893470"/>
      <w:bookmarkEnd w:id="43"/>
      <w:bookmarkStart w:id="44" w:name="_Toc234378360"/>
      <w:bookmarkEnd w:id="44"/>
      <w:bookmarkStart w:id="45" w:name="_Toc234378361"/>
      <w:bookmarkEnd w:id="45"/>
      <w:bookmarkStart w:id="46" w:name="_Toc237851470"/>
      <w:bookmarkEnd w:id="46"/>
      <w:bookmarkStart w:id="47" w:name="_Hlt67893223"/>
      <w:bookmarkEnd w:id="47"/>
      <w:bookmarkStart w:id="48" w:name="_Toc240256274"/>
      <w:bookmarkEnd w:id="48"/>
      <w:bookmarkStart w:id="49" w:name="_Toc234378297"/>
      <w:bookmarkEnd w:id="49"/>
      <w:bookmarkStart w:id="50" w:name="_Toc237851469"/>
      <w:bookmarkEnd w:id="50"/>
      <w:bookmarkStart w:id="51" w:name="_Toc240256275"/>
      <w:bookmarkEnd w:id="51"/>
      <w:r>
        <w:rPr>
          <w:rFonts w:hint="eastAsia" w:ascii="仿宋" w:hAnsi="仿宋" w:eastAsia="仿宋" w:cs="仿宋"/>
          <w:sz w:val="24"/>
          <w:highlight w:val="none"/>
        </w:rPr>
        <w:t>（一）招标清单</w:t>
      </w:r>
    </w:p>
    <w:tbl>
      <w:tblPr>
        <w:tblStyle w:val="62"/>
        <w:tblW w:w="7694"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841"/>
        <w:gridCol w:w="1466"/>
        <w:gridCol w:w="1023"/>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jc w:val="center"/>
              <w:rPr>
                <w:rFonts w:ascii="仿宋" w:hAnsi="仿宋" w:eastAsia="仿宋" w:cs="仿宋"/>
                <w:color w:val="000000"/>
                <w:sz w:val="24"/>
                <w:highlight w:val="none"/>
              </w:rPr>
            </w:pPr>
            <w:r>
              <w:rPr>
                <w:rFonts w:hint="eastAsia" w:ascii="仿宋" w:hAnsi="仿宋" w:eastAsia="仿宋" w:cs="仿宋"/>
                <w:bCs/>
                <w:color w:val="000000"/>
                <w:kern w:val="0"/>
                <w:sz w:val="24"/>
                <w:highlight w:val="none"/>
              </w:rPr>
              <w:t>序号</w:t>
            </w:r>
          </w:p>
        </w:tc>
        <w:tc>
          <w:tcPr>
            <w:tcW w:w="1841" w:type="dxa"/>
            <w:vAlign w:val="center"/>
          </w:tcPr>
          <w:p>
            <w:pPr>
              <w:widowControl/>
              <w:snapToGrid w:val="0"/>
              <w:jc w:val="center"/>
              <w:rPr>
                <w:rFonts w:ascii="仿宋" w:hAnsi="仿宋" w:eastAsia="仿宋" w:cs="仿宋"/>
                <w:color w:val="000000"/>
                <w:kern w:val="0"/>
                <w:sz w:val="24"/>
                <w:highlight w:val="none"/>
              </w:rPr>
            </w:pPr>
            <w:r>
              <w:rPr>
                <w:rFonts w:hint="eastAsia" w:ascii="仿宋" w:hAnsi="仿宋" w:eastAsia="仿宋" w:cs="仿宋"/>
                <w:bCs/>
                <w:color w:val="000000"/>
                <w:kern w:val="0"/>
                <w:sz w:val="24"/>
                <w:highlight w:val="none"/>
              </w:rPr>
              <w:t>植物名称</w:t>
            </w:r>
          </w:p>
        </w:tc>
        <w:tc>
          <w:tcPr>
            <w:tcW w:w="1466" w:type="dxa"/>
            <w:vAlign w:val="center"/>
          </w:tcPr>
          <w:p>
            <w:pPr>
              <w:widowControl/>
              <w:snapToGrid w:val="0"/>
              <w:jc w:val="center"/>
              <w:rPr>
                <w:rFonts w:ascii="仿宋" w:hAnsi="仿宋" w:eastAsia="仿宋" w:cs="仿宋"/>
                <w:color w:val="000000"/>
                <w:kern w:val="0"/>
                <w:sz w:val="24"/>
                <w:highlight w:val="none"/>
              </w:rPr>
            </w:pPr>
            <w:r>
              <w:rPr>
                <w:rFonts w:hint="eastAsia" w:ascii="仿宋" w:hAnsi="仿宋" w:eastAsia="仿宋" w:cs="仿宋"/>
                <w:bCs/>
                <w:color w:val="000000"/>
                <w:kern w:val="0"/>
                <w:sz w:val="24"/>
                <w:highlight w:val="none"/>
              </w:rPr>
              <w:t>型号规格</w:t>
            </w:r>
          </w:p>
        </w:tc>
        <w:tc>
          <w:tcPr>
            <w:tcW w:w="1023" w:type="dxa"/>
            <w:vAlign w:val="center"/>
          </w:tcPr>
          <w:p>
            <w:pPr>
              <w:widowControl/>
              <w:snapToGrid w:val="0"/>
              <w:jc w:val="center"/>
              <w:rPr>
                <w:rFonts w:ascii="仿宋" w:hAnsi="仿宋" w:eastAsia="仿宋" w:cs="仿宋"/>
                <w:color w:val="000000"/>
                <w:kern w:val="0"/>
                <w:sz w:val="24"/>
                <w:highlight w:val="none"/>
              </w:rPr>
            </w:pPr>
            <w:r>
              <w:rPr>
                <w:rFonts w:hint="eastAsia" w:ascii="仿宋" w:hAnsi="仿宋" w:eastAsia="仿宋" w:cs="仿宋"/>
                <w:bCs/>
                <w:color w:val="000000"/>
                <w:kern w:val="0"/>
                <w:sz w:val="24"/>
                <w:highlight w:val="none"/>
              </w:rPr>
              <w:t>单位</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上限单价（元/日）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1</w:t>
            </w:r>
          </w:p>
        </w:tc>
        <w:tc>
          <w:tcPr>
            <w:tcW w:w="1841"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发财树</w:t>
            </w:r>
          </w:p>
        </w:tc>
        <w:tc>
          <w:tcPr>
            <w:tcW w:w="1466"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高约1.9米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c>
          <w:tcPr>
            <w:tcW w:w="1841"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高绿萝</w:t>
            </w:r>
          </w:p>
        </w:tc>
        <w:tc>
          <w:tcPr>
            <w:tcW w:w="1466"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高约1.6米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3</w:t>
            </w:r>
          </w:p>
        </w:tc>
        <w:tc>
          <w:tcPr>
            <w:tcW w:w="1841"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幸福树</w:t>
            </w:r>
          </w:p>
        </w:tc>
        <w:tc>
          <w:tcPr>
            <w:tcW w:w="1466"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高约2.2米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4</w:t>
            </w:r>
          </w:p>
        </w:tc>
        <w:tc>
          <w:tcPr>
            <w:tcW w:w="1841"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凤尾竹</w:t>
            </w:r>
          </w:p>
        </w:tc>
        <w:tc>
          <w:tcPr>
            <w:tcW w:w="1466"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高约2.2米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5</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双层龙须</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高1.6米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6</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万年青</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高约0.45米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7</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也门铁</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高约0.4米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8</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招财树</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高约0.6米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9</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龙须树</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高约0.5米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10</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袖珍椰子（高盆）</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 xml:space="preserve">高约1.3米 </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11</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鸭脚木</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 xml:space="preserve">高约1.3米 </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金钱树</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 xml:space="preserve">高1.3米 </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13</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龟贝竹</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高1.0米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14</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虎皮兰</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高1.1米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15</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橡皮树</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高0.9米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16</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兰花</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高0.7米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17</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君子兰</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高0.7米</w:t>
            </w:r>
          </w:p>
        </w:tc>
        <w:tc>
          <w:tcPr>
            <w:tcW w:w="1023"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18</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三棵龙须</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高0.7米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19</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满堂红</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高0.9米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20</w:t>
            </w:r>
          </w:p>
        </w:tc>
        <w:tc>
          <w:tcPr>
            <w:tcW w:w="1841"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螺纹铁</w:t>
            </w:r>
          </w:p>
        </w:tc>
        <w:tc>
          <w:tcPr>
            <w:tcW w:w="1466"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高0.7米</w:t>
            </w:r>
          </w:p>
        </w:tc>
        <w:tc>
          <w:tcPr>
            <w:tcW w:w="1023" w:type="dxa"/>
            <w:vAlign w:val="center"/>
          </w:tcPr>
          <w:p>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21</w:t>
            </w:r>
          </w:p>
        </w:tc>
        <w:tc>
          <w:tcPr>
            <w:tcW w:w="1841"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绿萝</w:t>
            </w:r>
          </w:p>
        </w:tc>
        <w:tc>
          <w:tcPr>
            <w:tcW w:w="1466"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高约0.45米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22</w:t>
            </w:r>
          </w:p>
        </w:tc>
        <w:tc>
          <w:tcPr>
            <w:tcW w:w="1841"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如意</w:t>
            </w:r>
          </w:p>
        </w:tc>
        <w:tc>
          <w:tcPr>
            <w:tcW w:w="1466"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高约0.4米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23</w:t>
            </w:r>
          </w:p>
        </w:tc>
        <w:tc>
          <w:tcPr>
            <w:tcW w:w="1841"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红掌</w:t>
            </w:r>
          </w:p>
        </w:tc>
        <w:tc>
          <w:tcPr>
            <w:tcW w:w="1466"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高约0.6米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88"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24</w:t>
            </w:r>
          </w:p>
        </w:tc>
        <w:tc>
          <w:tcPr>
            <w:tcW w:w="1841"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青苹果</w:t>
            </w:r>
          </w:p>
        </w:tc>
        <w:tc>
          <w:tcPr>
            <w:tcW w:w="1466"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高约0.5米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25</w:t>
            </w:r>
          </w:p>
        </w:tc>
        <w:tc>
          <w:tcPr>
            <w:tcW w:w="1841"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一帆风顺</w:t>
            </w:r>
          </w:p>
        </w:tc>
        <w:tc>
          <w:tcPr>
            <w:tcW w:w="1466" w:type="dxa"/>
            <w:vAlign w:val="center"/>
          </w:tcPr>
          <w:p>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高约0.5米</w:t>
            </w:r>
          </w:p>
        </w:tc>
        <w:tc>
          <w:tcPr>
            <w:tcW w:w="1023"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bl>
    <w:p>
      <w:pPr>
        <w:rPr>
          <w:rFonts w:ascii="仿宋" w:hAnsi="仿宋" w:eastAsia="仿宋" w:cs="仿宋"/>
          <w:sz w:val="24"/>
          <w:highlight w:val="none"/>
        </w:rPr>
      </w:pPr>
    </w:p>
    <w:p>
      <w:pPr>
        <w:spacing w:line="360" w:lineRule="auto"/>
        <w:rPr>
          <w:rFonts w:ascii="仿宋" w:hAnsi="仿宋" w:eastAsia="仿宋" w:cs="仿宋"/>
          <w:color w:val="000000"/>
          <w:sz w:val="24"/>
          <w:highlight w:val="none"/>
        </w:rPr>
      </w:pPr>
      <w:r>
        <w:rPr>
          <w:rFonts w:hint="eastAsia" w:ascii="仿宋" w:hAnsi="仿宋" w:eastAsia="仿宋" w:cs="仿宋"/>
          <w:sz w:val="24"/>
          <w:highlight w:val="none"/>
        </w:rPr>
        <w:t>（二）采购内容及需求</w:t>
      </w:r>
    </w:p>
    <w:p>
      <w:pPr>
        <w:spacing w:line="360" w:lineRule="auto"/>
        <w:ind w:firstLine="482" w:firstLineChars="200"/>
        <w:rPr>
          <w:rFonts w:ascii="仿宋" w:hAnsi="仿宋" w:eastAsia="仿宋" w:cs="仿宋"/>
          <w:b/>
          <w:bCs/>
          <w:color w:val="000000"/>
          <w:sz w:val="24"/>
          <w:highlight w:val="none"/>
        </w:rPr>
      </w:pPr>
      <w:r>
        <w:rPr>
          <w:rFonts w:hint="eastAsia" w:ascii="仿宋" w:hAnsi="仿宋" w:eastAsia="仿宋" w:cs="仿宋"/>
          <w:b/>
          <w:bCs/>
          <w:color w:val="000000"/>
          <w:sz w:val="24"/>
          <w:highlight w:val="none"/>
        </w:rPr>
        <w:t>一、概况</w:t>
      </w:r>
    </w:p>
    <w:p>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1、服务地址：绍兴市妇幼保健院</w:t>
      </w:r>
    </w:p>
    <w:p>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2、主要内容为绍兴市妇幼保健院院内绿植租摆服务，包括且不限于户外绿植、花坛、花箱、公区、办公区域的时令花草租摆服务，（含节假日以及重大活动的花景布置）。</w:t>
      </w:r>
    </w:p>
    <w:p>
      <w:pPr>
        <w:spacing w:line="360" w:lineRule="auto"/>
        <w:ind w:firstLine="482" w:firstLineChars="200"/>
        <w:rPr>
          <w:rFonts w:ascii="仿宋" w:hAnsi="仿宋" w:eastAsia="仿宋" w:cs="仿宋"/>
          <w:b/>
          <w:bCs/>
          <w:color w:val="000000"/>
          <w:sz w:val="24"/>
          <w:highlight w:val="none"/>
        </w:rPr>
      </w:pPr>
      <w:r>
        <w:rPr>
          <w:rFonts w:hint="eastAsia" w:ascii="仿宋" w:hAnsi="仿宋" w:eastAsia="仿宋" w:cs="仿宋"/>
          <w:b/>
          <w:bCs/>
          <w:color w:val="000000"/>
          <w:sz w:val="24"/>
          <w:highlight w:val="none"/>
        </w:rPr>
        <w:t>二、承包方式和服务期</w:t>
      </w:r>
    </w:p>
    <w:p>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1、供应商对本项目要求的全部工作、质量、安全、文明服务等实行全面承包。上限价为每样单品每天的价格，按照单价*天数计价，年度租赁费用不超过10万元。</w:t>
      </w:r>
    </w:p>
    <w:p>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2、服务期：1年。</w:t>
      </w:r>
    </w:p>
    <w:p>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3、实施过程中，作业时间必须严格遵照医院的管理规定，部分病房和区域不得作业的具体时间段按医院要求。供应商在填报报价时应充分考虑上述因素及自行踏勘了解的作业现场其他情况，并结合供应商经验和企业实力在投标时确定合理、灵活的服务计划等。</w:t>
      </w:r>
    </w:p>
    <w:p>
      <w:pPr>
        <w:snapToGrid w:val="0"/>
        <w:spacing w:line="360" w:lineRule="auto"/>
        <w:ind w:left="105" w:leftChars="50" w:firstLine="361" w:firstLineChars="150"/>
        <w:rPr>
          <w:rFonts w:ascii="仿宋" w:hAnsi="仿宋" w:eastAsia="仿宋" w:cs="仿宋"/>
          <w:b/>
          <w:color w:val="000000"/>
          <w:sz w:val="24"/>
          <w:highlight w:val="none"/>
        </w:rPr>
      </w:pPr>
      <w:r>
        <w:rPr>
          <w:rFonts w:hint="eastAsia" w:ascii="仿宋" w:hAnsi="仿宋" w:eastAsia="仿宋" w:cs="仿宋"/>
          <w:b/>
          <w:color w:val="000000"/>
          <w:sz w:val="24"/>
          <w:highlight w:val="none"/>
        </w:rPr>
        <w:t>三、绿植租摆要求</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1、供应商根据采购人场所具体环境，设计出相应的绿植摆放方案，并提供绿植品种给采购人选择；</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2、供应商对租赁的绿植进行日常管理养护（如：浇水、施肥等日常维护），做到绿植叶面无尘土，并且根据绿植生长情况、季节变换进行相应调整，确保所供绿植的新鲜和美观；</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3、在养护工作中，认真擦拭盆体、树干和叶面，做到盆体无污泥，树干和叶面无灰尘，保持植物的花盆、套缸干净整洁，无脏污，花盆内无杂物、垃圾，对于损坏残缺的花盆、套缸及时更换，做到场内无烂盆坏盆，保持周边环境整洁。 </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4、时刻保证安全、卫生工作，苗木花盆轻搬轻放，不损坏地板、大理石和其他相关物品。养护过程中应随时清洁，做好善后工作；如有物品损坏、污染，一经核实，应予赔偿修复。</w:t>
      </w:r>
    </w:p>
    <w:p>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5</w:t>
      </w:r>
      <w:r>
        <w:rPr>
          <w:rFonts w:hint="eastAsia" w:ascii="仿宋" w:hAnsi="仿宋" w:eastAsia="仿宋" w:cs="仿宋"/>
          <w:color w:val="000000"/>
          <w:sz w:val="24"/>
          <w:highlight w:val="none"/>
        </w:rPr>
        <w:t>、供应商的工作人员进行绿植养护摆放时，应遵守采购人的规章制度，不得影响采购人的正常工作秩序；不得影响采购人的休息；</w:t>
      </w:r>
    </w:p>
    <w:p>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6</w:t>
      </w:r>
      <w:r>
        <w:rPr>
          <w:rFonts w:hint="eastAsia" w:ascii="仿宋" w:hAnsi="仿宋" w:eastAsia="仿宋" w:cs="仿宋"/>
          <w:color w:val="000000"/>
          <w:sz w:val="24"/>
          <w:highlight w:val="none"/>
        </w:rPr>
        <w:t>、供应商的工作人员在摆放绿植及日常维护时应注意安全，不得损坏采购人设施，保持现场清洁卫生，做到人走场净；</w:t>
      </w:r>
    </w:p>
    <w:p>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7</w:t>
      </w:r>
      <w:r>
        <w:rPr>
          <w:rFonts w:hint="eastAsia" w:ascii="仿宋" w:hAnsi="仿宋" w:eastAsia="仿宋" w:cs="仿宋"/>
          <w:color w:val="000000"/>
          <w:sz w:val="24"/>
          <w:highlight w:val="none"/>
        </w:rPr>
        <w:t>、</w:t>
      </w:r>
      <w:r>
        <w:rPr>
          <w:rFonts w:hint="eastAsia" w:ascii="仿宋" w:hAnsi="仿宋" w:eastAsia="仿宋" w:cs="仿宋"/>
          <w:color w:val="000000" w:themeColor="text1"/>
          <w:sz w:val="24"/>
          <w:highlight w:val="none"/>
          <w14:textFill>
            <w14:solidFill>
              <w14:schemeClr w14:val="tx1"/>
            </w14:solidFill>
          </w14:textFill>
        </w:rPr>
        <w:t>摆放的苗木花卉要保质保量，有较高的档次，室内完好率≥98%，应定期做好浇水等养护服务，原则上每周不少于2次。</w:t>
      </w:r>
      <w:r>
        <w:rPr>
          <w:rFonts w:hint="eastAsia" w:ascii="仿宋" w:hAnsi="仿宋" w:eastAsia="仿宋" w:cs="仿宋"/>
          <w:color w:val="000000"/>
          <w:sz w:val="24"/>
          <w:highlight w:val="none"/>
        </w:rPr>
        <w:t>转换周期根据甲方要求，原则上每季度更换产品，确保租摆的绿植成活、美观。</w:t>
      </w:r>
    </w:p>
    <w:p>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8</w:t>
      </w:r>
      <w:r>
        <w:rPr>
          <w:rFonts w:hint="eastAsia" w:ascii="仿宋" w:hAnsi="仿宋" w:eastAsia="仿宋" w:cs="仿宋"/>
          <w:color w:val="000000"/>
          <w:sz w:val="24"/>
          <w:highlight w:val="none"/>
        </w:rPr>
        <w:t>、绿植花盆颜色、摆放位置以及绿植冠径必须满足采购人要求，所涉及的费用均包含在报价中。</w:t>
      </w:r>
    </w:p>
    <w:p>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10</w:t>
      </w:r>
      <w:r>
        <w:rPr>
          <w:rFonts w:hint="eastAsia" w:ascii="仿宋" w:hAnsi="仿宋" w:eastAsia="仿宋" w:cs="仿宋"/>
          <w:color w:val="000000"/>
          <w:sz w:val="24"/>
          <w:highlight w:val="none"/>
        </w:rPr>
        <w:t xml:space="preserve">、植株丰满健壮，株型自然匀称，叶面干净光亮，无灰尘赃物，无明显病斑，无明显虫害，无残留害虫. </w:t>
      </w:r>
    </w:p>
    <w:p>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11</w:t>
      </w:r>
      <w:r>
        <w:rPr>
          <w:rFonts w:hint="eastAsia" w:ascii="仿宋" w:hAnsi="仿宋" w:eastAsia="仿宋" w:cs="仿宋"/>
          <w:color w:val="000000"/>
          <w:sz w:val="24"/>
          <w:highlight w:val="none"/>
        </w:rPr>
        <w:t>、植株无残枝、黄叶。对叶片叶尖存有少许黄尾的，要合理修剪，保持株形美观自然。</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2、</w:t>
      </w:r>
      <w:r>
        <w:rPr>
          <w:rFonts w:hint="eastAsia" w:ascii="仿宋" w:hAnsi="仿宋" w:eastAsia="仿宋" w:cs="仿宋"/>
          <w:color w:val="000000"/>
          <w:sz w:val="24"/>
          <w:highlight w:val="none"/>
        </w:rPr>
        <w:t xml:space="preserve">保证植物见干见湿，不过量浇水，又不缺水分，保持植物对生长水分的需求。 </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3、</w:t>
      </w:r>
      <w:r>
        <w:rPr>
          <w:rFonts w:hint="eastAsia" w:ascii="仿宋" w:hAnsi="仿宋" w:eastAsia="仿宋" w:cs="仿宋"/>
          <w:color w:val="000000"/>
          <w:sz w:val="24"/>
          <w:highlight w:val="none"/>
        </w:rPr>
        <w:t>植物的底碟、套缸、花盆应合适配套，不大不小美观大方，底碟、套缸、花盆的颜色搭配适当。</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4、</w:t>
      </w:r>
      <w:r>
        <w:rPr>
          <w:rFonts w:hint="eastAsia" w:ascii="仿宋" w:hAnsi="仿宋" w:eastAsia="仿宋" w:cs="仿宋"/>
          <w:color w:val="000000"/>
          <w:sz w:val="24"/>
          <w:highlight w:val="none"/>
        </w:rPr>
        <w:t xml:space="preserve">保持花盆、底碟，套缸内无泥垢，脏水，定期清洗，干净整洁，每次养护完毕，清理现场保持现场整洁。 </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5、</w:t>
      </w:r>
      <w:r>
        <w:rPr>
          <w:rFonts w:hint="eastAsia" w:ascii="仿宋" w:hAnsi="仿宋" w:eastAsia="仿宋" w:cs="仿宋"/>
          <w:color w:val="000000"/>
          <w:sz w:val="24"/>
          <w:highlight w:val="none"/>
        </w:rPr>
        <w:t xml:space="preserve">植物花卉在摆放期间为保证其生长需要，必须定期施用肥料，施用的肥料应无异味、无毒的有机肥或高效无机肥。但要保证无刺激性气味，保证摆放环境清新自然。 </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6、</w:t>
      </w:r>
      <w:r>
        <w:rPr>
          <w:rFonts w:hint="eastAsia" w:ascii="仿宋" w:hAnsi="仿宋" w:eastAsia="仿宋" w:cs="仿宋"/>
          <w:color w:val="000000"/>
          <w:sz w:val="24"/>
          <w:highlight w:val="none"/>
        </w:rPr>
        <w:t xml:space="preserve">保证摆放植物观赏性，对叶片少于植株1/2以上的、或没有观赏性的植物定期更换，养护人员每周反映并登记植物情况。 </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7、</w:t>
      </w:r>
      <w:r>
        <w:rPr>
          <w:rFonts w:hint="eastAsia" w:ascii="仿宋" w:hAnsi="仿宋" w:eastAsia="仿宋" w:cs="仿宋"/>
          <w:color w:val="000000"/>
          <w:sz w:val="24"/>
          <w:highlight w:val="none"/>
        </w:rPr>
        <w:t>保持植物常新，植物摆放时间较长需要更换植物或品种，安排定期更换调整。</w:t>
      </w:r>
    </w:p>
    <w:p>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8、供应商应根据院方实际需求，在国庆、春节等重大法定</w:t>
      </w:r>
      <w:r>
        <w:rPr>
          <w:rFonts w:hint="eastAsia" w:ascii="仿宋" w:hAnsi="仿宋" w:eastAsia="仿宋" w:cs="仿宋"/>
          <w:color w:val="000000"/>
          <w:sz w:val="24"/>
          <w:highlight w:val="none"/>
        </w:rPr>
        <w:t>节假日或院方重大活动时提供布置方案；提前布置</w:t>
      </w:r>
      <w:r>
        <w:rPr>
          <w:rFonts w:ascii="仿宋" w:hAnsi="仿宋" w:eastAsia="仿宋" w:cs="仿宋"/>
          <w:color w:val="000000"/>
          <w:sz w:val="24"/>
          <w:highlight w:val="none"/>
        </w:rPr>
        <w:t>具有美好寓意</w:t>
      </w:r>
      <w:r>
        <w:rPr>
          <w:rFonts w:hint="eastAsia" w:ascii="仿宋" w:hAnsi="仿宋" w:eastAsia="仿宋" w:cs="仿宋"/>
          <w:color w:val="000000"/>
          <w:sz w:val="24"/>
          <w:highlight w:val="none"/>
        </w:rPr>
        <w:t>绿植，为医院营造假日氛围，</w:t>
      </w:r>
      <w:r>
        <w:rPr>
          <w:rFonts w:ascii="仿宋" w:hAnsi="仿宋" w:eastAsia="仿宋" w:cs="仿宋"/>
          <w:color w:val="000000"/>
          <w:sz w:val="24"/>
          <w:highlight w:val="none"/>
        </w:rPr>
        <w:t>提升</w:t>
      </w:r>
      <w:r>
        <w:rPr>
          <w:rFonts w:hint="eastAsia" w:ascii="仿宋" w:hAnsi="仿宋" w:eastAsia="仿宋" w:cs="仿宋"/>
          <w:color w:val="000000"/>
          <w:sz w:val="24"/>
          <w:highlight w:val="none"/>
        </w:rPr>
        <w:t>医院</w:t>
      </w:r>
      <w:r>
        <w:rPr>
          <w:rFonts w:ascii="仿宋" w:hAnsi="仿宋" w:eastAsia="仿宋" w:cs="仿宋"/>
          <w:color w:val="000000"/>
          <w:sz w:val="24"/>
          <w:highlight w:val="none"/>
        </w:rPr>
        <w:t>整体形象</w:t>
      </w:r>
      <w:r>
        <w:rPr>
          <w:rFonts w:hint="eastAsia" w:ascii="MS Gothic" w:hAnsi="MS Gothic" w:eastAsia="MS Gothic" w:cs="MS Gothic"/>
          <w:color w:val="000000"/>
          <w:sz w:val="24"/>
          <w:highlight w:val="none"/>
        </w:rPr>
        <w:t>‌</w:t>
      </w:r>
      <w:r>
        <w:rPr>
          <w:rFonts w:hint="eastAsia" w:ascii="仿宋" w:hAnsi="仿宋" w:eastAsia="仿宋" w:cs="仿宋"/>
          <w:color w:val="000000"/>
          <w:sz w:val="24"/>
          <w:highlight w:val="none"/>
        </w:rPr>
        <w:t>。</w:t>
      </w:r>
    </w:p>
    <w:p>
      <w:pPr>
        <w:snapToGrid w:val="0"/>
        <w:spacing w:line="360" w:lineRule="auto"/>
        <w:ind w:left="105" w:leftChars="50" w:firstLine="361" w:firstLineChars="150"/>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四、其他要求</w:t>
      </w:r>
    </w:p>
    <w:p>
      <w:pPr>
        <w:spacing w:line="440" w:lineRule="exact"/>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1、供应商必须根据不同季节、节假日和需求情况及时提供、调整各种绿植的品种和布置情况。如采购人有重要活动（会议、布展等）需求时，应及时配合提供相应服务。</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rPr>
        <w:t>2.付款方式：</w:t>
      </w:r>
      <w:r>
        <w:rPr>
          <w:rFonts w:hint="eastAsia" w:ascii="仿宋" w:hAnsi="仿宋" w:eastAsia="仿宋" w:cs="仿宋"/>
          <w:bCs/>
          <w:sz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r>
        <w:rPr>
          <w:rFonts w:hint="eastAsia" w:ascii="仿宋" w:hAnsi="仿宋" w:eastAsia="仿宋" w:cs="仿宋"/>
          <w:kern w:val="0"/>
          <w:sz w:val="24"/>
          <w:highlight w:val="none"/>
        </w:rPr>
        <w:t>。</w:t>
      </w:r>
    </w:p>
    <w:p>
      <w:pPr>
        <w:snapToGrid w:val="0"/>
        <w:spacing w:line="360" w:lineRule="auto"/>
        <w:ind w:left="105" w:leftChars="50" w:firstLine="360" w:firstLineChars="150"/>
        <w:rPr>
          <w:rFonts w:ascii="仿宋" w:hAnsi="仿宋" w:eastAsia="仿宋" w:cs="仿宋"/>
          <w:sz w:val="24"/>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pStyle w:val="8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704"/>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pPr>
        <w:spacing w:before="120" w:line="22" w:lineRule="atLeast"/>
        <w:rPr>
          <w:rFonts w:ascii="仿宋" w:hAnsi="仿宋" w:eastAsia="仿宋" w:cs="仿宋"/>
          <w:sz w:val="24"/>
          <w:highlight w:val="none"/>
        </w:rPr>
      </w:pPr>
    </w:p>
    <w:p>
      <w:pPr>
        <w:pStyle w:val="3"/>
        <w:rPr>
          <w:rFonts w:ascii="仿宋" w:eastAsia="仿宋" w:cs="仿宋"/>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601"/>
        <w:spacing w:before="120" w:line="22" w:lineRule="atLeast"/>
        <w:rPr>
          <w:rFonts w:ascii="仿宋" w:hAnsi="仿宋" w:eastAsia="仿宋" w:cs="仿宋"/>
          <w:szCs w:val="24"/>
          <w:highlight w:val="none"/>
        </w:rPr>
      </w:pPr>
    </w:p>
    <w:p>
      <w:pPr>
        <w:pStyle w:val="601"/>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ascii="仿宋" w:hAnsi="仿宋" w:eastAsia="仿宋" w:cs="仿宋"/>
          <w:kern w:val="0"/>
          <w:sz w:val="24"/>
          <w:highlight w:val="none"/>
        </w:rPr>
        <w:sectPr>
          <w:pgSz w:w="11907" w:h="16840"/>
          <w:pgMar w:top="1474" w:right="1814" w:bottom="1474" w:left="1814" w:header="851" w:footer="851" w:gutter="0"/>
          <w:cols w:space="720" w:num="1"/>
        </w:sectPr>
      </w:pPr>
    </w:p>
    <w:p>
      <w:pPr>
        <w:rPr>
          <w:rFonts w:ascii="仿宋" w:hAnsi="仿宋" w:eastAsia="仿宋" w:cs="仿宋"/>
          <w:b/>
          <w:sz w:val="24"/>
          <w:highlight w:val="none"/>
        </w:rPr>
      </w:pP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440" w:lineRule="exact"/>
        <w:ind w:firstLine="482" w:firstLineChars="200"/>
        <w:outlineLvl w:val="0"/>
        <w:rPr>
          <w:rFonts w:ascii="仿宋" w:hAnsi="仿宋" w:eastAsia="仿宋" w:cs="仿宋"/>
          <w:sz w:val="24"/>
          <w:highlight w:val="none"/>
        </w:rPr>
      </w:pPr>
      <w:bookmarkStart w:id="52" w:name="_Toc19273"/>
      <w:bookmarkStart w:id="53" w:name="_Toc15367"/>
      <w:bookmarkStart w:id="54" w:name="_Toc20421"/>
      <w:bookmarkStart w:id="55" w:name="_Toc22967"/>
      <w:bookmarkStart w:id="56" w:name="_Toc28855"/>
      <w:r>
        <w:rPr>
          <w:rFonts w:hint="eastAsia" w:ascii="仿宋" w:hAnsi="仿宋" w:eastAsia="仿宋" w:cs="仿宋"/>
          <w:b/>
          <w:sz w:val="24"/>
          <w:highlight w:val="none"/>
        </w:rPr>
        <w:t>1.1 合同组成部分</w:t>
      </w:r>
      <w:bookmarkEnd w:id="52"/>
      <w:bookmarkEnd w:id="53"/>
      <w:bookmarkEnd w:id="54"/>
      <w:bookmarkEnd w:id="55"/>
      <w:bookmarkEnd w:id="56"/>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440" w:lineRule="exact"/>
        <w:ind w:firstLine="482" w:firstLineChars="200"/>
        <w:outlineLvl w:val="0"/>
        <w:rPr>
          <w:rFonts w:ascii="仿宋" w:hAnsi="仿宋" w:eastAsia="仿宋" w:cs="仿宋"/>
          <w:b/>
          <w:sz w:val="24"/>
          <w:highlight w:val="none"/>
        </w:rPr>
      </w:pPr>
      <w:bookmarkStart w:id="57" w:name="_Toc2918"/>
      <w:bookmarkStart w:id="58" w:name="_Toc6773"/>
      <w:bookmarkStart w:id="59" w:name="_Toc6311"/>
      <w:bookmarkStart w:id="60" w:name="_Toc22185"/>
      <w:bookmarkStart w:id="61" w:name="_Toc18585"/>
      <w:r>
        <w:rPr>
          <w:rFonts w:hint="eastAsia" w:ascii="仿宋" w:hAnsi="仿宋" w:eastAsia="仿宋" w:cs="仿宋"/>
          <w:b/>
          <w:sz w:val="24"/>
          <w:highlight w:val="none"/>
        </w:rPr>
        <w:t xml:space="preserve">1.2 </w:t>
      </w:r>
      <w:bookmarkEnd w:id="57"/>
      <w:bookmarkEnd w:id="58"/>
      <w:bookmarkEnd w:id="59"/>
      <w:bookmarkEnd w:id="60"/>
      <w:bookmarkEnd w:id="61"/>
      <w:r>
        <w:rPr>
          <w:rFonts w:hint="eastAsia" w:ascii="仿宋" w:hAnsi="仿宋" w:eastAsia="仿宋" w:cs="仿宋"/>
          <w:b/>
          <w:sz w:val="24"/>
          <w:highlight w:val="none"/>
        </w:rPr>
        <w:t>服务</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pPr>
        <w:spacing w:line="440" w:lineRule="exact"/>
        <w:ind w:firstLine="480" w:firstLineChars="200"/>
        <w:rPr>
          <w:rFonts w:ascii="仿宋" w:hAnsi="仿宋" w:eastAsia="仿宋" w:cs="仿宋"/>
          <w:sz w:val="24"/>
          <w:highlight w:val="none"/>
          <w:u w:val="single"/>
        </w:rPr>
      </w:pPr>
      <w:bookmarkStart w:id="62" w:name="_Toc13918"/>
      <w:bookmarkStart w:id="63" w:name="_Toc4929"/>
      <w:bookmarkStart w:id="64" w:name="_Toc1386"/>
      <w:bookmarkStart w:id="65" w:name="_Toc5635"/>
      <w:bookmarkStart w:id="66" w:name="_Toc21124"/>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62"/>
      <w:bookmarkEnd w:id="63"/>
      <w:bookmarkEnd w:id="64"/>
      <w:bookmarkEnd w:id="65"/>
      <w:bookmarkEnd w:id="66"/>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32"/>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32"/>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32"/>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32"/>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332"/>
              <w:spacing w:line="440" w:lineRule="exact"/>
              <w:ind w:firstLine="480" w:firstLineChars="200"/>
              <w:jc w:val="center"/>
              <w:rPr>
                <w:rFonts w:ascii="仿宋" w:hAnsi="仿宋" w:eastAsia="仿宋" w:cs="仿宋"/>
                <w:sz w:val="24"/>
                <w:szCs w:val="24"/>
                <w:highlight w:val="none"/>
              </w:rPr>
            </w:pPr>
          </w:p>
        </w:tc>
      </w:tr>
    </w:tbl>
    <w:p>
      <w:pPr>
        <w:spacing w:line="440" w:lineRule="exact"/>
        <w:ind w:firstLine="480" w:firstLineChars="200"/>
        <w:rPr>
          <w:rFonts w:ascii="仿宋" w:hAnsi="仿宋" w:eastAsia="仿宋" w:cs="仿宋"/>
          <w:sz w:val="24"/>
          <w:highlight w:val="none"/>
        </w:rPr>
      </w:pPr>
      <w:bookmarkStart w:id="67" w:name="_Toc3654"/>
      <w:bookmarkStart w:id="68" w:name="_Toc30506"/>
      <w:bookmarkStart w:id="69" w:name="_Toc26916"/>
      <w:bookmarkStart w:id="70" w:name="_Toc14993"/>
      <w:bookmarkStart w:id="71" w:name="_Toc30158"/>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Style w:val="3"/>
        <w:spacing w:line="440" w:lineRule="exact"/>
        <w:ind w:left="0" w:firstLine="482" w:firstLineChars="200"/>
        <w:rPr>
          <w:rFonts w:ascii="仿宋" w:eastAsia="仿宋" w:cs="仿宋"/>
          <w:highlight w:val="none"/>
          <w:lang w:val="en-US"/>
        </w:rPr>
      </w:pPr>
      <w:r>
        <w:rPr>
          <w:rFonts w:hint="eastAsia" w:ascii="仿宋" w:eastAsia="仿宋" w:cs="仿宋"/>
          <w:sz w:val="24"/>
          <w:highlight w:val="none"/>
          <w:lang w:val="en-US"/>
        </w:rPr>
        <w:t xml:space="preserve">    </w:t>
      </w: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67"/>
    <w:bookmarkEnd w:id="68"/>
    <w:bookmarkEnd w:id="69"/>
    <w:bookmarkEnd w:id="70"/>
    <w:bookmarkEnd w:id="71"/>
    <w:p>
      <w:pPr>
        <w:pStyle w:val="960"/>
        <w:spacing w:before="0" w:beforeAutospacing="0" w:after="0" w:afterAutospacing="0" w:line="440" w:lineRule="exact"/>
        <w:ind w:firstLine="482" w:firstLineChars="200"/>
        <w:rPr>
          <w:rFonts w:ascii="仿宋" w:hAnsi="仿宋" w:eastAsia="仿宋" w:cs="仿宋"/>
          <w:b/>
          <w:highlight w:val="none"/>
        </w:rPr>
      </w:pPr>
      <w:bookmarkStart w:id="72" w:name="_Toc10340"/>
      <w:bookmarkStart w:id="73" w:name="_Toc22618"/>
      <w:bookmarkStart w:id="74" w:name="_Toc1814"/>
      <w:bookmarkStart w:id="75" w:name="_Toc3625"/>
      <w:bookmarkStart w:id="76" w:name="_Toc31421"/>
      <w:bookmarkStart w:id="77" w:name="_Toc11108"/>
      <w:bookmarkStart w:id="78" w:name="_Toc4760"/>
      <w:bookmarkStart w:id="79" w:name="_Toc8772"/>
      <w:r>
        <w:rPr>
          <w:rFonts w:hint="eastAsia" w:ascii="仿宋" w:hAnsi="仿宋" w:eastAsia="仿宋" w:cs="仿宋"/>
          <w:b/>
          <w:highlight w:val="none"/>
        </w:rPr>
        <w:t>1.4履约保证金</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3"/>
        <w:tabs>
          <w:tab w:val="left" w:pos="0"/>
        </w:tabs>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72"/>
      <w:bookmarkEnd w:id="73"/>
      <w:bookmarkEnd w:id="74"/>
      <w:r>
        <w:rPr>
          <w:rFonts w:hint="eastAsia" w:ascii="仿宋" w:hAnsi="仿宋" w:eastAsia="仿宋" w:cs="仿宋"/>
          <w:b/>
          <w:sz w:val="24"/>
          <w:highlight w:val="none"/>
        </w:rPr>
        <w:t>预付款</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60"/>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60"/>
        <w:spacing w:before="0" w:beforeAutospacing="0" w:after="0" w:afterAutospacing="0" w:line="440" w:lineRule="exact"/>
        <w:ind w:firstLine="482" w:firstLineChars="200"/>
        <w:rPr>
          <w:rFonts w:ascii="仿宋" w:hAnsi="仿宋" w:eastAsia="仿宋" w:cs="仿宋"/>
          <w:b/>
          <w:bCs/>
          <w:highlight w:val="none"/>
        </w:rPr>
      </w:pPr>
      <w:r>
        <w:rPr>
          <w:rFonts w:hint="eastAsia" w:ascii="仿宋" w:hAnsi="仿宋" w:eastAsia="仿宋" w:cs="仿宋"/>
          <w:b/>
          <w:bCs/>
          <w:highlight w:val="none"/>
        </w:rPr>
        <w:t>1.6资金支付</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75"/>
      <w:bookmarkEnd w:id="76"/>
      <w:bookmarkEnd w:id="77"/>
      <w:bookmarkEnd w:id="78"/>
      <w:bookmarkEnd w:id="79"/>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outlineLvl w:val="0"/>
        <w:rPr>
          <w:rFonts w:ascii="仿宋" w:hAnsi="仿宋" w:eastAsia="仿宋" w:cs="仿宋"/>
          <w:bCs/>
          <w:sz w:val="24"/>
          <w:highlight w:val="none"/>
        </w:rPr>
      </w:pPr>
      <w:bookmarkStart w:id="80" w:name="_Toc2375"/>
      <w:bookmarkStart w:id="81" w:name="_Toc3079"/>
      <w:bookmarkStart w:id="82" w:name="_Toc24662"/>
      <w:bookmarkStart w:id="83" w:name="_Toc8586"/>
      <w:bookmarkStart w:id="84" w:name="_Toc5698"/>
      <w:r>
        <w:rPr>
          <w:rFonts w:hint="eastAsia" w:ascii="仿宋" w:hAnsi="仿宋" w:eastAsia="仿宋" w:cs="仿宋"/>
          <w:bCs/>
          <w:sz w:val="24"/>
          <w:highlight w:val="none"/>
        </w:rPr>
        <w:t>1.7.4若服务涉及货物的，则货物的：</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80"/>
      <w:bookmarkEnd w:id="81"/>
      <w:bookmarkEnd w:id="82"/>
      <w:bookmarkEnd w:id="83"/>
      <w:bookmarkEnd w:id="84"/>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pPr>
        <w:pStyle w:val="3"/>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highlight w:val="none"/>
        </w:rPr>
      </w:pPr>
      <w:bookmarkStart w:id="85" w:name="_Toc18683"/>
      <w:bookmarkStart w:id="86" w:name="_Toc32454"/>
      <w:bookmarkStart w:id="87" w:name="_Toc9497"/>
      <w:bookmarkStart w:id="88" w:name="_Toc30329"/>
      <w:bookmarkStart w:id="89" w:name="_Toc2680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85"/>
    <w:bookmarkEnd w:id="86"/>
    <w:bookmarkEnd w:id="87"/>
    <w:bookmarkEnd w:id="88"/>
    <w:bookmarkEnd w:id="89"/>
    <w:p>
      <w:pPr>
        <w:spacing w:line="440" w:lineRule="exact"/>
        <w:ind w:firstLine="482" w:firstLineChars="200"/>
        <w:outlineLvl w:val="0"/>
        <w:rPr>
          <w:rFonts w:ascii="仿宋" w:hAnsi="仿宋" w:eastAsia="仿宋" w:cs="仿宋"/>
          <w:b/>
          <w:sz w:val="24"/>
          <w:highlight w:val="none"/>
        </w:rPr>
      </w:pPr>
      <w:bookmarkStart w:id="90" w:name="_Toc16021"/>
      <w:bookmarkStart w:id="91" w:name="_Toc28375"/>
      <w:bookmarkStart w:id="92" w:name="_Toc15583"/>
      <w:r>
        <w:rPr>
          <w:rFonts w:hint="eastAsia" w:ascii="仿宋" w:hAnsi="仿宋" w:eastAsia="仿宋" w:cs="仿宋"/>
          <w:b/>
          <w:sz w:val="24"/>
          <w:highlight w:val="none"/>
        </w:rPr>
        <w:t>1.9合同争议的解决</w:t>
      </w:r>
      <w:bookmarkEnd w:id="90"/>
      <w:bookmarkEnd w:id="91"/>
      <w:bookmarkEnd w:id="92"/>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440" w:lineRule="exact"/>
        <w:ind w:firstLine="482" w:firstLineChars="200"/>
        <w:outlineLvl w:val="0"/>
        <w:rPr>
          <w:rFonts w:ascii="仿宋" w:hAnsi="仿宋" w:eastAsia="仿宋" w:cs="仿宋"/>
          <w:b/>
          <w:sz w:val="24"/>
          <w:highlight w:val="none"/>
        </w:rPr>
      </w:pPr>
      <w:bookmarkStart w:id="93" w:name="_Toc7245"/>
      <w:bookmarkStart w:id="94" w:name="_Toc11173"/>
      <w:bookmarkStart w:id="95" w:name="_Toc15322"/>
      <w:r>
        <w:rPr>
          <w:rFonts w:hint="eastAsia" w:ascii="仿宋" w:hAnsi="仿宋" w:eastAsia="仿宋" w:cs="仿宋"/>
          <w:b/>
          <w:sz w:val="24"/>
          <w:highlight w:val="none"/>
        </w:rPr>
        <w:t>2.0 合同生效</w:t>
      </w:r>
      <w:bookmarkEnd w:id="93"/>
      <w:bookmarkEnd w:id="94"/>
      <w:bookmarkEnd w:id="95"/>
    </w:p>
    <w:p>
      <w:pPr>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adjustRightInd/>
        <w:jc w:val="left"/>
        <w:rPr>
          <w:rFonts w:ascii="仿宋" w:hAnsi="仿宋" w:eastAsia="仿宋" w:cs="仿宋"/>
          <w:b/>
          <w:sz w:val="24"/>
          <w:highlight w:val="none"/>
        </w:rPr>
      </w:pPr>
      <w:r>
        <w:rPr>
          <w:rFonts w:hint="eastAsia" w:ascii="仿宋" w:hAnsi="仿宋" w:eastAsia="仿宋" w:cs="仿宋"/>
          <w:b/>
          <w:highlight w:val="none"/>
        </w:rPr>
        <w:br w:type="page"/>
      </w:r>
    </w:p>
    <w:p>
      <w:pPr>
        <w:pStyle w:val="704"/>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ascii="仿宋" w:hAnsi="仿宋" w:eastAsia="仿宋" w:cs="仿宋"/>
          <w:b/>
          <w:sz w:val="24"/>
          <w:highlight w:val="none"/>
        </w:rPr>
      </w:pPr>
      <w:bookmarkStart w:id="96" w:name="_Toc14021"/>
      <w:bookmarkStart w:id="97" w:name="_Toc31297"/>
      <w:bookmarkStart w:id="98" w:name="_Toc25079"/>
      <w:bookmarkStart w:id="99" w:name="_Toc19680"/>
      <w:bookmarkStart w:id="100" w:name="_Toc5228"/>
      <w:r>
        <w:rPr>
          <w:rFonts w:hint="eastAsia" w:ascii="仿宋" w:hAnsi="仿宋" w:eastAsia="仿宋" w:cs="仿宋"/>
          <w:b/>
          <w:sz w:val="24"/>
          <w:highlight w:val="none"/>
        </w:rPr>
        <w:t>2.1 定义</w:t>
      </w:r>
      <w:bookmarkEnd w:id="96"/>
      <w:bookmarkEnd w:id="97"/>
      <w:bookmarkEnd w:id="98"/>
      <w:bookmarkEnd w:id="99"/>
      <w:bookmarkEnd w:id="10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560" w:lineRule="exact"/>
        <w:ind w:firstLine="482" w:firstLineChars="200"/>
        <w:outlineLvl w:val="0"/>
        <w:rPr>
          <w:rFonts w:ascii="仿宋" w:hAnsi="仿宋" w:eastAsia="仿宋" w:cs="仿宋"/>
          <w:b/>
          <w:sz w:val="24"/>
          <w:highlight w:val="none"/>
        </w:rPr>
      </w:pPr>
      <w:bookmarkStart w:id="101" w:name="_Toc3769"/>
      <w:bookmarkStart w:id="102" w:name="_Toc16752"/>
      <w:bookmarkStart w:id="103" w:name="_Toc23289"/>
      <w:bookmarkStart w:id="104" w:name="_Toc19539"/>
      <w:bookmarkStart w:id="105" w:name="_Toc31402"/>
      <w:r>
        <w:rPr>
          <w:rFonts w:hint="eastAsia" w:ascii="仿宋" w:hAnsi="仿宋" w:eastAsia="仿宋" w:cs="仿宋"/>
          <w:b/>
          <w:sz w:val="24"/>
          <w:highlight w:val="none"/>
        </w:rPr>
        <w:t>2.2 技术规范</w:t>
      </w:r>
      <w:bookmarkEnd w:id="101"/>
      <w:bookmarkEnd w:id="102"/>
      <w:bookmarkEnd w:id="103"/>
      <w:bookmarkEnd w:id="104"/>
      <w:bookmarkEnd w:id="10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106" w:name="_Toc27945"/>
      <w:bookmarkStart w:id="107" w:name="_Toc4133"/>
      <w:bookmarkStart w:id="108" w:name="_Toc9161"/>
      <w:bookmarkStart w:id="109" w:name="_Toc12412"/>
      <w:bookmarkStart w:id="110" w:name="_Toc13673"/>
      <w:r>
        <w:rPr>
          <w:rFonts w:hint="eastAsia" w:ascii="仿宋" w:hAnsi="仿宋" w:eastAsia="仿宋" w:cs="仿宋"/>
          <w:b/>
          <w:sz w:val="24"/>
          <w:highlight w:val="none"/>
        </w:rPr>
        <w:t>2.3 知识产权</w:t>
      </w:r>
      <w:bookmarkEnd w:id="106"/>
      <w:bookmarkEnd w:id="107"/>
      <w:bookmarkEnd w:id="108"/>
      <w:bookmarkEnd w:id="109"/>
      <w:bookmarkEnd w:id="11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highlight w:val="none"/>
        </w:rPr>
      </w:pPr>
      <w:bookmarkStart w:id="111" w:name="_Toc26555"/>
      <w:bookmarkStart w:id="112" w:name="_Toc32670"/>
      <w:bookmarkStart w:id="113" w:name="_Toc15447"/>
      <w:bookmarkStart w:id="114" w:name="_Toc22011"/>
      <w:bookmarkStart w:id="115" w:name="_Toc31233"/>
      <w:r>
        <w:rPr>
          <w:rFonts w:hint="eastAsia" w:ascii="仿宋" w:hAnsi="仿宋" w:eastAsia="仿宋" w:cs="仿宋"/>
          <w:b/>
          <w:sz w:val="24"/>
          <w:highlight w:val="none"/>
        </w:rPr>
        <w:t>2.5 结算方式和付款条件</w:t>
      </w:r>
      <w:bookmarkEnd w:id="111"/>
      <w:bookmarkEnd w:id="112"/>
      <w:bookmarkEnd w:id="113"/>
      <w:bookmarkEnd w:id="114"/>
      <w:bookmarkEnd w:id="11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16" w:name="_Toc30507"/>
      <w:bookmarkStart w:id="117" w:name="_Toc16163"/>
      <w:bookmarkStart w:id="118" w:name="_Toc18990"/>
      <w:bookmarkStart w:id="119" w:name="_Toc13467"/>
      <w:bookmarkStart w:id="120" w:name="_Toc13154"/>
      <w:r>
        <w:rPr>
          <w:rFonts w:hint="eastAsia" w:ascii="仿宋" w:hAnsi="仿宋" w:eastAsia="仿宋" w:cs="仿宋"/>
          <w:b/>
          <w:sz w:val="24"/>
          <w:highlight w:val="none"/>
        </w:rPr>
        <w:t>2.6 技术资料和保密义务</w:t>
      </w:r>
      <w:bookmarkEnd w:id="116"/>
      <w:bookmarkEnd w:id="117"/>
      <w:bookmarkEnd w:id="118"/>
      <w:bookmarkEnd w:id="119"/>
      <w:bookmarkEnd w:id="12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21" w:name="_Toc19069"/>
      <w:r>
        <w:rPr>
          <w:rFonts w:hint="eastAsia" w:ascii="仿宋" w:hAnsi="仿宋" w:eastAsia="仿宋" w:cs="仿宋"/>
          <w:b/>
          <w:sz w:val="24"/>
          <w:highlight w:val="none"/>
        </w:rPr>
        <w:t>2.7 质量保证</w:t>
      </w:r>
      <w:bookmarkEnd w:id="12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22" w:name="_Toc22267"/>
      <w:r>
        <w:rPr>
          <w:rFonts w:hint="eastAsia" w:ascii="仿宋" w:hAnsi="仿宋" w:eastAsia="仿宋" w:cs="仿宋"/>
          <w:b/>
          <w:sz w:val="24"/>
          <w:highlight w:val="none"/>
        </w:rPr>
        <w:t>2.8 延迟履行</w:t>
      </w:r>
      <w:bookmarkEnd w:id="12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highlight w:val="none"/>
        </w:rPr>
      </w:pPr>
      <w:bookmarkStart w:id="123" w:name="_Toc10611"/>
      <w:r>
        <w:rPr>
          <w:rFonts w:hint="eastAsia" w:ascii="仿宋" w:hAnsi="仿宋" w:eastAsia="仿宋" w:cs="仿宋"/>
          <w:b/>
          <w:sz w:val="24"/>
          <w:highlight w:val="none"/>
        </w:rPr>
        <w:t>2.9 合同变更</w:t>
      </w:r>
      <w:bookmarkEnd w:id="12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24" w:name="_Toc21830"/>
      <w:bookmarkStart w:id="125" w:name="_Toc10663"/>
      <w:bookmarkStart w:id="126" w:name="_Toc42"/>
      <w:bookmarkStart w:id="127" w:name="_Toc23368"/>
      <w:bookmarkStart w:id="128" w:name="_Toc26689"/>
      <w:r>
        <w:rPr>
          <w:rFonts w:hint="eastAsia" w:ascii="仿宋" w:hAnsi="仿宋" w:eastAsia="仿宋" w:cs="仿宋"/>
          <w:b/>
          <w:sz w:val="24"/>
          <w:highlight w:val="none"/>
        </w:rPr>
        <w:t>2.10 合同转让和分包</w:t>
      </w:r>
      <w:bookmarkEnd w:id="124"/>
      <w:bookmarkEnd w:id="125"/>
      <w:bookmarkEnd w:id="126"/>
      <w:bookmarkEnd w:id="127"/>
      <w:bookmarkEnd w:id="12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highlight w:val="none"/>
        </w:rPr>
      </w:pPr>
      <w:bookmarkStart w:id="129" w:name="_Toc32494"/>
      <w:bookmarkStart w:id="130" w:name="_Toc14371"/>
      <w:bookmarkStart w:id="131" w:name="_Toc26633"/>
      <w:bookmarkStart w:id="132" w:name="_Toc25571"/>
      <w:bookmarkStart w:id="133" w:name="_Toc4720"/>
      <w:r>
        <w:rPr>
          <w:rFonts w:hint="eastAsia" w:ascii="仿宋" w:hAnsi="仿宋" w:eastAsia="仿宋" w:cs="仿宋"/>
          <w:b/>
          <w:sz w:val="24"/>
          <w:highlight w:val="none"/>
        </w:rPr>
        <w:t>2.11 不可抗力</w:t>
      </w:r>
      <w:bookmarkEnd w:id="129"/>
      <w:bookmarkEnd w:id="130"/>
      <w:bookmarkEnd w:id="131"/>
      <w:bookmarkEnd w:id="132"/>
      <w:bookmarkEnd w:id="13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34" w:name="_Toc14115"/>
      <w:bookmarkStart w:id="135" w:name="_Toc24465"/>
      <w:bookmarkStart w:id="136" w:name="_Toc3638"/>
      <w:bookmarkStart w:id="137" w:name="_Toc25783"/>
      <w:bookmarkStart w:id="138" w:name="_Toc23854"/>
      <w:r>
        <w:rPr>
          <w:rFonts w:hint="eastAsia" w:ascii="仿宋" w:hAnsi="仿宋" w:eastAsia="仿宋" w:cs="仿宋"/>
          <w:b/>
          <w:sz w:val="24"/>
          <w:highlight w:val="none"/>
        </w:rPr>
        <w:t>2.12 税费</w:t>
      </w:r>
      <w:bookmarkEnd w:id="134"/>
      <w:bookmarkEnd w:id="135"/>
      <w:bookmarkEnd w:id="136"/>
      <w:bookmarkEnd w:id="137"/>
      <w:bookmarkEnd w:id="13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highlight w:val="none"/>
        </w:rPr>
      </w:pPr>
      <w:bookmarkStart w:id="139" w:name="_Toc25525"/>
      <w:bookmarkStart w:id="140" w:name="_Toc26883"/>
      <w:bookmarkStart w:id="141" w:name="_Toc14814"/>
      <w:bookmarkStart w:id="142" w:name="_Toc30105"/>
      <w:bookmarkStart w:id="143" w:name="_Toc7315"/>
      <w:r>
        <w:rPr>
          <w:rFonts w:hint="eastAsia" w:ascii="仿宋" w:hAnsi="仿宋" w:eastAsia="仿宋" w:cs="仿宋"/>
          <w:b/>
          <w:sz w:val="24"/>
          <w:highlight w:val="none"/>
        </w:rPr>
        <w:t>2.13 乙方破产</w:t>
      </w:r>
      <w:bookmarkEnd w:id="139"/>
      <w:bookmarkEnd w:id="140"/>
      <w:bookmarkEnd w:id="141"/>
      <w:bookmarkEnd w:id="142"/>
      <w:bookmarkEnd w:id="14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44" w:name="_Toc2016"/>
      <w:bookmarkStart w:id="145" w:name="_Toc23323"/>
      <w:bookmarkStart w:id="146" w:name="_Toc1123"/>
      <w:r>
        <w:rPr>
          <w:rFonts w:hint="eastAsia" w:ascii="仿宋" w:hAnsi="仿宋" w:eastAsia="仿宋" w:cs="仿宋"/>
          <w:b/>
          <w:sz w:val="24"/>
          <w:highlight w:val="none"/>
        </w:rPr>
        <w:t>2.14 合同中止、终止</w:t>
      </w:r>
      <w:bookmarkEnd w:id="144"/>
      <w:bookmarkEnd w:id="145"/>
      <w:bookmarkEnd w:id="14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47" w:name="_Toc14525"/>
      <w:bookmarkStart w:id="148" w:name="_Toc1969"/>
      <w:bookmarkStart w:id="149" w:name="_Toc17363"/>
      <w:r>
        <w:rPr>
          <w:rFonts w:hint="eastAsia" w:ascii="仿宋" w:hAnsi="仿宋" w:eastAsia="仿宋" w:cs="仿宋"/>
          <w:b/>
          <w:sz w:val="24"/>
          <w:highlight w:val="none"/>
        </w:rPr>
        <w:t>2.15 检验和验收</w:t>
      </w:r>
      <w:bookmarkEnd w:id="147"/>
      <w:bookmarkEnd w:id="148"/>
      <w:bookmarkEnd w:id="149"/>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560" w:lineRule="exact"/>
        <w:ind w:firstLine="482" w:firstLineChars="200"/>
        <w:outlineLvl w:val="0"/>
        <w:rPr>
          <w:rFonts w:ascii="仿宋" w:hAnsi="仿宋" w:eastAsia="仿宋" w:cs="仿宋"/>
          <w:b/>
          <w:sz w:val="24"/>
          <w:highlight w:val="none"/>
        </w:rPr>
      </w:pPr>
      <w:bookmarkStart w:id="150" w:name="_Toc31892"/>
      <w:bookmarkStart w:id="151" w:name="_Toc2308"/>
      <w:bookmarkStart w:id="152" w:name="_Toc9808"/>
      <w:bookmarkStart w:id="153" w:name="_Toc12666"/>
      <w:bookmarkStart w:id="154" w:name="_Toc25198"/>
      <w:r>
        <w:rPr>
          <w:rFonts w:hint="eastAsia" w:ascii="仿宋" w:hAnsi="仿宋" w:eastAsia="仿宋" w:cs="仿宋"/>
          <w:b/>
          <w:sz w:val="24"/>
          <w:highlight w:val="none"/>
        </w:rPr>
        <w:t>2.16 通知和送达</w:t>
      </w:r>
      <w:bookmarkEnd w:id="150"/>
      <w:bookmarkEnd w:id="151"/>
      <w:bookmarkEnd w:id="152"/>
      <w:bookmarkEnd w:id="153"/>
      <w:bookmarkEnd w:id="154"/>
    </w:p>
    <w:p>
      <w:pPr>
        <w:spacing w:line="560" w:lineRule="exact"/>
        <w:ind w:firstLine="480" w:firstLineChars="200"/>
        <w:rPr>
          <w:rFonts w:ascii="仿宋" w:hAnsi="仿宋" w:eastAsia="仿宋" w:cs="仿宋"/>
          <w:sz w:val="24"/>
          <w:highlight w:val="none"/>
        </w:rPr>
      </w:pPr>
      <w:bookmarkStart w:id="155" w:name="_Toc18401"/>
      <w:bookmarkStart w:id="156" w:name="_Toc27674"/>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pPr>
        <w:spacing w:line="560" w:lineRule="exact"/>
        <w:ind w:firstLine="482" w:firstLineChars="200"/>
        <w:outlineLvl w:val="0"/>
        <w:rPr>
          <w:rFonts w:ascii="仿宋" w:hAnsi="仿宋" w:eastAsia="仿宋" w:cs="仿宋"/>
          <w:b/>
          <w:sz w:val="24"/>
          <w:highlight w:val="none"/>
        </w:rPr>
      </w:pPr>
      <w:bookmarkStart w:id="157" w:name="_Toc12254"/>
      <w:bookmarkStart w:id="158" w:name="_Toc27644"/>
      <w:bookmarkStart w:id="159" w:name="_Toc20808"/>
      <w:bookmarkStart w:id="160" w:name="_Toc5063"/>
      <w:bookmarkStart w:id="161" w:name="_Toc28906"/>
      <w:r>
        <w:rPr>
          <w:rFonts w:hint="eastAsia" w:ascii="仿宋" w:hAnsi="仿宋" w:eastAsia="仿宋" w:cs="仿宋"/>
          <w:b/>
          <w:sz w:val="24"/>
          <w:highlight w:val="none"/>
        </w:rPr>
        <w:t>2.17 合同使用的文字和适用的法律</w:t>
      </w:r>
      <w:bookmarkEnd w:id="157"/>
      <w:bookmarkEnd w:id="158"/>
      <w:bookmarkEnd w:id="159"/>
      <w:bookmarkEnd w:id="160"/>
      <w:bookmarkEnd w:id="16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560" w:lineRule="exact"/>
        <w:ind w:firstLine="482" w:firstLineChars="200"/>
        <w:outlineLvl w:val="0"/>
        <w:rPr>
          <w:rFonts w:ascii="仿宋" w:hAnsi="仿宋" w:eastAsia="仿宋" w:cs="仿宋"/>
          <w:b/>
          <w:sz w:val="24"/>
          <w:highlight w:val="none"/>
        </w:rPr>
      </w:pPr>
      <w:bookmarkStart w:id="162" w:name="_Toc30599"/>
      <w:bookmarkStart w:id="163" w:name="_Toc4355"/>
      <w:bookmarkStart w:id="164" w:name="_Toc18540"/>
      <w:r>
        <w:rPr>
          <w:rFonts w:hint="eastAsia" w:ascii="仿宋" w:hAnsi="仿宋" w:eastAsia="仿宋" w:cs="仿宋"/>
          <w:b/>
          <w:sz w:val="24"/>
          <w:highlight w:val="none"/>
        </w:rPr>
        <w:t>2.18 计量单位</w:t>
      </w:r>
      <w:bookmarkEnd w:id="162"/>
      <w:bookmarkEnd w:id="163"/>
      <w:bookmarkEnd w:id="16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65" w:name="_Toc12773"/>
      <w:bookmarkStart w:id="166" w:name="_Toc18567"/>
      <w:bookmarkStart w:id="167" w:name="_Toc487900373"/>
      <w:bookmarkStart w:id="168" w:name="_Toc10330"/>
      <w:bookmarkStart w:id="169" w:name="_Toc259093692"/>
      <w:bookmarkStart w:id="170" w:name="_Toc279701263"/>
      <w:r>
        <w:rPr>
          <w:rFonts w:hint="eastAsia" w:ascii="仿宋" w:hAnsi="仿宋" w:eastAsia="仿宋" w:cs="仿宋"/>
          <w:b/>
          <w:sz w:val="24"/>
          <w:highlight w:val="none"/>
        </w:rPr>
        <w:t>2.19 合同使用的文字和适用的法律</w:t>
      </w:r>
      <w:bookmarkEnd w:id="165"/>
      <w:bookmarkEnd w:id="166"/>
      <w:bookmarkEnd w:id="167"/>
      <w:bookmarkEnd w:id="168"/>
      <w:bookmarkEnd w:id="169"/>
      <w:bookmarkEnd w:id="17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2.20合同份数</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71" w:name="_Toc331685784"/>
      <w:r>
        <w:rPr>
          <w:rFonts w:hint="eastAsia" w:ascii="仿宋" w:hAnsi="仿宋" w:eastAsia="仿宋" w:cs="仿宋"/>
          <w:b/>
          <w:sz w:val="24"/>
          <w:highlight w:val="none"/>
        </w:rPr>
        <w:t xml:space="preserve"> </w:t>
      </w:r>
      <w:bookmarkEnd w:id="171"/>
      <w:r>
        <w:rPr>
          <w:rFonts w:hint="eastAsia" w:ascii="仿宋" w:hAnsi="仿宋" w:eastAsia="仿宋" w:cs="仿宋"/>
          <w:b/>
          <w:sz w:val="24"/>
          <w:highlight w:val="none"/>
        </w:rPr>
        <w:t>第三部分  合同专用条款</w:t>
      </w:r>
    </w:p>
    <w:p>
      <w:pPr>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pPr>
              <w:spacing w:line="360" w:lineRule="auto"/>
              <w:rPr>
                <w:rFonts w:ascii="仿宋" w:hAnsi="仿宋" w:eastAsia="仿宋" w:cs="仿宋"/>
                <w:sz w:val="24"/>
                <w:highlight w:val="none"/>
              </w:rPr>
            </w:pPr>
          </w:p>
        </w:tc>
      </w:tr>
    </w:tbl>
    <w:p>
      <w:pPr>
        <w:spacing w:line="360" w:lineRule="auto"/>
        <w:ind w:left="-420" w:leftChars="-200" w:right="-420" w:rightChars="-200" w:firstLine="480" w:firstLineChars="200"/>
        <w:rPr>
          <w:rFonts w:ascii="仿宋" w:hAnsi="仿宋" w:eastAsia="仿宋" w:cs="仿宋"/>
          <w:sz w:val="24"/>
          <w:highlight w:val="none"/>
        </w:rPr>
      </w:pPr>
    </w:p>
    <w:p>
      <w:pPr>
        <w:spacing w:line="360" w:lineRule="auto"/>
        <w:ind w:left="-420" w:leftChars="-200" w:right="-420" w:rightChars="-200" w:firstLine="480" w:firstLineChars="200"/>
        <w:jc w:val="center"/>
        <w:outlineLvl w:val="0"/>
        <w:rPr>
          <w:rFonts w:ascii="仿宋" w:hAnsi="仿宋" w:eastAsia="仿宋" w:cs="仿宋"/>
          <w:sz w:val="24"/>
          <w:highlight w:val="none"/>
        </w:rPr>
      </w:pP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共100分，其中商务技术分60分，价格分40分。评分依下述所列为评标打分依据，分值如下（计算分值时，按其算术平均值保留小数2位）。</w:t>
      </w:r>
    </w:p>
    <w:p>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2.1商务技术分（60分）</w:t>
      </w:r>
    </w:p>
    <w:tbl>
      <w:tblPr>
        <w:tblStyle w:val="63"/>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1278"/>
        <w:gridCol w:w="813"/>
        <w:gridCol w:w="6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81" w:type="dxa"/>
            <w:vAlign w:val="center"/>
          </w:tcPr>
          <w:p>
            <w:pPr>
              <w:pStyle w:val="3"/>
              <w:tabs>
                <w:tab w:val="left" w:pos="1145"/>
                <w:tab w:val="clear" w:pos="432"/>
              </w:tabs>
              <w:spacing w:line="320" w:lineRule="exact"/>
              <w:ind w:left="0" w:firstLine="0"/>
              <w:jc w:val="center"/>
              <w:outlineLvl w:val="1"/>
              <w:rPr>
                <w:rFonts w:ascii="仿宋" w:eastAsia="仿宋" w:cs="仿宋"/>
                <w:sz w:val="24"/>
                <w:szCs w:val="24"/>
                <w:highlight w:val="none"/>
              </w:rPr>
            </w:pPr>
            <w:r>
              <w:rPr>
                <w:rFonts w:hint="eastAsia" w:ascii="仿宋" w:eastAsia="仿宋" w:cs="仿宋"/>
                <w:sz w:val="24"/>
                <w:szCs w:val="24"/>
                <w:highlight w:val="none"/>
              </w:rPr>
              <w:t>序号</w:t>
            </w:r>
          </w:p>
        </w:tc>
        <w:tc>
          <w:tcPr>
            <w:tcW w:w="1278" w:type="dxa"/>
            <w:vAlign w:val="center"/>
          </w:tcPr>
          <w:p>
            <w:pPr>
              <w:pStyle w:val="3"/>
              <w:tabs>
                <w:tab w:val="left" w:pos="1145"/>
                <w:tab w:val="clear" w:pos="432"/>
              </w:tabs>
              <w:spacing w:line="320" w:lineRule="exact"/>
              <w:ind w:left="0" w:firstLine="0"/>
              <w:jc w:val="center"/>
              <w:outlineLvl w:val="1"/>
              <w:rPr>
                <w:rFonts w:ascii="仿宋" w:eastAsia="仿宋" w:cs="仿宋"/>
                <w:sz w:val="24"/>
                <w:szCs w:val="24"/>
                <w:highlight w:val="none"/>
              </w:rPr>
            </w:pPr>
            <w:r>
              <w:rPr>
                <w:rFonts w:hint="eastAsia" w:ascii="仿宋" w:eastAsia="仿宋" w:cs="仿宋"/>
                <w:sz w:val="24"/>
                <w:szCs w:val="24"/>
                <w:highlight w:val="none"/>
              </w:rPr>
              <w:t>评分项目</w:t>
            </w:r>
          </w:p>
        </w:tc>
        <w:tc>
          <w:tcPr>
            <w:tcW w:w="813" w:type="dxa"/>
            <w:vAlign w:val="center"/>
          </w:tcPr>
          <w:p>
            <w:pPr>
              <w:pStyle w:val="3"/>
              <w:tabs>
                <w:tab w:val="left" w:pos="1145"/>
                <w:tab w:val="clear" w:pos="432"/>
              </w:tabs>
              <w:spacing w:line="320" w:lineRule="exact"/>
              <w:ind w:left="0" w:firstLine="0"/>
              <w:jc w:val="center"/>
              <w:outlineLvl w:val="1"/>
              <w:rPr>
                <w:rFonts w:ascii="仿宋" w:eastAsia="仿宋" w:cs="仿宋"/>
                <w:sz w:val="24"/>
                <w:szCs w:val="24"/>
                <w:highlight w:val="none"/>
              </w:rPr>
            </w:pPr>
            <w:r>
              <w:rPr>
                <w:rFonts w:hint="eastAsia" w:ascii="仿宋" w:eastAsia="仿宋" w:cs="仿宋"/>
                <w:sz w:val="24"/>
                <w:szCs w:val="24"/>
                <w:highlight w:val="none"/>
              </w:rPr>
              <w:t>分值</w:t>
            </w:r>
          </w:p>
        </w:tc>
        <w:tc>
          <w:tcPr>
            <w:tcW w:w="6976" w:type="dxa"/>
            <w:vAlign w:val="center"/>
          </w:tcPr>
          <w:p>
            <w:pPr>
              <w:pStyle w:val="3"/>
              <w:tabs>
                <w:tab w:val="left" w:pos="1145"/>
                <w:tab w:val="clear" w:pos="432"/>
              </w:tabs>
              <w:spacing w:line="320" w:lineRule="exact"/>
              <w:ind w:left="0" w:firstLine="0"/>
              <w:jc w:val="center"/>
              <w:outlineLvl w:val="1"/>
              <w:rPr>
                <w:rFonts w:ascii="仿宋" w:eastAsia="仿宋" w:cs="仿宋"/>
                <w:sz w:val="24"/>
                <w:szCs w:val="24"/>
                <w:highlight w:val="none"/>
              </w:rPr>
            </w:pPr>
            <w:r>
              <w:rPr>
                <w:rFonts w:hint="eastAsia" w:ascii="仿宋" w:eastAsia="仿宋" w:cs="仿宋"/>
                <w:sz w:val="24"/>
                <w:szCs w:val="24"/>
                <w:highlight w:val="none"/>
              </w:rPr>
              <w:t>评  价  细   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81"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1278"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资信部分</w:t>
            </w:r>
          </w:p>
        </w:tc>
        <w:tc>
          <w:tcPr>
            <w:tcW w:w="813"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3分</w:t>
            </w:r>
          </w:p>
        </w:tc>
        <w:tc>
          <w:tcPr>
            <w:tcW w:w="6976" w:type="dxa"/>
          </w:tcPr>
          <w:p>
            <w:pPr>
              <w:widowControl/>
              <w:spacing w:line="540" w:lineRule="exact"/>
              <w:jc w:val="left"/>
              <w:rPr>
                <w:rFonts w:ascii="仿宋" w:hAnsi="仿宋" w:eastAsia="仿宋" w:cs="仿宋"/>
                <w:kern w:val="0"/>
                <w:sz w:val="24"/>
                <w:highlight w:val="none"/>
                <w:lang w:eastAsia="zh-Hans"/>
              </w:rPr>
            </w:pPr>
            <w:r>
              <w:rPr>
                <w:rFonts w:hint="eastAsia" w:ascii="仿宋" w:hAnsi="仿宋" w:eastAsia="仿宋" w:cs="仿宋"/>
                <w:kern w:val="0"/>
                <w:sz w:val="24"/>
                <w:highlight w:val="none"/>
                <w:lang w:eastAsia="zh-Hans"/>
              </w:rPr>
              <w:t>投标人</w:t>
            </w:r>
            <w:r>
              <w:rPr>
                <w:rFonts w:hint="eastAsia" w:ascii="仿宋" w:hAnsi="仿宋" w:eastAsia="仿宋" w:cs="仿宋"/>
                <w:kern w:val="0"/>
                <w:sz w:val="24"/>
                <w:highlight w:val="none"/>
              </w:rPr>
              <w:t>具有</w:t>
            </w:r>
            <w:r>
              <w:rPr>
                <w:rFonts w:hint="eastAsia" w:ascii="仿宋" w:hAnsi="仿宋" w:eastAsia="仿宋" w:cs="仿宋"/>
                <w:kern w:val="0"/>
                <w:sz w:val="24"/>
                <w:highlight w:val="none"/>
                <w:lang w:eastAsia="zh-Hans"/>
              </w:rPr>
              <w:t>ISO</w:t>
            </w:r>
            <w:r>
              <w:rPr>
                <w:rFonts w:hint="eastAsia" w:ascii="仿宋" w:hAnsi="仿宋" w:eastAsia="仿宋" w:cs="仿宋"/>
                <w:kern w:val="0"/>
                <w:sz w:val="24"/>
                <w:highlight w:val="none"/>
              </w:rPr>
              <w:t>9001</w:t>
            </w:r>
            <w:r>
              <w:rPr>
                <w:rFonts w:hint="eastAsia" w:ascii="仿宋" w:hAnsi="仿宋" w:eastAsia="仿宋" w:cs="仿宋"/>
                <w:kern w:val="0"/>
                <w:sz w:val="24"/>
                <w:highlight w:val="none"/>
                <w:lang w:eastAsia="zh-Hans"/>
              </w:rPr>
              <w:t>质量管理体系认证得</w:t>
            </w:r>
            <w:r>
              <w:rPr>
                <w:rFonts w:hint="eastAsia" w:ascii="仿宋" w:hAnsi="仿宋" w:eastAsia="仿宋" w:cs="仿宋"/>
                <w:kern w:val="0"/>
                <w:sz w:val="24"/>
                <w:highlight w:val="none"/>
              </w:rPr>
              <w:t>1</w:t>
            </w:r>
            <w:r>
              <w:rPr>
                <w:rFonts w:hint="eastAsia" w:ascii="仿宋" w:hAnsi="仿宋" w:eastAsia="仿宋" w:cs="仿宋"/>
                <w:kern w:val="0"/>
                <w:sz w:val="24"/>
                <w:highlight w:val="none"/>
                <w:lang w:eastAsia="zh-Hans"/>
              </w:rPr>
              <w:t>分；</w:t>
            </w:r>
          </w:p>
          <w:p>
            <w:pPr>
              <w:widowControl/>
              <w:spacing w:line="540" w:lineRule="exact"/>
              <w:jc w:val="left"/>
              <w:rPr>
                <w:rFonts w:ascii="仿宋" w:hAnsi="仿宋" w:eastAsia="仿宋" w:cs="仿宋"/>
                <w:kern w:val="0"/>
                <w:sz w:val="24"/>
                <w:highlight w:val="none"/>
                <w:lang w:eastAsia="zh-Hans"/>
              </w:rPr>
            </w:pPr>
            <w:r>
              <w:rPr>
                <w:rFonts w:hint="eastAsia" w:ascii="仿宋" w:hAnsi="仿宋" w:eastAsia="仿宋" w:cs="仿宋"/>
                <w:kern w:val="0"/>
                <w:sz w:val="24"/>
                <w:highlight w:val="none"/>
                <w:lang w:eastAsia="zh-Hans"/>
              </w:rPr>
              <w:t>投标人</w:t>
            </w:r>
            <w:r>
              <w:rPr>
                <w:rFonts w:hint="eastAsia" w:ascii="仿宋" w:hAnsi="仿宋" w:eastAsia="仿宋" w:cs="仿宋"/>
                <w:kern w:val="0"/>
                <w:sz w:val="24"/>
                <w:highlight w:val="none"/>
              </w:rPr>
              <w:t>具有</w:t>
            </w:r>
            <w:r>
              <w:rPr>
                <w:rFonts w:hint="eastAsia" w:ascii="仿宋" w:hAnsi="仿宋" w:eastAsia="仿宋" w:cs="仿宋"/>
                <w:kern w:val="0"/>
                <w:sz w:val="24"/>
                <w:highlight w:val="none"/>
                <w:lang w:eastAsia="zh-Hans"/>
              </w:rPr>
              <w:t>ISO</w:t>
            </w:r>
            <w:r>
              <w:rPr>
                <w:rFonts w:hint="eastAsia" w:ascii="仿宋" w:hAnsi="仿宋" w:eastAsia="仿宋" w:cs="仿宋"/>
                <w:kern w:val="0"/>
                <w:sz w:val="24"/>
                <w:highlight w:val="none"/>
              </w:rPr>
              <w:t>14001</w:t>
            </w:r>
            <w:r>
              <w:rPr>
                <w:rFonts w:hint="eastAsia" w:ascii="仿宋" w:hAnsi="仿宋" w:eastAsia="仿宋" w:cs="仿宋"/>
                <w:kern w:val="0"/>
                <w:sz w:val="24"/>
                <w:highlight w:val="none"/>
                <w:lang w:eastAsia="zh-Hans"/>
              </w:rPr>
              <w:t>环境管理体系认证得</w:t>
            </w:r>
            <w:r>
              <w:rPr>
                <w:rFonts w:hint="eastAsia" w:ascii="仿宋" w:hAnsi="仿宋" w:eastAsia="仿宋" w:cs="仿宋"/>
                <w:kern w:val="0"/>
                <w:sz w:val="24"/>
                <w:highlight w:val="none"/>
              </w:rPr>
              <w:t>1</w:t>
            </w:r>
            <w:r>
              <w:rPr>
                <w:rFonts w:hint="eastAsia" w:ascii="仿宋" w:hAnsi="仿宋" w:eastAsia="仿宋" w:cs="仿宋"/>
                <w:kern w:val="0"/>
                <w:sz w:val="24"/>
                <w:highlight w:val="none"/>
                <w:lang w:eastAsia="zh-Hans"/>
              </w:rPr>
              <w:t>分；</w:t>
            </w:r>
          </w:p>
          <w:p>
            <w:pPr>
              <w:widowControl/>
              <w:spacing w:line="540" w:lineRule="exact"/>
              <w:jc w:val="left"/>
              <w:rPr>
                <w:rFonts w:ascii="仿宋" w:hAnsi="仿宋" w:eastAsia="仿宋" w:cs="仿宋"/>
                <w:kern w:val="0"/>
                <w:sz w:val="24"/>
                <w:highlight w:val="none"/>
                <w:lang w:eastAsia="zh-Hans"/>
              </w:rPr>
            </w:pPr>
            <w:r>
              <w:rPr>
                <w:rFonts w:hint="eastAsia" w:ascii="仿宋" w:hAnsi="仿宋" w:eastAsia="仿宋" w:cs="仿宋"/>
                <w:kern w:val="0"/>
                <w:sz w:val="24"/>
                <w:highlight w:val="none"/>
                <w:lang w:eastAsia="zh-Hans"/>
              </w:rPr>
              <w:t>投标人</w:t>
            </w:r>
            <w:r>
              <w:rPr>
                <w:rFonts w:hint="eastAsia" w:ascii="仿宋" w:hAnsi="仿宋" w:eastAsia="仿宋" w:cs="仿宋"/>
                <w:kern w:val="0"/>
                <w:sz w:val="24"/>
                <w:highlight w:val="none"/>
              </w:rPr>
              <w:t>具有</w:t>
            </w:r>
            <w:r>
              <w:rPr>
                <w:rFonts w:hint="eastAsia" w:ascii="仿宋" w:hAnsi="仿宋" w:eastAsia="仿宋" w:cs="仿宋"/>
                <w:kern w:val="0"/>
                <w:sz w:val="24"/>
                <w:highlight w:val="none"/>
                <w:lang w:eastAsia="zh-Hans"/>
              </w:rPr>
              <w:t>ISO</w:t>
            </w:r>
            <w:r>
              <w:rPr>
                <w:rFonts w:hint="eastAsia" w:ascii="仿宋" w:hAnsi="仿宋" w:eastAsia="仿宋" w:cs="仿宋"/>
                <w:kern w:val="0"/>
                <w:sz w:val="24"/>
                <w:highlight w:val="none"/>
              </w:rPr>
              <w:t>45001</w:t>
            </w:r>
            <w:r>
              <w:rPr>
                <w:rFonts w:hint="eastAsia" w:ascii="仿宋" w:hAnsi="仿宋" w:eastAsia="仿宋" w:cs="仿宋"/>
                <w:kern w:val="0"/>
                <w:sz w:val="24"/>
                <w:highlight w:val="none"/>
                <w:lang w:eastAsia="zh-Hans"/>
              </w:rPr>
              <w:t>职业健康安全体系认证得</w:t>
            </w:r>
            <w:r>
              <w:rPr>
                <w:rFonts w:hint="eastAsia" w:ascii="仿宋" w:hAnsi="仿宋" w:eastAsia="仿宋" w:cs="仿宋"/>
                <w:kern w:val="0"/>
                <w:sz w:val="24"/>
                <w:highlight w:val="none"/>
              </w:rPr>
              <w:t>1</w:t>
            </w:r>
            <w:r>
              <w:rPr>
                <w:rFonts w:hint="eastAsia" w:ascii="仿宋" w:hAnsi="仿宋" w:eastAsia="仿宋" w:cs="仿宋"/>
                <w:kern w:val="0"/>
                <w:sz w:val="24"/>
                <w:highlight w:val="none"/>
                <w:lang w:eastAsia="zh-Hans"/>
              </w:rPr>
              <w:t>分；</w:t>
            </w:r>
          </w:p>
          <w:p>
            <w:pPr>
              <w:widowControl/>
              <w:spacing w:line="540" w:lineRule="exact"/>
              <w:jc w:val="left"/>
              <w:rPr>
                <w:rFonts w:ascii="仿宋" w:hAnsi="仿宋" w:eastAsia="仿宋" w:cs="仿宋"/>
                <w:kern w:val="0"/>
                <w:sz w:val="24"/>
                <w:highlight w:val="none"/>
              </w:rPr>
            </w:pPr>
            <w:r>
              <w:rPr>
                <w:rFonts w:hint="eastAsia" w:ascii="仿宋" w:hAnsi="仿宋" w:eastAsia="仿宋" w:cs="仿宋"/>
                <w:kern w:val="0"/>
                <w:sz w:val="24"/>
                <w:highlight w:val="none"/>
                <w:lang w:eastAsia="zh-Hans"/>
              </w:rPr>
              <w:t>（投标文件中</w:t>
            </w:r>
            <w:r>
              <w:rPr>
                <w:rFonts w:hint="eastAsia" w:ascii="仿宋" w:hAnsi="仿宋" w:eastAsia="仿宋" w:cs="仿宋"/>
                <w:kern w:val="0"/>
                <w:sz w:val="24"/>
                <w:highlight w:val="none"/>
                <w:lang w:val="en-US" w:eastAsia="zh-CN"/>
              </w:rPr>
              <w:t>提供</w:t>
            </w:r>
            <w:r>
              <w:rPr>
                <w:rFonts w:hint="eastAsia" w:ascii="仿宋" w:hAnsi="仿宋" w:eastAsia="仿宋" w:cs="仿宋"/>
                <w:kern w:val="0"/>
                <w:sz w:val="24"/>
                <w:highlight w:val="none"/>
                <w:lang w:eastAsia="zh-Hans"/>
              </w:rPr>
              <w:t>有效期内的证书复印件加盖</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eastAsia="zh-Hans"/>
              </w:rPr>
              <w:t>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81"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1278"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类似业绩分</w:t>
            </w:r>
          </w:p>
        </w:tc>
        <w:tc>
          <w:tcPr>
            <w:tcW w:w="813"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3分</w:t>
            </w:r>
          </w:p>
        </w:tc>
        <w:tc>
          <w:tcPr>
            <w:tcW w:w="6976" w:type="dxa"/>
            <w:vAlign w:val="center"/>
          </w:tcPr>
          <w:p>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202</w:t>
            </w:r>
            <w:r>
              <w:rPr>
                <w:rFonts w:ascii="仿宋" w:hAnsi="仿宋" w:eastAsia="仿宋" w:cs="仿宋"/>
                <w:color w:val="000000"/>
                <w:sz w:val="24"/>
                <w:highlight w:val="none"/>
              </w:rPr>
              <w:t>1</w:t>
            </w:r>
            <w:r>
              <w:rPr>
                <w:rFonts w:hint="eastAsia" w:ascii="仿宋" w:hAnsi="仿宋" w:eastAsia="仿宋" w:cs="仿宋"/>
                <w:color w:val="000000"/>
                <w:sz w:val="24"/>
                <w:highlight w:val="none"/>
              </w:rPr>
              <w:t>年1月1日至今（以合同签订时间为准）供应商具有同类项目业绩的，每提供一个业绩证明材料得1分，最高得3分。</w:t>
            </w:r>
          </w:p>
          <w:p>
            <w:pPr>
              <w:snapToGrid w:val="0"/>
              <w:spacing w:line="360" w:lineRule="auto"/>
              <w:rPr>
                <w:rFonts w:ascii="仿宋" w:hAnsi="仿宋" w:eastAsia="仿宋" w:cs="仿宋"/>
                <w:kern w:val="0"/>
                <w:sz w:val="24"/>
                <w:highlight w:val="none"/>
              </w:rPr>
            </w:pPr>
            <w:r>
              <w:rPr>
                <w:rFonts w:hint="eastAsia" w:ascii="仿宋" w:hAnsi="仿宋" w:eastAsia="仿宋" w:cs="仿宋"/>
                <w:color w:val="000000"/>
                <w:sz w:val="24"/>
                <w:highlight w:val="none"/>
              </w:rPr>
              <w:t>备注：业绩证明材料为合同复印件；如合同不能体现服务内容，须同时提供业主证明。提供相应证明材料并加盖投标人公章。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81"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1278"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sz w:val="24"/>
                <w:highlight w:val="none"/>
              </w:rPr>
              <w:t>养护方案及措施</w:t>
            </w:r>
          </w:p>
        </w:tc>
        <w:tc>
          <w:tcPr>
            <w:tcW w:w="813"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34分</w:t>
            </w:r>
          </w:p>
        </w:tc>
        <w:tc>
          <w:tcPr>
            <w:tcW w:w="6976" w:type="dxa"/>
            <w:vAlign w:val="center"/>
          </w:tcPr>
          <w:p>
            <w:pPr>
              <w:widowControl/>
              <w:numPr>
                <w:ilvl w:val="0"/>
                <w:numId w:val="1"/>
              </w:numPr>
              <w:spacing w:line="540" w:lineRule="exact"/>
              <w:jc w:val="left"/>
              <w:rPr>
                <w:rFonts w:ascii="仿宋" w:hAnsi="仿宋" w:eastAsia="仿宋" w:cs="仿宋"/>
                <w:snapToGrid w:val="0"/>
                <w:kern w:val="0"/>
                <w:sz w:val="24"/>
                <w:highlight w:val="none"/>
              </w:rPr>
            </w:pPr>
            <w:r>
              <w:rPr>
                <w:rFonts w:hint="eastAsia" w:ascii="仿宋" w:hAnsi="仿宋" w:eastAsia="仿宋" w:cs="仿宋"/>
                <w:sz w:val="24"/>
                <w:highlight w:val="none"/>
              </w:rPr>
              <w:t>全年租摆工作计划及方案，养护质量管理保障（人员、制度）和控制措施、方法。</w:t>
            </w:r>
            <w:r>
              <w:rPr>
                <w:rFonts w:hint="eastAsia" w:ascii="仿宋" w:hAnsi="仿宋" w:eastAsia="仿宋" w:cs="仿宋"/>
                <w:kern w:val="0"/>
                <w:sz w:val="24"/>
                <w:highlight w:val="none"/>
              </w:rPr>
              <w:t>方案</w:t>
            </w:r>
            <w:r>
              <w:rPr>
                <w:rFonts w:hint="eastAsia" w:ascii="仿宋" w:hAnsi="仿宋" w:eastAsia="仿宋" w:cs="仿宋"/>
                <w:kern w:val="0"/>
                <w:sz w:val="24"/>
                <w:highlight w:val="none"/>
                <w:lang w:val="zh-CN"/>
              </w:rPr>
              <w:t>内容完整、</w:t>
            </w:r>
            <w:r>
              <w:rPr>
                <w:rFonts w:hint="eastAsia" w:ascii="仿宋" w:hAnsi="仿宋" w:eastAsia="仿宋" w:cs="仿宋"/>
                <w:sz w:val="24"/>
                <w:highlight w:val="none"/>
              </w:rPr>
              <w:t>针对性强，符合实际，有操作性的得7.1-10.0分；方案基本可行的得4.1-7.0分；</w:t>
            </w:r>
            <w:r>
              <w:rPr>
                <w:rFonts w:hint="eastAsia" w:ascii="仿宋" w:hAnsi="仿宋" w:eastAsia="仿宋" w:cs="仿宋"/>
                <w:snapToGrid w:val="0"/>
                <w:kern w:val="0"/>
                <w:sz w:val="24"/>
                <w:highlight w:val="none"/>
              </w:rPr>
              <w:t>方案缺少针对性或方案不完整得0.1-4.0分；未提供不得分。</w:t>
            </w:r>
          </w:p>
          <w:p>
            <w:pPr>
              <w:widowControl/>
              <w:numPr>
                <w:ilvl w:val="0"/>
                <w:numId w:val="1"/>
              </w:numPr>
              <w:spacing w:line="540" w:lineRule="exact"/>
              <w:jc w:val="left"/>
              <w:rPr>
                <w:rFonts w:ascii="仿宋" w:hAnsi="仿宋" w:eastAsia="仿宋" w:cs="仿宋"/>
                <w:kern w:val="0"/>
                <w:sz w:val="24"/>
                <w:highlight w:val="none"/>
              </w:rPr>
            </w:pPr>
            <w:r>
              <w:rPr>
                <w:rFonts w:hint="eastAsia" w:ascii="仿宋" w:hAnsi="仿宋" w:eastAsia="仿宋" w:cs="仿宋"/>
                <w:kern w:val="0"/>
                <w:sz w:val="24"/>
                <w:highlight w:val="none"/>
              </w:rPr>
              <w:t>服务响应情况：根据服务响应速度、方案可靠性评分。响应速度及时</w:t>
            </w:r>
            <w:r>
              <w:rPr>
                <w:rFonts w:hint="eastAsia" w:ascii="仿宋" w:hAnsi="仿宋" w:eastAsia="仿宋" w:cs="仿宋"/>
                <w:kern w:val="0"/>
                <w:sz w:val="24"/>
                <w:highlight w:val="none"/>
                <w:lang w:val="zh-CN"/>
              </w:rPr>
              <w:t>、</w:t>
            </w:r>
            <w:r>
              <w:rPr>
                <w:rFonts w:hint="eastAsia" w:ascii="仿宋" w:hAnsi="仿宋" w:eastAsia="仿宋" w:cs="仿宋"/>
                <w:sz w:val="24"/>
                <w:highlight w:val="none"/>
              </w:rPr>
              <w:t>针对性强，有操作性的得6.1-8.0分；</w:t>
            </w:r>
            <w:r>
              <w:rPr>
                <w:rFonts w:hint="eastAsia" w:ascii="仿宋" w:hAnsi="仿宋" w:eastAsia="仿宋" w:cs="仿宋"/>
                <w:kern w:val="0"/>
                <w:sz w:val="24"/>
                <w:highlight w:val="none"/>
              </w:rPr>
              <w:t>响应速度基本满足采购要求</w:t>
            </w:r>
            <w:r>
              <w:rPr>
                <w:rFonts w:hint="eastAsia" w:ascii="仿宋" w:hAnsi="仿宋" w:eastAsia="仿宋" w:cs="仿宋"/>
                <w:sz w:val="24"/>
                <w:highlight w:val="none"/>
              </w:rPr>
              <w:t>方案基本可行的得3.1-6.0分；</w:t>
            </w:r>
            <w:r>
              <w:rPr>
                <w:rFonts w:hint="eastAsia" w:ascii="仿宋" w:hAnsi="仿宋" w:eastAsia="仿宋" w:cs="仿宋"/>
                <w:kern w:val="0"/>
                <w:sz w:val="24"/>
                <w:highlight w:val="none"/>
              </w:rPr>
              <w:t>响应速度不及时、</w:t>
            </w:r>
            <w:r>
              <w:rPr>
                <w:rFonts w:hint="eastAsia" w:ascii="仿宋" w:hAnsi="仿宋" w:eastAsia="仿宋" w:cs="仿宋"/>
                <w:snapToGrid w:val="0"/>
                <w:kern w:val="0"/>
                <w:sz w:val="24"/>
                <w:highlight w:val="none"/>
              </w:rPr>
              <w:t>方案缺少针对性或方案不完整得0.1-3.0分；未提供不得分</w:t>
            </w:r>
            <w:r>
              <w:rPr>
                <w:rFonts w:hint="eastAsia" w:ascii="仿宋" w:hAnsi="仿宋" w:eastAsia="仿宋" w:cs="仿宋"/>
                <w:sz w:val="24"/>
                <w:highlight w:val="none"/>
              </w:rPr>
              <w:t>。</w:t>
            </w:r>
          </w:p>
          <w:p>
            <w:pPr>
              <w:widowControl/>
              <w:numPr>
                <w:ilvl w:val="0"/>
                <w:numId w:val="1"/>
              </w:numPr>
              <w:spacing w:line="540" w:lineRule="exact"/>
              <w:jc w:val="left"/>
              <w:rPr>
                <w:rFonts w:ascii="仿宋" w:hAnsi="仿宋" w:eastAsia="仿宋" w:cs="仿宋"/>
                <w:kern w:val="0"/>
                <w:sz w:val="24"/>
                <w:highlight w:val="none"/>
              </w:rPr>
            </w:pPr>
            <w:r>
              <w:rPr>
                <w:rFonts w:hint="eastAsia" w:ascii="仿宋" w:hAnsi="仿宋" w:eastAsia="仿宋" w:cs="仿宋"/>
                <w:sz w:val="24"/>
                <w:highlight w:val="none"/>
              </w:rPr>
              <w:t>防治病虫害专项措施，</w:t>
            </w:r>
            <w:r>
              <w:rPr>
                <w:rFonts w:hint="eastAsia" w:ascii="仿宋" w:hAnsi="仿宋" w:eastAsia="仿宋" w:cs="仿宋"/>
                <w:snapToGrid w:val="0"/>
                <w:kern w:val="0"/>
                <w:sz w:val="24"/>
                <w:highlight w:val="none"/>
              </w:rPr>
              <w:t>措施内容有针对性且详细可行的得</w:t>
            </w:r>
            <w:r>
              <w:rPr>
                <w:rFonts w:hint="eastAsia" w:ascii="仿宋" w:hAnsi="仿宋" w:eastAsia="仿宋" w:cs="仿宋"/>
                <w:sz w:val="24"/>
                <w:highlight w:val="none"/>
              </w:rPr>
              <w:t>6.1-8.0</w:t>
            </w:r>
            <w:r>
              <w:rPr>
                <w:rFonts w:hint="eastAsia" w:ascii="仿宋" w:hAnsi="仿宋" w:eastAsia="仿宋" w:cs="仿宋"/>
                <w:snapToGrid w:val="0"/>
                <w:kern w:val="0"/>
                <w:sz w:val="24"/>
                <w:highlight w:val="none"/>
              </w:rPr>
              <w:t>分；措施内容基本可行的得</w:t>
            </w:r>
            <w:r>
              <w:rPr>
                <w:rFonts w:hint="eastAsia" w:ascii="仿宋" w:hAnsi="仿宋" w:eastAsia="仿宋" w:cs="仿宋"/>
                <w:sz w:val="24"/>
                <w:highlight w:val="none"/>
              </w:rPr>
              <w:t>3.1-6.0</w:t>
            </w:r>
            <w:r>
              <w:rPr>
                <w:rFonts w:hint="eastAsia" w:ascii="仿宋" w:hAnsi="仿宋" w:eastAsia="仿宋" w:cs="仿宋"/>
                <w:snapToGrid w:val="0"/>
                <w:kern w:val="0"/>
                <w:sz w:val="24"/>
                <w:highlight w:val="none"/>
              </w:rPr>
              <w:t>分，措施内容有瑕疵或没有针对性的得0.1-3.0分；未提供不得分</w:t>
            </w:r>
          </w:p>
          <w:p>
            <w:pPr>
              <w:widowControl/>
              <w:numPr>
                <w:ilvl w:val="0"/>
                <w:numId w:val="1"/>
              </w:numPr>
              <w:spacing w:line="540" w:lineRule="exact"/>
              <w:jc w:val="left"/>
              <w:rPr>
                <w:rFonts w:ascii="仿宋" w:hAnsi="仿宋" w:eastAsia="仿宋" w:cs="仿宋"/>
                <w:kern w:val="0"/>
                <w:sz w:val="24"/>
                <w:highlight w:val="none"/>
              </w:rPr>
            </w:pPr>
            <w:r>
              <w:rPr>
                <w:rFonts w:hint="eastAsia" w:ascii="仿宋" w:hAnsi="仿宋" w:eastAsia="仿宋" w:cs="仿宋"/>
                <w:snapToGrid w:val="0"/>
                <w:kern w:val="0"/>
                <w:sz w:val="24"/>
                <w:highlight w:val="none"/>
              </w:rPr>
              <w:t>重要活动保障的预案措施，如</w:t>
            </w:r>
            <w:r>
              <w:rPr>
                <w:rFonts w:hint="eastAsia" w:ascii="仿宋" w:hAnsi="仿宋" w:eastAsia="仿宋" w:cs="仿宋"/>
                <w:sz w:val="24"/>
                <w:highlight w:val="none"/>
              </w:rPr>
              <w:t>遇重大节日活动、紧急需求或高温、台风、暴雨雪、冰冻等极端恶劣天气下的应急处理方案，</w:t>
            </w:r>
            <w:r>
              <w:rPr>
                <w:rFonts w:hint="eastAsia" w:ascii="仿宋" w:hAnsi="仿宋" w:eastAsia="仿宋" w:cs="仿宋"/>
                <w:kern w:val="0"/>
                <w:sz w:val="24"/>
                <w:highlight w:val="none"/>
              </w:rPr>
              <w:t>方案</w:t>
            </w:r>
            <w:r>
              <w:rPr>
                <w:rFonts w:hint="eastAsia" w:ascii="仿宋" w:hAnsi="仿宋" w:eastAsia="仿宋" w:cs="仿宋"/>
                <w:kern w:val="0"/>
                <w:sz w:val="24"/>
                <w:highlight w:val="none"/>
                <w:lang w:val="zh-CN"/>
              </w:rPr>
              <w:t>内容完整、</w:t>
            </w:r>
            <w:r>
              <w:rPr>
                <w:rFonts w:hint="eastAsia" w:ascii="仿宋" w:hAnsi="仿宋" w:eastAsia="仿宋" w:cs="仿宋"/>
                <w:kern w:val="0"/>
                <w:sz w:val="24"/>
                <w:highlight w:val="none"/>
              </w:rPr>
              <w:t>科学且可行性</w:t>
            </w:r>
            <w:r>
              <w:rPr>
                <w:rFonts w:hint="eastAsia" w:ascii="仿宋" w:hAnsi="仿宋" w:eastAsia="仿宋" w:cs="仿宋"/>
                <w:sz w:val="24"/>
                <w:highlight w:val="none"/>
              </w:rPr>
              <w:t>的得6.1-8.0分；方案基本可行的得3.1-6.0分；</w:t>
            </w:r>
            <w:r>
              <w:rPr>
                <w:rFonts w:hint="eastAsia" w:ascii="仿宋" w:hAnsi="仿宋" w:eastAsia="仿宋" w:cs="仿宋"/>
                <w:snapToGrid w:val="0"/>
                <w:kern w:val="0"/>
                <w:sz w:val="24"/>
                <w:highlight w:val="none"/>
              </w:rPr>
              <w:t>方案缺少针对性或方案不完整的得0.1-3.0分；未提供不得分</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481"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4</w:t>
            </w:r>
          </w:p>
        </w:tc>
        <w:tc>
          <w:tcPr>
            <w:tcW w:w="1278" w:type="dxa"/>
            <w:vAlign w:val="center"/>
          </w:tcPr>
          <w:p>
            <w:pPr>
              <w:pStyle w:val="3"/>
              <w:tabs>
                <w:tab w:val="left" w:pos="1145"/>
                <w:tab w:val="clear" w:pos="432"/>
              </w:tabs>
              <w:spacing w:line="440" w:lineRule="exact"/>
              <w:ind w:left="0" w:firstLine="0"/>
              <w:jc w:val="center"/>
              <w:outlineLvl w:val="1"/>
              <w:rPr>
                <w:rFonts w:ascii="仿宋" w:eastAsia="仿宋" w:cs="仿宋"/>
                <w:b w:val="0"/>
                <w:kern w:val="0"/>
                <w:sz w:val="24"/>
                <w:szCs w:val="24"/>
                <w:highlight w:val="none"/>
              </w:rPr>
            </w:pPr>
            <w:r>
              <w:rPr>
                <w:rFonts w:hint="eastAsia" w:ascii="仿宋" w:eastAsia="仿宋" w:cs="仿宋"/>
                <w:b w:val="0"/>
                <w:kern w:val="0"/>
                <w:sz w:val="24"/>
                <w:szCs w:val="24"/>
                <w:highlight w:val="none"/>
              </w:rPr>
              <w:t>布置方案</w:t>
            </w:r>
          </w:p>
        </w:tc>
        <w:tc>
          <w:tcPr>
            <w:tcW w:w="813" w:type="dxa"/>
            <w:vAlign w:val="center"/>
          </w:tcPr>
          <w:p>
            <w:pPr>
              <w:pStyle w:val="3"/>
              <w:tabs>
                <w:tab w:val="left" w:pos="1145"/>
                <w:tab w:val="clear" w:pos="432"/>
              </w:tabs>
              <w:spacing w:line="440" w:lineRule="exact"/>
              <w:ind w:left="0" w:firstLine="0"/>
              <w:jc w:val="center"/>
              <w:outlineLvl w:val="1"/>
              <w:rPr>
                <w:rFonts w:ascii="仿宋" w:eastAsia="仿宋" w:cs="仿宋"/>
                <w:b w:val="0"/>
                <w:kern w:val="0"/>
                <w:sz w:val="24"/>
                <w:szCs w:val="24"/>
                <w:highlight w:val="none"/>
              </w:rPr>
            </w:pPr>
            <w:r>
              <w:rPr>
                <w:rFonts w:hint="eastAsia" w:ascii="仿宋" w:eastAsia="仿宋" w:cs="仿宋"/>
                <w:b w:val="0"/>
                <w:kern w:val="0"/>
                <w:sz w:val="24"/>
                <w:szCs w:val="24"/>
                <w:highlight w:val="none"/>
              </w:rPr>
              <w:t>9分</w:t>
            </w:r>
          </w:p>
        </w:tc>
        <w:tc>
          <w:tcPr>
            <w:tcW w:w="6976" w:type="dxa"/>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根据投标人提供的包括但不限于就诊大厅、电梯厅、服务台、医疗主街、会议室等提供绿植布置效果图进行打分，效果图完整、效果美观、整体协调的得6.1-9.0分；效果图完整但效果美观度不足、整体不够协调的得3.1-6.0分；效果图提供不完整、效果较差、整体不协调的得0.1-3.0分；效果图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81"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5</w:t>
            </w:r>
          </w:p>
        </w:tc>
        <w:tc>
          <w:tcPr>
            <w:tcW w:w="1278"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售后服务措施和条件保证</w:t>
            </w:r>
          </w:p>
        </w:tc>
        <w:tc>
          <w:tcPr>
            <w:tcW w:w="813"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8分</w:t>
            </w:r>
          </w:p>
        </w:tc>
        <w:tc>
          <w:tcPr>
            <w:tcW w:w="6976" w:type="dxa"/>
          </w:tcPr>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1.售后服务计划措施</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根据投标单位针对本项目提供的售后服务计划措施，售后服务体系健全，售前售后准备充分，有详细项目方案，措施可行，保障得力，的得4.1-6.0分，体系较为健全、准备较为充分，售后方案较为详细，保障较为得力的得2.1-4.0分，售后服务计划措施有欠缺的得0.1-2.0分，</w:t>
            </w:r>
            <w:r>
              <w:rPr>
                <w:rFonts w:hint="eastAsia" w:ascii="仿宋" w:hAnsi="仿宋" w:eastAsia="仿宋" w:cs="仿宋"/>
                <w:kern w:val="0"/>
                <w:sz w:val="24"/>
                <w:highlight w:val="none"/>
              </w:rPr>
              <w:t>不提供不得分。</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2.优惠措施（优惠措施不得</w:t>
            </w:r>
            <w:r>
              <w:rPr>
                <w:rFonts w:hint="eastAsia" w:ascii="仿宋" w:hAnsi="仿宋" w:eastAsia="仿宋" w:cs="仿宋"/>
                <w:color w:val="000000"/>
                <w:sz w:val="24"/>
                <w:highlight w:val="none"/>
                <w:lang w:eastAsia="zh-CN"/>
              </w:rPr>
              <w:t>出现</w:t>
            </w:r>
            <w:r>
              <w:rPr>
                <w:rFonts w:hint="eastAsia" w:ascii="仿宋" w:hAnsi="仿宋" w:eastAsia="仿宋" w:cs="仿宋"/>
                <w:color w:val="000000"/>
                <w:sz w:val="24"/>
                <w:highlight w:val="none"/>
              </w:rPr>
              <w:t>报价，否则作无效标处理）</w:t>
            </w:r>
          </w:p>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根据投标单位针对本项目的优惠措施及保障措施，备品备件情况进行综合评比；0-2.0分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81"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6</w:t>
            </w:r>
          </w:p>
        </w:tc>
        <w:tc>
          <w:tcPr>
            <w:tcW w:w="1278"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其他承诺</w:t>
            </w:r>
          </w:p>
        </w:tc>
        <w:tc>
          <w:tcPr>
            <w:tcW w:w="813" w:type="dxa"/>
            <w:vAlign w:val="center"/>
          </w:tcPr>
          <w:p>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3分</w:t>
            </w:r>
          </w:p>
        </w:tc>
        <w:tc>
          <w:tcPr>
            <w:tcW w:w="6976" w:type="dxa"/>
          </w:tcPr>
          <w:p>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投标人承诺配备常驻医院的养护人员情况进行打分；0-3.0分，无方案本项不得分。</w:t>
            </w:r>
          </w:p>
        </w:tc>
      </w:tr>
    </w:tbl>
    <w:p>
      <w:pPr>
        <w:spacing w:line="440" w:lineRule="exact"/>
        <w:rPr>
          <w:rFonts w:ascii="仿宋" w:hAnsi="仿宋" w:eastAsia="仿宋" w:cs="仿宋"/>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40</w:t>
      </w:r>
      <w:r>
        <w:rPr>
          <w:rFonts w:hint="eastAsia" w:ascii="仿宋" w:hAnsi="仿宋" w:eastAsia="仿宋" w:cs="仿宋"/>
          <w:b/>
          <w:bCs/>
          <w:iCs/>
          <w:color w:val="auto"/>
          <w:sz w:val="24"/>
          <w:highlight w:val="none"/>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2.2.1评标基准价：即满足招标文件要求且投标报价整体下浮率最</w:t>
      </w:r>
      <w:r>
        <w:rPr>
          <w:rFonts w:hint="eastAsia" w:ascii="仿宋" w:hAnsi="仿宋" w:eastAsia="仿宋" w:cs="仿宋"/>
          <w:bCs/>
          <w:iCs/>
          <w:color w:val="auto"/>
          <w:sz w:val="24"/>
          <w:highlight w:val="none"/>
          <w:lang w:eastAsia="zh-CN"/>
        </w:rPr>
        <w:t>大</w:t>
      </w:r>
      <w:r>
        <w:rPr>
          <w:rFonts w:hint="eastAsia" w:ascii="仿宋" w:hAnsi="仿宋" w:eastAsia="仿宋" w:cs="仿宋"/>
          <w:bCs/>
          <w:iCs/>
          <w:color w:val="auto"/>
          <w:sz w:val="24"/>
          <w:highlight w:val="none"/>
        </w:rPr>
        <w:t>的为评标基准价，其价格分为满分。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2.2.2其他投标人的价格分统一按照下列公式计算：（保留小数2位）</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 xml:space="preserve">投标报价得分=(1-评标基准价）／（1-投标下浮率）×价格权值×100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即：投标报价得分=(1-评标基准价）／（1-投标下浮率）×</w:t>
      </w:r>
      <w:r>
        <w:rPr>
          <w:rFonts w:hint="eastAsia" w:ascii="仿宋" w:hAnsi="仿宋" w:eastAsia="仿宋" w:cs="仿宋"/>
          <w:bCs/>
          <w:iCs/>
          <w:color w:val="auto"/>
          <w:sz w:val="24"/>
          <w:highlight w:val="none"/>
          <w:lang w:val="en-US" w:eastAsia="zh-CN"/>
        </w:rPr>
        <w:t>40</w:t>
      </w:r>
    </w:p>
    <w:p>
      <w:pPr>
        <w:pStyle w:val="23"/>
        <w:rPr>
          <w:highlight w:val="none"/>
        </w:rPr>
      </w:pPr>
    </w:p>
    <w:p>
      <w:pPr>
        <w:widowControl/>
        <w:adjustRightInd/>
        <w:jc w:val="center"/>
        <w:rPr>
          <w:rFonts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pStyle w:val="81"/>
        <w:rPr>
          <w:rFonts w:hint="default"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pStyle w:val="80"/>
        <w:rPr>
          <w:rFonts w:ascii="仿宋" w:hAnsi="仿宋" w:eastAsia="仿宋" w:cs="仿宋"/>
          <w:b/>
          <w:sz w:val="36"/>
          <w:highlight w:val="none"/>
        </w:rPr>
      </w:pPr>
    </w:p>
    <w:p>
      <w:pPr>
        <w:pStyle w:val="80"/>
        <w:rPr>
          <w:rFonts w:ascii="仿宋" w:hAnsi="仿宋" w:eastAsia="仿宋" w:cs="仿宋"/>
          <w:b/>
          <w:sz w:val="36"/>
          <w:highlight w:val="none"/>
        </w:rPr>
      </w:pPr>
    </w:p>
    <w:p>
      <w:pPr>
        <w:pStyle w:val="80"/>
        <w:rPr>
          <w:rFonts w:ascii="仿宋" w:hAnsi="仿宋" w:eastAsia="仿宋" w:cs="仿宋"/>
          <w:b/>
          <w:sz w:val="36"/>
          <w:highlight w:val="none"/>
        </w:rPr>
      </w:pPr>
    </w:p>
    <w:p>
      <w:pPr>
        <w:pStyle w:val="80"/>
        <w:rPr>
          <w:rFonts w:ascii="仿宋" w:hAnsi="仿宋" w:eastAsia="仿宋" w:cs="仿宋"/>
          <w:b/>
          <w:sz w:val="36"/>
          <w:highlight w:val="none"/>
        </w:rPr>
      </w:pPr>
    </w:p>
    <w:p>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pPr>
        <w:spacing w:line="360" w:lineRule="auto"/>
        <w:jc w:val="center"/>
        <w:outlineLvl w:val="0"/>
        <w:rPr>
          <w:rFonts w:ascii="仿宋" w:hAnsi="仿宋" w:eastAsia="仿宋" w:cs="仿宋"/>
          <w:b/>
          <w:kern w:val="0"/>
          <w:sz w:val="36"/>
          <w:szCs w:val="36"/>
          <w:highlight w:val="none"/>
        </w:rPr>
      </w:pPr>
    </w:p>
    <w:p>
      <w:pPr>
        <w:pStyle w:val="81"/>
        <w:rPr>
          <w:rFonts w:hint="default" w:ascii="仿宋" w:hAnsi="仿宋" w:eastAsia="仿宋" w:cs="仿宋"/>
          <w:b/>
          <w:sz w:val="36"/>
          <w:szCs w:val="36"/>
          <w:highlight w:val="none"/>
        </w:rPr>
      </w:pPr>
    </w:p>
    <w:p>
      <w:pPr>
        <w:pStyle w:val="81"/>
        <w:rPr>
          <w:rFonts w:hint="default" w:ascii="仿宋" w:hAnsi="仿宋" w:eastAsia="仿宋" w:cs="仿宋"/>
          <w:b/>
          <w:sz w:val="36"/>
          <w:szCs w:val="36"/>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widowControl/>
        <w:spacing w:line="360" w:lineRule="auto"/>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r>
        <w:rPr>
          <w:rFonts w:hint="eastAsia" w:ascii="仿宋" w:hAnsi="仿宋" w:eastAsia="仿宋" w:cs="仿宋"/>
          <w:b/>
          <w:sz w:val="32"/>
          <w:szCs w:val="32"/>
          <w:highlight w:val="none"/>
        </w:rPr>
        <w:t>（复印件）</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right"/>
        <w:rPr>
          <w:rFonts w:ascii="仿宋" w:hAnsi="仿宋" w:eastAsia="仿宋" w:cs="仿宋"/>
          <w:sz w:val="24"/>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60" w:lineRule="auto"/>
        <w:jc w:val="center"/>
        <w:outlineLvl w:val="0"/>
        <w:rPr>
          <w:rFonts w:ascii="仿宋" w:hAnsi="仿宋" w:eastAsia="仿宋" w:cs="仿宋"/>
          <w:b/>
          <w:kern w:val="0"/>
          <w:sz w:val="24"/>
          <w:highlight w:val="none"/>
        </w:rPr>
      </w:pPr>
      <w:r>
        <w:rPr>
          <w:rFonts w:hint="eastAsia" w:ascii="仿宋" w:hAnsi="仿宋" w:eastAsia="仿宋" w:cs="仿宋"/>
          <w:sz w:val="24"/>
          <w:highlight w:val="none"/>
        </w:rPr>
        <w:t xml:space="preserve">                                  日 期：</w:t>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（1）投标函…………………………………………………………………………（页码）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（2）法定代表人授权书 …………………………………………………………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（3）授权代表社保证明…………………………………………………………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（4）法定代表人及其授权代表身份证复印件（复印件）……………………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（5）法定代表人身份证明书……………………………………………………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（6）商务技术偏离表……………………………………………………………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 （页码）</w:t>
      </w:r>
    </w:p>
    <w:p>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sz w:val="24"/>
          <w:highlight w:val="none"/>
        </w:rPr>
        <w:t xml:space="preserve">…………… </w:t>
      </w:r>
      <w:r>
        <w:rPr>
          <w:rFonts w:hint="eastAsia" w:ascii="仿宋" w:hAnsi="仿宋" w:eastAsia="仿宋" w:cs="仿宋"/>
          <w:kern w:val="0"/>
          <w:sz w:val="24"/>
          <w:highlight w:val="none"/>
        </w:rPr>
        <w:t>（页码）</w:t>
      </w:r>
    </w:p>
    <w:p>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sz w:val="24"/>
          <w:highlight w:val="none"/>
        </w:rPr>
        <w:t xml:space="preserve">………………… </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pPr>
        <w:spacing w:line="360" w:lineRule="auto"/>
        <w:ind w:right="-368" w:rightChars="-175"/>
        <w:rPr>
          <w:rFonts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rPr>
          <w:rFonts w:ascii="仿宋" w:hAnsi="仿宋" w:eastAsia="仿宋" w:cs="仿宋"/>
          <w:b/>
          <w:kern w:val="0"/>
          <w:sz w:val="32"/>
          <w:szCs w:val="32"/>
          <w:highlight w:val="none"/>
          <w:lang w:val="zh-CN"/>
        </w:rPr>
      </w:pPr>
    </w:p>
    <w:p>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400"/>
        <w:spacing w:after="120" w:line="336" w:lineRule="auto"/>
        <w:ind w:firstLine="0" w:firstLineChars="0"/>
        <w:rPr>
          <w:rFonts w:ascii="仿宋" w:hAnsi="仿宋" w:eastAsia="仿宋" w:cs="仿宋"/>
          <w:szCs w:val="24"/>
          <w:highlight w:val="none"/>
        </w:rPr>
      </w:pPr>
      <w:r>
        <w:rPr>
          <w:rFonts w:hint="eastAsia" w:ascii="仿宋_GB2312" w:hAnsi="宋体" w:eastAsia="仿宋_GB2312"/>
          <w:szCs w:val="24"/>
          <w:highlight w:val="none"/>
        </w:rPr>
        <w:t>致：</w:t>
      </w:r>
      <w:r>
        <w:rPr>
          <w:rFonts w:hint="eastAsia" w:ascii="仿宋_GB2312" w:hAnsi="宋体" w:eastAsia="仿宋_GB2312"/>
          <w:szCs w:val="24"/>
          <w:highlight w:val="none"/>
          <w:u w:val="single"/>
        </w:rPr>
        <w:t xml:space="preserve"> </w:t>
      </w:r>
      <w:r>
        <w:rPr>
          <w:rFonts w:hint="eastAsia" w:ascii="仿宋" w:hAnsi="仿宋" w:eastAsia="仿宋" w:cs="仿宋"/>
          <w:highlight w:val="none"/>
          <w:u w:val="single"/>
        </w:rPr>
        <w:t>（采购人）、（采购代理机构）</w:t>
      </w:r>
      <w:r>
        <w:rPr>
          <w:rFonts w:hint="eastAsia" w:ascii="仿宋_GB2312" w:hAnsi="宋体" w:eastAsia="仿宋_GB2312"/>
          <w:szCs w:val="24"/>
          <w:highlight w:val="none"/>
          <w:u w:val="single"/>
        </w:rPr>
        <w:t xml:space="preserve"> </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ascii="仿宋" w:hAnsi="仿宋" w:eastAsia="仿宋" w:cs="仿宋"/>
          <w:b/>
          <w:kern w:val="0"/>
          <w:sz w:val="32"/>
          <w:szCs w:val="32"/>
          <w:highlight w:val="none"/>
          <w:lang w:val="zh-CN"/>
        </w:rPr>
      </w:pPr>
    </w:p>
    <w:p>
      <w:pPr>
        <w:autoSpaceDE w:val="0"/>
        <w:autoSpaceDN w:val="0"/>
        <w:spacing w:line="360" w:lineRule="auto"/>
        <w:jc w:val="center"/>
        <w:rPr>
          <w:rFonts w:ascii="仿宋" w:hAnsi="仿宋" w:eastAsia="仿宋" w:cs="仿宋"/>
          <w:b/>
          <w:kern w:val="0"/>
          <w:sz w:val="32"/>
          <w:szCs w:val="32"/>
          <w:highlight w:val="none"/>
          <w:lang w:val="zh-CN"/>
        </w:rPr>
      </w:pPr>
    </w:p>
    <w:p>
      <w:pPr>
        <w:spacing w:line="800" w:lineRule="exact"/>
        <w:rPr>
          <w:rFonts w:ascii="仿宋" w:hAnsi="仿宋" w:eastAsia="仿宋" w:cs="仿宋"/>
          <w:b/>
          <w:sz w:val="30"/>
          <w:szCs w:val="30"/>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三、授权代表社保证明</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ascii="仿宋" w:hAnsi="仿宋" w:eastAsia="仿宋" w:cs="仿宋"/>
          <w:b/>
          <w:sz w:val="30"/>
          <w:szCs w:val="30"/>
          <w:highlight w:val="none"/>
        </w:rPr>
      </w:pPr>
    </w:p>
    <w:p>
      <w:pPr>
        <w:spacing w:line="800" w:lineRule="exact"/>
        <w:jc w:val="center"/>
        <w:rPr>
          <w:rFonts w:ascii="仿宋" w:hAnsi="仿宋" w:eastAsia="仿宋" w:cs="仿宋"/>
          <w:b/>
          <w:sz w:val="30"/>
          <w:szCs w:val="30"/>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30"/>
          <w:szCs w:val="30"/>
          <w:highlight w:val="none"/>
        </w:rPr>
      </w:pPr>
    </w:p>
    <w:p>
      <w:pPr>
        <w:spacing w:line="800" w:lineRule="exact"/>
        <w:jc w:val="center"/>
        <w:rPr>
          <w:rFonts w:ascii="仿宋" w:hAnsi="仿宋" w:eastAsia="仿宋" w:cs="仿宋"/>
          <w:b/>
          <w:sz w:val="30"/>
          <w:szCs w:val="30"/>
          <w:highlight w:val="none"/>
        </w:rPr>
      </w:pPr>
    </w:p>
    <w:p>
      <w:pPr>
        <w:spacing w:line="800" w:lineRule="exact"/>
        <w:jc w:val="center"/>
        <w:rPr>
          <w:rFonts w:ascii="仿宋" w:hAnsi="仿宋" w:eastAsia="仿宋" w:cs="仿宋"/>
          <w:b/>
          <w:sz w:val="30"/>
          <w:szCs w:val="30"/>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ind w:firstLine="5520" w:firstLineChars="2300"/>
        <w:rPr>
          <w:rFonts w:ascii="仿宋" w:hAnsi="仿宋" w:eastAsia="仿宋" w:cs="仿宋"/>
          <w:sz w:val="24"/>
          <w:highlight w:val="none"/>
        </w:rPr>
      </w:pPr>
      <w:r>
        <w:rPr>
          <w:rFonts w:hint="eastAsia" w:ascii="仿宋" w:hAnsi="仿宋" w:eastAsia="仿宋" w:cs="仿宋"/>
          <w:sz w:val="24"/>
          <w:highlight w:val="none"/>
        </w:rPr>
        <w:t xml:space="preserve">投标人名称（电子签章）：                             </w:t>
      </w:r>
    </w:p>
    <w:p>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日期：年   月   日</w:t>
      </w:r>
    </w:p>
    <w:p>
      <w:pPr>
        <w:jc w:val="center"/>
        <w:rPr>
          <w:rFonts w:ascii="仿宋" w:hAnsi="仿宋" w:eastAsia="仿宋" w:cs="仿宋"/>
          <w:b/>
          <w:kern w:val="0"/>
          <w:sz w:val="32"/>
          <w:szCs w:val="32"/>
          <w:highlight w:val="none"/>
        </w:rPr>
      </w:pPr>
    </w:p>
    <w:p>
      <w:pP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spacing w:line="360" w:lineRule="auto"/>
        <w:ind w:right="420"/>
        <w:rPr>
          <w:rFonts w:ascii="仿宋" w:hAnsi="仿宋" w:eastAsia="仿宋" w:cs="仿宋"/>
          <w:b/>
          <w:bCs/>
          <w:sz w:val="32"/>
          <w:szCs w:val="32"/>
          <w:highlight w:val="none"/>
        </w:rPr>
      </w:pPr>
      <w:r>
        <w:rPr>
          <w:rFonts w:hint="eastAsia" w:ascii="仿宋" w:hAnsi="仿宋" w:eastAsia="仿宋" w:cs="仿宋"/>
          <w:sz w:val="24"/>
          <w:highlight w:val="none"/>
        </w:rPr>
        <w:t>注：按本格式和要求提供。</w:t>
      </w:r>
    </w:p>
    <w:p>
      <w:pPr>
        <w:widowControl/>
        <w:adjustRightInd/>
        <w:jc w:val="left"/>
        <w:rPr>
          <w:rFonts w:ascii="仿宋" w:hAnsi="仿宋" w:eastAsia="仿宋" w:cs="仿宋"/>
          <w:b/>
          <w:bCs/>
          <w:sz w:val="32"/>
          <w:szCs w:val="32"/>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widowControl/>
        <w:adjustRightInd/>
        <w:jc w:val="center"/>
        <w:rPr>
          <w:rFonts w:ascii="仿宋" w:hAnsi="仿宋" w:eastAsia="仿宋" w:cs="仿宋"/>
          <w:b/>
          <w:bCs/>
          <w:sz w:val="32"/>
          <w:szCs w:val="32"/>
          <w:highlight w:val="none"/>
        </w:rPr>
      </w:pPr>
      <w:r>
        <w:rPr>
          <w:rFonts w:hint="eastAsia" w:ascii="仿宋" w:hAnsi="仿宋" w:eastAsia="仿宋" w:cs="仿宋"/>
          <w:sz w:val="24"/>
          <w:highlight w:val="none"/>
        </w:rPr>
        <w:t xml:space="preserve">                                  日 期：</w:t>
      </w:r>
    </w:p>
    <w:p>
      <w:pPr>
        <w:widowControl/>
        <w:adjustRightInd/>
        <w:jc w:val="center"/>
        <w:rPr>
          <w:rFonts w:ascii="仿宋" w:hAnsi="仿宋" w:eastAsia="仿宋" w:cs="仿宋"/>
          <w:b/>
          <w:bCs/>
          <w:sz w:val="32"/>
          <w:szCs w:val="32"/>
          <w:highlight w:val="none"/>
        </w:rPr>
      </w:pPr>
    </w:p>
    <w:p>
      <w:pPr>
        <w:widowControl/>
        <w:adjustRightInd/>
        <w:jc w:val="center"/>
        <w:rPr>
          <w:rFonts w:ascii="仿宋" w:hAnsi="仿宋" w:eastAsia="仿宋" w:cs="仿宋"/>
          <w:b/>
          <w:bCs/>
          <w:sz w:val="32"/>
          <w:szCs w:val="32"/>
          <w:highlight w:val="none"/>
        </w:rPr>
      </w:pPr>
    </w:p>
    <w:p>
      <w:pPr>
        <w:widowControl/>
        <w:adjustRightInd/>
        <w:jc w:val="center"/>
        <w:rPr>
          <w:rFonts w:ascii="仿宋" w:hAnsi="仿宋" w:eastAsia="仿宋" w:cs="仿宋"/>
          <w:b/>
          <w:bCs/>
          <w:sz w:val="32"/>
          <w:szCs w:val="32"/>
          <w:highlight w:val="none"/>
        </w:rPr>
      </w:pPr>
    </w:p>
    <w:p>
      <w:pPr>
        <w:widowControl/>
        <w:adjustRightInd/>
        <w:jc w:val="center"/>
        <w:rPr>
          <w:rFonts w:ascii="仿宋" w:hAnsi="仿宋" w:eastAsia="仿宋" w:cs="仿宋"/>
          <w:b/>
          <w:bCs/>
          <w:sz w:val="32"/>
          <w:szCs w:val="32"/>
          <w:highlight w:val="none"/>
        </w:rPr>
      </w:pPr>
    </w:p>
    <w:p>
      <w:pPr>
        <w:widowControl/>
        <w:adjustRightInd/>
        <w:jc w:val="center"/>
        <w:rPr>
          <w:rFonts w:ascii="仿宋" w:hAnsi="仿宋" w:eastAsia="仿宋" w:cs="仿宋"/>
          <w:b/>
          <w:bCs/>
          <w:sz w:val="32"/>
          <w:szCs w:val="32"/>
          <w:highlight w:val="none"/>
        </w:rPr>
      </w:pPr>
    </w:p>
    <w:p>
      <w:pPr>
        <w:widowControl/>
        <w:adjustRightInd/>
        <w:jc w:val="center"/>
        <w:rPr>
          <w:rFonts w:ascii="仿宋" w:hAnsi="仿宋" w:eastAsia="仿宋" w:cs="仿宋"/>
          <w:b/>
          <w:bCs/>
          <w:sz w:val="32"/>
          <w:szCs w:val="32"/>
          <w:highlight w:val="none"/>
        </w:rPr>
      </w:pPr>
    </w:p>
    <w:p>
      <w:pPr>
        <w:widowControl/>
        <w:adjustRightInd/>
        <w:jc w:val="center"/>
        <w:rPr>
          <w:rFonts w:ascii="仿宋" w:hAnsi="仿宋" w:eastAsia="仿宋" w:cs="仿宋"/>
          <w:b/>
          <w:bCs/>
          <w:sz w:val="32"/>
          <w:szCs w:val="32"/>
          <w:highlight w:val="none"/>
        </w:rPr>
      </w:pPr>
    </w:p>
    <w:p>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ascii="仿宋" w:hAnsi="仿宋" w:eastAsia="仿宋" w:cs="仿宋"/>
          <w:b/>
          <w:bCs/>
          <w:sz w:val="24"/>
          <w:highlight w:val="none"/>
        </w:rPr>
      </w:pPr>
    </w:p>
    <w:p>
      <w:pPr>
        <w:pStyle w:val="115"/>
        <w:jc w:val="center"/>
        <w:rPr>
          <w:rFonts w:ascii="仿宋" w:hAnsi="仿宋" w:eastAsia="仿宋" w:cs="仿宋"/>
          <w:b/>
          <w:bCs/>
          <w:color w:val="auto"/>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51"/>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1.9pt;width:443.3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highlight w:val="none"/>
        </w:rPr>
        <w:object>
          <v:shape id="_x0000_i1026" o:spt="75" type="#_x0000_t75" style="height:41.9pt;width:441.15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0"/>
          <w:szCs w:val="30"/>
          <w:highlight w:val="none"/>
        </w:rPr>
        <w:t>十一</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p>
    <w:p>
      <w:pPr>
        <w:pStyle w:val="115"/>
        <w:rPr>
          <w:color w:val="auto"/>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36" w:lineRule="auto"/>
        <w:ind w:firstLine="3600" w:firstLineChars="1500"/>
        <w:rPr>
          <w:rFonts w:ascii="仿宋" w:hAnsi="仿宋" w:eastAsia="仿宋" w:cs="仿宋"/>
          <w:sz w:val="24"/>
          <w:highlight w:val="none"/>
        </w:rPr>
      </w:pPr>
    </w:p>
    <w:p>
      <w:pPr>
        <w:pStyle w:val="115"/>
        <w:rPr>
          <w:color w:val="auto"/>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115"/>
        <w:rPr>
          <w:color w:val="auto"/>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附表C:本项目的项目负责人和小组人员社会保障资金记录情况表/商业保险</w:t>
      </w:r>
      <w:r>
        <w:rPr>
          <w:rFonts w:hint="eastAsia" w:ascii="仿宋_GB2312" w:hAnsi="仿宋_GB2312" w:eastAsia="仿宋_GB2312" w:cs="仿宋_GB2312"/>
          <w:sz w:val="24"/>
          <w:highlight w:val="none"/>
        </w:rPr>
        <w:t>（以社保部门出具缴纳凭证/商业保险证明材料作附件）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rPr>
          <w:rFonts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pStyle w:val="115"/>
        <w:rPr>
          <w:color w:val="auto"/>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pStyle w:val="81"/>
        <w:rPr>
          <w:rFonts w:hint="default" w:ascii="仿宋_GB2312" w:hAnsi="仿宋_GB2312" w:eastAsia="仿宋_GB2312" w:cs="仿宋_GB2312"/>
          <w:b/>
          <w:bCs/>
          <w:sz w:val="32"/>
          <w:szCs w:val="32"/>
          <w:highlight w:val="none"/>
        </w:rPr>
      </w:pPr>
    </w:p>
    <w:p>
      <w:pPr>
        <w:pStyle w:val="81"/>
        <w:rPr>
          <w:rFonts w:hint="default" w:ascii="仿宋_GB2312" w:hAnsi="仿宋_GB2312" w:eastAsia="仿宋_GB2312" w:cs="仿宋_GB2312"/>
          <w:b/>
          <w:bCs/>
          <w:sz w:val="32"/>
          <w:szCs w:val="32"/>
          <w:highlight w:val="none"/>
        </w:rPr>
      </w:pPr>
    </w:p>
    <w:p>
      <w:pPr>
        <w:pStyle w:val="81"/>
        <w:rPr>
          <w:rFonts w:hint="default" w:ascii="仿宋_GB2312" w:hAnsi="仿宋_GB2312" w:eastAsia="仿宋_GB2312" w:cs="仿宋_GB2312"/>
          <w:b/>
          <w:bCs/>
          <w:sz w:val="32"/>
          <w:szCs w:val="32"/>
          <w:highlight w:val="none"/>
        </w:rPr>
      </w:pPr>
    </w:p>
    <w:p>
      <w:pPr>
        <w:pStyle w:val="81"/>
        <w:rPr>
          <w:rFonts w:hint="default" w:ascii="仿宋_GB2312" w:hAnsi="仿宋_GB2312" w:eastAsia="仿宋_GB2312" w:cs="仿宋_GB2312"/>
          <w:b/>
          <w:bCs/>
          <w:sz w:val="32"/>
          <w:szCs w:val="32"/>
          <w:highlight w:val="none"/>
        </w:rPr>
      </w:pPr>
    </w:p>
    <w:p>
      <w:pPr>
        <w:pStyle w:val="81"/>
        <w:rPr>
          <w:rFonts w:hint="default" w:ascii="仿宋_GB2312" w:hAnsi="仿宋_GB2312" w:eastAsia="仿宋_GB2312" w:cs="仿宋_GB2312"/>
          <w:b/>
          <w:bCs/>
          <w:sz w:val="32"/>
          <w:szCs w:val="32"/>
          <w:highlight w:val="none"/>
        </w:rPr>
      </w:pPr>
    </w:p>
    <w:p>
      <w:pPr>
        <w:pStyle w:val="81"/>
        <w:rPr>
          <w:rFonts w:hint="default" w:ascii="仿宋_GB2312" w:hAnsi="仿宋_GB2312" w:eastAsia="仿宋_GB2312" w:cs="仿宋_GB2312"/>
          <w:b/>
          <w:bCs/>
          <w:sz w:val="32"/>
          <w:szCs w:val="32"/>
          <w:highlight w:val="none"/>
        </w:rPr>
      </w:pPr>
    </w:p>
    <w:p>
      <w:pPr>
        <w:pStyle w:val="81"/>
        <w:rPr>
          <w:rFonts w:hint="default"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116"/>
        <w:rPr>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pStyle w:val="23"/>
        <w:snapToGrid w:val="0"/>
        <w:rPr>
          <w:rFonts w:ascii="仿宋" w:hAnsi="仿宋" w:eastAsia="仿宋" w:cs="仿宋"/>
          <w:highlight w:val="none"/>
        </w:rPr>
      </w:pPr>
      <w:r>
        <w:rPr>
          <w:rFonts w:ascii="仿宋" w:hAnsi="仿宋" w:eastAsia="仿宋" w:cs="仿宋"/>
          <w:szCs w:val="24"/>
          <w:highlight w:val="none"/>
          <w:lang w:val="en-US"/>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w:t>
      </w:r>
      <w:r>
        <w:rPr>
          <w:rFonts w:hint="eastAsia" w:ascii="仿宋" w:hAnsi="仿宋" w:eastAsia="仿宋" w:cs="仿宋"/>
          <w:b/>
          <w:kern w:val="0"/>
          <w:sz w:val="24"/>
          <w:highlight w:val="none"/>
          <w:lang w:val="en-US" w:eastAsia="zh-CN"/>
        </w:rPr>
        <w:t>%</w:t>
      </w:r>
      <w:r>
        <w:rPr>
          <w:rFonts w:hint="eastAsia" w:ascii="仿宋" w:hAnsi="仿宋" w:eastAsia="仿宋" w:cs="仿宋"/>
          <w:b/>
          <w:kern w:val="0"/>
          <w:sz w:val="24"/>
          <w:highlight w:val="none"/>
          <w:lang w:val="zh-CN"/>
        </w:rPr>
        <w:t>)</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992"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2268"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服务范围</w:t>
            </w:r>
          </w:p>
        </w:tc>
        <w:tc>
          <w:tcPr>
            <w:tcW w:w="241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服务要求</w:t>
            </w:r>
          </w:p>
        </w:tc>
        <w:tc>
          <w:tcPr>
            <w:tcW w:w="226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服务时间</w:t>
            </w:r>
          </w:p>
        </w:tc>
        <w:tc>
          <w:tcPr>
            <w:tcW w:w="2126"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服务标准</w:t>
            </w:r>
          </w:p>
        </w:tc>
        <w:tc>
          <w:tcPr>
            <w:tcW w:w="2127"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服务人数</w:t>
            </w:r>
          </w:p>
        </w:tc>
        <w:tc>
          <w:tcPr>
            <w:tcW w:w="2126"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992"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992"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eastAsia="zh-CN"/>
              </w:rPr>
              <w:t>单价统一下浮率</w:t>
            </w:r>
            <w:r>
              <w:rPr>
                <w:rFonts w:hint="eastAsia" w:ascii="仿宋" w:hAnsi="仿宋" w:eastAsia="仿宋" w:cs="仿宋"/>
                <w:b/>
                <w:sz w:val="24"/>
                <w:highlight w:val="none"/>
              </w:rPr>
              <w:t>（小写）</w:t>
            </w:r>
          </w:p>
        </w:tc>
        <w:tc>
          <w:tcPr>
            <w:tcW w:w="8647" w:type="dxa"/>
            <w:gridSpan w:val="4"/>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eastAsia="zh-CN"/>
              </w:rPr>
              <w:t>单价统一下浮率</w:t>
            </w:r>
            <w:r>
              <w:rPr>
                <w:rFonts w:hint="eastAsia" w:ascii="仿宋" w:hAnsi="仿宋" w:eastAsia="仿宋" w:cs="仿宋"/>
                <w:b/>
                <w:sz w:val="24"/>
                <w:highlight w:val="none"/>
              </w:rPr>
              <w:t>（大写）</w:t>
            </w:r>
          </w:p>
        </w:tc>
        <w:tc>
          <w:tcPr>
            <w:tcW w:w="8647" w:type="dxa"/>
            <w:gridSpan w:val="4"/>
          </w:tcPr>
          <w:p>
            <w:pPr>
              <w:spacing w:line="360" w:lineRule="auto"/>
              <w:jc w:val="center"/>
              <w:rPr>
                <w:rFonts w:ascii="仿宋" w:hAnsi="仿宋" w:eastAsia="仿宋" w:cs="仿宋"/>
                <w:sz w:val="24"/>
                <w:highlight w:val="none"/>
              </w:rPr>
            </w:pPr>
          </w:p>
        </w:tc>
      </w:tr>
    </w:tbl>
    <w:p>
      <w:pPr>
        <w:snapToGrid w:val="0"/>
        <w:spacing w:line="360" w:lineRule="auto"/>
        <w:ind w:firstLine="482" w:firstLineChars="200"/>
        <w:rPr>
          <w:rFonts w:ascii="仿宋" w:hAnsi="仿宋" w:eastAsia="仿宋" w:cs="仿宋"/>
          <w:b/>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b/>
          <w:bCs/>
          <w:color w:val="auto"/>
          <w:sz w:val="24"/>
          <w:highlight w:val="none"/>
          <w:shd w:val="clear" w:color="auto" w:fill="auto"/>
          <w:lang w:val="en-US" w:eastAsia="zh-CN"/>
        </w:rPr>
        <w:t>以上报价中的参考计算方式：现价=原价*（1-下浮率），本次报价仅有一个统一下浮率。</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highlight w:val="none"/>
        </w:rPr>
      </w:pPr>
    </w:p>
    <w:p>
      <w:pPr>
        <w:spacing w:line="336" w:lineRule="auto"/>
        <w:ind w:firstLine="6720" w:firstLineChars="28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sz w:val="24"/>
          <w:highlight w:val="none"/>
        </w:rPr>
        <w:t xml:space="preserve">     日期：  年   月   日</w:t>
      </w:r>
    </w:p>
    <w:p>
      <w:pPr>
        <w:pStyle w:val="695"/>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5"/>
        <w:rPr>
          <w:rFonts w:ascii="仿宋" w:hAnsi="仿宋" w:eastAsia="仿宋" w:cs="仿宋"/>
          <w:b/>
          <w:color w:val="auto"/>
          <w:highlight w:val="none"/>
        </w:rPr>
      </w:pPr>
    </w:p>
    <w:p>
      <w:pPr>
        <w:pStyle w:val="116"/>
        <w:rPr>
          <w:rFonts w:ascii="仿宋" w:hAnsi="仿宋" w:eastAsia="仿宋" w:cs="仿宋"/>
          <w:b/>
          <w:sz w:val="24"/>
          <w:highlight w:val="none"/>
        </w:rPr>
      </w:pPr>
    </w:p>
    <w:p>
      <w:pPr>
        <w:rPr>
          <w:rFonts w:ascii="仿宋" w:hAnsi="仿宋" w:eastAsia="仿宋" w:cs="仿宋"/>
          <w:b/>
          <w:sz w:val="24"/>
          <w:highlight w:val="none"/>
        </w:rPr>
      </w:pPr>
    </w:p>
    <w:p>
      <w:pPr>
        <w:pStyle w:val="115"/>
        <w:rPr>
          <w:rFonts w:ascii="仿宋" w:hAnsi="仿宋" w:eastAsia="仿宋" w:cs="仿宋"/>
          <w:b/>
          <w:color w:val="auto"/>
          <w:highlight w:val="none"/>
        </w:rPr>
      </w:pPr>
    </w:p>
    <w:p>
      <w:pPr>
        <w:pStyle w:val="116"/>
        <w:rPr>
          <w:rFonts w:ascii="仿宋" w:hAnsi="仿宋" w:eastAsia="仿宋" w:cs="仿宋"/>
          <w:b/>
          <w:sz w:val="24"/>
          <w:highlight w:val="none"/>
        </w:rPr>
      </w:pPr>
    </w:p>
    <w:p>
      <w:pPr>
        <w:rPr>
          <w:highlight w:val="none"/>
        </w:rPr>
      </w:pPr>
    </w:p>
    <w:p>
      <w:pPr>
        <w:widowControl/>
        <w:spacing w:line="360" w:lineRule="auto"/>
        <w:ind w:firstLine="161" w:firstLineChars="50"/>
        <w:jc w:val="center"/>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三、残疾人福利性单位声明函（如果有）</w:t>
      </w:r>
    </w:p>
    <w:p>
      <w:pPr>
        <w:pStyle w:val="23"/>
        <w:widowControl/>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pPr>
        <w:pStyle w:val="695"/>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r>
        <w:rPr>
          <w:rFonts w:hint="eastAsia" w:ascii="仿宋" w:hAnsi="仿宋" w:eastAsia="仿宋" w:cs="仿宋"/>
          <w:highlight w:val="none"/>
        </w:rPr>
        <w:t>附件</w:t>
      </w: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pPr>
        <w:widowControl/>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2" w:name="_Hlk101131882"/>
      <w:r>
        <w:rPr>
          <w:rFonts w:hint="eastAsia" w:ascii="仿宋" w:hAnsi="仿宋" w:eastAsia="仿宋" w:cs="仿宋"/>
          <w:kern w:val="0"/>
          <w:sz w:val="24"/>
          <w:highlight w:val="none"/>
          <w:u w:val="single"/>
        </w:rPr>
        <w:t>联合体成员X,……</w:t>
      </w:r>
      <w:bookmarkEnd w:id="172"/>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73"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73"/>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74"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74"/>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ind w:firstLine="3666" w:firstLineChars="1100"/>
        <w:rPr>
          <w:rFonts w:ascii="仿宋" w:hAnsi="仿宋" w:eastAsia="仿宋" w:cs="仿宋"/>
          <w:b/>
          <w:spacing w:val="6"/>
          <w:sz w:val="32"/>
          <w:szCs w:val="32"/>
          <w:highlight w:val="none"/>
        </w:rPr>
      </w:pPr>
    </w:p>
    <w:p>
      <w:pPr>
        <w:widowControl/>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pPr>
        <w:widowControl/>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spacing w:line="440" w:lineRule="exact"/>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115"/>
        <w:rPr>
          <w:rFonts w:ascii="仿宋" w:hAnsi="仿宋" w:eastAsia="仿宋" w:cs="仿宋"/>
          <w:b/>
          <w:color w:val="auto"/>
          <w:spacing w:val="6"/>
          <w:sz w:val="32"/>
          <w:szCs w:val="32"/>
          <w:highlight w:val="none"/>
        </w:rPr>
      </w:pPr>
    </w:p>
    <w:p>
      <w:pPr>
        <w:pStyle w:val="116"/>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115"/>
        <w:rPr>
          <w:rFonts w:ascii="仿宋" w:hAnsi="仿宋" w:eastAsia="仿宋" w:cs="仿宋"/>
          <w:b/>
          <w:color w:val="auto"/>
          <w:spacing w:val="6"/>
          <w:sz w:val="32"/>
          <w:szCs w:val="32"/>
          <w:highlight w:val="none"/>
        </w:rPr>
      </w:pPr>
    </w:p>
    <w:p>
      <w:pPr>
        <w:pStyle w:val="116"/>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115"/>
        <w:rPr>
          <w:rFonts w:ascii="仿宋" w:hAnsi="仿宋" w:eastAsia="仿宋" w:cs="仿宋"/>
          <w:b/>
          <w:color w:val="auto"/>
          <w:spacing w:val="6"/>
          <w:sz w:val="32"/>
          <w:szCs w:val="32"/>
          <w:highlight w:val="none"/>
        </w:rPr>
      </w:pPr>
    </w:p>
    <w:p>
      <w:pPr>
        <w:pStyle w:val="116"/>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115"/>
        <w:rPr>
          <w:rFonts w:ascii="仿宋" w:hAnsi="仿宋" w:eastAsia="仿宋" w:cs="仿宋"/>
          <w:b/>
          <w:color w:val="auto"/>
          <w:spacing w:val="6"/>
          <w:sz w:val="32"/>
          <w:szCs w:val="32"/>
          <w:highlight w:val="none"/>
        </w:rPr>
      </w:pPr>
    </w:p>
    <w:p>
      <w:pPr>
        <w:pStyle w:val="116"/>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115"/>
        <w:rPr>
          <w:rFonts w:ascii="仿宋" w:hAnsi="仿宋" w:eastAsia="仿宋" w:cs="仿宋"/>
          <w:b/>
          <w:color w:val="auto"/>
          <w:spacing w:val="6"/>
          <w:sz w:val="32"/>
          <w:szCs w:val="32"/>
          <w:highlight w:val="none"/>
        </w:rPr>
      </w:pPr>
    </w:p>
    <w:p>
      <w:pPr>
        <w:pStyle w:val="116"/>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115"/>
        <w:rPr>
          <w:rFonts w:ascii="仿宋" w:hAnsi="仿宋" w:eastAsia="仿宋" w:cs="仿宋"/>
          <w:b/>
          <w:color w:val="auto"/>
          <w:spacing w:val="6"/>
          <w:sz w:val="32"/>
          <w:szCs w:val="32"/>
          <w:highlight w:val="none"/>
        </w:rPr>
      </w:pPr>
    </w:p>
    <w:p>
      <w:pPr>
        <w:pStyle w:val="116"/>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115"/>
        <w:rPr>
          <w:color w:val="auto"/>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75" w:name="OLE_LINK13"/>
      <w:bookmarkStart w:id="176" w:name="OLE_LINK14"/>
      <w:r>
        <w:rPr>
          <w:rFonts w:hint="eastAsia" w:ascii="仿宋" w:hAnsi="仿宋" w:eastAsia="仿宋" w:cs="仿宋"/>
          <w:b/>
          <w:spacing w:val="6"/>
          <w:sz w:val="32"/>
          <w:szCs w:val="32"/>
          <w:highlight w:val="none"/>
        </w:rPr>
        <w:t>残疾人福利性单位声明函</w:t>
      </w:r>
    </w:p>
    <w:bookmarkEnd w:id="175"/>
    <w:bookmarkEnd w:id="176"/>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3"/>
        <w:rPr>
          <w:rFonts w:ascii="仿宋" w:hAnsi="仿宋" w:eastAsia="仿宋" w:cs="仿宋"/>
          <w:highlight w:val="none"/>
        </w:rPr>
      </w:pPr>
    </w:p>
    <w:p>
      <w:pPr>
        <w:snapToGrid w:val="0"/>
        <w:spacing w:line="360" w:lineRule="auto"/>
        <w:rPr>
          <w:rFonts w:ascii="仿宋" w:hAnsi="仿宋" w:eastAsia="仿宋" w:cs="仿宋"/>
          <w:b/>
          <w:kern w:val="0"/>
          <w:sz w:val="32"/>
          <w:szCs w:val="32"/>
          <w:highlight w:val="none"/>
        </w:rPr>
      </w:pPr>
    </w:p>
    <w:p>
      <w:pPr>
        <w:snapToGrid w:val="0"/>
        <w:spacing w:line="360" w:lineRule="auto"/>
        <w:rPr>
          <w:rFonts w:ascii="仿宋" w:hAnsi="仿宋" w:eastAsia="仿宋" w:cs="仿宋"/>
          <w:b/>
          <w:kern w:val="0"/>
          <w:sz w:val="32"/>
          <w:szCs w:val="32"/>
          <w:highlight w:val="none"/>
        </w:rPr>
      </w:pPr>
    </w:p>
    <w:p>
      <w:pPr>
        <w:snapToGrid w:val="0"/>
        <w:spacing w:line="360" w:lineRule="auto"/>
        <w:rPr>
          <w:rFonts w:ascii="仿宋" w:hAnsi="仿宋" w:eastAsia="仿宋" w:cs="仿宋"/>
          <w:b/>
          <w:kern w:val="0"/>
          <w:sz w:val="32"/>
          <w:szCs w:val="32"/>
          <w:highlight w:val="none"/>
        </w:rPr>
      </w:pPr>
    </w:p>
    <w:p>
      <w:pPr>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ascii="仿宋" w:eastAsia="仿宋" w:cs="仿宋"/>
          <w:highlight w:val="none"/>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bookmarkStart w:id="177" w:name="_Toc36110187"/>
    <w:bookmarkStart w:id="178" w:name="_Toc91899912"/>
    <w:bookmarkStart w:id="179" w:name="_Toc131845147"/>
    <w:bookmarkStart w:id="180" w:name="_Toc164085800"/>
    <w:r>
      <w:rPr>
        <w:rFonts w:hint="eastAsia" w:ascii="仿宋_GB2312" w:eastAsia="仿宋_GB2312"/>
        <w:kern w:val="0"/>
        <w:szCs w:val="21"/>
      </w:rPr>
      <w:t xml:space="preserve"> 页</w:t>
    </w:r>
    <w:bookmarkEnd w:id="177"/>
    <w:bookmarkEnd w:id="178"/>
    <w:bookmarkEnd w:id="179"/>
    <w:bookmarkEnd w:id="18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eastAsia="仿宋"/>
      </w:rPr>
    </w:pPr>
    <w:r>
      <w:rPr>
        <w:rFonts w:hint="eastAsia" w:ascii="仿宋" w:hAnsi="仿宋" w:eastAsia="仿宋" w:cs="仿宋"/>
      </w:rPr>
      <w:t>代理机构：绍兴市嘉华项目管理有限公司                              文件编号:SXJHCG-2024-N0231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rPr>
        <w:rFonts w:eastAsia="仿宋"/>
      </w:rPr>
    </w:pPr>
    <w:r>
      <w:rPr>
        <w:rFonts w:hint="eastAsia" w:ascii="仿宋" w:hAnsi="仿宋" w:eastAsia="仿宋" w:cs="仿宋"/>
        <w:u w:val="single"/>
      </w:rPr>
      <w:t>代理机构：绍兴市嘉华项目管理有限公司                              文件编号:SXJHCG-2024-N0231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文件编号:SXJHCG-2024-N0231</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 xml:space="preserve">代理机构：绍兴市嘉华项目管理有限公司                                       文件编号:SXJHCG-2024-N0231  </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文件编号:SXJHCG-2024-N0231</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文件编号:SXJHCG-2024-N0231</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文件编号:SXJHCG-2024-N0231</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文件编号:SXJHCG-2024-N0231</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BE5A815"/>
    <w:multiLevelType w:val="singleLevel"/>
    <w:tmpl w:val="5BE5A81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hNjIyZDEwOGQ5Njg0YjdkNjAwYTAxODUxOTMwNWEifQ=="/>
  </w:docVars>
  <w:rsids>
    <w:rsidRoot w:val="005A2E0D"/>
    <w:rsid w:val="0005132C"/>
    <w:rsid w:val="00387633"/>
    <w:rsid w:val="003B6650"/>
    <w:rsid w:val="00410E80"/>
    <w:rsid w:val="00423DF1"/>
    <w:rsid w:val="00506AEC"/>
    <w:rsid w:val="005A2E0D"/>
    <w:rsid w:val="006A1124"/>
    <w:rsid w:val="006D20E4"/>
    <w:rsid w:val="00727871"/>
    <w:rsid w:val="007849A4"/>
    <w:rsid w:val="00851C45"/>
    <w:rsid w:val="008E168A"/>
    <w:rsid w:val="00911D98"/>
    <w:rsid w:val="00A4520B"/>
    <w:rsid w:val="00A60A9F"/>
    <w:rsid w:val="00A738DC"/>
    <w:rsid w:val="00B8673D"/>
    <w:rsid w:val="00C12F5D"/>
    <w:rsid w:val="00DB2F61"/>
    <w:rsid w:val="03AD1D79"/>
    <w:rsid w:val="03D64DF8"/>
    <w:rsid w:val="04022990"/>
    <w:rsid w:val="04773804"/>
    <w:rsid w:val="047F0C77"/>
    <w:rsid w:val="04F220FF"/>
    <w:rsid w:val="05720B50"/>
    <w:rsid w:val="06D06920"/>
    <w:rsid w:val="06E118FF"/>
    <w:rsid w:val="087E43DF"/>
    <w:rsid w:val="0AD034F0"/>
    <w:rsid w:val="0C106839"/>
    <w:rsid w:val="0D8A41A1"/>
    <w:rsid w:val="0F156190"/>
    <w:rsid w:val="0F50443D"/>
    <w:rsid w:val="11E65CE9"/>
    <w:rsid w:val="14022F98"/>
    <w:rsid w:val="142D2812"/>
    <w:rsid w:val="16DE6045"/>
    <w:rsid w:val="177E10A4"/>
    <w:rsid w:val="1B5B4731"/>
    <w:rsid w:val="1BF22168"/>
    <w:rsid w:val="1C9102C2"/>
    <w:rsid w:val="1D0936F0"/>
    <w:rsid w:val="1DE36DBB"/>
    <w:rsid w:val="1DF42015"/>
    <w:rsid w:val="1F252981"/>
    <w:rsid w:val="1FC75A7D"/>
    <w:rsid w:val="230F010E"/>
    <w:rsid w:val="253A3C68"/>
    <w:rsid w:val="25521ACF"/>
    <w:rsid w:val="297C006E"/>
    <w:rsid w:val="29C70DEA"/>
    <w:rsid w:val="29E33F82"/>
    <w:rsid w:val="2A8D2CC3"/>
    <w:rsid w:val="2AF44741"/>
    <w:rsid w:val="2F2841D9"/>
    <w:rsid w:val="30946E78"/>
    <w:rsid w:val="30D50236"/>
    <w:rsid w:val="31965201"/>
    <w:rsid w:val="330F03AA"/>
    <w:rsid w:val="338E251C"/>
    <w:rsid w:val="348474CC"/>
    <w:rsid w:val="35D81E8E"/>
    <w:rsid w:val="35ED3757"/>
    <w:rsid w:val="36296BDA"/>
    <w:rsid w:val="36AD2DE2"/>
    <w:rsid w:val="36C95F72"/>
    <w:rsid w:val="36F20426"/>
    <w:rsid w:val="380E64CB"/>
    <w:rsid w:val="38F728EB"/>
    <w:rsid w:val="39726E4C"/>
    <w:rsid w:val="3AC51C1D"/>
    <w:rsid w:val="3B6A2E17"/>
    <w:rsid w:val="3D3E1B8B"/>
    <w:rsid w:val="3E123B32"/>
    <w:rsid w:val="3EC22607"/>
    <w:rsid w:val="3F1345E6"/>
    <w:rsid w:val="3F8E7D59"/>
    <w:rsid w:val="42580EE9"/>
    <w:rsid w:val="43B42F96"/>
    <w:rsid w:val="44C1472D"/>
    <w:rsid w:val="464C6278"/>
    <w:rsid w:val="49BC0410"/>
    <w:rsid w:val="49C8709B"/>
    <w:rsid w:val="4BE617E7"/>
    <w:rsid w:val="4CD6598B"/>
    <w:rsid w:val="4D687A29"/>
    <w:rsid w:val="4F1C2E7C"/>
    <w:rsid w:val="501A1A7A"/>
    <w:rsid w:val="52802490"/>
    <w:rsid w:val="54432B73"/>
    <w:rsid w:val="57C570B4"/>
    <w:rsid w:val="57E87EEE"/>
    <w:rsid w:val="582F1155"/>
    <w:rsid w:val="5B3E7BAA"/>
    <w:rsid w:val="5C7133B8"/>
    <w:rsid w:val="5D9A5143"/>
    <w:rsid w:val="5E0A4EF9"/>
    <w:rsid w:val="5E612863"/>
    <w:rsid w:val="5E7E05A8"/>
    <w:rsid w:val="5EC64665"/>
    <w:rsid w:val="5F941D5A"/>
    <w:rsid w:val="602B0F33"/>
    <w:rsid w:val="61BC71E8"/>
    <w:rsid w:val="63801356"/>
    <w:rsid w:val="64002820"/>
    <w:rsid w:val="65495469"/>
    <w:rsid w:val="66F36075"/>
    <w:rsid w:val="67B23590"/>
    <w:rsid w:val="681A5D7E"/>
    <w:rsid w:val="698E59B9"/>
    <w:rsid w:val="69E20025"/>
    <w:rsid w:val="69E47708"/>
    <w:rsid w:val="6B1819D1"/>
    <w:rsid w:val="6B6B3FF3"/>
    <w:rsid w:val="6C485B13"/>
    <w:rsid w:val="6DAF6D6D"/>
    <w:rsid w:val="6E2C05BA"/>
    <w:rsid w:val="6EB45F60"/>
    <w:rsid w:val="6EE968E4"/>
    <w:rsid w:val="70074972"/>
    <w:rsid w:val="70A912CD"/>
    <w:rsid w:val="71667953"/>
    <w:rsid w:val="71A1204A"/>
    <w:rsid w:val="71A65069"/>
    <w:rsid w:val="72016718"/>
    <w:rsid w:val="744D5557"/>
    <w:rsid w:val="75376A57"/>
    <w:rsid w:val="76146780"/>
    <w:rsid w:val="76E35DE6"/>
    <w:rsid w:val="77715DCF"/>
    <w:rsid w:val="77B123DD"/>
    <w:rsid w:val="78A564E4"/>
    <w:rsid w:val="78A81906"/>
    <w:rsid w:val="78B82605"/>
    <w:rsid w:val="794D2897"/>
    <w:rsid w:val="F7FE86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4"/>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6"/>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7"/>
    <w:qFormat/>
    <w:uiPriority w:val="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8"/>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9"/>
    <w:qFormat/>
    <w:uiPriority w:val="9"/>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0"/>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1"/>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9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93"/>
    <w:qFormat/>
    <w:uiPriority w:val="0"/>
    <w:pPr>
      <w:shd w:val="clear" w:color="auto" w:fill="000080"/>
    </w:pPr>
  </w:style>
  <w:style w:type="paragraph" w:styleId="19">
    <w:name w:val="annotation text"/>
    <w:basedOn w:val="1"/>
    <w:link w:val="94"/>
    <w:qFormat/>
    <w:uiPriority w:val="99"/>
    <w:pPr>
      <w:jc w:val="left"/>
    </w:pPr>
  </w:style>
  <w:style w:type="paragraph" w:styleId="20">
    <w:name w:val="Salutation"/>
    <w:basedOn w:val="1"/>
    <w:next w:val="1"/>
    <w:link w:val="95"/>
    <w:qFormat/>
    <w:uiPriority w:val="0"/>
    <w:rPr>
      <w:rFonts w:ascii="仿宋_GB2312" w:eastAsia="仿宋_GB2312"/>
      <w:sz w:val="28"/>
      <w:szCs w:val="20"/>
    </w:rPr>
  </w:style>
  <w:style w:type="paragraph" w:styleId="21">
    <w:name w:val="Body Text 3"/>
    <w:basedOn w:val="1"/>
    <w:link w:val="96"/>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7"/>
    <w:qFormat/>
    <w:uiPriority w:val="0"/>
    <w:pPr>
      <w:autoSpaceDE w:val="0"/>
      <w:autoSpaceDN w:val="0"/>
      <w:spacing w:line="360" w:lineRule="auto"/>
    </w:pPr>
    <w:rPr>
      <w:rFonts w:ascii="宋体" w:hAnsi="Arial" w:cs="Arial"/>
      <w:snapToGrid w:val="0"/>
      <w:sz w:val="24"/>
      <w:szCs w:val="21"/>
      <w:lang w:val="zh-CN"/>
    </w:rPr>
  </w:style>
  <w:style w:type="paragraph" w:styleId="24">
    <w:name w:val="Subtitle"/>
    <w:basedOn w:val="1"/>
    <w:next w:val="1"/>
    <w:link w:val="108"/>
    <w:qFormat/>
    <w:uiPriority w:val="0"/>
    <w:pPr>
      <w:snapToGrid w:val="0"/>
      <w:spacing w:before="240" w:after="480"/>
      <w:jc w:val="center"/>
    </w:pPr>
    <w:rPr>
      <w:rFonts w:ascii="Arial" w:hAnsi="Arial" w:eastAsia="隶书"/>
      <w:b/>
      <w:bCs/>
      <w:kern w:val="28"/>
      <w:sz w:val="44"/>
      <w:szCs w:val="32"/>
    </w:rPr>
  </w:style>
  <w:style w:type="paragraph" w:styleId="25">
    <w:name w:val="Body Text Indent"/>
    <w:basedOn w:val="1"/>
    <w:next w:val="26"/>
    <w:link w:val="82"/>
    <w:qFormat/>
    <w:uiPriority w:val="0"/>
    <w:pPr>
      <w:spacing w:line="480" w:lineRule="exact"/>
      <w:ind w:firstLine="480" w:firstLineChars="200"/>
    </w:pPr>
    <w:rPr>
      <w:rFonts w:ascii="宋体" w:hAnsi="宋体"/>
      <w:sz w:val="24"/>
    </w:rPr>
  </w:style>
  <w:style w:type="paragraph" w:styleId="26">
    <w:name w:val="Body Text First Indent 2"/>
    <w:basedOn w:val="25"/>
    <w:link w:val="83"/>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00"/>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01"/>
    <w:qFormat/>
    <w:uiPriority w:val="0"/>
    <w:pPr>
      <w:ind w:left="100" w:leftChars="2500"/>
    </w:pPr>
    <w:rPr>
      <w:rFonts w:ascii="宋体"/>
      <w:sz w:val="24"/>
      <w:szCs w:val="21"/>
      <w:lang w:val="zh-CN"/>
    </w:rPr>
  </w:style>
  <w:style w:type="paragraph" w:styleId="38">
    <w:name w:val="Body Text Indent 2"/>
    <w:basedOn w:val="1"/>
    <w:link w:val="102"/>
    <w:qFormat/>
    <w:uiPriority w:val="0"/>
    <w:pPr>
      <w:spacing w:line="360" w:lineRule="auto"/>
      <w:ind w:firstLine="601"/>
      <w:textAlignment w:val="baseline"/>
    </w:pPr>
    <w:rPr>
      <w:rFonts w:ascii="宋体"/>
      <w:kern w:val="0"/>
      <w:sz w:val="28"/>
      <w:szCs w:val="20"/>
    </w:rPr>
  </w:style>
  <w:style w:type="paragraph" w:styleId="39">
    <w:name w:val="endnote text"/>
    <w:basedOn w:val="1"/>
    <w:link w:val="103"/>
    <w:qFormat/>
    <w:uiPriority w:val="0"/>
    <w:rPr>
      <w:lang w:val="zh-CN"/>
    </w:rPr>
  </w:style>
  <w:style w:type="paragraph" w:styleId="40">
    <w:name w:val="Balloon Text"/>
    <w:basedOn w:val="1"/>
    <w:link w:val="104"/>
    <w:qFormat/>
    <w:uiPriority w:val="0"/>
    <w:rPr>
      <w:sz w:val="18"/>
      <w:szCs w:val="18"/>
    </w:rPr>
  </w:style>
  <w:style w:type="paragraph" w:styleId="41">
    <w:name w:val="footer"/>
    <w:basedOn w:val="1"/>
    <w:link w:val="105"/>
    <w:qFormat/>
    <w:uiPriority w:val="99"/>
    <w:pPr>
      <w:tabs>
        <w:tab w:val="center" w:pos="4153"/>
        <w:tab w:val="right" w:pos="8306"/>
      </w:tabs>
      <w:snapToGrid w:val="0"/>
      <w:jc w:val="left"/>
    </w:pPr>
    <w:rPr>
      <w:sz w:val="18"/>
      <w:szCs w:val="18"/>
    </w:rPr>
  </w:style>
  <w:style w:type="paragraph" w:styleId="42">
    <w:name w:val="header"/>
    <w:basedOn w:val="1"/>
    <w:link w:val="106"/>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107"/>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109"/>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10"/>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11"/>
    <w:qFormat/>
    <w:uiPriority w:val="0"/>
    <w:pPr>
      <w:spacing w:after="120" w:line="480" w:lineRule="auto"/>
    </w:pPr>
  </w:style>
  <w:style w:type="paragraph" w:styleId="57">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14"/>
    <w:qFormat/>
    <w:uiPriority w:val="0"/>
    <w:rPr>
      <w:b/>
      <w:bCs/>
    </w:rPr>
  </w:style>
  <w:style w:type="paragraph" w:styleId="61">
    <w:name w:val="Body Text First Indent"/>
    <w:basedOn w:val="23"/>
    <w:next w:val="1"/>
    <w:link w:val="98"/>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列出段落1"/>
    <w:basedOn w:val="1"/>
    <w:next w:val="1"/>
    <w:qFormat/>
    <w:uiPriority w:val="34"/>
    <w:pPr>
      <w:spacing w:line="360" w:lineRule="auto"/>
      <w:ind w:firstLine="200" w:firstLineChars="200"/>
    </w:pPr>
    <w:rPr>
      <w:rFonts w:eastAsia="楷体_GB2312" w:cs="Lucida Sans"/>
      <w:sz w:val="24"/>
    </w:rPr>
  </w:style>
  <w:style w:type="paragraph" w:customStyle="1" w:styleId="80">
    <w:name w:val="PlainText"/>
    <w:basedOn w:val="1"/>
    <w:qFormat/>
    <w:uiPriority w:val="0"/>
    <w:pPr>
      <w:jc w:val="left"/>
    </w:pPr>
    <w:rPr>
      <w:rFonts w:hAnsi="Courier New"/>
      <w:kern w:val="0"/>
      <w:szCs w:val="20"/>
    </w:rPr>
  </w:style>
  <w:style w:type="paragraph" w:customStyle="1" w:styleId="81">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82">
    <w:name w:val="正文文本缩进 Char3"/>
    <w:link w:val="25"/>
    <w:qFormat/>
    <w:uiPriority w:val="0"/>
    <w:rPr>
      <w:rFonts w:ascii="宋体" w:hAnsi="宋体"/>
      <w:kern w:val="2"/>
      <w:sz w:val="24"/>
      <w:szCs w:val="24"/>
    </w:rPr>
  </w:style>
  <w:style w:type="character" w:customStyle="1" w:styleId="83">
    <w:name w:val="正文首行缩进 2 Char"/>
    <w:link w:val="26"/>
    <w:qFormat/>
    <w:uiPriority w:val="0"/>
    <w:rPr>
      <w:rFonts w:ascii="宋体" w:hAnsi="宋体"/>
      <w:kern w:val="2"/>
      <w:sz w:val="21"/>
      <w:szCs w:val="24"/>
    </w:rPr>
  </w:style>
  <w:style w:type="character" w:customStyle="1" w:styleId="84">
    <w:name w:val="标题 1 Char"/>
    <w:link w:val="2"/>
    <w:qFormat/>
    <w:uiPriority w:val="9"/>
    <w:rPr>
      <w:b/>
      <w:bCs/>
      <w:kern w:val="44"/>
      <w:sz w:val="44"/>
      <w:szCs w:val="44"/>
    </w:rPr>
  </w:style>
  <w:style w:type="character" w:customStyle="1" w:styleId="85">
    <w:name w:val="正文缩进 Char2"/>
    <w:link w:val="5"/>
    <w:qFormat/>
    <w:uiPriority w:val="0"/>
    <w:rPr>
      <w:rFonts w:ascii="宋体" w:eastAsia="宋体"/>
      <w:snapToGrid w:val="0"/>
      <w:color w:val="000000"/>
      <w:kern w:val="28"/>
      <w:sz w:val="28"/>
      <w:lang w:val="en-US" w:eastAsia="zh-CN" w:bidi="ar-SA"/>
    </w:rPr>
  </w:style>
  <w:style w:type="character" w:customStyle="1" w:styleId="86">
    <w:name w:val="标题 4 Char2"/>
    <w:link w:val="6"/>
    <w:qFormat/>
    <w:uiPriority w:val="9"/>
    <w:rPr>
      <w:rFonts w:ascii="Arial" w:hAnsi="Arial" w:eastAsia="黑体"/>
      <w:b/>
      <w:bCs/>
      <w:kern w:val="2"/>
      <w:sz w:val="28"/>
      <w:szCs w:val="28"/>
      <w:lang w:val="zh-CN"/>
    </w:rPr>
  </w:style>
  <w:style w:type="character" w:customStyle="1" w:styleId="87">
    <w:name w:val="标题 5 Char"/>
    <w:link w:val="7"/>
    <w:qFormat/>
    <w:uiPriority w:val="9"/>
    <w:rPr>
      <w:b/>
      <w:bCs/>
      <w:kern w:val="2"/>
      <w:sz w:val="28"/>
      <w:szCs w:val="28"/>
    </w:rPr>
  </w:style>
  <w:style w:type="character" w:customStyle="1" w:styleId="88">
    <w:name w:val="标题 6 Char"/>
    <w:link w:val="8"/>
    <w:qFormat/>
    <w:uiPriority w:val="0"/>
    <w:rPr>
      <w:rFonts w:ascii="Arial" w:hAnsi="Arial" w:eastAsia="黑体"/>
      <w:b/>
      <w:bCs/>
      <w:kern w:val="2"/>
      <w:sz w:val="24"/>
      <w:szCs w:val="24"/>
    </w:rPr>
  </w:style>
  <w:style w:type="character" w:customStyle="1" w:styleId="89">
    <w:name w:val="标题 7 Char"/>
    <w:link w:val="9"/>
    <w:qFormat/>
    <w:uiPriority w:val="0"/>
    <w:rPr>
      <w:b/>
      <w:bCs/>
      <w:kern w:val="2"/>
      <w:sz w:val="24"/>
      <w:szCs w:val="24"/>
    </w:rPr>
  </w:style>
  <w:style w:type="character" w:customStyle="1" w:styleId="90">
    <w:name w:val="标题 8 Char"/>
    <w:link w:val="10"/>
    <w:qFormat/>
    <w:uiPriority w:val="0"/>
    <w:rPr>
      <w:rFonts w:ascii="Arial" w:hAnsi="Arial" w:eastAsia="黑体"/>
      <w:kern w:val="2"/>
      <w:sz w:val="24"/>
      <w:szCs w:val="24"/>
    </w:rPr>
  </w:style>
  <w:style w:type="character" w:customStyle="1" w:styleId="91">
    <w:name w:val="标题 9 Char"/>
    <w:link w:val="11"/>
    <w:qFormat/>
    <w:uiPriority w:val="0"/>
    <w:rPr>
      <w:rFonts w:ascii="Arial" w:hAnsi="Arial" w:eastAsia="黑体"/>
      <w:kern w:val="2"/>
      <w:sz w:val="21"/>
      <w:szCs w:val="21"/>
    </w:rPr>
  </w:style>
  <w:style w:type="character" w:customStyle="1" w:styleId="92">
    <w:name w:val="题注 Char"/>
    <w:link w:val="16"/>
    <w:qFormat/>
    <w:uiPriority w:val="0"/>
    <w:rPr>
      <w:b/>
      <w:kern w:val="2"/>
      <w:sz w:val="28"/>
    </w:rPr>
  </w:style>
  <w:style w:type="character" w:customStyle="1" w:styleId="93">
    <w:name w:val="文档结构图 Char1"/>
    <w:link w:val="18"/>
    <w:qFormat/>
    <w:uiPriority w:val="0"/>
    <w:rPr>
      <w:kern w:val="2"/>
      <w:sz w:val="21"/>
      <w:szCs w:val="24"/>
      <w:shd w:val="clear" w:color="auto" w:fill="000080"/>
    </w:rPr>
  </w:style>
  <w:style w:type="character" w:customStyle="1" w:styleId="94">
    <w:name w:val="批注文字 Char1"/>
    <w:link w:val="19"/>
    <w:qFormat/>
    <w:uiPriority w:val="99"/>
    <w:rPr>
      <w:kern w:val="2"/>
      <w:sz w:val="21"/>
      <w:szCs w:val="24"/>
    </w:rPr>
  </w:style>
  <w:style w:type="character" w:customStyle="1" w:styleId="95">
    <w:name w:val="称呼 Char"/>
    <w:link w:val="20"/>
    <w:qFormat/>
    <w:uiPriority w:val="0"/>
    <w:rPr>
      <w:rFonts w:ascii="仿宋_GB2312" w:eastAsia="仿宋_GB2312"/>
      <w:kern w:val="2"/>
      <w:sz w:val="28"/>
    </w:rPr>
  </w:style>
  <w:style w:type="character" w:customStyle="1" w:styleId="96">
    <w:name w:val="正文文本 3 Char"/>
    <w:link w:val="21"/>
    <w:qFormat/>
    <w:uiPriority w:val="0"/>
    <w:rPr>
      <w:kern w:val="2"/>
      <w:sz w:val="21"/>
    </w:rPr>
  </w:style>
  <w:style w:type="character" w:customStyle="1" w:styleId="97">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8">
    <w:name w:val="正文首行缩进 Char"/>
    <w:link w:val="61"/>
    <w:qFormat/>
    <w:uiPriority w:val="0"/>
    <w:rPr>
      <w:rFonts w:ascii="宋体"/>
      <w:kern w:val="2"/>
      <w:sz w:val="24"/>
      <w:lang w:val="zh-CN"/>
    </w:rPr>
  </w:style>
  <w:style w:type="character" w:customStyle="1" w:styleId="99">
    <w:name w:val="HTML 地址 Char"/>
    <w:link w:val="31"/>
    <w:qFormat/>
    <w:uiPriority w:val="0"/>
    <w:rPr>
      <w:rFonts w:ascii="宋体" w:hAnsi="宋体"/>
      <w:i/>
      <w:iCs/>
      <w:sz w:val="24"/>
      <w:szCs w:val="24"/>
    </w:rPr>
  </w:style>
  <w:style w:type="character" w:customStyle="1" w:styleId="100">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01">
    <w:name w:val="日期 Char"/>
    <w:link w:val="37"/>
    <w:qFormat/>
    <w:uiPriority w:val="0"/>
    <w:rPr>
      <w:rFonts w:ascii="宋体"/>
      <w:kern w:val="2"/>
      <w:sz w:val="24"/>
      <w:szCs w:val="21"/>
      <w:lang w:val="zh-CN"/>
    </w:rPr>
  </w:style>
  <w:style w:type="character" w:customStyle="1" w:styleId="102">
    <w:name w:val="正文文本缩进 2 Char"/>
    <w:link w:val="38"/>
    <w:qFormat/>
    <w:uiPriority w:val="0"/>
    <w:rPr>
      <w:rFonts w:ascii="宋体"/>
      <w:sz w:val="28"/>
    </w:rPr>
  </w:style>
  <w:style w:type="character" w:customStyle="1" w:styleId="103">
    <w:name w:val="尾注文本 Char"/>
    <w:link w:val="39"/>
    <w:qFormat/>
    <w:uiPriority w:val="0"/>
    <w:rPr>
      <w:kern w:val="2"/>
      <w:sz w:val="21"/>
      <w:szCs w:val="24"/>
      <w:lang w:val="zh-CN"/>
    </w:rPr>
  </w:style>
  <w:style w:type="character" w:customStyle="1" w:styleId="104">
    <w:name w:val="批注框文本 Char"/>
    <w:link w:val="40"/>
    <w:qFormat/>
    <w:uiPriority w:val="0"/>
    <w:rPr>
      <w:kern w:val="2"/>
      <w:sz w:val="18"/>
      <w:szCs w:val="18"/>
    </w:rPr>
  </w:style>
  <w:style w:type="character" w:customStyle="1" w:styleId="105">
    <w:name w:val="页脚 Char2"/>
    <w:link w:val="41"/>
    <w:qFormat/>
    <w:uiPriority w:val="99"/>
    <w:rPr>
      <w:kern w:val="2"/>
      <w:sz w:val="18"/>
      <w:szCs w:val="18"/>
    </w:rPr>
  </w:style>
  <w:style w:type="character" w:customStyle="1" w:styleId="106">
    <w:name w:val="页眉 Char2"/>
    <w:link w:val="42"/>
    <w:qFormat/>
    <w:uiPriority w:val="99"/>
    <w:rPr>
      <w:kern w:val="2"/>
      <w:sz w:val="18"/>
      <w:szCs w:val="18"/>
    </w:rPr>
  </w:style>
  <w:style w:type="character" w:customStyle="1" w:styleId="107">
    <w:name w:val="签名 Char"/>
    <w:link w:val="43"/>
    <w:qFormat/>
    <w:uiPriority w:val="0"/>
    <w:rPr>
      <w:rFonts w:eastAsia="仿宋_GB2312"/>
      <w:sz w:val="24"/>
    </w:rPr>
  </w:style>
  <w:style w:type="character" w:customStyle="1" w:styleId="108">
    <w:name w:val="副标题 Char"/>
    <w:link w:val="24"/>
    <w:qFormat/>
    <w:uiPriority w:val="0"/>
    <w:rPr>
      <w:rFonts w:ascii="Arial" w:hAnsi="Arial" w:eastAsia="隶书"/>
      <w:b/>
      <w:bCs/>
      <w:kern w:val="28"/>
      <w:sz w:val="44"/>
      <w:szCs w:val="32"/>
      <w:lang w:val="en-US" w:eastAsia="zh-CN" w:bidi="ar-SA"/>
    </w:rPr>
  </w:style>
  <w:style w:type="character" w:customStyle="1" w:styleId="109">
    <w:name w:val="脚注文本 Char"/>
    <w:link w:val="50"/>
    <w:qFormat/>
    <w:uiPriority w:val="0"/>
    <w:rPr>
      <w:color w:val="0000FF"/>
      <w:sz w:val="21"/>
    </w:rPr>
  </w:style>
  <w:style w:type="character" w:customStyle="1" w:styleId="110">
    <w:name w:val="正文文本缩进 3 Char"/>
    <w:link w:val="53"/>
    <w:qFormat/>
    <w:uiPriority w:val="0"/>
    <w:rPr>
      <w:kern w:val="2"/>
      <w:sz w:val="24"/>
    </w:rPr>
  </w:style>
  <w:style w:type="character" w:customStyle="1" w:styleId="111">
    <w:name w:val="正文文本 2 Char1"/>
    <w:link w:val="56"/>
    <w:qFormat/>
    <w:uiPriority w:val="0"/>
    <w:rPr>
      <w:kern w:val="2"/>
      <w:sz w:val="21"/>
      <w:szCs w:val="24"/>
    </w:rPr>
  </w:style>
  <w:style w:type="character" w:customStyle="1" w:styleId="112">
    <w:name w:val="HTML 预设格式 Char"/>
    <w:link w:val="57"/>
    <w:qFormat/>
    <w:uiPriority w:val="0"/>
    <w:rPr>
      <w:rFonts w:ascii="黑体" w:hAnsi="Courier New" w:eastAsia="黑体"/>
    </w:rPr>
  </w:style>
  <w:style w:type="character" w:customStyle="1" w:styleId="113">
    <w:name w:val="标题 Char2"/>
    <w:link w:val="59"/>
    <w:qFormat/>
    <w:uiPriority w:val="10"/>
    <w:rPr>
      <w:b/>
      <w:sz w:val="24"/>
      <w:lang w:val="en-GB"/>
    </w:rPr>
  </w:style>
  <w:style w:type="character" w:customStyle="1" w:styleId="114">
    <w:name w:val="批注主题 Char1"/>
    <w:link w:val="60"/>
    <w:qFormat/>
    <w:uiPriority w:val="0"/>
    <w:rPr>
      <w:b/>
      <w:bCs/>
      <w:kern w:val="2"/>
      <w:sz w:val="21"/>
      <w:szCs w:val="24"/>
    </w:rPr>
  </w:style>
  <w:style w:type="paragraph" w:customStyle="1" w:styleId="115">
    <w:name w:val="Default"/>
    <w:next w:val="116"/>
    <w:link w:val="11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7">
    <w:name w:val="Default Char"/>
    <w:link w:val="115"/>
    <w:qFormat/>
    <w:uiPriority w:val="0"/>
    <w:rPr>
      <w:rFonts w:ascii="仿宋_GB2312" w:eastAsia="仿宋_GB2312" w:cs="仿宋_GB2312"/>
      <w:color w:val="000000"/>
      <w:sz w:val="24"/>
      <w:szCs w:val="24"/>
      <w:lang w:val="en-US" w:eastAsia="zh-CN" w:bidi="ar-SA"/>
    </w:rPr>
  </w:style>
  <w:style w:type="character" w:customStyle="1" w:styleId="118">
    <w:name w:val="表格非标题文字 Char"/>
    <w:link w:val="119"/>
    <w:qFormat/>
    <w:uiPriority w:val="0"/>
    <w:rPr>
      <w:rFonts w:ascii="Futura Bk" w:hAnsi="Futura Bk"/>
      <w:kern w:val="2"/>
      <w:sz w:val="18"/>
      <w:szCs w:val="21"/>
      <w:lang w:val="en-US" w:eastAsia="zh-CN" w:bidi="ar-SA"/>
    </w:rPr>
  </w:style>
  <w:style w:type="paragraph" w:customStyle="1" w:styleId="119">
    <w:name w:val="表格非标题文字"/>
    <w:link w:val="11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0">
    <w:name w:val="*正文 Char"/>
    <w:link w:val="121"/>
    <w:qFormat/>
    <w:uiPriority w:val="0"/>
    <w:rPr>
      <w:rFonts w:ascii="宋体" w:hAnsi="宋体"/>
      <w:sz w:val="24"/>
    </w:rPr>
  </w:style>
  <w:style w:type="paragraph" w:customStyle="1" w:styleId="121">
    <w:name w:val="*正文"/>
    <w:basedOn w:val="1"/>
    <w:link w:val="120"/>
    <w:qFormat/>
    <w:uiPriority w:val="0"/>
    <w:pPr>
      <w:snapToGrid w:val="0"/>
      <w:spacing w:line="360" w:lineRule="auto"/>
      <w:ind w:firstLine="482"/>
      <w:jc w:val="left"/>
    </w:pPr>
    <w:rPr>
      <w:rFonts w:ascii="宋体" w:hAnsi="宋体"/>
      <w:kern w:val="0"/>
      <w:sz w:val="24"/>
      <w:szCs w:val="20"/>
    </w:rPr>
  </w:style>
  <w:style w:type="character" w:customStyle="1" w:styleId="122">
    <w:name w:val="Char Char71"/>
    <w:qFormat/>
    <w:uiPriority w:val="0"/>
    <w:rPr>
      <w:rFonts w:eastAsia="宋体"/>
      <w:kern w:val="2"/>
      <w:sz w:val="21"/>
      <w:szCs w:val="24"/>
      <w:lang w:val="en-US" w:eastAsia="zh-CN" w:bidi="ar-SA"/>
    </w:rPr>
  </w:style>
  <w:style w:type="character" w:customStyle="1" w:styleId="123">
    <w:name w:val="Char Char6"/>
    <w:qFormat/>
    <w:uiPriority w:val="0"/>
    <w:rPr>
      <w:rFonts w:eastAsia="宋体"/>
      <w:kern w:val="2"/>
      <w:sz w:val="21"/>
      <w:szCs w:val="24"/>
      <w:lang w:val="en-US" w:eastAsia="zh-CN" w:bidi="ar-SA"/>
    </w:rPr>
  </w:style>
  <w:style w:type="character" w:customStyle="1" w:styleId="124">
    <w:name w:val="正文缩进 Char"/>
    <w:qFormat/>
    <w:uiPriority w:val="0"/>
    <w:rPr>
      <w:rFonts w:eastAsia="宋体"/>
      <w:kern w:val="2"/>
      <w:sz w:val="21"/>
      <w:lang w:val="en-US" w:eastAsia="zh-CN"/>
    </w:rPr>
  </w:style>
  <w:style w:type="character" w:customStyle="1" w:styleId="125">
    <w:name w:val="正文首行缩进 Char1"/>
    <w:qFormat/>
    <w:uiPriority w:val="0"/>
    <w:rPr>
      <w:rFonts w:ascii="宋体" w:hAnsi="Times New Roman" w:eastAsia="宋体" w:cs="Times New Roman"/>
      <w:snapToGrid w:val="0"/>
      <w:kern w:val="2"/>
      <w:sz w:val="24"/>
      <w:szCs w:val="21"/>
      <w:lang w:val="zh-CN"/>
    </w:rPr>
  </w:style>
  <w:style w:type="character" w:customStyle="1" w:styleId="126">
    <w:name w:val="Char Char28"/>
    <w:qFormat/>
    <w:uiPriority w:val="6"/>
    <w:rPr>
      <w:rFonts w:ascii="仿宋_GB2312" w:hAnsi="仿宋_GB2312" w:eastAsia="仿宋_GB2312"/>
      <w:kern w:val="1"/>
      <w:sz w:val="28"/>
    </w:rPr>
  </w:style>
  <w:style w:type="character" w:customStyle="1" w:styleId="1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8">
    <w:name w:val="Heading 1 Char_a065a2bc-5607-4f88-bb9a-f4f6c7b4e0ea"/>
    <w:qFormat/>
    <w:uiPriority w:val="6"/>
    <w:rPr>
      <w:rFonts w:ascii="Times New Roman" w:hAnsi="Times New Roman" w:eastAsia="黑体" w:cs="Times New Roman"/>
      <w:b/>
      <w:kern w:val="0"/>
      <w:sz w:val="24"/>
      <w:szCs w:val="24"/>
    </w:rPr>
  </w:style>
  <w:style w:type="character" w:customStyle="1" w:styleId="129">
    <w:name w:val="U_正文 Char"/>
    <w:link w:val="130"/>
    <w:qFormat/>
    <w:uiPriority w:val="0"/>
    <w:rPr>
      <w:sz w:val="24"/>
      <w:szCs w:val="24"/>
    </w:rPr>
  </w:style>
  <w:style w:type="paragraph" w:customStyle="1" w:styleId="130">
    <w:name w:val="U_正文"/>
    <w:basedOn w:val="1"/>
    <w:link w:val="129"/>
    <w:qFormat/>
    <w:uiPriority w:val="0"/>
    <w:pPr>
      <w:adjustRightInd/>
      <w:spacing w:beforeLines="20" w:afterLines="20" w:line="300" w:lineRule="auto"/>
      <w:ind w:firstLine="200" w:firstLineChars="200"/>
    </w:pPr>
    <w:rPr>
      <w:kern w:val="0"/>
      <w:sz w:val="24"/>
    </w:rPr>
  </w:style>
  <w:style w:type="character" w:customStyle="1" w:styleId="131">
    <w:name w:val="HTML 地址 Char1"/>
    <w:qFormat/>
    <w:uiPriority w:val="0"/>
    <w:rPr>
      <w:rFonts w:ascii="Times New Roman" w:hAnsi="Times New Roman" w:eastAsia="宋体" w:cs="Times New Roman"/>
      <w:i/>
      <w:iCs/>
      <w:szCs w:val="24"/>
    </w:rPr>
  </w:style>
  <w:style w:type="character" w:customStyle="1" w:styleId="132">
    <w:name w:val="Char Char51"/>
    <w:qFormat/>
    <w:uiPriority w:val="0"/>
    <w:rPr>
      <w:rFonts w:ascii="宋体" w:hAnsi="Courier New" w:eastAsia="宋体"/>
      <w:kern w:val="2"/>
      <w:sz w:val="21"/>
      <w:lang w:val="en-US" w:eastAsia="zh-CN"/>
    </w:rPr>
  </w:style>
  <w:style w:type="character" w:customStyle="1" w:styleId="133">
    <w:name w:val="表正文 Char"/>
    <w:qFormat/>
    <w:uiPriority w:val="0"/>
    <w:rPr>
      <w:rFonts w:ascii="宋体" w:eastAsia="宋体"/>
      <w:snapToGrid w:val="0"/>
      <w:color w:val="000000"/>
      <w:kern w:val="28"/>
      <w:sz w:val="28"/>
      <w:lang w:val="en-US" w:eastAsia="zh-CN" w:bidi="ar-SA"/>
    </w:rPr>
  </w:style>
  <w:style w:type="character" w:customStyle="1" w:styleId="134">
    <w:name w:val="Char Char34"/>
    <w:qFormat/>
    <w:uiPriority w:val="6"/>
    <w:rPr>
      <w:b/>
      <w:kern w:val="1"/>
      <w:sz w:val="28"/>
      <w:szCs w:val="28"/>
    </w:rPr>
  </w:style>
  <w:style w:type="character" w:customStyle="1" w:styleId="135">
    <w:name w:val="Normal Indent Char"/>
    <w:qFormat/>
    <w:uiPriority w:val="0"/>
    <w:rPr>
      <w:rFonts w:ascii="Calibri" w:hAnsi="Calibri" w:eastAsia="宋体" w:cs="黑体"/>
      <w:snapToGrid w:val="0"/>
      <w:kern w:val="2"/>
      <w:sz w:val="24"/>
      <w:szCs w:val="22"/>
      <w:lang w:val="en-US" w:eastAsia="zh-CN" w:bidi="ar-SA"/>
    </w:rPr>
  </w:style>
  <w:style w:type="character" w:customStyle="1" w:styleId="136">
    <w:name w:val="哈哈正文 Char"/>
    <w:link w:val="137"/>
    <w:qFormat/>
    <w:uiPriority w:val="0"/>
    <w:rPr>
      <w:rFonts w:ascii="宋体" w:hAnsi="宋体" w:eastAsia="宋体"/>
      <w:kern w:val="2"/>
      <w:sz w:val="24"/>
      <w:lang w:bidi="ar-SA"/>
    </w:rPr>
  </w:style>
  <w:style w:type="paragraph" w:customStyle="1" w:styleId="137">
    <w:name w:val="哈哈正文"/>
    <w:basedOn w:val="1"/>
    <w:link w:val="136"/>
    <w:qFormat/>
    <w:uiPriority w:val="0"/>
    <w:pPr>
      <w:adjustRightInd/>
      <w:spacing w:line="360" w:lineRule="auto"/>
      <w:ind w:firstLine="200" w:firstLineChars="200"/>
    </w:pPr>
    <w:rPr>
      <w:rFonts w:ascii="宋体" w:hAnsi="宋体"/>
      <w:sz w:val="24"/>
      <w:szCs w:val="20"/>
    </w:rPr>
  </w:style>
  <w:style w:type="character" w:customStyle="1" w:styleId="138">
    <w:name w:val="未处理的提及1"/>
    <w:qFormat/>
    <w:uiPriority w:val="0"/>
    <w:rPr>
      <w:color w:val="808080"/>
      <w:shd w:val="clear" w:color="auto" w:fill="E6E6E6"/>
    </w:rPr>
  </w:style>
  <w:style w:type="character" w:customStyle="1" w:styleId="139">
    <w:name w:val="txt"/>
    <w:qFormat/>
    <w:uiPriority w:val="0"/>
    <w:rPr>
      <w:rFonts w:ascii="仿宋_GB2312" w:eastAsia="微软雅黑"/>
      <w:b/>
      <w:kern w:val="2"/>
      <w:sz w:val="32"/>
      <w:szCs w:val="32"/>
      <w:lang w:val="en-US" w:eastAsia="zh-CN" w:bidi="ar-SA"/>
    </w:rPr>
  </w:style>
  <w:style w:type="character" w:customStyle="1" w:styleId="140">
    <w:name w:val="二级标题 Char Char"/>
    <w:qFormat/>
    <w:uiPriority w:val="0"/>
    <w:rPr>
      <w:rFonts w:ascii="宋体" w:hAnsi="宋体" w:eastAsia="宋体"/>
      <w:b/>
      <w:snapToGrid w:val="0"/>
      <w:kern w:val="2"/>
      <w:sz w:val="24"/>
      <w:szCs w:val="24"/>
      <w:lang w:val="en-US" w:eastAsia="zh-CN" w:bidi="ar-SA"/>
    </w:rPr>
  </w:style>
  <w:style w:type="character" w:customStyle="1" w:styleId="141">
    <w:name w:val="Char Char32"/>
    <w:qFormat/>
    <w:uiPriority w:val="6"/>
    <w:rPr>
      <w:b/>
      <w:kern w:val="1"/>
      <w:sz w:val="24"/>
      <w:szCs w:val="24"/>
    </w:rPr>
  </w:style>
  <w:style w:type="character" w:customStyle="1" w:styleId="142">
    <w:name w:val="PI Char1"/>
    <w:qFormat/>
    <w:uiPriority w:val="0"/>
    <w:rPr>
      <w:rFonts w:ascii="宋体" w:hAnsi="宋体"/>
      <w:kern w:val="2"/>
      <w:sz w:val="24"/>
      <w:szCs w:val="24"/>
    </w:rPr>
  </w:style>
  <w:style w:type="character" w:customStyle="1" w:styleId="143">
    <w:name w:val="tw4winTerm"/>
    <w:qFormat/>
    <w:uiPriority w:val="0"/>
    <w:rPr>
      <w:color w:val="0000FF"/>
    </w:rPr>
  </w:style>
  <w:style w:type="character" w:customStyle="1" w:styleId="144">
    <w:name w:val="Footer Char_29dca83e-cfa0-4d29-9006-28a1b752e563"/>
    <w:qFormat/>
    <w:uiPriority w:val="0"/>
    <w:rPr>
      <w:rFonts w:eastAsia="宋体"/>
      <w:kern w:val="2"/>
      <w:sz w:val="18"/>
      <w:lang w:val="en-US" w:eastAsia="zh-CN" w:bidi="ar-SA"/>
    </w:rPr>
  </w:style>
  <w:style w:type="character" w:customStyle="1" w:styleId="145">
    <w:name w:val="普通文字 Char Char1"/>
    <w:qFormat/>
    <w:uiPriority w:val="0"/>
    <w:rPr>
      <w:rFonts w:ascii="宋体" w:hAnsi="Courier New"/>
      <w:kern w:val="2"/>
      <w:sz w:val="21"/>
    </w:rPr>
  </w:style>
  <w:style w:type="character" w:customStyle="1" w:styleId="146">
    <w:name w:val="Char Char101"/>
    <w:qFormat/>
    <w:uiPriority w:val="6"/>
    <w:rPr>
      <w:rFonts w:ascii="宋体" w:hAnsi="宋体"/>
      <w:kern w:val="2"/>
      <w:sz w:val="21"/>
      <w:szCs w:val="24"/>
      <w:lang w:val="en-US" w:eastAsia="zh-CN"/>
    </w:rPr>
  </w:style>
  <w:style w:type="character" w:customStyle="1" w:styleId="147">
    <w:name w:val="标题 4 Char"/>
    <w:qFormat/>
    <w:uiPriority w:val="0"/>
    <w:rPr>
      <w:rFonts w:ascii="Arial" w:hAnsi="Arial" w:eastAsia="黑体"/>
      <w:b/>
      <w:kern w:val="2"/>
      <w:sz w:val="28"/>
    </w:rPr>
  </w:style>
  <w:style w:type="character" w:customStyle="1" w:styleId="148">
    <w:name w:val="链接"/>
    <w:qFormat/>
    <w:uiPriority w:val="0"/>
    <w:rPr>
      <w:color w:val="0000FF"/>
      <w:sz w:val="21"/>
      <w:szCs w:val="21"/>
      <w:u w:val="single"/>
    </w:rPr>
  </w:style>
  <w:style w:type="character" w:customStyle="1" w:styleId="149">
    <w:name w:val="h4 Char"/>
    <w:qFormat/>
    <w:uiPriority w:val="0"/>
    <w:rPr>
      <w:rFonts w:ascii="Arial" w:hAnsi="Arial" w:eastAsia="黑体"/>
      <w:b/>
      <w:bCs/>
      <w:kern w:val="2"/>
      <w:sz w:val="28"/>
      <w:szCs w:val="28"/>
      <w:lang w:val="zh-CN" w:eastAsia="zh-CN" w:bidi="ar-SA"/>
    </w:rPr>
  </w:style>
  <w:style w:type="character" w:customStyle="1" w:styleId="150">
    <w:name w:val="5正文 Char"/>
    <w:link w:val="151"/>
    <w:qFormat/>
    <w:uiPriority w:val="0"/>
    <w:rPr>
      <w:rFonts w:ascii="仿宋_GB2312" w:hAnsi="微软雅黑" w:eastAsia="仿宋_GB2312"/>
      <w:sz w:val="28"/>
      <w:szCs w:val="21"/>
    </w:rPr>
  </w:style>
  <w:style w:type="paragraph" w:customStyle="1" w:styleId="151">
    <w:name w:val="5正文"/>
    <w:basedOn w:val="1"/>
    <w:link w:val="15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2">
    <w:name w:val="标题 3 字符"/>
    <w:qFormat/>
    <w:uiPriority w:val="9"/>
    <w:rPr>
      <w:b/>
      <w:bCs/>
      <w:kern w:val="2"/>
      <w:sz w:val="32"/>
      <w:szCs w:val="32"/>
    </w:rPr>
  </w:style>
  <w:style w:type="character" w:customStyle="1" w:styleId="153">
    <w:name w:val="样式6 Char"/>
    <w:qFormat/>
    <w:uiPriority w:val="0"/>
    <w:rPr>
      <w:rFonts w:ascii="仿宋_GB2312" w:hAnsi="宋体" w:eastAsia="仿宋_GB2312"/>
      <w:b/>
      <w:bCs/>
      <w:kern w:val="2"/>
      <w:sz w:val="24"/>
      <w:szCs w:val="24"/>
      <w:lang w:val="en-US" w:eastAsia="zh-CN" w:bidi="ar-SA"/>
    </w:rPr>
  </w:style>
  <w:style w:type="character" w:customStyle="1" w:styleId="154">
    <w:name w:val="Char Char14"/>
    <w:qFormat/>
    <w:uiPriority w:val="6"/>
    <w:rPr>
      <w:rFonts w:ascii="黑体" w:hAnsi="黑体" w:eastAsia="黑体"/>
    </w:rPr>
  </w:style>
  <w:style w:type="character" w:customStyle="1" w:styleId="155">
    <w:name w:val="Heading 2 Hidden Char"/>
    <w:qFormat/>
    <w:uiPriority w:val="0"/>
    <w:rPr>
      <w:rFonts w:ascii="仿宋_GB2312" w:eastAsia="仿宋_GB2312"/>
      <w:b/>
      <w:bCs/>
      <w:kern w:val="2"/>
      <w:sz w:val="24"/>
      <w:szCs w:val="24"/>
      <w:lang w:val="zh-CN" w:eastAsia="zh-CN" w:bidi="ar-SA"/>
    </w:rPr>
  </w:style>
  <w:style w:type="character" w:customStyle="1" w:styleId="156">
    <w:name w:val="font11"/>
    <w:qFormat/>
    <w:uiPriority w:val="0"/>
    <w:rPr>
      <w:rFonts w:hint="default" w:ascii="Times New Roman" w:hAnsi="Times New Roman" w:cs="Times New Roman"/>
      <w:color w:val="000000"/>
      <w:sz w:val="22"/>
      <w:szCs w:val="22"/>
      <w:u w:val="none"/>
    </w:rPr>
  </w:style>
  <w:style w:type="character" w:customStyle="1" w:styleId="157">
    <w:name w:val="表正文 Char1"/>
    <w:qFormat/>
    <w:uiPriority w:val="0"/>
    <w:rPr>
      <w:rFonts w:ascii="宋体" w:eastAsia="宋体"/>
      <w:snapToGrid w:val="0"/>
      <w:color w:val="000000"/>
      <w:kern w:val="28"/>
      <w:sz w:val="28"/>
    </w:rPr>
  </w:style>
  <w:style w:type="character" w:customStyle="1" w:styleId="158">
    <w:name w:val="blue1"/>
    <w:basedOn w:val="69"/>
    <w:qFormat/>
    <w:uiPriority w:val="0"/>
    <w:rPr>
      <w:rFonts w:ascii="Arial" w:hAnsi="Arial" w:eastAsia="黑体" w:cs="Arial"/>
      <w:snapToGrid w:val="0"/>
      <w:kern w:val="0"/>
      <w:szCs w:val="21"/>
    </w:rPr>
  </w:style>
  <w:style w:type="character" w:customStyle="1" w:styleId="159">
    <w:name w:val="标书1 Char"/>
    <w:qFormat/>
    <w:uiPriority w:val="0"/>
    <w:rPr>
      <w:rFonts w:eastAsia="宋体"/>
      <w:b/>
      <w:bCs/>
      <w:kern w:val="44"/>
      <w:sz w:val="44"/>
      <w:szCs w:val="44"/>
      <w:lang w:val="en-US" w:eastAsia="zh-CN" w:bidi="ar-SA"/>
    </w:rPr>
  </w:style>
  <w:style w:type="character" w:customStyle="1" w:styleId="160">
    <w:name w:val="样式5 Char"/>
    <w:qFormat/>
    <w:uiPriority w:val="0"/>
    <w:rPr>
      <w:rFonts w:ascii="仿宋_GB2312" w:hAnsi="仿宋" w:eastAsia="仿宋_GB2312"/>
      <w:kern w:val="2"/>
      <w:sz w:val="24"/>
      <w:szCs w:val="24"/>
    </w:rPr>
  </w:style>
  <w:style w:type="character" w:customStyle="1" w:styleId="161">
    <w:name w:val="样式4 Char"/>
    <w:qFormat/>
    <w:uiPriority w:val="0"/>
    <w:rPr>
      <w:rFonts w:ascii="仿宋_GB2312" w:hAnsi="仿宋" w:eastAsia="仿宋_GB2312"/>
      <w:b/>
      <w:kern w:val="2"/>
      <w:sz w:val="32"/>
      <w:szCs w:val="32"/>
      <w:lang w:bidi="ar-SA"/>
    </w:rPr>
  </w:style>
  <w:style w:type="character" w:customStyle="1" w:styleId="162">
    <w:name w:val="插图说明 Char"/>
    <w:qFormat/>
    <w:uiPriority w:val="0"/>
    <w:rPr>
      <w:rFonts w:eastAsia="黑体"/>
      <w:sz w:val="24"/>
      <w:lang w:val="en-US" w:eastAsia="zh-CN"/>
    </w:rPr>
  </w:style>
  <w:style w:type="character" w:customStyle="1" w:styleId="163">
    <w:name w:val="正文2 Char Char"/>
    <w:link w:val="164"/>
    <w:qFormat/>
    <w:uiPriority w:val="0"/>
    <w:rPr>
      <w:rFonts w:eastAsia="宋体"/>
      <w:kern w:val="2"/>
      <w:sz w:val="24"/>
      <w:lang w:val="en-US" w:eastAsia="zh-CN" w:bidi="ar-SA"/>
    </w:rPr>
  </w:style>
  <w:style w:type="paragraph" w:customStyle="1" w:styleId="164">
    <w:name w:val="正文2"/>
    <w:basedOn w:val="1"/>
    <w:link w:val="163"/>
    <w:qFormat/>
    <w:uiPriority w:val="0"/>
    <w:pPr>
      <w:spacing w:before="156" w:line="360" w:lineRule="auto"/>
      <w:ind w:firstLine="510" w:firstLineChars="200"/>
    </w:pPr>
    <w:rPr>
      <w:sz w:val="24"/>
      <w:szCs w:val="20"/>
    </w:rPr>
  </w:style>
  <w:style w:type="character" w:customStyle="1" w:styleId="165">
    <w:name w:val="Char Char24"/>
    <w:qFormat/>
    <w:uiPriority w:val="6"/>
    <w:rPr>
      <w:kern w:val="1"/>
      <w:sz w:val="21"/>
    </w:rPr>
  </w:style>
  <w:style w:type="character" w:customStyle="1" w:styleId="166">
    <w:name w:val="普通文字 Char1 Char"/>
    <w:qFormat/>
    <w:uiPriority w:val="0"/>
    <w:rPr>
      <w:rFonts w:ascii="宋体" w:hAnsi="Courier New" w:eastAsia="宋体"/>
      <w:kern w:val="2"/>
      <w:sz w:val="21"/>
      <w:szCs w:val="24"/>
      <w:lang w:val="en-US" w:eastAsia="zh-CN" w:bidi="ar-SA"/>
    </w:rPr>
  </w:style>
  <w:style w:type="character" w:customStyle="1" w:styleId="167">
    <w:name w:val="h3 Char1"/>
    <w:qFormat/>
    <w:uiPriority w:val="0"/>
    <w:rPr>
      <w:rFonts w:eastAsia="宋体"/>
      <w:b/>
      <w:bCs/>
      <w:kern w:val="2"/>
      <w:sz w:val="32"/>
      <w:szCs w:val="32"/>
      <w:lang w:bidi="ar-SA"/>
    </w:rPr>
  </w:style>
  <w:style w:type="character" w:customStyle="1" w:styleId="168">
    <w:name w:val="标题 Char1"/>
    <w:qFormat/>
    <w:uiPriority w:val="0"/>
    <w:rPr>
      <w:rFonts w:ascii="Cambria" w:hAnsi="Cambria" w:eastAsia="宋体" w:cs="Times New Roman"/>
      <w:b/>
      <w:bCs/>
      <w:sz w:val="32"/>
      <w:szCs w:val="32"/>
      <w:lang w:bidi="ar-SA"/>
    </w:rPr>
  </w:style>
  <w:style w:type="character" w:customStyle="1" w:styleId="169">
    <w:name w:val="gf正文1 Char"/>
    <w:qFormat/>
    <w:uiPriority w:val="0"/>
    <w:rPr>
      <w:rFonts w:ascii="宋体" w:hAnsi="宋体" w:eastAsia="宋体" w:cs="宋体"/>
      <w:kern w:val="2"/>
      <w:sz w:val="24"/>
      <w:szCs w:val="24"/>
      <w:lang w:val="en-US" w:eastAsia="zh-CN" w:bidi="ar-SA"/>
    </w:rPr>
  </w:style>
  <w:style w:type="character" w:customStyle="1" w:styleId="170">
    <w:name w:val="正文文本缩进 Char1"/>
    <w:qFormat/>
    <w:uiPriority w:val="0"/>
    <w:rPr>
      <w:rFonts w:ascii="Calibri" w:hAnsi="Calibri"/>
      <w:sz w:val="28"/>
    </w:rPr>
  </w:style>
  <w:style w:type="character" w:customStyle="1" w:styleId="171">
    <w:name w:val="No Spacing Char"/>
    <w:link w:val="172"/>
    <w:qFormat/>
    <w:uiPriority w:val="1"/>
    <w:rPr>
      <w:sz w:val="22"/>
      <w:szCs w:val="22"/>
      <w:lang w:val="en-US" w:eastAsia="zh-CN" w:bidi="ar-SA"/>
    </w:rPr>
  </w:style>
  <w:style w:type="paragraph" w:customStyle="1" w:styleId="172">
    <w:name w:val="无间隔1"/>
    <w:link w:val="171"/>
    <w:qFormat/>
    <w:uiPriority w:val="1"/>
    <w:rPr>
      <w:rFonts w:ascii="Times New Roman" w:hAnsi="Times New Roman" w:eastAsia="宋体" w:cs="Times New Roman"/>
      <w:sz w:val="22"/>
      <w:szCs w:val="22"/>
      <w:lang w:val="en-US" w:eastAsia="zh-CN" w:bidi="ar-SA"/>
    </w:rPr>
  </w:style>
  <w:style w:type="character" w:customStyle="1" w:styleId="173">
    <w:name w:val="样式7 Char"/>
    <w:qFormat/>
    <w:uiPriority w:val="0"/>
    <w:rPr>
      <w:rFonts w:ascii="仿宋_GB2312" w:hAnsi="仿宋" w:eastAsia="仿宋_GB2312"/>
      <w:b/>
      <w:kern w:val="2"/>
      <w:sz w:val="24"/>
      <w:szCs w:val="24"/>
    </w:rPr>
  </w:style>
  <w:style w:type="character" w:customStyle="1" w:styleId="174">
    <w:name w:val="font12gray1"/>
    <w:qFormat/>
    <w:uiPriority w:val="0"/>
    <w:rPr>
      <w:rFonts w:ascii="仿宋_GB2312" w:eastAsia="微软雅黑"/>
      <w:b/>
      <w:spacing w:val="300"/>
      <w:kern w:val="2"/>
      <w:sz w:val="18"/>
      <w:szCs w:val="18"/>
      <w:lang w:val="en-US" w:eastAsia="zh-CN" w:bidi="ar-SA"/>
    </w:rPr>
  </w:style>
  <w:style w:type="character" w:customStyle="1" w:styleId="175">
    <w:name w:val="Char Char7"/>
    <w:qFormat/>
    <w:uiPriority w:val="0"/>
    <w:rPr>
      <w:rFonts w:eastAsia="宋体"/>
      <w:kern w:val="2"/>
      <w:sz w:val="21"/>
      <w:szCs w:val="24"/>
      <w:lang w:val="en-US" w:eastAsia="zh-CN" w:bidi="ar-SA"/>
    </w:rPr>
  </w:style>
  <w:style w:type="character" w:customStyle="1" w:styleId="176">
    <w:name w:val="表名 Char"/>
    <w:qFormat/>
    <w:uiPriority w:val="0"/>
    <w:rPr>
      <w:rFonts w:eastAsia="宋体"/>
      <w:b/>
      <w:bCs/>
      <w:kern w:val="2"/>
      <w:sz w:val="24"/>
      <w:szCs w:val="24"/>
      <w:lang w:val="en-US" w:eastAsia="zh-CN" w:bidi="ar-SA"/>
    </w:rPr>
  </w:style>
  <w:style w:type="character" w:customStyle="1" w:styleId="177">
    <w:name w:val="Document Map Char"/>
    <w:qFormat/>
    <w:uiPriority w:val="0"/>
    <w:rPr>
      <w:rFonts w:eastAsia="宋体"/>
      <w:kern w:val="2"/>
      <w:sz w:val="21"/>
      <w:szCs w:val="24"/>
      <w:lang w:val="en-US" w:eastAsia="zh-CN" w:bidi="ar-SA"/>
    </w:rPr>
  </w:style>
  <w:style w:type="character" w:customStyle="1" w:styleId="178">
    <w:name w:val="font41"/>
    <w:qFormat/>
    <w:uiPriority w:val="0"/>
    <w:rPr>
      <w:rFonts w:hint="eastAsia" w:ascii="仿宋_GB2312" w:eastAsia="仿宋_GB2312" w:cs="仿宋_GB2312"/>
      <w:color w:val="000000"/>
      <w:sz w:val="22"/>
      <w:szCs w:val="22"/>
      <w:u w:val="none"/>
    </w:rPr>
  </w:style>
  <w:style w:type="character" w:customStyle="1" w:styleId="179">
    <w:name w:val="纯文本 Char_0"/>
    <w:link w:val="180"/>
    <w:qFormat/>
    <w:uiPriority w:val="0"/>
    <w:rPr>
      <w:rFonts w:ascii="宋体" w:hAnsi="Courier New"/>
      <w:kern w:val="2"/>
      <w:sz w:val="21"/>
      <w:szCs w:val="21"/>
      <w:lang w:val="en-US" w:eastAsia="zh-CN"/>
    </w:rPr>
  </w:style>
  <w:style w:type="paragraph" w:customStyle="1" w:styleId="180">
    <w:name w:val="纯文本_0_0"/>
    <w:basedOn w:val="181"/>
    <w:link w:val="179"/>
    <w:qFormat/>
    <w:uiPriority w:val="0"/>
    <w:rPr>
      <w:rFonts w:ascii="宋体" w:hAnsi="Courier New"/>
      <w:szCs w:val="21"/>
    </w:rPr>
  </w:style>
  <w:style w:type="paragraph" w:customStyle="1" w:styleId="1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Balloon Text Char"/>
    <w:qFormat/>
    <w:uiPriority w:val="0"/>
    <w:rPr>
      <w:rFonts w:eastAsia="宋体"/>
      <w:kern w:val="2"/>
      <w:sz w:val="18"/>
      <w:szCs w:val="18"/>
      <w:lang w:val="en-US" w:eastAsia="zh-CN" w:bidi="ar-SA"/>
    </w:rPr>
  </w:style>
  <w:style w:type="character" w:customStyle="1" w:styleId="183">
    <w:name w:val="正文 项目2 Char"/>
    <w:basedOn w:val="184"/>
    <w:qFormat/>
    <w:uiPriority w:val="0"/>
    <w:rPr>
      <w:rFonts w:ascii="仿宋_GB2312" w:hAnsi="仿宋_GB2312" w:eastAsia="仿宋_GB2312"/>
      <w:kern w:val="2"/>
      <w:sz w:val="24"/>
      <w:lang w:bidi="ar-SA"/>
    </w:rPr>
  </w:style>
  <w:style w:type="character" w:customStyle="1" w:styleId="184">
    <w:name w:val="正文 项目 Char"/>
    <w:qFormat/>
    <w:uiPriority w:val="0"/>
    <w:rPr>
      <w:rFonts w:ascii="仿宋_GB2312" w:hAnsi="仿宋_GB2312" w:eastAsia="仿宋_GB2312"/>
      <w:kern w:val="2"/>
      <w:sz w:val="24"/>
      <w:lang w:bidi="ar-SA"/>
    </w:rPr>
  </w:style>
  <w:style w:type="character" w:customStyle="1" w:styleId="185">
    <w:name w:val="h Char Char1"/>
    <w:qFormat/>
    <w:uiPriority w:val="0"/>
    <w:rPr>
      <w:rFonts w:eastAsia="宋体"/>
      <w:kern w:val="2"/>
      <w:sz w:val="18"/>
      <w:szCs w:val="18"/>
      <w:lang w:val="en-US" w:eastAsia="zh-CN" w:bidi="ar-SA"/>
    </w:rPr>
  </w:style>
  <w:style w:type="character" w:customStyle="1" w:styleId="186">
    <w:name w:val="Char Char27"/>
    <w:qFormat/>
    <w:uiPriority w:val="6"/>
    <w:rPr>
      <w:rFonts w:ascii="宋体" w:hAnsi="宋体" w:eastAsia="宋体"/>
      <w:color w:val="000000"/>
      <w:kern w:val="1"/>
      <w:sz w:val="28"/>
      <w:lang w:val="en-US" w:eastAsia="zh-CN" w:bidi="ar-SA"/>
    </w:rPr>
  </w:style>
  <w:style w:type="character" w:customStyle="1" w:styleId="187">
    <w:name w:val="px14"/>
    <w:qFormat/>
    <w:uiPriority w:val="0"/>
    <w:rPr>
      <w:rFonts w:ascii="仿宋_GB2312" w:eastAsia="微软雅黑" w:cs="Times New Roman"/>
      <w:b/>
      <w:kern w:val="2"/>
      <w:sz w:val="32"/>
      <w:szCs w:val="32"/>
      <w:lang w:val="en-US" w:eastAsia="zh-CN" w:bidi="ar-SA"/>
    </w:rPr>
  </w:style>
  <w:style w:type="character" w:customStyle="1" w:styleId="188">
    <w:name w:val="HTML 预设格式 Char1"/>
    <w:qFormat/>
    <w:uiPriority w:val="0"/>
    <w:rPr>
      <w:rFonts w:ascii="Courier New" w:hAnsi="Courier New" w:eastAsia="宋体" w:cs="Courier New"/>
      <w:sz w:val="20"/>
      <w:szCs w:val="20"/>
    </w:rPr>
  </w:style>
  <w:style w:type="character" w:customStyle="1" w:styleId="189">
    <w:name w:val="普通文字 Char1"/>
    <w:qFormat/>
    <w:uiPriority w:val="0"/>
    <w:rPr>
      <w:rFonts w:ascii="宋体" w:hAnsi="Courier New" w:eastAsia="宋体"/>
      <w:kern w:val="2"/>
      <w:sz w:val="21"/>
      <w:lang w:val="en-US" w:eastAsia="zh-CN"/>
    </w:rPr>
  </w:style>
  <w:style w:type="character" w:customStyle="1" w:styleId="190">
    <w:name w:val="hei16b1"/>
    <w:qFormat/>
    <w:uiPriority w:val="0"/>
    <w:rPr>
      <w:rFonts w:hint="default" w:ascii="Arial" w:hAnsi="Arial" w:cs="Arial"/>
      <w:b/>
      <w:bCs/>
      <w:color w:val="000000"/>
      <w:sz w:val="24"/>
      <w:szCs w:val="24"/>
    </w:rPr>
  </w:style>
  <w:style w:type="character" w:customStyle="1" w:styleId="191">
    <w:name w:val="正文（绿盟科技） Char"/>
    <w:link w:val="192"/>
    <w:qFormat/>
    <w:uiPriority w:val="0"/>
    <w:rPr>
      <w:rFonts w:ascii="Arial" w:hAnsi="Arial"/>
      <w:sz w:val="21"/>
      <w:szCs w:val="21"/>
    </w:rPr>
  </w:style>
  <w:style w:type="paragraph" w:customStyle="1" w:styleId="192">
    <w:name w:val="正文（绿盟科技）"/>
    <w:link w:val="191"/>
    <w:qFormat/>
    <w:uiPriority w:val="0"/>
    <w:pPr>
      <w:spacing w:line="300" w:lineRule="auto"/>
    </w:pPr>
    <w:rPr>
      <w:rFonts w:ascii="Arial" w:hAnsi="Arial" w:eastAsia="宋体" w:cs="Times New Roman"/>
      <w:sz w:val="21"/>
      <w:szCs w:val="21"/>
      <w:lang w:val="en-US" w:eastAsia="zh-CN" w:bidi="ar-SA"/>
    </w:rPr>
  </w:style>
  <w:style w:type="character" w:customStyle="1" w:styleId="193">
    <w:name w:val="Char Char19"/>
    <w:qFormat/>
    <w:uiPriority w:val="6"/>
    <w:rPr>
      <w:rFonts w:ascii="宋体" w:hAnsi="宋体"/>
      <w:i/>
      <w:sz w:val="24"/>
      <w:szCs w:val="24"/>
    </w:rPr>
  </w:style>
  <w:style w:type="character" w:customStyle="1" w:styleId="194">
    <w:name w:val="页脚 Char"/>
    <w:qFormat/>
    <w:uiPriority w:val="0"/>
    <w:rPr>
      <w:rFonts w:eastAsia="仿宋_GB2312"/>
      <w:kern w:val="2"/>
      <w:sz w:val="18"/>
      <w:lang w:val="en-US" w:eastAsia="zh-CN"/>
    </w:rPr>
  </w:style>
  <w:style w:type="character" w:customStyle="1" w:styleId="195">
    <w:name w:val="批注主题 Char"/>
    <w:qFormat/>
    <w:uiPriority w:val="0"/>
    <w:rPr>
      <w:rFonts w:eastAsia="宋体"/>
      <w:b/>
      <w:bCs/>
      <w:kern w:val="2"/>
      <w:sz w:val="21"/>
      <w:szCs w:val="24"/>
      <w:lang w:val="en-US" w:eastAsia="zh-CN" w:bidi="ar-SA"/>
    </w:rPr>
  </w:style>
  <w:style w:type="character" w:customStyle="1" w:styleId="196">
    <w:name w:val="Comment Text Char"/>
    <w:qFormat/>
    <w:uiPriority w:val="0"/>
    <w:rPr>
      <w:rFonts w:ascii="宋体" w:hAnsi="宋体" w:eastAsia="宋体"/>
      <w:kern w:val="2"/>
      <w:sz w:val="24"/>
      <w:lang w:val="en-US" w:eastAsia="zh-CN" w:bidi="ar-SA"/>
    </w:rPr>
  </w:style>
  <w:style w:type="character" w:customStyle="1" w:styleId="197">
    <w:name w:val="标题 2 字符"/>
    <w:qFormat/>
    <w:uiPriority w:val="1"/>
    <w:rPr>
      <w:rFonts w:ascii="仿宋_GB2312" w:hAnsi="Times New Roman" w:eastAsia="仿宋_GB2312" w:cs="Times New Roman"/>
      <w:b/>
      <w:kern w:val="2"/>
      <w:sz w:val="24"/>
      <w:lang w:val="zh-CN"/>
    </w:rPr>
  </w:style>
  <w:style w:type="character" w:customStyle="1" w:styleId="198">
    <w:name w:val="Char Char72"/>
    <w:qFormat/>
    <w:uiPriority w:val="0"/>
    <w:rPr>
      <w:rFonts w:eastAsia="宋体"/>
      <w:kern w:val="2"/>
      <w:sz w:val="21"/>
      <w:szCs w:val="24"/>
      <w:lang w:val="en-US" w:eastAsia="zh-CN" w:bidi="ar-SA"/>
    </w:rPr>
  </w:style>
  <w:style w:type="character" w:customStyle="1" w:styleId="199">
    <w:name w:val="正文文本缩进 Char2"/>
    <w:qFormat/>
    <w:uiPriority w:val="0"/>
    <w:rPr>
      <w:rFonts w:ascii="Times New Roman" w:hAnsi="Times New Roman" w:eastAsia="宋体" w:cs="Times New Roman"/>
      <w:snapToGrid w:val="0"/>
      <w:kern w:val="0"/>
      <w:szCs w:val="24"/>
    </w:rPr>
  </w:style>
  <w:style w:type="character" w:customStyle="1" w:styleId="200">
    <w:name w:val="样式2 Char"/>
    <w:qFormat/>
    <w:uiPriority w:val="0"/>
    <w:rPr>
      <w:rFonts w:ascii="仿宋_GB2312" w:hAnsi="仿宋" w:eastAsia="仿宋_GB2312" w:cs="仿宋_GB2312"/>
      <w:b/>
      <w:bCs/>
      <w:sz w:val="32"/>
      <w:szCs w:val="30"/>
      <w:lang w:val="zh-CN"/>
    </w:rPr>
  </w:style>
  <w:style w:type="character" w:customStyle="1" w:styleId="201">
    <w:name w:val="表格名称[858D7CFB-ED40-4347-BF05-701D383B685F]"/>
    <w:link w:val="202"/>
    <w:qFormat/>
    <w:uiPriority w:val="0"/>
    <w:rPr>
      <w:sz w:val="32"/>
    </w:rPr>
  </w:style>
  <w:style w:type="paragraph" w:customStyle="1" w:styleId="202">
    <w:name w:val="表格名称"/>
    <w:basedOn w:val="3"/>
    <w:link w:val="20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3">
    <w:name w:val="Char Char4"/>
    <w:qFormat/>
    <w:uiPriority w:val="0"/>
    <w:rPr>
      <w:rFonts w:eastAsia="宋体"/>
      <w:b/>
      <w:sz w:val="24"/>
      <w:lang w:val="en-GB" w:eastAsia="zh-CN" w:bidi="ar-SA"/>
    </w:rPr>
  </w:style>
  <w:style w:type="character" w:customStyle="1" w:styleId="204">
    <w:name w:val="c7 style3"/>
    <w:qFormat/>
    <w:uiPriority w:val="0"/>
  </w:style>
  <w:style w:type="character" w:customStyle="1" w:styleId="205">
    <w:name w:val="正文文本 3 Char1"/>
    <w:qFormat/>
    <w:uiPriority w:val="99"/>
    <w:rPr>
      <w:rFonts w:ascii="Times New Roman" w:hAnsi="Times New Roman" w:eastAsia="宋体" w:cs="Times New Roman"/>
      <w:sz w:val="16"/>
      <w:szCs w:val="16"/>
    </w:rPr>
  </w:style>
  <w:style w:type="character" w:customStyle="1" w:styleId="206">
    <w:name w:val="tw4winInternal"/>
    <w:qFormat/>
    <w:uiPriority w:val="0"/>
    <w:rPr>
      <w:rFonts w:ascii="Courier New" w:hAnsi="Courier New" w:cs="Courier New"/>
      <w:color w:val="FF0000"/>
      <w:lang w:val="en-US" w:eastAsia="zh-CN"/>
    </w:rPr>
  </w:style>
  <w:style w:type="character" w:customStyle="1" w:styleId="207">
    <w:name w:val="Char Char10"/>
    <w:qFormat/>
    <w:uiPriority w:val="0"/>
    <w:rPr>
      <w:rFonts w:ascii="宋体" w:hAnsi="宋体"/>
      <w:kern w:val="2"/>
      <w:sz w:val="21"/>
      <w:szCs w:val="24"/>
      <w:lang w:val="en-US" w:eastAsia="zh-CN"/>
    </w:rPr>
  </w:style>
  <w:style w:type="character" w:customStyle="1" w:styleId="208">
    <w:name w:val="shadow11"/>
    <w:qFormat/>
    <w:uiPriority w:val="0"/>
    <w:rPr>
      <w:color w:val="000000"/>
      <w:sz w:val="21"/>
    </w:rPr>
  </w:style>
  <w:style w:type="character" w:customStyle="1" w:styleId="209">
    <w:name w:val="正文非缩进 Char3"/>
    <w:qFormat/>
    <w:uiPriority w:val="0"/>
    <w:rPr>
      <w:rFonts w:ascii="宋体" w:eastAsia="宋体"/>
      <w:snapToGrid w:val="0"/>
      <w:color w:val="000000"/>
      <w:kern w:val="28"/>
      <w:sz w:val="28"/>
      <w:lang w:val="en-US" w:eastAsia="zh-CN" w:bidi="ar-SA"/>
    </w:rPr>
  </w:style>
  <w:style w:type="character" w:customStyle="1" w:styleId="210">
    <w:name w:val="Char Char"/>
    <w:qFormat/>
    <w:uiPriority w:val="0"/>
    <w:rPr>
      <w:rFonts w:ascii="宋体" w:hAnsi="Courier New" w:eastAsia="宋体"/>
      <w:kern w:val="2"/>
      <w:sz w:val="21"/>
      <w:lang w:val="en-US" w:eastAsia="zh-CN" w:bidi="ar-SA"/>
    </w:rPr>
  </w:style>
  <w:style w:type="character" w:customStyle="1" w:styleId="211">
    <w:name w:val="签名 Char1"/>
    <w:qFormat/>
    <w:uiPriority w:val="0"/>
    <w:rPr>
      <w:rFonts w:ascii="Times New Roman" w:hAnsi="Times New Roman" w:eastAsia="宋体" w:cs="Times New Roman"/>
      <w:szCs w:val="24"/>
    </w:rPr>
  </w:style>
  <w:style w:type="character" w:customStyle="1" w:styleId="212">
    <w:name w:val="Char Char18"/>
    <w:qFormat/>
    <w:uiPriority w:val="6"/>
    <w:rPr>
      <w:rFonts w:ascii="宋体" w:hAnsi="宋体"/>
      <w:sz w:val="28"/>
    </w:rPr>
  </w:style>
  <w:style w:type="character" w:customStyle="1" w:styleId="213">
    <w:name w:val="批注文字 Char"/>
    <w:qFormat/>
    <w:uiPriority w:val="99"/>
    <w:rPr>
      <w:kern w:val="2"/>
      <w:sz w:val="21"/>
      <w:szCs w:val="24"/>
    </w:rPr>
  </w:style>
  <w:style w:type="character" w:customStyle="1" w:styleId="214">
    <w:name w:val="Char Char22"/>
    <w:qFormat/>
    <w:uiPriority w:val="6"/>
    <w:rPr>
      <w:rFonts w:ascii="宋体" w:hAnsi="宋体"/>
      <w:kern w:val="1"/>
      <w:sz w:val="24"/>
      <w:szCs w:val="24"/>
    </w:rPr>
  </w:style>
  <w:style w:type="character" w:customStyle="1" w:styleId="215">
    <w:name w:val="pt141"/>
    <w:qFormat/>
    <w:uiPriority w:val="0"/>
    <w:rPr>
      <w:color w:val="330066"/>
      <w:sz w:val="22"/>
      <w:szCs w:val="22"/>
    </w:rPr>
  </w:style>
  <w:style w:type="character" w:customStyle="1" w:styleId="216">
    <w:name w:val="正文文本缩进 2 Char1"/>
    <w:qFormat/>
    <w:uiPriority w:val="99"/>
    <w:rPr>
      <w:rFonts w:ascii="Times New Roman" w:hAnsi="Times New Roman" w:eastAsia="宋体" w:cs="Times New Roman"/>
      <w:szCs w:val="24"/>
    </w:rPr>
  </w:style>
  <w:style w:type="character" w:customStyle="1" w:styleId="217">
    <w:name w:val="Char Char611"/>
    <w:qFormat/>
    <w:uiPriority w:val="0"/>
    <w:rPr>
      <w:rFonts w:eastAsia="宋体"/>
      <w:kern w:val="2"/>
      <w:sz w:val="21"/>
      <w:szCs w:val="24"/>
      <w:lang w:val="en-US" w:eastAsia="zh-CN" w:bidi="ar-SA"/>
    </w:rPr>
  </w:style>
  <w:style w:type="character" w:customStyle="1" w:styleId="218">
    <w:name w:val="highlight1"/>
    <w:qFormat/>
    <w:uiPriority w:val="0"/>
    <w:rPr>
      <w:rFonts w:ascii="仿宋_GB2312" w:eastAsia="微软雅黑"/>
      <w:b/>
      <w:kern w:val="2"/>
      <w:sz w:val="23"/>
      <w:szCs w:val="23"/>
      <w:lang w:val="en-US" w:eastAsia="zh-CN" w:bidi="ar-SA"/>
    </w:rPr>
  </w:style>
  <w:style w:type="character" w:customStyle="1" w:styleId="219">
    <w:name w:val="my正文 Char"/>
    <w:link w:val="220"/>
    <w:qFormat/>
    <w:uiPriority w:val="0"/>
    <w:rPr>
      <w:rFonts w:ascii="Tahoma" w:hAnsi="Tahoma"/>
      <w:sz w:val="24"/>
      <w:szCs w:val="24"/>
    </w:rPr>
  </w:style>
  <w:style w:type="paragraph" w:customStyle="1" w:styleId="220">
    <w:name w:val="my正文"/>
    <w:basedOn w:val="1"/>
    <w:link w:val="219"/>
    <w:qFormat/>
    <w:uiPriority w:val="0"/>
    <w:pPr>
      <w:adjustRightInd/>
      <w:spacing w:line="360" w:lineRule="auto"/>
      <w:ind w:firstLine="480" w:firstLineChars="200"/>
    </w:pPr>
    <w:rPr>
      <w:rFonts w:ascii="Tahoma" w:hAnsi="Tahoma"/>
      <w:kern w:val="0"/>
      <w:sz w:val="24"/>
    </w:rPr>
  </w:style>
  <w:style w:type="character" w:customStyle="1" w:styleId="221">
    <w:name w:val="Used by Word for text of Help footnotes Char Char1"/>
    <w:qFormat/>
    <w:uiPriority w:val="0"/>
    <w:rPr>
      <w:color w:val="0000FF"/>
      <w:sz w:val="21"/>
    </w:rPr>
  </w:style>
  <w:style w:type="character" w:customStyle="1" w:styleId="222">
    <w:name w:val="页眉 Char"/>
    <w:qFormat/>
    <w:uiPriority w:val="0"/>
    <w:rPr>
      <w:rFonts w:eastAsia="仿宋_GB2312"/>
      <w:kern w:val="2"/>
      <w:sz w:val="18"/>
      <w:lang w:val="en-US" w:eastAsia="zh-CN"/>
    </w:rPr>
  </w:style>
  <w:style w:type="character" w:customStyle="1" w:styleId="223">
    <w:name w:val="FA正文 Char Char"/>
    <w:qFormat/>
    <w:uiPriority w:val="0"/>
    <w:rPr>
      <w:rFonts w:hAnsi="宋体"/>
      <w:kern w:val="2"/>
      <w:sz w:val="24"/>
      <w:lang w:bidi="ar-SA"/>
    </w:rPr>
  </w:style>
  <w:style w:type="character" w:customStyle="1" w:styleId="224">
    <w:name w:val="纯文本 字符"/>
    <w:qFormat/>
    <w:uiPriority w:val="0"/>
    <w:rPr>
      <w:rFonts w:ascii="宋体" w:hAnsi="Courier New" w:eastAsia="宋体" w:cs="Arial"/>
      <w:snapToGrid w:val="0"/>
      <w:kern w:val="2"/>
      <w:sz w:val="21"/>
      <w:szCs w:val="21"/>
      <w:lang w:val="en-US" w:eastAsia="zh-CN" w:bidi="ar-SA"/>
    </w:rPr>
  </w:style>
  <w:style w:type="character" w:customStyle="1" w:styleId="225">
    <w:name w:val="3级 Char"/>
    <w:link w:val="226"/>
    <w:qFormat/>
    <w:uiPriority w:val="0"/>
    <w:rPr>
      <w:rFonts w:ascii="宋体" w:hAnsi="宋体"/>
      <w:b/>
      <w:bCs/>
      <w:sz w:val="28"/>
    </w:rPr>
  </w:style>
  <w:style w:type="paragraph" w:customStyle="1" w:styleId="226">
    <w:name w:val="3级"/>
    <w:basedOn w:val="227"/>
    <w:link w:val="225"/>
    <w:qFormat/>
    <w:uiPriority w:val="0"/>
    <w:pPr>
      <w:ind w:left="0" w:right="466" w:firstLine="288"/>
    </w:pPr>
    <w:rPr>
      <w:rFonts w:hAnsi="宋体"/>
    </w:rPr>
  </w:style>
  <w:style w:type="paragraph" w:customStyle="1" w:styleId="22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8">
    <w:name w:val="myp11"/>
    <w:qFormat/>
    <w:uiPriority w:val="0"/>
    <w:rPr>
      <w:rFonts w:ascii="仿宋_GB2312" w:eastAsia="微软雅黑"/>
      <w:b/>
      <w:kern w:val="2"/>
      <w:sz w:val="32"/>
      <w:szCs w:val="32"/>
      <w:lang w:val="en-US" w:eastAsia="zh-CN" w:bidi="ar-SA"/>
    </w:rPr>
  </w:style>
  <w:style w:type="character" w:customStyle="1" w:styleId="229">
    <w:name w:val="H6 Char"/>
    <w:qFormat/>
    <w:uiPriority w:val="0"/>
    <w:rPr>
      <w:rFonts w:ascii="Arial" w:hAnsi="Arial" w:eastAsia="黑体"/>
      <w:b/>
      <w:bCs/>
      <w:kern w:val="2"/>
      <w:sz w:val="24"/>
      <w:szCs w:val="24"/>
    </w:rPr>
  </w:style>
  <w:style w:type="character" w:customStyle="1" w:styleId="230">
    <w:name w:val="Char Char91"/>
    <w:qFormat/>
    <w:uiPriority w:val="0"/>
    <w:rPr>
      <w:rFonts w:eastAsia="宋体"/>
      <w:kern w:val="2"/>
      <w:sz w:val="18"/>
      <w:szCs w:val="18"/>
      <w:lang w:val="en-US" w:eastAsia="zh-CN" w:bidi="ar-SA"/>
    </w:rPr>
  </w:style>
  <w:style w:type="character" w:customStyle="1" w:styleId="231">
    <w:name w:val="副标题 Char1"/>
    <w:qFormat/>
    <w:uiPriority w:val="0"/>
    <w:rPr>
      <w:rFonts w:ascii="Cambria" w:hAnsi="Cambria" w:eastAsia="宋体" w:cs="Times New Roman"/>
      <w:b/>
      <w:bCs/>
      <w:snapToGrid w:val="0"/>
      <w:kern w:val="28"/>
      <w:sz w:val="32"/>
      <w:szCs w:val="32"/>
    </w:rPr>
  </w:style>
  <w:style w:type="character" w:customStyle="1" w:styleId="232">
    <w:name w:val="font61"/>
    <w:qFormat/>
    <w:uiPriority w:val="0"/>
    <w:rPr>
      <w:rFonts w:hint="eastAsia" w:ascii="仿宋" w:hAnsi="仿宋" w:eastAsia="仿宋" w:cs="仿宋"/>
      <w:color w:val="000000"/>
      <w:sz w:val="20"/>
      <w:szCs w:val="20"/>
      <w:u w:val="none"/>
    </w:rPr>
  </w:style>
  <w:style w:type="character" w:customStyle="1" w:styleId="2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4">
    <w:name w:val="Char Char211"/>
    <w:qFormat/>
    <w:uiPriority w:val="0"/>
    <w:rPr>
      <w:rFonts w:eastAsia="宋体"/>
      <w:b/>
      <w:bCs/>
      <w:kern w:val="2"/>
      <w:sz w:val="21"/>
      <w:szCs w:val="24"/>
      <w:lang w:val="en-US" w:eastAsia="zh-CN" w:bidi="ar-SA"/>
    </w:rPr>
  </w:style>
  <w:style w:type="character" w:customStyle="1" w:styleId="235">
    <w:name w:val="标题 2 Char"/>
    <w:qFormat/>
    <w:uiPriority w:val="0"/>
    <w:rPr>
      <w:rFonts w:ascii="Arial" w:hAnsi="Arial" w:eastAsia="黑体"/>
      <w:b/>
      <w:kern w:val="2"/>
      <w:sz w:val="32"/>
      <w:lang w:val="en-US" w:eastAsia="zh-CN"/>
    </w:rPr>
  </w:style>
  <w:style w:type="character" w:customStyle="1" w:styleId="236">
    <w:name w:val="maywed421"/>
    <w:qFormat/>
    <w:uiPriority w:val="0"/>
    <w:rPr>
      <w:color w:val="366FB6"/>
      <w:u w:val="none"/>
    </w:rPr>
  </w:style>
  <w:style w:type="character" w:customStyle="1" w:styleId="237">
    <w:name w:val="正文文本缩进 Char"/>
    <w:qFormat/>
    <w:uiPriority w:val="0"/>
    <w:rPr>
      <w:rFonts w:ascii="宋体" w:hAnsi="宋体"/>
      <w:kern w:val="2"/>
      <w:sz w:val="24"/>
      <w:szCs w:val="24"/>
    </w:rPr>
  </w:style>
  <w:style w:type="character" w:customStyle="1" w:styleId="238">
    <w:name w:val="Char Char102"/>
    <w:qFormat/>
    <w:uiPriority w:val="0"/>
    <w:rPr>
      <w:rFonts w:ascii="宋体" w:hAnsi="宋体"/>
      <w:kern w:val="2"/>
      <w:sz w:val="21"/>
      <w:szCs w:val="24"/>
      <w:lang w:val="en-US" w:eastAsia="zh-CN"/>
    </w:rPr>
  </w:style>
  <w:style w:type="character" w:customStyle="1" w:styleId="239">
    <w:name w:val="页眉 Char1"/>
    <w:qFormat/>
    <w:uiPriority w:val="0"/>
    <w:rPr>
      <w:rFonts w:eastAsia="宋体"/>
      <w:kern w:val="2"/>
      <w:sz w:val="18"/>
      <w:szCs w:val="18"/>
      <w:lang w:val="en-US" w:eastAsia="zh-CN" w:bidi="ar-SA"/>
    </w:rPr>
  </w:style>
  <w:style w:type="character" w:customStyle="1" w:styleId="240">
    <w:name w:val="md"/>
    <w:basedOn w:val="69"/>
    <w:qFormat/>
    <w:uiPriority w:val="0"/>
    <w:rPr>
      <w:rFonts w:ascii="Arial" w:hAnsi="Arial" w:eastAsia="黑体" w:cs="Arial"/>
      <w:snapToGrid w:val="0"/>
      <w:kern w:val="0"/>
      <w:szCs w:val="21"/>
    </w:rPr>
  </w:style>
  <w:style w:type="character" w:customStyle="1" w:styleId="241">
    <w:name w:val="big1"/>
    <w:qFormat/>
    <w:uiPriority w:val="0"/>
    <w:rPr>
      <w:rFonts w:hint="eastAsia" w:ascii="宋体" w:hAnsi="宋体" w:eastAsia="宋体"/>
      <w:color w:val="333333"/>
      <w:sz w:val="22"/>
      <w:szCs w:val="22"/>
    </w:rPr>
  </w:style>
  <w:style w:type="character" w:customStyle="1" w:styleId="242">
    <w:name w:val="Char Char311"/>
    <w:qFormat/>
    <w:uiPriority w:val="0"/>
    <w:rPr>
      <w:rFonts w:eastAsia="宋体"/>
      <w:kern w:val="2"/>
      <w:sz w:val="21"/>
      <w:szCs w:val="24"/>
      <w:lang w:val="en-US" w:eastAsia="zh-CN" w:bidi="ar-SA"/>
    </w:rPr>
  </w:style>
  <w:style w:type="character" w:customStyle="1" w:styleId="243">
    <w:name w:val="Char Char81"/>
    <w:qFormat/>
    <w:uiPriority w:val="6"/>
    <w:rPr>
      <w:rFonts w:eastAsia="宋体"/>
      <w:b/>
      <w:sz w:val="24"/>
      <w:lang w:val="en-GB" w:eastAsia="zh-CN"/>
    </w:rPr>
  </w:style>
  <w:style w:type="character" w:customStyle="1" w:styleId="244">
    <w:name w:val="样式3 Char"/>
    <w:basedOn w:val="200"/>
    <w:qFormat/>
    <w:uiPriority w:val="0"/>
    <w:rPr>
      <w:rFonts w:ascii="仿宋_GB2312" w:hAnsi="仿宋" w:eastAsia="仿宋_GB2312" w:cs="仿宋_GB2312"/>
      <w:sz w:val="32"/>
      <w:szCs w:val="30"/>
      <w:lang w:val="zh-CN"/>
    </w:rPr>
  </w:style>
  <w:style w:type="character" w:customStyle="1" w:styleId="245">
    <w:name w:val="正文首行缩进 2 Char1"/>
    <w:qFormat/>
    <w:uiPriority w:val="0"/>
    <w:rPr>
      <w:rFonts w:ascii="Times New Roman" w:hAnsi="Times New Roman" w:eastAsia="宋体" w:cs="Times New Roman"/>
      <w:kern w:val="2"/>
      <w:sz w:val="24"/>
      <w:szCs w:val="24"/>
    </w:rPr>
  </w:style>
  <w:style w:type="character" w:customStyle="1" w:styleId="246">
    <w:name w:val="副标题 Char2"/>
    <w:qFormat/>
    <w:uiPriority w:val="0"/>
    <w:rPr>
      <w:rFonts w:ascii="Cambria" w:hAnsi="Cambria" w:eastAsia="宋体" w:cs="Times New Roman"/>
      <w:b/>
      <w:bCs/>
      <w:snapToGrid w:val="0"/>
      <w:kern w:val="28"/>
      <w:sz w:val="32"/>
      <w:szCs w:val="32"/>
    </w:rPr>
  </w:style>
  <w:style w:type="character" w:customStyle="1" w:styleId="247">
    <w:name w:val="标题4-dyf Char"/>
    <w:link w:val="248"/>
    <w:qFormat/>
    <w:uiPriority w:val="0"/>
    <w:rPr>
      <w:rFonts w:ascii="Cambria" w:hAnsi="Cambria"/>
      <w:b/>
      <w:bCs/>
      <w:color w:val="000000"/>
      <w:kern w:val="2"/>
      <w:sz w:val="21"/>
      <w:szCs w:val="21"/>
    </w:rPr>
  </w:style>
  <w:style w:type="paragraph" w:customStyle="1" w:styleId="248">
    <w:name w:val="标题4-dyf"/>
    <w:basedOn w:val="6"/>
    <w:link w:val="24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9">
    <w:name w:val="dectext1"/>
    <w:qFormat/>
    <w:uiPriority w:val="0"/>
    <w:rPr>
      <w:rFonts w:ascii="宋体" w:hAnsi="宋体" w:eastAsia="宋体"/>
      <w:color w:val="333333"/>
      <w:sz w:val="21"/>
      <w:szCs w:val="21"/>
      <w:u w:val="none"/>
    </w:rPr>
  </w:style>
  <w:style w:type="character" w:customStyle="1" w:styleId="250">
    <w:name w:val="冯 Char"/>
    <w:link w:val="251"/>
    <w:qFormat/>
    <w:uiPriority w:val="0"/>
    <w:rPr>
      <w:rFonts w:ascii="宋体" w:hAnsi="宋体"/>
      <w:color w:val="000000"/>
      <w:sz w:val="24"/>
      <w:szCs w:val="24"/>
    </w:rPr>
  </w:style>
  <w:style w:type="paragraph" w:customStyle="1" w:styleId="251">
    <w:name w:val="冯"/>
    <w:basedOn w:val="1"/>
    <w:link w:val="250"/>
    <w:qFormat/>
    <w:uiPriority w:val="0"/>
    <w:pPr>
      <w:widowControl/>
      <w:adjustRightInd/>
      <w:spacing w:line="360" w:lineRule="auto"/>
      <w:ind w:firstLine="480" w:firstLineChars="200"/>
    </w:pPr>
    <w:rPr>
      <w:rFonts w:ascii="宋体" w:hAnsi="宋体"/>
      <w:color w:val="000000"/>
      <w:kern w:val="0"/>
      <w:sz w:val="24"/>
    </w:rPr>
  </w:style>
  <w:style w:type="character" w:customStyle="1" w:styleId="252">
    <w:name w:val="Header Char_b6bb7154-40a1-4532-be09-cdbace51fda5"/>
    <w:qFormat/>
    <w:uiPriority w:val="0"/>
    <w:rPr>
      <w:rFonts w:eastAsia="宋体"/>
      <w:kern w:val="2"/>
      <w:sz w:val="18"/>
      <w:szCs w:val="18"/>
      <w:lang w:val="en-US" w:eastAsia="zh-CN" w:bidi="ar-SA"/>
    </w:rPr>
  </w:style>
  <w:style w:type="character" w:customStyle="1" w:styleId="253">
    <w:name w:val="Char Char12"/>
    <w:qFormat/>
    <w:uiPriority w:val="0"/>
    <w:rPr>
      <w:rFonts w:ascii="仿宋_GB2312" w:eastAsia="仿宋_GB2312"/>
      <w:b/>
      <w:bCs/>
      <w:kern w:val="2"/>
      <w:sz w:val="24"/>
      <w:szCs w:val="24"/>
      <w:lang w:val="zh-CN" w:eastAsia="zh-CN" w:bidi="ar-SA"/>
    </w:rPr>
  </w:style>
  <w:style w:type="character" w:customStyle="1" w:styleId="254">
    <w:name w:val="普通文字 Char3"/>
    <w:qFormat/>
    <w:uiPriority w:val="0"/>
    <w:rPr>
      <w:rFonts w:ascii="宋体" w:hAnsi="Courier New" w:eastAsia="宋体"/>
      <w:kern w:val="2"/>
      <w:sz w:val="21"/>
      <w:lang w:val="en-US" w:eastAsia="zh-CN" w:bidi="ar-SA"/>
    </w:rPr>
  </w:style>
  <w:style w:type="character" w:customStyle="1" w:styleId="255">
    <w:name w:val="公文正文 Char"/>
    <w:qFormat/>
    <w:uiPriority w:val="0"/>
    <w:rPr>
      <w:rFonts w:ascii="仿宋_GB2312" w:eastAsia="仿宋_GB2312"/>
      <w:kern w:val="2"/>
      <w:sz w:val="24"/>
      <w:szCs w:val="24"/>
      <w:lang w:val="en-US" w:eastAsia="zh-CN" w:bidi="ar-SA"/>
    </w:rPr>
  </w:style>
  <w:style w:type="character" w:customStyle="1" w:styleId="256">
    <w:name w:val="正文首行缩进 Char Char Char Char Char"/>
    <w:qFormat/>
    <w:uiPriority w:val="0"/>
    <w:rPr>
      <w:rFonts w:ascii="宋体"/>
      <w:kern w:val="2"/>
      <w:sz w:val="24"/>
      <w:lang w:val="zh-CN"/>
    </w:rPr>
  </w:style>
  <w:style w:type="character" w:customStyle="1" w:styleId="257">
    <w:name w:val="PI Char"/>
    <w:qFormat/>
    <w:uiPriority w:val="0"/>
    <w:rPr>
      <w:rFonts w:ascii="宋体" w:hAnsi="宋体" w:eastAsia="宋体"/>
      <w:kern w:val="2"/>
      <w:sz w:val="24"/>
      <w:szCs w:val="24"/>
      <w:lang w:val="en-US" w:eastAsia="zh-CN" w:bidi="ar-SA"/>
    </w:rPr>
  </w:style>
  <w:style w:type="character" w:customStyle="1" w:styleId="258">
    <w:name w:val="style91"/>
    <w:qFormat/>
    <w:uiPriority w:val="0"/>
    <w:rPr>
      <w:color w:val="333333"/>
    </w:rPr>
  </w:style>
  <w:style w:type="character" w:customStyle="1" w:styleId="259">
    <w:name w:val="列出段落 Char2"/>
    <w:qFormat/>
    <w:uiPriority w:val="34"/>
    <w:rPr>
      <w:rFonts w:ascii="Calibri" w:hAnsi="Calibri"/>
      <w:kern w:val="2"/>
      <w:sz w:val="28"/>
    </w:rPr>
  </w:style>
  <w:style w:type="character" w:customStyle="1" w:styleId="260">
    <w:name w:val="mdeck"/>
    <w:qFormat/>
    <w:uiPriority w:val="0"/>
    <w:rPr>
      <w:rFonts w:ascii="仿宋_GB2312" w:eastAsia="微软雅黑"/>
      <w:b/>
      <w:kern w:val="2"/>
      <w:sz w:val="32"/>
      <w:szCs w:val="32"/>
      <w:lang w:val="en-US" w:eastAsia="zh-CN" w:bidi="ar-SA"/>
    </w:rPr>
  </w:style>
  <w:style w:type="character" w:customStyle="1" w:styleId="261">
    <w:name w:val="unnamed11"/>
    <w:qFormat/>
    <w:uiPriority w:val="0"/>
    <w:rPr>
      <w:sz w:val="20"/>
      <w:szCs w:val="20"/>
    </w:rPr>
  </w:style>
  <w:style w:type="character" w:customStyle="1" w:styleId="262">
    <w:name w:val="正文文本 Char2"/>
    <w:qFormat/>
    <w:uiPriority w:val="99"/>
    <w:rPr>
      <w:rFonts w:ascii="Times New Roman" w:hAnsi="Times New Roman" w:eastAsia="宋体" w:cs="Times New Roman"/>
      <w:snapToGrid w:val="0"/>
      <w:kern w:val="0"/>
      <w:szCs w:val="24"/>
    </w:rPr>
  </w:style>
  <w:style w:type="character" w:customStyle="1" w:styleId="263">
    <w:name w:val="标书正文格式 Char"/>
    <w:qFormat/>
    <w:uiPriority w:val="0"/>
    <w:rPr>
      <w:rFonts w:eastAsia="楷体_GB2312"/>
      <w:kern w:val="2"/>
      <w:sz w:val="24"/>
      <w:szCs w:val="24"/>
      <w:lang w:bidi="ar-SA"/>
    </w:rPr>
  </w:style>
  <w:style w:type="character" w:customStyle="1" w:styleId="264">
    <w:name w:val="Char Char11"/>
    <w:qFormat/>
    <w:uiPriority w:val="0"/>
    <w:rPr>
      <w:rFonts w:ascii="宋体" w:hAnsi="宋体" w:eastAsia="宋体"/>
      <w:b/>
      <w:kern w:val="2"/>
      <w:sz w:val="24"/>
      <w:szCs w:val="24"/>
      <w:lang w:val="en-US" w:eastAsia="zh-CN" w:bidi="ar-SA"/>
    </w:rPr>
  </w:style>
  <w:style w:type="character" w:customStyle="1" w:styleId="265">
    <w:name w:val="ca-131"/>
    <w:qFormat/>
    <w:uiPriority w:val="0"/>
    <w:rPr>
      <w:rFonts w:hint="eastAsia" w:ascii="仿宋_GB2312" w:eastAsia="仿宋_GB2312"/>
      <w:b/>
      <w:bCs/>
      <w:color w:val="000000"/>
      <w:spacing w:val="-20"/>
      <w:sz w:val="24"/>
      <w:szCs w:val="24"/>
    </w:rPr>
  </w:style>
  <w:style w:type="character" w:customStyle="1" w:styleId="266">
    <w:name w:val="tw4winMark"/>
    <w:qFormat/>
    <w:uiPriority w:val="0"/>
    <w:rPr>
      <w:rFonts w:ascii="Courier New" w:hAnsi="Courier New" w:cs="Courier New"/>
      <w:vanish/>
      <w:color w:val="800080"/>
      <w:sz w:val="24"/>
      <w:szCs w:val="24"/>
      <w:vertAlign w:val="subscript"/>
    </w:rPr>
  </w:style>
  <w:style w:type="character" w:customStyle="1" w:styleId="267">
    <w:name w:val="正文样式 Char"/>
    <w:link w:val="268"/>
    <w:qFormat/>
    <w:uiPriority w:val="0"/>
    <w:rPr>
      <w:rFonts w:ascii="Calibri" w:hAnsi="Calibri"/>
      <w:sz w:val="24"/>
      <w:szCs w:val="24"/>
    </w:rPr>
  </w:style>
  <w:style w:type="paragraph" w:customStyle="1" w:styleId="268">
    <w:name w:val="正文样式"/>
    <w:basedOn w:val="1"/>
    <w:link w:val="267"/>
    <w:qFormat/>
    <w:uiPriority w:val="0"/>
    <w:pPr>
      <w:adjustRightInd/>
      <w:spacing w:line="360" w:lineRule="auto"/>
      <w:ind w:firstLine="480" w:firstLineChars="200"/>
    </w:pPr>
    <w:rPr>
      <w:kern w:val="0"/>
      <w:sz w:val="24"/>
    </w:rPr>
  </w:style>
  <w:style w:type="character" w:customStyle="1" w:styleId="269">
    <w:name w:val="表正文 Char3"/>
    <w:qFormat/>
    <w:uiPriority w:val="0"/>
    <w:rPr>
      <w:rFonts w:eastAsia="宋体"/>
    </w:rPr>
  </w:style>
  <w:style w:type="character" w:customStyle="1" w:styleId="270">
    <w:name w:val="H5 Char"/>
    <w:qFormat/>
    <w:uiPriority w:val="0"/>
    <w:rPr>
      <w:b/>
      <w:bCs/>
      <w:kern w:val="2"/>
      <w:sz w:val="28"/>
      <w:szCs w:val="28"/>
    </w:rPr>
  </w:style>
  <w:style w:type="character" w:customStyle="1" w:styleId="271">
    <w:name w:val="Char Char3"/>
    <w:qFormat/>
    <w:uiPriority w:val="0"/>
    <w:rPr>
      <w:rFonts w:eastAsia="宋体"/>
      <w:kern w:val="2"/>
      <w:sz w:val="21"/>
      <w:szCs w:val="24"/>
      <w:lang w:val="en-US" w:eastAsia="zh-CN" w:bidi="ar-SA"/>
    </w:rPr>
  </w:style>
  <w:style w:type="character" w:customStyle="1" w:styleId="272">
    <w:name w:val="正文 编号 Char"/>
    <w:qFormat/>
    <w:uiPriority w:val="0"/>
    <w:rPr>
      <w:rFonts w:ascii="仿宋_GB2312" w:hAnsi="仿宋_GB2312" w:eastAsia="仿宋_GB2312"/>
      <w:kern w:val="2"/>
      <w:sz w:val="24"/>
      <w:lang w:bidi="ar-SA"/>
    </w:rPr>
  </w:style>
  <w:style w:type="character" w:customStyle="1" w:styleId="273">
    <w:name w:val="question-title2"/>
    <w:qFormat/>
    <w:uiPriority w:val="6"/>
    <w:rPr>
      <w:rFonts w:ascii="Arial" w:hAnsi="Arial" w:eastAsia="黑体" w:cs="Arial"/>
      <w:snapToGrid w:val="0"/>
      <w:kern w:val="0"/>
      <w:szCs w:val="21"/>
    </w:rPr>
  </w:style>
  <w:style w:type="character" w:customStyle="1" w:styleId="274">
    <w:name w:val="gf正文1 Char Char"/>
    <w:link w:val="275"/>
    <w:qFormat/>
    <w:uiPriority w:val="0"/>
    <w:rPr>
      <w:rFonts w:ascii="宋体" w:hAnsi="宋体" w:cs="宋体"/>
      <w:kern w:val="2"/>
      <w:sz w:val="24"/>
      <w:szCs w:val="24"/>
    </w:rPr>
  </w:style>
  <w:style w:type="paragraph" w:customStyle="1" w:styleId="275">
    <w:name w:val="gf正文1"/>
    <w:basedOn w:val="1"/>
    <w:link w:val="27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6">
    <w:name w:val="Char Char15"/>
    <w:qFormat/>
    <w:uiPriority w:val="6"/>
    <w:rPr>
      <w:rFonts w:ascii="宋体" w:hAnsi="宋体"/>
      <w:kern w:val="1"/>
      <w:sz w:val="21"/>
    </w:rPr>
  </w:style>
  <w:style w:type="character" w:customStyle="1" w:styleId="277">
    <w:name w:val="正文缩进 Char3"/>
    <w:qFormat/>
    <w:uiPriority w:val="0"/>
    <w:rPr>
      <w:rFonts w:ascii="宋体" w:eastAsia="宋体"/>
      <w:snapToGrid w:val="0"/>
      <w:color w:val="000000"/>
      <w:kern w:val="28"/>
      <w:sz w:val="28"/>
      <w:lang w:val="en-US" w:eastAsia="zh-CN" w:bidi="ar-SA"/>
    </w:rPr>
  </w:style>
  <w:style w:type="character" w:customStyle="1" w:styleId="278">
    <w:name w:val="列出段落 Char1"/>
    <w:link w:val="279"/>
    <w:qFormat/>
    <w:uiPriority w:val="0"/>
    <w:rPr>
      <w:rFonts w:ascii="Calibri" w:hAnsi="Calibri"/>
      <w:sz w:val="24"/>
      <w:lang w:eastAsia="en-US"/>
    </w:rPr>
  </w:style>
  <w:style w:type="paragraph" w:customStyle="1" w:styleId="279">
    <w:name w:val="列表1"/>
    <w:basedOn w:val="1"/>
    <w:next w:val="79"/>
    <w:link w:val="278"/>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80">
    <w:name w:val="Char Char8"/>
    <w:qFormat/>
    <w:uiPriority w:val="0"/>
    <w:rPr>
      <w:rFonts w:eastAsia="宋体"/>
      <w:b/>
      <w:sz w:val="24"/>
      <w:lang w:val="en-GB" w:eastAsia="zh-CN"/>
    </w:rPr>
  </w:style>
  <w:style w:type="character" w:customStyle="1" w:styleId="281">
    <w:name w:val="Normal Indent Char Char"/>
    <w:qFormat/>
    <w:uiPriority w:val="0"/>
    <w:rPr>
      <w:rFonts w:eastAsia="宋体"/>
      <w:kern w:val="2"/>
      <w:sz w:val="21"/>
      <w:lang w:val="en-US" w:eastAsia="zh-CN" w:bidi="ar-SA"/>
    </w:rPr>
  </w:style>
  <w:style w:type="character" w:customStyle="1" w:styleId="282">
    <w:name w:val="列表段落 字符"/>
    <w:qFormat/>
    <w:uiPriority w:val="99"/>
  </w:style>
  <w:style w:type="character" w:customStyle="1" w:styleId="283">
    <w:name w:val="Ò³Ã¼ Char Char1"/>
    <w:qFormat/>
    <w:uiPriority w:val="0"/>
    <w:rPr>
      <w:rFonts w:eastAsia="宋体"/>
      <w:kern w:val="2"/>
      <w:sz w:val="18"/>
      <w:szCs w:val="18"/>
      <w:lang w:val="en-US" w:eastAsia="zh-CN" w:bidi="ar-SA"/>
    </w:rPr>
  </w:style>
  <w:style w:type="character" w:customStyle="1" w:styleId="284">
    <w:name w:val="方案正文 Char"/>
    <w:qFormat/>
    <w:uiPriority w:val="0"/>
    <w:rPr>
      <w:rFonts w:ascii="仿宋_GB2312" w:eastAsia="仿宋_GB2312"/>
      <w:b/>
      <w:color w:val="000000"/>
      <w:kern w:val="2"/>
      <w:sz w:val="24"/>
      <w:lang w:val="en-US" w:eastAsia="zh-CN" w:bidi="ar-SA"/>
    </w:rPr>
  </w:style>
  <w:style w:type="character" w:customStyle="1" w:styleId="285">
    <w:name w:val="Char Char30"/>
    <w:qFormat/>
    <w:uiPriority w:val="6"/>
    <w:rPr>
      <w:rFonts w:ascii="Arial" w:hAnsi="Arial" w:eastAsia="黑体"/>
      <w:kern w:val="1"/>
      <w:sz w:val="21"/>
      <w:szCs w:val="21"/>
    </w:rPr>
  </w:style>
  <w:style w:type="character" w:customStyle="1" w:styleId="286">
    <w:name w:val="font01"/>
    <w:qFormat/>
    <w:uiPriority w:val="0"/>
    <w:rPr>
      <w:rFonts w:hint="eastAsia" w:ascii="微软雅黑" w:hAnsi="微软雅黑" w:eastAsia="微软雅黑" w:cs="微软雅黑"/>
      <w:color w:val="000000"/>
      <w:sz w:val="20"/>
      <w:szCs w:val="20"/>
      <w:u w:val="none"/>
    </w:rPr>
  </w:style>
  <w:style w:type="character" w:customStyle="1" w:styleId="287">
    <w:name w:val="Char Char20"/>
    <w:qFormat/>
    <w:uiPriority w:val="6"/>
    <w:rPr>
      <w:kern w:val="1"/>
      <w:sz w:val="24"/>
    </w:rPr>
  </w:style>
  <w:style w:type="character" w:customStyle="1" w:styleId="288">
    <w:name w:val="tw4winExternal"/>
    <w:qFormat/>
    <w:uiPriority w:val="0"/>
    <w:rPr>
      <w:rFonts w:ascii="Courier New" w:hAnsi="Courier New" w:cs="Courier New"/>
      <w:color w:val="808080"/>
      <w:lang w:val="en-US" w:eastAsia="zh-CN"/>
    </w:rPr>
  </w:style>
  <w:style w:type="character" w:customStyle="1" w:styleId="289">
    <w:name w:val="标题 4 Char1"/>
    <w:qFormat/>
    <w:uiPriority w:val="9"/>
    <w:rPr>
      <w:rFonts w:ascii="Cambria" w:hAnsi="Cambria" w:eastAsia="宋体" w:cs="Times New Roman"/>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Cs w:val="24"/>
    </w:rPr>
  </w:style>
  <w:style w:type="character" w:customStyle="1" w:styleId="291">
    <w:name w:val="正文文本 2 Char"/>
    <w:qFormat/>
    <w:uiPriority w:val="0"/>
    <w:rPr>
      <w:rFonts w:eastAsia="宋体"/>
      <w:kern w:val="2"/>
      <w:sz w:val="21"/>
      <w:szCs w:val="24"/>
      <w:lang w:val="en-US" w:eastAsia="zh-CN" w:bidi="ar-SA"/>
    </w:rPr>
  </w:style>
  <w:style w:type="character" w:customStyle="1" w:styleId="292">
    <w:name w:val="Ò³Ã¼ Char Char"/>
    <w:qFormat/>
    <w:uiPriority w:val="0"/>
    <w:rPr>
      <w:rFonts w:eastAsia="宋体"/>
      <w:kern w:val="2"/>
      <w:sz w:val="18"/>
      <w:lang w:val="en-US" w:eastAsia="zh-CN" w:bidi="ar-SA"/>
    </w:rPr>
  </w:style>
  <w:style w:type="character" w:customStyle="1" w:styleId="293">
    <w:name w:val="message1"/>
    <w:qFormat/>
    <w:uiPriority w:val="0"/>
    <w:rPr>
      <w:rFonts w:hint="default" w:ascii="Tahoma" w:hAnsi="Tahoma" w:cs="Tahoma"/>
      <w:sz w:val="18"/>
      <w:szCs w:val="18"/>
    </w:rPr>
  </w:style>
  <w:style w:type="character" w:customStyle="1" w:styleId="294">
    <w:name w:val="Char Char23"/>
    <w:qFormat/>
    <w:uiPriority w:val="6"/>
    <w:rPr>
      <w:color w:val="0000FF"/>
      <w:sz w:val="21"/>
    </w:rPr>
  </w:style>
  <w:style w:type="character" w:customStyle="1" w:styleId="295">
    <w:name w:val="批注框文本 字符"/>
    <w:qFormat/>
    <w:uiPriority w:val="0"/>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Courier New"/>
    </w:rPr>
  </w:style>
  <w:style w:type="character" w:customStyle="1" w:styleId="297">
    <w:name w:val="Char Char25"/>
    <w:qFormat/>
    <w:uiPriority w:val="6"/>
    <w:rPr>
      <w:rFonts w:ascii="宋体" w:hAnsi="宋体"/>
      <w:kern w:val="1"/>
      <w:sz w:val="24"/>
      <w:lang w:val="zh-CN"/>
    </w:rPr>
  </w:style>
  <w:style w:type="character" w:customStyle="1" w:styleId="298">
    <w:name w:val="Char Char411"/>
    <w:qFormat/>
    <w:uiPriority w:val="0"/>
    <w:rPr>
      <w:rFonts w:eastAsia="宋体"/>
      <w:b/>
      <w:sz w:val="24"/>
      <w:lang w:val="en-GB" w:eastAsia="zh-CN" w:bidi="ar-SA"/>
    </w:rPr>
  </w:style>
  <w:style w:type="character" w:customStyle="1" w:styleId="29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300">
    <w:name w:val="此正文 Char"/>
    <w:link w:val="301"/>
    <w:qFormat/>
    <w:uiPriority w:val="0"/>
    <w:rPr>
      <w:kern w:val="2"/>
      <w:sz w:val="24"/>
      <w:szCs w:val="24"/>
    </w:rPr>
  </w:style>
  <w:style w:type="paragraph" w:customStyle="1" w:styleId="301">
    <w:name w:val="此正文"/>
    <w:basedOn w:val="1"/>
    <w:link w:val="300"/>
    <w:qFormat/>
    <w:uiPriority w:val="0"/>
    <w:pPr>
      <w:adjustRightInd/>
      <w:spacing w:line="360" w:lineRule="auto"/>
      <w:ind w:firstLine="200" w:firstLineChars="200"/>
    </w:pPr>
    <w:rPr>
      <w:sz w:val="24"/>
    </w:rPr>
  </w:style>
  <w:style w:type="character" w:customStyle="1" w:styleId="302">
    <w:name w:val="Char Char2"/>
    <w:qFormat/>
    <w:uiPriority w:val="0"/>
    <w:rPr>
      <w:rFonts w:eastAsia="宋体"/>
      <w:b/>
      <w:bCs/>
      <w:kern w:val="2"/>
      <w:sz w:val="21"/>
      <w:szCs w:val="24"/>
      <w:lang w:val="en-US" w:eastAsia="zh-CN" w:bidi="ar-SA"/>
    </w:rPr>
  </w:style>
  <w:style w:type="character" w:customStyle="1" w:styleId="303">
    <w:name w:val="Footer-Even Char1"/>
    <w:qFormat/>
    <w:uiPriority w:val="0"/>
    <w:rPr>
      <w:rFonts w:eastAsia="宋体"/>
      <w:kern w:val="2"/>
      <w:sz w:val="18"/>
      <w:szCs w:val="18"/>
      <w:lang w:val="en-US" w:eastAsia="zh-CN" w:bidi="ar-SA"/>
    </w:rPr>
  </w:style>
  <w:style w:type="character" w:customStyle="1" w:styleId="304">
    <w:name w:val="Char Char29"/>
    <w:qFormat/>
    <w:uiPriority w:val="6"/>
    <w:rPr>
      <w:rFonts w:ascii="Arial" w:hAnsi="Arial" w:eastAsia="微软雅黑"/>
      <w:b/>
      <w:kern w:val="1"/>
      <w:sz w:val="44"/>
      <w:szCs w:val="32"/>
      <w:lang w:val="en-US" w:eastAsia="zh-CN" w:bidi="ar-SA"/>
    </w:rPr>
  </w:style>
  <w:style w:type="character" w:customStyle="1" w:styleId="305">
    <w:name w:val="font81"/>
    <w:qFormat/>
    <w:uiPriority w:val="0"/>
    <w:rPr>
      <w:rFonts w:ascii="微软雅黑" w:hAnsi="微软雅黑" w:eastAsia="微软雅黑" w:cs="微软雅黑"/>
      <w:color w:val="000000"/>
      <w:sz w:val="20"/>
      <w:szCs w:val="20"/>
      <w:u w:val="none"/>
    </w:rPr>
  </w:style>
  <w:style w:type="character" w:customStyle="1" w:styleId="306">
    <w:name w:val="Char Char312"/>
    <w:qFormat/>
    <w:uiPriority w:val="0"/>
    <w:rPr>
      <w:rFonts w:ascii="Times New Roman" w:hAnsi="Times New Roman" w:eastAsia="宋体" w:cs="Times New Roman"/>
      <w:b/>
      <w:kern w:val="2"/>
      <w:sz w:val="32"/>
      <w:szCs w:val="24"/>
      <w:lang w:val="en-US" w:eastAsia="zh-CN" w:bidi="ar-SA"/>
    </w:rPr>
  </w:style>
  <w:style w:type="character" w:customStyle="1" w:styleId="307">
    <w:name w:val="t21"/>
    <w:qFormat/>
    <w:uiPriority w:val="0"/>
    <w:rPr>
      <w:rFonts w:ascii="仿宋_GB2312" w:eastAsia="微软雅黑"/>
      <w:b/>
      <w:kern w:val="2"/>
      <w:sz w:val="23"/>
      <w:szCs w:val="23"/>
      <w:lang w:val="en-US" w:eastAsia="zh-CN" w:bidi="ar-SA"/>
    </w:rPr>
  </w:style>
  <w:style w:type="character" w:customStyle="1" w:styleId="308">
    <w:name w:val="样式8 Char"/>
    <w:qFormat/>
    <w:uiPriority w:val="0"/>
    <w:rPr>
      <w:rFonts w:ascii="仿宋_GB2312" w:hAnsi="宋体" w:eastAsia="仿宋_GB2312"/>
      <w:b/>
      <w:bCs/>
      <w:kern w:val="2"/>
      <w:sz w:val="24"/>
      <w:szCs w:val="24"/>
    </w:rPr>
  </w:style>
  <w:style w:type="character" w:customStyle="1" w:styleId="309">
    <w:name w:val="表格 Char Char"/>
    <w:qFormat/>
    <w:uiPriority w:val="0"/>
    <w:rPr>
      <w:rFonts w:ascii="宋体" w:hAnsi="宋体" w:eastAsia="宋体"/>
      <w:lang w:bidi="ar-SA"/>
    </w:rPr>
  </w:style>
  <w:style w:type="character" w:customStyle="1" w:styleId="310">
    <w:name w:val="正文文本 字符1"/>
    <w:qFormat/>
    <w:uiPriority w:val="0"/>
    <w:rPr>
      <w:rFonts w:ascii="Calibri" w:hAnsi="Calibri" w:eastAsia="黑体" w:cs="Arial"/>
      <w:snapToGrid w:val="0"/>
      <w:kern w:val="2"/>
      <w:sz w:val="28"/>
      <w:szCs w:val="21"/>
    </w:rPr>
  </w:style>
  <w:style w:type="character" w:customStyle="1" w:styleId="311">
    <w:name w:val="标题 6 Char1"/>
    <w:qFormat/>
    <w:uiPriority w:val="0"/>
    <w:rPr>
      <w:rFonts w:ascii="Arial" w:hAnsi="Arial" w:eastAsia="黑体" w:cs="Times New Roman"/>
      <w:b/>
      <w:sz w:val="24"/>
      <w:szCs w:val="20"/>
      <w:lang w:bidi="ar-SA"/>
    </w:rPr>
  </w:style>
  <w:style w:type="character" w:customStyle="1" w:styleId="312">
    <w:name w:val="带编号样式 Char"/>
    <w:qFormat/>
    <w:uiPriority w:val="0"/>
    <w:rPr>
      <w:rFonts w:ascii="仿宋_GB2312" w:eastAsia="仿宋_GB2312"/>
      <w:color w:val="000000"/>
      <w:sz w:val="24"/>
      <w:lang w:bidi="ar-SA"/>
    </w:rPr>
  </w:style>
  <w:style w:type="character" w:customStyle="1" w:styleId="313">
    <w:name w:val="unnamed31"/>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qFormat/>
    <w:uiPriority w:val="0"/>
    <w:rPr>
      <w:rFonts w:ascii="宋体" w:eastAsia="宋体"/>
      <w:kern w:val="2"/>
      <w:sz w:val="24"/>
      <w:szCs w:val="24"/>
      <w:lang w:val="zh-CN" w:bidi="ar-SA"/>
    </w:rPr>
  </w:style>
  <w:style w:type="character" w:customStyle="1" w:styleId="315">
    <w:name w:val="文本正文 Char Char"/>
    <w:qFormat/>
    <w:uiPriority w:val="0"/>
    <w:rPr>
      <w:sz w:val="24"/>
      <w:lang w:bidi="ar-SA"/>
    </w:rPr>
  </w:style>
  <w:style w:type="character" w:customStyle="1" w:styleId="316">
    <w:name w:val="正文缩进 字符"/>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qFormat/>
    <w:uiPriority w:val="0"/>
    <w:pPr>
      <w:tabs>
        <w:tab w:val="left" w:pos="2356"/>
      </w:tabs>
    </w:pPr>
  </w:style>
  <w:style w:type="paragraph" w:customStyle="1" w:styleId="319">
    <w:name w:val="样式 标题 4h4H4Fab-4T5Ref Heading 1rh1Heading sqlsect 1.2.3...."/>
    <w:basedOn w:val="6"/>
    <w:link w:val="3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qFormat/>
    <w:uiPriority w:val="0"/>
    <w:rPr>
      <w:rFonts w:ascii="微软雅黑" w:hAnsi="微软雅黑" w:eastAsia="微软雅黑"/>
      <w:b/>
      <w:bCs/>
      <w:kern w:val="2"/>
      <w:sz w:val="24"/>
      <w:szCs w:val="28"/>
    </w:rPr>
  </w:style>
  <w:style w:type="character" w:customStyle="1" w:styleId="321">
    <w:name w:val="正文非缩进 Char"/>
    <w:qFormat/>
    <w:uiPriority w:val="0"/>
    <w:rPr>
      <w:rFonts w:ascii="宋体" w:eastAsia="宋体"/>
      <w:snapToGrid w:val="0"/>
      <w:color w:val="000000"/>
      <w:kern w:val="28"/>
      <w:sz w:val="28"/>
      <w:lang w:val="en-US" w:eastAsia="zh-CN" w:bidi="ar-SA"/>
    </w:rPr>
  </w:style>
  <w:style w:type="character" w:customStyle="1" w:styleId="322">
    <w:name w:val="Char Char5"/>
    <w:qFormat/>
    <w:uiPriority w:val="0"/>
    <w:rPr>
      <w:rFonts w:ascii="宋体" w:hAnsi="Courier New" w:eastAsia="宋体"/>
      <w:kern w:val="2"/>
      <w:sz w:val="21"/>
      <w:lang w:val="en-US" w:eastAsia="zh-CN"/>
    </w:rPr>
  </w:style>
  <w:style w:type="character" w:customStyle="1" w:styleId="323">
    <w:name w:val="称呼 Char1"/>
    <w:qFormat/>
    <w:uiPriority w:val="0"/>
    <w:rPr>
      <w:rFonts w:ascii="Times New Roman" w:hAnsi="Times New Roman" w:eastAsia="宋体" w:cs="Times New Roman"/>
      <w:szCs w:val="24"/>
    </w:rPr>
  </w:style>
  <w:style w:type="character" w:customStyle="1" w:styleId="324">
    <w:name w:val="正文1 Char"/>
    <w:qFormat/>
    <w:uiPriority w:val="0"/>
    <w:rPr>
      <w:rFonts w:ascii="宋体" w:eastAsia="宋体"/>
      <w:snapToGrid w:val="0"/>
      <w:color w:val="000000"/>
      <w:kern w:val="28"/>
      <w:sz w:val="28"/>
      <w:lang w:val="en-US" w:eastAsia="zh-CN" w:bidi="ar-SA"/>
    </w:rPr>
  </w:style>
  <w:style w:type="character" w:customStyle="1" w:styleId="325">
    <w:name w:val="正文缩进 Char1"/>
    <w:qFormat/>
    <w:uiPriority w:val="0"/>
    <w:rPr>
      <w:rFonts w:ascii="宋体" w:eastAsia="宋体"/>
      <w:snapToGrid w:val="0"/>
      <w:color w:val="000000"/>
      <w:kern w:val="28"/>
      <w:sz w:val="28"/>
      <w:lang w:val="en-US" w:eastAsia="zh-CN" w:bidi="ar-SA"/>
    </w:rPr>
  </w:style>
  <w:style w:type="character" w:customStyle="1" w:styleId="326">
    <w:name w:val="font21"/>
    <w:qFormat/>
    <w:uiPriority w:val="0"/>
    <w:rPr>
      <w:rFonts w:hint="eastAsia" w:ascii="宋体" w:hAnsi="宋体" w:eastAsia="宋体"/>
      <w:kern w:val="2"/>
      <w:sz w:val="28"/>
      <w:szCs w:val="28"/>
      <w:lang w:val="en-US" w:eastAsia="zh-CN" w:bidi="ar-SA"/>
    </w:rPr>
  </w:style>
  <w:style w:type="character" w:customStyle="1" w:styleId="327">
    <w:name w:val="Char Char26"/>
    <w:qFormat/>
    <w:uiPriority w:val="6"/>
    <w:rPr>
      <w:kern w:val="1"/>
      <w:sz w:val="21"/>
      <w:szCs w:val="24"/>
    </w:rPr>
  </w:style>
  <w:style w:type="character" w:customStyle="1" w:styleId="328">
    <w:name w:val="Item List Char"/>
    <w:link w:val="329"/>
    <w:qFormat/>
    <w:uiPriority w:val="0"/>
    <w:rPr>
      <w:rFonts w:ascii="Arial"/>
      <w:bCs/>
      <w:sz w:val="21"/>
      <w:szCs w:val="21"/>
      <w:lang w:val="en-US" w:eastAsia="zh-CN" w:bidi="ar-SA"/>
    </w:rPr>
  </w:style>
  <w:style w:type="paragraph" w:customStyle="1" w:styleId="329">
    <w:name w:val="Item List"/>
    <w:link w:val="3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qFormat/>
    <w:uiPriority w:val="0"/>
    <w:rPr>
      <w:rFonts w:ascii="Times New Roman" w:hAnsi="Times New Roman" w:eastAsia="宋体" w:cs="Times New Roman"/>
      <w:sz w:val="18"/>
      <w:szCs w:val="18"/>
    </w:rPr>
  </w:style>
  <w:style w:type="character" w:customStyle="1" w:styleId="331">
    <w:name w:val="纯文本 Char1"/>
    <w:link w:val="332"/>
    <w:qFormat/>
    <w:uiPriority w:val="0"/>
    <w:rPr>
      <w:rFonts w:ascii="宋体" w:hAnsi="Courier New"/>
    </w:rPr>
  </w:style>
  <w:style w:type="paragraph" w:customStyle="1" w:styleId="332">
    <w:name w:val="纯文本1"/>
    <w:basedOn w:val="1"/>
    <w:link w:val="331"/>
    <w:qFormat/>
    <w:uiPriority w:val="0"/>
    <w:pPr>
      <w:adjustRightInd/>
    </w:pPr>
    <w:rPr>
      <w:rFonts w:ascii="宋体" w:hAnsi="Courier New"/>
      <w:kern w:val="0"/>
      <w:sz w:val="20"/>
      <w:szCs w:val="20"/>
    </w:rPr>
  </w:style>
  <w:style w:type="character" w:customStyle="1" w:styleId="333">
    <w:name w:val="h3 Char"/>
    <w:qFormat/>
    <w:uiPriority w:val="0"/>
    <w:rPr>
      <w:rFonts w:eastAsia="宋体"/>
      <w:b/>
      <w:kern w:val="2"/>
      <w:sz w:val="32"/>
      <w:lang w:val="en-US" w:eastAsia="zh-CN" w:bidi="ar-SA"/>
    </w:rPr>
  </w:style>
  <w:style w:type="character" w:customStyle="1" w:styleId="334">
    <w:name w:val="dandyren_title1"/>
    <w:qFormat/>
    <w:uiPriority w:val="0"/>
    <w:rPr>
      <w:b/>
      <w:bCs/>
      <w:color w:val="FF6633"/>
      <w:sz w:val="18"/>
      <w:szCs w:val="18"/>
    </w:rPr>
  </w:style>
  <w:style w:type="character" w:customStyle="1" w:styleId="335">
    <w:name w:val="Char Char31"/>
    <w:qFormat/>
    <w:uiPriority w:val="6"/>
    <w:rPr>
      <w:rFonts w:ascii="Arial" w:hAnsi="Arial" w:eastAsia="黑体"/>
      <w:kern w:val="1"/>
      <w:sz w:val="24"/>
      <w:szCs w:val="24"/>
    </w:rPr>
  </w:style>
  <w:style w:type="character" w:customStyle="1" w:styleId="336">
    <w:name w:val="h Char1"/>
    <w:qFormat/>
    <w:uiPriority w:val="0"/>
    <w:rPr>
      <w:sz w:val="18"/>
      <w:szCs w:val="18"/>
    </w:rPr>
  </w:style>
  <w:style w:type="character" w:customStyle="1" w:styleId="337">
    <w:name w:val="solutionfonts"/>
    <w:qFormat/>
    <w:uiPriority w:val="0"/>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485"/>
    <w:qFormat/>
    <w:uiPriority w:val="99"/>
    <w:rPr>
      <w:szCs w:val="22"/>
    </w:rPr>
  </w:style>
  <w:style w:type="character" w:customStyle="1" w:styleId="485">
    <w:name w:val="无间隔 Char"/>
    <w:link w:val="484"/>
    <w:qFormat/>
    <w:uiPriority w:val="99"/>
    <w:rPr>
      <w:kern w:val="2"/>
      <w:sz w:val="21"/>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6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115"/>
    <w:next w:val="115"/>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115"/>
    <w:next w:val="115"/>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8"/>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79"/>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4"/>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7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列出段落6"/>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6">
    <w:name w:val="Body Text Indent Char"/>
    <w:link w:val="967"/>
    <w:qFormat/>
    <w:locked/>
    <w:uiPriority w:val="0"/>
    <w:rPr>
      <w:rFonts w:ascii="仿宋_GB2312" w:hAnsi="Calibri" w:eastAsia="仿宋_GB2312"/>
      <w:sz w:val="32"/>
    </w:rPr>
  </w:style>
  <w:style w:type="paragraph" w:customStyle="1" w:styleId="967">
    <w:name w:val="正文文本缩进1"/>
    <w:basedOn w:val="1"/>
    <w:link w:val="966"/>
    <w:qFormat/>
    <w:uiPriority w:val="0"/>
    <w:pPr>
      <w:adjustRightInd/>
      <w:ind w:firstLine="830" w:firstLineChars="352"/>
    </w:pPr>
    <w:rPr>
      <w:rFonts w:ascii="仿宋_GB2312" w:hAnsi="Calibri" w:eastAsia="仿宋_GB2312"/>
      <w:sz w:val="32"/>
    </w:rPr>
  </w:style>
  <w:style w:type="paragraph" w:customStyle="1" w:styleId="968">
    <w:name w:val="Body Text Indent1"/>
    <w:basedOn w:val="1"/>
    <w:qFormat/>
    <w:uiPriority w:val="99"/>
    <w:pPr>
      <w:spacing w:line="360" w:lineRule="auto"/>
      <w:ind w:firstLine="560" w:firstLineChars="200"/>
    </w:pPr>
    <w:rPr>
      <w:kern w:val="0"/>
      <w:sz w:val="28"/>
    </w:rPr>
  </w:style>
  <w:style w:type="table" w:customStyle="1" w:styleId="969">
    <w:name w:val="表格框1"/>
    <w:basedOn w:val="62"/>
    <w:qFormat/>
    <w:uiPriority w:val="39"/>
    <w:rPr>
      <w:rFonts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B1F830-9800-429A-8286-B3E4F4C6E45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44295</Words>
  <Characters>47521</Characters>
  <Lines>411</Lines>
  <Paragraphs>115</Paragraphs>
  <TotalTime>20</TotalTime>
  <ScaleCrop>false</ScaleCrop>
  <LinksUpToDate>false</LinksUpToDate>
  <CharactersWithSpaces>55038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2023-10-12T12:06:00Z</dcterms:created>
  <dc:creator>玥</dc:creator>
  <cp:lastModifiedBy>WangFr</cp:lastModifiedBy>
  <cp:lastPrinted>2024-03-29T03:15:00Z</cp:lastPrinted>
  <dcterms:modified xsi:type="dcterms:W3CDTF">2024-10-10T10:49:51Z</dcterms:modified>
  <dc:title>杭州市市民卡扩大发卡工程</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8C4D73F9AA274B25BD475DDBEA37F550_13</vt:lpwstr>
  </property>
</Properties>
</file>