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p>
    <w:p>
      <w:pPr>
        <w:adjustRightInd/>
        <w:spacing w:line="360" w:lineRule="auto"/>
        <w:jc w:val="center"/>
        <w:rPr>
          <w:rFonts w:ascii="宋体" w:hAnsi="宋体" w:cs="宋体"/>
          <w:b/>
          <w:color w:val="auto"/>
          <w:sz w:val="44"/>
          <w:szCs w:val="44"/>
          <w:highlight w:val="none"/>
        </w:rPr>
      </w:pPr>
    </w:p>
    <w:p>
      <w:pPr>
        <w:spacing w:line="360" w:lineRule="auto"/>
        <w:jc w:val="center"/>
        <w:rPr>
          <w:rFonts w:ascii="宋体" w:hAnsi="宋体" w:cs="宋体"/>
          <w:b/>
          <w:color w:val="auto"/>
          <w:sz w:val="44"/>
          <w:szCs w:val="4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杭州市人民职业学校宿舍整修项目</w:t>
      </w: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竞争性磋商文件</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（电子交易）</w:t>
      </w:r>
    </w:p>
    <w:p>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ZJXY-HZ2024-32-1</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杭州市人民职业学校</w:t>
      </w:r>
    </w:p>
    <w:p>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浙江筑脸全过程工程咨询有限公司</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六</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日</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竞争性磋商公告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供应商须知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评审办法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1280" w:firstLineChars="400"/>
        <w:rPr>
          <w:rFonts w:ascii="宋体" w:hAnsi="宋体" w:cs="宋体"/>
          <w:color w:val="auto"/>
          <w:sz w:val="32"/>
          <w:szCs w:val="32"/>
          <w:highlight w:val="none"/>
        </w:rPr>
      </w:pP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8647"/>
      <w:bookmarkEnd w:id="4"/>
      <w:bookmarkStart w:id="5" w:name="_Hlt74729822"/>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竞争性磋商公告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杭州市人民职业学校宿舍整修项目</w:t>
      </w:r>
      <w:r>
        <w:rPr>
          <w:rFonts w:hint="eastAsia" w:ascii="宋体" w:hAnsi="宋体" w:cs="宋体"/>
          <w:color w:val="auto"/>
          <w:sz w:val="24"/>
          <w:highlight w:val="none"/>
        </w:rPr>
        <w:t>采购项目的潜在供应商应在政采云平台（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8"/>
          <w:rFonts w:hint="eastAsia" w:ascii="宋体" w:hAnsi="宋体" w:eastAsia="宋体" w:cs="宋体"/>
          <w:snapToGrid/>
          <w:color w:val="auto"/>
          <w:kern w:val="2"/>
          <w:sz w:val="24"/>
          <w:szCs w:val="24"/>
          <w:highlight w:val="none"/>
        </w:rPr>
        <w:t>https://www.zcygov.cn/）获取（下载）采购文件，并于</w:t>
      </w:r>
      <w:r>
        <w:rPr>
          <w:rFonts w:hint="eastAsia" w:ascii="宋体" w:hAnsi="宋体" w:cs="宋体"/>
          <w:color w:val="auto"/>
          <w:sz w:val="24"/>
          <w:highlight w:val="none"/>
          <w:u w:val="single"/>
          <w:lang w:eastAsia="zh-CN"/>
        </w:rPr>
        <w:t>2024年6月25日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lang w:eastAsia="zh-CN"/>
        </w:rPr>
        <w:t>时00分</w:t>
      </w:r>
      <w:r>
        <w:rPr>
          <w:rFonts w:hint="eastAsia" w:ascii="宋体" w:hAnsi="宋体" w:cs="宋体"/>
          <w:bCs/>
          <w:color w:val="auto"/>
          <w:sz w:val="24"/>
          <w:highlight w:val="none"/>
          <w:u w:val="single"/>
        </w:rPr>
        <w:t>00秒</w:t>
      </w:r>
      <w:r>
        <w:rPr>
          <w:rFonts w:hint="eastAsia" w:ascii="宋体" w:hAnsi="宋体" w:cs="宋体"/>
          <w:bCs/>
          <w:color w:val="auto"/>
          <w:sz w:val="24"/>
          <w:highlight w:val="none"/>
          <w:u w:val="singl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提交（上传）响应文件。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napToGrid w:val="0"/>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ZJXY-HZ2024-32-1</w:t>
      </w:r>
    </w:p>
    <w:p>
      <w:pPr>
        <w:snapToGrid w:val="0"/>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项目名称：</w:t>
      </w:r>
      <w:r>
        <w:rPr>
          <w:rFonts w:hint="eastAsia" w:ascii="宋体" w:hAnsi="宋体" w:cs="宋体"/>
          <w:color w:val="auto"/>
          <w:sz w:val="24"/>
          <w:highlight w:val="none"/>
          <w:lang w:eastAsia="zh-CN"/>
        </w:rPr>
        <w:t>杭州市人民职业学校宿舍整修项目</w:t>
      </w:r>
    </w:p>
    <w:p>
      <w:pPr>
        <w:snapToGrid w:val="0"/>
        <w:spacing w:line="360" w:lineRule="auto"/>
        <w:ind w:firstLine="482" w:firstLineChars="200"/>
        <w:rPr>
          <w:rFonts w:hint="eastAsia" w:ascii="宋体" w:hAnsi="宋体" w:cs="宋体"/>
          <w:b/>
          <w:color w:val="auto"/>
          <w:sz w:val="24"/>
          <w:highlight w:val="none"/>
          <w:lang w:val="en-US" w:eastAsia="zh-CN"/>
        </w:rPr>
      </w:pPr>
      <w:r>
        <w:rPr>
          <w:rFonts w:hint="eastAsia" w:ascii="宋体" w:hAnsi="宋体" w:cs="宋体"/>
          <w:b/>
          <w:color w:val="auto"/>
          <w:sz w:val="24"/>
          <w:highlight w:val="none"/>
        </w:rPr>
        <w:t>预算金额（元）：</w:t>
      </w:r>
      <w:r>
        <w:rPr>
          <w:rFonts w:hint="eastAsia" w:ascii="宋体" w:hAnsi="宋体" w:cs="宋体"/>
          <w:b/>
          <w:color w:val="auto"/>
          <w:sz w:val="24"/>
          <w:highlight w:val="none"/>
          <w:lang w:val="en-US" w:eastAsia="zh-CN"/>
        </w:rPr>
        <w:t>2194000</w:t>
      </w:r>
    </w:p>
    <w:p>
      <w:pPr>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2194000</w:t>
      </w:r>
    </w:p>
    <w:p>
      <w:pPr>
        <w:pStyle w:val="6"/>
        <w:spacing w:line="360" w:lineRule="auto"/>
        <w:ind w:firstLine="482" w:firstLineChars="20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杭州市人民职业学校宿舍整修项目，</w:t>
      </w:r>
      <w:r>
        <w:rPr>
          <w:rFonts w:hint="eastAsia" w:hAnsi="宋体" w:cs="宋体"/>
          <w:bCs/>
          <w:snapToGrid/>
          <w:color w:val="auto"/>
          <w:kern w:val="2"/>
          <w:sz w:val="24"/>
          <w:szCs w:val="24"/>
          <w:highlight w:val="none"/>
        </w:rPr>
        <w:t>主要内容：</w:t>
      </w:r>
      <w:r>
        <w:rPr>
          <w:rFonts w:hint="eastAsia" w:hAnsi="宋体" w:cs="宋体"/>
          <w:bCs/>
          <w:snapToGrid/>
          <w:color w:val="auto"/>
          <w:kern w:val="2"/>
          <w:sz w:val="24"/>
          <w:szCs w:val="24"/>
          <w:highlight w:val="none"/>
          <w:lang w:eastAsia="zh-CN"/>
        </w:rPr>
        <w:t>宿舍整修</w:t>
      </w:r>
      <w:r>
        <w:rPr>
          <w:rFonts w:hint="eastAsia" w:ascii="宋体" w:hAnsi="宋体" w:eastAsia="宋体" w:cs="Times New Roman"/>
          <w:color w:val="auto"/>
          <w:sz w:val="24"/>
          <w:szCs w:val="24"/>
          <w:highlight w:val="none"/>
          <w:lang w:val="en-US" w:eastAsia="zh-CN"/>
        </w:rPr>
        <w:t>等相关</w:t>
      </w:r>
      <w:r>
        <w:rPr>
          <w:rFonts w:hint="eastAsia" w:ascii="宋体" w:hAnsi="宋体" w:eastAsia="宋体"/>
          <w:color w:val="auto"/>
          <w:sz w:val="24"/>
          <w:szCs w:val="24"/>
          <w:highlight w:val="none"/>
          <w:lang w:val="en-US" w:eastAsia="zh-CN"/>
        </w:rPr>
        <w:t>内容</w:t>
      </w:r>
      <w:r>
        <w:rPr>
          <w:rFonts w:hint="eastAsia" w:hAnsi="宋体" w:cs="宋体"/>
          <w:bCs/>
          <w:snapToGrid/>
          <w:color w:val="auto"/>
          <w:kern w:val="2"/>
          <w:sz w:val="24"/>
          <w:szCs w:val="24"/>
          <w:highlight w:val="none"/>
        </w:rPr>
        <w:t>。详见采购文件第三部分采购需求。</w:t>
      </w:r>
    </w:p>
    <w:p>
      <w:pPr>
        <w:pStyle w:val="132"/>
        <w:snapToGrid w:val="0"/>
        <w:spacing w:before="0"/>
        <w:ind w:firstLine="482"/>
        <w:outlineLvl w:val="2"/>
        <w:rPr>
          <w:rFonts w:hint="default" w:ascii="宋体" w:hAnsi="宋体" w:eastAsia="宋体" w:cs="宋体"/>
          <w:color w:val="auto"/>
          <w:highlight w:val="none"/>
          <w:lang w:val="en-US" w:eastAsia="zh-CN"/>
        </w:rPr>
      </w:pPr>
      <w:r>
        <w:rPr>
          <w:rFonts w:hint="eastAsia" w:ascii="宋体" w:hAnsi="宋体" w:cs="宋体"/>
          <w:b/>
          <w:color w:val="auto"/>
          <w:highlight w:val="none"/>
        </w:rPr>
        <w:t>合同履约期限：</w:t>
      </w:r>
      <w:r>
        <w:rPr>
          <w:rFonts w:hint="eastAsia" w:ascii="宋体" w:hAnsi="宋体" w:cs="宋体"/>
          <w:b/>
          <w:color w:val="auto"/>
          <w:highlight w:val="none"/>
          <w:lang w:val="en-US" w:eastAsia="zh-CN"/>
        </w:rPr>
        <w:t>2024年8月25日前完工并通过验收。</w:t>
      </w:r>
    </w:p>
    <w:p>
      <w:pPr>
        <w:pStyle w:val="6"/>
        <w:spacing w:line="360" w:lineRule="auto"/>
        <w:ind w:firstLine="482" w:firstLineChars="200"/>
        <w:rPr>
          <w:rFonts w:hAnsi="宋体" w:cs="宋体"/>
          <w:b/>
          <w:color w:val="auto"/>
          <w:sz w:val="24"/>
          <w:highlight w:val="none"/>
        </w:rPr>
      </w:pPr>
      <w:r>
        <w:rPr>
          <w:rFonts w:hint="eastAsia" w:hAnsi="宋体" w:cs="宋体"/>
          <w:b/>
          <w:color w:val="auto"/>
          <w:sz w:val="24"/>
          <w:highlight w:val="none"/>
        </w:rPr>
        <w:t>本项目接受联合体：</w:t>
      </w:r>
    </w:p>
    <w:p>
      <w:pPr>
        <w:pStyle w:val="6"/>
        <w:spacing w:line="360" w:lineRule="auto"/>
        <w:ind w:firstLine="480" w:firstLineChars="200"/>
        <w:rPr>
          <w:rFonts w:hAnsi="宋体" w:cs="宋体"/>
          <w:color w:val="auto"/>
          <w:sz w:val="24"/>
          <w:highlight w:val="none"/>
        </w:rPr>
      </w:pP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Ansi="宋体" w:cs="宋体"/>
              <w:color w:val="auto"/>
              <w:kern w:val="0"/>
              <w:sz w:val="24"/>
              <w:highlight w:val="none"/>
            </w:rPr>
            <w:sym w:font="Wingdings" w:char="F0FE"/>
          </w:r>
        </w:sdtContent>
      </w:sdt>
      <w:r>
        <w:rPr>
          <w:rFonts w:hint="eastAsia" w:hAnsi="宋体" w:cs="宋体"/>
          <w:color w:val="auto"/>
          <w:sz w:val="24"/>
          <w:highlight w:val="none"/>
        </w:rPr>
        <w:t>是；</w:t>
      </w:r>
    </w:p>
    <w:p>
      <w:pPr>
        <w:pStyle w:val="6"/>
        <w:spacing w:line="360" w:lineRule="auto"/>
        <w:ind w:firstLine="480" w:firstLineChars="200"/>
        <w:rPr>
          <w:rFonts w:hAnsi="宋体" w:cs="宋体"/>
          <w:color w:val="auto"/>
          <w:kern w:val="0"/>
          <w:sz w:val="24"/>
          <w:highlight w:val="none"/>
        </w:rPr>
      </w:pPr>
      <w:sdt>
        <w:sdtPr>
          <w:rPr>
            <w:rFonts w:hint="eastAsia" w:hAnsi="宋体" w:cs="宋体"/>
            <w:color w:val="auto"/>
            <w:kern w:val="0"/>
            <w:sz w:val="24"/>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Ansi="宋体" w:cs="宋体"/>
              <w:color w:val="auto"/>
              <w:kern w:val="0"/>
              <w:sz w:val="24"/>
              <w:highlight w:val="none"/>
            </w:rPr>
            <w:t>☐</w:t>
          </w:r>
        </w:sdtContent>
      </w:sdt>
      <w:r>
        <w:rPr>
          <w:rFonts w:hint="eastAsia" w:hAnsi="宋体" w:cs="宋体"/>
          <w:color w:val="auto"/>
          <w:sz w:val="24"/>
          <w:highlight w:val="none"/>
        </w:rPr>
        <w:t>否</w:t>
      </w:r>
      <w:r>
        <w:rPr>
          <w:rFonts w:hint="eastAsia" w:hAnsi="宋体" w:cs="宋体"/>
          <w:color w:val="auto"/>
          <w:kern w:val="0"/>
          <w:sz w:val="24"/>
          <w:highlight w:val="none"/>
        </w:rPr>
        <w:t>，不接受联合体理由：</w:t>
      </w:r>
      <w:r>
        <w:rPr>
          <w:rFonts w:hAnsi="宋体" w:cs="宋体"/>
          <w:color w:val="auto"/>
          <w:kern w:val="0"/>
          <w:sz w:val="24"/>
          <w:highlight w:val="none"/>
          <w:u w:val="single"/>
        </w:rPr>
        <w:t xml:space="preserve">              </w:t>
      </w:r>
      <w:r>
        <w:rPr>
          <w:rFonts w:hint="eastAsia" w:hAnsi="宋体" w:cs="宋体"/>
          <w:color w:val="auto"/>
          <w:kern w:val="0"/>
          <w:sz w:val="24"/>
          <w:highlight w:val="none"/>
        </w:rPr>
        <w:t>。</w:t>
      </w:r>
    </w:p>
    <w:p>
      <w:pPr>
        <w:pStyle w:val="132"/>
        <w:snapToGrid w:val="0"/>
        <w:spacing w:before="0"/>
        <w:ind w:firstLine="482"/>
        <w:outlineLvl w:val="2"/>
        <w:rPr>
          <w:rFonts w:ascii="宋体" w:hAnsi="宋体" w:cs="宋体"/>
          <w:b/>
          <w:color w:val="auto"/>
          <w:highlight w:val="none"/>
        </w:rPr>
      </w:pPr>
      <w:r>
        <w:rPr>
          <w:rFonts w:hint="eastAsia" w:ascii="宋体" w:hAnsi="宋体" w:cs="宋体"/>
          <w:b/>
          <w:color w:val="auto"/>
          <w:highlight w:val="none"/>
        </w:rPr>
        <w:t>注：不得限制大中型企业与小微企业组成联合体参与。</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以联合体形式参与的，提供联合协议(本项目不接受联合体或者供应商不以联合体形式参与的，则不需要提供)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9247305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sz w:val="24"/>
          <w:highlight w:val="none"/>
        </w:rPr>
        <w:t>工程全部由符合政策要求的中小企业承建，提供中小企业声明函；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工程全部由符合政策要求的小微企业承建，提供中小企业声明函；</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如果供应商本身提供所有标的均由中小企业承建，并相应达到了前述比例要求，视同符合了资格条件，无需再与其他中小企业组成联合体参加政府采购活动，无需提供联合协议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如果供应商本身提供所有标的均由中小企业承建，并相应达到了前述比例要求，视同符合了资格条件，无需再向中小企业分包，无需提供分包意向协议</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具有建筑装修装饰工程专业承包二级及以上资质；</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（2）具有建设行政主管部门核发的工程设计综合甲级资质或建筑行业（建筑工程）设计丙级及以上资质或建筑装饰工程设计专项丙级及以上资质；</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（3）具有有效的安全生产许可证；</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lang w:val="en-US" w:eastAsia="zh-CN"/>
        </w:rPr>
        <w:t>（4）本项目允许符合以下规定的联合体参加投标：</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①组成联合体的供应商不超过二个，且双方均符合本项目“供应商的资格要求”第1条、第3条规定；</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②提交有效的联合投标（响应）协议书，明确载明联合体各方承担的工作和义务。</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（5）本项目允许分包，要求如下：</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①分包承担主体均须为符合政策要求的中、小、微型企业并且符合本项目“申请人的资格要求”第1条规定；</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②提交有效的分包意向协议。</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lang w:eastAsia="zh-CN"/>
        </w:rPr>
        <w:t>2024年6月25日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四、响应文件提交（上传）</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截止时间：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2024年6月25日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lang w:eastAsia="zh-CN"/>
        </w:rPr>
        <w:t>时00分</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五、响应文件开启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开启时间：</w:t>
      </w:r>
      <w:r>
        <w:rPr>
          <w:rFonts w:hint="eastAsia" w:ascii="宋体" w:hAnsi="宋体" w:cs="宋体"/>
          <w:color w:val="auto"/>
          <w:sz w:val="24"/>
          <w:highlight w:val="none"/>
          <w:u w:val="single"/>
          <w:lang w:eastAsia="zh-CN"/>
        </w:rPr>
        <w:t>2024年6月25日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lang w:eastAsia="zh-CN"/>
        </w:rPr>
        <w:t>时00分</w:t>
      </w:r>
      <w:r>
        <w:rPr>
          <w:rFonts w:hint="eastAsia" w:ascii="宋体" w:hAnsi="宋体" w:cs="宋体"/>
          <w:bCs/>
          <w:color w:val="auto"/>
          <w:sz w:val="24"/>
          <w:highlight w:val="none"/>
          <w:u w:val="singl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政采云平台（https://www.zcygov.cn/）</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六、公告期限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自本公告发布之日起3个工作日。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七、其他补充事宜</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w:t>
      </w:r>
      <w:r>
        <w:rPr>
          <w:rFonts w:ascii="华文中宋" w:hAnsi="华文中宋" w:eastAsia="华文中宋" w:cs="华文中宋"/>
          <w:color w:val="auto"/>
          <w:sz w:val="24"/>
          <w:highlight w:val="none"/>
          <w:shd w:val="clear" w:color="auto" w:fill="FFFFFF"/>
        </w:rPr>
        <w:t>浙江省财政厅关于进一步加大政府采购 支持中小企业力度 助力扎实稳住经济 的通知</w:t>
      </w:r>
      <w:r>
        <w:rPr>
          <w:rFonts w:hint="eastAsia" w:ascii="华文中宋" w:hAnsi="华文中宋" w:eastAsia="华文中宋" w:cs="华文中宋"/>
          <w:color w:val="auto"/>
          <w:sz w:val="24"/>
          <w:highlight w:val="none"/>
          <w:shd w:val="clear" w:color="auto" w:fill="FFFFFF"/>
        </w:rPr>
        <w:t>》（浙财采监〔2022〕8号）</w:t>
      </w:r>
      <w:r>
        <w:rPr>
          <w:rFonts w:hint="eastAsia" w:ascii="宋体" w:hAnsi="宋体" w:cs="宋体"/>
          <w:color w:val="auto"/>
          <w:sz w:val="24"/>
          <w:highlight w:val="none"/>
        </w:rPr>
        <w:t>已分别于2022年1月29日、2022年2月1日和2022年7月1日开始实施，此前有关规定与上述文件内容不一致的，按上述文件要求执行。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采购文件的第二部分总则。（2）电子交易的说明：①电子交易：本项目以数据电文形式，依托“政府采购云平台（www.zcygov.cn）”进行招投标活动，不接受纸质响应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响应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响应文件的传输递交：供应商在响应文件提交（上传）截止时间前将加密的响应文件上传至政府采购云平台，还可以在响应文件提交（上传）截止时间前直接提交或者以邮政快递方式递交备份响应文件1份。备份响应文件的制作、存储、密封详见采购文件第二部分第15点—“备份响应文件”；⑨响应文件的解密：供应商按照平台提示和采购文件的规定在半小时内完成在线解密。通过“政府采购云平台”上传递交的响应文件无法按时解密，供应商递交了备份响应文件的，以备份响应文件为依据，否则视为响应文件撤回。通过“政府采购云平台”上传递交的响应文件已按时解密的，备份响应文件自动失效。供应商仅提交备份响应文件，未在电子交易平台传输递交响应文件的，响应文件无效；⑩具体操作指南：详见政采云平台“服务中心-帮助文档-项目采购-操作流程-电子招投标-政府采购项目电子交易管理操作指南-供应商”。（3）采购文件公告期限与竞争性磋商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八、对本次采购提出询问、质疑、投诉，请按以下方式联系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1.采购人信息</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杭州市人民职业学校</w:t>
      </w:r>
      <w:r>
        <w:rPr>
          <w:rFonts w:hint="eastAsia" w:ascii="宋体" w:hAnsi="宋体" w:cs="宋体"/>
          <w:color w:val="auto"/>
          <w:sz w:val="24"/>
          <w:highlight w:val="none"/>
        </w:rPr>
        <w:t xml:space="preserve">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杭州市下城区建国北路回龙庙前32-1号</w:t>
      </w:r>
      <w:r>
        <w:rPr>
          <w:rFonts w:hint="eastAsia" w:ascii="宋体" w:hAnsi="宋体" w:cs="宋体"/>
          <w:color w:val="auto"/>
          <w:sz w:val="24"/>
          <w:highlight w:val="none"/>
        </w:rPr>
        <w:t xml:space="preserve">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黄老师</w:t>
      </w:r>
      <w:r>
        <w:rPr>
          <w:rFonts w:hint="eastAsia" w:ascii="宋体" w:hAnsi="宋体" w:cs="宋体"/>
          <w:color w:val="auto"/>
          <w:sz w:val="24"/>
          <w:highlight w:val="none"/>
        </w:rPr>
        <w:t xml:space="preserve">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项目联系方式（询问）：0571-87295246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质疑联系人：于老师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质疑联系方式：0571-87295460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2.采购代理机构信息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称：浙江筑脸全过程工程咨询有限公司</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址：杭州市萧山区金城路165号金瑞大厦1幢6楼</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    真：0571-82217656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项目联系人（询问）：冯刚锋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项目联系方式（询问）：0571-82217356、15205854844</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质疑联系人：韩莹琼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质疑联系方式：18072797998 （请通过以下路径在线提起质疑：政采云-项目采购-询问质疑投诉-质疑列表）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3.同级政府采购监督管理部门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称：杭州市财政局政府采购监管处 /浙江省政府采购行政裁决服务中心（杭州）</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址：杭州市上城区四季青街道新业路市民之家G03办公室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：朱女士、王女士</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监督投诉电话：电话：0571-85252453</w:t>
      </w:r>
    </w:p>
    <w:p>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政策咨询：陈先生、厉先生，0571-89580460、89580456</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0" w:firstLineChars="0"/>
        <w:rPr>
          <w:rFonts w:ascii="宋体" w:hAnsi="宋体" w:cs="宋体"/>
          <w:color w:val="auto"/>
          <w:sz w:val="24"/>
          <w:highlight w:val="none"/>
        </w:rPr>
      </w:pPr>
      <w:r>
        <w:rPr>
          <w:rFonts w:hint="eastAsia" w:ascii="宋体" w:hAnsi="宋体" w:cs="宋体"/>
          <w:color w:val="auto"/>
          <w:sz w:val="24"/>
          <w:highlight w:val="none"/>
        </w:rPr>
        <w:t xml:space="preserve">     若对项目采购电子交易系统操作有疑问，可登录政采云（https://www.zcygov.cn/），点击右侧咨询小采，获取采小蜜智能服务管家帮助，或拨打政采云服务热线</w:t>
      </w:r>
      <w:r>
        <w:rPr>
          <w:rFonts w:hint="eastAsia" w:asciiTheme="minorEastAsia" w:hAnsiTheme="minorEastAsia" w:eastAsiaTheme="minorEastAsia"/>
          <w:color w:val="auto"/>
          <w:sz w:val="24"/>
          <w:highlight w:val="none"/>
        </w:rPr>
        <w:t>95763</w:t>
      </w:r>
      <w:r>
        <w:rPr>
          <w:rFonts w:hint="eastAsia" w:ascii="宋体" w:hAnsi="宋体" w:cs="宋体"/>
          <w:color w:val="auto"/>
          <w:sz w:val="24"/>
          <w:highlight w:val="none"/>
        </w:rPr>
        <w:t>获取热线服务帮助。</w:t>
      </w:r>
    </w:p>
    <w:p>
      <w:pPr>
        <w:snapToGrid w:val="0"/>
        <w:spacing w:line="360" w:lineRule="auto"/>
        <w:ind w:firstLine="480" w:firstLineChars="200"/>
        <w:rPr>
          <w:rFonts w:ascii="宋体" w:hAnsi="宋体" w:cs="宋体"/>
          <w:color w:val="auto"/>
          <w:sz w:val="24"/>
          <w:highlight w:val="none"/>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cols w:space="720" w:num="1"/>
          <w:titlePg/>
          <w:docGrid w:linePitch="312" w:charSpace="0"/>
        </w:sectPr>
      </w:pPr>
      <w:r>
        <w:rPr>
          <w:rFonts w:hint="eastAsia" w:ascii="宋体" w:hAnsi="宋体" w:cs="宋体"/>
          <w:color w:val="auto"/>
          <w:sz w:val="24"/>
          <w:highlight w:val="none"/>
        </w:rPr>
        <w:t>CA问题联系电话（人工）：汇信CA 400-888-4636；天谷CA 400-087-8198。</w:t>
      </w:r>
    </w:p>
    <w:p>
      <w:pPr>
        <w:pStyle w:val="34"/>
        <w:spacing w:line="360" w:lineRule="auto"/>
        <w:jc w:val="center"/>
        <w:rPr>
          <w:rFonts w:hAnsi="宋体" w:cs="宋体"/>
          <w:b/>
          <w:snapToGrid/>
          <w:color w:val="auto"/>
          <w:sz w:val="36"/>
          <w:szCs w:val="20"/>
          <w:highlight w:val="none"/>
        </w:rPr>
      </w:pPr>
      <w:r>
        <w:rPr>
          <w:rFonts w:hint="eastAsia" w:hAnsi="宋体" w:cs="宋体"/>
          <w:b/>
          <w:snapToGrid/>
          <w:color w:val="auto"/>
          <w:sz w:val="36"/>
          <w:szCs w:val="20"/>
          <w:highlight w:val="none"/>
        </w:rPr>
        <w:t>第二部分</w:t>
      </w:r>
      <w:bookmarkEnd w:id="8"/>
      <w:r>
        <w:rPr>
          <w:rFonts w:hint="eastAsia" w:hAnsi="宋体" w:cs="宋体"/>
          <w:b/>
          <w:snapToGrid/>
          <w:color w:val="auto"/>
          <w:sz w:val="36"/>
          <w:szCs w:val="20"/>
          <w:highlight w:val="none"/>
        </w:rPr>
        <w:t xml:space="preserve"> 供应商须知</w:t>
      </w:r>
      <w:bookmarkEnd w:id="9"/>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4"/>
        <w:tblW w:w="97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4"/>
        <w:gridCol w:w="2093"/>
        <w:gridCol w:w="6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927"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6927" w:type="dxa"/>
            <w:vAlign w:val="center"/>
          </w:tcPr>
          <w:p>
            <w:pPr>
              <w:spacing w:line="360" w:lineRule="auto"/>
              <w:rPr>
                <w:rFonts w:ascii="宋体" w:hAnsi="宋体" w:cs="宋体"/>
                <w:color w:val="auto"/>
                <w:sz w:val="24"/>
                <w:highlight w:val="none"/>
              </w:rPr>
            </w:pPr>
            <w:r>
              <w:rPr>
                <w:rFonts w:hint="eastAsia" w:ascii="宋体" w:hAnsi="宋体" w:cs="宋体"/>
                <w:color w:val="auto"/>
                <w:kern w:val="0"/>
                <w:sz w:val="24"/>
                <w:highlight w:val="none"/>
              </w:rPr>
              <w:t>工程</w:t>
            </w:r>
            <w:r>
              <w:rPr>
                <w:rFonts w:hint="eastAsia" w:ascii="宋体" w:hAnsi="宋体" w:cs="宋体"/>
                <w:color w:val="auto"/>
                <w:sz w:val="24"/>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927" w:type="dxa"/>
            <w:vAlign w:val="center"/>
          </w:tcPr>
          <w:p>
            <w:pPr>
              <w:keepNext w:val="0"/>
              <w:keepLines w:val="0"/>
              <w:pageBreakBefore w:val="0"/>
              <w:kinsoku/>
              <w:wordWrap/>
              <w:overflowPunct/>
              <w:topLinePunct w:val="0"/>
              <w:bidi w:val="0"/>
              <w:adjustRightInd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杭州市人民职业学校宿舍整修项目</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建筑业 </w:t>
            </w:r>
            <w:r>
              <w:rPr>
                <w:rFonts w:hint="eastAsia" w:ascii="宋体" w:hAnsi="宋体" w:cs="宋体"/>
                <w:color w:val="auto"/>
                <w:kern w:val="0"/>
                <w:sz w:val="24"/>
                <w:highlight w:val="none"/>
              </w:rPr>
              <w:t>行业；</w:t>
            </w:r>
          </w:p>
          <w:p>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bottom"/>
              <w:rPr>
                <w:rFonts w:ascii="宋体" w:hAnsi="宋体" w:eastAsia="宋体" w:cs="宋体"/>
                <w:color w:val="auto"/>
                <w:highlight w:val="none"/>
                <w:lang w:val="en-US"/>
              </w:rPr>
            </w:pP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u w:val="singl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927" w:type="dxa"/>
            <w:vAlign w:val="center"/>
          </w:tcPr>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分包</w:t>
            </w:r>
          </w:p>
        </w:tc>
        <w:tc>
          <w:tcPr>
            <w:tcW w:w="6927" w:type="dxa"/>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仿宋" w:hAnsi="仿宋" w:eastAsia="仿宋" w:cs="仿宋_GB2312"/>
                <w:b/>
                <w:bCs/>
                <w:color w:val="auto"/>
                <w:sz w:val="24"/>
                <w:highlight w:val="none"/>
                <w:u w:val="single"/>
              </w:rPr>
              <w:t>物资运输、搬运工程</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p>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不同意分包，具体理由：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磋商前答疑会或现场考察</w:t>
            </w:r>
          </w:p>
        </w:tc>
        <w:tc>
          <w:tcPr>
            <w:tcW w:w="6927" w:type="dxa"/>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927" w:type="dxa"/>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B要求提供，</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评审办法</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。请供应商在上述时间内提供样品并按规定位置安装完毕。超过截止时间的，采购人或采购代理机构将不予接收，并将清场并封闭样品现场。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(6)采购活动结束后，对于未成交供应商提供的样品，采购人、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将通知未成交供应商在规定的时间内取回，逾期未取回的，采购人、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不负保管义务；对于成交供应商提供的样品，采购人将进行保管、封存，并作为履约验收的参考。</w:t>
            </w:r>
          </w:p>
          <w:p>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2093" w:type="dxa"/>
            <w:vAlign w:val="center"/>
          </w:tcPr>
          <w:p>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927" w:type="dxa"/>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（1）在评审时安排每个供应商进行方案讲解演示。每个供应商时间不超过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分钟，讲解次序以响应文件解密时间先后次序为准，讲解演示人员不超过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人。讲解演示结束后按要求解答磋商小组提问。</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方式一：政采云平台在线讲解演示。政采云平台在线讲解需供应商根据政采云平台操作要求做好准备工作，提前完善软硬件配置环境。</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，讲解演示所用电脑等设备由供应商自备。现场讲解演示人员进场时提供讲解人员名单（加盖公章或授权代表签名）及身份证明，否则不得讲解演示。</w:t>
            </w:r>
          </w:p>
          <w:p>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2093" w:type="dxa"/>
            <w:vMerge w:val="restart"/>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供应商应当提供的资格、资信证明文件</w:t>
            </w:r>
          </w:p>
        </w:tc>
        <w:tc>
          <w:tcPr>
            <w:tcW w:w="692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（1）资格证明文件：见采购文件第二部分11.1。</w:t>
            </w:r>
          </w:p>
          <w:p>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供应商未提供有效的资格证明文件的，视为供应商不具备采购文件中规定的资格要求，响应文件无效。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continue"/>
            <w:vAlign w:val="center"/>
          </w:tcPr>
          <w:p>
            <w:pPr>
              <w:snapToGrid w:val="0"/>
              <w:spacing w:line="360" w:lineRule="auto"/>
              <w:jc w:val="center"/>
              <w:rPr>
                <w:rFonts w:ascii="宋体" w:hAnsi="宋体" w:cs="宋体"/>
                <w:color w:val="auto"/>
                <w:sz w:val="24"/>
                <w:highlight w:val="none"/>
              </w:rPr>
            </w:pPr>
          </w:p>
        </w:tc>
        <w:tc>
          <w:tcPr>
            <w:tcW w:w="2093" w:type="dxa"/>
            <w:vMerge w:val="continue"/>
            <w:vAlign w:val="center"/>
          </w:tcPr>
          <w:p>
            <w:pPr>
              <w:snapToGrid w:val="0"/>
              <w:spacing w:line="360" w:lineRule="auto"/>
              <w:jc w:val="center"/>
              <w:rPr>
                <w:rFonts w:ascii="宋体" w:hAnsi="宋体" w:cs="宋体"/>
                <w:b/>
                <w:color w:val="auto"/>
                <w:sz w:val="24"/>
                <w:highlight w:val="none"/>
              </w:rPr>
            </w:pPr>
          </w:p>
        </w:tc>
        <w:tc>
          <w:tcPr>
            <w:tcW w:w="692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（2）资信证明文件：根据采购文件第四部分评审标准提供。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927" w:type="dxa"/>
            <w:vAlign w:val="center"/>
          </w:tcPr>
          <w:p>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927" w:type="dxa"/>
            <w:vAlign w:val="center"/>
          </w:tcPr>
          <w:p>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color w:val="auto"/>
                <w:sz w:val="24"/>
                <w:highlight w:val="none"/>
              </w:rPr>
              <w:t>报价单是报价的唯一载体</w:t>
            </w:r>
            <w:r>
              <w:rPr>
                <w:rFonts w:hint="eastAsia" w:ascii="宋体" w:hAnsi="宋体" w:cs="宋体"/>
                <w:color w:val="auto"/>
                <w:kern w:val="0"/>
                <w:sz w:val="24"/>
                <w:highlight w:val="none"/>
                <w:lang w:val="zh-CN"/>
              </w:rPr>
              <w:t>。响应文件中价格全部采用人民币报价。采购文件未列明，而供应商认为必需的费用也需列入报价。</w:t>
            </w:r>
            <w:r>
              <w:rPr>
                <w:rFonts w:hint="eastAsia" w:ascii="宋体" w:hAnsi="宋体" w:cs="宋体"/>
                <w:b/>
                <w:color w:val="auto"/>
                <w:kern w:val="0"/>
                <w:sz w:val="24"/>
                <w:highlight w:val="none"/>
                <w:lang w:val="zh-CN"/>
              </w:rPr>
              <w:t>提醒：验收时检测费用由采购人承担，不包含在总价中。</w:t>
            </w:r>
          </w:p>
          <w:p>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最后报价出现下列情形的，响应文件无效：</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响应文件出现不是唯一的、有选择性最后报价的；</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最后报价超过采购文件中规定的预算金额或者最高限价的;</w:t>
            </w:r>
          </w:p>
          <w:p>
            <w:pPr>
              <w:pStyle w:val="4"/>
              <w:rPr>
                <w:color w:val="auto"/>
                <w:highlight w:val="none"/>
              </w:rPr>
            </w:pPr>
          </w:p>
          <w:p>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供应商对根据修正原则修正后的报价不确认的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44" w:hRule="atLeast"/>
        </w:trPr>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927" w:type="dxa"/>
            <w:vAlign w:val="center"/>
          </w:tcPr>
          <w:p>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备份响应文件送达地点和签收人员</w:t>
            </w:r>
          </w:p>
        </w:tc>
        <w:tc>
          <w:tcPr>
            <w:tcW w:w="6927" w:type="dxa"/>
            <w:vAlign w:val="center"/>
          </w:tcPr>
          <w:p>
            <w:pPr>
              <w:pStyle w:val="34"/>
              <w:spacing w:line="360" w:lineRule="auto"/>
              <w:rPr>
                <w:rFonts w:hAnsi="宋体" w:cs="宋体"/>
                <w:color w:val="auto"/>
                <w:kern w:val="28"/>
                <w:sz w:val="24"/>
                <w:szCs w:val="24"/>
                <w:highlight w:val="none"/>
              </w:rPr>
            </w:pPr>
            <w:r>
              <w:rPr>
                <w:rFonts w:hint="eastAsia" w:hAnsi="宋体" w:cs="宋体"/>
                <w:color w:val="auto"/>
                <w:kern w:val="28"/>
                <w:sz w:val="24"/>
                <w:szCs w:val="24"/>
                <w:highlight w:val="none"/>
              </w:rPr>
              <w:t>备份响应文件送达地点：</w:t>
            </w:r>
            <w:r>
              <w:rPr>
                <w:rFonts w:hint="eastAsia" w:hAnsi="宋体" w:cs="宋体"/>
                <w:color w:val="auto"/>
                <w:sz w:val="24"/>
                <w:highlight w:val="none"/>
                <w:u w:val="single"/>
              </w:rPr>
              <w:t xml:space="preserve"> 杭州市萧山区金城路165号金瑞大厦1幢601室 </w:t>
            </w:r>
            <w:r>
              <w:rPr>
                <w:rFonts w:hint="eastAsia" w:hAnsi="宋体" w:cs="宋体"/>
                <w:color w:val="auto"/>
                <w:kern w:val="28"/>
                <w:sz w:val="24"/>
                <w:szCs w:val="24"/>
                <w:highlight w:val="none"/>
              </w:rPr>
              <w:t>；</w:t>
            </w:r>
          </w:p>
          <w:p>
            <w:pPr>
              <w:pStyle w:val="34"/>
              <w:spacing w:line="360" w:lineRule="auto"/>
              <w:rPr>
                <w:rFonts w:hAnsi="宋体" w:cs="宋体"/>
                <w:color w:val="auto"/>
                <w:sz w:val="24"/>
                <w:szCs w:val="24"/>
                <w:highlight w:val="none"/>
              </w:rPr>
            </w:pPr>
            <w:r>
              <w:rPr>
                <w:rFonts w:hint="eastAsia" w:hAnsi="宋体" w:cs="宋体"/>
                <w:color w:val="auto"/>
                <w:kern w:val="28"/>
                <w:sz w:val="24"/>
                <w:szCs w:val="24"/>
                <w:highlight w:val="none"/>
              </w:rPr>
              <w:t>备份响应文件签收人员联系电话：</w:t>
            </w:r>
            <w:r>
              <w:rPr>
                <w:rFonts w:hint="eastAsia" w:hAnsi="宋体" w:cs="宋体"/>
                <w:color w:val="auto"/>
                <w:sz w:val="24"/>
                <w:highlight w:val="none"/>
                <w:u w:val="single"/>
              </w:rPr>
              <w:t xml:space="preserve">  冯刚锋15205854844  </w:t>
            </w:r>
            <w:r>
              <w:rPr>
                <w:rFonts w:hint="eastAsia" w:hAnsi="宋体" w:cs="宋体"/>
                <w:color w:val="auto"/>
                <w:sz w:val="24"/>
                <w:szCs w:val="24"/>
                <w:highlight w:val="none"/>
              </w:rPr>
              <w:t>。</w:t>
            </w:r>
          </w:p>
          <w:p>
            <w:pPr>
              <w:pStyle w:val="34"/>
              <w:spacing w:line="360" w:lineRule="auto"/>
              <w:rPr>
                <w:rFonts w:hAnsi="宋体" w:cs="宋体"/>
                <w:color w:val="auto"/>
                <w:kern w:val="28"/>
                <w:sz w:val="24"/>
                <w:highlight w:val="none"/>
              </w:rPr>
            </w:pP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不强制或变相强制供应商提交备份响应文件。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13</w:t>
            </w:r>
          </w:p>
        </w:tc>
        <w:tc>
          <w:tcPr>
            <w:tcW w:w="2093" w:type="dxa"/>
            <w:vAlign w:val="center"/>
          </w:tcPr>
          <w:p>
            <w:pPr>
              <w:snapToGrid w:val="0"/>
              <w:spacing w:line="360" w:lineRule="auto"/>
              <w:jc w:val="center"/>
              <w:rPr>
                <w:rFonts w:hint="eastAsia" w:ascii="宋体" w:hAnsi="宋体" w:cs="宋体"/>
                <w:b/>
                <w:color w:val="auto"/>
                <w:sz w:val="24"/>
                <w:highlight w:val="none"/>
              </w:rPr>
            </w:pPr>
            <w:r>
              <w:rPr>
                <w:rFonts w:hint="eastAsia" w:ascii="宋体" w:hAnsi="宋体" w:cs="宋体"/>
                <w:snapToGrid w:val="0"/>
                <w:color w:val="auto"/>
                <w:kern w:val="28"/>
                <w:sz w:val="24"/>
                <w:highlight w:val="none"/>
              </w:rPr>
              <w:t>成交候选人</w:t>
            </w:r>
          </w:p>
        </w:tc>
        <w:tc>
          <w:tcPr>
            <w:tcW w:w="6927" w:type="dxa"/>
            <w:vAlign w:val="center"/>
          </w:tcPr>
          <w:p>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评审小组推荐得分排列</w:t>
            </w:r>
            <w:r>
              <w:rPr>
                <w:rFonts w:hint="eastAsia" w:ascii="宋体" w:hAnsi="宋体" w:cs="宋体"/>
                <w:snapToGrid w:val="0"/>
                <w:color w:val="auto"/>
                <w:kern w:val="28"/>
                <w:sz w:val="24"/>
                <w:highlight w:val="none"/>
                <w:u w:val="single"/>
              </w:rPr>
              <w:t>前 3 名</w:t>
            </w:r>
            <w:r>
              <w:rPr>
                <w:rFonts w:hint="eastAsia" w:ascii="宋体" w:hAnsi="宋体" w:cs="宋体"/>
                <w:snapToGrid w:val="0"/>
                <w:color w:val="auto"/>
                <w:kern w:val="28"/>
                <w:sz w:val="24"/>
                <w:highlight w:val="none"/>
              </w:rPr>
              <w:t>的供应商为成交候选人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4</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其它说明</w:t>
            </w:r>
          </w:p>
        </w:tc>
        <w:tc>
          <w:tcPr>
            <w:tcW w:w="6927" w:type="dxa"/>
            <w:vAlign w:val="center"/>
          </w:tcPr>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5</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采购代理服务费</w:t>
            </w:r>
          </w:p>
        </w:tc>
        <w:tc>
          <w:tcPr>
            <w:tcW w:w="6927" w:type="dxa"/>
            <w:vAlign w:val="center"/>
          </w:tcPr>
          <w:p>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lang w:val="en-US" w:eastAsia="zh-CN"/>
              </w:rPr>
              <w:t>1、</w:t>
            </w:r>
            <w:r>
              <w:rPr>
                <w:rFonts w:hint="eastAsia" w:ascii="宋体" w:hAnsi="宋体" w:eastAsia="宋体" w:cs="宋体"/>
                <w:snapToGrid w:val="0"/>
                <w:color w:val="auto"/>
                <w:kern w:val="28"/>
                <w:sz w:val="24"/>
                <w:highlight w:val="none"/>
              </w:rPr>
              <w:t>采购代理服务费金额：按照《招标代理服务收费管理暂行办法》（浙价服（2003）77号文件）规定的80%收取。（不足</w:t>
            </w:r>
            <w:r>
              <w:rPr>
                <w:rFonts w:hint="eastAsia" w:ascii="宋体" w:hAnsi="宋体" w:eastAsia="宋体" w:cs="宋体"/>
                <w:snapToGrid w:val="0"/>
                <w:color w:val="auto"/>
                <w:kern w:val="28"/>
                <w:sz w:val="24"/>
                <w:highlight w:val="none"/>
                <w:lang w:val="en-US" w:eastAsia="zh-CN"/>
              </w:rPr>
              <w:t>6000元</w:t>
            </w:r>
            <w:r>
              <w:rPr>
                <w:rFonts w:hint="eastAsia" w:ascii="宋体" w:hAnsi="宋体" w:eastAsia="宋体" w:cs="宋体"/>
                <w:snapToGrid w:val="0"/>
                <w:color w:val="auto"/>
                <w:kern w:val="28"/>
                <w:sz w:val="24"/>
                <w:highlight w:val="none"/>
              </w:rPr>
              <w:t>按照</w:t>
            </w:r>
            <w:r>
              <w:rPr>
                <w:rFonts w:hint="eastAsia" w:ascii="宋体" w:hAnsi="宋体" w:eastAsia="宋体" w:cs="宋体"/>
                <w:snapToGrid w:val="0"/>
                <w:color w:val="auto"/>
                <w:kern w:val="28"/>
                <w:sz w:val="24"/>
                <w:highlight w:val="none"/>
                <w:lang w:val="en-US" w:eastAsia="zh-CN"/>
              </w:rPr>
              <w:t>6000元</w:t>
            </w:r>
            <w:r>
              <w:rPr>
                <w:rFonts w:hint="eastAsia" w:ascii="宋体" w:hAnsi="宋体" w:eastAsia="宋体" w:cs="宋体"/>
                <w:snapToGrid w:val="0"/>
                <w:color w:val="auto"/>
                <w:kern w:val="28"/>
                <w:sz w:val="24"/>
                <w:highlight w:val="none"/>
              </w:rPr>
              <w:t>收取）。</w:t>
            </w:r>
          </w:p>
          <w:p>
            <w:pPr>
              <w:pStyle w:val="24"/>
              <w:rPr>
                <w:rFonts w:hint="default"/>
                <w:color w:val="auto"/>
                <w:highlight w:val="none"/>
                <w:lang w:val="en-US" w:eastAsia="zh-CN"/>
              </w:rPr>
            </w:pPr>
            <w:r>
              <w:rPr>
                <w:rFonts w:hint="eastAsia" w:ascii="宋体" w:hAnsi="宋体" w:eastAsia="宋体" w:cs="宋体"/>
                <w:snapToGrid w:val="0"/>
                <w:color w:val="auto"/>
                <w:kern w:val="28"/>
                <w:sz w:val="24"/>
                <w:highlight w:val="none"/>
                <w:lang w:val="en-US" w:eastAsia="zh-CN"/>
              </w:rPr>
              <w:t>2、</w:t>
            </w:r>
            <w:r>
              <w:rPr>
                <w:rFonts w:hint="eastAsia" w:ascii="宋体" w:hAnsi="宋体" w:eastAsia="宋体" w:cs="宋体"/>
                <w:snapToGrid w:val="0"/>
                <w:color w:val="auto"/>
                <w:kern w:val="28"/>
                <w:sz w:val="24"/>
                <w:highlight w:val="none"/>
              </w:rPr>
              <w:t>采购代理服务费</w:t>
            </w:r>
            <w:r>
              <w:rPr>
                <w:rFonts w:hint="eastAsia" w:hAnsi="宋体" w:cs="宋体"/>
                <w:snapToGrid w:val="0"/>
                <w:color w:val="auto"/>
                <w:kern w:val="28"/>
                <w:sz w:val="24"/>
                <w:highlight w:val="none"/>
                <w:lang w:eastAsia="zh-CN"/>
              </w:rPr>
              <w:t>、</w:t>
            </w:r>
            <w:r>
              <w:rPr>
                <w:rFonts w:hint="eastAsia" w:ascii="宋体" w:hAnsi="宋体" w:eastAsia="宋体" w:cs="宋体"/>
                <w:snapToGrid w:val="0"/>
                <w:color w:val="auto"/>
                <w:kern w:val="28"/>
                <w:sz w:val="24"/>
                <w:highlight w:val="none"/>
                <w:lang w:val="en-US" w:eastAsia="zh-CN"/>
              </w:rPr>
              <w:t>造价咨询费</w:t>
            </w:r>
            <w:r>
              <w:rPr>
                <w:rFonts w:hint="eastAsia" w:ascii="宋体" w:hAnsi="宋体" w:eastAsia="宋体" w:cs="宋体"/>
                <w:snapToGrid w:val="0"/>
                <w:color w:val="auto"/>
                <w:kern w:val="28"/>
                <w:sz w:val="24"/>
                <w:highlight w:val="none"/>
              </w:rPr>
              <w:t>由中标人在领取中标通知书时一次性向代理机构支付。该费用在投标文件中不单列，由投标人在投标总报价中综合考虑。</w:t>
            </w:r>
          </w:p>
        </w:tc>
      </w:tr>
    </w:tbl>
    <w:p>
      <w:pPr>
        <w:snapToGrid w:val="0"/>
        <w:spacing w:line="360" w:lineRule="auto"/>
        <w:jc w:val="center"/>
        <w:rPr>
          <w:rFonts w:ascii="宋体" w:hAnsi="宋体" w:cs="宋体"/>
          <w:b/>
          <w:color w:val="auto"/>
          <w:sz w:val="32"/>
          <w:szCs w:val="20"/>
          <w:highlight w:val="none"/>
        </w:rPr>
      </w:pPr>
    </w:p>
    <w:bookmarkEnd w:id="10"/>
    <w:p>
      <w:pPr>
        <w:widowControl/>
        <w:adjustRightInd/>
        <w:jc w:val="left"/>
        <w:rPr>
          <w:rFonts w:ascii="宋体" w:hAnsi="宋体" w:cs="宋体"/>
          <w:b/>
          <w:color w:val="auto"/>
          <w:sz w:val="32"/>
          <w:szCs w:val="20"/>
          <w:highlight w:val="none"/>
        </w:rPr>
      </w:pPr>
      <w:bookmarkStart w:id="13" w:name="_Toc164416483"/>
      <w:bookmarkStart w:id="14" w:name="第三部分"/>
      <w:r>
        <w:rPr>
          <w:rFonts w:hint="eastAsia" w:ascii="宋体" w:hAnsi="宋体" w:cs="宋体"/>
          <w:b/>
          <w:color w:val="auto"/>
          <w:sz w:val="32"/>
          <w:szCs w:val="20"/>
          <w:highlight w:val="none"/>
        </w:rPr>
        <w:br w:type="page"/>
      </w:r>
    </w:p>
    <w:p>
      <w:pPr>
        <w:snapToGrid w:val="0"/>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pPr>
        <w:snapToGrid w:val="0"/>
        <w:spacing w:line="360" w:lineRule="auto"/>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本采购文件适用于该项目的采购邀请、响应文件提交、响应文件开启、资格审查及信用信息查询、磋商、评审、成交供应商确定、合同、验收等行为（法律、法规另有规定的，从其规定）。</w:t>
      </w:r>
    </w:p>
    <w:p>
      <w:pPr>
        <w:snapToGrid w:val="0"/>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2.定义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“采购人”系指竞争性磋商公告中载明的本项目的采购人。</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”系指竞争性磋商公告中载明的本项目的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“供应商”系指是指提交响应文件和报价、参与竞争性磋商采购活动的法人、其他组织或者自然人。</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提交响应文件时须提供《业务专用章使用说明函》（附件4）。</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系指不适用本项目的要求，“※”系指磋商过程中可能实质性变动的内容。</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 支持绿色发展</w:t>
      </w:r>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r>
        <w:rPr>
          <w:rFonts w:hint="eastAsia" w:ascii="宋体" w:hAnsi="宋体" w:cs="宋体"/>
          <w:b/>
          <w:color w:val="auto"/>
          <w:sz w:val="24"/>
          <w:highlight w:val="none"/>
        </w:rPr>
        <w:t>采购人拟采购的产品属于政府强制采购的节能产品品目清单范围的，供应商未按采购文件要求提供国家确定的认证机构出具的、处于有效期之内的节能产品认证证书的，响应文件无效。</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pStyle w:val="4"/>
        <w:tabs>
          <w:tab w:val="left" w:pos="0"/>
          <w:tab w:val="clear" w:pos="432"/>
        </w:tabs>
        <w:ind w:left="0" w:firstLine="480" w:firstLineChars="200"/>
        <w:rPr>
          <w:color w:val="auto"/>
          <w:highlight w:val="none"/>
          <w:lang w:val="en-US"/>
        </w:rPr>
      </w:pPr>
      <w:r>
        <w:rPr>
          <w:rFonts w:ascii="宋体" w:hAnsi="宋体" w:eastAsia="宋体" w:cs="宋体"/>
          <w:b w:val="0"/>
          <w:bCs w:val="0"/>
          <w:color w:val="auto"/>
          <w:sz w:val="24"/>
          <w:szCs w:val="24"/>
          <w:highlight w:val="none"/>
          <w:lang w:val="en-US"/>
        </w:rPr>
        <w:t xml:space="preserve">3.2.4 </w:t>
      </w:r>
      <w:r>
        <w:rPr>
          <w:rFonts w:hint="eastAsia" w:ascii="宋体" w:hAnsi="宋体" w:eastAsia="宋体" w:cs="宋体"/>
          <w:b w:val="0"/>
          <w:bCs w:val="0"/>
          <w:color w:val="auto"/>
          <w:sz w:val="24"/>
          <w:szCs w:val="24"/>
          <w:highlight w:val="none"/>
          <w:lang w:val="en-US"/>
        </w:rPr>
        <w:t>鼓励供应商在参加政府采购过程中开展绿色设计、选择绿色材料、打造绿色制造工艺、开展绿色运输、做好废弃产品回收处理，实现产品全周期的绿色环保。鼓励采购单位对其提高预付款比例、免收履约保证金。</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3.3支持中小企业发展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bCs/>
          <w:color w:val="auto"/>
          <w:sz w:val="24"/>
          <w:highlight w:val="none"/>
        </w:rPr>
        <w:t>3.3.2</w:t>
      </w:r>
      <w:r>
        <w:rPr>
          <w:rFonts w:hint="eastAsia" w:ascii="宋体" w:hAnsi="宋体" w:cs="宋体"/>
          <w:color w:val="auto"/>
          <w:kern w:val="0"/>
          <w:sz w:val="24"/>
          <w:highlight w:val="none"/>
        </w:rPr>
        <w:t>在政府采购活动中，供应商提供的工程符合下列情形的，享受中小企业扶持政策：</w:t>
      </w:r>
      <w:r>
        <w:rPr>
          <w:rFonts w:ascii="宋体" w:hAnsi="宋体" w:cs="宋体"/>
          <w:color w:val="auto"/>
          <w:sz w:val="24"/>
          <w:highlight w:val="none"/>
        </w:rPr>
        <w:t>在工程采购项目中，工程由中小企业承建，即工程施工单位为中小企业</w:t>
      </w:r>
      <w:r>
        <w:rPr>
          <w:rFonts w:hint="eastAsia" w:ascii="宋体" w:hAnsi="宋体" w:cs="宋体"/>
          <w:color w:val="auto"/>
          <w:kern w:val="0"/>
          <w:sz w:val="24"/>
          <w:highlight w:val="none"/>
        </w:rPr>
        <w:t>。</w:t>
      </w:r>
    </w:p>
    <w:p>
      <w:pPr>
        <w:widowControl/>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w:t>
      </w:r>
      <w:bookmarkStart w:id="15" w:name="_Hlk101132181"/>
      <w:r>
        <w:rPr>
          <w:rFonts w:hint="eastAsia" w:ascii="宋体" w:hAnsi="宋体" w:cs="宋体"/>
          <w:color w:val="auto"/>
          <w:sz w:val="24"/>
          <w:highlight w:val="none"/>
        </w:rPr>
        <w:t>联合协议或者分包意向协议约定小微企业的合同份额占到合同总金额30%以上的</w:t>
      </w:r>
      <w:bookmarkEnd w:id="15"/>
      <w:r>
        <w:rPr>
          <w:rFonts w:hint="eastAsia" w:ascii="宋体" w:hAnsi="宋体" w:cs="宋体"/>
          <w:color w:val="auto"/>
          <w:sz w:val="24"/>
          <w:highlight w:val="none"/>
        </w:rPr>
        <w:t>，对联合体或者大中型企业的报价给予2%的扣除，用扣除后的价格参加评审。组成联合体或者接受分包的小微企业与联合体内其他企业、分包企业之间存在直接控股、管理关系的，不享受价格扣除优惠政策。</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pStyle w:val="4"/>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 xml:space="preserve">3.4.3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pPr>
        <w:snapToGrid w:val="0"/>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r>
        <w:rPr>
          <w:rFonts w:hint="eastAsia" w:ascii="宋体" w:hAnsi="宋体" w:cs="仿宋"/>
          <w:color w:val="auto"/>
          <w:sz w:val="24"/>
          <w:highlight w:val="none"/>
        </w:rPr>
        <w:t>、补偿救济</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4.1在线询问、质疑、投诉</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4"/>
        <w:snapToGrid w:val="0"/>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.1提出质疑的供应商应当是参与所质疑项目采购活动的供应商。潜在供应商已依法获取其可质疑的采购文件的，可以对该文件提出质疑。</w:t>
      </w:r>
    </w:p>
    <w:p>
      <w:pPr>
        <w:pStyle w:val="34"/>
        <w:snapToGrid w:val="0"/>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.2供应商认为采购文件、采购过程和成交结果使自己的权益受到损害的，可以在知道或者应知其权益受到损害之日起七个工作日内，以书面形式向采购人或者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6"/>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4.3.2.1对采购文件提出质疑的，质疑期限为供应商获得采购文件之日或者采购文件公告期限届满之日起计算。</w:t>
      </w:r>
    </w:p>
    <w:p>
      <w:pPr>
        <w:pStyle w:val="34"/>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w:t>
      </w:r>
    </w:p>
    <w:p>
      <w:pPr>
        <w:pStyle w:val="34"/>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4.3.2.3对采购结果提出质疑的，质疑期限自采购结果公告期限届满之日起计算。</w:t>
      </w:r>
    </w:p>
    <w:p>
      <w:pPr>
        <w:pStyle w:val="34"/>
        <w:snapToGrid w:val="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4.3.3.1供应商的姓名或者名称、地址、邮编、联系人及联系电话；</w:t>
      </w:r>
    </w:p>
    <w:p>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4.3.3.2质疑项目的名称、编号；</w:t>
      </w:r>
    </w:p>
    <w:p>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4.3.3.3具体、明确的质疑事项和与质疑事项相关的请求；</w:t>
      </w:r>
    </w:p>
    <w:p>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4.3.3.4事实依据；</w:t>
      </w:r>
    </w:p>
    <w:p>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4.3.3.5必要的法律依据；</w:t>
      </w:r>
    </w:p>
    <w:p>
      <w:pPr>
        <w:pStyle w:val="34"/>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质疑函范本及制作说明详见附件2。</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4.3.4对同一采购程序环节的质疑，供应商须在法定质疑期内一次性提出。</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4.4.3供应商投诉应当有明确的请求和必要的证明材料。</w:t>
      </w: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4.4.4以联合体形式参加政府采购活动的，其投诉应当由组成联合体的所有供应商共同提出。</w:t>
      </w:r>
    </w:p>
    <w:p>
      <w:pPr>
        <w:pStyle w:val="890"/>
        <w:shd w:val="clear" w:color="auto" w:fill="FFFFFF"/>
        <w:snapToGrid w:val="0"/>
        <w:spacing w:after="240" w:afterAutospacing="0" w:line="360" w:lineRule="auto"/>
        <w:ind w:firstLine="480" w:firstLineChars="200"/>
        <w:contextualSpacing/>
        <w:rPr>
          <w:rFonts w:hint="eastAsia"/>
          <w:color w:val="auto"/>
          <w:highlight w:val="none"/>
        </w:rPr>
      </w:pPr>
      <w:r>
        <w:rPr>
          <w:rFonts w:hint="eastAsia" w:asciiTheme="minorEastAsia" w:hAnsiTheme="minorEastAsia" w:eastAsiaTheme="minorEastAsia"/>
          <w:color w:val="auto"/>
          <w:highlight w:val="none"/>
        </w:rPr>
        <w:t>4.</w:t>
      </w:r>
      <w:r>
        <w:rPr>
          <w:rFonts w:hint="eastAsia" w:asciiTheme="minorEastAsia" w:hAnsiTheme="minorEastAsia" w:eastAsiaTheme="minorEastAsia"/>
          <w:color w:val="auto"/>
          <w:highlight w:val="none"/>
          <w:lang w:val="en-US" w:eastAsia="zh-CN"/>
        </w:rPr>
        <w:t>4</w:t>
      </w:r>
      <w:r>
        <w:rPr>
          <w:rFonts w:hint="eastAsia" w:asciiTheme="minorEastAsia" w:hAnsiTheme="minorEastAsia" w:eastAsiaTheme="minorEastAsia"/>
          <w:color w:val="auto"/>
          <w:highlight w:val="none"/>
        </w:rPr>
        <w:t>.5</w:t>
      </w:r>
      <w:r>
        <w:rPr>
          <w:rFonts w:hint="eastAsia"/>
          <w:color w:val="auto"/>
          <w:highlight w:val="none"/>
        </w:rPr>
        <w:t>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采购人（行政机关）因政策变化、规划调整而不履行政府采购合同的，供应商可依据《杭州市涉企补偿救济实施办法（试行）》向采购人（行政机关）提起补偿申请。</w:t>
      </w:r>
    </w:p>
    <w:p>
      <w:pPr>
        <w:pStyle w:val="890"/>
        <w:shd w:val="clear" w:color="auto" w:fill="FFFFFF"/>
        <w:snapToGrid w:val="0"/>
        <w:spacing w:after="240" w:afterAutospacing="0" w:line="360" w:lineRule="auto"/>
        <w:ind w:firstLine="480" w:firstLineChars="200"/>
        <w:contextualSpacing/>
        <w:rPr>
          <w:rFonts w:hint="eastAsia"/>
          <w:color w:val="auto"/>
          <w:highlight w:val="none"/>
        </w:rPr>
      </w:pPr>
    </w:p>
    <w:p>
      <w:pPr>
        <w:pStyle w:val="890"/>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投诉书范本及制作说明详见附件3。</w:t>
      </w:r>
    </w:p>
    <w:p>
      <w:pPr>
        <w:pStyle w:val="132"/>
        <w:snapToGrid w:val="0"/>
        <w:spacing w:before="0"/>
        <w:ind w:firstLine="360"/>
        <w:rPr>
          <w:rFonts w:ascii="宋体" w:hAnsi="宋体" w:cs="宋体"/>
          <w:color w:val="auto"/>
          <w:sz w:val="18"/>
          <w:szCs w:val="18"/>
          <w:highlight w:val="none"/>
        </w:rPr>
      </w:pPr>
    </w:p>
    <w:p>
      <w:pPr>
        <w:snapToGrid w:val="0"/>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二、采购文件的构成、澄清、修改</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5．采购文件的构成</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采购文件包括下列文件及附件：</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5.1.1竞争性磋商公告；</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5.1.2供应商须知；</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5.1.4评审办法；</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澄清或者修改的内容为采购文件的组成部分</w:t>
      </w:r>
      <w:r>
        <w:rPr>
          <w:rFonts w:hint="eastAsia" w:ascii="宋体" w:hAnsi="宋体" w:cs="宋体"/>
          <w:color w:val="auto"/>
          <w:sz w:val="24"/>
          <w:highlight w:val="none"/>
        </w:rPr>
        <w:t>。</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采购文件的澄清、修改</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6.1已获取采购文件的潜在供应商，若有问题需要澄清，应于响应文件提交（上传）截止时间前，以书面形式向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采购文件进行澄清或修改的，将同时通过电子交易平台通知已获取采购文件的潜在供应商。依法应当公告的，将按规定公告，同时视情况延长响应文件提交（上传）截止时间和响应文件开启时间。该澄清或者修改的内容为采购文件的组成部分。</w:t>
      </w:r>
    </w:p>
    <w:p>
      <w:pPr>
        <w:pStyle w:val="24"/>
        <w:rPr>
          <w:rFonts w:hAnsi="宋体" w:cs="宋体"/>
          <w:color w:val="auto"/>
          <w:sz w:val="18"/>
          <w:szCs w:val="18"/>
          <w:highlight w:val="none"/>
          <w:lang w:val="en-US"/>
        </w:rPr>
      </w:pPr>
    </w:p>
    <w:p>
      <w:pPr>
        <w:snapToGrid w:val="0"/>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三、提交响应文件</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采购文件的获取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详见竞争性磋商公告中获取采购文件的时间期限、地点、方式及采购文件售价。</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8.磋商前答疑会或现场考察</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采购人组织潜在供应商现场考察或者召开磋商前答疑会的，潜在供应商按第二部分供应商须知前附表的规定参加现场考察或者磋商前答疑会。</w:t>
      </w:r>
    </w:p>
    <w:p>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9.磋商保证金</w:t>
      </w:r>
    </w:p>
    <w:p>
      <w:pPr>
        <w:pStyle w:val="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本项目不需缴纳磋商保证金。</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响应文件的语言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响应文件及供应商与采购有关的来往通知、函件和文件均应使用中文。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响应文件的组成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6" w:name="_Hlk101259339"/>
      <w:r>
        <w:rPr>
          <w:rFonts w:hint="eastAsia" w:ascii="宋体" w:hAnsi="宋体" w:cs="宋体"/>
          <w:snapToGrid w:val="0"/>
          <w:color w:val="auto"/>
          <w:kern w:val="28"/>
          <w:sz w:val="24"/>
          <w:szCs w:val="20"/>
          <w:highlight w:val="none"/>
        </w:rPr>
        <w:t>联合协议</w:t>
      </w:r>
      <w:bookmarkStart w:id="17" w:name="_Hlk101257010"/>
      <w:r>
        <w:rPr>
          <w:rFonts w:hint="eastAsia" w:ascii="宋体" w:hAnsi="宋体" w:cs="宋体"/>
          <w:snapToGrid w:val="0"/>
          <w:color w:val="auto"/>
          <w:kern w:val="28"/>
          <w:sz w:val="24"/>
          <w:szCs w:val="20"/>
          <w:highlight w:val="none"/>
        </w:rPr>
        <w:t>（如果有)</w:t>
      </w:r>
      <w:bookmarkEnd w:id="16"/>
      <w:bookmarkEnd w:id="17"/>
      <w:r>
        <w:rPr>
          <w:rFonts w:hint="eastAsia" w:ascii="宋体" w:hAnsi="宋体" w:cs="宋体"/>
          <w:snapToGrid w:val="0"/>
          <w:color w:val="auto"/>
          <w:kern w:val="28"/>
          <w:sz w:val="24"/>
          <w:szCs w:val="20"/>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11.2.1响应函；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11.2.3分包意向协议（如果有)；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11.2.4符合性审查资料；</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11.2.5评审标准相应的商务技术资料；</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11.2.6商务技术偏离表；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11.3.1报价单；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11.3.2已标价工程量清单；</w:t>
      </w:r>
    </w:p>
    <w:p>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11.3.3中小企业声明函。</w:t>
      </w:r>
    </w:p>
    <w:p>
      <w:pPr>
        <w:pStyle w:val="4"/>
        <w:adjustRightInd w:val="0"/>
        <w:ind w:left="0" w:firstLine="960" w:firstLineChars="400"/>
        <w:rPr>
          <w:color w:val="auto"/>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响应文件含有采购人不能接受的附加条件的，响应文件无效；</w:t>
      </w:r>
    </w:p>
    <w:p>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供应商提供虚假材料的，响应文件无效。</w:t>
      </w:r>
    </w:p>
    <w:p>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供应商应对响应文件中材料的真实性、合法性负责。</w:t>
      </w:r>
    </w:p>
    <w:p>
      <w:pPr>
        <w:pStyle w:val="132"/>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响应文件的编制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响应文件分为资格文件、商务技术文件、报价文件三部分。各供应商在编制响应文件时请按照采购文件第六部分规定的格式进行，混乱的编排导致响应文件被误读或磋商小组查找不到有效文件是供应商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12.2供应商进行电子投标应安装客户端软件—“政采云电子交易客户端”，并按照采购文件和电子交易平台的要求编制并加密响应文件。供应商未按规定加密的响应文件，电子交易平台将拒收并提示。</w:t>
      </w:r>
    </w:p>
    <w:p>
      <w:pPr>
        <w:snapToGrid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13.响应文件的签署、盖章</w:t>
      </w:r>
    </w:p>
    <w:p>
      <w:pPr>
        <w:pStyle w:val="132"/>
        <w:snapToGrid w:val="0"/>
        <w:spacing w:before="0"/>
        <w:ind w:firstLine="480"/>
        <w:rPr>
          <w:rFonts w:ascii="宋体" w:hAnsi="宋体" w:cs="宋体"/>
          <w:b/>
          <w:color w:val="auto"/>
          <w:highlight w:val="none"/>
        </w:rPr>
      </w:pPr>
      <w:r>
        <w:rPr>
          <w:rFonts w:hint="eastAsia" w:ascii="宋体" w:hAnsi="宋体" w:cs="宋体"/>
          <w:color w:val="auto"/>
          <w:szCs w:val="24"/>
          <w:highlight w:val="none"/>
        </w:rPr>
        <w:t>13.1响应文件按照采购文件第六部分格式要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▲供应商的响应文件未按照采购文件要求签署、盖章的，其响应文件无效</w:t>
      </w:r>
      <w:r>
        <w:rPr>
          <w:rFonts w:hint="eastAsia" w:ascii="宋体" w:hAnsi="宋体" w:cs="宋体"/>
          <w:color w:val="auto"/>
          <w:szCs w:val="24"/>
          <w:highlight w:val="none"/>
        </w:rPr>
        <w:t>。</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13.2为确保网上操作合法、有效和安全，供应商应当在响应文件提交（上传）截止时间前完成在“政府采购云平台”的身份认证，确保在电子投标过程中能够对相关数据电文进行加密和使用电子签名。</w:t>
      </w:r>
    </w:p>
    <w:p>
      <w:pPr>
        <w:pStyle w:val="132"/>
        <w:snapToGrid w:val="0"/>
        <w:spacing w:before="0"/>
        <w:ind w:firstLine="480"/>
        <w:rPr>
          <w:rFonts w:ascii="宋体" w:hAnsi="宋体" w:cs="宋体"/>
          <w:color w:val="auto"/>
          <w:szCs w:val="24"/>
          <w:highlight w:val="none"/>
        </w:rPr>
      </w:pPr>
      <w:r>
        <w:rPr>
          <w:rFonts w:hint="eastAsia" w:ascii="宋体" w:hAnsi="宋体" w:cs="宋体"/>
          <w:color w:val="auto"/>
          <w:highlight w:val="none"/>
        </w:rPr>
        <w:t>13.3采购文件对响应文件签署、盖章的要求适用于电子签名。</w:t>
      </w:r>
    </w:p>
    <w:p>
      <w:pPr>
        <w:pStyle w:val="132"/>
        <w:snapToGrid w:val="0"/>
        <w:spacing w:before="0"/>
        <w:ind w:firstLine="0" w:firstLineChars="0"/>
        <w:rPr>
          <w:rFonts w:ascii="宋体" w:hAnsi="宋体" w:cs="宋体"/>
          <w:b/>
          <w:color w:val="auto"/>
          <w:szCs w:val="24"/>
          <w:highlight w:val="none"/>
        </w:rPr>
      </w:pPr>
    </w:p>
    <w:p>
      <w:pPr>
        <w:pStyle w:val="132"/>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响应文件的提交、补充、修改、撤回</w:t>
      </w:r>
    </w:p>
    <w:p>
      <w:pPr>
        <w:pStyle w:val="132"/>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14.1 供应商应当在响应文件提交（上传）截止时间前完成响应文件的传输递交，并可以补充、修改或者撤回响应文件。补充或者修改响应文件的，应当先行撤回原文件，补充、修改后重新传输递交。响应文件提交（上传）截止时间前未完成传输的，视为撤回响应文件。响应文件提交（上传）截止时间后递交的响应文件，电子交易平台将拒收。</w:t>
      </w:r>
    </w:p>
    <w:p>
      <w:pPr>
        <w:pStyle w:val="132"/>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14.2电子交易平台收到响应文件，将妥善保存并即时向供应商发出确认回执通知。在响应文件提交（上传）截止时间前，除供应商补充、修改或者撤回响应文件外，任何单位和个人不得解密或提取响应文件。</w:t>
      </w:r>
    </w:p>
    <w:p>
      <w:pPr>
        <w:pStyle w:val="132"/>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可以视情况延长响应文件提交的截止时间。在上述情况下，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与供应商以前在响应文件提交截止时间方面的全部权利、责任和义务，将适用于延长至新的响应文件提交截止时间。</w:t>
      </w:r>
    </w:p>
    <w:p>
      <w:pPr>
        <w:pStyle w:val="34"/>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15.备份响应文件</w:t>
      </w:r>
    </w:p>
    <w:p>
      <w:pPr>
        <w:pStyle w:val="34"/>
        <w:snapToGrid w:val="0"/>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15.1供应商在电子交易平台传输递交响应文件后，还可以在响应文件提交（上传）截止时间前直接提交或者以邮政快递方式递交备份响应文件1份，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不强制或变相强制供应商提交备份响应文件。</w:t>
      </w:r>
    </w:p>
    <w:p>
      <w:pPr>
        <w:pStyle w:val="34"/>
        <w:snapToGrid w:val="0"/>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15.2备份响应文件须在“政采云投标客户端”制作生成，并储存在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中。备份响应文件应当密封包装并在包装上加盖公章并注明采购项目名称，供应商名称(联合体参与的，包装物封面需注明联合体，并注明联合体成员各方的名称和联合协议中约定的牵头人的名称)。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存储、密封规定的备份响应文件将被视为无效或者被拒绝接收。</w:t>
      </w:r>
    </w:p>
    <w:p>
      <w:pPr>
        <w:pStyle w:val="3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15.3直接提交备份响应文件的，供应商应于响应文件提交（上传）截止时间前在竞争性磋商公告中载明的响应文件开启地点将备份响应文件提交给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将拒绝接受逾期送达的备份响应文件。</w:t>
      </w:r>
    </w:p>
    <w:p>
      <w:pPr>
        <w:pStyle w:val="3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15.4以邮政快递方式递交备份响应文件的，供应商应先将备份响应文件按要求密封和标记，再进行邮政快递包装后邮寄。备份响应文件须在响应文件提交（上传）截止时间之前送达</w:t>
      </w:r>
      <w:r>
        <w:rPr>
          <w:rFonts w:hint="eastAsia" w:hAnsi="宋体" w:cs="宋体"/>
          <w:snapToGrid/>
          <w:color w:val="auto"/>
          <w:sz w:val="24"/>
          <w:szCs w:val="24"/>
          <w:highlight w:val="none"/>
        </w:rPr>
        <w:t>采购文件第二部分供应商须知前附表规定的备份响应文件送达地点；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将拒绝接受逾期送达的备份响应文件。邮寄过程中，电子备份响应文件发生泄露、遗失、损坏或延期送达等情况的，由供应商自行负责。</w:t>
      </w:r>
    </w:p>
    <w:p>
      <w:pPr>
        <w:pStyle w:val="34"/>
        <w:snapToGrid w:val="0"/>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15.5供应商仅提交备份响应文件，未在电子交易平台传输递交响应文件的，响应文件无效。</w:t>
      </w:r>
    </w:p>
    <w:p>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16.响应文件的无效处理</w:t>
      </w:r>
    </w:p>
    <w:p>
      <w:pPr>
        <w:pStyle w:val="25"/>
        <w:spacing w:line="360" w:lineRule="auto"/>
        <w:ind w:firstLine="360" w:firstLineChars="150"/>
        <w:rPr>
          <w:rFonts w:cs="宋体"/>
          <w:color w:val="auto"/>
          <w:szCs w:val="21"/>
          <w:highlight w:val="none"/>
        </w:rPr>
      </w:pPr>
      <w:r>
        <w:rPr>
          <w:rFonts w:hint="eastAsia" w:cs="宋体"/>
          <w:color w:val="auto"/>
          <w:szCs w:val="21"/>
          <w:highlight w:val="none"/>
        </w:rPr>
        <w:t>有采购文件第四部分</w:t>
      </w:r>
      <w:r>
        <w:rPr>
          <w:rFonts w:hint="eastAsia" w:cs="宋体"/>
          <w:color w:val="auto"/>
          <w:highlight w:val="none"/>
        </w:rPr>
        <w:t>4.2规定</w:t>
      </w:r>
      <w:r>
        <w:rPr>
          <w:rFonts w:hint="eastAsia" w:cs="宋体"/>
          <w:color w:val="auto"/>
          <w:szCs w:val="21"/>
          <w:highlight w:val="none"/>
        </w:rPr>
        <w:t>的情形之一的，响应文件无效：</w:t>
      </w:r>
    </w:p>
    <w:p>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17.响应文件有效期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17.1响应文件有效期为从提交响应文件的截止之日起90天。▲</w:t>
      </w:r>
      <w:r>
        <w:rPr>
          <w:rFonts w:hint="eastAsia" w:ascii="宋体" w:hAnsi="宋体" w:cs="宋体"/>
          <w:b/>
          <w:color w:val="auto"/>
          <w:sz w:val="24"/>
          <w:szCs w:val="20"/>
          <w:highlight w:val="none"/>
        </w:rPr>
        <w:t>供应商的响应文件中承</w:t>
      </w:r>
      <w:r>
        <w:rPr>
          <w:rFonts w:hint="eastAsia" w:ascii="宋体" w:hAnsi="宋体" w:cs="宋体"/>
          <w:b/>
          <w:color w:val="auto"/>
          <w:sz w:val="24"/>
          <w:szCs w:val="21"/>
          <w:highlight w:val="none"/>
        </w:rPr>
        <w:t>诺的响应文件有效期少于采购文件中载明的响应文件有效期的，响应文件无效。</w:t>
      </w:r>
    </w:p>
    <w:p>
      <w:pPr>
        <w:pStyle w:val="132"/>
        <w:spacing w:before="0"/>
        <w:ind w:firstLine="480"/>
        <w:rPr>
          <w:rFonts w:ascii="宋体" w:hAnsi="宋体" w:cs="宋体"/>
          <w:color w:val="auto"/>
          <w:highlight w:val="none"/>
        </w:rPr>
      </w:pPr>
      <w:r>
        <w:rPr>
          <w:rFonts w:hint="eastAsia" w:ascii="宋体" w:hAnsi="宋体" w:cs="宋体"/>
          <w:color w:val="auto"/>
          <w:highlight w:val="none"/>
        </w:rPr>
        <w:t>17.2响应文件合格投递后，自响应文件提交截止时间起，在响应文件有效期内有效。</w:t>
      </w:r>
    </w:p>
    <w:p>
      <w:pPr>
        <w:pStyle w:val="132"/>
        <w:spacing w:before="0"/>
        <w:ind w:firstLine="480"/>
        <w:rPr>
          <w:rFonts w:ascii="宋体" w:hAnsi="宋体" w:cs="宋体"/>
          <w:color w:val="auto"/>
          <w:highlight w:val="none"/>
        </w:rPr>
      </w:pPr>
      <w:r>
        <w:rPr>
          <w:rFonts w:hint="eastAsia" w:ascii="宋体" w:hAnsi="宋体" w:cs="宋体"/>
          <w:color w:val="auto"/>
          <w:highlight w:val="none"/>
        </w:rPr>
        <w:t>17.3在原定响应文件有效期满之前，如果出现特殊情况，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可以以书面形式通知供应商延长响应文件有效期。供应商同意延长的，不得要求或被允许修改其响应文件，供应商拒绝延长的，其响应文件无效。</w:t>
      </w:r>
    </w:p>
    <w:p>
      <w:pPr>
        <w:pStyle w:val="132"/>
        <w:spacing w:before="0"/>
        <w:ind w:firstLine="643"/>
        <w:rPr>
          <w:rFonts w:ascii="宋体" w:hAnsi="宋体" w:cs="宋体"/>
          <w:b/>
          <w:color w:val="auto"/>
          <w:sz w:val="32"/>
          <w:highlight w:val="none"/>
        </w:rPr>
      </w:pPr>
    </w:p>
    <w:p>
      <w:pPr>
        <w:snapToGrid w:val="0"/>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四、响应文件开启、资格审查与信用信息查询</w:t>
      </w:r>
    </w:p>
    <w:p>
      <w:pPr>
        <w:pStyle w:val="558"/>
        <w:spacing w:before="0" w:line="360" w:lineRule="auto"/>
        <w:ind w:left="0" w:firstLine="0"/>
        <w:contextualSpacing/>
        <w:rPr>
          <w:rFonts w:ascii="宋体" w:hAnsi="宋体" w:cs="宋体"/>
          <w:color w:val="auto"/>
          <w:sz w:val="24"/>
          <w:highlight w:val="none"/>
        </w:rPr>
      </w:pPr>
      <w:r>
        <w:rPr>
          <w:rFonts w:hint="eastAsia" w:ascii="宋体" w:hAnsi="宋体" w:cs="宋体"/>
          <w:b/>
          <w:color w:val="auto"/>
          <w:sz w:val="24"/>
          <w:szCs w:val="24"/>
          <w:highlight w:val="none"/>
        </w:rPr>
        <w:t>18.响应文件开启</w:t>
      </w:r>
      <w:r>
        <w:rPr>
          <w:rFonts w:hint="eastAsia" w:ascii="宋体" w:hAnsi="宋体" w:cs="宋体"/>
          <w:color w:val="auto"/>
          <w:sz w:val="24"/>
          <w:highlight w:val="none"/>
        </w:rPr>
        <w:t xml:space="preserve"> </w:t>
      </w:r>
    </w:p>
    <w:p>
      <w:pPr>
        <w:pStyle w:val="558"/>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按照采购文件规定的时间通过电子交易平台组织响应文件开启，所有供应商均应当准时在线参加。供应商不足3家的，不得开启。</w:t>
      </w:r>
    </w:p>
    <w:p>
      <w:pPr>
        <w:pStyle w:val="558"/>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18.2响应文件开启时，电子交易平台按响应文件开启时间自动提取所有响应文件。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依托电子交易平台发起开始解密指令，供应商按照平台提示和采购文件的规定在半小时内完成在线解密。</w:t>
      </w:r>
    </w:p>
    <w:p>
      <w:pPr>
        <w:pStyle w:val="558"/>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18.3</w:t>
      </w:r>
      <w:r>
        <w:rPr>
          <w:rFonts w:hint="eastAsia" w:ascii="宋体" w:hAnsi="宋体" w:cs="宋体"/>
          <w:b/>
          <w:bCs/>
          <w:color w:val="auto"/>
          <w:sz w:val="24"/>
          <w:highlight w:val="none"/>
        </w:rPr>
        <w:t>响应文件未按时解密，供应商提供了备份响应文件的，以备份响应文件作为依据，否则视为响应文件撤回。响应文件已按时解密的，备份响应文件自动失效。</w:t>
      </w:r>
    </w:p>
    <w:p>
      <w:pPr>
        <w:pStyle w:val="558"/>
        <w:spacing w:before="0" w:line="360" w:lineRule="auto"/>
        <w:ind w:left="0" w:firstLine="0"/>
        <w:contextualSpacing/>
        <w:rPr>
          <w:rFonts w:ascii="宋体" w:hAnsi="宋体" w:cs="宋体"/>
          <w:b/>
          <w:color w:val="auto"/>
          <w:sz w:val="24"/>
          <w:szCs w:val="24"/>
          <w:highlight w:val="none"/>
        </w:rPr>
      </w:pPr>
      <w:r>
        <w:rPr>
          <w:rFonts w:hint="eastAsia" w:ascii="宋体" w:hAnsi="宋体" w:cs="宋体"/>
          <w:b/>
          <w:color w:val="auto"/>
          <w:sz w:val="24"/>
          <w:szCs w:val="24"/>
          <w:highlight w:val="none"/>
        </w:rPr>
        <w:t>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或磋商小组依据法律法规和采购文件的规定，对供应商的资格进行审查。</w:t>
      </w:r>
    </w:p>
    <w:p>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供应商未按照采购文件要求提供与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供应商不具备采购文件中规定的资格要求，其响应文件无效。</w:t>
      </w:r>
    </w:p>
    <w:p>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对未通过资格审查的供应商，采购人或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pPr>
        <w:pStyle w:val="132"/>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合格供应商不足3家的，不再评审。</w:t>
      </w:r>
    </w:p>
    <w:p>
      <w:pPr>
        <w:pStyle w:val="132"/>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将在资格审查时通过“信用中国”网站(www.creditchina.gov.cn)、中国政府采购网(www.ccgp.gov.cn)渠道查询供应商接受资格审查时的信用记录。</w:t>
      </w:r>
    </w:p>
    <w:p>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20.2信用信息查询记录和证据留存的具体方式：现场查询的供应商的信用记录、查询结果经确认后将与采购文件一起存档。</w:t>
      </w:r>
    </w:p>
    <w:p>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20.3信用信息的使用规则：经查询列入失信被执行人名单、重大税收违法案件当事人名单、政府采购严重违法失信行为记录名单的供应商将被拒绝参与政府采购活动。</w:t>
      </w:r>
    </w:p>
    <w:p>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32"/>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五、评审</w:t>
      </w:r>
    </w:p>
    <w:p>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磋商小组将根据采购文件和有关规定，履行评审工作职责，并按照评审方法及评分标准，全面衡量各供应商对采购文件的响应情况。对实质上响应采购文件的供应商，按照评审因素的量化指标排出推荐成交的供应商的先后顺序，并按顺序提出授标建议。</w:t>
      </w:r>
      <w:r>
        <w:rPr>
          <w:rFonts w:hint="eastAsia" w:ascii="宋体" w:hAnsi="宋体" w:cs="宋体"/>
          <w:b/>
          <w:color w:val="auto"/>
          <w:sz w:val="24"/>
          <w:highlight w:val="none"/>
        </w:rPr>
        <w:t>详见采购文件第四部分评审办法。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六、成交供应商确定</w:t>
      </w:r>
    </w:p>
    <w:p>
      <w:pPr>
        <w:pStyle w:val="25"/>
        <w:spacing w:line="360" w:lineRule="auto"/>
        <w:ind w:left="479" w:hanging="479" w:hangingChars="199"/>
        <w:rPr>
          <w:rFonts w:cs="宋体"/>
          <w:b/>
          <w:color w:val="auto"/>
          <w:highlight w:val="none"/>
        </w:rPr>
      </w:pPr>
      <w:r>
        <w:rPr>
          <w:rFonts w:hint="eastAsia" w:cs="宋体"/>
          <w:b/>
          <w:color w:val="auto"/>
          <w:highlight w:val="none"/>
        </w:rPr>
        <w:t>22. 确定成交供应商</w:t>
      </w:r>
    </w:p>
    <w:p>
      <w:pPr>
        <w:pStyle w:val="132"/>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pPr>
        <w:pStyle w:val="132"/>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成交通知与成交结果公告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23.1自成交供应商确定之日起1个工作日内，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通过电子交易平台向成交供应商发出成交通知书，同时编制发布采购结果公告。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也可以以纸质形式进行成交通知。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23.2成交结果公告内容包括采购人及其委托的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成交供应商名称、地址和成交金额，主要成交标的的名称、规格型号、数量、单价、服务要求，开标记录、资格审查情况、评审专家抽取规则、符合性审查情况、未成交情况说明、成交结果公告期限以及评审专家名单、评分汇总及明细。</w:t>
      </w:r>
    </w:p>
    <w:p>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pPr>
        <w:widowControl/>
        <w:shd w:val="clear" w:color="auto" w:fill="FFFFFF"/>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lang w:val="en-US" w:eastAsia="zh-CN"/>
        </w:rPr>
        <w:t>23.4</w:t>
      </w:r>
      <w:r>
        <w:rPr>
          <w:rFonts w:hint="eastAsia" w:ascii="宋体" w:hAnsi="宋体" w:eastAsia="宋体" w:cs="宋体"/>
          <w:b w:val="0"/>
          <w:bCs/>
          <w:color w:val="auto"/>
          <w:sz w:val="24"/>
          <w:szCs w:val="24"/>
          <w:highlight w:val="none"/>
        </w:rPr>
        <w:t>由于</w:t>
      </w:r>
      <w:r>
        <w:rPr>
          <w:rFonts w:hint="eastAsia" w:ascii="宋体" w:hAnsi="宋体" w:eastAsia="宋体" w:cs="宋体"/>
          <w:bCs/>
          <w:color w:val="auto"/>
          <w:sz w:val="24"/>
          <w:szCs w:val="24"/>
          <w:highlight w:val="none"/>
        </w:rPr>
        <w:t>成交供应商原因导致重新采购的，应当承担支付代理费和专家评审费等费用在内的赔偿责任。</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七、合同授予</w:t>
      </w:r>
    </w:p>
    <w:p>
      <w:pPr>
        <w:pStyle w:val="25"/>
        <w:snapToGrid w:val="0"/>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5"/>
        <w:snapToGrid w:val="0"/>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napToGrid w:val="0"/>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成交供应商应当通过电子交易平台在成交通知书发出之日起三十日内，按照采购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成交通知书发出之日起10个工作日内，与成交供应商按照采购文件确定的事项签订政府采购合同。</w:t>
      </w:r>
    </w:p>
    <w:p>
      <w:pPr>
        <w:pStyle w:val="132"/>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25.2成交供应商按规定的日期、时间、地点，由法定代表人或其授权代表与采购人代表签订合同。如成交供应商为联合体的，由联合体成员各方法定代表人或其授权代表与采购人代表签订合同。</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25.4成交供应商拒绝与采购人签订合同的，采购人可以按照评审报告推荐的成交候选人名单排序，确定下一候选人为成交供应商，也可以重新开展政府采购活动。拒绝与采购人签订合同的成交供应商应承担采购代理服务费、评审专家劳务报酬等相关费用。</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25.5采购合同由采购人与成交供应商根据采购文件、响应文件等内容通过政府采购电子交易平台在线签订，自动备案。</w:t>
      </w:r>
    </w:p>
    <w:p>
      <w:pPr>
        <w:pStyle w:val="25"/>
        <w:snapToGrid w:val="0"/>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napToGrid w:val="0"/>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拟签订的合同文本要求成交供应商提交履约保证金的，供应商应当以支票、汇票、本票或者金融机构、担保机构出具的保函等非现金形式提交</w:t>
      </w:r>
      <w:r>
        <w:rPr>
          <w:rFonts w:hint="eastAsia" w:ascii="宋体" w:hAnsi="宋体" w:cs="宋体"/>
          <w:color w:val="auto"/>
          <w:sz w:val="24"/>
          <w:highlight w:val="none"/>
        </w:rPr>
        <w:t>。杭州市政府采购网公布的供应商履约评价为满分的供应商，采购单位应当免收履约保证金。确需收取履约保证金的，履约保证金缴纳最高比例由不超过</w:t>
      </w:r>
      <w:r>
        <w:rPr>
          <w:rFonts w:hint="eastAsia" w:ascii="宋体" w:hAnsi="宋体" w:cs="宋体"/>
          <w:color w:val="auto"/>
          <w:kern w:val="2"/>
          <w:sz w:val="24"/>
          <w:highlight w:val="none"/>
        </w:rPr>
        <w:t>合同金额的</w:t>
      </w:r>
      <w:r>
        <w:rPr>
          <w:rFonts w:ascii="宋体" w:hAnsi="宋体" w:cs="宋体"/>
          <w:color w:val="auto"/>
          <w:kern w:val="2"/>
          <w:sz w:val="24"/>
          <w:highlight w:val="none"/>
        </w:rPr>
        <w:t>1%</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采购单位鼓励供应商采取履约保函形式提供信用保证；供应商提供保函的，采购单位不得拒收。项目验收结束后应及时退还，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4"/>
        <w:snapToGrid w:val="0"/>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color w:val="auto"/>
          <w:highlight w:val="none"/>
        </w:rPr>
      </w:pPr>
      <w:r>
        <w:rPr>
          <w:rFonts w:ascii="宋体" w:hAnsi="宋体" w:eastAsia="宋体" w:cs="Times New Roman"/>
          <w:b/>
          <w:bCs/>
          <w:color w:val="auto"/>
          <w:kern w:val="2"/>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ascii="宋体" w:hAnsi="宋体" w:cs="Times New Roman"/>
          <w:color w:val="auto"/>
          <w:kern w:val="2"/>
          <w:sz w:val="24"/>
          <w:highlight w:val="none"/>
        </w:rPr>
        <w:t>400-903-9583。</w:t>
      </w:r>
    </w:p>
    <w:p>
      <w:pPr>
        <w:rPr>
          <w:color w:val="auto"/>
          <w:highlight w:val="none"/>
        </w:rPr>
      </w:pPr>
    </w:p>
    <w:p>
      <w:pPr>
        <w:snapToGrid w:val="0"/>
        <w:spacing w:line="360" w:lineRule="auto"/>
        <w:ind w:firstLine="3357" w:firstLineChars="1045"/>
        <w:rPr>
          <w:rFonts w:ascii="宋体" w:hAnsi="宋体" w:cs="宋体"/>
          <w:b/>
          <w:color w:val="auto"/>
          <w:sz w:val="32"/>
          <w:highlight w:val="none"/>
        </w:rPr>
      </w:pPr>
    </w:p>
    <w:p>
      <w:pPr>
        <w:snapToGrid w:val="0"/>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八、电子交易活动的中止</w:t>
      </w:r>
    </w:p>
    <w:p>
      <w:pPr>
        <w:pStyle w:val="132"/>
        <w:snapToGrid w:val="0"/>
        <w:spacing w:before="0"/>
        <w:ind w:firstLine="0" w:firstLineChars="0"/>
        <w:rPr>
          <w:rFonts w:ascii="宋体" w:hAnsi="宋体" w:cs="宋体"/>
          <w:color w:val="auto"/>
          <w:highlight w:val="none"/>
        </w:rPr>
      </w:pPr>
      <w:r>
        <w:rPr>
          <w:rFonts w:ascii="宋体" w:hAnsi="宋体" w:cs="宋体"/>
          <w:b/>
          <w:bCs/>
          <w:color w:val="auto"/>
          <w:kern w:val="2"/>
          <w:szCs w:val="20"/>
          <w:highlight w:val="none"/>
        </w:rPr>
        <w:t>2</w:t>
      </w:r>
      <w:r>
        <w:rPr>
          <w:rFonts w:ascii="宋体" w:hAnsi="宋体" w:cs="宋体"/>
          <w:b/>
          <w:bCs/>
          <w:color w:val="auto"/>
          <w:kern w:val="2"/>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32"/>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九、验收</w:t>
      </w:r>
    </w:p>
    <w:p>
      <w:pPr>
        <w:pStyle w:val="25"/>
        <w:spacing w:line="360" w:lineRule="auto"/>
        <w:ind w:firstLine="0" w:firstLineChars="0"/>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pStyle w:val="4"/>
        <w:adjustRightInd w:val="0"/>
        <w:snapToGrid w:val="0"/>
        <w:ind w:left="0" w:firstLine="480" w:firstLineChars="200"/>
        <w:rPr>
          <w:rFonts w:ascii="宋体" w:hAnsi="宋体" w:eastAsia="宋体" w:cs="宋体"/>
          <w:b w:val="0"/>
          <w:bCs w:val="0"/>
          <w:color w:val="auto"/>
          <w:kern w:val="0"/>
          <w:sz w:val="24"/>
          <w:szCs w:val="24"/>
          <w:highlight w:val="none"/>
          <w:lang w:val="en-US"/>
        </w:rPr>
      </w:pPr>
      <w:bookmarkStart w:id="19" w:name="_Hlt75236011"/>
      <w:bookmarkEnd w:id="19"/>
      <w:bookmarkStart w:id="20" w:name="_Hlt75236101"/>
      <w:bookmarkEnd w:id="20"/>
      <w:bookmarkStart w:id="21" w:name="_Hlt75236290"/>
      <w:bookmarkEnd w:id="21"/>
      <w:bookmarkStart w:id="22" w:name="_Hlt68072990"/>
      <w:bookmarkEnd w:id="22"/>
      <w:bookmarkStart w:id="23" w:name="_Hlt74714665"/>
      <w:bookmarkEnd w:id="23"/>
      <w:bookmarkStart w:id="24" w:name="_Hlt68072998"/>
      <w:bookmarkEnd w:id="24"/>
      <w:bookmarkStart w:id="25" w:name="_Hlt74707468"/>
      <w:bookmarkEnd w:id="25"/>
      <w:bookmarkStart w:id="26" w:name="_Hlt68403820"/>
      <w:bookmarkEnd w:id="26"/>
      <w:bookmarkStart w:id="27" w:name="_Hlt68073093"/>
      <w:bookmarkEnd w:id="27"/>
      <w:bookmarkStart w:id="28" w:name="_Hlt74729768"/>
      <w:bookmarkEnd w:id="28"/>
      <w:bookmarkStart w:id="29" w:name="_Hlt68057669"/>
      <w:bookmarkEnd w:id="29"/>
      <w:bookmarkStart w:id="30" w:name="_Hlt74730295"/>
      <w:bookmarkEnd w:id="30"/>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pPr>
        <w:pStyle w:val="81"/>
        <w:rPr>
          <w:color w:val="auto"/>
          <w:highlight w:val="none"/>
        </w:rPr>
        <w:sectPr>
          <w:pgSz w:w="11906" w:h="16838"/>
          <w:pgMar w:top="1440" w:right="1080" w:bottom="1440" w:left="1080" w:header="851" w:footer="992" w:gutter="0"/>
          <w:cols w:space="720" w:num="1"/>
          <w:titlePg/>
          <w:docGrid w:linePitch="312" w:charSpace="0"/>
        </w:sectPr>
      </w:pPr>
    </w:p>
    <w:bookmarkEnd w:id="13"/>
    <w:bookmarkEnd w:id="14"/>
    <w:p>
      <w:pPr>
        <w:spacing w:line="360" w:lineRule="auto"/>
        <w:jc w:val="center"/>
        <w:outlineLvl w:val="0"/>
        <w:rPr>
          <w:rFonts w:hint="eastAsia" w:ascii="宋体" w:hAnsi="宋体" w:eastAsia="宋体" w:cs="宋体"/>
          <w:b/>
          <w:color w:val="auto"/>
          <w:sz w:val="36"/>
          <w:szCs w:val="36"/>
          <w:highlight w:val="none"/>
        </w:rPr>
      </w:pPr>
      <w:bookmarkStart w:id="31" w:name="第四部分"/>
      <w:r>
        <w:rPr>
          <w:rFonts w:hint="eastAsia" w:ascii="宋体" w:hAnsi="宋体" w:eastAsia="宋体" w:cs="宋体"/>
          <w:b/>
          <w:color w:val="auto"/>
          <w:sz w:val="36"/>
          <w:szCs w:val="36"/>
          <w:highlight w:val="none"/>
        </w:rPr>
        <w:t>第三部分 采购需求</w:t>
      </w:r>
    </w:p>
    <w:p>
      <w:pPr>
        <w:spacing w:line="360" w:lineRule="auto"/>
        <w:jc w:val="left"/>
        <w:rPr>
          <w:rFonts w:ascii="宋体" w:hAnsi="宋体" w:cs="仿宋_GB2312"/>
          <w:b/>
          <w:bCs/>
          <w:color w:val="auto"/>
          <w:sz w:val="24"/>
          <w:highlight w:val="none"/>
        </w:rPr>
      </w:pPr>
      <w:r>
        <w:rPr>
          <w:rFonts w:hint="eastAsia" w:ascii="宋体" w:hAnsi="宋体" w:cs="仿宋_GB2312"/>
          <w:b/>
          <w:bCs/>
          <w:color w:val="auto"/>
          <w:sz w:val="24"/>
          <w:highlight w:val="none"/>
        </w:rPr>
        <w:t>一、工程概况</w:t>
      </w:r>
    </w:p>
    <w:p>
      <w:pPr>
        <w:spacing w:line="360" w:lineRule="auto"/>
        <w:ind w:firstLine="480" w:firstLineChars="200"/>
        <w:jc w:val="left"/>
        <w:rPr>
          <w:rFonts w:hint="eastAsia" w:ascii="宋体" w:hAnsi="宋体" w:cs="仿宋_GB2312"/>
          <w:b/>
          <w:bCs/>
          <w:color w:val="auto"/>
          <w:sz w:val="24"/>
          <w:highlight w:val="none"/>
        </w:rPr>
      </w:pPr>
      <w:r>
        <w:rPr>
          <w:rFonts w:hint="eastAsia" w:ascii="宋体" w:hAnsi="宋体"/>
          <w:color w:val="auto"/>
          <w:sz w:val="24"/>
          <w:highlight w:val="none"/>
          <w:u w:val="none"/>
          <w:lang w:eastAsia="zh-CN"/>
        </w:rPr>
        <w:t>杭州市人民职业学校宿舍整修项目</w:t>
      </w:r>
      <w:r>
        <w:rPr>
          <w:rFonts w:hint="eastAsia" w:ascii="宋体" w:hAnsi="宋体"/>
          <w:color w:val="auto"/>
          <w:sz w:val="24"/>
          <w:highlight w:val="none"/>
          <w:u w:val="none"/>
          <w:lang w:val="en-US" w:eastAsia="zh-CN"/>
        </w:rPr>
        <w:t>位于</w:t>
      </w:r>
      <w:r>
        <w:rPr>
          <w:rFonts w:hint="eastAsia" w:ascii="宋体" w:hAnsi="宋体"/>
          <w:color w:val="auto"/>
          <w:sz w:val="24"/>
          <w:highlight w:val="none"/>
          <w:u w:val="none"/>
        </w:rPr>
        <w:t>杭州市人民职业学校</w:t>
      </w:r>
      <w:r>
        <w:rPr>
          <w:rFonts w:hint="eastAsia" w:ascii="宋体" w:hAnsi="宋体"/>
          <w:color w:val="auto"/>
          <w:sz w:val="24"/>
          <w:highlight w:val="none"/>
          <w:u w:val="none"/>
          <w:lang w:val="en-US" w:eastAsia="zh-CN"/>
        </w:rPr>
        <w:t>内，主要内容为将现有</w:t>
      </w:r>
      <w:r>
        <w:rPr>
          <w:rFonts w:hint="eastAsia" w:ascii="宋体" w:hAnsi="宋体"/>
          <w:color w:val="auto"/>
          <w:sz w:val="24"/>
          <w:highlight w:val="none"/>
          <w:u w:val="none"/>
          <w:lang w:eastAsia="zh-CN"/>
        </w:rPr>
        <w:t>宿舍楼整体内外</w:t>
      </w:r>
      <w:r>
        <w:rPr>
          <w:rFonts w:hint="eastAsia" w:ascii="宋体" w:hAnsi="宋体"/>
          <w:color w:val="auto"/>
          <w:sz w:val="24"/>
          <w:highlight w:val="none"/>
          <w:u w:val="none"/>
          <w:lang w:val="en-US" w:eastAsia="zh-CN"/>
        </w:rPr>
        <w:t>进行改造，改造后满足学生日常生活、住宿和学习的需要。设计要与我校现有建筑风格相符合，设计理念新颖，设计方案具有我校特色，符合我校学生专业特点，在材料使用和施工工艺上要确保安全性和环保要求，保证工程建设质量优良。</w:t>
      </w:r>
    </w:p>
    <w:p>
      <w:pPr>
        <w:spacing w:line="360" w:lineRule="auto"/>
        <w:jc w:val="left"/>
        <w:rPr>
          <w:rFonts w:hint="eastAsia" w:ascii="宋体" w:hAnsi="宋体" w:cs="仿宋_GB2312"/>
          <w:b/>
          <w:bCs/>
          <w:color w:val="auto"/>
          <w:sz w:val="24"/>
          <w:highlight w:val="none"/>
        </w:rPr>
      </w:pPr>
    </w:p>
    <w:p>
      <w:pPr>
        <w:spacing w:line="360" w:lineRule="auto"/>
        <w:jc w:val="left"/>
        <w:rPr>
          <w:rFonts w:ascii="宋体" w:hAnsi="宋体" w:cs="仿宋_GB2312"/>
          <w:color w:val="auto"/>
          <w:sz w:val="24"/>
          <w:highlight w:val="none"/>
        </w:rPr>
      </w:pPr>
      <w:r>
        <w:rPr>
          <w:rFonts w:hint="eastAsia" w:ascii="宋体" w:hAnsi="宋体" w:cs="仿宋_GB2312"/>
          <w:b/>
          <w:bCs/>
          <w:color w:val="auto"/>
          <w:sz w:val="24"/>
          <w:highlight w:val="none"/>
        </w:rPr>
        <w:t>二、</w:t>
      </w:r>
      <w:r>
        <w:rPr>
          <w:rFonts w:hint="eastAsia" w:ascii="宋体" w:hAnsi="宋体" w:cs="仿宋_GB2312"/>
          <w:b/>
          <w:bCs/>
          <w:color w:val="auto"/>
          <w:sz w:val="24"/>
          <w:highlight w:val="none"/>
          <w:lang w:val="en-US" w:eastAsia="zh-CN"/>
        </w:rPr>
        <w:t>总体要求</w:t>
      </w:r>
    </w:p>
    <w:p>
      <w:pPr>
        <w:spacing w:line="360" w:lineRule="auto"/>
        <w:ind w:firstLine="480" w:firstLineChars="200"/>
        <w:jc w:val="left"/>
        <w:rPr>
          <w:rFonts w:ascii="宋体" w:hAnsi="宋体"/>
          <w:color w:val="auto"/>
          <w:sz w:val="24"/>
          <w:highlight w:val="none"/>
          <w:u w:val="none"/>
        </w:rPr>
      </w:pPr>
      <w:r>
        <w:rPr>
          <w:rFonts w:hint="eastAsia" w:ascii="宋体" w:hAnsi="宋体"/>
          <w:color w:val="auto"/>
          <w:sz w:val="24"/>
          <w:highlight w:val="none"/>
          <w:u w:val="none"/>
          <w:lang w:val="en-US" w:eastAsia="zh-CN"/>
        </w:rPr>
        <w:t>本项目</w:t>
      </w:r>
      <w:r>
        <w:rPr>
          <w:rFonts w:ascii="宋体" w:hAnsi="宋体"/>
          <w:color w:val="auto"/>
          <w:sz w:val="24"/>
          <w:highlight w:val="none"/>
          <w:u w:val="none"/>
        </w:rPr>
        <w:t>包括但不限装修方案设计、方案优化、施工图设计的编制、报批、施工图的报审、概算及施工、竣工验收等。各供应商应认真分析整体空间情况，</w:t>
      </w:r>
      <w:r>
        <w:rPr>
          <w:rFonts w:hint="eastAsia" w:ascii="宋体" w:hAnsi="宋体"/>
          <w:color w:val="auto"/>
          <w:sz w:val="24"/>
          <w:highlight w:val="none"/>
          <w:u w:val="none"/>
          <w:lang w:eastAsia="zh-CN"/>
        </w:rPr>
        <w:t>保证工程质量和使用安全，</w:t>
      </w:r>
      <w:r>
        <w:rPr>
          <w:rFonts w:ascii="宋体" w:hAnsi="宋体"/>
          <w:color w:val="auto"/>
          <w:sz w:val="24"/>
          <w:highlight w:val="none"/>
          <w:u w:val="none"/>
        </w:rPr>
        <w:t>合理规划空间布局，满足功能性需求，设计应富有文化内涵、突出创意创新、体现</w:t>
      </w:r>
      <w:r>
        <w:rPr>
          <w:rFonts w:hint="eastAsia" w:ascii="宋体" w:hAnsi="宋体"/>
          <w:color w:val="auto"/>
          <w:sz w:val="24"/>
          <w:highlight w:val="none"/>
          <w:u w:val="none"/>
          <w:lang w:eastAsia="zh-CN"/>
        </w:rPr>
        <w:t>人民</w:t>
      </w:r>
      <w:r>
        <w:rPr>
          <w:rFonts w:hint="eastAsia" w:ascii="宋体" w:hAnsi="宋体"/>
          <w:color w:val="auto"/>
          <w:sz w:val="24"/>
          <w:highlight w:val="none"/>
          <w:u w:val="none"/>
          <w:lang w:val="en-US" w:eastAsia="zh-CN"/>
        </w:rPr>
        <w:t>职业学校</w:t>
      </w:r>
      <w:r>
        <w:rPr>
          <w:rFonts w:ascii="宋体" w:hAnsi="宋体"/>
          <w:color w:val="auto"/>
          <w:sz w:val="24"/>
          <w:highlight w:val="none"/>
          <w:u w:val="none"/>
        </w:rPr>
        <w:t>特色，整体设计效果赏心悦目，符合整体实际情况。</w:t>
      </w:r>
    </w:p>
    <w:p>
      <w:pPr>
        <w:spacing w:line="360" w:lineRule="auto"/>
        <w:jc w:val="left"/>
        <w:rPr>
          <w:rFonts w:ascii="宋体" w:hAnsi="宋体"/>
          <w:color w:val="auto"/>
          <w:sz w:val="24"/>
          <w:highlight w:val="none"/>
          <w:u w:val="single"/>
        </w:rPr>
      </w:pPr>
    </w:p>
    <w:p>
      <w:pPr>
        <w:spacing w:line="360" w:lineRule="auto"/>
        <w:jc w:val="left"/>
        <w:rPr>
          <w:rFonts w:hint="default" w:ascii="宋体" w:hAnsi="宋体" w:eastAsia="宋体"/>
          <w:b/>
          <w:bCs/>
          <w:color w:val="auto"/>
          <w:sz w:val="24"/>
          <w:highlight w:val="none"/>
          <w:u w:val="none"/>
          <w:lang w:val="en-US" w:eastAsia="zh-CN"/>
        </w:rPr>
      </w:pPr>
      <w:r>
        <w:rPr>
          <w:rFonts w:hint="eastAsia" w:ascii="宋体" w:hAnsi="宋体"/>
          <w:b/>
          <w:bCs/>
          <w:color w:val="auto"/>
          <w:sz w:val="24"/>
          <w:highlight w:val="none"/>
          <w:u w:val="none"/>
          <w:lang w:val="en-US" w:eastAsia="zh-CN"/>
        </w:rPr>
        <w:t>三、规范要求</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lang w:val="en-US" w:eastAsia="zh-CN"/>
        </w:rPr>
        <w:t>本项目</w:t>
      </w:r>
      <w:r>
        <w:rPr>
          <w:rFonts w:hint="eastAsia" w:ascii="宋体" w:hAnsi="宋体" w:cs="仿宋_GB2312"/>
          <w:b w:val="0"/>
          <w:bCs w:val="0"/>
          <w:i w:val="0"/>
          <w:iCs w:val="0"/>
          <w:color w:val="auto"/>
          <w:sz w:val="24"/>
          <w:highlight w:val="none"/>
          <w:u w:val="none"/>
        </w:rPr>
        <w:t>中的所有材料、设备和施工质量均应符合下列技术规范的要求：</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1、本工程采用的技术规范</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（1）国家现行的设计规范。</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（2）国家现行的施工规范。</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（3）国家现行的验收规范。</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（4）国家现行的质量验评标准。</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（5）国家及地方现行施工验收及施工安全技术规范。</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2、规范的获得由</w:t>
      </w:r>
      <w:r>
        <w:rPr>
          <w:rFonts w:hint="eastAsia" w:ascii="宋体" w:hAnsi="宋体" w:cs="仿宋_GB2312"/>
          <w:b w:val="0"/>
          <w:bCs w:val="0"/>
          <w:i w:val="0"/>
          <w:iCs w:val="0"/>
          <w:color w:val="auto"/>
          <w:sz w:val="24"/>
          <w:highlight w:val="none"/>
          <w:u w:val="none"/>
          <w:lang w:val="en-US" w:eastAsia="zh-CN"/>
        </w:rPr>
        <w:t>供应商</w:t>
      </w:r>
      <w:r>
        <w:rPr>
          <w:rFonts w:hint="eastAsia" w:ascii="宋体" w:hAnsi="宋体" w:cs="仿宋_GB2312"/>
          <w:b w:val="0"/>
          <w:bCs w:val="0"/>
          <w:i w:val="0"/>
          <w:iCs w:val="0"/>
          <w:color w:val="auto"/>
          <w:sz w:val="24"/>
          <w:highlight w:val="none"/>
          <w:u w:val="none"/>
        </w:rPr>
        <w:t>自行解决。</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3、在合同履行期间，若上述标准或规范有修改或重新颁布，</w:t>
      </w:r>
      <w:r>
        <w:rPr>
          <w:rFonts w:hint="eastAsia" w:ascii="宋体" w:hAnsi="宋体" w:cs="仿宋_GB2312"/>
          <w:b w:val="0"/>
          <w:bCs w:val="0"/>
          <w:i w:val="0"/>
          <w:iCs w:val="0"/>
          <w:color w:val="auto"/>
          <w:sz w:val="24"/>
          <w:highlight w:val="none"/>
          <w:u w:val="none"/>
          <w:lang w:val="en-US" w:eastAsia="zh-CN"/>
        </w:rPr>
        <w:t>供应商</w:t>
      </w:r>
      <w:r>
        <w:rPr>
          <w:rFonts w:hint="eastAsia" w:ascii="宋体" w:hAnsi="宋体" w:cs="仿宋_GB2312"/>
          <w:b w:val="0"/>
          <w:bCs w:val="0"/>
          <w:i w:val="0"/>
          <w:iCs w:val="0"/>
          <w:color w:val="auto"/>
          <w:sz w:val="24"/>
          <w:highlight w:val="none"/>
          <w:u w:val="none"/>
        </w:rPr>
        <w:t>应遵照执行。</w:t>
      </w:r>
    </w:p>
    <w:p>
      <w:pPr>
        <w:spacing w:line="360" w:lineRule="auto"/>
        <w:jc w:val="left"/>
        <w:rPr>
          <w:rFonts w:ascii="宋体" w:hAnsi="宋体" w:cs="仿宋_GB2312"/>
          <w:b w:val="0"/>
          <w:bCs w:val="0"/>
          <w:i w:val="0"/>
          <w:iCs w:val="0"/>
          <w:color w:val="auto"/>
          <w:sz w:val="24"/>
          <w:highlight w:val="none"/>
          <w:u w:val="none"/>
        </w:rPr>
      </w:pPr>
    </w:p>
    <w:p>
      <w:pPr>
        <w:spacing w:line="360" w:lineRule="auto"/>
        <w:jc w:val="left"/>
        <w:rPr>
          <w:rFonts w:hint="default" w:ascii="宋体" w:hAnsi="宋体" w:eastAsia="宋体" w:cs="仿宋_GB2312"/>
          <w:b/>
          <w:bCs/>
          <w:i w:val="0"/>
          <w:iCs w:val="0"/>
          <w:color w:val="auto"/>
          <w:sz w:val="24"/>
          <w:highlight w:val="none"/>
          <w:u w:val="none"/>
          <w:lang w:val="en-US" w:eastAsia="zh-CN"/>
        </w:rPr>
      </w:pPr>
      <w:r>
        <w:rPr>
          <w:rFonts w:hint="eastAsia" w:ascii="宋体" w:hAnsi="宋体" w:cs="仿宋_GB2312"/>
          <w:b/>
          <w:bCs/>
          <w:i w:val="0"/>
          <w:iCs w:val="0"/>
          <w:color w:val="auto"/>
          <w:sz w:val="24"/>
          <w:highlight w:val="none"/>
          <w:u w:val="none"/>
          <w:lang w:val="en-US" w:eastAsia="zh-CN"/>
        </w:rPr>
        <w:t>四、设计要求（包括但不限于以下内容）：</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1、磋商供应商在设计过程中，要严格按照采购文件的约定，围绕相关现场勘察资料，按设计规范完成设计工作。</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2、</w:t>
      </w:r>
      <w:r>
        <w:rPr>
          <w:rFonts w:hint="eastAsia" w:ascii="宋体" w:hAnsi="宋体" w:cs="仿宋_GB2312"/>
          <w:b w:val="0"/>
          <w:bCs w:val="0"/>
          <w:i w:val="0"/>
          <w:iCs w:val="0"/>
          <w:color w:val="auto"/>
          <w:sz w:val="24"/>
          <w:highlight w:val="none"/>
          <w:u w:val="none"/>
          <w:lang w:eastAsia="zh-CN"/>
        </w:rPr>
        <w:t>杭州市人民职业学校宿舍整修项目</w:t>
      </w:r>
      <w:r>
        <w:rPr>
          <w:rFonts w:hint="eastAsia" w:ascii="宋体" w:hAnsi="宋体" w:cs="仿宋_GB2312"/>
          <w:b w:val="0"/>
          <w:bCs w:val="0"/>
          <w:i w:val="0"/>
          <w:iCs w:val="0"/>
          <w:color w:val="auto"/>
          <w:sz w:val="24"/>
          <w:highlight w:val="none"/>
          <w:u w:val="none"/>
        </w:rPr>
        <w:t>图纸内容包括设计构思及方案、总平面图、功能分区和空间组合等。请合理规划空间环境，考虑空间的尺度、比例，提高整个区域的利用率及灵活性。设计需结合</w:t>
      </w:r>
      <w:r>
        <w:rPr>
          <w:rFonts w:hint="eastAsia" w:ascii="宋体" w:hAnsi="宋体" w:cs="仿宋_GB2312"/>
          <w:b w:val="0"/>
          <w:bCs w:val="0"/>
          <w:i w:val="0"/>
          <w:iCs w:val="0"/>
          <w:color w:val="auto"/>
          <w:sz w:val="24"/>
          <w:highlight w:val="none"/>
          <w:u w:val="none"/>
          <w:lang w:val="en-US" w:eastAsia="zh-CN"/>
        </w:rPr>
        <w:t>学校</w:t>
      </w:r>
      <w:r>
        <w:rPr>
          <w:rFonts w:hint="eastAsia" w:ascii="宋体" w:hAnsi="宋体" w:cs="仿宋_GB2312"/>
          <w:b w:val="0"/>
          <w:bCs w:val="0"/>
          <w:i w:val="0"/>
          <w:iCs w:val="0"/>
          <w:color w:val="auto"/>
          <w:sz w:val="24"/>
          <w:highlight w:val="none"/>
          <w:u w:val="none"/>
        </w:rPr>
        <w:t>专业特色，必须包含各区施工选用的建筑材料设计方案。</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3、拆旧</w:t>
      </w:r>
      <w:r>
        <w:rPr>
          <w:rFonts w:hint="eastAsia" w:ascii="宋体" w:hAnsi="宋体" w:cs="仿宋_GB2312"/>
          <w:b w:val="0"/>
          <w:bCs w:val="0"/>
          <w:i w:val="0"/>
          <w:iCs w:val="0"/>
          <w:color w:val="auto"/>
          <w:sz w:val="24"/>
          <w:highlight w:val="none"/>
          <w:u w:val="none"/>
          <w:lang w:eastAsia="zh-CN"/>
        </w:rPr>
        <w:t>、</w:t>
      </w:r>
      <w:r>
        <w:rPr>
          <w:rFonts w:hint="eastAsia" w:ascii="宋体" w:hAnsi="宋体" w:cs="仿宋_GB2312"/>
          <w:b w:val="0"/>
          <w:bCs w:val="0"/>
          <w:i w:val="0"/>
          <w:iCs w:val="0"/>
          <w:color w:val="auto"/>
          <w:sz w:val="24"/>
          <w:highlight w:val="none"/>
          <w:u w:val="none"/>
        </w:rPr>
        <w:t>砌筑工程。</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4、门窗、地面、墙身及天花板整修翻新。</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5、功能布局分区。</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6、墙面装饰、软装等。</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7、天花板制作安装。</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8、公共空间、入口内部局部装饰。</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9、弱电智能化等路电路改造等。</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10、开关、插座、网络系统电源配送到位。</w:t>
      </w:r>
    </w:p>
    <w:p>
      <w:pPr>
        <w:spacing w:line="360" w:lineRule="auto"/>
        <w:ind w:firstLine="480" w:firstLineChars="200"/>
        <w:jc w:val="left"/>
        <w:rPr>
          <w:rFonts w:hint="eastAsia" w:ascii="宋体" w:hAnsi="宋体" w:cs="仿宋_GB2312"/>
          <w:b w:val="0"/>
          <w:bCs w:val="0"/>
          <w:i w:val="0"/>
          <w:iCs w:val="0"/>
          <w:color w:val="auto"/>
          <w:sz w:val="24"/>
          <w:highlight w:val="none"/>
          <w:u w:val="none"/>
        </w:rPr>
      </w:pPr>
      <w:r>
        <w:rPr>
          <w:rFonts w:hint="eastAsia" w:ascii="宋体" w:hAnsi="宋体" w:cs="仿宋_GB2312"/>
          <w:b w:val="0"/>
          <w:bCs w:val="0"/>
          <w:i w:val="0"/>
          <w:iCs w:val="0"/>
          <w:color w:val="auto"/>
          <w:sz w:val="24"/>
          <w:highlight w:val="none"/>
          <w:u w:val="none"/>
        </w:rPr>
        <w:t>11、照明灯光（灯带、射灯、筒灯、吸顶灯、应急照明灯、疏散指示灯等）。</w:t>
      </w:r>
    </w:p>
    <w:p>
      <w:pPr>
        <w:spacing w:line="360" w:lineRule="auto"/>
        <w:ind w:firstLine="480" w:firstLineChars="200"/>
        <w:jc w:val="left"/>
        <w:rPr>
          <w:rFonts w:hint="eastAsia" w:ascii="宋体" w:hAnsi="宋体" w:eastAsia="宋体" w:cs="仿宋_GB2312"/>
          <w:b w:val="0"/>
          <w:bCs w:val="0"/>
          <w:i w:val="0"/>
          <w:iCs w:val="0"/>
          <w:color w:val="auto"/>
          <w:sz w:val="24"/>
          <w:highlight w:val="none"/>
          <w:u w:val="none"/>
          <w:lang w:eastAsia="zh-CN"/>
        </w:rPr>
      </w:pPr>
      <w:r>
        <w:rPr>
          <w:rFonts w:hint="eastAsia" w:ascii="宋体" w:hAnsi="宋体" w:cs="仿宋_GB2312"/>
          <w:b w:val="0"/>
          <w:bCs w:val="0"/>
          <w:i w:val="0"/>
          <w:iCs w:val="0"/>
          <w:color w:val="auto"/>
          <w:sz w:val="24"/>
          <w:highlight w:val="none"/>
          <w:u w:val="none"/>
        </w:rPr>
        <w:t>12、</w:t>
      </w:r>
      <w:r>
        <w:rPr>
          <w:rFonts w:hint="eastAsia" w:ascii="宋体" w:hAnsi="宋体" w:cs="仿宋_GB2312"/>
          <w:b w:val="0"/>
          <w:bCs w:val="0"/>
          <w:i w:val="0"/>
          <w:iCs w:val="0"/>
          <w:color w:val="auto"/>
          <w:sz w:val="24"/>
          <w:highlight w:val="none"/>
          <w:u w:val="none"/>
          <w:lang w:eastAsia="zh-CN"/>
        </w:rPr>
        <w:t>油漆、涂料、裱糊工程、其他装饰工程、。</w:t>
      </w:r>
    </w:p>
    <w:p>
      <w:pPr>
        <w:spacing w:line="360" w:lineRule="auto"/>
        <w:ind w:firstLine="480" w:firstLineChars="200"/>
        <w:jc w:val="left"/>
        <w:rPr>
          <w:color w:val="auto"/>
          <w:highlight w:val="none"/>
        </w:rPr>
      </w:pPr>
      <w:r>
        <w:rPr>
          <w:rFonts w:hint="eastAsia" w:ascii="宋体" w:hAnsi="宋体" w:cs="仿宋_GB2312"/>
          <w:b w:val="0"/>
          <w:bCs w:val="0"/>
          <w:i w:val="0"/>
          <w:iCs w:val="0"/>
          <w:color w:val="auto"/>
          <w:sz w:val="24"/>
          <w:highlight w:val="none"/>
          <w:u w:val="none"/>
        </w:rPr>
        <w:t>13、</w:t>
      </w:r>
      <w:r>
        <w:rPr>
          <w:rFonts w:hint="eastAsia" w:ascii="宋体" w:hAnsi="宋体" w:cs="仿宋_GB2312"/>
          <w:b w:val="0"/>
          <w:bCs w:val="0"/>
          <w:i w:val="0"/>
          <w:iCs w:val="0"/>
          <w:color w:val="auto"/>
          <w:sz w:val="24"/>
          <w:highlight w:val="none"/>
          <w:u w:val="none"/>
          <w:lang w:val="en-US" w:eastAsia="zh-CN"/>
        </w:rPr>
        <w:t>厕所改造、给水排水改造</w:t>
      </w:r>
      <w:r>
        <w:rPr>
          <w:rFonts w:hint="eastAsia" w:ascii="宋体" w:hAnsi="宋体" w:cs="仿宋_GB2312"/>
          <w:b w:val="0"/>
          <w:bCs w:val="0"/>
          <w:i w:val="0"/>
          <w:iCs w:val="0"/>
          <w:color w:val="auto"/>
          <w:sz w:val="24"/>
          <w:highlight w:val="none"/>
          <w:u w:val="none"/>
          <w:lang w:eastAsia="zh-CN"/>
        </w:rPr>
        <w:t>。</w:t>
      </w:r>
    </w:p>
    <w:p>
      <w:pPr>
        <w:spacing w:line="360" w:lineRule="auto"/>
        <w:ind w:firstLine="480" w:firstLineChars="200"/>
        <w:jc w:val="left"/>
        <w:rPr>
          <w:rFonts w:hint="eastAsia" w:ascii="宋体" w:hAnsi="宋体" w:cs="仿宋_GB2312"/>
          <w:b w:val="0"/>
          <w:bCs w:val="0"/>
          <w:i w:val="0"/>
          <w:iCs w:val="0"/>
          <w:color w:val="auto"/>
          <w:sz w:val="24"/>
          <w:highlight w:val="none"/>
          <w:u w:val="none"/>
          <w:lang w:val="en-US" w:eastAsia="zh-CN"/>
        </w:rPr>
      </w:pPr>
      <w:r>
        <w:rPr>
          <w:rFonts w:hint="eastAsia" w:ascii="宋体" w:hAnsi="宋体" w:cs="仿宋_GB2312"/>
          <w:b w:val="0"/>
          <w:bCs w:val="0"/>
          <w:i w:val="0"/>
          <w:iCs w:val="0"/>
          <w:color w:val="auto"/>
          <w:sz w:val="24"/>
          <w:highlight w:val="none"/>
          <w:u w:val="none"/>
          <w:lang w:val="en-US" w:eastAsia="zh-CN"/>
        </w:rPr>
        <w:t>14、材料选择得当，运用新材料、新工艺，提高设计中的科技含量；运用节能、环保材料和环保技术，充分考虑材料的安全性、通用性、牢固性、审美观、标准化。色彩选配考究，线条处理协调，并且符合国家规范要求，主要部件及配件应采用同类产品中的优质品牌。要求具有稳定性和易维护性，便于更换和清洁。</w:t>
      </w:r>
    </w:p>
    <w:p>
      <w:pPr>
        <w:spacing w:line="360" w:lineRule="auto"/>
        <w:ind w:firstLine="480" w:firstLineChars="200"/>
        <w:jc w:val="left"/>
        <w:rPr>
          <w:rFonts w:hint="default" w:ascii="宋体" w:hAnsi="宋体" w:eastAsia="宋体" w:cs="仿宋_GB2312"/>
          <w:b w:val="0"/>
          <w:bCs w:val="0"/>
          <w:i w:val="0"/>
          <w:iCs w:val="0"/>
          <w:color w:val="auto"/>
          <w:sz w:val="24"/>
          <w:highlight w:val="none"/>
          <w:u w:val="none"/>
          <w:lang w:val="en-US" w:eastAsia="zh-CN"/>
        </w:rPr>
      </w:pPr>
      <w:r>
        <w:rPr>
          <w:rFonts w:hint="default" w:ascii="宋体" w:hAnsi="宋体" w:eastAsia="宋体" w:cs="仿宋_GB2312"/>
          <w:b w:val="0"/>
          <w:bCs w:val="0"/>
          <w:i w:val="0"/>
          <w:iCs w:val="0"/>
          <w:color w:val="auto"/>
          <w:sz w:val="24"/>
          <w:highlight w:val="none"/>
          <w:u w:val="none"/>
          <w:lang w:val="en-US" w:eastAsia="zh-CN"/>
        </w:rPr>
        <w:t>1</w:t>
      </w:r>
      <w:r>
        <w:rPr>
          <w:rFonts w:hint="eastAsia" w:ascii="宋体" w:hAnsi="宋体" w:cs="仿宋_GB2312"/>
          <w:b w:val="0"/>
          <w:bCs w:val="0"/>
          <w:i w:val="0"/>
          <w:iCs w:val="0"/>
          <w:color w:val="auto"/>
          <w:sz w:val="24"/>
          <w:highlight w:val="none"/>
          <w:u w:val="none"/>
          <w:lang w:val="en-US" w:eastAsia="zh-CN"/>
        </w:rPr>
        <w:t>5</w:t>
      </w:r>
      <w:r>
        <w:rPr>
          <w:rFonts w:hint="default" w:ascii="宋体" w:hAnsi="宋体" w:eastAsia="宋体" w:cs="仿宋_GB2312"/>
          <w:b w:val="0"/>
          <w:bCs w:val="0"/>
          <w:i w:val="0"/>
          <w:iCs w:val="0"/>
          <w:color w:val="auto"/>
          <w:sz w:val="24"/>
          <w:highlight w:val="none"/>
          <w:u w:val="none"/>
          <w:lang w:val="en-US" w:eastAsia="zh-CN"/>
        </w:rPr>
        <w:t>、设计的深度应完全满足功能性要求并能按施工图进行施工（制作），包括（但不限于以下内容）</w:t>
      </w:r>
      <w:r>
        <w:rPr>
          <w:rFonts w:hint="eastAsia" w:ascii="宋体" w:hAnsi="宋体" w:cs="仿宋_GB2312"/>
          <w:b w:val="0"/>
          <w:bCs w:val="0"/>
          <w:i w:val="0"/>
          <w:iCs w:val="0"/>
          <w:color w:val="auto"/>
          <w:sz w:val="24"/>
          <w:highlight w:val="none"/>
          <w:u w:val="none"/>
          <w:lang w:val="en-US" w:eastAsia="zh-CN"/>
        </w:rPr>
        <w:t>：</w:t>
      </w:r>
    </w:p>
    <w:p>
      <w:pPr>
        <w:spacing w:line="360" w:lineRule="auto"/>
        <w:ind w:firstLine="480" w:firstLineChars="200"/>
        <w:jc w:val="left"/>
        <w:rPr>
          <w:rFonts w:hint="default" w:ascii="宋体" w:hAnsi="宋体" w:eastAsia="宋体" w:cs="仿宋_GB2312"/>
          <w:b w:val="0"/>
          <w:bCs w:val="0"/>
          <w:i w:val="0"/>
          <w:iCs w:val="0"/>
          <w:color w:val="auto"/>
          <w:sz w:val="24"/>
          <w:highlight w:val="none"/>
          <w:u w:val="none"/>
          <w:lang w:val="en-US" w:eastAsia="zh-CN"/>
        </w:rPr>
      </w:pPr>
      <w:r>
        <w:rPr>
          <w:rFonts w:hint="default" w:ascii="宋体" w:hAnsi="宋体" w:eastAsia="宋体" w:cs="仿宋_GB2312"/>
          <w:b w:val="0"/>
          <w:bCs w:val="0"/>
          <w:i w:val="0"/>
          <w:iCs w:val="0"/>
          <w:color w:val="auto"/>
          <w:sz w:val="24"/>
          <w:highlight w:val="none"/>
          <w:u w:val="none"/>
          <w:lang w:val="en-US" w:eastAsia="zh-CN"/>
        </w:rPr>
        <w:t>（1）设计应包含所有专业的施工图设计及制作，其中包括设计说明、必须的设备、材料表、其他如（模型、吸音、隔音、隔热、灯光、音视频、防火、结构、电气）等设计，同时须提供说明各种设备、材料、模型等的厂家（制造商）、品牌、规格、功能等清单</w:t>
      </w:r>
      <w:r>
        <w:rPr>
          <w:rFonts w:hint="eastAsia" w:ascii="宋体" w:hAnsi="宋体" w:cs="仿宋_GB2312"/>
          <w:b w:val="0"/>
          <w:bCs w:val="0"/>
          <w:i w:val="0"/>
          <w:iCs w:val="0"/>
          <w:color w:val="auto"/>
          <w:sz w:val="24"/>
          <w:highlight w:val="none"/>
          <w:u w:val="none"/>
          <w:lang w:val="en-US" w:eastAsia="zh-CN"/>
        </w:rPr>
        <w:t>；</w:t>
      </w:r>
    </w:p>
    <w:p>
      <w:pPr>
        <w:spacing w:line="360" w:lineRule="auto"/>
        <w:ind w:firstLine="480" w:firstLineChars="200"/>
        <w:jc w:val="left"/>
        <w:rPr>
          <w:rFonts w:hint="default" w:ascii="宋体" w:hAnsi="宋体" w:eastAsia="宋体" w:cs="仿宋_GB2312"/>
          <w:b w:val="0"/>
          <w:bCs w:val="0"/>
          <w:i w:val="0"/>
          <w:iCs w:val="0"/>
          <w:color w:val="auto"/>
          <w:sz w:val="24"/>
          <w:highlight w:val="none"/>
          <w:u w:val="none"/>
          <w:lang w:val="en-US" w:eastAsia="zh-CN"/>
        </w:rPr>
      </w:pPr>
      <w:r>
        <w:rPr>
          <w:rFonts w:hint="default" w:ascii="宋体" w:hAnsi="宋体" w:eastAsia="宋体" w:cs="仿宋_GB2312"/>
          <w:b w:val="0"/>
          <w:bCs w:val="0"/>
          <w:i w:val="0"/>
          <w:iCs w:val="0"/>
          <w:color w:val="auto"/>
          <w:sz w:val="24"/>
          <w:highlight w:val="none"/>
          <w:u w:val="none"/>
          <w:lang w:val="en-US" w:eastAsia="zh-CN"/>
        </w:rPr>
        <w:t>（2）设计文件包含两个主要部分</w:t>
      </w:r>
      <w:r>
        <w:rPr>
          <w:rFonts w:hint="eastAsia" w:ascii="宋体" w:hAnsi="宋体" w:cs="仿宋_GB2312"/>
          <w:b w:val="0"/>
          <w:bCs w:val="0"/>
          <w:i w:val="0"/>
          <w:iCs w:val="0"/>
          <w:color w:val="auto"/>
          <w:sz w:val="24"/>
          <w:highlight w:val="none"/>
          <w:u w:val="none"/>
          <w:lang w:val="en-US" w:eastAsia="zh-CN"/>
        </w:rPr>
        <w:t>：</w:t>
      </w:r>
      <w:r>
        <w:rPr>
          <w:rFonts w:hint="default" w:ascii="宋体" w:hAnsi="宋体" w:eastAsia="宋体" w:cs="仿宋_GB2312"/>
          <w:b w:val="0"/>
          <w:bCs w:val="0"/>
          <w:i w:val="0"/>
          <w:iCs w:val="0"/>
          <w:color w:val="auto"/>
          <w:sz w:val="24"/>
          <w:highlight w:val="none"/>
          <w:u w:val="none"/>
          <w:lang w:val="en-US" w:eastAsia="zh-CN"/>
        </w:rPr>
        <w:t>设计方案与施工图纸。应提供</w:t>
      </w:r>
      <w:r>
        <w:rPr>
          <w:rFonts w:hint="eastAsia" w:ascii="宋体" w:hAnsi="宋体" w:cs="仿宋_GB2312"/>
          <w:b w:val="0"/>
          <w:bCs w:val="0"/>
          <w:i w:val="0"/>
          <w:iCs w:val="0"/>
          <w:color w:val="auto"/>
          <w:sz w:val="24"/>
          <w:highlight w:val="none"/>
          <w:u w:val="none"/>
          <w:lang w:val="en-US" w:eastAsia="zh-CN"/>
        </w:rPr>
        <w:t>杭州市人民职业学校宿舍整修项目</w:t>
      </w:r>
      <w:r>
        <w:rPr>
          <w:rFonts w:hint="default" w:ascii="宋体" w:hAnsi="宋体" w:eastAsia="宋体" w:cs="仿宋_GB2312"/>
          <w:b w:val="0"/>
          <w:bCs w:val="0"/>
          <w:i w:val="0"/>
          <w:iCs w:val="0"/>
          <w:color w:val="auto"/>
          <w:sz w:val="24"/>
          <w:highlight w:val="none"/>
          <w:u w:val="none"/>
          <w:lang w:val="en-US" w:eastAsia="zh-CN"/>
        </w:rPr>
        <w:t>设计施工一体化工程的平面、立面、墙身、大样、施工图、用料及规格、性能、技术标准、制作程序、详细的材料及其报价分析表以及其它要求的各项技术参数</w:t>
      </w:r>
      <w:r>
        <w:rPr>
          <w:rFonts w:hint="eastAsia" w:ascii="宋体" w:hAnsi="宋体" w:cs="仿宋_GB2312"/>
          <w:b w:val="0"/>
          <w:bCs w:val="0"/>
          <w:i w:val="0"/>
          <w:iCs w:val="0"/>
          <w:color w:val="auto"/>
          <w:sz w:val="24"/>
          <w:highlight w:val="none"/>
          <w:u w:val="none"/>
          <w:lang w:val="en-US" w:eastAsia="zh-CN"/>
        </w:rPr>
        <w:t>；</w:t>
      </w:r>
    </w:p>
    <w:p>
      <w:pPr>
        <w:spacing w:line="360" w:lineRule="auto"/>
        <w:ind w:firstLine="480" w:firstLineChars="200"/>
        <w:jc w:val="left"/>
        <w:rPr>
          <w:rFonts w:hint="default" w:ascii="宋体" w:hAnsi="宋体" w:eastAsia="宋体" w:cs="仿宋_GB2312"/>
          <w:b w:val="0"/>
          <w:bCs w:val="0"/>
          <w:i w:val="0"/>
          <w:iCs w:val="0"/>
          <w:color w:val="auto"/>
          <w:sz w:val="24"/>
          <w:highlight w:val="none"/>
          <w:u w:val="none"/>
          <w:lang w:val="en-US" w:eastAsia="zh-CN"/>
        </w:rPr>
      </w:pPr>
      <w:r>
        <w:rPr>
          <w:rFonts w:hint="default" w:ascii="宋体" w:hAnsi="宋体" w:eastAsia="宋体" w:cs="仿宋_GB2312"/>
          <w:b w:val="0"/>
          <w:bCs w:val="0"/>
          <w:i w:val="0"/>
          <w:iCs w:val="0"/>
          <w:color w:val="auto"/>
          <w:sz w:val="24"/>
          <w:highlight w:val="none"/>
          <w:u w:val="none"/>
          <w:lang w:val="en-US" w:eastAsia="zh-CN"/>
        </w:rPr>
        <w:t>（3）为了实现高质量的展示水准及要求，设计单位提供详细描述本项目的深化（施工图）设计顺序、方法、具体的工程制作顺序以及在制作阶段（短期内）从制作到设置安装的实施办法</w:t>
      </w:r>
      <w:r>
        <w:rPr>
          <w:rFonts w:hint="eastAsia" w:ascii="宋体" w:hAnsi="宋体" w:cs="仿宋_GB2312"/>
          <w:b w:val="0"/>
          <w:bCs w:val="0"/>
          <w:i w:val="0"/>
          <w:iCs w:val="0"/>
          <w:color w:val="auto"/>
          <w:sz w:val="24"/>
          <w:highlight w:val="none"/>
          <w:u w:val="none"/>
          <w:lang w:val="en-US" w:eastAsia="zh-CN"/>
        </w:rPr>
        <w:t>；</w:t>
      </w:r>
    </w:p>
    <w:p>
      <w:pPr>
        <w:spacing w:line="360" w:lineRule="auto"/>
        <w:ind w:firstLine="480" w:firstLineChars="200"/>
        <w:jc w:val="left"/>
        <w:rPr>
          <w:rFonts w:hint="default" w:ascii="宋体" w:hAnsi="宋体" w:eastAsia="宋体" w:cs="仿宋_GB2312"/>
          <w:b w:val="0"/>
          <w:bCs w:val="0"/>
          <w:i w:val="0"/>
          <w:iCs w:val="0"/>
          <w:color w:val="auto"/>
          <w:sz w:val="24"/>
          <w:highlight w:val="none"/>
          <w:u w:val="none"/>
          <w:lang w:val="en-US" w:eastAsia="zh-CN"/>
        </w:rPr>
      </w:pPr>
      <w:r>
        <w:rPr>
          <w:rFonts w:hint="default" w:ascii="宋体" w:hAnsi="宋体" w:eastAsia="宋体" w:cs="仿宋_GB2312"/>
          <w:b w:val="0"/>
          <w:bCs w:val="0"/>
          <w:i w:val="0"/>
          <w:iCs w:val="0"/>
          <w:color w:val="auto"/>
          <w:sz w:val="24"/>
          <w:highlight w:val="none"/>
          <w:u w:val="none"/>
          <w:lang w:val="en-US" w:eastAsia="zh-CN"/>
        </w:rPr>
        <w:t>（4）本次设计必须满足安防监控要求、防火规范、消防设施设计规范及有关规定</w:t>
      </w:r>
      <w:r>
        <w:rPr>
          <w:rFonts w:hint="eastAsia" w:ascii="宋体" w:hAnsi="宋体" w:cs="仿宋_GB2312"/>
          <w:b w:val="0"/>
          <w:bCs w:val="0"/>
          <w:i w:val="0"/>
          <w:iCs w:val="0"/>
          <w:color w:val="auto"/>
          <w:sz w:val="24"/>
          <w:highlight w:val="none"/>
          <w:u w:val="none"/>
          <w:lang w:val="en-US" w:eastAsia="zh-CN"/>
        </w:rPr>
        <w:t>；</w:t>
      </w:r>
    </w:p>
    <w:p>
      <w:pPr>
        <w:spacing w:line="360" w:lineRule="auto"/>
        <w:ind w:firstLine="480" w:firstLineChars="200"/>
        <w:jc w:val="left"/>
        <w:rPr>
          <w:rFonts w:hint="default" w:ascii="宋体" w:hAnsi="宋体" w:eastAsia="宋体" w:cs="仿宋_GB2312"/>
          <w:b w:val="0"/>
          <w:bCs w:val="0"/>
          <w:i w:val="0"/>
          <w:iCs w:val="0"/>
          <w:color w:val="auto"/>
          <w:sz w:val="24"/>
          <w:highlight w:val="none"/>
          <w:u w:val="none"/>
          <w:lang w:val="en-US" w:eastAsia="zh-CN"/>
        </w:rPr>
      </w:pPr>
      <w:r>
        <w:rPr>
          <w:rFonts w:hint="default" w:ascii="宋体" w:hAnsi="宋体" w:eastAsia="宋体" w:cs="仿宋_GB2312"/>
          <w:b w:val="0"/>
          <w:bCs w:val="0"/>
          <w:i w:val="0"/>
          <w:iCs w:val="0"/>
          <w:color w:val="auto"/>
          <w:sz w:val="24"/>
          <w:highlight w:val="none"/>
          <w:u w:val="none"/>
          <w:lang w:val="en-US" w:eastAsia="zh-CN"/>
        </w:rPr>
        <w:t>（5）在实施过程中校方对施工图提出修改或再次深化，均需出具工作联系</w:t>
      </w:r>
      <w:r>
        <w:rPr>
          <w:rFonts w:hint="eastAsia" w:ascii="宋体" w:hAnsi="宋体" w:cs="仿宋_GB2312"/>
          <w:b w:val="0"/>
          <w:bCs w:val="0"/>
          <w:i w:val="0"/>
          <w:iCs w:val="0"/>
          <w:color w:val="auto"/>
          <w:sz w:val="24"/>
          <w:highlight w:val="none"/>
          <w:u w:val="none"/>
          <w:lang w:val="en-US" w:eastAsia="zh-CN"/>
        </w:rPr>
        <w:t>单，成交供应商须在竣工图中完善。</w:t>
      </w:r>
    </w:p>
    <w:p>
      <w:pPr>
        <w:spacing w:line="360" w:lineRule="auto"/>
        <w:jc w:val="left"/>
        <w:rPr>
          <w:rFonts w:hint="default" w:ascii="宋体" w:hAnsi="宋体" w:eastAsia="宋体" w:cs="仿宋_GB2312"/>
          <w:b/>
          <w:bCs/>
          <w:i w:val="0"/>
          <w:iCs w:val="0"/>
          <w:color w:val="auto"/>
          <w:sz w:val="24"/>
          <w:highlight w:val="none"/>
          <w:u w:val="none"/>
          <w:lang w:val="en-US" w:eastAsia="zh-CN"/>
        </w:rPr>
      </w:pPr>
      <w:r>
        <w:rPr>
          <w:rFonts w:hint="eastAsia" w:ascii="宋体" w:hAnsi="宋体" w:cs="仿宋_GB2312"/>
          <w:b/>
          <w:bCs/>
          <w:i w:val="0"/>
          <w:iCs w:val="0"/>
          <w:color w:val="auto"/>
          <w:sz w:val="24"/>
          <w:highlight w:val="none"/>
          <w:u w:val="none"/>
          <w:lang w:val="en-US" w:eastAsia="zh-CN"/>
        </w:rPr>
        <w:t>五、施工要求</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1、本项目发包范围内的设计项目，未经采购人同意，不得分包。一经发现立即取消承包资格，作违约处理，并承担由此引起的一切经济损失。</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2、成交供应商应严格按经深化的设计方案、施工图纸和已确认的施工技术方案组织施工，并无条件地接受采购人对施工质量的监督和管理。</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3、成交供应商在磋商响应文件中承诺的设计负责人、设计班子主要成员、项目经理及相应资质的专业技术、管理人员未经采购人书面同意，成交供应商不得调换和撤离，并按工程进度及时到位。采购人有权要求成交供应商撤换工作不负责任、管理不力、贻误工期和造成严重安全事故和工程质量事故、违法乱纪的专业技术、管理人员直至项目经理，直至采购人满意为止。如项目经理及相应资质的专业技术人员未按要求到位，视作违约，采购人有权单方面终止合同。</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4、成交供应商在施工期间，必须对自身及其他项目参建单位的进场材料设备、已完工的工作面进行成品保护，如有损坏，自行妥善处理;自身不能妥善处理、影响任一方工程进度的，采购人有权作出赔偿决断，费用从工程款或结算款中扣减。</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5、成交供应商必须无条件配合展品安装的各个步骤，做好工作交界面的衔接。</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6、成交供应商须做好安全文明施工措施，要求无重大人员伤亡事故。施工期间发生的人身伤亡、财产损失及其它一切事故，由成交供应商承担由此带来的一切损失和相关处罚。给采购人造成损失的，由成交供应商负责赔偿。成交供应商须按有关规定办理各类保险，并自行承担费用。</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7、成交供应商须负责施工现场的消防安全工作，严格落实消防措施。工地现场及时清除易燃、可燃物品，配置消防器材，落实专人监护，保证现场的消防安全。</w:t>
      </w:r>
    </w:p>
    <w:p>
      <w:pPr>
        <w:spacing w:line="360" w:lineRule="auto"/>
        <w:ind w:firstLine="480" w:firstLineChars="200"/>
        <w:jc w:val="left"/>
        <w:rPr>
          <w:rFonts w:hint="default" w:ascii="宋体" w:hAnsi="宋体" w:eastAsia="宋体" w:cs="仿宋_GB2312"/>
          <w:b w:val="0"/>
          <w:bCs w:val="0"/>
          <w:i w:val="0"/>
          <w:iCs w:val="0"/>
          <w:color w:val="auto"/>
          <w:sz w:val="24"/>
          <w:highlight w:val="none"/>
          <w:u w:val="none"/>
          <w:lang w:val="en-US" w:eastAsia="zh-CN"/>
        </w:rPr>
      </w:pPr>
      <w:r>
        <w:rPr>
          <w:rFonts w:ascii="宋体" w:hAnsi="宋体" w:cs="仿宋_GB2312"/>
          <w:b w:val="0"/>
          <w:bCs w:val="0"/>
          <w:i w:val="0"/>
          <w:iCs w:val="0"/>
          <w:color w:val="auto"/>
          <w:sz w:val="24"/>
          <w:highlight w:val="none"/>
          <w:u w:val="none"/>
        </w:rPr>
        <w:t>8、成交供应商施工（制作）完成的装修内容必须达到采购文件和设计方案及施工图要求的效果，如不能达到，在采购人允许的一定时间内进行修改、完善，</w:t>
      </w:r>
      <w:r>
        <w:rPr>
          <w:rFonts w:hint="eastAsia" w:ascii="宋体" w:hAnsi="宋体" w:cs="仿宋_GB2312"/>
          <w:b w:val="0"/>
          <w:bCs w:val="0"/>
          <w:i w:val="0"/>
          <w:iCs w:val="0"/>
          <w:color w:val="auto"/>
          <w:sz w:val="24"/>
          <w:highlight w:val="none"/>
          <w:u w:val="none"/>
          <w:lang w:val="en-US" w:eastAsia="zh-CN"/>
        </w:rPr>
        <w:t>使其达到对展示效果的承诺。</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9、成交供应商负责选购的材料应确保符合采购文件的要求，提供的所有材料，五金及配套件必须是全新的和没有缺陷的，工程所有外露材料的颜色必须报经招标人批准后方可采购。采购人对任何材料、五金及配套件的认可并不分担任何成交供应商作为承包方应负的责任。</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10、隐蔽工程经采购人验收合格后方可进入下道工序施工。</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11、成交供应商应在施工过程中采取必要的除尘、降噪措施，且不得影响大楼内其他设备的正常运行。</w:t>
      </w:r>
    </w:p>
    <w:p>
      <w:pPr>
        <w:spacing w:line="360" w:lineRule="auto"/>
        <w:ind w:firstLine="480" w:firstLineChars="200"/>
        <w:jc w:val="left"/>
        <w:rPr>
          <w:rFonts w:ascii="宋体" w:hAnsi="宋体" w:cs="仿宋_GB2312"/>
          <w:b w:val="0"/>
          <w:bCs w:val="0"/>
          <w:i w:val="0"/>
          <w:iCs w:val="0"/>
          <w:color w:val="auto"/>
          <w:sz w:val="24"/>
          <w:highlight w:val="none"/>
          <w:u w:val="none"/>
        </w:rPr>
      </w:pPr>
      <w:r>
        <w:rPr>
          <w:rFonts w:ascii="宋体" w:hAnsi="宋体" w:cs="仿宋_GB2312"/>
          <w:b w:val="0"/>
          <w:bCs w:val="0"/>
          <w:i w:val="0"/>
          <w:iCs w:val="0"/>
          <w:color w:val="auto"/>
          <w:sz w:val="24"/>
          <w:highlight w:val="none"/>
          <w:u w:val="none"/>
        </w:rPr>
        <w:t>12、建筑垃圾外运必须按杭州市《建筑垃圾处理管理条例》条款的规定定点、定时外运处理。</w:t>
      </w:r>
    </w:p>
    <w:p>
      <w:pPr>
        <w:spacing w:line="360" w:lineRule="auto"/>
        <w:jc w:val="left"/>
        <w:rPr>
          <w:rFonts w:ascii="宋体" w:hAnsi="宋体" w:cs="仿宋_GB2312"/>
          <w:b/>
          <w:bCs/>
          <w:color w:val="auto"/>
          <w:sz w:val="24"/>
          <w:highlight w:val="none"/>
        </w:rPr>
      </w:pPr>
      <w:r>
        <w:rPr>
          <w:rFonts w:hint="eastAsia" w:ascii="宋体" w:hAnsi="宋体" w:cs="仿宋_GB2312"/>
          <w:b/>
          <w:bCs/>
          <w:color w:val="auto"/>
          <w:sz w:val="24"/>
          <w:highlight w:val="none"/>
          <w:lang w:val="en-US" w:eastAsia="zh-CN"/>
        </w:rPr>
        <w:t>六</w:t>
      </w:r>
      <w:r>
        <w:rPr>
          <w:rFonts w:hint="eastAsia" w:ascii="宋体" w:hAnsi="宋体" w:cs="仿宋_GB2312"/>
          <w:b/>
          <w:bCs/>
          <w:color w:val="auto"/>
          <w:sz w:val="24"/>
          <w:highlight w:val="none"/>
        </w:rPr>
        <w:t>、商务要求</w:t>
      </w:r>
    </w:p>
    <w:p>
      <w:pPr>
        <w:spacing w:line="360" w:lineRule="auto"/>
        <w:ind w:firstLine="482" w:firstLineChars="200"/>
        <w:jc w:val="left"/>
        <w:rPr>
          <w:rFonts w:hint="eastAsia" w:ascii="宋体" w:hAnsi="宋体" w:cs="仿宋_GB2312"/>
          <w:b/>
          <w:bCs/>
          <w:color w:val="auto"/>
          <w:sz w:val="24"/>
          <w:highlight w:val="none"/>
        </w:rPr>
      </w:pPr>
      <w:r>
        <w:rPr>
          <w:rFonts w:hint="eastAsia" w:ascii="宋体" w:hAnsi="宋体" w:cs="仿宋_GB2312"/>
          <w:b/>
          <w:bCs/>
          <w:color w:val="auto"/>
          <w:sz w:val="24"/>
          <w:highlight w:val="none"/>
        </w:rPr>
        <w:t>1.工期要求：</w:t>
      </w:r>
    </w:p>
    <w:p>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计划总工期</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lang w:val="en-US" w:eastAsia="zh-CN"/>
        </w:rPr>
        <w:t>2024年8月25日前完工并通过验收。</w:t>
      </w:r>
      <w:r>
        <w:rPr>
          <w:rFonts w:hint="eastAsia" w:ascii="宋体" w:hAnsi="宋体" w:cs="仿宋_GB2312"/>
          <w:color w:val="auto"/>
          <w:sz w:val="24"/>
          <w:highlight w:val="none"/>
        </w:rPr>
        <w:t>施工期间，如遇校内教学活动工程暂定的，承包人需无条件配合，工期依据暂停时间自动顺延，但因此产生的其他影响或成本支出由承包人自行承担。</w:t>
      </w:r>
    </w:p>
    <w:p>
      <w:pPr>
        <w:spacing w:line="360" w:lineRule="auto"/>
        <w:ind w:firstLine="482" w:firstLineChars="200"/>
        <w:jc w:val="left"/>
        <w:rPr>
          <w:rFonts w:hint="eastAsia" w:ascii="宋体" w:hAnsi="宋体" w:cs="仿宋_GB2312"/>
          <w:b/>
          <w:bCs/>
          <w:color w:val="auto"/>
          <w:sz w:val="24"/>
          <w:highlight w:val="none"/>
        </w:rPr>
      </w:pPr>
      <w:r>
        <w:rPr>
          <w:rFonts w:hint="eastAsia" w:ascii="宋体" w:hAnsi="宋体" w:cs="仿宋_GB2312"/>
          <w:b/>
          <w:bCs/>
          <w:color w:val="auto"/>
          <w:sz w:val="24"/>
          <w:highlight w:val="none"/>
        </w:rPr>
        <w:t>2.工程地点：</w:t>
      </w:r>
    </w:p>
    <w:p>
      <w:pPr>
        <w:spacing w:line="360" w:lineRule="auto"/>
        <w:ind w:firstLine="480" w:firstLineChars="200"/>
        <w:jc w:val="left"/>
        <w:rPr>
          <w:rFonts w:hint="eastAsia" w:ascii="宋体" w:hAnsi="宋体" w:eastAsia="宋体" w:cs="仿宋_GB2312"/>
          <w:color w:val="auto"/>
          <w:sz w:val="24"/>
          <w:highlight w:val="none"/>
          <w:lang w:val="en-US" w:eastAsia="zh-CN"/>
        </w:rPr>
      </w:pPr>
      <w:r>
        <w:rPr>
          <w:rFonts w:hint="eastAsia" w:ascii="宋体" w:hAnsi="宋体" w:cs="仿宋_GB2312"/>
          <w:color w:val="auto"/>
          <w:sz w:val="24"/>
          <w:highlight w:val="none"/>
        </w:rPr>
        <w:t>杭州市人民职业学校</w:t>
      </w:r>
      <w:r>
        <w:rPr>
          <w:rFonts w:hint="eastAsia" w:ascii="宋体" w:hAnsi="宋体" w:cs="仿宋_GB2312"/>
          <w:color w:val="auto"/>
          <w:sz w:val="24"/>
          <w:highlight w:val="none"/>
          <w:lang w:val="en-US" w:eastAsia="zh-CN"/>
        </w:rPr>
        <w:t>内</w:t>
      </w:r>
    </w:p>
    <w:p>
      <w:pPr>
        <w:spacing w:line="360" w:lineRule="auto"/>
        <w:ind w:firstLine="482" w:firstLineChars="200"/>
        <w:jc w:val="left"/>
        <w:rPr>
          <w:rFonts w:ascii="宋体" w:hAnsi="宋体" w:cs="仿宋_GB2312"/>
          <w:b/>
          <w:bCs/>
          <w:color w:val="auto"/>
          <w:sz w:val="24"/>
          <w:highlight w:val="none"/>
        </w:rPr>
      </w:pPr>
      <w:r>
        <w:rPr>
          <w:rFonts w:hint="eastAsia" w:ascii="宋体" w:hAnsi="宋体" w:cs="仿宋_GB2312"/>
          <w:b/>
          <w:bCs/>
          <w:color w:val="auto"/>
          <w:sz w:val="24"/>
          <w:highlight w:val="none"/>
        </w:rPr>
        <w:t>3.付款条件（进度和方式）</w:t>
      </w:r>
    </w:p>
    <w:p>
      <w:pPr>
        <w:spacing w:line="360" w:lineRule="auto"/>
        <w:ind w:firstLine="480" w:firstLineChars="200"/>
        <w:jc w:val="left"/>
        <w:rPr>
          <w:rFonts w:hint="eastAsia" w:ascii="宋体" w:hAnsi="宋体" w:eastAsia="宋体" w:cs="仿宋_GB2312"/>
          <w:b w:val="0"/>
          <w:bCs w:val="0"/>
          <w:color w:val="auto"/>
          <w:sz w:val="24"/>
          <w:szCs w:val="24"/>
          <w:highlight w:val="none"/>
          <w:u w:val="none"/>
          <w:lang w:val="en-US" w:eastAsia="zh-CN"/>
        </w:rPr>
      </w:pPr>
      <w:r>
        <w:rPr>
          <w:rFonts w:hint="eastAsia" w:ascii="宋体" w:hAnsi="宋体" w:cs="仿宋_GB2312"/>
          <w:b w:val="0"/>
          <w:bCs w:val="0"/>
          <w:color w:val="auto"/>
          <w:sz w:val="24"/>
          <w:szCs w:val="24"/>
          <w:highlight w:val="none"/>
          <w:u w:val="none"/>
          <w:lang w:val="en-US" w:eastAsia="zh-CN"/>
        </w:rPr>
        <w:t>1）</w:t>
      </w:r>
      <w:r>
        <w:rPr>
          <w:rFonts w:hint="eastAsia" w:ascii="宋体" w:hAnsi="宋体" w:eastAsia="宋体" w:cs="仿宋_GB2312"/>
          <w:b w:val="0"/>
          <w:bCs w:val="0"/>
          <w:color w:val="auto"/>
          <w:sz w:val="24"/>
          <w:szCs w:val="24"/>
          <w:highlight w:val="none"/>
          <w:u w:val="none"/>
          <w:lang w:val="en-US" w:eastAsia="zh-CN"/>
        </w:rPr>
        <w:t>本合同签订并生效后5个工作日内，支付工程合同总价的</w:t>
      </w:r>
      <w:r>
        <w:rPr>
          <w:rFonts w:hint="eastAsia" w:ascii="宋体" w:hAnsi="宋体" w:cs="仿宋_GB2312"/>
          <w:b w:val="0"/>
          <w:bCs w:val="0"/>
          <w:color w:val="auto"/>
          <w:sz w:val="24"/>
          <w:szCs w:val="24"/>
          <w:highlight w:val="none"/>
          <w:u w:val="none"/>
          <w:lang w:val="en-US" w:eastAsia="zh-CN"/>
        </w:rPr>
        <w:t>60</w:t>
      </w:r>
      <w:r>
        <w:rPr>
          <w:rFonts w:hint="eastAsia" w:ascii="宋体" w:hAnsi="宋体" w:eastAsia="宋体" w:cs="仿宋_GB2312"/>
          <w:b w:val="0"/>
          <w:bCs w:val="0"/>
          <w:color w:val="auto"/>
          <w:sz w:val="24"/>
          <w:szCs w:val="24"/>
          <w:highlight w:val="none"/>
          <w:u w:val="none"/>
          <w:lang w:val="en-US" w:eastAsia="zh-CN"/>
        </w:rPr>
        <w:t>%作为预付款，若遇学校封账、结算等因素付款日期顺延，款项不另行支付利息；</w:t>
      </w:r>
    </w:p>
    <w:p>
      <w:pPr>
        <w:spacing w:line="360" w:lineRule="auto"/>
        <w:ind w:firstLine="480" w:firstLineChars="200"/>
        <w:jc w:val="left"/>
        <w:rPr>
          <w:rFonts w:hint="eastAsia" w:ascii="宋体" w:hAnsi="宋体" w:eastAsia="宋体" w:cs="仿宋_GB2312"/>
          <w:b w:val="0"/>
          <w:bCs w:val="0"/>
          <w:color w:val="auto"/>
          <w:sz w:val="24"/>
          <w:szCs w:val="24"/>
          <w:highlight w:val="none"/>
          <w:u w:val="none"/>
          <w:lang w:val="en-US" w:eastAsia="zh-CN"/>
        </w:rPr>
      </w:pPr>
      <w:r>
        <w:rPr>
          <w:rFonts w:hint="eastAsia" w:ascii="宋体" w:hAnsi="宋体" w:cs="仿宋_GB2312"/>
          <w:b w:val="0"/>
          <w:bCs w:val="0"/>
          <w:color w:val="auto"/>
          <w:sz w:val="24"/>
          <w:szCs w:val="24"/>
          <w:highlight w:val="none"/>
          <w:u w:val="none"/>
          <w:lang w:val="en-US" w:eastAsia="zh-CN"/>
        </w:rPr>
        <w:t>2）</w:t>
      </w:r>
      <w:r>
        <w:rPr>
          <w:rFonts w:hint="eastAsia" w:ascii="宋体" w:hAnsi="宋体" w:eastAsia="宋体" w:cs="仿宋_GB2312"/>
          <w:b w:val="0"/>
          <w:bCs w:val="0"/>
          <w:color w:val="auto"/>
          <w:sz w:val="24"/>
          <w:szCs w:val="24"/>
          <w:highlight w:val="none"/>
          <w:u w:val="none"/>
          <w:lang w:val="en-US" w:eastAsia="zh-CN"/>
        </w:rPr>
        <w:t>工程完工经验收合格且竣工资料提交齐全，支付至合同内已完工工程量进度款的85%；</w:t>
      </w:r>
    </w:p>
    <w:p>
      <w:pPr>
        <w:spacing w:line="360" w:lineRule="auto"/>
        <w:ind w:firstLine="480" w:firstLineChars="200"/>
        <w:jc w:val="left"/>
        <w:rPr>
          <w:rFonts w:hint="eastAsia" w:ascii="宋体" w:hAnsi="宋体" w:eastAsia="宋体" w:cs="仿宋_GB2312"/>
          <w:b w:val="0"/>
          <w:bCs w:val="0"/>
          <w:color w:val="auto"/>
          <w:sz w:val="24"/>
          <w:szCs w:val="24"/>
          <w:highlight w:val="none"/>
          <w:u w:val="none"/>
          <w:lang w:val="en-US" w:eastAsia="zh-CN"/>
        </w:rPr>
      </w:pPr>
      <w:r>
        <w:rPr>
          <w:rFonts w:hint="eastAsia" w:ascii="宋体" w:hAnsi="宋体" w:cs="仿宋_GB2312"/>
          <w:b w:val="0"/>
          <w:bCs w:val="0"/>
          <w:color w:val="auto"/>
          <w:sz w:val="24"/>
          <w:szCs w:val="24"/>
          <w:highlight w:val="none"/>
          <w:u w:val="none"/>
          <w:lang w:val="en-US" w:eastAsia="zh-CN"/>
        </w:rPr>
        <w:t>3）</w:t>
      </w:r>
      <w:r>
        <w:rPr>
          <w:rFonts w:hint="eastAsia" w:ascii="宋体" w:hAnsi="宋体" w:eastAsia="宋体" w:cs="仿宋_GB2312"/>
          <w:b w:val="0"/>
          <w:bCs w:val="0"/>
          <w:color w:val="auto"/>
          <w:sz w:val="24"/>
          <w:szCs w:val="24"/>
          <w:highlight w:val="none"/>
          <w:u w:val="none"/>
          <w:lang w:val="en-US" w:eastAsia="zh-CN"/>
        </w:rPr>
        <w:t>工程竣工验收合格，资料归档后，采购人支付剩余价款。</w:t>
      </w:r>
    </w:p>
    <w:p>
      <w:pPr>
        <w:spacing w:line="360" w:lineRule="auto"/>
        <w:ind w:firstLine="480" w:firstLineChars="200"/>
        <w:jc w:val="left"/>
        <w:rPr>
          <w:rFonts w:hint="eastAsia" w:ascii="宋体" w:hAnsi="宋体" w:cs="仿宋_GB2312"/>
          <w:color w:val="auto"/>
          <w:sz w:val="24"/>
          <w:highlight w:val="none"/>
          <w:lang w:val="en-US" w:eastAsia="zh-CN"/>
        </w:rPr>
      </w:pPr>
      <w:r>
        <w:rPr>
          <w:rFonts w:hint="eastAsia" w:ascii="宋体" w:hAnsi="宋体" w:cs="仿宋_GB2312"/>
          <w:color w:val="auto"/>
          <w:sz w:val="24"/>
          <w:highlight w:val="none"/>
          <w:lang w:val="en-US" w:eastAsia="zh-CN"/>
        </w:rPr>
        <w:t>现场管理混乱，工程质量、进度、现场文明施工和安全生产达不到预定计划，采购人有权不支付或不全额支付工程款。</w:t>
      </w:r>
    </w:p>
    <w:p>
      <w:pPr>
        <w:spacing w:line="360" w:lineRule="auto"/>
        <w:ind w:firstLine="480" w:firstLineChars="200"/>
        <w:jc w:val="left"/>
        <w:rPr>
          <w:rFonts w:hint="eastAsia"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在领取工程款前，应当向采购人交付相应的正规发票，并按本合同合格的履行了义务，否则采购人可暂缓支付并不承担逾期付款的违约责任。</w:t>
      </w:r>
    </w:p>
    <w:p>
      <w:pPr>
        <w:spacing w:line="360" w:lineRule="auto"/>
        <w:ind w:firstLine="482" w:firstLineChars="200"/>
        <w:jc w:val="left"/>
        <w:rPr>
          <w:rFonts w:hint="default" w:ascii="宋体" w:hAnsi="宋体" w:eastAsia="宋体" w:cs="仿宋_GB2312"/>
          <w:b/>
          <w:bCs/>
          <w:color w:val="auto"/>
          <w:sz w:val="24"/>
          <w:highlight w:val="none"/>
          <w:lang w:val="en-US" w:eastAsia="zh-CN"/>
        </w:rPr>
      </w:pPr>
      <w:r>
        <w:rPr>
          <w:rFonts w:hint="eastAsia" w:ascii="宋体" w:hAnsi="宋体" w:cs="仿宋_GB2312"/>
          <w:b/>
          <w:bCs/>
          <w:color w:val="auto"/>
          <w:sz w:val="24"/>
          <w:highlight w:val="none"/>
          <w:lang w:val="en-US" w:eastAsia="zh-CN"/>
        </w:rPr>
        <w:t>4</w:t>
      </w:r>
      <w:r>
        <w:rPr>
          <w:rFonts w:hint="eastAsia" w:ascii="宋体" w:hAnsi="宋体" w:cs="仿宋_GB2312"/>
          <w:b/>
          <w:bCs/>
          <w:color w:val="auto"/>
          <w:sz w:val="24"/>
          <w:highlight w:val="none"/>
        </w:rPr>
        <w:t>.</w:t>
      </w:r>
      <w:r>
        <w:rPr>
          <w:rFonts w:hint="eastAsia" w:ascii="宋体" w:hAnsi="宋体" w:cs="仿宋_GB2312"/>
          <w:b/>
          <w:bCs/>
          <w:color w:val="auto"/>
          <w:sz w:val="24"/>
          <w:highlight w:val="none"/>
          <w:lang w:val="en-US" w:eastAsia="zh-CN"/>
        </w:rPr>
        <w:t>履约担保</w:t>
      </w:r>
    </w:p>
    <w:p>
      <w:pPr>
        <w:spacing w:line="360" w:lineRule="auto"/>
        <w:ind w:firstLine="480" w:firstLineChars="200"/>
        <w:jc w:val="left"/>
        <w:rPr>
          <w:rFonts w:hint="default" w:ascii="宋体" w:hAnsi="宋体" w:eastAsia="宋体"/>
          <w:color w:val="auto"/>
          <w:sz w:val="24"/>
          <w:highlight w:val="none"/>
          <w:u w:val="none"/>
          <w:lang w:val="en-US" w:eastAsia="zh-CN"/>
        </w:rPr>
      </w:pPr>
      <w:r>
        <w:rPr>
          <w:rFonts w:hint="eastAsia" w:ascii="宋体" w:hAnsi="宋体"/>
          <w:color w:val="auto"/>
          <w:sz w:val="24"/>
          <w:highlight w:val="none"/>
          <w:u w:val="none"/>
          <w:lang w:val="zh-Hans" w:eastAsia="zh-Hans"/>
        </w:rPr>
        <w:t>在合同签定后</w:t>
      </w:r>
      <w:r>
        <w:rPr>
          <w:rFonts w:hint="eastAsia" w:ascii="宋体" w:hAnsi="宋体"/>
          <w:color w:val="auto"/>
          <w:sz w:val="24"/>
          <w:highlight w:val="none"/>
          <w:u w:val="none"/>
          <w:lang w:val="en-US" w:eastAsia="zh-CN"/>
        </w:rPr>
        <w:t>5</w:t>
      </w:r>
      <w:r>
        <w:rPr>
          <w:rFonts w:hint="eastAsia" w:ascii="宋体" w:hAnsi="宋体"/>
          <w:color w:val="auto"/>
          <w:sz w:val="24"/>
          <w:highlight w:val="none"/>
          <w:u w:val="none"/>
          <w:lang w:val="zh-Hans" w:eastAsia="zh-Hans"/>
        </w:rPr>
        <w:t>日内，承包人向发包人支付合同价</w:t>
      </w:r>
      <w:r>
        <w:rPr>
          <w:rFonts w:hint="eastAsia" w:ascii="宋体" w:hAnsi="宋体"/>
          <w:color w:val="auto"/>
          <w:sz w:val="24"/>
          <w:highlight w:val="none"/>
          <w:u w:val="none"/>
          <w:lang w:val="en-US" w:eastAsia="zh-CN"/>
        </w:rPr>
        <w:t>1</w:t>
      </w:r>
      <w:r>
        <w:rPr>
          <w:rFonts w:hint="eastAsia" w:ascii="宋体" w:hAnsi="宋体"/>
          <w:color w:val="auto"/>
          <w:sz w:val="24"/>
          <w:highlight w:val="none"/>
          <w:u w:val="none"/>
        </w:rPr>
        <w:t>%</w:t>
      </w:r>
      <w:r>
        <w:rPr>
          <w:rFonts w:hint="eastAsia" w:ascii="宋体" w:hAnsi="宋体"/>
          <w:color w:val="auto"/>
          <w:sz w:val="24"/>
          <w:highlight w:val="none"/>
          <w:u w:val="none"/>
          <w:lang w:val="en-US" w:eastAsia="zh-CN"/>
        </w:rPr>
        <w:t>的</w:t>
      </w:r>
      <w:r>
        <w:rPr>
          <w:rFonts w:hint="eastAsia" w:ascii="宋体" w:hAnsi="宋体"/>
          <w:color w:val="auto"/>
          <w:sz w:val="24"/>
          <w:highlight w:val="none"/>
          <w:u w:val="none"/>
          <w:lang w:val="zh-Hans" w:eastAsia="zh-Hans"/>
        </w:rPr>
        <w:t>履约保证金</w:t>
      </w:r>
      <w:r>
        <w:rPr>
          <w:rFonts w:hint="eastAsia" w:ascii="宋体" w:hAnsi="宋体"/>
          <w:color w:val="auto"/>
          <w:sz w:val="24"/>
          <w:highlight w:val="none"/>
          <w:u w:val="none"/>
        </w:rPr>
        <w:t>。</w:t>
      </w:r>
      <w:r>
        <w:rPr>
          <w:rFonts w:hint="eastAsia" w:ascii="宋体" w:hAnsi="宋体"/>
          <w:color w:val="auto"/>
          <w:sz w:val="24"/>
          <w:highlight w:val="none"/>
          <w:u w:val="none"/>
          <w:lang w:val="zh-Hans" w:eastAsia="zh-Hans"/>
        </w:rPr>
        <w:t>履约保证金</w:t>
      </w:r>
      <w:r>
        <w:rPr>
          <w:rFonts w:hint="eastAsia" w:ascii="宋体" w:hAnsi="宋体"/>
          <w:color w:val="auto"/>
          <w:sz w:val="24"/>
          <w:highlight w:val="none"/>
          <w:u w:val="none"/>
          <w:lang w:val="en-US" w:eastAsia="zh-CN"/>
        </w:rPr>
        <w:t>可以以银行转账、由银行或保险公司出具的保函等形式。</w:t>
      </w:r>
    </w:p>
    <w:p>
      <w:pPr>
        <w:widowControl/>
        <w:spacing w:line="360" w:lineRule="auto"/>
        <w:ind w:firstLine="482" w:firstLineChars="200"/>
        <w:jc w:val="left"/>
        <w:rPr>
          <w:rFonts w:hint="eastAsia" w:ascii="宋体" w:hAnsi="宋体" w:cs="宋体"/>
          <w:b/>
          <w:bCs w:val="0"/>
          <w:color w:val="auto"/>
          <w:sz w:val="24"/>
          <w:highlight w:val="none"/>
          <w:u w:val="none"/>
          <w:lang w:val="en-US" w:eastAsia="zh-CN"/>
        </w:rPr>
      </w:pPr>
      <w:r>
        <w:rPr>
          <w:rFonts w:hint="eastAsia" w:ascii="宋体" w:hAnsi="宋体" w:cs="宋体"/>
          <w:b/>
          <w:bCs w:val="0"/>
          <w:color w:val="auto"/>
          <w:sz w:val="24"/>
          <w:highlight w:val="none"/>
          <w:u w:val="none"/>
          <w:lang w:val="en-US" w:eastAsia="zh-CN"/>
        </w:rPr>
        <w:t>5.报价要求</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1）本次报价方式为总价包干，全部采用人民币报价；各供应商的磋商报价，应是完成本次采购范围的全部工作，包括图纸设计、设计修改和确认、图纸会审、施工、整改、验收等；</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2）磋商供应商根据采购人提供的项目基本资料，充分考虑现场情况及风险因素后，根据初步方案为依据，进行深化设计，并编制工程量清单。报价由两大部分组成，各供应商须分别进行报价：</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➀设计费</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包括但不限于设计、设计修改和确认、图纸会审、施工图设计及工程实施、竣工过程中的相关服务。</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➁建安工程费（含设备购置费）</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各供应商须依据设计方案自行编制工程量清单并进行报价。计价依据《浙江省建设工程计价规则》（2018版）。</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3）磋商供应商未填单价或合价的工程项目，在实施后，采购人将不予以支付，并视作该项费用已包括在其它有价款的单价或合价内。</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4）磋商供应商因承包本项目需缴纳的切税费均须自行承担，并包含在所报的单价或总价内；技术规范要求的费用及为达到验收合格标准而额外增加的费用和风险由磋商供应商考虑在所报的单价及总价中。</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5）由于设计不完善而造成磋商报价不准确的风险由磋商供应商自行承担。因设计方案不完善而调整的内容，不因采购人要求做价款调整。</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6）磋商供应商的报价若超过前附表所规定的采购预算，其响应文件将被拒绝。</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7）其它需在报价中考虑的因素：</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➀价格单列的内容，若采购人在合同执行过程中未采用时，采购人可扣回相应费用。</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➁未中标补偿：本项目不设未中标补偿。</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➂成交供应商须向采购代理机构支付中标服务费，支付标准详见前附表。</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➃供应商须自行踏勘现场以充分了解拆除工程的内容及可能产生的费用，该费用一次性包干，成交后不做调整。</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➄本工程在施工期间，应注意保护好采购人周边现有成品，如有损坏，须无条件修复至采购人满意，各供应商须自行考虑相关费用并计入磋商总价且一次性包干。</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➅成交供应商应在施工过程中采取必要的除尘、降噪措施，且不得影响大楼内其他设备的正常运行，相关措施费由供应商自行考虑并计入最后报价中。</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➆施工材料由供应商自行报价并在表中的备注一栏里注明所选材料的品牌、规格、型号，若供应商没有进行注明的，则由采购人指定品牌，磋商价格不调整。成交供应商不按此选用的材料和设备采购的，采购人有权拒绝验收。</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➇废弃材料不得丢弃或随意堆放在校园内，清理产生的拆除费、搬运费、交通运输费等各项费用均由供应商自行考虑并计入磋商总价且一次性包干。</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➈成交供应商施工人员的住宿、用餐、用水、个人生活等均自行解决，材料的堆放及停车必须服从采购人的安排。各供应商须自行考虑相关费用并计入磋商总价且一次性包干。</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➉工程完工后，成交供应商需对施工现场进行全面的清洁工作。所需费用由供应商综合考虑在磋商报价中，供应商中标后不得以任何理由提出相关费用的补偿要求。</w:t>
      </w:r>
    </w:p>
    <w:p>
      <w:pPr>
        <w:widowControl/>
        <w:spacing w:line="360" w:lineRule="auto"/>
        <w:jc w:val="left"/>
        <w:rPr>
          <w:rFonts w:hint="default" w:ascii="宋体" w:hAnsi="宋体" w:cs="宋体"/>
          <w:b/>
          <w:bCs w:val="0"/>
          <w:color w:val="auto"/>
          <w:sz w:val="24"/>
          <w:highlight w:val="none"/>
          <w:u w:val="none"/>
          <w:lang w:val="en-US" w:eastAsia="zh-CN"/>
        </w:rPr>
      </w:pPr>
      <w:r>
        <w:rPr>
          <w:rFonts w:hint="eastAsia" w:ascii="宋体" w:hAnsi="宋体" w:cs="宋体"/>
          <w:b/>
          <w:bCs w:val="0"/>
          <w:color w:val="auto"/>
          <w:sz w:val="24"/>
          <w:highlight w:val="none"/>
          <w:u w:val="none"/>
          <w:lang w:val="en-US" w:eastAsia="zh-CN"/>
        </w:rPr>
        <w:t>七、其他要求</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1、优先采用通过国家环保检测的装修材料，所有材料必须求达到国家相关环保标准。</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2、本采购文件涉及的其他主要材料及零星材料，供应商须根据采购人要求按标准或优于标准进行选材并报价，材料生产厂家必须通过ISO质量认证，并符合环保要求，严禁选择不合设计要求的低档材料进行报价及组织施工实施。</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3、在保修期内，供应商对有缺陷的部位必须无偿地给予修理与更换，并承担一切由此引起的对供应商或第三者的直接损失，除非该缺陷是由干人为破坏或合同规定的不可抗力因素造成的损坏。</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4、供应商必须对所承包的工程的质量负全部责任，其责任不因其他材料生产商提供的保证书而减轻或更改。</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5、本项目采购范围内的建筑施工材料均由供应商根据本采购文件和国家有关规定的具体要求进行采购、运输、检验、保管，所有建筑材料须有产品合格证和质量保证书，应先送样品，样品经供应商确认与采购要求一致后封存，批量供应时应与样品一致，并经相关部门检验合格后方可使用。</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6、由供应商采购的主要建筑材料，当供应商选定的产品质量达不到设计要求和预期质量目标时，采购人保留更换的权利，且价格不予调整。</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7、采购人不集中组织踏勘现场。各供应商可自行前往。</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联系人：黄老师，电话：0571-87295246。</w:t>
      </w:r>
    </w:p>
    <w:p>
      <w:pPr>
        <w:widowControl/>
        <w:spacing w:line="360" w:lineRule="auto"/>
        <w:ind w:firstLine="480" w:firstLineChars="200"/>
        <w:jc w:val="left"/>
        <w:rPr>
          <w:rFonts w:hint="eastAsia" w:ascii="宋体" w:hAnsi="宋体" w:cs="宋体"/>
          <w:bCs/>
          <w:color w:val="auto"/>
          <w:sz w:val="24"/>
          <w:highlight w:val="none"/>
          <w:u w:val="none"/>
          <w:lang w:val="en-US" w:eastAsia="zh-CN"/>
        </w:rPr>
      </w:pPr>
      <w:r>
        <w:rPr>
          <w:rFonts w:hint="eastAsia" w:ascii="宋体" w:hAnsi="宋体" w:cs="宋体"/>
          <w:bCs/>
          <w:color w:val="auto"/>
          <w:sz w:val="24"/>
          <w:highlight w:val="none"/>
          <w:u w:val="none"/>
          <w:lang w:val="en-US" w:eastAsia="zh-CN"/>
        </w:rPr>
        <w:t>如中标，采购人不接受成交供应商因情况不明、风险考虑不足、要求变更等一切价格调整的理由。</w:t>
      </w:r>
    </w:p>
    <w:p>
      <w:pPr>
        <w:widowControl/>
        <w:spacing w:line="360" w:lineRule="auto"/>
        <w:ind w:firstLine="480" w:firstLineChars="200"/>
        <w:jc w:val="left"/>
        <w:rPr>
          <w:rFonts w:hint="default" w:ascii="宋体" w:hAnsi="宋体" w:cs="宋体"/>
          <w:bCs/>
          <w:color w:val="auto"/>
          <w:sz w:val="24"/>
          <w:highlight w:val="none"/>
          <w:u w:val="none"/>
          <w:lang w:val="en-US" w:eastAsia="zh-CN"/>
        </w:rPr>
      </w:pPr>
    </w:p>
    <w:p>
      <w:pPr>
        <w:widowControl/>
        <w:spacing w:line="360" w:lineRule="auto"/>
        <w:ind w:firstLine="482" w:firstLineChars="200"/>
        <w:jc w:val="left"/>
        <w:rPr>
          <w:rFonts w:hint="eastAsia" w:ascii="宋体" w:hAnsi="宋体" w:cs="宋体"/>
          <w:b/>
          <w:bCs w:val="0"/>
          <w:color w:val="auto"/>
          <w:sz w:val="24"/>
          <w:highlight w:val="none"/>
          <w:u w:val="none"/>
          <w:lang w:val="en-US" w:eastAsia="zh-CN"/>
        </w:rPr>
        <w:sectPr>
          <w:pgSz w:w="11907" w:h="16840"/>
          <w:pgMar w:top="1440" w:right="1080" w:bottom="1440" w:left="1080" w:header="851" w:footer="851" w:gutter="0"/>
          <w:pgNumType w:fmt="decimal"/>
          <w:cols w:space="720" w:num="1"/>
        </w:sectPr>
      </w:pPr>
    </w:p>
    <w:p>
      <w:pPr>
        <w:widowControl/>
        <w:numPr>
          <w:ilvl w:val="0"/>
          <w:numId w:val="1"/>
        </w:numPr>
        <w:spacing w:line="360" w:lineRule="auto"/>
        <w:ind w:firstLine="482" w:firstLineChars="200"/>
        <w:jc w:val="left"/>
        <w:rPr>
          <w:color w:val="auto"/>
          <w:highlight w:val="none"/>
        </w:rPr>
      </w:pPr>
      <w:r>
        <w:rPr>
          <w:rFonts w:hint="eastAsia" w:ascii="宋体" w:hAnsi="宋体" w:cs="宋体"/>
          <w:b/>
          <w:bCs w:val="0"/>
          <w:color w:val="auto"/>
          <w:sz w:val="24"/>
          <w:highlight w:val="none"/>
          <w:u w:val="none"/>
          <w:lang w:val="en-US" w:eastAsia="zh-CN"/>
        </w:rPr>
        <w:t>改造区域如图所示</w:t>
      </w:r>
    </w:p>
    <w:p>
      <w:pPr>
        <w:pStyle w:val="2"/>
        <w:numPr>
          <w:ilvl w:val="0"/>
          <w:numId w:val="0"/>
        </w:numPr>
        <w:rPr>
          <w:rFonts w:hint="default"/>
          <w:color w:val="auto"/>
          <w:highlight w:val="none"/>
          <w:lang w:val="en-US" w:eastAsia="zh-CN"/>
        </w:rPr>
      </w:pPr>
      <w:r>
        <w:rPr>
          <w:rFonts w:hint="default"/>
          <w:color w:val="auto"/>
          <w:highlight w:val="none"/>
          <w:lang w:val="en-US" w:eastAsia="zh-CN"/>
        </w:rPr>
        <w:drawing>
          <wp:inline distT="0" distB="0" distL="114300" distR="114300">
            <wp:extent cx="3755390" cy="2816860"/>
            <wp:effectExtent l="0" t="0" r="16510" b="2540"/>
            <wp:docPr id="1" name="图片 1" descr="微信图片_2024060517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05172509"/>
                    <pic:cNvPicPr>
                      <a:picLocks noChangeAspect="1"/>
                    </pic:cNvPicPr>
                  </pic:nvPicPr>
                  <pic:blipFill>
                    <a:blip r:embed="rId21"/>
                    <a:stretch>
                      <a:fillRect/>
                    </a:stretch>
                  </pic:blipFill>
                  <pic:spPr>
                    <a:xfrm>
                      <a:off x="0" y="0"/>
                      <a:ext cx="3755390" cy="2816860"/>
                    </a:xfrm>
                    <a:prstGeom prst="rect">
                      <a:avLst/>
                    </a:prstGeom>
                  </pic:spPr>
                </pic:pic>
              </a:graphicData>
            </a:graphic>
          </wp:inline>
        </w:drawing>
      </w:r>
      <w:r>
        <w:rPr>
          <w:rFonts w:hint="default"/>
          <w:color w:val="auto"/>
          <w:highlight w:val="none"/>
          <w:lang w:val="en-US" w:eastAsia="zh-CN"/>
        </w:rPr>
        <w:drawing>
          <wp:inline distT="0" distB="0" distL="114300" distR="114300">
            <wp:extent cx="3077845" cy="4105910"/>
            <wp:effectExtent l="0" t="0" r="8255" b="8890"/>
            <wp:docPr id="2" name="图片 2" descr="微信图片_2024060517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05172506"/>
                    <pic:cNvPicPr>
                      <a:picLocks noChangeAspect="1"/>
                    </pic:cNvPicPr>
                  </pic:nvPicPr>
                  <pic:blipFill>
                    <a:blip r:embed="rId22"/>
                    <a:stretch>
                      <a:fillRect/>
                    </a:stretch>
                  </pic:blipFill>
                  <pic:spPr>
                    <a:xfrm>
                      <a:off x="0" y="0"/>
                      <a:ext cx="3077845" cy="4105910"/>
                    </a:xfrm>
                    <a:prstGeom prst="rect">
                      <a:avLst/>
                    </a:prstGeom>
                  </pic:spPr>
                </pic:pic>
              </a:graphicData>
            </a:graphic>
          </wp:inline>
        </w:drawing>
      </w:r>
      <w:r>
        <w:rPr>
          <w:rFonts w:hint="default"/>
          <w:color w:val="auto"/>
          <w:highlight w:val="none"/>
          <w:lang w:val="en-US" w:eastAsia="zh-CN"/>
        </w:rPr>
        <w:drawing>
          <wp:inline distT="0" distB="0" distL="114300" distR="114300">
            <wp:extent cx="2994025" cy="3993515"/>
            <wp:effectExtent l="0" t="0" r="15875" b="6985"/>
            <wp:docPr id="5" name="图片 5" descr="微信图片_2024060517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605172502"/>
                    <pic:cNvPicPr>
                      <a:picLocks noChangeAspect="1"/>
                    </pic:cNvPicPr>
                  </pic:nvPicPr>
                  <pic:blipFill>
                    <a:blip r:embed="rId23"/>
                    <a:stretch>
                      <a:fillRect/>
                    </a:stretch>
                  </pic:blipFill>
                  <pic:spPr>
                    <a:xfrm>
                      <a:off x="0" y="0"/>
                      <a:ext cx="2994025" cy="3993515"/>
                    </a:xfrm>
                    <a:prstGeom prst="rect">
                      <a:avLst/>
                    </a:prstGeom>
                  </pic:spPr>
                </pic:pic>
              </a:graphicData>
            </a:graphic>
          </wp:inline>
        </w:drawing>
      </w:r>
      <w:r>
        <w:rPr>
          <w:rFonts w:hint="default"/>
          <w:color w:val="auto"/>
          <w:highlight w:val="none"/>
          <w:lang w:val="en-US" w:eastAsia="zh-CN"/>
        </w:rPr>
        <w:drawing>
          <wp:inline distT="0" distB="0" distL="114300" distR="114300">
            <wp:extent cx="3077210" cy="4104005"/>
            <wp:effectExtent l="0" t="0" r="8890" b="10795"/>
            <wp:docPr id="6" name="图片 6" descr="微信图片_2024060517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605172519"/>
                    <pic:cNvPicPr>
                      <a:picLocks noChangeAspect="1"/>
                    </pic:cNvPicPr>
                  </pic:nvPicPr>
                  <pic:blipFill>
                    <a:blip r:embed="rId24"/>
                    <a:stretch>
                      <a:fillRect/>
                    </a:stretch>
                  </pic:blipFill>
                  <pic:spPr>
                    <a:xfrm>
                      <a:off x="0" y="0"/>
                      <a:ext cx="3077210" cy="4104005"/>
                    </a:xfrm>
                    <a:prstGeom prst="rect">
                      <a:avLst/>
                    </a:prstGeom>
                  </pic:spPr>
                </pic:pic>
              </a:graphicData>
            </a:graphic>
          </wp:inline>
        </w:drawing>
      </w:r>
      <w:r>
        <w:rPr>
          <w:rFonts w:hint="default"/>
          <w:color w:val="auto"/>
          <w:highlight w:val="none"/>
          <w:lang w:val="en-US" w:eastAsia="zh-CN"/>
        </w:rPr>
        <w:drawing>
          <wp:inline distT="0" distB="0" distL="114300" distR="114300">
            <wp:extent cx="3063240" cy="4086225"/>
            <wp:effectExtent l="0" t="0" r="3810" b="9525"/>
            <wp:docPr id="7" name="图片 7" descr="微信图片_202406051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605172517"/>
                    <pic:cNvPicPr>
                      <a:picLocks noChangeAspect="1"/>
                    </pic:cNvPicPr>
                  </pic:nvPicPr>
                  <pic:blipFill>
                    <a:blip r:embed="rId25"/>
                    <a:stretch>
                      <a:fillRect/>
                    </a:stretch>
                  </pic:blipFill>
                  <pic:spPr>
                    <a:xfrm>
                      <a:off x="0" y="0"/>
                      <a:ext cx="3063240" cy="4086225"/>
                    </a:xfrm>
                    <a:prstGeom prst="rect">
                      <a:avLst/>
                    </a:prstGeom>
                  </pic:spPr>
                </pic:pic>
              </a:graphicData>
            </a:graphic>
          </wp:inline>
        </w:drawing>
      </w:r>
      <w:r>
        <w:rPr>
          <w:rFonts w:hint="default"/>
          <w:color w:val="auto"/>
          <w:highlight w:val="none"/>
          <w:lang w:val="en-US" w:eastAsia="zh-CN"/>
        </w:rPr>
        <w:drawing>
          <wp:inline distT="0" distB="0" distL="114300" distR="114300">
            <wp:extent cx="5929630" cy="4447540"/>
            <wp:effectExtent l="0" t="0" r="13970" b="10160"/>
            <wp:docPr id="8" name="图片 8" descr="微信图片_2024060517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605172514"/>
                    <pic:cNvPicPr>
                      <a:picLocks noChangeAspect="1"/>
                    </pic:cNvPicPr>
                  </pic:nvPicPr>
                  <pic:blipFill>
                    <a:blip r:embed="rId26"/>
                    <a:stretch>
                      <a:fillRect/>
                    </a:stretch>
                  </pic:blipFill>
                  <pic:spPr>
                    <a:xfrm>
                      <a:off x="0" y="0"/>
                      <a:ext cx="5929630" cy="4447540"/>
                    </a:xfrm>
                    <a:prstGeom prst="rect">
                      <a:avLst/>
                    </a:prstGeom>
                  </pic:spPr>
                </pic:pic>
              </a:graphicData>
            </a:graphic>
          </wp:inline>
        </w:drawing>
      </w:r>
      <w:r>
        <w:rPr>
          <w:rFonts w:hint="default"/>
          <w:color w:val="auto"/>
          <w:highlight w:val="none"/>
          <w:lang w:val="en-US" w:eastAsia="zh-CN"/>
        </w:rPr>
        <w:drawing>
          <wp:inline distT="0" distB="0" distL="114300" distR="114300">
            <wp:extent cx="4158615" cy="3119120"/>
            <wp:effectExtent l="0" t="0" r="13335" b="5080"/>
            <wp:docPr id="9" name="图片 9" descr="微信图片_2024060517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605172512"/>
                    <pic:cNvPicPr>
                      <a:picLocks noChangeAspect="1"/>
                    </pic:cNvPicPr>
                  </pic:nvPicPr>
                  <pic:blipFill>
                    <a:blip r:embed="rId27"/>
                    <a:stretch>
                      <a:fillRect/>
                    </a:stretch>
                  </pic:blipFill>
                  <pic:spPr>
                    <a:xfrm>
                      <a:off x="0" y="0"/>
                      <a:ext cx="4158615" cy="3119120"/>
                    </a:xfrm>
                    <a:prstGeom prst="rect">
                      <a:avLst/>
                    </a:prstGeom>
                  </pic:spPr>
                </pic:pic>
              </a:graphicData>
            </a:graphic>
          </wp:inline>
        </w:drawing>
      </w:r>
      <w:r>
        <w:rPr>
          <w:rFonts w:hint="default"/>
          <w:color w:val="auto"/>
          <w:highlight w:val="none"/>
          <w:lang w:val="en-US" w:eastAsia="zh-CN"/>
        </w:rPr>
        <w:drawing>
          <wp:inline distT="0" distB="0" distL="114300" distR="114300">
            <wp:extent cx="3708400" cy="4945380"/>
            <wp:effectExtent l="0" t="0" r="6350" b="7620"/>
            <wp:docPr id="10" name="图片 10" descr="微信图片_2024060517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605172511"/>
                    <pic:cNvPicPr>
                      <a:picLocks noChangeAspect="1"/>
                    </pic:cNvPicPr>
                  </pic:nvPicPr>
                  <pic:blipFill>
                    <a:blip r:embed="rId28"/>
                    <a:stretch>
                      <a:fillRect/>
                    </a:stretch>
                  </pic:blipFill>
                  <pic:spPr>
                    <a:xfrm>
                      <a:off x="0" y="0"/>
                      <a:ext cx="3708400" cy="4945380"/>
                    </a:xfrm>
                    <a:prstGeom prst="rect">
                      <a:avLst/>
                    </a:prstGeom>
                  </pic:spPr>
                </pic:pic>
              </a:graphicData>
            </a:graphic>
          </wp:inline>
        </w:drawing>
      </w:r>
    </w:p>
    <w:p>
      <w:pPr>
        <w:rPr>
          <w:rFonts w:hint="eastAsia" w:ascii="宋体" w:hAnsi="宋体" w:eastAsia="宋体" w:cs="宋体"/>
          <w:color w:val="auto"/>
          <w:sz w:val="24"/>
          <w:szCs w:val="24"/>
          <w:highlight w:val="none"/>
        </w:rPr>
      </w:pPr>
      <w:r>
        <w:rPr>
          <w:rFonts w:hint="eastAsia" w:ascii="宋体" w:hAnsi="宋体" w:cs="宋体"/>
          <w:b/>
          <w:color w:val="auto"/>
          <w:sz w:val="36"/>
          <w:szCs w:val="20"/>
          <w:highlight w:val="none"/>
        </w:rPr>
        <w:br w:type="page"/>
      </w:r>
    </w:p>
    <w:p>
      <w:pPr>
        <w:pStyle w:val="3"/>
        <w:keepNext/>
        <w:keepLines/>
        <w:pageBreakBefore w:val="0"/>
        <w:widowControl w:val="0"/>
        <w:kinsoku/>
        <w:wordWrap/>
        <w:overflowPunct/>
        <w:topLinePunct w:val="0"/>
        <w:autoSpaceDE/>
        <w:autoSpaceDN/>
        <w:bidi w:val="0"/>
        <w:adjustRightInd w:val="0"/>
        <w:snapToGrid/>
        <w:spacing w:after="0" w:line="579" w:lineRule="auto"/>
        <w:ind w:left="431" w:hanging="431"/>
        <w:jc w:val="center"/>
        <w:textAlignment w:val="auto"/>
        <w:rPr>
          <w:rFonts w:hint="eastAsia" w:ascii="宋体" w:hAnsi="宋体" w:eastAsia="宋体" w:cs="宋体"/>
          <w:b/>
          <w:bCs w:val="0"/>
          <w:color w:val="auto"/>
          <w:kern w:val="2"/>
          <w:sz w:val="36"/>
          <w:szCs w:val="36"/>
          <w:highlight w:val="none"/>
          <w:lang w:val="en-US" w:eastAsia="zh-CN" w:bidi="ar-SA"/>
        </w:rPr>
      </w:pPr>
      <w:r>
        <w:rPr>
          <w:rFonts w:hint="eastAsia" w:ascii="宋体" w:hAnsi="宋体" w:eastAsia="宋体" w:cs="宋体"/>
          <w:b/>
          <w:bCs w:val="0"/>
          <w:color w:val="auto"/>
          <w:kern w:val="2"/>
          <w:sz w:val="36"/>
          <w:szCs w:val="36"/>
          <w:highlight w:val="none"/>
          <w:lang w:val="en-US" w:eastAsia="zh-CN" w:bidi="ar-SA"/>
        </w:rPr>
        <w:t>第四部分</w:t>
      </w:r>
      <w:bookmarkStart w:id="32" w:name="_Toc184314431"/>
      <w:bookmarkEnd w:id="32"/>
      <w:bookmarkStart w:id="33" w:name="_Toc184314441"/>
      <w:bookmarkEnd w:id="33"/>
      <w:bookmarkStart w:id="34" w:name="_Toc184310304"/>
      <w:bookmarkEnd w:id="34"/>
      <w:bookmarkStart w:id="35" w:name="_Toc184308085"/>
      <w:bookmarkEnd w:id="35"/>
      <w:bookmarkStart w:id="36" w:name="_Toc184310320"/>
      <w:bookmarkEnd w:id="36"/>
      <w:bookmarkStart w:id="37" w:name="_Toc184312130"/>
      <w:bookmarkEnd w:id="37"/>
      <w:bookmarkStart w:id="38" w:name="_Toc184310283"/>
      <w:bookmarkEnd w:id="38"/>
      <w:bookmarkStart w:id="39" w:name="_Toc184310288"/>
      <w:bookmarkEnd w:id="39"/>
      <w:bookmarkStart w:id="40" w:name="_Toc184314418"/>
      <w:bookmarkEnd w:id="40"/>
      <w:bookmarkStart w:id="41" w:name="_Toc184312131"/>
      <w:bookmarkEnd w:id="41"/>
      <w:bookmarkStart w:id="42" w:name="_Toc184313303"/>
      <w:bookmarkEnd w:id="42"/>
      <w:bookmarkStart w:id="43" w:name="_Toc184308067"/>
      <w:bookmarkEnd w:id="43"/>
      <w:bookmarkStart w:id="44" w:name="_Toc184314476"/>
      <w:bookmarkEnd w:id="44"/>
      <w:bookmarkStart w:id="45" w:name="_Toc184310333"/>
      <w:bookmarkEnd w:id="45"/>
      <w:bookmarkStart w:id="46" w:name="_Toc184314450"/>
      <w:bookmarkEnd w:id="46"/>
      <w:bookmarkStart w:id="47" w:name="_Toc184314442"/>
      <w:bookmarkEnd w:id="47"/>
      <w:bookmarkStart w:id="48" w:name="_Toc184313253"/>
      <w:bookmarkEnd w:id="48"/>
      <w:bookmarkStart w:id="49" w:name="_Toc184308071"/>
      <w:bookmarkEnd w:id="49"/>
      <w:bookmarkStart w:id="50" w:name="_Toc184313269"/>
      <w:bookmarkEnd w:id="50"/>
      <w:bookmarkStart w:id="51" w:name="_Toc184312110"/>
      <w:bookmarkEnd w:id="51"/>
      <w:bookmarkStart w:id="52" w:name="_Toc184308039"/>
      <w:bookmarkEnd w:id="52"/>
      <w:bookmarkStart w:id="53" w:name="_Toc184313290"/>
      <w:bookmarkEnd w:id="53"/>
      <w:bookmarkStart w:id="54" w:name="_Toc184312088"/>
      <w:bookmarkEnd w:id="54"/>
      <w:bookmarkStart w:id="55" w:name="_Toc184314454"/>
      <w:bookmarkEnd w:id="55"/>
      <w:bookmarkStart w:id="56" w:name="_Toc184310312"/>
      <w:bookmarkEnd w:id="56"/>
      <w:bookmarkStart w:id="57" w:name="_Toc184310292"/>
      <w:bookmarkEnd w:id="57"/>
      <w:bookmarkStart w:id="58" w:name="_Toc184313238"/>
      <w:bookmarkEnd w:id="58"/>
      <w:bookmarkStart w:id="59" w:name="_Toc184314433"/>
      <w:bookmarkEnd w:id="59"/>
      <w:bookmarkStart w:id="60" w:name="_Toc184312081"/>
      <w:bookmarkEnd w:id="60"/>
      <w:bookmarkStart w:id="61" w:name="_Toc184308076"/>
      <w:bookmarkEnd w:id="61"/>
      <w:bookmarkStart w:id="62" w:name="_Toc184314471"/>
      <w:bookmarkEnd w:id="62"/>
      <w:bookmarkStart w:id="63" w:name="_Toc184308050"/>
      <w:bookmarkEnd w:id="63"/>
      <w:bookmarkStart w:id="64" w:name="_Toc184314477"/>
      <w:bookmarkEnd w:id="64"/>
      <w:bookmarkStart w:id="65" w:name="_Toc184310294"/>
      <w:bookmarkEnd w:id="65"/>
      <w:bookmarkStart w:id="66" w:name="_Toc184308069"/>
      <w:bookmarkEnd w:id="66"/>
      <w:bookmarkStart w:id="67" w:name="_Toc184314429"/>
      <w:bookmarkEnd w:id="67"/>
      <w:bookmarkStart w:id="68" w:name="_Toc184312075"/>
      <w:bookmarkEnd w:id="68"/>
      <w:bookmarkStart w:id="69" w:name="_Toc184312078"/>
      <w:bookmarkEnd w:id="69"/>
      <w:bookmarkStart w:id="70" w:name="_Toc184310308"/>
      <w:bookmarkEnd w:id="70"/>
      <w:bookmarkStart w:id="71" w:name="_Toc184308091"/>
      <w:bookmarkEnd w:id="71"/>
      <w:bookmarkStart w:id="72" w:name="_Toc184308070"/>
      <w:bookmarkEnd w:id="72"/>
      <w:bookmarkStart w:id="73" w:name="_Toc184314421"/>
      <w:bookmarkEnd w:id="73"/>
      <w:bookmarkStart w:id="74" w:name="_Toc184312128"/>
      <w:bookmarkEnd w:id="74"/>
      <w:bookmarkStart w:id="75" w:name="_Toc184308042"/>
      <w:bookmarkEnd w:id="75"/>
      <w:bookmarkStart w:id="76" w:name="_Toc184308107"/>
      <w:bookmarkEnd w:id="76"/>
      <w:bookmarkStart w:id="77" w:name="_Toc184313273"/>
      <w:bookmarkEnd w:id="77"/>
      <w:bookmarkStart w:id="78" w:name="_Toc184314462"/>
      <w:bookmarkEnd w:id="78"/>
      <w:bookmarkStart w:id="79" w:name="_Toc184313251"/>
      <w:bookmarkEnd w:id="79"/>
      <w:bookmarkStart w:id="80" w:name="_Toc184313255"/>
      <w:bookmarkEnd w:id="80"/>
      <w:bookmarkStart w:id="81" w:name="_Toc184314430"/>
      <w:bookmarkEnd w:id="81"/>
      <w:bookmarkStart w:id="82" w:name="_Toc184310272"/>
      <w:bookmarkEnd w:id="82"/>
      <w:bookmarkStart w:id="83" w:name="_Toc184313293"/>
      <w:bookmarkEnd w:id="83"/>
      <w:bookmarkStart w:id="84" w:name="_Toc184308064"/>
      <w:bookmarkEnd w:id="84"/>
      <w:bookmarkStart w:id="85" w:name="_Toc184312139"/>
      <w:bookmarkEnd w:id="85"/>
      <w:bookmarkStart w:id="86" w:name="_Toc184314414"/>
      <w:bookmarkEnd w:id="86"/>
      <w:bookmarkStart w:id="87" w:name="_Toc184313288"/>
      <w:bookmarkEnd w:id="87"/>
      <w:bookmarkStart w:id="88" w:name="_Toc184308074"/>
      <w:bookmarkEnd w:id="88"/>
      <w:bookmarkStart w:id="89" w:name="_Toc184313249"/>
      <w:bookmarkEnd w:id="89"/>
      <w:bookmarkStart w:id="90" w:name="_Toc184312121"/>
      <w:bookmarkEnd w:id="90"/>
      <w:bookmarkStart w:id="91" w:name="_Toc184312098"/>
      <w:bookmarkEnd w:id="91"/>
      <w:bookmarkStart w:id="92" w:name="_Toc184310298"/>
      <w:bookmarkEnd w:id="92"/>
      <w:bookmarkStart w:id="93" w:name="_Toc184310280"/>
      <w:bookmarkEnd w:id="93"/>
      <w:bookmarkStart w:id="94" w:name="_Toc184314481"/>
      <w:bookmarkEnd w:id="94"/>
      <w:bookmarkStart w:id="95" w:name="_Toc184308053"/>
      <w:bookmarkEnd w:id="95"/>
      <w:bookmarkStart w:id="96" w:name="_Toc184314427"/>
      <w:bookmarkEnd w:id="96"/>
      <w:bookmarkStart w:id="97" w:name="_Toc184313296"/>
      <w:bookmarkEnd w:id="97"/>
      <w:bookmarkStart w:id="98" w:name="_Toc184313247"/>
      <w:bookmarkEnd w:id="98"/>
      <w:bookmarkStart w:id="99" w:name="_Toc184310332"/>
      <w:bookmarkEnd w:id="99"/>
      <w:bookmarkStart w:id="100" w:name="_Toc184310289"/>
      <w:bookmarkEnd w:id="100"/>
      <w:bookmarkStart w:id="101" w:name="_Toc184313276"/>
      <w:bookmarkEnd w:id="101"/>
      <w:bookmarkStart w:id="102" w:name="_Toc184312091"/>
      <w:bookmarkEnd w:id="102"/>
      <w:bookmarkStart w:id="103" w:name="_Toc184312116"/>
      <w:bookmarkEnd w:id="103"/>
      <w:bookmarkStart w:id="104" w:name="_Toc184310284"/>
      <w:bookmarkEnd w:id="104"/>
      <w:bookmarkStart w:id="105" w:name="_Toc184314424"/>
      <w:bookmarkEnd w:id="105"/>
      <w:bookmarkStart w:id="106" w:name="_Toc184308079"/>
      <w:bookmarkEnd w:id="106"/>
      <w:bookmarkStart w:id="107" w:name="_Toc184314460"/>
      <w:bookmarkEnd w:id="107"/>
      <w:bookmarkStart w:id="108" w:name="_Toc184308086"/>
      <w:bookmarkEnd w:id="108"/>
      <w:bookmarkStart w:id="109" w:name="_Toc184312120"/>
      <w:bookmarkEnd w:id="109"/>
      <w:bookmarkStart w:id="110" w:name="_Toc184308083"/>
      <w:bookmarkEnd w:id="110"/>
      <w:bookmarkStart w:id="111" w:name="_Toc184310310"/>
      <w:bookmarkEnd w:id="111"/>
      <w:bookmarkStart w:id="112" w:name="_Toc184312080"/>
      <w:bookmarkEnd w:id="112"/>
      <w:bookmarkStart w:id="113" w:name="_Toc184312138"/>
      <w:bookmarkEnd w:id="113"/>
      <w:bookmarkStart w:id="114" w:name="_Toc184314469"/>
      <w:bookmarkEnd w:id="114"/>
      <w:bookmarkStart w:id="115" w:name="_Toc184313250"/>
      <w:bookmarkEnd w:id="115"/>
      <w:bookmarkStart w:id="116" w:name="_Toc184313300"/>
      <w:bookmarkEnd w:id="116"/>
      <w:bookmarkStart w:id="117" w:name="_Toc184308046"/>
      <w:bookmarkEnd w:id="117"/>
      <w:bookmarkStart w:id="118" w:name="_Toc184313292"/>
      <w:bookmarkEnd w:id="118"/>
      <w:bookmarkStart w:id="119" w:name="_Toc184313267"/>
      <w:bookmarkEnd w:id="119"/>
      <w:bookmarkStart w:id="120" w:name="_Toc184310273"/>
      <w:bookmarkEnd w:id="120"/>
      <w:bookmarkStart w:id="121" w:name="_Toc184313259"/>
      <w:bookmarkEnd w:id="121"/>
      <w:bookmarkStart w:id="122" w:name="_Toc184313268"/>
      <w:bookmarkEnd w:id="122"/>
      <w:bookmarkStart w:id="123" w:name="_Toc184314417"/>
      <w:bookmarkEnd w:id="123"/>
      <w:bookmarkStart w:id="124" w:name="_Toc184313271"/>
      <w:bookmarkEnd w:id="124"/>
      <w:bookmarkStart w:id="125" w:name="_Toc184313240"/>
      <w:bookmarkEnd w:id="125"/>
      <w:bookmarkStart w:id="126" w:name="_Toc184308052"/>
      <w:bookmarkEnd w:id="126"/>
      <w:bookmarkStart w:id="127" w:name="_Toc184312067"/>
      <w:bookmarkEnd w:id="127"/>
      <w:bookmarkStart w:id="128" w:name="_Toc184313266"/>
      <w:bookmarkEnd w:id="128"/>
      <w:bookmarkStart w:id="129" w:name="_Toc184313301"/>
      <w:bookmarkEnd w:id="129"/>
      <w:bookmarkStart w:id="130" w:name="_Toc184312123"/>
      <w:bookmarkEnd w:id="130"/>
      <w:bookmarkStart w:id="131" w:name="_Toc184308080"/>
      <w:bookmarkEnd w:id="131"/>
      <w:bookmarkStart w:id="132" w:name="_Toc184313309"/>
      <w:bookmarkEnd w:id="132"/>
      <w:bookmarkStart w:id="133" w:name="_Toc184310335"/>
      <w:bookmarkEnd w:id="133"/>
      <w:bookmarkStart w:id="134" w:name="_Toc184312074"/>
      <w:bookmarkEnd w:id="134"/>
      <w:bookmarkStart w:id="135" w:name="_Toc184313287"/>
      <w:bookmarkEnd w:id="135"/>
      <w:bookmarkStart w:id="136" w:name="_Toc184308062"/>
      <w:bookmarkEnd w:id="136"/>
      <w:bookmarkStart w:id="137" w:name="_Toc184310315"/>
      <w:bookmarkEnd w:id="137"/>
      <w:bookmarkStart w:id="138" w:name="_Toc184313282"/>
      <w:bookmarkEnd w:id="138"/>
      <w:bookmarkStart w:id="139" w:name="_Toc184308084"/>
      <w:bookmarkEnd w:id="139"/>
      <w:bookmarkStart w:id="140" w:name="_Toc184308105"/>
      <w:bookmarkEnd w:id="140"/>
      <w:bookmarkStart w:id="141" w:name="_Toc184313277"/>
      <w:bookmarkEnd w:id="141"/>
      <w:bookmarkStart w:id="142" w:name="_Toc184313304"/>
      <w:bookmarkEnd w:id="142"/>
      <w:bookmarkStart w:id="143" w:name="_Toc184312093"/>
      <w:bookmarkEnd w:id="143"/>
      <w:bookmarkStart w:id="144" w:name="_Toc184312126"/>
      <w:bookmarkEnd w:id="144"/>
      <w:bookmarkStart w:id="145" w:name="_Toc184314472"/>
      <w:bookmarkEnd w:id="145"/>
      <w:bookmarkStart w:id="146" w:name="_Toc184308100"/>
      <w:bookmarkEnd w:id="146"/>
      <w:bookmarkStart w:id="147" w:name="_Toc184313294"/>
      <w:bookmarkEnd w:id="147"/>
      <w:bookmarkStart w:id="148" w:name="_Toc184308090"/>
      <w:bookmarkEnd w:id="148"/>
      <w:bookmarkStart w:id="149" w:name="_Toc184314453"/>
      <w:bookmarkEnd w:id="149"/>
      <w:bookmarkStart w:id="150" w:name="_Toc184313283"/>
      <w:bookmarkEnd w:id="150"/>
      <w:bookmarkStart w:id="151" w:name="_Toc184312101"/>
      <w:bookmarkEnd w:id="151"/>
      <w:bookmarkStart w:id="152" w:name="_Toc184310278"/>
      <w:bookmarkEnd w:id="152"/>
      <w:bookmarkStart w:id="153" w:name="_Toc184310324"/>
      <w:bookmarkEnd w:id="153"/>
      <w:bookmarkStart w:id="154" w:name="_Toc184314415"/>
      <w:bookmarkEnd w:id="154"/>
      <w:bookmarkStart w:id="155" w:name="_Toc184312111"/>
      <w:bookmarkEnd w:id="155"/>
      <w:bookmarkStart w:id="156" w:name="_Toc184314474"/>
      <w:bookmarkEnd w:id="156"/>
      <w:bookmarkStart w:id="157" w:name="_Toc184310328"/>
      <w:bookmarkEnd w:id="157"/>
      <w:bookmarkStart w:id="158" w:name="_Toc184312106"/>
      <w:bookmarkEnd w:id="158"/>
      <w:bookmarkStart w:id="159" w:name="_Toc184308055"/>
      <w:bookmarkEnd w:id="159"/>
      <w:bookmarkStart w:id="160" w:name="_Toc184314449"/>
      <w:bookmarkEnd w:id="160"/>
      <w:bookmarkStart w:id="161" w:name="_Toc184312103"/>
      <w:bookmarkEnd w:id="161"/>
      <w:bookmarkStart w:id="162" w:name="_Toc184308092"/>
      <w:bookmarkEnd w:id="162"/>
      <w:bookmarkStart w:id="163" w:name="_Toc184312119"/>
      <w:bookmarkEnd w:id="163"/>
      <w:bookmarkStart w:id="164" w:name="_Toc184314412"/>
      <w:bookmarkEnd w:id="164"/>
      <w:bookmarkStart w:id="165" w:name="_Toc184310313"/>
      <w:bookmarkEnd w:id="165"/>
      <w:bookmarkStart w:id="166" w:name="_Toc184313305"/>
      <w:bookmarkEnd w:id="166"/>
      <w:bookmarkStart w:id="167" w:name="_Toc184313260"/>
      <w:bookmarkEnd w:id="167"/>
      <w:bookmarkStart w:id="168" w:name="_Toc184308060"/>
      <w:bookmarkEnd w:id="168"/>
      <w:bookmarkStart w:id="169" w:name="_Toc184312079"/>
      <w:bookmarkEnd w:id="169"/>
      <w:bookmarkStart w:id="170" w:name="_Toc184310326"/>
      <w:bookmarkEnd w:id="170"/>
      <w:bookmarkStart w:id="171" w:name="_Toc184314445"/>
      <w:bookmarkEnd w:id="171"/>
      <w:bookmarkStart w:id="172" w:name="_Toc184313256"/>
      <w:bookmarkEnd w:id="172"/>
      <w:bookmarkStart w:id="173" w:name="_Toc184312104"/>
      <w:bookmarkEnd w:id="173"/>
      <w:bookmarkStart w:id="174" w:name="_Toc184310327"/>
      <w:bookmarkEnd w:id="174"/>
      <w:bookmarkStart w:id="175" w:name="_Toc184314428"/>
      <w:bookmarkEnd w:id="175"/>
      <w:bookmarkStart w:id="176" w:name="_Toc184310287"/>
      <w:bookmarkEnd w:id="176"/>
      <w:bookmarkStart w:id="177" w:name="_Toc184310316"/>
      <w:bookmarkEnd w:id="177"/>
      <w:bookmarkStart w:id="178" w:name="_Toc184308093"/>
      <w:bookmarkEnd w:id="178"/>
      <w:bookmarkStart w:id="179" w:name="_Toc184312102"/>
      <w:bookmarkEnd w:id="179"/>
      <w:bookmarkStart w:id="180" w:name="_Toc184310293"/>
      <w:bookmarkEnd w:id="180"/>
      <w:bookmarkStart w:id="181" w:name="_Toc184312083"/>
      <w:bookmarkEnd w:id="181"/>
      <w:bookmarkStart w:id="182" w:name="_Toc184313284"/>
      <w:bookmarkEnd w:id="182"/>
      <w:bookmarkStart w:id="183" w:name="_Toc184308088"/>
      <w:bookmarkEnd w:id="183"/>
      <w:bookmarkStart w:id="184" w:name="_Toc184312096"/>
      <w:bookmarkEnd w:id="184"/>
      <w:bookmarkStart w:id="185" w:name="_Toc184314447"/>
      <w:bookmarkEnd w:id="185"/>
      <w:bookmarkStart w:id="186" w:name="_Toc184312129"/>
      <w:bookmarkEnd w:id="186"/>
      <w:bookmarkStart w:id="187" w:name="_Toc184310322"/>
      <w:bookmarkEnd w:id="187"/>
      <w:bookmarkStart w:id="188" w:name="_Toc184310334"/>
      <w:bookmarkEnd w:id="188"/>
      <w:bookmarkStart w:id="189" w:name="_Toc184312127"/>
      <w:bookmarkEnd w:id="189"/>
      <w:bookmarkStart w:id="190" w:name="_Toc184310338"/>
      <w:bookmarkEnd w:id="190"/>
      <w:bookmarkStart w:id="191" w:name="_Toc184313302"/>
      <w:bookmarkEnd w:id="191"/>
      <w:bookmarkStart w:id="192" w:name="_Toc184312114"/>
      <w:bookmarkEnd w:id="192"/>
      <w:bookmarkStart w:id="193" w:name="_Toc184313281"/>
      <w:bookmarkEnd w:id="193"/>
      <w:bookmarkStart w:id="194" w:name="_Toc184308072"/>
      <w:bookmarkEnd w:id="194"/>
      <w:bookmarkStart w:id="195" w:name="_Toc184314452"/>
      <w:bookmarkEnd w:id="195"/>
      <w:bookmarkStart w:id="196" w:name="_Toc184310306"/>
      <w:bookmarkEnd w:id="196"/>
      <w:bookmarkStart w:id="197" w:name="_Toc184310331"/>
      <w:bookmarkEnd w:id="197"/>
      <w:bookmarkStart w:id="198" w:name="_Toc184308103"/>
      <w:bookmarkEnd w:id="198"/>
      <w:bookmarkStart w:id="199" w:name="_Toc184314473"/>
      <w:bookmarkEnd w:id="199"/>
      <w:bookmarkStart w:id="200" w:name="_Toc184314465"/>
      <w:bookmarkEnd w:id="200"/>
      <w:bookmarkStart w:id="201" w:name="_Toc184313308"/>
      <w:bookmarkEnd w:id="201"/>
      <w:bookmarkStart w:id="202" w:name="_Toc184310318"/>
      <w:bookmarkEnd w:id="202"/>
      <w:bookmarkStart w:id="203" w:name="_Toc184312097"/>
      <w:bookmarkEnd w:id="203"/>
      <w:bookmarkStart w:id="204" w:name="_Toc184313295"/>
      <w:bookmarkEnd w:id="204"/>
      <w:bookmarkStart w:id="205" w:name="_Toc184308036"/>
      <w:bookmarkEnd w:id="205"/>
      <w:bookmarkStart w:id="206" w:name="_Toc184308058"/>
      <w:bookmarkEnd w:id="206"/>
      <w:bookmarkStart w:id="207" w:name="_Toc184310296"/>
      <w:bookmarkEnd w:id="207"/>
      <w:bookmarkStart w:id="208" w:name="_Toc184313310"/>
      <w:bookmarkEnd w:id="208"/>
      <w:bookmarkStart w:id="209" w:name="_Toc184310305"/>
      <w:bookmarkEnd w:id="209"/>
      <w:bookmarkStart w:id="210" w:name="_Toc184314419"/>
      <w:bookmarkEnd w:id="210"/>
      <w:bookmarkStart w:id="211" w:name="_Toc184314437"/>
      <w:bookmarkEnd w:id="211"/>
      <w:bookmarkStart w:id="212" w:name="_Toc184313278"/>
      <w:bookmarkEnd w:id="212"/>
      <w:bookmarkStart w:id="213" w:name="_Toc184314456"/>
      <w:bookmarkEnd w:id="213"/>
      <w:bookmarkStart w:id="214" w:name="_Toc184308096"/>
      <w:bookmarkEnd w:id="214"/>
      <w:bookmarkStart w:id="215" w:name="_Toc184312076"/>
      <w:bookmarkEnd w:id="215"/>
      <w:bookmarkStart w:id="216" w:name="_Toc184314425"/>
      <w:bookmarkEnd w:id="216"/>
      <w:bookmarkStart w:id="217" w:name="_Toc184314436"/>
      <w:bookmarkEnd w:id="217"/>
      <w:bookmarkStart w:id="218" w:name="_Toc184308045"/>
      <w:bookmarkEnd w:id="218"/>
      <w:bookmarkStart w:id="219" w:name="_Toc184314461"/>
      <w:bookmarkEnd w:id="219"/>
      <w:bookmarkStart w:id="220" w:name="_Toc184314480"/>
      <w:bookmarkEnd w:id="220"/>
      <w:bookmarkStart w:id="221" w:name="_Toc184310321"/>
      <w:bookmarkEnd w:id="221"/>
      <w:bookmarkStart w:id="222" w:name="_Toc184308068"/>
      <w:bookmarkEnd w:id="222"/>
      <w:bookmarkStart w:id="223" w:name="_Toc184313286"/>
      <w:bookmarkEnd w:id="223"/>
      <w:bookmarkStart w:id="224" w:name="_Toc184310339"/>
      <w:bookmarkEnd w:id="224"/>
      <w:bookmarkStart w:id="225" w:name="_Toc184310319"/>
      <w:bookmarkEnd w:id="225"/>
      <w:bookmarkStart w:id="226" w:name="_Toc184314411"/>
      <w:bookmarkEnd w:id="226"/>
      <w:bookmarkStart w:id="227" w:name="_Toc184313242"/>
      <w:bookmarkEnd w:id="227"/>
      <w:bookmarkStart w:id="228" w:name="_Toc184314482"/>
      <w:bookmarkEnd w:id="228"/>
      <w:bookmarkStart w:id="229" w:name="_Toc184314455"/>
      <w:bookmarkEnd w:id="229"/>
      <w:bookmarkStart w:id="230" w:name="_Toc184314478"/>
      <w:bookmarkEnd w:id="230"/>
      <w:bookmarkStart w:id="231" w:name="_Toc184313280"/>
      <w:bookmarkEnd w:id="231"/>
      <w:bookmarkStart w:id="232" w:name="_Toc184313291"/>
      <w:bookmarkEnd w:id="232"/>
      <w:bookmarkStart w:id="233" w:name="_Toc184313258"/>
      <w:bookmarkEnd w:id="233"/>
      <w:bookmarkStart w:id="234" w:name="_Toc184308057"/>
      <w:bookmarkEnd w:id="234"/>
      <w:bookmarkStart w:id="235" w:name="_Toc184313298"/>
      <w:bookmarkEnd w:id="235"/>
      <w:bookmarkStart w:id="236" w:name="_Toc184313261"/>
      <w:bookmarkEnd w:id="236"/>
      <w:bookmarkStart w:id="237" w:name="_Toc184308056"/>
      <w:bookmarkEnd w:id="237"/>
      <w:bookmarkStart w:id="238" w:name="_Toc184308081"/>
      <w:bookmarkEnd w:id="238"/>
      <w:bookmarkStart w:id="239" w:name="_Toc184314448"/>
      <w:bookmarkEnd w:id="239"/>
      <w:bookmarkStart w:id="240" w:name="_Toc184308089"/>
      <w:bookmarkEnd w:id="240"/>
      <w:bookmarkStart w:id="241" w:name="_Toc184310282"/>
      <w:bookmarkEnd w:id="241"/>
      <w:bookmarkStart w:id="242" w:name="_Toc184314470"/>
      <w:bookmarkEnd w:id="242"/>
      <w:bookmarkStart w:id="243" w:name="_Toc184313265"/>
      <w:bookmarkEnd w:id="243"/>
      <w:bookmarkStart w:id="244" w:name="_Toc184314432"/>
      <w:bookmarkEnd w:id="244"/>
      <w:bookmarkStart w:id="245" w:name="_Toc184313306"/>
      <w:bookmarkEnd w:id="245"/>
      <w:bookmarkStart w:id="246" w:name="_Toc184310290"/>
      <w:bookmarkEnd w:id="246"/>
      <w:bookmarkStart w:id="247" w:name="_Toc184314479"/>
      <w:bookmarkEnd w:id="247"/>
      <w:bookmarkStart w:id="248" w:name="_Toc184313297"/>
      <w:bookmarkEnd w:id="248"/>
      <w:bookmarkStart w:id="249" w:name="_Toc184308098"/>
      <w:bookmarkEnd w:id="249"/>
      <w:bookmarkStart w:id="250" w:name="_Toc184313248"/>
      <w:bookmarkEnd w:id="250"/>
      <w:bookmarkStart w:id="251" w:name="_Toc184308059"/>
      <w:bookmarkEnd w:id="251"/>
      <w:bookmarkStart w:id="252" w:name="_Toc184314464"/>
      <w:bookmarkEnd w:id="252"/>
      <w:bookmarkStart w:id="253" w:name="_Toc184310275"/>
      <w:bookmarkEnd w:id="253"/>
      <w:bookmarkStart w:id="254" w:name="_Toc184310281"/>
      <w:bookmarkEnd w:id="254"/>
      <w:bookmarkStart w:id="255" w:name="_Toc184313279"/>
      <w:bookmarkEnd w:id="255"/>
      <w:bookmarkStart w:id="256" w:name="_Toc184312087"/>
      <w:bookmarkEnd w:id="256"/>
      <w:bookmarkStart w:id="257" w:name="_Toc184313299"/>
      <w:bookmarkEnd w:id="257"/>
      <w:bookmarkStart w:id="258" w:name="_Toc184312109"/>
      <w:bookmarkEnd w:id="258"/>
      <w:bookmarkStart w:id="259" w:name="_Toc184312113"/>
      <w:bookmarkEnd w:id="259"/>
      <w:bookmarkStart w:id="260" w:name="_Toc184310323"/>
      <w:bookmarkEnd w:id="260"/>
      <w:bookmarkStart w:id="261" w:name="_Toc184314413"/>
      <w:bookmarkEnd w:id="261"/>
      <w:bookmarkStart w:id="262" w:name="_Toc184313254"/>
      <w:bookmarkEnd w:id="262"/>
      <w:bookmarkStart w:id="263" w:name="_Toc184314420"/>
      <w:bookmarkEnd w:id="263"/>
      <w:bookmarkStart w:id="264" w:name="_Toc184308047"/>
      <w:bookmarkEnd w:id="264"/>
      <w:bookmarkStart w:id="265" w:name="_Toc184312136"/>
      <w:bookmarkEnd w:id="265"/>
      <w:bookmarkStart w:id="266" w:name="_Toc184312105"/>
      <w:bookmarkEnd w:id="266"/>
      <w:bookmarkStart w:id="267" w:name="_Toc184312095"/>
      <w:bookmarkEnd w:id="267"/>
      <w:bookmarkStart w:id="268" w:name="_Toc184310299"/>
      <w:bookmarkEnd w:id="268"/>
      <w:bookmarkStart w:id="269" w:name="_Toc184314416"/>
      <w:bookmarkEnd w:id="269"/>
      <w:bookmarkStart w:id="270" w:name="_Toc184314457"/>
      <w:bookmarkEnd w:id="270"/>
      <w:bookmarkStart w:id="271" w:name="_Toc184310342"/>
      <w:bookmarkEnd w:id="271"/>
      <w:bookmarkStart w:id="272" w:name="_Toc184314459"/>
      <w:bookmarkEnd w:id="272"/>
      <w:bookmarkStart w:id="273" w:name="_Toc184314475"/>
      <w:bookmarkEnd w:id="273"/>
      <w:bookmarkStart w:id="274" w:name="_Toc184310297"/>
      <w:bookmarkEnd w:id="274"/>
      <w:bookmarkStart w:id="275" w:name="_Toc184308102"/>
      <w:bookmarkEnd w:id="275"/>
      <w:bookmarkStart w:id="276" w:name="_Toc184312092"/>
      <w:bookmarkEnd w:id="276"/>
      <w:bookmarkStart w:id="277" w:name="_Toc184308049"/>
      <w:bookmarkEnd w:id="277"/>
      <w:bookmarkStart w:id="278" w:name="_Toc184314468"/>
      <w:bookmarkEnd w:id="278"/>
      <w:bookmarkStart w:id="279" w:name="_Toc184312112"/>
      <w:bookmarkEnd w:id="279"/>
      <w:bookmarkStart w:id="280" w:name="_Toc184308044"/>
      <w:bookmarkEnd w:id="280"/>
      <w:bookmarkStart w:id="281" w:name="_Toc184310317"/>
      <w:bookmarkEnd w:id="281"/>
      <w:bookmarkStart w:id="282" w:name="_Toc184308101"/>
      <w:bookmarkEnd w:id="282"/>
      <w:bookmarkStart w:id="283" w:name="_Toc184310303"/>
      <w:bookmarkEnd w:id="283"/>
      <w:bookmarkStart w:id="284" w:name="_Toc184312124"/>
      <w:bookmarkEnd w:id="284"/>
      <w:bookmarkStart w:id="285" w:name="_Toc184313245"/>
      <w:bookmarkEnd w:id="285"/>
      <w:bookmarkStart w:id="286" w:name="_Toc184312117"/>
      <w:bookmarkEnd w:id="286"/>
      <w:bookmarkStart w:id="287" w:name="_Toc184312077"/>
      <w:bookmarkEnd w:id="287"/>
      <w:bookmarkStart w:id="288" w:name="_Toc184308097"/>
      <w:bookmarkEnd w:id="288"/>
      <w:bookmarkStart w:id="289" w:name="_Toc184308073"/>
      <w:bookmarkEnd w:id="289"/>
      <w:bookmarkStart w:id="290" w:name="_Toc184314439"/>
      <w:bookmarkEnd w:id="290"/>
      <w:bookmarkStart w:id="291" w:name="_Toc184312069"/>
      <w:bookmarkEnd w:id="291"/>
      <w:bookmarkStart w:id="292" w:name="_Toc184312100"/>
      <w:bookmarkEnd w:id="292"/>
      <w:bookmarkStart w:id="293" w:name="_Toc184312115"/>
      <w:bookmarkEnd w:id="293"/>
      <w:bookmarkStart w:id="294" w:name="_Toc184314458"/>
      <w:bookmarkEnd w:id="294"/>
      <w:bookmarkStart w:id="295" w:name="_Toc184312137"/>
      <w:bookmarkEnd w:id="295"/>
      <w:bookmarkStart w:id="296" w:name="_Toc184312122"/>
      <w:bookmarkEnd w:id="296"/>
      <w:bookmarkStart w:id="297" w:name="_Toc184314451"/>
      <w:bookmarkEnd w:id="297"/>
      <w:bookmarkStart w:id="298" w:name="_Toc184313274"/>
      <w:bookmarkEnd w:id="298"/>
      <w:bookmarkStart w:id="299" w:name="_Toc184312132"/>
      <w:bookmarkEnd w:id="299"/>
      <w:bookmarkStart w:id="300" w:name="_Toc184310279"/>
      <w:bookmarkEnd w:id="300"/>
      <w:bookmarkStart w:id="301" w:name="_Toc184313307"/>
      <w:bookmarkEnd w:id="301"/>
      <w:bookmarkStart w:id="302" w:name="_Toc184308037"/>
      <w:bookmarkEnd w:id="302"/>
      <w:bookmarkStart w:id="303" w:name="_Toc184310325"/>
      <w:bookmarkEnd w:id="303"/>
      <w:bookmarkStart w:id="304" w:name="_Toc184314463"/>
      <w:bookmarkEnd w:id="304"/>
      <w:bookmarkStart w:id="305" w:name="_Toc184308075"/>
      <w:bookmarkEnd w:id="305"/>
      <w:bookmarkStart w:id="306" w:name="_Toc184312107"/>
      <w:bookmarkEnd w:id="306"/>
      <w:bookmarkStart w:id="307" w:name="_Toc184313252"/>
      <w:bookmarkEnd w:id="307"/>
      <w:bookmarkStart w:id="308" w:name="_Toc184313239"/>
      <w:bookmarkEnd w:id="308"/>
      <w:bookmarkStart w:id="309" w:name="_Toc184310286"/>
      <w:bookmarkEnd w:id="309"/>
      <w:bookmarkStart w:id="310" w:name="_Toc184314443"/>
      <w:bookmarkEnd w:id="310"/>
      <w:bookmarkStart w:id="311" w:name="_Toc184312073"/>
      <w:bookmarkEnd w:id="311"/>
      <w:bookmarkStart w:id="312" w:name="_Toc184314466"/>
      <w:bookmarkEnd w:id="312"/>
      <w:bookmarkStart w:id="313" w:name="_Toc184308094"/>
      <w:bookmarkEnd w:id="313"/>
      <w:bookmarkStart w:id="314" w:name="_Toc184308078"/>
      <w:bookmarkEnd w:id="314"/>
      <w:bookmarkStart w:id="315" w:name="_Toc184310311"/>
      <w:bookmarkEnd w:id="315"/>
      <w:bookmarkStart w:id="316" w:name="_Toc184308048"/>
      <w:bookmarkEnd w:id="316"/>
      <w:bookmarkStart w:id="317" w:name="_Toc184312086"/>
      <w:bookmarkEnd w:id="317"/>
      <w:bookmarkStart w:id="318" w:name="_Toc184313270"/>
      <w:bookmarkEnd w:id="318"/>
      <w:bookmarkStart w:id="319" w:name="_Toc184308061"/>
      <w:bookmarkEnd w:id="319"/>
      <w:bookmarkStart w:id="320" w:name="_Toc184310330"/>
      <w:bookmarkEnd w:id="320"/>
      <w:bookmarkStart w:id="321" w:name="_Toc184313257"/>
      <w:bookmarkEnd w:id="321"/>
      <w:bookmarkStart w:id="322" w:name="_Toc184313243"/>
      <w:bookmarkEnd w:id="322"/>
      <w:bookmarkStart w:id="323" w:name="_Toc184310301"/>
      <w:bookmarkEnd w:id="323"/>
      <w:bookmarkStart w:id="324" w:name="_Toc184313263"/>
      <w:bookmarkEnd w:id="324"/>
      <w:bookmarkStart w:id="325" w:name="_Toc184310340"/>
      <w:bookmarkEnd w:id="325"/>
      <w:bookmarkStart w:id="326" w:name="_Toc184312125"/>
      <w:bookmarkEnd w:id="326"/>
      <w:bookmarkStart w:id="327" w:name="_Toc184310291"/>
      <w:bookmarkEnd w:id="327"/>
      <w:bookmarkStart w:id="328" w:name="_Toc184314426"/>
      <w:bookmarkEnd w:id="328"/>
      <w:bookmarkStart w:id="329" w:name="_Toc184310300"/>
      <w:bookmarkEnd w:id="329"/>
      <w:bookmarkStart w:id="330" w:name="_Toc184310302"/>
      <w:bookmarkEnd w:id="330"/>
      <w:bookmarkStart w:id="331" w:name="_Toc184313241"/>
      <w:bookmarkEnd w:id="331"/>
      <w:bookmarkStart w:id="332" w:name="_Toc184312071"/>
      <w:bookmarkEnd w:id="332"/>
      <w:bookmarkStart w:id="333" w:name="_Toc184314423"/>
      <w:bookmarkEnd w:id="333"/>
      <w:bookmarkStart w:id="334" w:name="_Toc184313289"/>
      <w:bookmarkEnd w:id="334"/>
      <w:bookmarkStart w:id="335" w:name="_Toc184310343"/>
      <w:bookmarkEnd w:id="335"/>
      <w:bookmarkStart w:id="336" w:name="_Toc184308051"/>
      <w:bookmarkEnd w:id="336"/>
      <w:bookmarkStart w:id="337" w:name="_Toc184314446"/>
      <w:bookmarkEnd w:id="337"/>
      <w:bookmarkStart w:id="338" w:name="_Toc184310314"/>
      <w:bookmarkEnd w:id="338"/>
      <w:bookmarkStart w:id="339" w:name="_Toc184314410"/>
      <w:bookmarkEnd w:id="339"/>
      <w:bookmarkStart w:id="340" w:name="_Toc184313264"/>
      <w:bookmarkEnd w:id="340"/>
      <w:bookmarkStart w:id="341" w:name="_Toc184308106"/>
      <w:bookmarkEnd w:id="341"/>
      <w:bookmarkStart w:id="342" w:name="_Toc184308038"/>
      <w:bookmarkEnd w:id="342"/>
      <w:bookmarkStart w:id="343" w:name="_Toc184314438"/>
      <w:bookmarkEnd w:id="343"/>
      <w:bookmarkStart w:id="344" w:name="_Toc184308065"/>
      <w:bookmarkEnd w:id="344"/>
      <w:bookmarkStart w:id="345" w:name="_Toc184310277"/>
      <w:bookmarkEnd w:id="345"/>
      <w:bookmarkStart w:id="346" w:name="_Toc184308099"/>
      <w:bookmarkEnd w:id="346"/>
      <w:bookmarkStart w:id="347" w:name="_Toc184310274"/>
      <w:bookmarkEnd w:id="347"/>
      <w:bookmarkStart w:id="348" w:name="_Toc184313262"/>
      <w:bookmarkEnd w:id="348"/>
      <w:bookmarkStart w:id="349" w:name="_Toc184312085"/>
      <w:bookmarkEnd w:id="349"/>
      <w:bookmarkStart w:id="350" w:name="_Toc184313275"/>
      <w:bookmarkEnd w:id="350"/>
      <w:bookmarkStart w:id="351" w:name="_Toc184310337"/>
      <w:bookmarkEnd w:id="351"/>
      <w:bookmarkStart w:id="352" w:name="_Toc184314435"/>
      <w:bookmarkEnd w:id="352"/>
      <w:bookmarkStart w:id="353" w:name="_Toc184310309"/>
      <w:bookmarkEnd w:id="353"/>
      <w:bookmarkStart w:id="354" w:name="_Toc184308043"/>
      <w:bookmarkEnd w:id="354"/>
      <w:bookmarkStart w:id="355" w:name="_Toc184310329"/>
      <w:bookmarkEnd w:id="355"/>
      <w:bookmarkStart w:id="356" w:name="_Toc184312084"/>
      <w:bookmarkEnd w:id="356"/>
      <w:bookmarkStart w:id="357" w:name="_Toc184310341"/>
      <w:bookmarkEnd w:id="357"/>
      <w:bookmarkStart w:id="358" w:name="_Toc184308063"/>
      <w:bookmarkEnd w:id="358"/>
      <w:bookmarkStart w:id="359" w:name="_Toc184308077"/>
      <w:bookmarkEnd w:id="359"/>
      <w:bookmarkStart w:id="360" w:name="_Toc184312099"/>
      <w:bookmarkEnd w:id="360"/>
      <w:bookmarkStart w:id="361" w:name="_Toc184312072"/>
      <w:bookmarkEnd w:id="361"/>
      <w:bookmarkStart w:id="362" w:name="_Toc184312133"/>
      <w:bookmarkEnd w:id="362"/>
      <w:bookmarkStart w:id="363" w:name="_Toc184312068"/>
      <w:bookmarkEnd w:id="363"/>
      <w:bookmarkStart w:id="364" w:name="_Toc184308041"/>
      <w:bookmarkEnd w:id="364"/>
      <w:bookmarkStart w:id="365" w:name="_Toc184308095"/>
      <w:bookmarkEnd w:id="365"/>
      <w:bookmarkStart w:id="366" w:name="_Toc184310344"/>
      <w:bookmarkEnd w:id="366"/>
      <w:bookmarkStart w:id="367" w:name="_Toc184308040"/>
      <w:bookmarkEnd w:id="367"/>
      <w:bookmarkStart w:id="368" w:name="_Toc184310276"/>
      <w:bookmarkEnd w:id="368"/>
      <w:bookmarkStart w:id="369" w:name="_Toc184312070"/>
      <w:bookmarkEnd w:id="369"/>
      <w:bookmarkStart w:id="370" w:name="_Toc184312090"/>
      <w:bookmarkEnd w:id="370"/>
      <w:bookmarkStart w:id="371" w:name="_Toc184314422"/>
      <w:bookmarkEnd w:id="371"/>
      <w:bookmarkStart w:id="372" w:name="_Toc184312118"/>
      <w:bookmarkEnd w:id="372"/>
      <w:bookmarkStart w:id="373" w:name="_Toc184312108"/>
      <w:bookmarkEnd w:id="373"/>
      <w:bookmarkStart w:id="374" w:name="_Toc184314444"/>
      <w:bookmarkEnd w:id="374"/>
      <w:bookmarkStart w:id="375" w:name="_Toc184312082"/>
      <w:bookmarkEnd w:id="375"/>
      <w:bookmarkStart w:id="376" w:name="_Toc184310336"/>
      <w:bookmarkEnd w:id="376"/>
      <w:bookmarkStart w:id="377" w:name="_Toc184308066"/>
      <w:bookmarkEnd w:id="377"/>
      <w:bookmarkStart w:id="378" w:name="_Toc184312135"/>
      <w:bookmarkEnd w:id="378"/>
      <w:bookmarkStart w:id="379" w:name="_Toc184314440"/>
      <w:bookmarkEnd w:id="379"/>
      <w:bookmarkStart w:id="380" w:name="_Toc184312089"/>
      <w:bookmarkEnd w:id="380"/>
      <w:bookmarkStart w:id="381" w:name="_Toc184312094"/>
      <w:bookmarkEnd w:id="381"/>
      <w:bookmarkStart w:id="382" w:name="_Toc184308087"/>
      <w:bookmarkEnd w:id="382"/>
      <w:bookmarkStart w:id="383" w:name="_Toc184313285"/>
      <w:bookmarkEnd w:id="383"/>
      <w:bookmarkStart w:id="384" w:name="_Toc184310307"/>
      <w:bookmarkEnd w:id="384"/>
      <w:bookmarkStart w:id="385" w:name="_Toc184313246"/>
      <w:bookmarkEnd w:id="385"/>
      <w:bookmarkStart w:id="386" w:name="_Toc184310285"/>
      <w:bookmarkEnd w:id="386"/>
      <w:bookmarkStart w:id="387" w:name="_Toc184310295"/>
      <w:bookmarkEnd w:id="387"/>
      <w:bookmarkStart w:id="388" w:name="_Toc184308108"/>
      <w:bookmarkEnd w:id="388"/>
      <w:bookmarkStart w:id="389" w:name="_Toc184313272"/>
      <w:bookmarkEnd w:id="389"/>
      <w:bookmarkStart w:id="390" w:name="_Toc184314467"/>
      <w:bookmarkEnd w:id="390"/>
      <w:bookmarkStart w:id="391" w:name="_Toc184308104"/>
      <w:bookmarkEnd w:id="391"/>
      <w:bookmarkStart w:id="392" w:name="_Toc184314434"/>
      <w:bookmarkEnd w:id="392"/>
      <w:bookmarkStart w:id="393" w:name="_Toc184312134"/>
      <w:bookmarkEnd w:id="393"/>
      <w:bookmarkStart w:id="394" w:name="_Toc184308082"/>
      <w:bookmarkEnd w:id="394"/>
      <w:bookmarkStart w:id="395" w:name="_Toc184308054"/>
      <w:bookmarkEnd w:id="395"/>
      <w:bookmarkStart w:id="396" w:name="_Toc184313244"/>
      <w:bookmarkEnd w:id="396"/>
      <w:r>
        <w:rPr>
          <w:rFonts w:hint="eastAsia" w:ascii="宋体" w:hAnsi="宋体" w:eastAsia="宋体" w:cs="宋体"/>
          <w:b/>
          <w:bCs w:val="0"/>
          <w:color w:val="auto"/>
          <w:kern w:val="2"/>
          <w:sz w:val="36"/>
          <w:szCs w:val="36"/>
          <w:highlight w:val="none"/>
          <w:lang w:val="en-US" w:eastAsia="zh-CN" w:bidi="ar-SA"/>
        </w:rPr>
        <w:t xml:space="preserve"> 评审办法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评审办法前附表</w:t>
      </w:r>
    </w:p>
    <w:tbl>
      <w:tblPr>
        <w:tblStyle w:val="64"/>
        <w:tblW w:w="9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5897"/>
        <w:gridCol w:w="793"/>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pPr>
              <w:snapToGrid w:val="0"/>
              <w:jc w:val="center"/>
              <w:outlineLvl w:val="0"/>
              <w:rPr>
                <w:rFonts w:ascii="宋体" w:hAnsi="宋体" w:cs="宋体"/>
                <w:bCs/>
                <w:color w:val="auto"/>
                <w:sz w:val="24"/>
                <w:highlight w:val="none"/>
              </w:rPr>
            </w:pPr>
            <w:r>
              <w:rPr>
                <w:rFonts w:hint="eastAsia" w:ascii="宋体" w:hAnsi="宋体" w:cs="宋体"/>
                <w:bCs/>
                <w:color w:val="auto"/>
                <w:sz w:val="24"/>
                <w:highlight w:val="none"/>
              </w:rPr>
              <w:t>序号</w:t>
            </w:r>
          </w:p>
        </w:tc>
        <w:tc>
          <w:tcPr>
            <w:tcW w:w="5897" w:type="dxa"/>
            <w:vAlign w:val="center"/>
          </w:tcPr>
          <w:p>
            <w:pPr>
              <w:snapToGrid w:val="0"/>
              <w:jc w:val="center"/>
              <w:outlineLvl w:val="0"/>
              <w:rPr>
                <w:rFonts w:ascii="宋体" w:hAnsi="宋体" w:cs="宋体"/>
                <w:bCs/>
                <w:color w:val="auto"/>
                <w:sz w:val="24"/>
                <w:highlight w:val="none"/>
              </w:rPr>
            </w:pPr>
            <w:r>
              <w:rPr>
                <w:rFonts w:hint="eastAsia" w:ascii="宋体" w:hAnsi="宋体" w:cs="宋体"/>
                <w:bCs/>
                <w:color w:val="auto"/>
                <w:sz w:val="24"/>
                <w:highlight w:val="none"/>
              </w:rPr>
              <w:t>评审标准</w:t>
            </w:r>
          </w:p>
        </w:tc>
        <w:tc>
          <w:tcPr>
            <w:tcW w:w="793" w:type="dxa"/>
            <w:vAlign w:val="center"/>
          </w:tcPr>
          <w:p>
            <w:pPr>
              <w:snapToGrid w:val="0"/>
              <w:jc w:val="center"/>
              <w:outlineLvl w:val="0"/>
              <w:rPr>
                <w:rFonts w:ascii="宋体" w:hAnsi="宋体" w:cs="宋体"/>
                <w:bCs/>
                <w:color w:val="auto"/>
                <w:sz w:val="24"/>
                <w:highlight w:val="none"/>
              </w:rPr>
            </w:pPr>
            <w:r>
              <w:rPr>
                <w:rFonts w:hint="eastAsia" w:ascii="宋体" w:hAnsi="宋体" w:cs="宋体"/>
                <w:bCs/>
                <w:color w:val="auto"/>
                <w:sz w:val="24"/>
                <w:highlight w:val="none"/>
              </w:rPr>
              <w:t>权重</w:t>
            </w:r>
          </w:p>
        </w:tc>
        <w:tc>
          <w:tcPr>
            <w:tcW w:w="2133" w:type="dxa"/>
          </w:tcPr>
          <w:p>
            <w:pPr>
              <w:snapToGrid w:val="0"/>
              <w:outlineLvl w:val="0"/>
              <w:rPr>
                <w:rFonts w:ascii="宋体" w:hAnsi="宋体" w:cs="宋体"/>
                <w:bCs/>
                <w:color w:val="auto"/>
                <w:sz w:val="24"/>
                <w:highlight w:val="none"/>
              </w:rPr>
            </w:pPr>
            <w:r>
              <w:rPr>
                <w:rFonts w:hint="eastAsia" w:ascii="宋体" w:hAnsi="宋体" w:cs="宋体"/>
                <w:bCs/>
                <w:color w:val="auto"/>
                <w:sz w:val="24"/>
                <w:highlight w:val="none"/>
              </w:rPr>
              <w:t>响应文件中评审标准相应的商务技术资料目录</w:t>
            </w:r>
            <w:r>
              <w:rPr>
                <w:rFonts w:hint="eastAsia" w:ascii="宋体" w:hAnsi="宋体" w:cs="宋体"/>
                <w:color w:val="auto"/>
                <w:sz w:val="24"/>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供应商自20</w:t>
            </w:r>
            <w:r>
              <w:rPr>
                <w:rFonts w:hint="eastAsia" w:ascii="宋体" w:hAnsi="宋体" w:cs="宋体"/>
                <w:color w:val="auto"/>
                <w:sz w:val="21"/>
                <w:szCs w:val="21"/>
                <w:highlight w:val="none"/>
                <w:lang w:val="en-US" w:eastAsia="zh-CN"/>
              </w:rPr>
              <w:t>21</w:t>
            </w:r>
            <w:r>
              <w:rPr>
                <w:rFonts w:hint="eastAsia" w:ascii="宋体" w:hAnsi="宋体" w:cs="宋体"/>
                <w:color w:val="auto"/>
                <w:sz w:val="21"/>
                <w:szCs w:val="21"/>
                <w:highlight w:val="none"/>
              </w:rPr>
              <w:t>年1月1日起（以合同签订时间为准）具有类似</w:t>
            </w:r>
            <w:r>
              <w:rPr>
                <w:rFonts w:hint="eastAsia" w:ascii="宋体" w:hAnsi="宋体" w:cs="宋体"/>
                <w:color w:val="auto"/>
                <w:sz w:val="21"/>
                <w:szCs w:val="21"/>
                <w:highlight w:val="none"/>
                <w:lang w:val="en-US" w:eastAsia="zh-CN"/>
              </w:rPr>
              <w:t>提升改造项目</w:t>
            </w:r>
            <w:r>
              <w:rPr>
                <w:rFonts w:hint="eastAsia" w:ascii="宋体" w:hAnsi="宋体" w:cs="宋体"/>
                <w:color w:val="auto"/>
                <w:sz w:val="21"/>
                <w:szCs w:val="21"/>
                <w:highlight w:val="none"/>
              </w:rPr>
              <w:t>设计及施工一体化项目业绩的，每一个得</w:t>
            </w:r>
            <w:r>
              <w:rPr>
                <w:rFonts w:hint="eastAsia" w:ascii="宋体" w:hAnsi="宋体" w:cs="宋体"/>
                <w:color w:val="auto"/>
                <w:sz w:val="21"/>
                <w:szCs w:val="21"/>
                <w:highlight w:val="none"/>
                <w:lang w:val="en-US" w:eastAsia="zh-CN"/>
              </w:rPr>
              <w:t>0.25</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0.25</w:t>
            </w:r>
            <w:r>
              <w:rPr>
                <w:rFonts w:hint="eastAsia" w:ascii="宋体" w:hAnsi="宋体" w:cs="宋体"/>
                <w:color w:val="auto"/>
                <w:sz w:val="21"/>
                <w:szCs w:val="21"/>
                <w:highlight w:val="none"/>
              </w:rPr>
              <w:t>分。</w:t>
            </w:r>
          </w:p>
          <w:p>
            <w:pPr>
              <w:keepNext w:val="0"/>
              <w:keepLines w:val="0"/>
              <w:pageBreakBefore w:val="0"/>
              <w:kinsoku/>
              <w:wordWrap/>
              <w:overflowPunct/>
              <w:topLinePunct w:val="0"/>
              <w:autoSpaceDE/>
              <w:autoSpaceDN/>
              <w:bidi w:val="0"/>
              <w:snapToGrid w:val="0"/>
              <w:spacing w:line="300" w:lineRule="auto"/>
              <w:textAlignment w:val="auto"/>
              <w:outlineLvl w:val="0"/>
              <w:rPr>
                <w:rFonts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证明材料：须同时出具合同复印件及竣工验收报告复印件（加盖公章），</w:t>
            </w:r>
            <w:r>
              <w:rPr>
                <w:rFonts w:hint="eastAsia" w:ascii="宋体" w:hAnsi="宋体" w:cs="宋体"/>
                <w:color w:val="auto"/>
                <w:sz w:val="21"/>
                <w:szCs w:val="21"/>
                <w:highlight w:val="none"/>
                <w:lang w:val="en-US" w:eastAsia="zh-CN"/>
              </w:rPr>
              <w:t>如工程尚未竣工，则需提供业主出具的情况说明</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0.25</w:t>
            </w:r>
          </w:p>
        </w:tc>
        <w:tc>
          <w:tcPr>
            <w:tcW w:w="213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1"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拟派项目总负责人</w:t>
            </w:r>
            <w:r>
              <w:rPr>
                <w:rFonts w:hint="eastAsia" w:ascii="宋体" w:hAnsi="宋体" w:cs="宋体"/>
                <w:color w:val="auto"/>
                <w:sz w:val="21"/>
                <w:szCs w:val="21"/>
                <w:highlight w:val="none"/>
              </w:rPr>
              <w:t>自20</w:t>
            </w:r>
            <w:r>
              <w:rPr>
                <w:rFonts w:hint="eastAsia" w:ascii="宋体" w:hAnsi="宋体" w:cs="宋体"/>
                <w:color w:val="auto"/>
                <w:sz w:val="21"/>
                <w:szCs w:val="21"/>
                <w:highlight w:val="none"/>
                <w:lang w:val="en-US" w:eastAsia="zh-CN"/>
              </w:rPr>
              <w:t>21</w:t>
            </w:r>
            <w:r>
              <w:rPr>
                <w:rFonts w:hint="eastAsia" w:ascii="宋体" w:hAnsi="宋体" w:cs="宋体"/>
                <w:color w:val="auto"/>
                <w:sz w:val="21"/>
                <w:szCs w:val="21"/>
                <w:highlight w:val="none"/>
              </w:rPr>
              <w:t>年1月1日起（以合同签订时间为准）具有类似</w:t>
            </w:r>
            <w:r>
              <w:rPr>
                <w:rFonts w:hint="eastAsia" w:ascii="宋体" w:hAnsi="宋体" w:cs="宋体"/>
                <w:color w:val="auto"/>
                <w:sz w:val="21"/>
                <w:szCs w:val="21"/>
                <w:highlight w:val="none"/>
                <w:lang w:val="en-US" w:eastAsia="zh-CN"/>
              </w:rPr>
              <w:t>提升改造项目</w:t>
            </w:r>
            <w:r>
              <w:rPr>
                <w:rFonts w:hint="eastAsia" w:ascii="宋体" w:hAnsi="宋体" w:cs="宋体"/>
                <w:color w:val="auto"/>
                <w:sz w:val="21"/>
                <w:szCs w:val="21"/>
                <w:highlight w:val="none"/>
              </w:rPr>
              <w:t>设计及施工一体化项目业绩的，每一个得</w:t>
            </w:r>
            <w:r>
              <w:rPr>
                <w:rFonts w:hint="eastAsia" w:ascii="宋体" w:hAnsi="宋体" w:cs="宋体"/>
                <w:color w:val="auto"/>
                <w:sz w:val="21"/>
                <w:szCs w:val="21"/>
                <w:highlight w:val="none"/>
                <w:lang w:val="en-US" w:eastAsia="zh-CN"/>
              </w:rPr>
              <w:t>0.25</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0.25</w:t>
            </w:r>
            <w:r>
              <w:rPr>
                <w:rFonts w:hint="eastAsia" w:ascii="宋体" w:hAnsi="宋体" w:cs="宋体"/>
                <w:color w:val="auto"/>
                <w:sz w:val="21"/>
                <w:szCs w:val="21"/>
                <w:highlight w:val="none"/>
              </w:rPr>
              <w:t>分。</w:t>
            </w:r>
          </w:p>
          <w:p>
            <w:pPr>
              <w:keepNext w:val="0"/>
              <w:keepLines w:val="0"/>
              <w:pageBreakBefore w:val="0"/>
              <w:kinsoku/>
              <w:wordWrap/>
              <w:overflowPunct/>
              <w:topLinePunct w:val="0"/>
              <w:autoSpaceDE/>
              <w:autoSpaceDN/>
              <w:bidi w:val="0"/>
              <w:snapToGrid w:val="0"/>
              <w:spacing w:line="300" w:lineRule="auto"/>
              <w:textAlignment w:val="auto"/>
              <w:outlineLvl w:val="0"/>
              <w:rPr>
                <w:rFonts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证明材料：须同时出具合同复印件及竣工验收报告复印件（加盖公章），</w:t>
            </w:r>
            <w:r>
              <w:rPr>
                <w:rFonts w:hint="eastAsia" w:ascii="宋体" w:hAnsi="宋体" w:cs="宋体"/>
                <w:color w:val="auto"/>
                <w:sz w:val="21"/>
                <w:szCs w:val="21"/>
                <w:highlight w:val="none"/>
                <w:lang w:val="en-US" w:eastAsia="zh-CN"/>
              </w:rPr>
              <w:t>至少有一项资料能体现项目负责人信息，否则须补充出具加盖业主公章的证明材料，证明材料不完整的不予认可。</w:t>
            </w:r>
            <w:r>
              <w:rPr>
                <w:rFonts w:hint="eastAsia" w:ascii="宋体" w:hAnsi="宋体" w:cs="宋体"/>
                <w:color w:val="auto"/>
                <w:sz w:val="21"/>
                <w:szCs w:val="21"/>
                <w:highlight w:val="none"/>
                <w:lang w:eastAsia="zh-CN"/>
              </w:rPr>
              <w:t>）</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0.25</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outlineLvl w:val="0"/>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outlineLvl w:val="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根据设计方案细致、完整，设计构思与创意在文化内涵、是否体现杭州市人民职业学校特色进行评审。（评审分值为7分或6分5分或4分或3分或2分或1分或0分）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outlineLvl w:val="0"/>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outlineLvl w:val="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根据总平图、功能分区、空间组合等设计方案进行评审。（评审分值为7分或6分5分或4分或3分或2分或1分或0分）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outlineLvl w:val="0"/>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空间比例设计方案细致、完整，区域利用率高、灵活性强、与空间环境结合度进行评审。（评审分值为7分或6分5分或4分或3分或2分或1分或0分）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公共空间、入口、墙面、天花板的设计方案进行评审。（评审分值为7分或6分5分或4分或3分或2分或1分或0分）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门窗、排风系水电路改造方案内容完整、细致、合理进行评审。（评审分值为7分或6分5分或4分或3分或2分或1分或0分）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照明系统设计合理、美观、艺术性进行评审。（评审分值为7分或6分5分或4分或3分或2分或1分或0分）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根据施工方案、工序及关键技术内容进进行评审。（评审分值为7分或6分5分或4分或3分或2分或1分或0分）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投标方案中的主要材料选择情况进行评分。所投产品取得环境标志产品认证（已列入强制要求的除外）的，每个认证证书得2分，本项目最高得6分。响应文件中不明确规格型号、数量或者未提供的不得分（证明材料：提供认证证书复印件加盖投标供应商公章。）</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6</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原材料、半成品、外购件的质量保证措施完整、科学可行性进行评审。（评审分值为7分或6分5分或4分或3分或2分或1分或0分）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安全、文明施工及市政、市容、环保等目标及保证体系措施情况。①根据项目列举安全、文明施工及市政、市容、环保等方案进行评审。（评审分值为3.5分或2分或1分或0分）</w:t>
            </w:r>
          </w:p>
          <w:p>
            <w:pPr>
              <w:keepNext w:val="0"/>
              <w:keepLines w:val="0"/>
              <w:pageBreakBefore w:val="0"/>
              <w:kinsoku/>
              <w:wordWrap/>
              <w:overflowPunct/>
              <w:topLinePunct w:val="0"/>
              <w:autoSpaceDE/>
              <w:autoSpaceDN/>
              <w:bidi w:val="0"/>
              <w:snapToGrid w:val="0"/>
              <w:spacing w:line="300" w:lineRule="auto"/>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②安全、文明施工及市政、市容、环保等措施可行且与目标对应进行评审。（评审分值为3.5分或2分或1分或0分）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5897" w:type="dxa"/>
            <w:vAlign w:val="center"/>
          </w:tcPr>
          <w:p>
            <w:pPr>
              <w:keepNext w:val="0"/>
              <w:keepLines w:val="0"/>
              <w:pageBreakBefore w:val="0"/>
              <w:kinsoku/>
              <w:wordWrap/>
              <w:overflowPunct/>
              <w:topLinePunct w:val="0"/>
              <w:autoSpaceDE/>
              <w:autoSpaceDN/>
              <w:bidi w:val="0"/>
              <w:snapToGrid w:val="0"/>
              <w:spacing w:line="300" w:lineRule="auto"/>
              <w:textAlignment w:val="auto"/>
              <w:rPr>
                <w:rFonts w:hint="eastAsia"/>
                <w:color w:val="auto"/>
                <w:highlight w:val="none"/>
                <w:lang w:val="en-US" w:eastAsia="zh-CN"/>
              </w:rPr>
            </w:pPr>
            <w:r>
              <w:rPr>
                <w:rFonts w:hint="eastAsia"/>
                <w:color w:val="auto"/>
                <w:highlight w:val="none"/>
              </w:rPr>
              <w:t>①</w:t>
            </w:r>
            <w:r>
              <w:rPr>
                <w:rFonts w:hint="eastAsia"/>
                <w:color w:val="auto"/>
                <w:highlight w:val="none"/>
                <w:lang w:val="en-US" w:eastAsia="zh-CN"/>
              </w:rPr>
              <w:t>根据施工各阶的进度计划，劳动力施工各阶段的进度计划清晰度、明了度、各节点的完成时间</w:t>
            </w:r>
            <w:r>
              <w:rPr>
                <w:rFonts w:hint="eastAsia" w:ascii="宋体" w:hAnsi="宋体" w:cs="宋体"/>
                <w:color w:val="auto"/>
                <w:sz w:val="21"/>
                <w:szCs w:val="21"/>
                <w:highlight w:val="none"/>
                <w:lang w:val="en-US" w:eastAsia="zh-CN"/>
              </w:rPr>
              <w:t>进行评审。（评审分值为3分或2分或1分或0分）</w:t>
            </w:r>
            <w:r>
              <w:rPr>
                <w:rFonts w:hint="eastAsia"/>
                <w:color w:val="auto"/>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00" w:lineRule="auto"/>
              <w:textAlignment w:val="auto"/>
              <w:rPr>
                <w:rFonts w:hint="default"/>
                <w:color w:val="auto"/>
                <w:highlight w:val="none"/>
                <w:lang w:val="en-US" w:eastAsia="zh-CN"/>
              </w:rPr>
            </w:pPr>
            <w:r>
              <w:rPr>
                <w:rFonts w:hint="default" w:ascii="Times New Roman" w:hAnsi="Times New Roman" w:eastAsia="宋体" w:cs="Times New Roman"/>
                <w:color w:val="auto"/>
                <w:highlight w:val="none"/>
                <w:lang w:val="en-US" w:eastAsia="zh-CN"/>
              </w:rPr>
              <w:t>②施工进度方案中完成各节点施工的有效保证措施及应急措施方案</w:t>
            </w:r>
            <w:r>
              <w:rPr>
                <w:rFonts w:hint="eastAsia" w:ascii="宋体" w:hAnsi="宋体" w:cs="宋体"/>
                <w:color w:val="auto"/>
                <w:sz w:val="21"/>
                <w:szCs w:val="21"/>
                <w:highlight w:val="none"/>
                <w:lang w:val="en-US" w:eastAsia="zh-CN"/>
              </w:rPr>
              <w:t>进行评审。（评审分值为3分或2分或1分或0分）</w:t>
            </w:r>
            <w:r>
              <w:rPr>
                <w:rFonts w:hint="eastAsia" w:ascii="Times New Roman" w:hAnsi="Times New Roman" w:eastAsia="宋体" w:cs="Times New Roman"/>
                <w:color w:val="auto"/>
                <w:highlight w:val="none"/>
                <w:lang w:val="en-US" w:eastAsia="zh-CN"/>
              </w:rPr>
              <w:t>。</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6</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5897" w:type="dxa"/>
            <w:vAlign w:val="center"/>
          </w:tcPr>
          <w:p>
            <w:pPr>
              <w:keepNext w:val="0"/>
              <w:keepLines w:val="0"/>
              <w:pageBreakBefore w:val="0"/>
              <w:widowControl w:val="0"/>
              <w:kinsoku/>
              <w:wordWrap/>
              <w:overflowPunct/>
              <w:topLinePunct w:val="0"/>
              <w:autoSpaceDE/>
              <w:autoSpaceDN/>
              <w:bidi w:val="0"/>
              <w:adjustRightInd w:val="0"/>
              <w:snapToGrid/>
              <w:spacing w:line="30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质保期及售后服务承诺</w:t>
            </w:r>
            <w:r>
              <w:rPr>
                <w:rFonts w:hint="eastAsia" w:ascii="宋体" w:hAnsi="宋体" w:cs="宋体"/>
                <w:color w:val="auto"/>
                <w:sz w:val="21"/>
                <w:szCs w:val="21"/>
                <w:highlight w:val="none"/>
                <w:lang w:val="en-US" w:eastAsia="zh-CN"/>
              </w:rPr>
              <w:t>进行评审。（评审分值为4分或3分或2分或1分或0分）</w:t>
            </w:r>
            <w:r>
              <w:rPr>
                <w:rFonts w:hint="eastAsia" w:ascii="Times New Roman" w:hAnsi="Times New Roman" w:eastAsia="宋体" w:cs="Times New Roman"/>
                <w:color w:val="auto"/>
                <w:highlight w:val="none"/>
                <w:lang w:val="en-US" w:eastAsia="zh-CN"/>
              </w:rPr>
              <w:t>。售后服务承诺范围包括并不限于质保期限，保修范围，保修、服务标准，人员配备，故障响应修复时间方式及保障措施。</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4</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w:t>
            </w:r>
          </w:p>
        </w:tc>
        <w:tc>
          <w:tcPr>
            <w:tcW w:w="5897" w:type="dxa"/>
            <w:vAlign w:val="center"/>
          </w:tcPr>
          <w:p>
            <w:pPr>
              <w:keepNext w:val="0"/>
              <w:keepLines w:val="0"/>
              <w:pageBreakBefore w:val="0"/>
              <w:widowControl w:val="0"/>
              <w:kinsoku/>
              <w:wordWrap/>
              <w:overflowPunct/>
              <w:topLinePunct w:val="0"/>
              <w:autoSpaceDE/>
              <w:autoSpaceDN/>
              <w:bidi w:val="0"/>
              <w:adjustRightInd w:val="0"/>
              <w:snapToGrid/>
              <w:spacing w:line="30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各专业工种的配置和劳动力的投入情况，劳动力安排组织与管理措施、</w:t>
            </w:r>
            <w:r>
              <w:rPr>
                <w:rFonts w:hint="default" w:ascii="Times New Roman" w:hAnsi="Times New Roman" w:eastAsia="宋体" w:cs="Times New Roman"/>
                <w:color w:val="auto"/>
                <w:highlight w:val="none"/>
                <w:lang w:val="en-US" w:eastAsia="zh-CN"/>
              </w:rPr>
              <w:t>施工机械设备投入</w:t>
            </w:r>
            <w:r>
              <w:rPr>
                <w:rFonts w:hint="eastAsia" w:ascii="宋体" w:hAnsi="宋体" w:cs="宋体"/>
                <w:color w:val="auto"/>
                <w:sz w:val="21"/>
                <w:szCs w:val="21"/>
                <w:highlight w:val="none"/>
                <w:lang w:val="en-US" w:eastAsia="zh-CN"/>
              </w:rPr>
              <w:t>进行评审。（评审分值为7分或6分5分或4分或3分或2分或1分或0分）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7</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w:t>
            </w:r>
          </w:p>
        </w:tc>
        <w:tc>
          <w:tcPr>
            <w:tcW w:w="5897" w:type="dxa"/>
            <w:vAlign w:val="center"/>
          </w:tcPr>
          <w:p>
            <w:pPr>
              <w:keepNext w:val="0"/>
              <w:keepLines w:val="0"/>
              <w:pageBreakBefore w:val="0"/>
              <w:widowControl w:val="0"/>
              <w:kinsoku/>
              <w:wordWrap/>
              <w:overflowPunct/>
              <w:topLinePunct w:val="0"/>
              <w:autoSpaceDE/>
              <w:autoSpaceDN/>
              <w:bidi w:val="0"/>
              <w:adjustRightInd w:val="0"/>
              <w:snapToGrid/>
              <w:spacing w:line="30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工期响应情况：投标响应工期与采购文件中明确的计划工期相比，每少一天得0.5分，最高得3</w:t>
            </w:r>
            <w:r>
              <w:rPr>
                <w:rFonts w:hint="eastAsia" w:eastAsia="宋体"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3.5</w:t>
            </w:r>
          </w:p>
        </w:tc>
        <w:tc>
          <w:tcPr>
            <w:tcW w:w="2133" w:type="dxa"/>
          </w:tcPr>
          <w:p>
            <w:pPr>
              <w:keepNext w:val="0"/>
              <w:keepLines w:val="0"/>
              <w:pageBreakBefore w:val="0"/>
              <w:kinsoku/>
              <w:wordWrap/>
              <w:overflowPunct/>
              <w:topLinePunct w:val="0"/>
              <w:autoSpaceDE/>
              <w:autoSpaceDN/>
              <w:bidi w:val="0"/>
              <w:snapToGrid w:val="0"/>
              <w:spacing w:line="300" w:lineRule="auto"/>
              <w:textAlignment w:val="auto"/>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w:t>
            </w:r>
          </w:p>
        </w:tc>
        <w:tc>
          <w:tcPr>
            <w:tcW w:w="5897" w:type="dxa"/>
          </w:tcPr>
          <w:p>
            <w:pPr>
              <w:keepNext w:val="0"/>
              <w:keepLines w:val="0"/>
              <w:pageBreakBefore w:val="0"/>
              <w:kinsoku/>
              <w:wordWrap/>
              <w:overflowPunct/>
              <w:topLinePunct w:val="0"/>
              <w:autoSpaceDE/>
              <w:autoSpaceDN/>
              <w:bidi w:val="0"/>
              <w:snapToGrid w:val="0"/>
              <w:spacing w:line="300" w:lineRule="auto"/>
              <w:textAlignment w:val="auto"/>
              <w:outlineLvl w:val="0"/>
              <w:rPr>
                <w:rFonts w:ascii="宋体" w:hAnsi="宋体" w:cs="宋体"/>
                <w:color w:val="auto"/>
                <w:sz w:val="21"/>
                <w:szCs w:val="21"/>
                <w:highlight w:val="none"/>
              </w:rPr>
            </w:pPr>
            <w:r>
              <w:rPr>
                <w:rFonts w:hint="eastAsia" w:ascii="宋体" w:hAnsi="宋体" w:cs="宋体"/>
                <w:color w:val="auto"/>
                <w:sz w:val="21"/>
                <w:szCs w:val="21"/>
                <w:highlight w:val="none"/>
              </w:rPr>
              <w:t>有效最后报价的最低价作为评审基准价，其最低报价为满分；按［最后报价得分=（评审基准价/最后报价）*</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］的计算公式计算。</w:t>
            </w:r>
          </w:p>
          <w:p>
            <w:pPr>
              <w:keepNext w:val="0"/>
              <w:keepLines w:val="0"/>
              <w:pageBreakBefore w:val="0"/>
              <w:widowControl/>
              <w:shd w:val="clear" w:color="auto" w:fill="FFFFFF"/>
              <w:kinsoku/>
              <w:wordWrap/>
              <w:overflowPunct/>
              <w:topLinePunct w:val="0"/>
              <w:autoSpaceDE/>
              <w:autoSpaceDN/>
              <w:bidi w:val="0"/>
              <w:adjustRightInd/>
              <w:snapToGrid w:val="0"/>
              <w:spacing w:line="300" w:lineRule="auto"/>
              <w:ind w:firstLine="42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评审过程中，不得去掉报价中的最高报价和最低报价。</w:t>
            </w:r>
          </w:p>
          <w:p>
            <w:pPr>
              <w:keepNext w:val="0"/>
              <w:keepLines w:val="0"/>
              <w:pageBreakBefore w:val="0"/>
              <w:widowControl/>
              <w:shd w:val="clear" w:color="auto" w:fill="FFFFFF"/>
              <w:kinsoku/>
              <w:wordWrap/>
              <w:overflowPunct/>
              <w:topLinePunct w:val="0"/>
              <w:autoSpaceDE/>
              <w:autoSpaceDN/>
              <w:bidi w:val="0"/>
              <w:adjustRightInd/>
              <w:snapToGrid w:val="0"/>
              <w:spacing w:line="300" w:lineRule="auto"/>
              <w:ind w:firstLine="420"/>
              <w:jc w:val="left"/>
              <w:textAlignment w:val="auto"/>
              <w:rPr>
                <w:rFonts w:ascii="宋体" w:hAnsi="宋体" w:cs="宋体"/>
                <w:color w:val="auto"/>
                <w:sz w:val="21"/>
                <w:szCs w:val="21"/>
                <w:highlight w:val="none"/>
              </w:rPr>
            </w:pPr>
            <w:r>
              <w:rPr>
                <w:rFonts w:hint="eastAsia" w:ascii="宋体" w:hAnsi="宋体" w:cs="宋体"/>
                <w:b/>
                <w:bCs/>
                <w:color w:val="auto"/>
                <w:sz w:val="21"/>
                <w:szCs w:val="21"/>
                <w:highlight w:val="none"/>
                <w:lang w:val="zh-CN"/>
              </w:rPr>
              <w:t>落实政府采购政策说明：本项目面向中小企业采购，不进行价格扣除或价格分加分。</w:t>
            </w:r>
          </w:p>
        </w:tc>
        <w:tc>
          <w:tcPr>
            <w:tcW w:w="79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hint="default" w:ascii="宋体" w:hAnsi="宋体" w:cs="宋体"/>
                <w:bCs/>
                <w:color w:val="auto"/>
                <w:sz w:val="21"/>
                <w:szCs w:val="21"/>
                <w:highlight w:val="none"/>
                <w:lang w:val="en-US"/>
              </w:rPr>
            </w:pPr>
            <w:r>
              <w:rPr>
                <w:rFonts w:hint="eastAsia" w:ascii="宋体" w:hAnsi="宋体" w:cs="宋体"/>
                <w:bCs/>
                <w:color w:val="auto"/>
                <w:sz w:val="21"/>
                <w:szCs w:val="21"/>
                <w:highlight w:val="none"/>
                <w:lang w:val="en-US" w:eastAsia="zh-CN"/>
              </w:rPr>
              <w:t>10</w:t>
            </w:r>
          </w:p>
        </w:tc>
        <w:tc>
          <w:tcPr>
            <w:tcW w:w="2133" w:type="dxa"/>
            <w:vAlign w:val="center"/>
          </w:tcPr>
          <w:p>
            <w:pPr>
              <w:keepNext w:val="0"/>
              <w:keepLines w:val="0"/>
              <w:pageBreakBefore w:val="0"/>
              <w:kinsoku/>
              <w:wordWrap/>
              <w:overflowPunct/>
              <w:topLinePunct w:val="0"/>
              <w:autoSpaceDE/>
              <w:autoSpaceDN/>
              <w:bidi w:val="0"/>
              <w:snapToGrid w:val="0"/>
              <w:spacing w:line="300" w:lineRule="auto"/>
              <w:jc w:val="center"/>
              <w:textAlignment w:val="auto"/>
              <w:outlineLvl w:val="0"/>
              <w:rPr>
                <w:rFonts w:ascii="宋体" w:hAnsi="宋体" w:cs="宋体"/>
                <w:color w:val="auto"/>
                <w:sz w:val="21"/>
                <w:szCs w:val="21"/>
                <w:highlight w:val="none"/>
              </w:rPr>
            </w:pPr>
            <w:r>
              <w:rPr>
                <w:rFonts w:hint="eastAsia" w:ascii="宋体" w:hAnsi="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pPr>
              <w:snapToGrid w:val="0"/>
              <w:ind w:firstLine="240" w:firstLineChars="100"/>
              <w:outlineLvl w:val="0"/>
              <w:rPr>
                <w:rFonts w:ascii="宋体" w:hAnsi="宋体" w:cs="宋体"/>
                <w:color w:val="auto"/>
                <w:sz w:val="24"/>
                <w:highlight w:val="none"/>
              </w:rPr>
            </w:pPr>
          </w:p>
        </w:tc>
        <w:tc>
          <w:tcPr>
            <w:tcW w:w="5897" w:type="dxa"/>
          </w:tcPr>
          <w:p>
            <w:pPr>
              <w:widowControl/>
              <w:shd w:val="clear" w:color="auto" w:fill="FFFFFF"/>
              <w:adjustRightInd/>
              <w:snapToGrid w:val="0"/>
              <w:ind w:firstLine="420"/>
              <w:jc w:val="left"/>
              <w:rPr>
                <w:rFonts w:ascii="宋体" w:hAnsi="宋体" w:cs="宋体"/>
                <w:color w:val="auto"/>
                <w:sz w:val="24"/>
                <w:highlight w:val="none"/>
              </w:rPr>
            </w:pPr>
            <w:r>
              <w:rPr>
                <w:rFonts w:hint="eastAsia" w:ascii="宋体" w:hAnsi="宋体" w:cs="宋体"/>
                <w:color w:val="auto"/>
                <w:sz w:val="24"/>
                <w:highlight w:val="none"/>
              </w:rPr>
              <w:t>注意：不得以特定金额的业绩作为评审因素</w:t>
            </w:r>
          </w:p>
        </w:tc>
        <w:tc>
          <w:tcPr>
            <w:tcW w:w="793" w:type="dxa"/>
            <w:vAlign w:val="center"/>
          </w:tcPr>
          <w:p>
            <w:pPr>
              <w:snapToGrid w:val="0"/>
              <w:ind w:firstLine="120" w:firstLineChars="50"/>
              <w:outlineLvl w:val="0"/>
              <w:rPr>
                <w:rFonts w:ascii="宋体" w:hAnsi="宋体" w:cs="宋体"/>
                <w:color w:val="auto"/>
                <w:sz w:val="24"/>
                <w:highlight w:val="none"/>
              </w:rPr>
            </w:pPr>
          </w:p>
        </w:tc>
        <w:tc>
          <w:tcPr>
            <w:tcW w:w="2133" w:type="dxa"/>
            <w:vAlign w:val="center"/>
          </w:tcPr>
          <w:p>
            <w:pPr>
              <w:snapToGrid w:val="0"/>
              <w:jc w:val="center"/>
              <w:outlineLvl w:val="0"/>
              <w:rPr>
                <w:rFonts w:ascii="宋体" w:hAnsi="宋体" w:cs="宋体"/>
                <w:color w:val="auto"/>
                <w:sz w:val="24"/>
                <w:highlight w:val="none"/>
              </w:rPr>
            </w:pPr>
          </w:p>
        </w:tc>
      </w:tr>
    </w:tbl>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供应商编制响应文件（商务技术文件部分）时，建议按此目录（序号和内容）提供评审标准相应的商务技术资料。 </w:t>
      </w:r>
    </w:p>
    <w:p>
      <w:pPr>
        <w:jc w:val="left"/>
        <w:rPr>
          <w:rFonts w:ascii="宋体" w:hAnsi="宋体" w:cs="宋体"/>
          <w:b/>
          <w:color w:val="auto"/>
          <w:sz w:val="32"/>
          <w:highlight w:val="none"/>
        </w:rPr>
      </w:pPr>
      <w:r>
        <w:rPr>
          <w:rFonts w:hint="eastAsia" w:ascii="宋体" w:hAnsi="宋体" w:cs="宋体"/>
          <w:b/>
          <w:color w:val="auto"/>
          <w:sz w:val="32"/>
          <w:highlight w:val="none"/>
        </w:rPr>
        <w:br w:type="page"/>
      </w:r>
    </w:p>
    <w:p>
      <w:pPr>
        <w:snapToGrid w:val="0"/>
        <w:spacing w:line="360" w:lineRule="auto"/>
        <w:jc w:val="center"/>
        <w:rPr>
          <w:rFonts w:ascii="宋体" w:hAnsi="宋体" w:cs="宋体"/>
          <w:b/>
          <w:color w:val="auto"/>
          <w:sz w:val="28"/>
          <w:szCs w:val="28"/>
          <w:highlight w:val="none"/>
        </w:rPr>
      </w:pPr>
      <w:r>
        <w:rPr>
          <w:rFonts w:hint="eastAsia" w:ascii="宋体" w:hAnsi="宋体" w:cs="宋体"/>
          <w:b/>
          <w:color w:val="auto"/>
          <w:sz w:val="32"/>
          <w:highlight w:val="none"/>
        </w:rPr>
        <w:t>一、评审方法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综合评分法，是指响应文件满足磋商文件全部实质性要求且按评审因素的量化指标评审得分最高的供应商为成交候选供应商的评审方法。</w:t>
      </w:r>
    </w:p>
    <w:p>
      <w:pPr>
        <w:snapToGrid w:val="0"/>
        <w:spacing w:line="360" w:lineRule="auto"/>
        <w:jc w:val="center"/>
        <w:rPr>
          <w:rFonts w:ascii="宋体" w:hAnsi="宋体" w:cs="宋体"/>
          <w:b/>
          <w:color w:val="auto"/>
          <w:sz w:val="32"/>
          <w:highlight w:val="none"/>
        </w:rPr>
      </w:pPr>
      <w:r>
        <w:rPr>
          <w:rFonts w:hint="eastAsia" w:ascii="宋体" w:hAnsi="宋体" w:cs="宋体"/>
          <w:b/>
          <w:color w:val="auto"/>
          <w:sz w:val="32"/>
          <w:highlight w:val="none"/>
        </w:rPr>
        <w:t>二、评审标准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评审标准：</w:t>
      </w:r>
      <w:r>
        <w:rPr>
          <w:rFonts w:hint="eastAsia" w:ascii="宋体" w:hAnsi="宋体" w:cs="宋体"/>
          <w:color w:val="auto"/>
          <w:kern w:val="0"/>
          <w:sz w:val="24"/>
          <w:highlight w:val="none"/>
        </w:rPr>
        <w:t>见评审办法前附表。</w:t>
      </w:r>
    </w:p>
    <w:p>
      <w:pPr>
        <w:snapToGrid w:val="0"/>
        <w:spacing w:line="360" w:lineRule="auto"/>
        <w:jc w:val="center"/>
        <w:rPr>
          <w:rFonts w:ascii="宋体" w:hAnsi="宋体" w:cs="宋体"/>
          <w:b/>
          <w:color w:val="auto"/>
          <w:sz w:val="32"/>
          <w:highlight w:val="none"/>
        </w:rPr>
      </w:pPr>
      <w:r>
        <w:rPr>
          <w:rFonts w:hint="eastAsia" w:ascii="宋体" w:hAnsi="宋体" w:cs="宋体"/>
          <w:b/>
          <w:color w:val="auto"/>
          <w:sz w:val="32"/>
          <w:highlight w:val="none"/>
        </w:rPr>
        <w:t>三、评审程序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磋商小组应当对符合资格的供应商的响应文件进行符合性审查，以确定其是否满足采购文件的实质性要求。不满足采购文件的实质性要求的，响应文件无效。</w:t>
      </w:r>
    </w:p>
    <w:p>
      <w:pPr>
        <w:spacing w:line="360" w:lineRule="auto"/>
        <w:ind w:firstLine="472" w:firstLineChars="196"/>
        <w:rPr>
          <w:rFonts w:ascii="宋体" w:hAnsi="宋体" w:cs="宋体"/>
          <w:color w:val="auto"/>
          <w:sz w:val="24"/>
          <w:highlight w:val="none"/>
        </w:rPr>
      </w:pPr>
      <w:r>
        <w:rPr>
          <w:rFonts w:hint="eastAsia" w:ascii="宋体" w:hAnsi="宋体" w:cs="宋体"/>
          <w:b/>
          <w:color w:val="auto"/>
          <w:kern w:val="0"/>
          <w:sz w:val="24"/>
          <w:highlight w:val="none"/>
        </w:rPr>
        <w:t>3.2 磋商。</w:t>
      </w:r>
      <w:r>
        <w:rPr>
          <w:rFonts w:hint="eastAsia" w:ascii="宋体" w:hAnsi="宋体" w:cs="宋体"/>
          <w:color w:val="auto"/>
          <w:sz w:val="24"/>
          <w:highlight w:val="none"/>
        </w:rPr>
        <w:t>磋商小组将对确定为实质性响应本采购文件的响应文件进行详细评价和比较，主要就资信、服务方案内容、服务承诺等磋商小组认为与本次采购有关的因素与</w:t>
      </w:r>
      <w:r>
        <w:rPr>
          <w:rFonts w:hint="eastAsia" w:ascii="宋体" w:hAnsi="宋体" w:cs="宋体"/>
          <w:color w:val="auto"/>
          <w:kern w:val="0"/>
          <w:sz w:val="24"/>
          <w:highlight w:val="none"/>
        </w:rPr>
        <w:t>符合性审查合格的</w:t>
      </w:r>
      <w:r>
        <w:rPr>
          <w:rFonts w:hint="eastAsia" w:ascii="宋体" w:hAnsi="宋体" w:cs="宋体"/>
          <w:color w:val="auto"/>
          <w:sz w:val="24"/>
          <w:highlight w:val="none"/>
        </w:rPr>
        <w:t>供应商逐一进行磋商。</w:t>
      </w:r>
    </w:p>
    <w:p>
      <w:pPr>
        <w:spacing w:line="360" w:lineRule="auto"/>
        <w:ind w:firstLine="470" w:firstLineChars="196"/>
        <w:rPr>
          <w:rFonts w:ascii="宋体" w:hAnsi="宋体" w:cs="宋体"/>
          <w:b/>
          <w:color w:val="auto"/>
          <w:sz w:val="24"/>
          <w:highlight w:val="none"/>
        </w:rPr>
      </w:pPr>
      <w:r>
        <w:rPr>
          <w:rFonts w:hint="eastAsia" w:ascii="宋体" w:hAnsi="宋体" w:cs="宋体"/>
          <w:bCs/>
          <w:color w:val="auto"/>
          <w:sz w:val="24"/>
          <w:highlight w:val="none"/>
        </w:rPr>
        <w:t xml:space="preserve">3.2.1 </w:t>
      </w:r>
      <w:r>
        <w:rPr>
          <w:rFonts w:hint="eastAsia" w:ascii="宋体" w:hAnsi="宋体" w:cs="宋体"/>
          <w:color w:val="auto"/>
          <w:sz w:val="24"/>
          <w:highlight w:val="none"/>
        </w:rPr>
        <w:t>供应商逐家回答磋商小组的提问；</w:t>
      </w:r>
      <w:r>
        <w:rPr>
          <w:rFonts w:hint="eastAsia" w:ascii="宋体" w:hAnsi="宋体" w:cs="宋体"/>
          <w:b/>
          <w:color w:val="auto"/>
          <w:sz w:val="24"/>
          <w:highlight w:val="none"/>
        </w:rPr>
        <w:t>逐家磋商一次为一个轮次，磋商轮次根据实际情况进行。</w:t>
      </w:r>
    </w:p>
    <w:p>
      <w:pPr>
        <w:spacing w:line="360" w:lineRule="auto"/>
        <w:ind w:firstLine="470" w:firstLineChars="196"/>
        <w:rPr>
          <w:rFonts w:ascii="宋体" w:hAnsi="宋体" w:cs="宋体"/>
          <w:color w:val="auto"/>
          <w:sz w:val="24"/>
          <w:highlight w:val="none"/>
        </w:rPr>
      </w:pPr>
      <w:r>
        <w:rPr>
          <w:rFonts w:hint="eastAsia" w:ascii="宋体" w:hAnsi="宋体" w:cs="宋体"/>
          <w:bCs/>
          <w:color w:val="auto"/>
          <w:sz w:val="24"/>
          <w:highlight w:val="none"/>
        </w:rPr>
        <w:t xml:space="preserve">3.2.2 </w:t>
      </w:r>
      <w:r>
        <w:rPr>
          <w:rFonts w:hint="eastAsia" w:ascii="宋体" w:hAnsi="宋体" w:cs="宋体"/>
          <w:color w:val="auto"/>
          <w:sz w:val="24"/>
          <w:highlight w:val="none"/>
        </w:rPr>
        <w:t>供应商应按磋商小组通知的时间在线或以邮件回复做出承诺或回复，承诺或回复的内容须由供应商法定代表人或授权代表签署，并作为响应文件的补充部分。</w:t>
      </w:r>
    </w:p>
    <w:p>
      <w:pPr>
        <w:spacing w:line="360" w:lineRule="auto"/>
        <w:ind w:firstLine="470" w:firstLineChars="196"/>
        <w:rPr>
          <w:rFonts w:ascii="宋体" w:hAnsi="宋体" w:cs="宋体"/>
          <w:bCs/>
          <w:color w:val="auto"/>
          <w:kern w:val="0"/>
          <w:sz w:val="24"/>
          <w:highlight w:val="none"/>
        </w:rPr>
      </w:pPr>
      <w:r>
        <w:rPr>
          <w:rFonts w:hint="eastAsia" w:ascii="宋体" w:hAnsi="宋体" w:cs="宋体"/>
          <w:color w:val="auto"/>
          <w:sz w:val="24"/>
          <w:highlight w:val="none"/>
        </w:rPr>
        <w:t xml:space="preserve">3.2.3 </w:t>
      </w:r>
      <w:r>
        <w:rPr>
          <w:rFonts w:hint="eastAsia" w:ascii="宋体" w:hAnsi="宋体" w:cs="宋体"/>
          <w:b/>
          <w:bCs/>
          <w:color w:val="auto"/>
          <w:sz w:val="24"/>
          <w:highlight w:val="none"/>
        </w:rPr>
        <w:t>在磋商过程中，磋商小组可以根据磋商文件和磋商情况实质性变动采购需求中的“※”号技术、服务要求以及合同草案中的“※”号条款，但不得变动磋商文件中的其他内容。</w:t>
      </w:r>
      <w:r>
        <w:rPr>
          <w:rFonts w:hint="eastAsia" w:ascii="宋体" w:hAnsi="宋体" w:cs="宋体"/>
          <w:color w:val="auto"/>
          <w:sz w:val="24"/>
          <w:highlight w:val="none"/>
        </w:rPr>
        <w:t>实质性变动的内容，须经采购人代表确认。磋商文件有实质性变动的，磋商小组将以书面形式通知所有</w:t>
      </w:r>
      <w:r>
        <w:rPr>
          <w:rFonts w:hint="eastAsia" w:ascii="宋体" w:hAnsi="宋体" w:cs="宋体"/>
          <w:color w:val="auto"/>
          <w:kern w:val="0"/>
          <w:sz w:val="24"/>
          <w:highlight w:val="none"/>
        </w:rPr>
        <w:t>符合性审查合格的</w:t>
      </w:r>
      <w:r>
        <w:rPr>
          <w:rFonts w:hint="eastAsia" w:ascii="宋体" w:hAnsi="宋体" w:cs="宋体"/>
          <w:color w:val="auto"/>
          <w:sz w:val="24"/>
          <w:highlight w:val="none"/>
        </w:rPr>
        <w:t xml:space="preserve">供应商。 </w:t>
      </w:r>
    </w:p>
    <w:p>
      <w:pPr>
        <w:spacing w:line="360" w:lineRule="auto"/>
        <w:ind w:firstLine="472" w:firstLineChars="196"/>
        <w:rPr>
          <w:rFonts w:ascii="宋体" w:hAnsi="宋体" w:cs="宋体"/>
          <w:b/>
          <w:bCs/>
          <w:color w:val="auto"/>
          <w:kern w:val="0"/>
          <w:sz w:val="24"/>
          <w:highlight w:val="none"/>
        </w:rPr>
      </w:pPr>
      <w:r>
        <w:rPr>
          <w:rFonts w:hint="eastAsia" w:ascii="宋体" w:hAnsi="宋体" w:cs="宋体"/>
          <w:b/>
          <w:bCs/>
          <w:color w:val="auto"/>
          <w:kern w:val="0"/>
          <w:sz w:val="24"/>
          <w:highlight w:val="none"/>
        </w:rPr>
        <w:t>3.3最后报价</w:t>
      </w:r>
    </w:p>
    <w:p>
      <w:pPr>
        <w:spacing w:line="360" w:lineRule="auto"/>
        <w:ind w:firstLine="470" w:firstLineChars="196"/>
        <w:rPr>
          <w:rFonts w:ascii="宋体" w:hAnsi="宋体" w:cs="宋体"/>
          <w:color w:val="auto"/>
          <w:kern w:val="0"/>
          <w:sz w:val="24"/>
          <w:highlight w:val="none"/>
        </w:rPr>
      </w:pPr>
      <w:r>
        <w:rPr>
          <w:rFonts w:hint="eastAsia" w:ascii="宋体" w:hAnsi="宋体" w:cs="宋体"/>
          <w:color w:val="auto"/>
          <w:kern w:val="0"/>
          <w:sz w:val="24"/>
          <w:highlight w:val="none"/>
        </w:rPr>
        <w:t>3.3.1 磋商文件能够详细列明采购标的的技术、服务要求的，磋商结束后，磋商小组应当要求所有符合性审查合格的供应商在规定时间内提交最后报价，提交最后报价的供应商不得少于3家。</w:t>
      </w:r>
    </w:p>
    <w:p>
      <w:pPr>
        <w:spacing w:line="360" w:lineRule="auto"/>
        <w:ind w:firstLine="470" w:firstLineChars="196"/>
        <w:rPr>
          <w:rFonts w:ascii="宋体" w:hAnsi="宋体" w:cs="宋体"/>
          <w:color w:val="auto"/>
          <w:kern w:val="0"/>
          <w:sz w:val="24"/>
          <w:highlight w:val="none"/>
        </w:rPr>
      </w:pPr>
      <w:r>
        <w:rPr>
          <w:rFonts w:hint="eastAsia" w:ascii="宋体" w:hAnsi="宋体" w:cs="宋体"/>
          <w:color w:val="auto"/>
          <w:kern w:val="0"/>
          <w:sz w:val="24"/>
          <w:highlight w:val="none"/>
        </w:rPr>
        <w:t>3.3.2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spacing w:line="360" w:lineRule="auto"/>
        <w:ind w:firstLine="470" w:firstLineChars="196"/>
        <w:rPr>
          <w:rFonts w:ascii="宋体" w:hAnsi="宋体" w:cs="宋体"/>
          <w:color w:val="auto"/>
          <w:kern w:val="0"/>
          <w:sz w:val="24"/>
          <w:highlight w:val="none"/>
        </w:rPr>
      </w:pPr>
      <w:r>
        <w:rPr>
          <w:rFonts w:hint="eastAsia" w:ascii="宋体" w:hAnsi="宋体" w:cs="宋体"/>
          <w:color w:val="auto"/>
          <w:kern w:val="0"/>
          <w:sz w:val="24"/>
          <w:highlight w:val="none"/>
        </w:rPr>
        <w:t>3.3.3 已提交响应文件的供应商，在提交最后报价之前，可以根据磋商情况退出磋商</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3.4 综合评分。</w:t>
      </w:r>
      <w:r>
        <w:rPr>
          <w:rFonts w:hint="eastAsia" w:ascii="宋体" w:hAnsi="宋体" w:cs="宋体"/>
          <w:bCs/>
          <w:color w:val="auto"/>
          <w:kern w:val="0"/>
          <w:sz w:val="24"/>
          <w:highlight w:val="none"/>
        </w:rPr>
        <w:t>经磋商确定最终采购需求和提交最后报价的供应商后，</w:t>
      </w:r>
      <w:r>
        <w:rPr>
          <w:rFonts w:hint="eastAsia" w:ascii="宋体" w:hAnsi="宋体" w:cs="宋体"/>
          <w:color w:val="auto"/>
          <w:kern w:val="0"/>
          <w:sz w:val="24"/>
          <w:highlight w:val="none"/>
        </w:rPr>
        <w:t>磋商小组应当按照采购文件中规定的评审标准，对符合性审查合格的响应文件进行综合评分。磋商文件中没有规定的评审标准不得作为评审依据。</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3.5汇总商务技术得分。</w:t>
      </w:r>
      <w:r>
        <w:rPr>
          <w:rFonts w:hint="eastAsia" w:ascii="宋体" w:hAnsi="宋体" w:cs="宋体"/>
          <w:color w:val="auto"/>
          <w:kern w:val="0"/>
          <w:sz w:val="24"/>
          <w:highlight w:val="none"/>
        </w:rPr>
        <w:t>磋商小组各成员应当独立对每个供应商的商务和技术文件进行评价，并汇总商务技术得分情况。磋商小组成员总评分偏离平均分30%以上的，以及个人主观打分偏离所有磋商小组成员主观打分平均值</w:t>
      </w:r>
      <w:r>
        <w:rPr>
          <w:rFonts w:ascii="宋体" w:hAnsi="宋体" w:cs="宋体"/>
          <w:color w:val="auto"/>
          <w:kern w:val="0"/>
          <w:sz w:val="24"/>
          <w:highlight w:val="none"/>
        </w:rPr>
        <w:t>30%以上的，由</w:t>
      </w:r>
      <w:r>
        <w:rPr>
          <w:rFonts w:hint="eastAsia" w:ascii="宋体" w:hAnsi="宋体" w:cs="宋体"/>
          <w:color w:val="auto"/>
          <w:kern w:val="0"/>
          <w:sz w:val="24"/>
          <w:highlight w:val="none"/>
        </w:rPr>
        <w:t>磋商小组</w:t>
      </w:r>
      <w:r>
        <w:rPr>
          <w:rFonts w:ascii="宋体" w:hAnsi="宋体" w:cs="宋体"/>
          <w:color w:val="auto"/>
          <w:kern w:val="0"/>
          <w:sz w:val="24"/>
          <w:highlight w:val="none"/>
        </w:rPr>
        <w:t>启动评分畸高、畸低行为认定程序</w:t>
      </w:r>
      <w:r>
        <w:rPr>
          <w:rFonts w:hint="eastAsia" w:ascii="宋体" w:hAnsi="宋体" w:cs="宋体"/>
          <w:color w:val="auto"/>
          <w:kern w:val="0"/>
          <w:sz w:val="24"/>
          <w:highlight w:val="none"/>
        </w:rPr>
        <w:t>，磋商小组组长应提醒相关评审人员进行复核或书面说明理由，评审人员拒绝说明的，由现场监督员据实记录；评审人员的评审、修改记录应保留原件，随项目其他资料一并存档。</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3.6报价评审。</w:t>
      </w:r>
    </w:p>
    <w:p>
      <w:pPr>
        <w:pStyle w:val="132"/>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3.6.1响应文件报价出现前后不一致的，按照下列规定修正：</w:t>
      </w:r>
    </w:p>
    <w:p>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3.6.1.1响应文件中已标价工程量清单内容与响应文件中相应内容不一致的，以已标价工程量清单为准;</w:t>
      </w:r>
    </w:p>
    <w:p>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3.6.1.2大写金额和小写金额不一致的，以大写金额为准;</w:t>
      </w:r>
    </w:p>
    <w:p>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3.6.1.3单价金额小数点或者百分比有明显错位的，以已标价工程量清单的总价为准，并修改单价;</w:t>
      </w:r>
    </w:p>
    <w:p>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3.6.1.4总价金额与按单价汇总金额不一致的，以单价金额计算结果为准。</w:t>
      </w:r>
    </w:p>
    <w:p>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3.6.1.5同时出现两种以上不一致的，按照3.6.1规定的顺序修正。修正后的报价经供应商确认后产生约束力。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3.6.2响应文件出现不是唯一的、有选择性最后报价的，响应文件无效。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3.6.3最后报价超过采购文件中规定的预算金额或者最高限价的，响应文件无效。</w:t>
      </w:r>
    </w:p>
    <w:p>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3.6.4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联合协议或者分包意向协议约定小微企业的合同份额占到合同总金额30%以上的，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3.7排序与推荐。</w:t>
      </w:r>
      <w:r>
        <w:rPr>
          <w:rFonts w:hint="eastAsia" w:ascii="宋体" w:hAnsi="宋体" w:cs="宋体"/>
          <w:color w:val="auto"/>
          <w:kern w:val="0"/>
          <w:sz w:val="24"/>
          <w:highlight w:val="none"/>
        </w:rPr>
        <w:t>评审结果按评审后得分由高到低顺序排列。得分相同的，按最后报价由低到高顺序排列。得分且最后报价相同的并列。响应文件满足采购文件全部实质性要求，且按照评审因素的量化指标评审得分由高到低顺序推荐3名以上成交候选供应商</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3.8编写评审报告。</w:t>
      </w:r>
      <w:r>
        <w:rPr>
          <w:rFonts w:hint="eastAsia" w:ascii="宋体" w:hAnsi="宋体" w:cs="宋体"/>
          <w:color w:val="auto"/>
          <w:kern w:val="0"/>
          <w:sz w:val="24"/>
          <w:highlight w:val="none"/>
        </w:rPr>
        <w:t>磋商小组根据全体评审成员签字的原始评审记录和评审结果编写评审报告。磋商小组成员对需要共同认定的事项存在争议的，应当按照少数服从多数的原则作出结论。持不同意见的磋商小组成员应当在评审报告上签署不同意见及理由，否则视为同意评审报告。</w:t>
      </w:r>
    </w:p>
    <w:p>
      <w:pPr>
        <w:snapToGrid w:val="0"/>
        <w:spacing w:line="360" w:lineRule="auto"/>
        <w:jc w:val="center"/>
        <w:rPr>
          <w:rFonts w:ascii="宋体" w:hAnsi="宋体" w:cs="宋体"/>
          <w:b/>
          <w:color w:val="auto"/>
          <w:sz w:val="32"/>
          <w:highlight w:val="none"/>
        </w:rPr>
      </w:pPr>
      <w:r>
        <w:rPr>
          <w:rFonts w:hint="eastAsia" w:ascii="宋体" w:hAnsi="宋体" w:cs="宋体"/>
          <w:b/>
          <w:color w:val="auto"/>
          <w:sz w:val="32"/>
          <w:highlight w:val="none"/>
        </w:rPr>
        <w:t>四、评审中的其他事项</w:t>
      </w:r>
    </w:p>
    <w:p>
      <w:pPr>
        <w:pStyle w:val="132"/>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4.1供应商澄清、说明或者补正。</w:t>
      </w:r>
      <w:r>
        <w:rPr>
          <w:rFonts w:hint="eastAsia" w:ascii="宋体" w:hAnsi="宋体" w:cs="宋体"/>
          <w:color w:val="auto"/>
          <w:kern w:val="0"/>
          <w:szCs w:val="24"/>
          <w:highlight w:val="none"/>
        </w:rPr>
        <w:t>对于响应文件中含义不明确、同类问题表述不一致或者有明显文字和计算错误的内容需要供应商作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pPr>
        <w:pStyle w:val="25"/>
        <w:spacing w:line="360" w:lineRule="auto"/>
        <w:ind w:left="954" w:leftChars="226" w:hanging="479" w:firstLineChars="0"/>
        <w:rPr>
          <w:rFonts w:cs="宋体"/>
          <w:color w:val="auto"/>
          <w:szCs w:val="21"/>
          <w:highlight w:val="none"/>
        </w:rPr>
      </w:pPr>
      <w:r>
        <w:rPr>
          <w:rFonts w:hint="eastAsia" w:cs="宋体"/>
          <w:b/>
          <w:color w:val="auto"/>
          <w:kern w:val="0"/>
          <w:highlight w:val="none"/>
        </w:rPr>
        <w:t>4.2响应文件无效。</w:t>
      </w:r>
      <w:r>
        <w:rPr>
          <w:rFonts w:hint="eastAsia" w:cs="宋体"/>
          <w:color w:val="auto"/>
          <w:szCs w:val="21"/>
          <w:highlight w:val="none"/>
        </w:rPr>
        <w:t>有下列情形之一的，响应文件无效：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4.2.1供应商不具备采购文件中规定的资格要求的（供应商未提供有效的资格文件的，视为供应商不具备采购文件中规定的资格要求）；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4.2.2响应文件未按照采购文件要求签署、盖章的；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4.2.3采购人拟采购的产品属于政府强制采购的节能产品品目清单范围的，供应商未按采购文件要求提供国家确定的认证机构出具的、处于有效期之内的节能产品认证证书的；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4.2.4响应文件含有采购人不能接受的附加条件的；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4.2.5响应文件中承诺的响应文件有效期少于采购文件中载明的响应文件有效期的；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4.2.6响应文件出现不是唯一的、有选择性最后报价的;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4.2.7最后报价超过采购文件中规定的预算金额或者最高限价的;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4.2.8报价明显低于其他通过符合性审查供应商的报价，有可能影响产品质量或者不能诚信履约的，未能按要求提供书面说明或者提交相关证明材料，不能证明其报价合理性的;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4.2.9供应商对根据修正原则修正后的报价不确认的；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4.2.10供应商提供虚假材料响应的；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4.2.11供应商有恶意串通、妨碍其他供应商的竞争行为、损害采购人或者其他供应商的合法权益情形的；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4.2.12供应商仅提交备份响应文件，未在电子交易平台传输递交响应文件的，响应文件无效；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4.2.13 响应文件不满足采购文件的其它实质性要求的；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Style w:val="25"/>
        <w:snapToGrid w:val="0"/>
        <w:spacing w:line="360" w:lineRule="auto"/>
        <w:ind w:firstLine="472" w:firstLineChars="196"/>
        <w:rPr>
          <w:rFonts w:cs="宋体"/>
          <w:color w:val="auto"/>
          <w:highlight w:val="none"/>
        </w:rPr>
      </w:pPr>
      <w:r>
        <w:rPr>
          <w:rFonts w:hint="eastAsia" w:cs="宋体"/>
          <w:b/>
          <w:color w:val="auto"/>
          <w:highlight w:val="none"/>
        </w:rPr>
        <w:t>5.终止竞争性磋商采购活动。</w:t>
      </w:r>
      <w:r>
        <w:rPr>
          <w:rFonts w:hint="eastAsia" w:cs="宋体"/>
          <w:color w:val="auto"/>
          <w:highlight w:val="none"/>
        </w:rPr>
        <w:t>出现下列情形之一的，采购人或者采购代理机构应当终止竞争性磋商采购活动，发布项目终止公告并说明原因，重新开展采购活动：</w:t>
      </w:r>
    </w:p>
    <w:p>
      <w:pPr>
        <w:pStyle w:val="25"/>
        <w:snapToGrid w:val="0"/>
        <w:spacing w:line="360" w:lineRule="auto"/>
        <w:rPr>
          <w:rFonts w:cs="宋体"/>
          <w:color w:val="auto"/>
          <w:highlight w:val="none"/>
        </w:rPr>
      </w:pPr>
      <w:r>
        <w:rPr>
          <w:rFonts w:hint="eastAsia" w:cs="宋体"/>
          <w:color w:val="auto"/>
          <w:highlight w:val="none"/>
        </w:rPr>
        <w:t>5.1因情况变化，不再符合规定的竞争性磋商采购方式适用情形的；</w:t>
      </w:r>
    </w:p>
    <w:p>
      <w:pPr>
        <w:pStyle w:val="25"/>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5"/>
        <w:snapToGrid w:val="0"/>
        <w:spacing w:line="360" w:lineRule="auto"/>
        <w:rPr>
          <w:rFonts w:cs="宋体"/>
          <w:color w:val="auto"/>
          <w:highlight w:val="none"/>
        </w:rPr>
      </w:pPr>
      <w:r>
        <w:rPr>
          <w:rFonts w:hint="eastAsia" w:cs="宋体"/>
          <w:color w:val="auto"/>
          <w:highlight w:val="none"/>
        </w:rPr>
        <w:t>5.3除本办法第二十一条第三款规定的情形外，在采购过程中符合要求的供应商或者报价未超过采购预算的供应商不足3家的。</w:t>
      </w:r>
    </w:p>
    <w:p>
      <w:pPr>
        <w:pStyle w:val="25"/>
        <w:snapToGrid w:val="0"/>
        <w:spacing w:line="360" w:lineRule="auto"/>
        <w:rPr>
          <w:rFonts w:cs="宋体"/>
          <w:color w:val="auto"/>
          <w:highlight w:val="none"/>
        </w:rPr>
      </w:pPr>
      <w:r>
        <w:rPr>
          <w:rFonts w:hint="eastAsia" w:cs="宋体"/>
          <w:color w:val="auto"/>
          <w:highlight w:val="none"/>
        </w:rPr>
        <w:t>5.4在采购活动中因重大变故，采购任务取消的，采购人或者采购代理机构应当终止采购活动，通知所有参加采购活动的供应商，并将项目实施情况和采购任务取消原因报送本级财政部门。</w:t>
      </w:r>
    </w:p>
    <w:p>
      <w:pPr>
        <w:pStyle w:val="25"/>
        <w:snapToGrid w:val="0"/>
        <w:spacing w:line="360" w:lineRule="auto"/>
        <w:ind w:firstLine="482"/>
        <w:rPr>
          <w:rFonts w:cs="宋体"/>
          <w:color w:val="auto"/>
          <w:highlight w:val="none"/>
        </w:rPr>
      </w:pPr>
      <w:r>
        <w:rPr>
          <w:rFonts w:hint="eastAsia" w:cs="宋体"/>
          <w:b/>
          <w:color w:val="auto"/>
          <w:kern w:val="0"/>
          <w:highlight w:val="none"/>
        </w:rPr>
        <w:t>6.重新开展采购。</w:t>
      </w:r>
      <w:r>
        <w:rPr>
          <w:rFonts w:hint="eastAsia" w:cs="宋体"/>
          <w:color w:val="auto"/>
          <w:highlight w:val="none"/>
        </w:rPr>
        <w:t>有政府采购法第七十一条、第七十二条规定的违法行为之一，影响或者可能影响成交结果的，依照下列规定处理：</w:t>
      </w:r>
    </w:p>
    <w:p>
      <w:pPr>
        <w:pStyle w:val="25"/>
        <w:snapToGrid w:val="0"/>
        <w:spacing w:line="360" w:lineRule="auto"/>
        <w:rPr>
          <w:rFonts w:cs="宋体"/>
          <w:color w:val="auto"/>
          <w:highlight w:val="none"/>
        </w:rPr>
      </w:pPr>
      <w:r>
        <w:rPr>
          <w:rFonts w:hint="eastAsia" w:cs="宋体"/>
          <w:color w:val="auto"/>
          <w:highlight w:val="none"/>
        </w:rPr>
        <w:t>6.1未确定成交供应商的，终止本次政府采购活动，重新开展政府采购活动。</w:t>
      </w:r>
    </w:p>
    <w:p>
      <w:pPr>
        <w:pStyle w:val="25"/>
        <w:snapToGrid w:val="0"/>
        <w:spacing w:line="360" w:lineRule="auto"/>
        <w:rPr>
          <w:rFonts w:cs="宋体"/>
          <w:color w:val="auto"/>
          <w:highlight w:val="none"/>
        </w:rPr>
      </w:pPr>
      <w:r>
        <w:rPr>
          <w:rFonts w:hint="eastAsia" w:cs="宋体"/>
          <w:color w:val="auto"/>
          <w:highlight w:val="none"/>
        </w:rPr>
        <w:t>6.2已确定成交供应商但尚未签订政府采购合同的，成交结果无效，从合格的成交候选供应商中另行确定成交供应商；没有合格的成交候选供应商的，重新开展政府采购活动。</w:t>
      </w:r>
    </w:p>
    <w:p>
      <w:pPr>
        <w:pStyle w:val="25"/>
        <w:snapToGrid w:val="0"/>
        <w:spacing w:line="360" w:lineRule="auto"/>
        <w:rPr>
          <w:rFonts w:cs="宋体"/>
          <w:color w:val="auto"/>
          <w:highlight w:val="none"/>
        </w:rPr>
      </w:pPr>
      <w:r>
        <w:rPr>
          <w:rFonts w:hint="eastAsia" w:cs="宋体"/>
          <w:color w:val="auto"/>
          <w:highlight w:val="none"/>
        </w:rPr>
        <w:t>6.3政府采购合同已签订但尚未履行的，撤销合同，从合格的成交候选供应商中另行确定成交供应商；没有合格的成交候选供应商的，重新开展政府采购活动。</w:t>
      </w:r>
    </w:p>
    <w:p>
      <w:pPr>
        <w:pStyle w:val="25"/>
        <w:snapToGrid w:val="0"/>
        <w:spacing w:line="360" w:lineRule="auto"/>
        <w:rPr>
          <w:rFonts w:cs="宋体"/>
          <w:color w:val="auto"/>
          <w:highlight w:val="none"/>
        </w:rPr>
      </w:pPr>
      <w:r>
        <w:rPr>
          <w:rFonts w:hint="eastAsia" w:cs="宋体"/>
          <w:color w:val="auto"/>
          <w:highlight w:val="none"/>
        </w:rPr>
        <w:t>6.4政府采购合同已经履行，给采购人、供应商造成损失的，由责任人承担赔偿责任。</w:t>
      </w:r>
    </w:p>
    <w:p>
      <w:pPr>
        <w:pStyle w:val="25"/>
        <w:snapToGrid w:val="0"/>
        <w:spacing w:line="360" w:lineRule="auto"/>
        <w:rPr>
          <w:rFonts w:cs="宋体"/>
          <w:color w:val="auto"/>
          <w:highlight w:val="none"/>
        </w:rPr>
      </w:pPr>
      <w:r>
        <w:rPr>
          <w:rFonts w:hint="eastAsia" w:cs="宋体"/>
          <w:color w:val="auto"/>
          <w:highlight w:val="none"/>
        </w:rPr>
        <w:t>6.5政府采购当事人有其他违反政府采购法或者政府采购法实施条例等法律法规规定的行为，经改正后仍然影响或者可能影响成交结果或者依法被认定为成交无效的，依照6.1-6.4规定处理。</w:t>
      </w:r>
    </w:p>
    <w:p>
      <w:pPr>
        <w:pStyle w:val="25"/>
        <w:snapToGrid w:val="0"/>
        <w:spacing w:line="360" w:lineRule="auto"/>
        <w:ind w:firstLine="0" w:firstLineChars="0"/>
        <w:rPr>
          <w:rFonts w:cs="宋体"/>
          <w:color w:val="auto"/>
          <w:highlight w:val="none"/>
        </w:rPr>
        <w:sectPr>
          <w:pgSz w:w="11907" w:h="16840"/>
          <w:pgMar w:top="1440" w:right="1080" w:bottom="1440" w:left="1080" w:header="851" w:footer="851" w:gutter="0"/>
          <w:cols w:space="720" w:num="1"/>
        </w:sectPr>
      </w:pPr>
    </w:p>
    <w:bookmarkEnd w:id="31"/>
    <w:p>
      <w:pPr>
        <w:spacing w:line="360" w:lineRule="auto"/>
        <w:jc w:val="center"/>
        <w:outlineLvl w:val="0"/>
        <w:rPr>
          <w:rFonts w:ascii="宋体" w:hAnsi="宋体" w:cs="宋体"/>
          <w:b/>
          <w:color w:val="auto"/>
          <w:sz w:val="36"/>
          <w:szCs w:val="36"/>
          <w:highlight w:val="none"/>
        </w:rPr>
      </w:pPr>
      <w:bookmarkStart w:id="397" w:name="第五部分"/>
      <w:bookmarkStart w:id="398" w:name="_Toc86217003"/>
      <w:r>
        <w:rPr>
          <w:rFonts w:hint="eastAsia" w:ascii="宋体" w:hAnsi="宋体" w:cs="宋体"/>
          <w:b/>
          <w:color w:val="auto"/>
          <w:sz w:val="36"/>
          <w:szCs w:val="36"/>
          <w:highlight w:val="none"/>
        </w:rPr>
        <w:t>第五部分 拟签订的合同文本</w:t>
      </w:r>
    </w:p>
    <w:p>
      <w:pPr>
        <w:ind w:right="2690"/>
        <w:jc w:val="right"/>
        <w:rPr>
          <w:rFonts w:hAnsi="宋体" w:cs="宋体"/>
          <w:b/>
          <w:color w:val="auto"/>
          <w:szCs w:val="28"/>
          <w:highlight w:val="none"/>
        </w:rPr>
      </w:pPr>
    </w:p>
    <w:p>
      <w:pPr>
        <w:ind w:right="2690"/>
        <w:jc w:val="right"/>
        <w:rPr>
          <w:rFonts w:hAnsi="宋体" w:cs="宋体"/>
          <w:b/>
          <w:color w:val="auto"/>
          <w:sz w:val="24"/>
          <w:highlight w:val="none"/>
        </w:rPr>
      </w:pPr>
      <w:r>
        <w:rPr>
          <w:rFonts w:hAnsi="宋体" w:cs="宋体"/>
          <w:b/>
          <w:color w:val="auto"/>
          <w:sz w:val="24"/>
          <w:highlight w:val="none"/>
        </w:rPr>
        <w:t>合同编号：</w:t>
      </w:r>
    </w:p>
    <w:p>
      <w:pPr>
        <w:keepNext/>
        <w:keepLines/>
        <w:numPr>
          <w:ilvl w:val="1"/>
          <w:numId w:val="0"/>
        </w:numPr>
        <w:snapToGrid w:val="0"/>
        <w:spacing w:before="100" w:line="360" w:lineRule="auto"/>
        <w:jc w:val="center"/>
        <w:rPr>
          <w:rFonts w:ascii="宋体" w:hAnsi="宋体" w:cs="宋体"/>
          <w:snapToGrid w:val="0"/>
          <w:color w:val="auto"/>
          <w:kern w:val="44"/>
          <w:sz w:val="28"/>
          <w:szCs w:val="20"/>
          <w:highlight w:val="none"/>
        </w:rPr>
      </w:pPr>
      <w:r>
        <w:rPr>
          <w:rFonts w:hint="eastAsia" w:ascii="宋体" w:hAnsi="宋体" w:cs="宋体"/>
          <w:snapToGrid w:val="0"/>
          <w:color w:val="auto"/>
          <w:kern w:val="44"/>
          <w:sz w:val="28"/>
          <w:szCs w:val="20"/>
          <w:highlight w:val="none"/>
        </w:rPr>
        <w:t>第一部分  合同协议书</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发包人（全称）：</w:t>
      </w:r>
      <w:r>
        <w:rPr>
          <w:rFonts w:hint="eastAsia" w:hAnsi="宋体" w:cs="仿宋_GB2312"/>
          <w:color w:val="auto"/>
          <w:szCs w:val="21"/>
          <w:highlight w:val="none"/>
          <w:u w:val="single"/>
        </w:rPr>
        <w:t></w:t>
      </w:r>
      <w:r>
        <w:rPr>
          <w:rFonts w:hint="eastAsia" w:hAnsi="宋体" w:cs="仿宋_GB2312"/>
          <w:color w:val="auto"/>
          <w:szCs w:val="21"/>
          <w:highlight w:val="none"/>
          <w:u w:val="single"/>
          <w:lang w:val="en-US" w:eastAsia="zh-CN"/>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p>
    <w:p>
      <w:pPr>
        <w:adjustRightInd w:val="0"/>
        <w:snapToGrid w:val="0"/>
        <w:spacing w:line="360" w:lineRule="auto"/>
        <w:rPr>
          <w:rFonts w:hint="eastAsia" w:hAnsi="宋体" w:cs="仿宋_GB2312"/>
          <w:color w:val="auto"/>
          <w:szCs w:val="21"/>
          <w:highlight w:val="none"/>
          <w:u w:val="single"/>
        </w:rPr>
      </w:pPr>
      <w:r>
        <w:rPr>
          <w:rFonts w:hint="eastAsia" w:hAnsi="宋体"/>
          <w:color w:val="auto"/>
          <w:szCs w:val="21"/>
          <w:highlight w:val="none"/>
        </w:rPr>
        <w:t>承包人（全称）：</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lang w:val="en-US" w:eastAsia="zh-CN"/>
        </w:rPr>
        <w:t>根据</w:t>
      </w:r>
      <w:r>
        <w:rPr>
          <w:rFonts w:hint="eastAsia" w:hAnsi="宋体"/>
          <w:color w:val="auto"/>
          <w:szCs w:val="21"/>
          <w:highlight w:val="none"/>
        </w:rPr>
        <w:t>《</w:t>
      </w:r>
      <w:r>
        <w:rPr>
          <w:rFonts w:hint="eastAsia" w:hAnsi="宋体"/>
          <w:color w:val="auto"/>
          <w:szCs w:val="21"/>
          <w:highlight w:val="none"/>
          <w:lang w:val="en-US" w:eastAsia="zh-CN"/>
        </w:rPr>
        <w:t>民法典</w:t>
      </w:r>
      <w:r>
        <w:rPr>
          <w:rFonts w:hint="eastAsia" w:hAnsi="宋体"/>
          <w:color w:val="auto"/>
          <w:szCs w:val="21"/>
          <w:highlight w:val="none"/>
        </w:rPr>
        <w:t>》、《中华人民共和国建筑法》及有关法律规定，遵循平等、自愿、公平和诚实信用的原则，双方就</w:t>
      </w:r>
      <w:r>
        <w:rPr>
          <w:rFonts w:hint="eastAsia" w:hAnsi="宋体"/>
          <w:color w:val="auto"/>
          <w:szCs w:val="21"/>
          <w:highlight w:val="none"/>
          <w:u w:val="single"/>
        </w:rPr>
        <w:t xml:space="preserve">                 </w:t>
      </w:r>
      <w:r>
        <w:rPr>
          <w:rFonts w:hint="eastAsia" w:hAnsi="宋体"/>
          <w:color w:val="auto"/>
          <w:szCs w:val="21"/>
          <w:highlight w:val="none"/>
        </w:rPr>
        <w:t>施工及有关事项协商一致，共同达成如下协议：</w:t>
      </w:r>
    </w:p>
    <w:p>
      <w:pPr>
        <w:adjustRightInd w:val="0"/>
        <w:snapToGrid w:val="0"/>
        <w:spacing w:line="360" w:lineRule="auto"/>
        <w:ind w:firstLine="420" w:firstLineChars="200"/>
        <w:rPr>
          <w:rFonts w:hint="eastAsia" w:hAnsi="宋体"/>
          <w:color w:val="auto"/>
          <w:szCs w:val="21"/>
          <w:highlight w:val="none"/>
        </w:rPr>
      </w:pPr>
      <w:bookmarkStart w:id="399" w:name="_Toc351203481"/>
      <w:r>
        <w:rPr>
          <w:rFonts w:hint="eastAsia" w:hAnsi="宋体"/>
          <w:color w:val="auto"/>
          <w:szCs w:val="21"/>
          <w:highlight w:val="none"/>
        </w:rPr>
        <w:t>一、工程概况</w:t>
      </w:r>
      <w:bookmarkEnd w:id="399"/>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1.工程名称：</w:t>
      </w:r>
      <w:r>
        <w:rPr>
          <w:rFonts w:hint="eastAsia" w:hAnsi="宋体"/>
          <w:color w:val="auto"/>
          <w:szCs w:val="21"/>
          <w:highlight w:val="none"/>
          <w:u w:val="single"/>
          <w:lang w:eastAsia="zh-CN"/>
        </w:rPr>
        <w:t>杭州市人民职业学校宿舍整修项目</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2.工程地点：</w:t>
      </w: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r>
        <w:rPr>
          <w:rFonts w:hint="eastAsia" w:hAnsi="宋体"/>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3.工程立项批准文号：</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4.资金来源：</w:t>
      </w:r>
      <w:r>
        <w:rPr>
          <w:rFonts w:hint="eastAsia" w:hAnsi="宋体"/>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5.工程内容：</w:t>
      </w:r>
      <w:r>
        <w:rPr>
          <w:rFonts w:hint="eastAsia" w:hAnsi="宋体"/>
          <w:color w:val="auto"/>
          <w:szCs w:val="21"/>
          <w:highlight w:val="none"/>
          <w:u w:val="single"/>
        </w:rPr>
        <w:t>竞争性磋商采购文件及其所附用户需求所包含全部内容</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群体工程应附《承包人承揽工程项目一览表》（附件1）。</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6.工程承包范围：</w:t>
      </w:r>
      <w:r>
        <w:rPr>
          <w:rFonts w:hint="eastAsia" w:hAnsi="宋体"/>
          <w:color w:val="auto"/>
          <w:szCs w:val="21"/>
          <w:highlight w:val="none"/>
          <w:u w:val="single"/>
        </w:rPr>
        <w:t>具体用户需求。</w:t>
      </w:r>
    </w:p>
    <w:p>
      <w:pPr>
        <w:adjustRightInd w:val="0"/>
        <w:snapToGrid w:val="0"/>
        <w:spacing w:line="360" w:lineRule="auto"/>
        <w:ind w:firstLine="420" w:firstLineChars="200"/>
        <w:rPr>
          <w:rFonts w:hint="eastAsia" w:hAnsi="宋体"/>
          <w:color w:val="auto"/>
          <w:szCs w:val="21"/>
          <w:highlight w:val="none"/>
        </w:rPr>
      </w:pPr>
      <w:bookmarkStart w:id="400" w:name="_Toc351203482"/>
      <w:r>
        <w:rPr>
          <w:rFonts w:hint="eastAsia" w:hAnsi="宋体"/>
          <w:color w:val="auto"/>
          <w:szCs w:val="21"/>
          <w:highlight w:val="none"/>
        </w:rPr>
        <w:t>二、合同工期</w:t>
      </w:r>
      <w:bookmarkEnd w:id="400"/>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计划开工日期：</w:t>
      </w:r>
      <w:r>
        <w:rPr>
          <w:rFonts w:hint="eastAsia" w:hAnsi="宋体" w:cs="仿宋_GB2312"/>
          <w:color w:val="auto"/>
          <w:szCs w:val="21"/>
          <w:highlight w:val="none"/>
          <w:u w:val="single"/>
        </w:rPr>
        <w:t></w:t>
      </w:r>
      <w:r>
        <w:rPr>
          <w:rFonts w:hint="eastAsia" w:hAnsi="宋体" w:cs="仿宋_GB2312"/>
          <w:color w:val="auto"/>
          <w:szCs w:val="21"/>
          <w:highlight w:val="none"/>
          <w:u w:val="single"/>
          <w:lang w:val="en-US" w:eastAsia="zh-CN"/>
        </w:rPr>
        <w:t xml:space="preserve">  </w:t>
      </w:r>
      <w:r>
        <w:rPr>
          <w:rFonts w:hint="eastAsia" w:hAnsi="宋体" w:cs="仿宋_GB2312"/>
          <w:color w:val="auto"/>
          <w:szCs w:val="21"/>
          <w:highlight w:val="none"/>
          <w:u w:val="single"/>
        </w:rPr>
        <w:t xml:space="preserve"> </w:t>
      </w:r>
      <w:r>
        <w:rPr>
          <w:rFonts w:hint="eastAsia" w:hAnsi="宋体"/>
          <w:color w:val="auto"/>
          <w:szCs w:val="21"/>
          <w:highlight w:val="none"/>
        </w:rPr>
        <w:t>年</w:t>
      </w:r>
      <w:r>
        <w:rPr>
          <w:rFonts w:hint="eastAsia" w:hAnsi="宋体" w:cs="仿宋_GB2312"/>
          <w:color w:val="auto"/>
          <w:szCs w:val="21"/>
          <w:highlight w:val="none"/>
          <w:u w:val="single"/>
        </w:rPr>
        <w:t></w:t>
      </w:r>
      <w:r>
        <w:rPr>
          <w:rFonts w:hint="eastAsia" w:hAnsi="宋体" w:cs="仿宋_GB2312"/>
          <w:color w:val="auto"/>
          <w:szCs w:val="21"/>
          <w:highlight w:val="none"/>
          <w:u w:val="single"/>
          <w:lang w:val="en-US" w:eastAsia="zh-CN"/>
        </w:rPr>
        <w:t xml:space="preserve"> </w:t>
      </w:r>
      <w:r>
        <w:rPr>
          <w:rFonts w:hint="eastAsia" w:hAnsi="宋体" w:cs="仿宋_GB2312"/>
          <w:color w:val="auto"/>
          <w:szCs w:val="21"/>
          <w:highlight w:val="none"/>
          <w:u w:val="single"/>
        </w:rPr>
        <w:t></w:t>
      </w:r>
      <w:r>
        <w:rPr>
          <w:rFonts w:hint="eastAsia" w:hAnsi="宋体"/>
          <w:color w:val="auto"/>
          <w:szCs w:val="21"/>
          <w:highlight w:val="none"/>
        </w:rPr>
        <w:t>月</w:t>
      </w:r>
      <w:r>
        <w:rPr>
          <w:rFonts w:hint="eastAsia" w:ascii="MingLiU_HKSCS" w:hAnsi="MingLiU_HKSCS" w:cs="MingLiU_HKSCS"/>
          <w:color w:val="auto"/>
          <w:szCs w:val="21"/>
          <w:highlight w:val="none"/>
          <w:u w:val="single"/>
        </w:rPr>
        <w:t xml:space="preserve">   </w:t>
      </w:r>
      <w:r>
        <w:rPr>
          <w:rFonts w:hint="eastAsia" w:ascii="MingLiU_HKSCS" w:hAnsi="MingLiU_HKSCS" w:cs="MingLiU_HKSCS"/>
          <w:color w:val="auto"/>
          <w:szCs w:val="21"/>
          <w:highlight w:val="none"/>
          <w:u w:val="single"/>
          <w:lang w:val="en-US" w:eastAsia="zh-CN"/>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日</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计划竣工日期：</w:t>
      </w:r>
      <w:r>
        <w:rPr>
          <w:rFonts w:hint="eastAsia" w:ascii="MingLiU_HKSCS" w:hAnsi="MingLiU_HKSCS" w:cs="MingLiU_HKSCS"/>
          <w:color w:val="auto"/>
          <w:szCs w:val="21"/>
          <w:highlight w:val="none"/>
          <w:u w:val="single"/>
        </w:rPr>
        <w:t xml:space="preserve">   </w:t>
      </w:r>
      <w:r>
        <w:rPr>
          <w:rFonts w:hint="eastAsia" w:ascii="MingLiU_HKSCS" w:hAnsi="MingLiU_HKSCS" w:cs="MingLiU_HKSCS"/>
          <w:color w:val="auto"/>
          <w:szCs w:val="21"/>
          <w:highlight w:val="none"/>
          <w:u w:val="single"/>
          <w:lang w:val="en-US" w:eastAsia="zh-CN"/>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年</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月</w:t>
      </w:r>
      <w:r>
        <w:rPr>
          <w:rFonts w:hint="eastAsia" w:ascii="MingLiU_HKSCS" w:hAnsi="MingLiU_HKSCS" w:cs="MingLiU_HKSCS"/>
          <w:color w:val="auto"/>
          <w:szCs w:val="21"/>
          <w:highlight w:val="none"/>
          <w:u w:val="single"/>
        </w:rPr>
        <w:t xml:space="preserve">   </w:t>
      </w:r>
      <w:r>
        <w:rPr>
          <w:rFonts w:hint="eastAsia" w:ascii="MingLiU_HKSCS" w:hAnsi="MingLiU_HKSCS" w:cs="MingLiU_HKSCS"/>
          <w:color w:val="auto"/>
          <w:szCs w:val="21"/>
          <w:highlight w:val="none"/>
          <w:u w:val="single"/>
          <w:lang w:val="en-US" w:eastAsia="zh-CN"/>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日</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工期总日历天数：</w:t>
      </w:r>
      <w:r>
        <w:rPr>
          <w:rFonts w:hint="eastAsia" w:hAnsi="宋体" w:cs="仿宋_GB2312"/>
          <w:color w:val="auto"/>
          <w:szCs w:val="21"/>
          <w:highlight w:val="none"/>
          <w:u w:val="single"/>
        </w:rPr>
        <w:t></w:t>
      </w:r>
      <w:r>
        <w:rPr>
          <w:rFonts w:hint="eastAsia" w:hAnsi="宋体" w:cs="仿宋_GB2312"/>
          <w:color w:val="auto"/>
          <w:szCs w:val="21"/>
          <w:highlight w:val="none"/>
          <w:u w:val="single"/>
          <w:lang w:val="en-US" w:eastAsia="zh-CN"/>
        </w:rPr>
        <w:t xml:space="preserve">  </w:t>
      </w:r>
      <w:r>
        <w:rPr>
          <w:rFonts w:hint="eastAsia" w:hAnsi="宋体" w:cs="仿宋_GB2312"/>
          <w:color w:val="auto"/>
          <w:szCs w:val="21"/>
          <w:highlight w:val="none"/>
          <w:u w:val="single"/>
        </w:rPr>
        <w:t></w:t>
      </w:r>
      <w:r>
        <w:rPr>
          <w:rFonts w:hint="eastAsia" w:hAnsi="宋体"/>
          <w:color w:val="auto"/>
          <w:szCs w:val="21"/>
          <w:highlight w:val="none"/>
        </w:rPr>
        <w:t>天。工期总日历天数与根据前述计划开竣工日期计算的工期天数不一致的，以工期总日历天数为准。</w:t>
      </w:r>
    </w:p>
    <w:p>
      <w:pPr>
        <w:adjustRightInd w:val="0"/>
        <w:snapToGrid w:val="0"/>
        <w:spacing w:line="360" w:lineRule="auto"/>
        <w:ind w:firstLine="420" w:firstLineChars="200"/>
        <w:rPr>
          <w:rFonts w:hint="eastAsia" w:hAnsi="宋体"/>
          <w:color w:val="auto"/>
          <w:szCs w:val="21"/>
          <w:highlight w:val="none"/>
        </w:rPr>
      </w:pPr>
      <w:bookmarkStart w:id="401" w:name="_Toc351203483"/>
      <w:r>
        <w:rPr>
          <w:rFonts w:hint="eastAsia" w:hAnsi="宋体"/>
          <w:color w:val="auto"/>
          <w:szCs w:val="21"/>
          <w:highlight w:val="none"/>
        </w:rPr>
        <w:t>三、质量标准</w:t>
      </w:r>
      <w:bookmarkEnd w:id="401"/>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工程质量符合</w:t>
      </w:r>
      <w:r>
        <w:rPr>
          <w:rFonts w:hint="eastAsia" w:hAnsi="宋体" w:cs="仿宋_GB2312"/>
          <w:color w:val="auto"/>
          <w:szCs w:val="21"/>
          <w:highlight w:val="none"/>
          <w:u w:val="single"/>
        </w:rPr>
        <w:t>工程施工质量验收规范合格</w:t>
      </w:r>
      <w:r>
        <w:rPr>
          <w:rFonts w:hint="eastAsia" w:hAnsi="宋体"/>
          <w:color w:val="auto"/>
          <w:szCs w:val="21"/>
          <w:highlight w:val="none"/>
        </w:rPr>
        <w:t>标准。</w:t>
      </w:r>
    </w:p>
    <w:p>
      <w:pPr>
        <w:adjustRightInd w:val="0"/>
        <w:snapToGrid w:val="0"/>
        <w:spacing w:line="360" w:lineRule="auto"/>
        <w:ind w:firstLine="420" w:firstLineChars="200"/>
        <w:rPr>
          <w:rFonts w:hint="eastAsia" w:hAnsi="宋体"/>
          <w:color w:val="auto"/>
          <w:szCs w:val="21"/>
          <w:highlight w:val="none"/>
        </w:rPr>
      </w:pPr>
      <w:bookmarkStart w:id="402" w:name="_Toc351203484"/>
      <w:r>
        <w:rPr>
          <w:rFonts w:hint="eastAsia" w:hAnsi="宋体"/>
          <w:color w:val="auto"/>
          <w:szCs w:val="21"/>
          <w:highlight w:val="none"/>
        </w:rPr>
        <w:t>四、签约合同价与合同价格形式</w:t>
      </w:r>
      <w:bookmarkEnd w:id="402"/>
      <w:r>
        <w:rPr>
          <w:rFonts w:hint="eastAsia" w:hAnsi="宋体"/>
          <w:color w:val="auto"/>
          <w:szCs w:val="21"/>
          <w:highlight w:val="none"/>
        </w:rPr>
        <w:tab/>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1.签约合同价为：</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人民币（大写）</w:t>
      </w:r>
      <w:r>
        <w:rPr>
          <w:rFonts w:hint="eastAsia" w:hAnsi="宋体"/>
          <w:color w:val="auto"/>
          <w:szCs w:val="21"/>
          <w:highlight w:val="none"/>
          <w:u w:val="single"/>
        </w:rPr>
        <w:t xml:space="preserve">                 </w:t>
      </w:r>
      <w:r>
        <w:rPr>
          <w:rFonts w:hint="eastAsia" w:hAnsi="宋体"/>
          <w:color w:val="auto"/>
          <w:szCs w:val="21"/>
          <w:highlight w:val="none"/>
        </w:rPr>
        <w:t>(¥</w:t>
      </w:r>
      <w:r>
        <w:rPr>
          <w:rFonts w:hint="eastAsia" w:hAnsi="宋体"/>
          <w:color w:val="auto"/>
          <w:szCs w:val="21"/>
          <w:highlight w:val="none"/>
          <w:u w:val="single"/>
        </w:rPr>
        <w:t xml:space="preserve">        </w:t>
      </w:r>
      <w:r>
        <w:rPr>
          <w:rFonts w:hint="eastAsia" w:hAnsi="宋体"/>
          <w:color w:val="auto"/>
          <w:szCs w:val="21"/>
          <w:highlight w:val="none"/>
        </w:rPr>
        <w:t>元)；</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其中：</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（1）安全文明施工费：</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人民币（大写）</w:t>
      </w:r>
      <w:r>
        <w:rPr>
          <w:rFonts w:hint="eastAsia" w:hAnsi="宋体"/>
          <w:color w:val="auto"/>
          <w:szCs w:val="21"/>
          <w:highlight w:val="none"/>
          <w:u w:val="single"/>
        </w:rPr>
        <w:t xml:space="preserve">                 </w:t>
      </w:r>
      <w:r>
        <w:rPr>
          <w:rFonts w:hint="eastAsia" w:hAnsi="宋体"/>
          <w:color w:val="auto"/>
          <w:szCs w:val="21"/>
          <w:highlight w:val="none"/>
        </w:rPr>
        <w:t>(¥</w:t>
      </w:r>
      <w:r>
        <w:rPr>
          <w:rFonts w:hint="eastAsia" w:hAnsi="宋体"/>
          <w:color w:val="auto"/>
          <w:szCs w:val="21"/>
          <w:highlight w:val="none"/>
          <w:u w:val="single"/>
        </w:rPr>
        <w:t xml:space="preserve">            </w:t>
      </w:r>
      <w:r>
        <w:rPr>
          <w:rFonts w:hint="eastAsia" w:hAnsi="宋体"/>
          <w:color w:val="auto"/>
          <w:szCs w:val="21"/>
          <w:highlight w:val="none"/>
        </w:rPr>
        <w:t>元)；</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（2）材料和工程设备暂估价金额：</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人民币（大写）</w:t>
      </w:r>
      <w:r>
        <w:rPr>
          <w:rFonts w:hint="eastAsia" w:hAnsi="宋体"/>
          <w:color w:val="auto"/>
          <w:szCs w:val="21"/>
          <w:highlight w:val="none"/>
          <w:u w:val="single"/>
        </w:rPr>
        <w:t xml:space="preserve">                 </w:t>
      </w:r>
      <w:r>
        <w:rPr>
          <w:rFonts w:hint="eastAsia" w:hAnsi="宋体"/>
          <w:color w:val="auto"/>
          <w:szCs w:val="21"/>
          <w:highlight w:val="none"/>
        </w:rPr>
        <w:t>(¥</w:t>
      </w:r>
      <w:r>
        <w:rPr>
          <w:rFonts w:hint="eastAsia" w:hAnsi="宋体"/>
          <w:color w:val="auto"/>
          <w:szCs w:val="21"/>
          <w:highlight w:val="none"/>
          <w:u w:val="single"/>
        </w:rPr>
        <w:t xml:space="preserve">            </w:t>
      </w:r>
      <w:r>
        <w:rPr>
          <w:rFonts w:hint="eastAsia" w:hAnsi="宋体"/>
          <w:color w:val="auto"/>
          <w:szCs w:val="21"/>
          <w:highlight w:val="none"/>
        </w:rPr>
        <w:t>元)；</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（3）专业工程暂估价金额：</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人民币（大写）</w:t>
      </w:r>
      <w:r>
        <w:rPr>
          <w:rFonts w:hint="eastAsia" w:hAnsi="宋体"/>
          <w:color w:val="auto"/>
          <w:szCs w:val="21"/>
          <w:highlight w:val="none"/>
          <w:u w:val="single"/>
        </w:rPr>
        <w:t xml:space="preserve">                 </w:t>
      </w:r>
      <w:r>
        <w:rPr>
          <w:rFonts w:hint="eastAsia" w:hAnsi="宋体"/>
          <w:color w:val="auto"/>
          <w:szCs w:val="21"/>
          <w:highlight w:val="none"/>
        </w:rPr>
        <w:t>(¥</w:t>
      </w:r>
      <w:r>
        <w:rPr>
          <w:rFonts w:hint="eastAsia" w:hAnsi="宋体"/>
          <w:color w:val="auto"/>
          <w:szCs w:val="21"/>
          <w:highlight w:val="none"/>
          <w:u w:val="single"/>
        </w:rPr>
        <w:t xml:space="preserve">            </w:t>
      </w:r>
      <w:r>
        <w:rPr>
          <w:rFonts w:hint="eastAsia" w:hAnsi="宋体"/>
          <w:color w:val="auto"/>
          <w:szCs w:val="21"/>
          <w:highlight w:val="none"/>
        </w:rPr>
        <w:t>元)；</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（4）暂列金额：</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人民币（大写）</w:t>
      </w:r>
      <w:r>
        <w:rPr>
          <w:rFonts w:hint="eastAsia" w:hAnsi="宋体"/>
          <w:color w:val="auto"/>
          <w:szCs w:val="21"/>
          <w:highlight w:val="none"/>
          <w:u w:val="single"/>
        </w:rPr>
        <w:t xml:space="preserve">      /           </w:t>
      </w:r>
      <w:r>
        <w:rPr>
          <w:rFonts w:hint="eastAsia" w:hAnsi="宋体"/>
          <w:color w:val="auto"/>
          <w:szCs w:val="21"/>
          <w:highlight w:val="none"/>
        </w:rPr>
        <w:t>(¥</w:t>
      </w:r>
      <w:r>
        <w:rPr>
          <w:rFonts w:hint="eastAsia" w:hAnsi="宋体"/>
          <w:color w:val="auto"/>
          <w:szCs w:val="21"/>
          <w:highlight w:val="none"/>
          <w:u w:val="single"/>
        </w:rPr>
        <w:t xml:space="preserve">     /     </w:t>
      </w:r>
      <w:r>
        <w:rPr>
          <w:rFonts w:hint="eastAsia" w:hAnsi="宋体"/>
          <w:color w:val="auto"/>
          <w:szCs w:val="21"/>
          <w:highlight w:val="none"/>
        </w:rPr>
        <w:t>元)。</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2.合同价格形式：</w:t>
      </w:r>
      <w:r>
        <w:rPr>
          <w:rFonts w:hint="eastAsia" w:hAnsi="宋体" w:cs="仿宋_GB2312"/>
          <w:color w:val="auto"/>
          <w:szCs w:val="21"/>
          <w:highlight w:val="none"/>
          <w:u w:val="single"/>
        </w:rPr>
        <w:t>总价包干</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bookmarkStart w:id="403" w:name="_Toc351203485"/>
      <w:r>
        <w:rPr>
          <w:rFonts w:hint="eastAsia" w:hAnsi="宋体"/>
          <w:color w:val="auto"/>
          <w:szCs w:val="21"/>
          <w:highlight w:val="none"/>
        </w:rPr>
        <w:t>五、</w:t>
      </w:r>
      <w:bookmarkEnd w:id="403"/>
      <w:r>
        <w:rPr>
          <w:rFonts w:hint="eastAsia" w:hAnsi="宋体"/>
          <w:color w:val="auto"/>
          <w:szCs w:val="21"/>
          <w:highlight w:val="none"/>
        </w:rPr>
        <w:t>项目经理</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承包人项目经理：</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bookmarkStart w:id="404" w:name="_Toc351203486"/>
      <w:r>
        <w:rPr>
          <w:rFonts w:hint="eastAsia" w:hAnsi="宋体"/>
          <w:color w:val="auto"/>
          <w:szCs w:val="21"/>
          <w:highlight w:val="none"/>
        </w:rPr>
        <w:t>六、合同文件构成</w:t>
      </w:r>
      <w:bookmarkEnd w:id="404"/>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本协议书与下列文件一起构成合同文件：</w:t>
      </w:r>
    </w:p>
    <w:p>
      <w:pPr>
        <w:numPr>
          <w:ilvl w:val="0"/>
          <w:numId w:val="2"/>
        </w:numPr>
        <w:adjustRightInd w:val="0"/>
        <w:snapToGrid w:val="0"/>
        <w:spacing w:line="360" w:lineRule="auto"/>
        <w:ind w:hanging="5"/>
        <w:rPr>
          <w:rFonts w:hint="eastAsia" w:ascii="宋体" w:hAnsi="宋体" w:cs="宋体"/>
          <w:color w:val="auto"/>
          <w:szCs w:val="21"/>
          <w:highlight w:val="none"/>
        </w:rPr>
      </w:pPr>
      <w:r>
        <w:rPr>
          <w:rFonts w:hint="eastAsia" w:ascii="宋体" w:hAnsi="宋体" w:cs="宋体"/>
          <w:color w:val="auto"/>
          <w:szCs w:val="21"/>
          <w:highlight w:val="none"/>
        </w:rPr>
        <w:t>成交通知书；</w:t>
      </w:r>
    </w:p>
    <w:p>
      <w:pPr>
        <w:numPr>
          <w:ilvl w:val="0"/>
          <w:numId w:val="2"/>
        </w:numPr>
        <w:adjustRightInd w:val="0"/>
        <w:snapToGrid w:val="0"/>
        <w:spacing w:line="360" w:lineRule="auto"/>
        <w:ind w:hanging="5"/>
        <w:rPr>
          <w:rFonts w:hint="eastAsia" w:ascii="宋体" w:hAnsi="宋体" w:cs="宋体"/>
          <w:color w:val="auto"/>
          <w:szCs w:val="21"/>
          <w:highlight w:val="none"/>
        </w:rPr>
      </w:pPr>
      <w:r>
        <w:rPr>
          <w:rFonts w:hint="eastAsia" w:ascii="宋体" w:hAnsi="宋体" w:cs="宋体"/>
          <w:color w:val="auto"/>
          <w:szCs w:val="21"/>
          <w:highlight w:val="none"/>
        </w:rPr>
        <w:t>磋商响应函及其附录（如果有）</w:t>
      </w:r>
    </w:p>
    <w:p>
      <w:pPr>
        <w:numPr>
          <w:ilvl w:val="0"/>
          <w:numId w:val="2"/>
        </w:numPr>
        <w:adjustRightInd w:val="0"/>
        <w:snapToGrid w:val="0"/>
        <w:spacing w:line="360" w:lineRule="auto"/>
        <w:ind w:hanging="5"/>
        <w:rPr>
          <w:rFonts w:hint="eastAsia" w:ascii="宋体" w:hAnsi="宋体" w:cs="宋体"/>
          <w:color w:val="auto"/>
          <w:szCs w:val="21"/>
          <w:highlight w:val="none"/>
        </w:rPr>
      </w:pPr>
      <w:r>
        <w:rPr>
          <w:rFonts w:hint="eastAsia" w:ascii="宋体" w:hAnsi="宋体" w:cs="宋体"/>
          <w:color w:val="auto"/>
          <w:szCs w:val="21"/>
          <w:highlight w:val="none"/>
        </w:rPr>
        <w:t>专用合同条款及其附件；</w:t>
      </w:r>
    </w:p>
    <w:p>
      <w:pPr>
        <w:numPr>
          <w:ilvl w:val="0"/>
          <w:numId w:val="2"/>
        </w:numPr>
        <w:adjustRightInd w:val="0"/>
        <w:snapToGrid w:val="0"/>
        <w:spacing w:line="360" w:lineRule="auto"/>
        <w:ind w:hanging="5"/>
        <w:rPr>
          <w:rFonts w:hint="eastAsia" w:ascii="宋体" w:hAnsi="宋体" w:cs="宋体"/>
          <w:color w:val="auto"/>
          <w:szCs w:val="21"/>
          <w:highlight w:val="none"/>
        </w:rPr>
      </w:pPr>
      <w:r>
        <w:rPr>
          <w:rFonts w:hint="eastAsia" w:ascii="宋体" w:hAnsi="宋体" w:cs="宋体"/>
          <w:color w:val="auto"/>
          <w:szCs w:val="21"/>
          <w:highlight w:val="none"/>
        </w:rPr>
        <w:t>通用合同条款；</w:t>
      </w:r>
    </w:p>
    <w:p>
      <w:pPr>
        <w:numPr>
          <w:ilvl w:val="0"/>
          <w:numId w:val="2"/>
        </w:numPr>
        <w:adjustRightInd w:val="0"/>
        <w:snapToGrid w:val="0"/>
        <w:spacing w:line="360" w:lineRule="auto"/>
        <w:ind w:hanging="5"/>
        <w:rPr>
          <w:rFonts w:hint="eastAsia" w:ascii="宋体" w:hAnsi="宋体" w:cs="宋体"/>
          <w:color w:val="auto"/>
          <w:szCs w:val="21"/>
          <w:highlight w:val="none"/>
        </w:rPr>
      </w:pPr>
      <w:r>
        <w:rPr>
          <w:rFonts w:hint="eastAsia" w:ascii="宋体" w:hAnsi="宋体" w:cs="宋体"/>
          <w:color w:val="auto"/>
          <w:szCs w:val="21"/>
          <w:highlight w:val="none"/>
        </w:rPr>
        <w:t>技术标准和要求；</w:t>
      </w:r>
    </w:p>
    <w:p>
      <w:pPr>
        <w:numPr>
          <w:ilvl w:val="0"/>
          <w:numId w:val="2"/>
        </w:numPr>
        <w:adjustRightInd w:val="0"/>
        <w:snapToGrid w:val="0"/>
        <w:spacing w:line="360" w:lineRule="auto"/>
        <w:ind w:hanging="5"/>
        <w:rPr>
          <w:rFonts w:hint="eastAsia" w:ascii="宋体" w:hAnsi="宋体" w:cs="宋体"/>
          <w:color w:val="auto"/>
          <w:szCs w:val="21"/>
          <w:highlight w:val="none"/>
        </w:rPr>
      </w:pPr>
      <w:r>
        <w:rPr>
          <w:rFonts w:hint="eastAsia" w:ascii="宋体" w:hAnsi="宋体" w:cs="宋体"/>
          <w:color w:val="auto"/>
          <w:szCs w:val="21"/>
          <w:highlight w:val="none"/>
        </w:rPr>
        <w:t>图纸 ；（如有）</w:t>
      </w:r>
    </w:p>
    <w:p>
      <w:pPr>
        <w:numPr>
          <w:ilvl w:val="0"/>
          <w:numId w:val="2"/>
        </w:numPr>
        <w:adjustRightInd w:val="0"/>
        <w:snapToGrid w:val="0"/>
        <w:spacing w:line="360" w:lineRule="auto"/>
        <w:ind w:hanging="5"/>
        <w:rPr>
          <w:rFonts w:hint="eastAsia" w:ascii="宋体" w:hAnsi="宋体" w:cs="宋体"/>
          <w:color w:val="auto"/>
          <w:szCs w:val="21"/>
          <w:highlight w:val="none"/>
        </w:rPr>
      </w:pPr>
      <w:r>
        <w:rPr>
          <w:rFonts w:hint="eastAsia" w:ascii="宋体" w:hAnsi="宋体" w:cs="宋体"/>
          <w:color w:val="auto"/>
          <w:szCs w:val="21"/>
          <w:highlight w:val="none"/>
        </w:rPr>
        <w:t>已标价工程量清单或预算书；</w:t>
      </w:r>
    </w:p>
    <w:p>
      <w:pPr>
        <w:numPr>
          <w:ilvl w:val="0"/>
          <w:numId w:val="2"/>
        </w:numPr>
        <w:adjustRightInd w:val="0"/>
        <w:snapToGrid w:val="0"/>
        <w:spacing w:line="360" w:lineRule="auto"/>
        <w:ind w:hanging="5"/>
        <w:rPr>
          <w:rFonts w:hint="eastAsia" w:ascii="宋体" w:hAnsi="宋体" w:cs="宋体"/>
          <w:color w:val="auto"/>
          <w:szCs w:val="21"/>
          <w:highlight w:val="none"/>
        </w:rPr>
      </w:pPr>
      <w:r>
        <w:rPr>
          <w:rFonts w:hint="eastAsia" w:ascii="宋体" w:hAnsi="宋体" w:cs="宋体"/>
          <w:color w:val="auto"/>
          <w:szCs w:val="21"/>
          <w:highlight w:val="none"/>
        </w:rPr>
        <w:t>其他合同文件。</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在合同订立及履行过程中形成的与合同有关的文件均构成合同文件组成部分。</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pPr>
        <w:adjustRightInd w:val="0"/>
        <w:snapToGrid w:val="0"/>
        <w:spacing w:line="360" w:lineRule="auto"/>
        <w:ind w:firstLine="420" w:firstLineChars="200"/>
        <w:rPr>
          <w:rFonts w:hint="eastAsia" w:hAnsi="宋体"/>
          <w:color w:val="auto"/>
          <w:szCs w:val="21"/>
          <w:highlight w:val="none"/>
        </w:rPr>
      </w:pPr>
      <w:bookmarkStart w:id="405" w:name="_Toc351203487"/>
      <w:r>
        <w:rPr>
          <w:rFonts w:hint="eastAsia" w:hAnsi="宋体"/>
          <w:color w:val="auto"/>
          <w:szCs w:val="21"/>
          <w:highlight w:val="none"/>
        </w:rPr>
        <w:t>七、承诺</w:t>
      </w:r>
      <w:bookmarkEnd w:id="405"/>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1.发包人承诺按照法律规定履行项目审批手续、筹集工程建设资金并按照合同约定的期限和方式支付合同价款。</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2.承包人承诺按照法律规定及合同约定组织完成工程施工，确保工程质量和安全，不进行转包及违法分包，并在缺陷责任期及保修期内承担相应的工程维修责任。</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3.发包人和承包人通过招投标形式签订合同的，双方理解并承诺不再就同一工程另行签订与合同实质性内容相背离的协议。</w:t>
      </w:r>
    </w:p>
    <w:p>
      <w:pPr>
        <w:adjustRightInd w:val="0"/>
        <w:snapToGrid w:val="0"/>
        <w:spacing w:line="360" w:lineRule="auto"/>
        <w:ind w:firstLine="420" w:firstLineChars="200"/>
        <w:rPr>
          <w:rFonts w:hint="eastAsia" w:hAnsi="宋体"/>
          <w:color w:val="auto"/>
          <w:szCs w:val="21"/>
          <w:highlight w:val="none"/>
        </w:rPr>
      </w:pPr>
      <w:bookmarkStart w:id="406" w:name="_Toc351203488"/>
      <w:r>
        <w:rPr>
          <w:rFonts w:hint="eastAsia" w:hAnsi="宋体"/>
          <w:color w:val="auto"/>
          <w:szCs w:val="21"/>
          <w:highlight w:val="none"/>
        </w:rPr>
        <w:t>八、词语含义</w:t>
      </w:r>
      <w:bookmarkEnd w:id="406"/>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本协议书中词语含义与第二部分通用合同条款中赋予的含义相同。</w:t>
      </w:r>
    </w:p>
    <w:p>
      <w:pPr>
        <w:adjustRightInd w:val="0"/>
        <w:snapToGrid w:val="0"/>
        <w:spacing w:line="360" w:lineRule="auto"/>
        <w:ind w:firstLine="420" w:firstLineChars="200"/>
        <w:rPr>
          <w:rFonts w:hint="eastAsia" w:hAnsi="宋体"/>
          <w:color w:val="auto"/>
          <w:szCs w:val="21"/>
          <w:highlight w:val="none"/>
        </w:rPr>
      </w:pPr>
      <w:bookmarkStart w:id="407" w:name="_Toc351203489"/>
      <w:r>
        <w:rPr>
          <w:rFonts w:hint="eastAsia" w:hAnsi="宋体"/>
          <w:color w:val="auto"/>
          <w:szCs w:val="21"/>
          <w:highlight w:val="none"/>
        </w:rPr>
        <w:t>九、签订时间</w:t>
      </w:r>
      <w:bookmarkEnd w:id="407"/>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本合同于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日签订。</w:t>
      </w:r>
    </w:p>
    <w:p>
      <w:pPr>
        <w:adjustRightInd w:val="0"/>
        <w:snapToGrid w:val="0"/>
        <w:spacing w:line="360" w:lineRule="auto"/>
        <w:ind w:firstLine="420" w:firstLineChars="200"/>
        <w:rPr>
          <w:rFonts w:hint="eastAsia" w:hAnsi="宋体"/>
          <w:color w:val="auto"/>
          <w:szCs w:val="21"/>
          <w:highlight w:val="none"/>
        </w:rPr>
      </w:pPr>
      <w:bookmarkStart w:id="408" w:name="_Toc351203490"/>
      <w:r>
        <w:rPr>
          <w:rFonts w:hint="eastAsia" w:hAnsi="宋体"/>
          <w:color w:val="auto"/>
          <w:szCs w:val="21"/>
          <w:highlight w:val="none"/>
        </w:rPr>
        <w:t>十、签订地点</w:t>
      </w:r>
      <w:bookmarkEnd w:id="408"/>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本合同在</w:t>
      </w:r>
      <w:r>
        <w:rPr>
          <w:rFonts w:hint="eastAsia" w:hAnsi="宋体"/>
          <w:color w:val="auto"/>
          <w:szCs w:val="21"/>
          <w:highlight w:val="none"/>
          <w:u w:val="single"/>
        </w:rPr>
        <w:t xml:space="preserve">                                    </w:t>
      </w:r>
      <w:r>
        <w:rPr>
          <w:rFonts w:hint="eastAsia" w:hAnsi="宋体"/>
          <w:color w:val="auto"/>
          <w:szCs w:val="21"/>
          <w:highlight w:val="none"/>
        </w:rPr>
        <w:t>签订。</w:t>
      </w:r>
    </w:p>
    <w:p>
      <w:pPr>
        <w:adjustRightInd w:val="0"/>
        <w:snapToGrid w:val="0"/>
        <w:spacing w:line="360" w:lineRule="auto"/>
        <w:ind w:firstLine="420" w:firstLineChars="200"/>
        <w:rPr>
          <w:rFonts w:hint="eastAsia" w:hAnsi="宋体"/>
          <w:color w:val="auto"/>
          <w:szCs w:val="21"/>
          <w:highlight w:val="none"/>
        </w:rPr>
      </w:pPr>
      <w:bookmarkStart w:id="409" w:name="_Toc351203491"/>
      <w:r>
        <w:rPr>
          <w:rFonts w:hint="eastAsia" w:hAnsi="宋体"/>
          <w:color w:val="auto"/>
          <w:szCs w:val="21"/>
          <w:highlight w:val="none"/>
        </w:rPr>
        <w:t>十一、补充协议</w:t>
      </w:r>
      <w:bookmarkEnd w:id="409"/>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合同未尽事宜，合同当事人另行签订补充协议，补充协议是合同的组成部分。</w:t>
      </w:r>
    </w:p>
    <w:p>
      <w:pPr>
        <w:adjustRightInd w:val="0"/>
        <w:snapToGrid w:val="0"/>
        <w:spacing w:line="360" w:lineRule="auto"/>
        <w:ind w:firstLine="420" w:firstLineChars="200"/>
        <w:rPr>
          <w:rFonts w:hint="eastAsia" w:hAnsi="宋体"/>
          <w:color w:val="auto"/>
          <w:szCs w:val="21"/>
          <w:highlight w:val="none"/>
        </w:rPr>
      </w:pPr>
      <w:bookmarkStart w:id="410" w:name="_Toc351203492"/>
      <w:r>
        <w:rPr>
          <w:rFonts w:hint="eastAsia" w:hAnsi="宋体"/>
          <w:color w:val="auto"/>
          <w:szCs w:val="21"/>
          <w:highlight w:val="none"/>
        </w:rPr>
        <w:t>十二、合同生效</w:t>
      </w:r>
      <w:bookmarkEnd w:id="410"/>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本合同自</w:t>
      </w:r>
      <w:r>
        <w:rPr>
          <w:rFonts w:hint="eastAsia" w:hAnsi="宋体"/>
          <w:color w:val="auto"/>
          <w:szCs w:val="21"/>
          <w:highlight w:val="none"/>
          <w:u w:val="single"/>
        </w:rPr>
        <w:t xml:space="preserve">      合同签订之日起     </w:t>
      </w:r>
      <w:r>
        <w:rPr>
          <w:rFonts w:hint="eastAsia" w:hAnsi="宋体"/>
          <w:color w:val="auto"/>
          <w:szCs w:val="21"/>
          <w:highlight w:val="none"/>
        </w:rPr>
        <w:t>生效。</w:t>
      </w:r>
    </w:p>
    <w:p>
      <w:pPr>
        <w:adjustRightInd w:val="0"/>
        <w:snapToGrid w:val="0"/>
        <w:spacing w:line="360" w:lineRule="auto"/>
        <w:ind w:firstLine="420" w:firstLineChars="200"/>
        <w:rPr>
          <w:rFonts w:hint="eastAsia" w:hAnsi="宋体"/>
          <w:color w:val="auto"/>
          <w:szCs w:val="21"/>
          <w:highlight w:val="none"/>
        </w:rPr>
      </w:pPr>
      <w:bookmarkStart w:id="411" w:name="_Toc351203493"/>
      <w:r>
        <w:rPr>
          <w:rFonts w:hint="eastAsia" w:hAnsi="宋体"/>
          <w:color w:val="auto"/>
          <w:szCs w:val="21"/>
          <w:highlight w:val="none"/>
        </w:rPr>
        <w:t>十三、合同份数</w:t>
      </w:r>
      <w:bookmarkEnd w:id="411"/>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一式</w:t>
      </w:r>
      <w:r>
        <w:rPr>
          <w:rFonts w:hint="eastAsia" w:hAnsi="宋体"/>
          <w:color w:val="auto"/>
          <w:szCs w:val="21"/>
          <w:highlight w:val="none"/>
          <w:u w:val="single"/>
        </w:rPr>
        <w:t xml:space="preserve">  伍  </w:t>
      </w:r>
      <w:r>
        <w:rPr>
          <w:rFonts w:hint="eastAsia" w:hAnsi="宋体"/>
          <w:color w:val="auto"/>
          <w:szCs w:val="21"/>
          <w:highlight w:val="none"/>
        </w:rPr>
        <w:t>份，均具有同等法律效力，发包人执</w:t>
      </w:r>
      <w:r>
        <w:rPr>
          <w:rFonts w:hint="eastAsia" w:hAnsi="宋体"/>
          <w:color w:val="auto"/>
          <w:szCs w:val="21"/>
          <w:highlight w:val="none"/>
          <w:u w:val="single"/>
        </w:rPr>
        <w:t xml:space="preserve"> 三份 </w:t>
      </w:r>
      <w:r>
        <w:rPr>
          <w:rFonts w:hint="eastAsia" w:hAnsi="宋体"/>
          <w:color w:val="auto"/>
          <w:szCs w:val="21"/>
          <w:highlight w:val="none"/>
        </w:rPr>
        <w:t>，承包人、鉴证方各执</w:t>
      </w:r>
      <w:r>
        <w:rPr>
          <w:rFonts w:hint="eastAsia" w:hAnsi="宋体"/>
          <w:color w:val="auto"/>
          <w:szCs w:val="21"/>
          <w:highlight w:val="none"/>
          <w:u w:val="single"/>
        </w:rPr>
        <w:t xml:space="preserve"> 一份 </w:t>
      </w:r>
      <w:r>
        <w:rPr>
          <w:rFonts w:hint="eastAsia" w:hAnsi="宋体"/>
          <w:color w:val="auto"/>
          <w:szCs w:val="21"/>
          <w:highlight w:val="none"/>
        </w:rPr>
        <w:t>。</w:t>
      </w:r>
    </w:p>
    <w:p>
      <w:pPr>
        <w:adjustRightInd w:val="0"/>
        <w:snapToGrid w:val="0"/>
        <w:spacing w:line="360" w:lineRule="auto"/>
        <w:rPr>
          <w:rFonts w:hint="eastAsia" w:ascii="宋体" w:hAnsi="宋体"/>
          <w:color w:val="auto"/>
          <w:szCs w:val="21"/>
          <w:highlight w:val="none"/>
        </w:rPr>
      </w:pPr>
    </w:p>
    <w:tbl>
      <w:tblPr>
        <w:tblStyle w:val="64"/>
        <w:tblW w:w="0" w:type="auto"/>
        <w:tblInd w:w="468" w:type="dxa"/>
        <w:tblLayout w:type="fixed"/>
        <w:tblCellMar>
          <w:top w:w="0" w:type="dxa"/>
          <w:left w:w="108" w:type="dxa"/>
          <w:bottom w:w="0" w:type="dxa"/>
          <w:right w:w="108" w:type="dxa"/>
        </w:tblCellMar>
      </w:tblPr>
      <w:tblGrid>
        <w:gridCol w:w="4209"/>
        <w:gridCol w:w="4548"/>
      </w:tblGrid>
      <w:tr>
        <w:tblPrEx>
          <w:tblCellMar>
            <w:top w:w="0" w:type="dxa"/>
            <w:left w:w="108" w:type="dxa"/>
            <w:bottom w:w="0" w:type="dxa"/>
            <w:right w:w="108" w:type="dxa"/>
          </w:tblCellMar>
        </w:tblPrEx>
        <w:trPr>
          <w:trHeight w:val="3631" w:hRule="atLeast"/>
        </w:trPr>
        <w:tc>
          <w:tcPr>
            <w:tcW w:w="4209" w:type="dxa"/>
            <w:noWrap w:val="0"/>
            <w:vAlign w:val="top"/>
          </w:tcPr>
          <w:p>
            <w:pPr>
              <w:adjustRightInd w:val="0"/>
              <w:snapToGrid w:val="0"/>
              <w:spacing w:line="360" w:lineRule="auto"/>
              <w:rPr>
                <w:rFonts w:hint="eastAsia" w:hAnsi="宋体"/>
                <w:color w:val="auto"/>
                <w:szCs w:val="21"/>
                <w:highlight w:val="none"/>
              </w:rPr>
            </w:pPr>
            <w:r>
              <w:rPr>
                <w:rFonts w:hint="eastAsia" w:hAnsi="宋体"/>
                <w:color w:val="auto"/>
                <w:szCs w:val="21"/>
                <w:highlight w:val="none"/>
              </w:rPr>
              <w:t>发  包  人：（公章）</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住      所：</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 xml:space="preserve">法定代表人： </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 xml:space="preserve">委托代理人： </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 xml:space="preserve">电      话： </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 xml:space="preserve">传      真： </w:t>
            </w:r>
          </w:p>
          <w:p>
            <w:pPr>
              <w:adjustRightInd w:val="0"/>
              <w:snapToGrid w:val="0"/>
              <w:spacing w:line="360" w:lineRule="auto"/>
              <w:rPr>
                <w:rFonts w:hint="eastAsia" w:hAnsi="宋体"/>
                <w:color w:val="auto"/>
                <w:szCs w:val="21"/>
                <w:highlight w:val="none"/>
              </w:rPr>
            </w:pPr>
            <w:r>
              <w:rPr>
                <w:rFonts w:hint="eastAsia" w:hAnsi="宋体"/>
                <w:color w:val="auto"/>
                <w:spacing w:val="60"/>
                <w:szCs w:val="21"/>
                <w:highlight w:val="none"/>
              </w:rPr>
              <w:t>开户银</w:t>
            </w:r>
            <w:r>
              <w:rPr>
                <w:rFonts w:hint="eastAsia" w:hAnsi="宋体"/>
                <w:color w:val="auto"/>
                <w:szCs w:val="21"/>
                <w:highlight w:val="none"/>
              </w:rPr>
              <w:t>行：</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账      号：</w:t>
            </w:r>
          </w:p>
          <w:p>
            <w:pPr>
              <w:adjustRightInd w:val="0"/>
              <w:snapToGrid w:val="0"/>
              <w:spacing w:line="360" w:lineRule="auto"/>
              <w:rPr>
                <w:rFonts w:hint="eastAsia" w:hAnsi="宋体"/>
                <w:color w:val="auto"/>
                <w:szCs w:val="21"/>
                <w:highlight w:val="none"/>
              </w:rPr>
            </w:pPr>
            <w:r>
              <w:rPr>
                <w:rFonts w:hint="eastAsia" w:hAnsi="宋体"/>
                <w:color w:val="auto"/>
                <w:spacing w:val="60"/>
                <w:szCs w:val="21"/>
                <w:highlight w:val="none"/>
              </w:rPr>
              <w:t>邮政编</w:t>
            </w:r>
            <w:r>
              <w:rPr>
                <w:rFonts w:hint="eastAsia" w:hAnsi="宋体"/>
                <w:color w:val="auto"/>
                <w:szCs w:val="21"/>
                <w:highlight w:val="none"/>
              </w:rPr>
              <w:t>码：</w:t>
            </w:r>
          </w:p>
        </w:tc>
        <w:tc>
          <w:tcPr>
            <w:tcW w:w="4548" w:type="dxa"/>
            <w:noWrap w:val="0"/>
            <w:vAlign w:val="top"/>
          </w:tcPr>
          <w:p>
            <w:pPr>
              <w:adjustRightInd w:val="0"/>
              <w:snapToGrid w:val="0"/>
              <w:spacing w:line="360" w:lineRule="auto"/>
              <w:rPr>
                <w:rFonts w:hint="eastAsia" w:hAnsi="宋体"/>
                <w:color w:val="auto"/>
                <w:szCs w:val="21"/>
                <w:highlight w:val="none"/>
              </w:rPr>
            </w:pPr>
            <w:r>
              <w:rPr>
                <w:rFonts w:hint="eastAsia" w:hAnsi="宋体"/>
                <w:color w:val="auto"/>
                <w:szCs w:val="21"/>
                <w:highlight w:val="none"/>
              </w:rPr>
              <w:t>承包人：（公章）</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住      所：</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法定代表人：</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 xml:space="preserve">委托代理人： </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电      话：</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传      真：</w:t>
            </w:r>
          </w:p>
          <w:p>
            <w:pPr>
              <w:adjustRightInd w:val="0"/>
              <w:snapToGrid w:val="0"/>
              <w:spacing w:line="360" w:lineRule="auto"/>
              <w:rPr>
                <w:rFonts w:hint="eastAsia" w:hAnsi="宋体"/>
                <w:color w:val="auto"/>
                <w:szCs w:val="21"/>
                <w:highlight w:val="none"/>
              </w:rPr>
            </w:pPr>
            <w:r>
              <w:rPr>
                <w:rFonts w:hint="eastAsia" w:hAnsi="宋体"/>
                <w:color w:val="auto"/>
                <w:spacing w:val="60"/>
                <w:szCs w:val="21"/>
                <w:highlight w:val="none"/>
              </w:rPr>
              <w:t>开户银</w:t>
            </w:r>
            <w:r>
              <w:rPr>
                <w:rFonts w:hint="eastAsia" w:hAnsi="宋体"/>
                <w:color w:val="auto"/>
                <w:szCs w:val="21"/>
                <w:highlight w:val="none"/>
              </w:rPr>
              <w:t>行：</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账      号：</w:t>
            </w:r>
          </w:p>
          <w:p>
            <w:pPr>
              <w:adjustRightInd w:val="0"/>
              <w:snapToGrid w:val="0"/>
              <w:spacing w:line="360" w:lineRule="auto"/>
              <w:rPr>
                <w:rFonts w:hint="eastAsia" w:hAnsi="宋体"/>
                <w:color w:val="auto"/>
                <w:szCs w:val="21"/>
                <w:highlight w:val="none"/>
              </w:rPr>
            </w:pPr>
            <w:r>
              <w:rPr>
                <w:rFonts w:hint="eastAsia" w:hAnsi="宋体"/>
                <w:color w:val="auto"/>
                <w:spacing w:val="60"/>
                <w:szCs w:val="21"/>
                <w:highlight w:val="none"/>
              </w:rPr>
              <w:t>邮政编</w:t>
            </w:r>
            <w:r>
              <w:rPr>
                <w:rFonts w:hint="eastAsia" w:hAnsi="宋体"/>
                <w:color w:val="auto"/>
                <w:szCs w:val="21"/>
                <w:highlight w:val="none"/>
              </w:rPr>
              <w:t>码：</w:t>
            </w:r>
          </w:p>
        </w:tc>
      </w:tr>
    </w:tbl>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420" w:firstLineChars="200"/>
        <w:rPr>
          <w:rFonts w:hint="eastAsia"/>
          <w:color w:val="auto"/>
          <w:szCs w:val="21"/>
          <w:highlight w:val="none"/>
        </w:rPr>
      </w:pPr>
    </w:p>
    <w:p>
      <w:pPr>
        <w:pStyle w:val="965"/>
        <w:numPr>
          <w:ilvl w:val="0"/>
          <w:numId w:val="3"/>
        </w:numPr>
        <w:tabs>
          <w:tab w:val="clear" w:pos="1080"/>
        </w:tabs>
        <w:jc w:val="center"/>
        <w:rPr>
          <w:rFonts w:hint="eastAsia"/>
          <w:color w:val="auto"/>
          <w:highlight w:val="none"/>
        </w:rPr>
      </w:pPr>
      <w:r>
        <w:rPr>
          <w:color w:val="auto"/>
          <w:sz w:val="24"/>
          <w:highlight w:val="none"/>
        </w:rPr>
        <w:br w:type="page"/>
      </w:r>
      <w:bookmarkStart w:id="412" w:name="_Toc30067"/>
      <w:bookmarkStart w:id="413" w:name="_Toc13655"/>
      <w:r>
        <w:rPr>
          <w:rFonts w:hint="eastAsia"/>
          <w:color w:val="auto"/>
          <w:highlight w:val="none"/>
        </w:rPr>
        <w:t xml:space="preserve"> 通用条款</w:t>
      </w:r>
      <w:bookmarkEnd w:id="412"/>
      <w:bookmarkEnd w:id="413"/>
    </w:p>
    <w:p>
      <w:pPr>
        <w:pStyle w:val="804"/>
        <w:bidi w:val="0"/>
        <w:rPr>
          <w:rFonts w:hint="eastAsia"/>
          <w:color w:val="auto"/>
          <w:highlight w:val="none"/>
        </w:rPr>
      </w:pPr>
    </w:p>
    <w:p>
      <w:pPr>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w:t>
      </w:r>
      <w:r>
        <w:rPr>
          <w:rFonts w:hint="eastAsia" w:ascii="宋体" w:hAnsi="宋体" w:eastAsia="宋体" w:cs="宋体"/>
          <w:color w:val="auto"/>
          <w:sz w:val="24"/>
          <w:szCs w:val="24"/>
          <w:highlight w:val="none"/>
        </w:rPr>
        <w:t>《建设工程施工合同（示范文本）》（GF-201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-0201）</w:t>
      </w:r>
      <w:r>
        <w:rPr>
          <w:rFonts w:hint="eastAsia" w:ascii="宋体" w:hAnsi="宋体" w:eastAsia="宋体" w:cs="宋体"/>
          <w:color w:val="auto"/>
          <w:sz w:val="24"/>
          <w:szCs w:val="24"/>
          <w:highlight w:val="none"/>
          <w:lang w:eastAsia="zh-CN"/>
        </w:rPr>
        <w:t>执行，如通用合同条款和专用合同条款有矛盾时，以专用合同条款约定为准。</w:t>
      </w:r>
    </w:p>
    <w:p>
      <w:pPr>
        <w:bidi w:val="0"/>
        <w:rPr>
          <w:rStyle w:val="272"/>
          <w:rFonts w:hint="eastAsia"/>
          <w:color w:val="auto"/>
          <w:highlight w:val="none"/>
        </w:rPr>
      </w:pPr>
    </w:p>
    <w:p>
      <w:pPr>
        <w:pStyle w:val="965"/>
        <w:tabs>
          <w:tab w:val="clear" w:pos="1080"/>
        </w:tabs>
        <w:jc w:val="center"/>
        <w:rPr>
          <w:rFonts w:hint="eastAsia"/>
          <w:color w:val="auto"/>
          <w:highlight w:val="none"/>
        </w:rPr>
      </w:pPr>
      <w:bookmarkStart w:id="414" w:name="_Toc12769"/>
      <w:bookmarkStart w:id="415" w:name="_Toc14269"/>
      <w:r>
        <w:rPr>
          <w:rFonts w:hint="eastAsia"/>
          <w:color w:val="auto"/>
          <w:highlight w:val="none"/>
        </w:rPr>
        <w:br w:type="page"/>
      </w:r>
      <w:r>
        <w:rPr>
          <w:rFonts w:hint="eastAsia"/>
          <w:color w:val="auto"/>
          <w:highlight w:val="none"/>
        </w:rPr>
        <w:t>第三部分  专用条款</w:t>
      </w:r>
      <w:bookmarkEnd w:id="414"/>
      <w:bookmarkEnd w:id="415"/>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1. 一般约定</w:t>
      </w:r>
    </w:p>
    <w:p>
      <w:pPr>
        <w:adjustRightInd w:val="0"/>
        <w:snapToGrid w:val="0"/>
        <w:spacing w:line="360" w:lineRule="auto"/>
        <w:ind w:firstLine="367" w:firstLineChars="175"/>
        <w:rPr>
          <w:rFonts w:hint="eastAsia" w:hAnsi="宋体"/>
          <w:color w:val="auto"/>
          <w:szCs w:val="21"/>
          <w:highlight w:val="none"/>
        </w:rPr>
      </w:pPr>
      <w:r>
        <w:rPr>
          <w:rFonts w:hint="eastAsia" w:hAnsi="宋体"/>
          <w:color w:val="auto"/>
          <w:szCs w:val="21"/>
          <w:highlight w:val="none"/>
        </w:rPr>
        <w:t>1.1 词语定义</w:t>
      </w:r>
    </w:p>
    <w:p>
      <w:pPr>
        <w:adjustRightInd w:val="0"/>
        <w:snapToGrid w:val="0"/>
        <w:spacing w:line="360" w:lineRule="auto"/>
        <w:ind w:firstLine="367" w:firstLineChars="175"/>
        <w:rPr>
          <w:rFonts w:hint="eastAsia" w:hAnsi="宋体"/>
          <w:color w:val="auto"/>
          <w:szCs w:val="21"/>
          <w:highlight w:val="none"/>
        </w:rPr>
      </w:pPr>
      <w:r>
        <w:rPr>
          <w:rFonts w:hint="eastAsia" w:hAnsi="宋体"/>
          <w:color w:val="auto"/>
          <w:szCs w:val="21"/>
          <w:highlight w:val="none"/>
        </w:rPr>
        <w:t>1.1.1合同</w:t>
      </w:r>
    </w:p>
    <w:p>
      <w:pPr>
        <w:adjustRightInd w:val="0"/>
        <w:snapToGrid w:val="0"/>
        <w:spacing w:line="360" w:lineRule="auto"/>
        <w:ind w:firstLine="367" w:firstLineChars="175"/>
        <w:rPr>
          <w:rFonts w:hint="eastAsia" w:hAnsi="宋体"/>
          <w:color w:val="auto"/>
          <w:szCs w:val="21"/>
          <w:highlight w:val="none"/>
        </w:rPr>
      </w:pPr>
      <w:r>
        <w:rPr>
          <w:rFonts w:hint="eastAsia" w:hAnsi="宋体"/>
          <w:color w:val="auto"/>
          <w:szCs w:val="21"/>
          <w:highlight w:val="none"/>
        </w:rPr>
        <w:t>1.1.1.10其他合同文件包括：</w:t>
      </w:r>
    </w:p>
    <w:p>
      <w:pPr>
        <w:shd w:val="clear" w:color="auto" w:fill="FAFAFA"/>
        <w:adjustRightInd w:val="0"/>
        <w:snapToGrid w:val="0"/>
        <w:spacing w:line="360" w:lineRule="auto"/>
        <w:ind w:firstLine="413" w:firstLineChars="196"/>
        <w:rPr>
          <w:rFonts w:hint="eastAsia" w:hAnsi="宋体"/>
          <w:b/>
          <w:color w:val="auto"/>
          <w:szCs w:val="21"/>
          <w:highlight w:val="none"/>
          <w:u w:val="single"/>
        </w:rPr>
      </w:pPr>
      <w:r>
        <w:rPr>
          <w:rFonts w:hint="eastAsia" w:hAnsi="宋体"/>
          <w:b/>
          <w:color w:val="auto"/>
          <w:szCs w:val="21"/>
          <w:highlight w:val="none"/>
          <w:u w:val="single"/>
        </w:rPr>
        <w:t>施工组织设计：施工组织</w:t>
      </w:r>
      <w:r>
        <w:rPr>
          <w:rFonts w:hint="eastAsia" w:hAnsi="宋体"/>
          <w:b/>
          <w:color w:val="auto"/>
          <w:szCs w:val="21"/>
          <w:highlight w:val="none"/>
          <w:u w:val="single"/>
        </w:rPr>
        <w:fldChar w:fldCharType="begin"/>
      </w:r>
      <w:r>
        <w:rPr>
          <w:rFonts w:hint="eastAsia" w:hAnsi="宋体"/>
          <w:b/>
          <w:color w:val="auto"/>
          <w:szCs w:val="21"/>
          <w:highlight w:val="none"/>
          <w:u w:val="single"/>
        </w:rPr>
        <w:instrText xml:space="preserve"> HYPERLINK "http://baike.baidu.com/view/14417.htm" \t "_blank" </w:instrText>
      </w:r>
      <w:r>
        <w:rPr>
          <w:rFonts w:hint="eastAsia" w:hAnsi="宋体"/>
          <w:b/>
          <w:color w:val="auto"/>
          <w:szCs w:val="21"/>
          <w:highlight w:val="none"/>
          <w:u w:val="single"/>
        </w:rPr>
        <w:fldChar w:fldCharType="separate"/>
      </w:r>
      <w:r>
        <w:rPr>
          <w:rFonts w:hint="eastAsia"/>
          <w:b/>
          <w:color w:val="auto"/>
          <w:highlight w:val="none"/>
          <w:u w:val="single"/>
        </w:rPr>
        <w:t>设计</w:t>
      </w:r>
      <w:r>
        <w:rPr>
          <w:rFonts w:hint="eastAsia" w:hAnsi="宋体"/>
          <w:b/>
          <w:color w:val="auto"/>
          <w:szCs w:val="21"/>
          <w:highlight w:val="none"/>
          <w:u w:val="single"/>
        </w:rPr>
        <w:fldChar w:fldCharType="end"/>
      </w:r>
      <w:r>
        <w:rPr>
          <w:rFonts w:hint="eastAsia" w:hAnsi="宋体"/>
          <w:b/>
          <w:color w:val="auto"/>
          <w:szCs w:val="21"/>
          <w:highlight w:val="none"/>
          <w:u w:val="single"/>
        </w:rPr>
        <w:t>是用来指导</w:t>
      </w:r>
      <w:r>
        <w:rPr>
          <w:rFonts w:hint="eastAsia" w:hAnsi="宋体"/>
          <w:b/>
          <w:color w:val="auto"/>
          <w:szCs w:val="21"/>
          <w:highlight w:val="none"/>
          <w:u w:val="single"/>
        </w:rPr>
        <w:fldChar w:fldCharType="begin"/>
      </w:r>
      <w:r>
        <w:rPr>
          <w:rFonts w:hint="eastAsia" w:hAnsi="宋体"/>
          <w:b/>
          <w:color w:val="auto"/>
          <w:szCs w:val="21"/>
          <w:highlight w:val="none"/>
          <w:u w:val="single"/>
        </w:rPr>
        <w:instrText xml:space="preserve"> HYPERLINK "http://baike.baidu.com/view/1094820.htm" \t "_blank" </w:instrText>
      </w:r>
      <w:r>
        <w:rPr>
          <w:rFonts w:hint="eastAsia" w:hAnsi="宋体"/>
          <w:b/>
          <w:color w:val="auto"/>
          <w:szCs w:val="21"/>
          <w:highlight w:val="none"/>
          <w:u w:val="single"/>
        </w:rPr>
        <w:fldChar w:fldCharType="separate"/>
      </w:r>
      <w:r>
        <w:rPr>
          <w:rFonts w:hint="eastAsia"/>
          <w:b/>
          <w:color w:val="auto"/>
          <w:highlight w:val="none"/>
          <w:u w:val="single"/>
        </w:rPr>
        <w:t>施工项目</w:t>
      </w:r>
      <w:r>
        <w:rPr>
          <w:rFonts w:hint="eastAsia" w:hAnsi="宋体"/>
          <w:b/>
          <w:color w:val="auto"/>
          <w:szCs w:val="21"/>
          <w:highlight w:val="none"/>
          <w:u w:val="single"/>
        </w:rPr>
        <w:fldChar w:fldCharType="end"/>
      </w:r>
      <w:r>
        <w:rPr>
          <w:rFonts w:hint="eastAsia" w:hAnsi="宋体"/>
          <w:b/>
          <w:color w:val="auto"/>
          <w:szCs w:val="21"/>
          <w:highlight w:val="none"/>
          <w:u w:val="single"/>
        </w:rPr>
        <w:t>全过程各项活动的技术、经济和组织的综合性文件。</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1.1.2 合同当事人及其他相关方</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1.1.2.5 设计人：</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名    称：</w:t>
      </w:r>
      <w:r>
        <w:rPr>
          <w:rFonts w:hint="eastAsia" w:ascii="MingLiU_HKSCS" w:hAnsi="MingLiU_HKSCS" w:cs="MingLiU_HKSCS"/>
          <w:color w:val="auto"/>
          <w:szCs w:val="21"/>
          <w:highlight w:val="none"/>
          <w:u w:val="single"/>
        </w:rPr>
        <w:t xml:space="preserve">  </w:t>
      </w:r>
      <w:r>
        <w:rPr>
          <w:rFonts w:hint="eastAsia" w:hAnsi="宋体" w:cs="仿宋_GB2312"/>
          <w:color w:val="auto"/>
          <w:szCs w:val="21"/>
          <w:highlight w:val="none"/>
          <w:u w:val="single"/>
        </w:rPr>
        <w:t xml:space="preserve">                                         </w:t>
      </w:r>
      <w:r>
        <w:rPr>
          <w:rFonts w:hint="eastAsia" w:hAnsi="宋体"/>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资质类别和等级：</w:t>
      </w:r>
      <w:r>
        <w:rPr>
          <w:rFonts w:hint="eastAsia" w:ascii="MingLiU_HKSCS" w:hAnsi="MingLiU_HKSCS" w:cs="MingLiU_HKSCS"/>
          <w:color w:val="auto"/>
          <w:szCs w:val="21"/>
          <w:highlight w:val="none"/>
          <w:u w:val="single"/>
        </w:rPr>
        <w:t xml:space="preserve">  </w:t>
      </w:r>
      <w:r>
        <w:rPr>
          <w:rFonts w:hint="eastAsia" w:hAnsi="宋体" w:cs="仿宋_GB2312"/>
          <w:color w:val="auto"/>
          <w:szCs w:val="21"/>
          <w:highlight w:val="none"/>
          <w:u w:val="single"/>
        </w:rPr>
        <w:t xml:space="preserve">                          </w:t>
      </w:r>
      <w:r>
        <w:rPr>
          <w:rFonts w:hint="eastAsia"/>
          <w:color w:val="auto"/>
          <w:highlight w:val="none"/>
          <w:u w:val="single"/>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联系电话：</w:t>
      </w:r>
      <w:r>
        <w:rPr>
          <w:rFonts w:hint="eastAsia" w:ascii="MingLiU_HKSCS" w:hAnsi="MingLiU_HKSCS" w:cs="MingLiU_HKSCS"/>
          <w:color w:val="auto"/>
          <w:szCs w:val="21"/>
          <w:highlight w:val="none"/>
          <w:u w:val="single"/>
        </w:rPr>
        <w:t xml:space="preserve">      </w:t>
      </w:r>
      <w:r>
        <w:rPr>
          <w:rFonts w:hint="eastAsia" w:hAnsi="宋体" w:cs="仿宋_GB2312"/>
          <w:color w:val="auto"/>
          <w:szCs w:val="21"/>
          <w:highlight w:val="none"/>
          <w:u w:val="single"/>
        </w:rPr>
        <w:t xml:space="preserve">             </w:t>
      </w:r>
      <w:r>
        <w:rPr>
          <w:rFonts w:hint="eastAsia" w:hAnsi="宋体"/>
          <w:color w:val="auto"/>
          <w:szCs w:val="21"/>
          <w:highlight w:val="none"/>
          <w:u w:val="single"/>
        </w:rPr>
        <w:t>/</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u w:val="single"/>
        </w:rPr>
        <w:t xml:space="preserve">       </w:t>
      </w:r>
      <w:r>
        <w:rPr>
          <w:rFonts w:hint="eastAsia" w:hAnsi="宋体" w:cs="仿宋_GB2312"/>
          <w:color w:val="auto"/>
          <w:szCs w:val="21"/>
          <w:highlight w:val="none"/>
          <w:u w:val="single"/>
        </w:rPr>
        <w:t xml:space="preserve"> </w:t>
      </w:r>
      <w:r>
        <w:rPr>
          <w:rFonts w:hint="eastAsia" w:hAnsi="宋体"/>
          <w:color w:val="auto"/>
          <w:szCs w:val="21"/>
          <w:highlight w:val="none"/>
          <w:u w:val="single"/>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电子信箱：</w:t>
      </w:r>
      <w:r>
        <w:rPr>
          <w:rFonts w:hint="eastAsia" w:ascii="MingLiU_HKSCS" w:hAnsi="MingLiU_HKSCS" w:cs="MingLiU_HKSCS"/>
          <w:color w:val="auto"/>
          <w:szCs w:val="21"/>
          <w:highlight w:val="none"/>
          <w:u w:val="single"/>
        </w:rPr>
        <w:t xml:space="preserve">                </w:t>
      </w:r>
      <w:r>
        <w:rPr>
          <w:rFonts w:hint="eastAsia" w:hAnsi="宋体" w:cs="仿宋_GB2312"/>
          <w:color w:val="auto"/>
          <w:szCs w:val="21"/>
          <w:highlight w:val="none"/>
          <w:u w:val="single"/>
        </w:rPr>
        <w:t xml:space="preserve">  </w:t>
      </w:r>
      <w:r>
        <w:rPr>
          <w:rFonts w:hint="eastAsia" w:hAnsi="宋体"/>
          <w:color w:val="auto"/>
          <w:szCs w:val="21"/>
          <w:highlight w:val="none"/>
          <w:u w:val="single"/>
        </w:rPr>
        <w:t>/</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u w:val="single"/>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通信地址：</w:t>
      </w:r>
      <w:r>
        <w:rPr>
          <w:rFonts w:hint="eastAsia" w:ascii="MingLiU_HKSCS" w:hAnsi="MingLiU_HKSCS" w:cs="MingLiU_HKSCS"/>
          <w:color w:val="auto"/>
          <w:szCs w:val="21"/>
          <w:highlight w:val="none"/>
          <w:u w:val="single"/>
        </w:rPr>
        <w:t xml:space="preserve">                </w:t>
      </w:r>
      <w:r>
        <w:rPr>
          <w:rFonts w:hint="eastAsia" w:hAnsi="宋体" w:cs="仿宋_GB2312"/>
          <w:color w:val="auto"/>
          <w:szCs w:val="21"/>
          <w:highlight w:val="none"/>
          <w:u w:val="single"/>
        </w:rPr>
        <w:t xml:space="preserve"> /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u w:val="single"/>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 xml:space="preserve">1.3法律 </w:t>
      </w:r>
    </w:p>
    <w:p>
      <w:pPr>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hAnsi="宋体"/>
          <w:color w:val="auto"/>
          <w:szCs w:val="21"/>
          <w:highlight w:val="none"/>
        </w:rPr>
      </w:pPr>
      <w:r>
        <w:rPr>
          <w:rFonts w:hint="eastAsia" w:ascii="Times New Roman" w:hAnsi="宋体" w:eastAsia="宋体" w:cs="Times New Roman"/>
          <w:color w:val="auto"/>
          <w:szCs w:val="21"/>
          <w:highlight w:val="none"/>
        </w:rPr>
        <w:t>适用于合同的其他规范性文件</w:t>
      </w:r>
      <w:r>
        <w:rPr>
          <w:rFonts w:hint="eastAsia" w:ascii="Times New Roman" w:hAnsi="宋体" w:eastAsia="宋体" w:cs="Times New Roman"/>
          <w:color w:val="auto"/>
          <w:szCs w:val="21"/>
          <w:highlight w:val="none"/>
          <w:u w:val="single"/>
        </w:rPr>
        <w:t>：</w:t>
      </w:r>
      <w:r>
        <w:rPr>
          <w:rFonts w:hint="eastAsia" w:ascii="Times New Roman" w:hAnsi="宋体" w:eastAsia="宋体" w:cs="Times New Roman"/>
          <w:color w:val="auto"/>
          <w:szCs w:val="21"/>
          <w:highlight w:val="none"/>
          <w:u w:val="single"/>
          <w:lang w:val="en-US" w:eastAsia="zh-CN"/>
        </w:rPr>
        <w:t xml:space="preserve">   根</w:t>
      </w:r>
      <w:r>
        <w:rPr>
          <w:rFonts w:hint="eastAsia" w:ascii="Times New Roman" w:hAnsi="宋体" w:eastAsia="宋体" w:cs="Times New Roman"/>
          <w:color w:val="auto"/>
          <w:szCs w:val="21"/>
          <w:highlight w:val="none"/>
          <w:u w:val="single"/>
          <w:lang w:eastAsia="zh-CN"/>
        </w:rPr>
        <w:t>据国家、省市、地方法律、法规执行</w:t>
      </w:r>
      <w:r>
        <w:rPr>
          <w:rFonts w:hint="eastAsia" w:ascii="Times New Roman" w:hAnsi="宋体" w:eastAsia="宋体" w:cs="Times New Roman"/>
          <w:color w:val="auto"/>
          <w:szCs w:val="21"/>
          <w:highlight w:val="none"/>
          <w:u w:val="single"/>
        </w:rPr>
        <w:t xml:space="preserve">   。</w:t>
      </w:r>
    </w:p>
    <w:p>
      <w:pPr>
        <w:autoSpaceDE w:val="0"/>
        <w:autoSpaceDN w:val="0"/>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1.4 标准和规范</w:t>
      </w:r>
    </w:p>
    <w:p>
      <w:pPr>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hAnsi="宋体"/>
          <w:b/>
          <w:color w:val="auto"/>
          <w:szCs w:val="21"/>
          <w:highlight w:val="none"/>
          <w:u w:val="single"/>
        </w:rPr>
      </w:pPr>
      <w:r>
        <w:rPr>
          <w:rFonts w:hint="eastAsia" w:hAnsi="宋体"/>
          <w:color w:val="auto"/>
          <w:szCs w:val="21"/>
          <w:highlight w:val="none"/>
        </w:rPr>
        <w:t>1.4.1适用于工程的标准规范</w:t>
      </w:r>
      <w:r>
        <w:rPr>
          <w:rFonts w:hint="eastAsia" w:ascii="Times New Roman" w:hAnsi="宋体" w:eastAsia="宋体" w:cs="Times New Roman"/>
          <w:color w:val="auto"/>
          <w:szCs w:val="21"/>
          <w:highlight w:val="none"/>
        </w:rPr>
        <w:t>包括：适用于工程的标准规范包括：</w:t>
      </w:r>
      <w:r>
        <w:rPr>
          <w:rFonts w:hint="eastAsia" w:ascii="Times New Roman" w:hAnsi="宋体" w:eastAsia="宋体" w:cs="Times New Roman"/>
          <w:color w:val="auto"/>
          <w:szCs w:val="21"/>
          <w:highlight w:val="none"/>
          <w:lang w:val="en-US" w:eastAsia="zh-CN"/>
        </w:rPr>
        <w:t xml:space="preserve">  根</w:t>
      </w:r>
      <w:r>
        <w:rPr>
          <w:rFonts w:hint="eastAsia" w:ascii="Times New Roman" w:hAnsi="宋体" w:eastAsia="宋体" w:cs="Times New Roman"/>
          <w:color w:val="auto"/>
          <w:szCs w:val="21"/>
          <w:highlight w:val="none"/>
          <w:lang w:eastAsia="zh-CN"/>
        </w:rPr>
        <w:t>据国家、省市、地方相关规范执行</w:t>
      </w:r>
      <w:r>
        <w:rPr>
          <w:rFonts w:hint="eastAsia" w:ascii="Times New Roman" w:hAnsi="宋体" w:eastAsia="宋体" w:cs="Times New Roman"/>
          <w:color w:val="auto"/>
          <w:szCs w:val="21"/>
          <w:highlight w:val="none"/>
          <w:lang w:val="en-US" w:eastAsia="zh-CN"/>
        </w:rPr>
        <w:t xml:space="preserve"> </w:t>
      </w:r>
      <w:r>
        <w:rPr>
          <w:rFonts w:hint="eastAsia" w:ascii="Times New Roman" w:hAnsi="宋体" w:eastAsia="宋体" w:cs="Times New Roman"/>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1.4.2 发包人提供国外标准、规范的名称：</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发包人提供国外标准、规范的份数：</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发包人提供国外标准、规范的名称：</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1.4.3发包人对工程的技术标准和功能要求的特殊要求：</w:t>
      </w:r>
      <w:r>
        <w:rPr>
          <w:rFonts w:hint="eastAsia" w:hAnsi="宋体" w:cs="仿宋_GB2312"/>
          <w:color w:val="auto"/>
          <w:szCs w:val="21"/>
          <w:highlight w:val="none"/>
          <w:u w:val="single"/>
        </w:rPr>
        <w:t></w:t>
      </w:r>
      <w:r>
        <w:rPr>
          <w:rFonts w:hint="eastAsia" w:hAnsi="宋体"/>
          <w:color w:val="auto"/>
          <w:szCs w:val="21"/>
          <w:highlight w:val="none"/>
          <w:u w:val="single"/>
        </w:rPr>
        <w:t>详见施工图及采购文件要求</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1.5 合同文件的优先顺序</w:t>
      </w:r>
    </w:p>
    <w:p>
      <w:pPr>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合同文件</w:t>
      </w:r>
      <w:r>
        <w:rPr>
          <w:rFonts w:hint="eastAsia" w:ascii="Times New Roman" w:hAnsi="宋体" w:eastAsia="宋体" w:cs="Times New Roman"/>
          <w:color w:val="auto"/>
          <w:sz w:val="21"/>
          <w:szCs w:val="21"/>
          <w:highlight w:val="none"/>
        </w:rPr>
        <w:t>组成</w:t>
      </w:r>
      <w:r>
        <w:rPr>
          <w:rFonts w:hint="eastAsia" w:ascii="宋体" w:hAnsi="宋体" w:eastAsia="宋体" w:cs="宋体"/>
          <w:color w:val="auto"/>
          <w:sz w:val="21"/>
          <w:szCs w:val="21"/>
          <w:highlight w:val="none"/>
        </w:rPr>
        <w:t>及优先顺序为：</w:t>
      </w:r>
      <w:r>
        <w:rPr>
          <w:rFonts w:hint="eastAsia" w:ascii="宋体" w:hAnsi="宋体" w:eastAsia="宋体" w:cs="宋体"/>
          <w:color w:val="auto"/>
          <w:sz w:val="21"/>
          <w:szCs w:val="21"/>
          <w:highlight w:val="none"/>
          <w:u w:val="single"/>
        </w:rPr>
        <w:t>专用合同条款</w:t>
      </w:r>
      <w:r>
        <w:rPr>
          <w:rFonts w:hint="eastAsia" w:ascii="宋体" w:hAnsi="宋体" w:eastAsia="宋体" w:cs="宋体"/>
          <w:color w:val="auto"/>
          <w:sz w:val="21"/>
          <w:szCs w:val="21"/>
          <w:highlight w:val="none"/>
          <w:u w:val="single"/>
          <w:lang w:eastAsia="zh-CN"/>
        </w:rPr>
        <w:t>、招标文件、投标文件、通用合同条款、其它</w:t>
      </w:r>
      <w:r>
        <w:rPr>
          <w:rFonts w:hint="eastAsia" w:ascii="宋体" w:hAnsi="宋体" w:eastAsia="宋体" w:cs="宋体"/>
          <w:color w:val="auto"/>
          <w:sz w:val="21"/>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1.6 图纸和承包人文件</w:t>
      </w:r>
      <w:r>
        <w:rPr>
          <w:rFonts w:hint="eastAsia" w:hAnsi="宋体"/>
          <w:color w:val="auto"/>
          <w:szCs w:val="21"/>
          <w:highlight w:val="none"/>
        </w:rPr>
        <w:tab/>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1.6.1 图纸的提供</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发包人向承包人提供图纸的期限：</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发包人向承包人提供图纸的数量：</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发包人向承包人提供图纸的内容：</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1.6.4 承包人文件</w:t>
      </w:r>
    </w:p>
    <w:p>
      <w:pPr>
        <w:keepLines w:val="0"/>
        <w:pageBreakBefore w:val="0"/>
        <w:widowControl w:val="0"/>
        <w:kinsoku/>
        <w:wordWrap/>
        <w:overflowPunct/>
        <w:topLinePunct w:val="0"/>
        <w:bidi w:val="0"/>
        <w:adjustRightInd w:val="0"/>
        <w:snapToGrid w:val="0"/>
        <w:spacing w:line="360" w:lineRule="auto"/>
        <w:ind w:left="596" w:leftChars="284"/>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需要由承包人提供的文件，包括：</w:t>
      </w:r>
      <w:r>
        <w:rPr>
          <w:rFonts w:hint="eastAsia" w:ascii="宋体" w:hAnsi="宋体" w:eastAsia="宋体" w:cs="宋体"/>
          <w:color w:val="auto"/>
          <w:sz w:val="21"/>
          <w:szCs w:val="21"/>
          <w:highlight w:val="none"/>
          <w:u w:val="single"/>
          <w:lang w:val="en-US" w:eastAsia="zh-CN"/>
        </w:rPr>
        <w:t xml:space="preserve"> 根</w:t>
      </w:r>
      <w:r>
        <w:rPr>
          <w:rFonts w:hint="eastAsia" w:ascii="宋体" w:hAnsi="宋体" w:eastAsia="宋体" w:cs="宋体"/>
          <w:color w:val="auto"/>
          <w:sz w:val="21"/>
          <w:szCs w:val="21"/>
          <w:highlight w:val="none"/>
          <w:u w:val="single"/>
          <w:lang w:eastAsia="zh-CN"/>
        </w:rPr>
        <w:t>据发包人实际要求提供</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承包人提供的文件的期限为：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根据发包人实际要求提供</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承包人提供的文件的数量为：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根据发包人实际要求提供</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承包人提供的文件的形式为：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根据发包人实际要求提供</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发包人审批承包人文件的期限：</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根据发包人实际情况审批</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1.6.5 现场图纸准备</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关于现场图纸准备的约定：</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1.7 联络</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1.7.1发包人和承包人应当在</w:t>
      </w:r>
      <w:r>
        <w:rPr>
          <w:rFonts w:hint="eastAsia" w:hAnsi="宋体" w:cs="仿宋_GB2312"/>
          <w:color w:val="auto"/>
          <w:szCs w:val="21"/>
          <w:highlight w:val="none"/>
          <w:u w:val="single"/>
        </w:rPr>
        <w:t></w:t>
      </w:r>
      <w:r>
        <w:rPr>
          <w:rFonts w:hint="eastAsia" w:hAnsi="宋体"/>
          <w:color w:val="auto"/>
          <w:szCs w:val="21"/>
          <w:highlight w:val="none"/>
          <w:u w:val="single"/>
        </w:rPr>
        <w:t>3</w:t>
      </w:r>
      <w:r>
        <w:rPr>
          <w:rFonts w:hint="eastAsia" w:hAnsi="宋体"/>
          <w:color w:val="auto"/>
          <w:szCs w:val="21"/>
          <w:highlight w:val="none"/>
          <w:u w:val="single"/>
          <w:lang w:val="en-US" w:eastAsia="zh-CN"/>
        </w:rPr>
        <w:t xml:space="preserve"> </w:t>
      </w:r>
      <w:r>
        <w:rPr>
          <w:rFonts w:hint="eastAsia" w:hAnsi="宋体"/>
          <w:color w:val="auto"/>
          <w:szCs w:val="21"/>
          <w:highlight w:val="none"/>
          <w:u w:val="single"/>
        </w:rPr>
        <w:t xml:space="preserve"> </w:t>
      </w:r>
      <w:r>
        <w:rPr>
          <w:rFonts w:hint="eastAsia" w:hAnsi="宋体"/>
          <w:color w:val="auto"/>
          <w:szCs w:val="21"/>
          <w:highlight w:val="none"/>
        </w:rPr>
        <w:t>天内将与合同有关的通知、批准、证明、证书、指示、指令、要求、请求、同意、意见、确定和决定等书面函件送达对方当事人。</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1.7.2 发包人接收文件的地点：</w:t>
      </w:r>
      <w:r>
        <w:rPr>
          <w:rFonts w:hint="eastAsia" w:hAnsi="宋体"/>
          <w:color w:val="auto"/>
          <w:szCs w:val="21"/>
          <w:highlight w:val="none"/>
          <w:u w:val="single"/>
        </w:rPr>
        <w:t>发包人办公室</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发包人指定的接收人为：</w:t>
      </w:r>
      <w:r>
        <w:rPr>
          <w:rFonts w:hint="eastAsia" w:hAnsi="宋体"/>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承包人接收文件的地点：</w:t>
      </w:r>
      <w:r>
        <w:rPr>
          <w:rFonts w:hint="eastAsia" w:hAnsi="宋体"/>
          <w:color w:val="auto"/>
          <w:szCs w:val="21"/>
          <w:highlight w:val="none"/>
          <w:u w:val="single"/>
        </w:rPr>
        <w:t>承包人现场办公室</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承包人指定的接收人为：</w:t>
      </w:r>
      <w:r>
        <w:rPr>
          <w:rFonts w:hint="eastAsia" w:hAnsi="宋体"/>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1.10 交通运输</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1.10.1 出入现场的权利</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关于出入现场的权利的约定：</w:t>
      </w:r>
      <w:r>
        <w:rPr>
          <w:rFonts w:hint="eastAsia" w:hAnsi="宋体" w:cs="仿宋_GB2312"/>
          <w:color w:val="auto"/>
          <w:szCs w:val="21"/>
          <w:highlight w:val="none"/>
          <w:u w:val="single"/>
        </w:rPr>
        <w:t></w:t>
      </w:r>
      <w:r>
        <w:rPr>
          <w:rFonts w:hint="eastAsia" w:hAnsi="宋体"/>
          <w:color w:val="auto"/>
          <w:szCs w:val="21"/>
          <w:highlight w:val="none"/>
          <w:u w:val="single"/>
        </w:rPr>
        <w:t>按通用条款执行</w:t>
      </w:r>
      <w:r>
        <w:rPr>
          <w:rFonts w:hint="eastAsia" w:hAnsi="宋体"/>
          <w:color w:val="auto"/>
          <w:szCs w:val="21"/>
          <w:highlight w:val="none"/>
        </w:rPr>
        <w:t>。</w:t>
      </w:r>
    </w:p>
    <w:p>
      <w:pPr>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1.10.3 场内交通</w:t>
      </w:r>
    </w:p>
    <w:p>
      <w:pPr>
        <w:adjustRightInd w:val="0"/>
        <w:snapToGrid w:val="0"/>
        <w:spacing w:line="360" w:lineRule="auto"/>
        <w:ind w:firstLine="420" w:firstLineChars="200"/>
        <w:jc w:val="left"/>
        <w:rPr>
          <w:rFonts w:hint="eastAsia" w:hAnsi="宋体"/>
          <w:color w:val="auto"/>
          <w:szCs w:val="21"/>
          <w:highlight w:val="none"/>
          <w:u w:val="single"/>
        </w:rPr>
      </w:pPr>
      <w:r>
        <w:rPr>
          <w:rFonts w:hint="eastAsia" w:hAnsi="宋体"/>
          <w:color w:val="auto"/>
          <w:szCs w:val="21"/>
          <w:highlight w:val="none"/>
        </w:rPr>
        <w:t>关于场外交通和场内交通的边界的约定：</w:t>
      </w:r>
      <w:r>
        <w:rPr>
          <w:rFonts w:hint="eastAsia" w:hAnsi="宋体"/>
          <w:color w:val="auto"/>
          <w:szCs w:val="21"/>
          <w:highlight w:val="none"/>
          <w:u w:val="single"/>
        </w:rPr>
        <w:t xml:space="preserve"> 以施工现场围墙（挡）为界 </w:t>
      </w:r>
      <w:r>
        <w:rPr>
          <w:rFonts w:hint="eastAsia" w:hAnsi="宋体"/>
          <w:color w:val="auto"/>
          <w:szCs w:val="21"/>
          <w:highlight w:val="none"/>
        </w:rPr>
        <w:t>。</w:t>
      </w:r>
    </w:p>
    <w:p>
      <w:pPr>
        <w:adjustRightInd w:val="0"/>
        <w:snapToGrid w:val="0"/>
        <w:spacing w:line="360" w:lineRule="auto"/>
        <w:ind w:firstLine="420" w:firstLineChars="200"/>
        <w:jc w:val="left"/>
        <w:rPr>
          <w:rFonts w:hint="eastAsia" w:hAnsi="宋体"/>
          <w:color w:val="auto"/>
          <w:szCs w:val="21"/>
          <w:highlight w:val="none"/>
          <w:u w:val="single"/>
        </w:rPr>
      </w:pPr>
      <w:r>
        <w:rPr>
          <w:rFonts w:hint="eastAsia" w:hAnsi="宋体"/>
          <w:color w:val="auto"/>
          <w:szCs w:val="21"/>
          <w:highlight w:val="none"/>
        </w:rPr>
        <w:t>关于发包人向承包人免费提供满足工程施工需要的场内道路和交通设施的约定：</w:t>
      </w:r>
      <w:r>
        <w:rPr>
          <w:rFonts w:hint="eastAsia" w:hAnsi="宋体"/>
          <w:color w:val="auto"/>
          <w:szCs w:val="21"/>
          <w:highlight w:val="none"/>
          <w:u w:val="single"/>
        </w:rPr>
        <w:t>利用现有的场内、外道路和交通设施，如需新建，承包人自行建设，并承担费用</w:t>
      </w:r>
      <w:r>
        <w:rPr>
          <w:rFonts w:hint="eastAsia" w:hAnsi="宋体"/>
          <w:color w:val="auto"/>
          <w:szCs w:val="21"/>
          <w:highlight w:val="none"/>
        </w:rPr>
        <w:t xml:space="preserve">。  </w:t>
      </w:r>
    </w:p>
    <w:p>
      <w:pPr>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1.10.4超大件和超重件的运输</w:t>
      </w:r>
    </w:p>
    <w:p>
      <w:pPr>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运输超大件或超重件所需的道路和桥梁临时加固改造费用和其他有关费用由</w:t>
      </w:r>
      <w:r>
        <w:rPr>
          <w:rFonts w:hint="eastAsia" w:hAnsi="宋体"/>
          <w:color w:val="auto"/>
          <w:szCs w:val="21"/>
          <w:highlight w:val="none"/>
          <w:u w:val="single"/>
        </w:rPr>
        <w:t xml:space="preserve">  承包人 </w:t>
      </w:r>
      <w:r>
        <w:rPr>
          <w:rFonts w:hint="eastAsia" w:hAnsi="宋体"/>
          <w:color w:val="auto"/>
          <w:szCs w:val="21"/>
          <w:highlight w:val="none"/>
        </w:rPr>
        <w:t>承担。</w:t>
      </w:r>
    </w:p>
    <w:p>
      <w:pPr>
        <w:adjustRightInd w:val="0"/>
        <w:snapToGrid w:val="0"/>
        <w:spacing w:line="360" w:lineRule="auto"/>
        <w:ind w:firstLine="420" w:firstLineChars="200"/>
        <w:jc w:val="left"/>
        <w:rPr>
          <w:rFonts w:hint="eastAsia" w:hAnsi="宋体"/>
          <w:bCs/>
          <w:color w:val="auto"/>
          <w:szCs w:val="21"/>
          <w:highlight w:val="none"/>
        </w:rPr>
      </w:pPr>
      <w:r>
        <w:rPr>
          <w:rFonts w:hint="eastAsia" w:hAnsi="宋体"/>
          <w:bCs/>
          <w:color w:val="auto"/>
          <w:szCs w:val="21"/>
          <w:highlight w:val="none"/>
        </w:rPr>
        <w:t>本工程的超大件：</w:t>
      </w:r>
      <w:r>
        <w:rPr>
          <w:rFonts w:hint="eastAsia" w:hAnsi="宋体"/>
          <w:bCs/>
          <w:color w:val="auto"/>
          <w:szCs w:val="21"/>
          <w:highlight w:val="none"/>
          <w:u w:val="single"/>
        </w:rPr>
        <w:t xml:space="preserve">  /   </w:t>
      </w:r>
      <w:r>
        <w:rPr>
          <w:rFonts w:hint="eastAsia" w:hAnsi="宋体"/>
          <w:bCs/>
          <w:color w:val="auto"/>
          <w:szCs w:val="21"/>
          <w:highlight w:val="none"/>
        </w:rPr>
        <w:t>；</w:t>
      </w:r>
    </w:p>
    <w:p>
      <w:pPr>
        <w:adjustRightInd w:val="0"/>
        <w:snapToGrid w:val="0"/>
        <w:spacing w:line="360" w:lineRule="auto"/>
        <w:ind w:firstLine="420" w:firstLineChars="200"/>
        <w:jc w:val="left"/>
        <w:rPr>
          <w:rFonts w:hint="eastAsia" w:hAnsi="宋体"/>
          <w:bCs/>
          <w:color w:val="auto"/>
          <w:szCs w:val="21"/>
          <w:highlight w:val="none"/>
        </w:rPr>
      </w:pPr>
      <w:r>
        <w:rPr>
          <w:rFonts w:hint="eastAsia" w:hAnsi="宋体"/>
          <w:bCs/>
          <w:color w:val="auto"/>
          <w:szCs w:val="21"/>
          <w:highlight w:val="none"/>
        </w:rPr>
        <w:t>本工程的超重件：</w:t>
      </w:r>
      <w:r>
        <w:rPr>
          <w:rFonts w:hint="eastAsia" w:hAnsi="宋体"/>
          <w:bCs/>
          <w:color w:val="auto"/>
          <w:szCs w:val="21"/>
          <w:highlight w:val="none"/>
          <w:u w:val="single"/>
        </w:rPr>
        <w:t xml:space="preserve">  /   </w:t>
      </w:r>
      <w:r>
        <w:rPr>
          <w:rFonts w:hint="eastAsia" w:hAnsi="宋体"/>
          <w:bCs/>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1.11 知识产权</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1.11.1关于发包人提供给承包人的图纸（如有）、发包人为实施工程自行编制或委托编制的技术规范以及反映发包人关于合同要求或其他类似性质的文件的著作权的归属：</w:t>
      </w:r>
      <w:r>
        <w:rPr>
          <w:rFonts w:hint="eastAsia" w:hAnsi="宋体"/>
          <w:color w:val="auto"/>
          <w:szCs w:val="21"/>
          <w:highlight w:val="none"/>
          <w:u w:val="single"/>
        </w:rPr>
        <w:t>按通用条款执行</w:t>
      </w:r>
      <w:r>
        <w:rPr>
          <w:rFonts w:hint="eastAsia" w:hAnsi="宋体"/>
          <w:color w:val="auto"/>
          <w:szCs w:val="21"/>
          <w:highlight w:val="none"/>
        </w:rPr>
        <w:t>。</w:t>
      </w:r>
    </w:p>
    <w:p>
      <w:pPr>
        <w:adjustRightInd w:val="0"/>
        <w:snapToGrid w:val="0"/>
        <w:spacing w:line="360" w:lineRule="auto"/>
        <w:ind w:firstLine="315" w:firstLineChars="150"/>
        <w:rPr>
          <w:rFonts w:hint="eastAsia" w:hAnsi="宋体"/>
          <w:color w:val="auto"/>
          <w:szCs w:val="21"/>
          <w:highlight w:val="none"/>
          <w:u w:val="single"/>
        </w:rPr>
      </w:pPr>
      <w:r>
        <w:rPr>
          <w:rFonts w:hint="eastAsia" w:hAnsi="宋体"/>
          <w:color w:val="auto"/>
          <w:szCs w:val="21"/>
          <w:highlight w:val="none"/>
        </w:rPr>
        <w:t xml:space="preserve"> 关于发包人提供的上述文件的使用限制的要求：</w:t>
      </w:r>
      <w:r>
        <w:rPr>
          <w:rFonts w:hint="eastAsia" w:hAnsi="宋体"/>
          <w:color w:val="auto"/>
          <w:szCs w:val="21"/>
          <w:highlight w:val="none"/>
          <w:u w:val="single"/>
        </w:rPr>
        <w:t>按通用条款执行</w:t>
      </w:r>
      <w:r>
        <w:rPr>
          <w:rFonts w:hint="eastAsia" w:hAnsi="宋体"/>
          <w:color w:val="auto"/>
          <w:szCs w:val="21"/>
          <w:highlight w:val="none"/>
        </w:rPr>
        <w:t xml:space="preserve">。   </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1.11.2 关于承包人为实施工程所编制文件的著作权的归属：</w:t>
      </w:r>
      <w:r>
        <w:rPr>
          <w:rFonts w:hint="eastAsia" w:hAnsi="宋体"/>
          <w:color w:val="auto"/>
          <w:szCs w:val="21"/>
          <w:highlight w:val="none"/>
          <w:u w:val="single"/>
        </w:rPr>
        <w:t>按通用条款执行</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关于承包人提供的上述文件的使用限制的要求：</w:t>
      </w:r>
      <w:r>
        <w:rPr>
          <w:rFonts w:hint="eastAsia" w:hAnsi="宋体"/>
          <w:color w:val="auto"/>
          <w:szCs w:val="21"/>
          <w:highlight w:val="none"/>
          <w:u w:val="single"/>
        </w:rPr>
        <w:t>按通用条款执行</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1.11.4 承包人在施工过程中所采用的专利、专有技术、技术秘密的使用费的承担方式：</w:t>
      </w:r>
      <w:r>
        <w:rPr>
          <w:rFonts w:hint="eastAsia" w:hAnsi="宋体"/>
          <w:b/>
          <w:color w:val="auto"/>
          <w:szCs w:val="21"/>
          <w:highlight w:val="none"/>
          <w:u w:val="single"/>
        </w:rPr>
        <w:t>（除发包人指明外）承包人在施工过程中所采用的专利、专有技术、技术秘密的使用费包含在合同价款内</w:t>
      </w:r>
      <w:r>
        <w:rPr>
          <w:rFonts w:hint="eastAsia" w:hAnsi="宋体"/>
          <w:b/>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1.13工程量清单错误的修正</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出现工程量清单错误时，是否调整合同价格：</w:t>
      </w:r>
      <w:r>
        <w:rPr>
          <w:rFonts w:hint="eastAsia" w:hAnsi="宋体"/>
          <w:color w:val="auto"/>
          <w:szCs w:val="21"/>
          <w:highlight w:val="none"/>
          <w:u w:val="single"/>
        </w:rPr>
        <w:t xml:space="preserve">   /  </w:t>
      </w:r>
      <w:r>
        <w:rPr>
          <w:rFonts w:hint="eastAsia" w:hAnsi="宋体"/>
          <w:b/>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 xml:space="preserve">允许调整合同价格的工程量偏差范围： </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调整合同价格的修正时间：</w:t>
      </w:r>
      <w:r>
        <w:rPr>
          <w:rFonts w:hint="eastAsia" w:hAnsi="宋体"/>
          <w:color w:val="auto"/>
          <w:szCs w:val="21"/>
          <w:highlight w:val="none"/>
          <w:u w:val="single"/>
        </w:rPr>
        <w:t>除本合同专用条款另有约定外，合同价格不调整</w:t>
      </w:r>
      <w:r>
        <w:rPr>
          <w:rFonts w:hint="eastAsia"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2. 发包人</w:t>
      </w:r>
    </w:p>
    <w:p>
      <w:pPr>
        <w:adjustRightInd w:val="0"/>
        <w:snapToGrid w:val="0"/>
        <w:spacing w:line="360" w:lineRule="auto"/>
        <w:ind w:left="149" w:leftChars="71" w:firstLine="308" w:firstLineChars="147"/>
        <w:rPr>
          <w:rFonts w:hint="eastAsia" w:hAnsi="宋体"/>
          <w:bCs/>
          <w:color w:val="auto"/>
          <w:szCs w:val="21"/>
          <w:highlight w:val="none"/>
        </w:rPr>
      </w:pPr>
      <w:r>
        <w:rPr>
          <w:rFonts w:hint="eastAsia" w:hAnsi="宋体"/>
          <w:bCs/>
          <w:color w:val="auto"/>
          <w:szCs w:val="21"/>
          <w:highlight w:val="none"/>
        </w:rPr>
        <w:t>发包人应根据工程所需配备发包人代表，同时配备1-2名相关人员到岗履职。</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2.2 发包人代表</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发包人代表：</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姓    名：</w:t>
      </w:r>
      <w:r>
        <w:rPr>
          <w:rFonts w:hint="eastAsia" w:ascii="MingLiU_HKSCS" w:hAnsi="MingLiU_HKSCS" w:eastAsia="MingLiU_HKSCS" w:cs="MingLiU_HKSCS"/>
          <w:color w:val="auto"/>
          <w:szCs w:val="21"/>
          <w:highlight w:val="none"/>
          <w:u w:val="single"/>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身份证号：</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职    务：</w:t>
      </w:r>
      <w:r>
        <w:rPr>
          <w:rFonts w:hint="eastAsia" w:ascii="MingLiU_HKSCS" w:hAnsi="MingLiU_HKSCS" w:cs="MingLiU_HKSCS"/>
          <w:color w:val="auto"/>
          <w:szCs w:val="21"/>
          <w:highlight w:val="none"/>
          <w:u w:val="single"/>
        </w:rPr>
        <w:t xml:space="preserve">  </w:t>
      </w:r>
      <w:r>
        <w:rPr>
          <w:rFonts w:hint="eastAsia" w:hAnsi="宋体" w:cs="仿宋_GB2312"/>
          <w:color w:val="auto"/>
          <w:szCs w:val="21"/>
          <w:highlight w:val="none"/>
          <w:u w:val="single"/>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联系电话：</w:t>
      </w:r>
      <w:r>
        <w:rPr>
          <w:rFonts w:hint="eastAsia" w:ascii="MingLiU_HKSCS" w:hAnsi="MingLiU_HKSCS" w:cs="MingLiU_HKSCS"/>
          <w:color w:val="auto"/>
          <w:szCs w:val="21"/>
          <w:highlight w:val="none"/>
          <w:u w:val="single"/>
        </w:rPr>
        <w:t xml:space="preserve">    </w:t>
      </w:r>
      <w:r>
        <w:rPr>
          <w:rFonts w:hint="eastAsia" w:hAnsi="宋体" w:cs="仿宋_GB2312"/>
          <w:color w:val="auto"/>
          <w:szCs w:val="21"/>
          <w:highlight w:val="none"/>
          <w:u w:val="single"/>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联系电话：</w:t>
      </w:r>
      <w:r>
        <w:rPr>
          <w:rFonts w:hint="eastAsia" w:ascii="MingLiU_HKSCS" w:hAnsi="MingLiU_HKSCS" w:cs="MingLiU_HKSCS"/>
          <w:color w:val="auto"/>
          <w:szCs w:val="21"/>
          <w:highlight w:val="none"/>
          <w:u w:val="single"/>
        </w:rPr>
        <w:t xml:space="preserve">       </w:t>
      </w:r>
      <w:r>
        <w:rPr>
          <w:rFonts w:hint="eastAsia" w:hAnsi="宋体" w:cs="仿宋_GB2312"/>
          <w:color w:val="auto"/>
          <w:szCs w:val="21"/>
          <w:highlight w:val="none"/>
          <w:u w:val="single"/>
        </w:rPr>
        <w:t xml:space="preserve">            </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电子信箱：</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通信地址：</w:t>
      </w:r>
      <w:r>
        <w:rPr>
          <w:rFonts w:hint="eastAsia" w:ascii="MingLiU_HKSCS" w:hAnsi="MingLiU_HKSCS" w:cs="MingLiU_HKSCS"/>
          <w:color w:val="auto"/>
          <w:szCs w:val="21"/>
          <w:highlight w:val="none"/>
          <w:u w:val="single"/>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发包人对发包人代表的授权范围如下：</w:t>
      </w:r>
      <w:r>
        <w:rPr>
          <w:rFonts w:hint="eastAsia" w:hAnsi="宋体"/>
          <w:color w:val="auto"/>
          <w:szCs w:val="21"/>
          <w:highlight w:val="none"/>
          <w:u w:val="single"/>
        </w:rPr>
        <w:t>全面实施质量、安全、进度、投资、文明施工管理，涉及合同价格变更、安全事故、质量事故等重大事项的处理须经校园建设处领导班子签字同意</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2.4 施工现场、施工条件和基础资料的提供</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2.4.1 提供施工现场</w:t>
      </w:r>
    </w:p>
    <w:p>
      <w:pPr>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关于发包人移交施工现场的期限要求：</w:t>
      </w:r>
      <w:r>
        <w:rPr>
          <w:rFonts w:hint="eastAsia" w:hAnsi="宋体"/>
          <w:color w:val="auto"/>
          <w:szCs w:val="21"/>
          <w:highlight w:val="none"/>
          <w:u w:val="single"/>
        </w:rPr>
        <w:t>按通用条款执行</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2.4.2 提供施工条件</w:t>
      </w:r>
    </w:p>
    <w:p>
      <w:pPr>
        <w:autoSpaceDE w:val="0"/>
        <w:autoSpaceDN w:val="0"/>
        <w:adjustRightInd w:val="0"/>
        <w:snapToGrid w:val="0"/>
        <w:spacing w:line="360" w:lineRule="auto"/>
        <w:ind w:firstLine="420" w:firstLineChars="200"/>
        <w:jc w:val="left"/>
        <w:rPr>
          <w:rFonts w:hint="eastAsia" w:hAnsi="宋体"/>
          <w:color w:val="auto"/>
          <w:szCs w:val="21"/>
          <w:highlight w:val="none"/>
          <w:u w:val="single"/>
        </w:rPr>
      </w:pPr>
      <w:r>
        <w:rPr>
          <w:rFonts w:hint="eastAsia" w:hAnsi="宋体"/>
          <w:color w:val="auto"/>
          <w:szCs w:val="21"/>
          <w:highlight w:val="none"/>
        </w:rPr>
        <w:t>关于发包人应负责提供施工所需要的条件，包括：</w:t>
      </w:r>
      <w:r>
        <w:rPr>
          <w:rFonts w:hint="eastAsia" w:hAnsi="宋体"/>
          <w:color w:val="auto"/>
          <w:szCs w:val="21"/>
          <w:highlight w:val="none"/>
          <w:u w:val="single"/>
        </w:rPr>
        <w:t>除通用合同条款第2.4.2条规定外，开工日3天前，由发包人向承包人进行工程交底。</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2.5 资金来源证明及支付担保</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发包人提供资金来源证明的期限要求：</w:t>
      </w:r>
      <w:r>
        <w:rPr>
          <w:rFonts w:hint="eastAsia" w:hAnsi="宋体"/>
          <w:color w:val="auto"/>
          <w:szCs w:val="21"/>
          <w:highlight w:val="none"/>
          <w:u w:val="single"/>
          <w:lang w:val="en-US" w:eastAsia="zh-CN"/>
        </w:rPr>
        <w:t xml:space="preserve">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发包人是否提供支付担保：</w:t>
      </w:r>
      <w:r>
        <w:rPr>
          <w:rFonts w:hint="eastAsia" w:hAnsi="宋体"/>
          <w:color w:val="auto"/>
          <w:szCs w:val="21"/>
          <w:highlight w:val="none"/>
          <w:u w:val="single"/>
        </w:rPr>
        <w:t>不提供</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发包人提供支付担保的形式：</w:t>
      </w:r>
      <w:r>
        <w:rPr>
          <w:rFonts w:hint="eastAsia" w:hAnsi="宋体"/>
          <w:color w:val="auto"/>
          <w:szCs w:val="21"/>
          <w:highlight w:val="none"/>
          <w:u w:val="single"/>
        </w:rPr>
        <w:t xml:space="preserve">    /    </w:t>
      </w:r>
      <w:r>
        <w:rPr>
          <w:rFonts w:hint="eastAsia"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3. 承包人</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3.1 承包人的一般义务</w:t>
      </w:r>
    </w:p>
    <w:p>
      <w:pPr>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（5）承包人提交的竣工资料的内容：</w:t>
      </w:r>
      <w:r>
        <w:rPr>
          <w:rFonts w:hint="eastAsia" w:hAnsi="宋体"/>
          <w:color w:val="auto"/>
          <w:szCs w:val="21"/>
          <w:highlight w:val="none"/>
          <w:u w:val="single"/>
        </w:rPr>
        <w:t>发包人收到承包人提交的竣工验收报告及竣工验收资料后，认为工程尚不具备竣工验收条件或承包人提交的竣工验收资料不完整的，有权不组织竣工验收，直至工程符合工程竣工验收条件或竣工验收资料完整。若工程验收时，竣工验收资料尚不完整，或不完全符合主管部门要求的，工程竣工验收通过后，承包人仍应按要求提交完整的符合要求的竣工资料。</w:t>
      </w:r>
      <w:r>
        <w:rPr>
          <w:rFonts w:hint="eastAsia" w:hAnsi="宋体"/>
          <w:color w:val="auto"/>
          <w:szCs w:val="21"/>
          <w:highlight w:val="none"/>
        </w:rPr>
        <w:t>承包人需要提交的竣工资料套数：</w:t>
      </w:r>
      <w:r>
        <w:rPr>
          <w:rFonts w:hint="eastAsia" w:hAnsi="宋体"/>
          <w:color w:val="auto"/>
          <w:szCs w:val="21"/>
          <w:highlight w:val="none"/>
          <w:u w:val="single"/>
        </w:rPr>
        <w:t>一式四份</w:t>
      </w:r>
      <w:r>
        <w:rPr>
          <w:rFonts w:hint="eastAsia" w:hAnsi="宋体"/>
          <w:color w:val="auto"/>
          <w:szCs w:val="21"/>
          <w:highlight w:val="none"/>
        </w:rPr>
        <w:t xml:space="preserve">。  </w:t>
      </w:r>
    </w:p>
    <w:p>
      <w:pPr>
        <w:adjustRightInd w:val="0"/>
        <w:snapToGrid w:val="0"/>
        <w:spacing w:line="360" w:lineRule="auto"/>
        <w:ind w:firstLine="210" w:firstLineChars="100"/>
        <w:jc w:val="left"/>
        <w:rPr>
          <w:rFonts w:hint="eastAsia" w:hAnsi="宋体"/>
          <w:color w:val="auto"/>
          <w:szCs w:val="21"/>
          <w:highlight w:val="none"/>
        </w:rPr>
      </w:pPr>
      <w:r>
        <w:rPr>
          <w:rFonts w:hint="eastAsia" w:hAnsi="宋体"/>
          <w:color w:val="auto"/>
          <w:szCs w:val="21"/>
          <w:highlight w:val="none"/>
        </w:rPr>
        <w:t xml:space="preserve">  承包人提交的竣工资料的费用承担：</w:t>
      </w:r>
      <w:r>
        <w:rPr>
          <w:rFonts w:hint="eastAsia" w:hAnsi="宋体"/>
          <w:color w:val="auto"/>
          <w:szCs w:val="21"/>
          <w:highlight w:val="none"/>
          <w:u w:val="single"/>
        </w:rPr>
        <w:t>承包人承担</w:t>
      </w:r>
      <w:r>
        <w:rPr>
          <w:rFonts w:hint="eastAsia" w:hAnsi="宋体"/>
          <w:color w:val="auto"/>
          <w:szCs w:val="21"/>
          <w:highlight w:val="none"/>
        </w:rPr>
        <w:t>。</w:t>
      </w:r>
    </w:p>
    <w:p>
      <w:pPr>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承包人提交的竣工资料移交时间：</w:t>
      </w:r>
      <w:r>
        <w:rPr>
          <w:rFonts w:hint="eastAsia" w:hAnsi="宋体"/>
          <w:color w:val="auto"/>
          <w:szCs w:val="21"/>
          <w:highlight w:val="none"/>
          <w:u w:val="single"/>
        </w:rPr>
        <w:t>工程竣工验收前20天内</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（6）承包人应履行的其他义务：</w:t>
      </w:r>
    </w:p>
    <w:p>
      <w:pPr>
        <w:tabs>
          <w:tab w:val="left" w:pos="1080"/>
        </w:tabs>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①应提供计划、报表的名称及完成时间:</w:t>
      </w:r>
      <w:r>
        <w:rPr>
          <w:rFonts w:hint="eastAsia" w:hAnsi="宋体"/>
          <w:color w:val="auto"/>
          <w:szCs w:val="21"/>
          <w:highlight w:val="none"/>
          <w:u w:val="single"/>
        </w:rPr>
        <w:t>开工后提供施工组织计划和进度计划。上报项目班子人员名单（在投标时提供）。</w:t>
      </w:r>
    </w:p>
    <w:p>
      <w:pPr>
        <w:tabs>
          <w:tab w:val="left" w:pos="1080"/>
        </w:tabs>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 xml:space="preserve">②承担施工安全保卫工作及非夜间施工照明的责任和要求: </w:t>
      </w:r>
      <w:r>
        <w:rPr>
          <w:rFonts w:hint="eastAsia" w:hAnsi="宋体"/>
          <w:color w:val="auto"/>
          <w:szCs w:val="21"/>
          <w:highlight w:val="none"/>
          <w:u w:val="single"/>
        </w:rPr>
        <w:t>严格按照《杭州市建筑工地文明施工管理规定》等有关规定、要求和响应文件承诺的安全文明措施执行。自费承担相应工作和提供相应设施（如护板、围栏等）以保护公共安全，并提供方便</w:t>
      </w:r>
      <w:r>
        <w:rPr>
          <w:rFonts w:hint="eastAsia" w:hAnsi="宋体"/>
          <w:color w:val="auto"/>
          <w:szCs w:val="21"/>
          <w:highlight w:val="none"/>
        </w:rPr>
        <w:t xml:space="preserve">。 </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③向发包人提供的办公和生活房屋及设施的要求:</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④需承包人办理的有关施工场地交通、环卫和施工噪音管理等手续:</w:t>
      </w:r>
      <w:r>
        <w:rPr>
          <w:rFonts w:hint="eastAsia" w:hAnsi="宋体"/>
          <w:color w:val="auto"/>
          <w:szCs w:val="21"/>
          <w:highlight w:val="none"/>
          <w:u w:val="single"/>
        </w:rPr>
        <w:t xml:space="preserve"> 按 “双标化”要求管理，相关手续由承包人自行办理，相应费用已包含在合同总价内</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⑤完工工程成品保护的特殊要求及费用承担:</w:t>
      </w:r>
      <w:r>
        <w:rPr>
          <w:rFonts w:hint="eastAsia" w:hAnsi="宋体"/>
          <w:color w:val="auto"/>
          <w:szCs w:val="21"/>
          <w:highlight w:val="none"/>
          <w:u w:val="single"/>
        </w:rPr>
        <w:t>工程未正式办理交接手续前，成品保护由承包人完全负责（包括所需费用），如果保护期间发生损坏，承包人须自费予以修复，直至发包人满意为止</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⑥施工场地周围地下管线和邻近建筑物、构筑物(含文物保护建筑)、古树名木、校园绿化、校园道路的保护要求及费用承担:</w:t>
      </w:r>
      <w:r>
        <w:rPr>
          <w:rFonts w:hint="eastAsia" w:hAnsi="宋体"/>
          <w:color w:val="auto"/>
          <w:szCs w:val="21"/>
          <w:highlight w:val="none"/>
          <w:u w:val="single"/>
        </w:rPr>
        <w:t xml:space="preserve"> 承包人应采取相应保护措施，并承担费用。如因承包人原因造成损坏的，则因承担相应赔偿责任并无条件修复</w:t>
      </w:r>
      <w:r>
        <w:rPr>
          <w:rFonts w:hint="eastAsia" w:hAnsi="宋体"/>
          <w:color w:val="auto"/>
          <w:szCs w:val="21"/>
          <w:highlight w:val="none"/>
        </w:rPr>
        <w:t xml:space="preserve">。  </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⑦施工现场清洁卫生的要求：</w:t>
      </w:r>
      <w:r>
        <w:rPr>
          <w:rFonts w:hint="eastAsia" w:hAnsi="宋体"/>
          <w:color w:val="auto"/>
          <w:szCs w:val="21"/>
          <w:highlight w:val="none"/>
          <w:u w:val="single"/>
        </w:rPr>
        <w:t>每天清扫一次现场公共部位，工程完工后2天内现场应清除所有不再需要的临时工程，承包人的设备和多余材料、全部建筑和生活垃圾等。</w:t>
      </w:r>
      <w:r>
        <w:rPr>
          <w:rFonts w:hint="eastAsia" w:hAnsi="宋体"/>
          <w:color w:val="auto"/>
          <w:szCs w:val="21"/>
          <w:highlight w:val="none"/>
        </w:rPr>
        <w:t xml:space="preserve">  </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⑧双方约定承包人应做的其他工作：</w:t>
      </w:r>
      <w:r>
        <w:rPr>
          <w:rFonts w:hint="eastAsia" w:hAnsi="宋体"/>
          <w:color w:val="auto"/>
          <w:szCs w:val="21"/>
          <w:highlight w:val="none"/>
          <w:u w:val="single"/>
        </w:rPr>
        <w:t>施工期间，施工场地应不影响学校正常通行</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3.2 项目经理</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3.2.1 项目经理：</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姓    名：</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身份证号：</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建造师执业资格等级：</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建造师注册证书号：</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建造师执业印章号：</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安全生产考核合格证书号：</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联系电话：</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电子信箱：</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通信地址：</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u w:val="single"/>
        </w:rPr>
        <w:t xml:space="preserve"> </w:t>
      </w:r>
      <w:r>
        <w:rPr>
          <w:rFonts w:hint="eastAsia" w:hAnsi="宋体" w:cs="仿宋_GB2312"/>
          <w:color w:val="auto"/>
          <w:szCs w:val="21"/>
          <w:highlight w:val="none"/>
          <w:u w:val="single"/>
        </w:rPr>
        <w:t></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承包人对项目经理的授权范围如下：</w:t>
      </w:r>
      <w:r>
        <w:rPr>
          <w:rFonts w:hint="eastAsia" w:hAnsi="宋体"/>
          <w:color w:val="auto"/>
          <w:szCs w:val="21"/>
          <w:highlight w:val="none"/>
          <w:u w:val="single"/>
        </w:rPr>
        <w:t>全面负责本工程的质量、安全、工期及成本控制</w:t>
      </w:r>
      <w:r>
        <w:rPr>
          <w:rFonts w:hint="eastAsia" w:hAnsi="宋体"/>
          <w:color w:val="auto"/>
          <w:szCs w:val="21"/>
          <w:highlight w:val="none"/>
        </w:rPr>
        <w:t>。</w:t>
      </w:r>
    </w:p>
    <w:p>
      <w:pPr>
        <w:adjustRightInd w:val="0"/>
        <w:snapToGrid w:val="0"/>
        <w:spacing w:line="360" w:lineRule="auto"/>
        <w:ind w:firstLine="420" w:firstLineChars="200"/>
        <w:jc w:val="left"/>
        <w:rPr>
          <w:rFonts w:hint="eastAsia" w:hAnsi="宋体"/>
          <w:color w:val="auto"/>
          <w:szCs w:val="21"/>
          <w:highlight w:val="none"/>
          <w:u w:val="single"/>
        </w:rPr>
      </w:pPr>
      <w:r>
        <w:rPr>
          <w:rFonts w:hint="eastAsia" w:hAnsi="宋体"/>
          <w:color w:val="auto"/>
          <w:szCs w:val="21"/>
          <w:highlight w:val="none"/>
        </w:rPr>
        <w:t>关于项目经理每月在施工现场的时间要求：</w:t>
      </w:r>
      <w:r>
        <w:rPr>
          <w:rFonts w:hint="eastAsia" w:hAnsi="宋体"/>
          <w:color w:val="auto"/>
          <w:szCs w:val="21"/>
          <w:highlight w:val="none"/>
          <w:u w:val="single"/>
        </w:rPr>
        <w:t>到位率为80%(按每月25 天，每天工作8 小时考勤)，重要施工工序或环节时项目经理、技术负责人等必须到场</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承包人未提交劳动合同，以及没有为项目经理缴纳社会保险证明的违约责任：</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项目经理未经批准，擅自离开施工现场的违约责任：</w:t>
      </w:r>
      <w:r>
        <w:rPr>
          <w:rFonts w:hint="eastAsia" w:hAnsi="宋体"/>
          <w:color w:val="auto"/>
          <w:szCs w:val="21"/>
          <w:highlight w:val="none"/>
          <w:u w:val="single"/>
        </w:rPr>
        <w:t xml:space="preserve"> 按违约金人民币1000元/天从结算款中扣除</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3.2.3 承包人擅自更换项目经理的违约责任：</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（1）承包人确需更换项目经理的，继任项目经理注册执业资格、管理经验的约定：</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6"/>
        <w:rPr>
          <w:rFonts w:hint="eastAsia" w:hAnsi="宋体"/>
          <w:dstrike/>
          <w:color w:val="auto"/>
          <w:szCs w:val="21"/>
          <w:highlight w:val="none"/>
          <w:u w:val="single"/>
        </w:rPr>
      </w:pPr>
      <w:r>
        <w:rPr>
          <w:rFonts w:hint="eastAsia" w:hAnsi="宋体"/>
          <w:color w:val="auto"/>
          <w:szCs w:val="21"/>
          <w:highlight w:val="none"/>
        </w:rPr>
        <w:t>（2）承包人擅自更换项目经理的违约责任：</w:t>
      </w:r>
      <w:r>
        <w:rPr>
          <w:rFonts w:hint="eastAsia" w:hAnsi="宋体"/>
          <w:color w:val="auto"/>
          <w:szCs w:val="21"/>
          <w:highlight w:val="none"/>
          <w:u w:val="single"/>
        </w:rPr>
        <w:t xml:space="preserve">  / </w:t>
      </w:r>
      <w:r>
        <w:rPr>
          <w:rFonts w:hint="eastAsia" w:hAnsi="宋体"/>
          <w:color w:val="auto"/>
          <w:szCs w:val="21"/>
          <w:highlight w:val="none"/>
        </w:rPr>
        <w:t>。</w:t>
      </w:r>
      <w:r>
        <w:rPr>
          <w:rFonts w:hint="eastAsia" w:hAnsi="宋体"/>
          <w:color w:val="auto"/>
          <w:szCs w:val="21"/>
          <w:highlight w:val="none"/>
          <w:u w:val="single"/>
        </w:rPr>
        <w:t xml:space="preserve">  </w:t>
      </w:r>
    </w:p>
    <w:p>
      <w:pPr>
        <w:adjustRightInd w:val="0"/>
        <w:snapToGrid w:val="0"/>
        <w:spacing w:line="360" w:lineRule="auto"/>
        <w:ind w:firstLine="420" w:firstLineChars="200"/>
        <w:rPr>
          <w:rFonts w:hint="eastAsia" w:hAnsi="宋体"/>
          <w:dstrike/>
          <w:color w:val="auto"/>
          <w:szCs w:val="21"/>
          <w:highlight w:val="none"/>
          <w:u w:val="single"/>
        </w:rPr>
      </w:pPr>
      <w:r>
        <w:rPr>
          <w:rFonts w:hint="eastAsia" w:hAnsi="宋体"/>
          <w:color w:val="auto"/>
          <w:szCs w:val="21"/>
          <w:highlight w:val="none"/>
        </w:rPr>
        <w:t>3.2.4 承包人无正当理由拒绝更换项目经理的违约责任：</w:t>
      </w:r>
      <w:r>
        <w:rPr>
          <w:rFonts w:hint="eastAsia" w:hAnsi="宋体"/>
          <w:color w:val="auto"/>
          <w:szCs w:val="21"/>
          <w:highlight w:val="none"/>
          <w:u w:val="single"/>
        </w:rPr>
        <w:t xml:space="preserve"> 从结算款中扣除2000元/人/次的违约金</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3.3 承包人人员</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3.3.1 承包人提交项目管理机构及施工现场管理人员安排报告的期限：</w:t>
      </w:r>
      <w:r>
        <w:rPr>
          <w:rFonts w:hint="eastAsia" w:hAnsi="宋体"/>
          <w:color w:val="auto"/>
          <w:szCs w:val="21"/>
          <w:highlight w:val="none"/>
          <w:u w:val="single"/>
        </w:rPr>
        <w:t>合同生效后7天内</w:t>
      </w:r>
      <w:r>
        <w:rPr>
          <w:rFonts w:hint="eastAsia" w:hAnsi="宋体"/>
          <w:color w:val="auto"/>
          <w:szCs w:val="21"/>
          <w:highlight w:val="none"/>
        </w:rPr>
        <w:t>。</w:t>
      </w:r>
    </w:p>
    <w:p>
      <w:pPr>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3.3.2 承包人需更换主要施工管理人员的，继任人员的数量、注册执业资格、管理经验的约定：</w:t>
      </w:r>
      <w:r>
        <w:rPr>
          <w:rFonts w:hint="eastAsia" w:hAnsi="宋体"/>
          <w:color w:val="auto"/>
          <w:szCs w:val="21"/>
          <w:highlight w:val="none"/>
          <w:u w:val="single"/>
        </w:rPr>
        <w:t>不得低于原主要施工管理人员的数量、注册执业资格、管理经验</w:t>
      </w:r>
      <w:r>
        <w:rPr>
          <w:rFonts w:hint="eastAsia" w:hAnsi="宋体"/>
          <w:color w:val="auto"/>
          <w:szCs w:val="21"/>
          <w:highlight w:val="none"/>
        </w:rPr>
        <w:t>。</w:t>
      </w:r>
    </w:p>
    <w:p>
      <w:pPr>
        <w:adjustRightInd w:val="0"/>
        <w:snapToGrid w:val="0"/>
        <w:spacing w:line="360" w:lineRule="auto"/>
        <w:ind w:firstLine="396" w:firstLineChars="189"/>
        <w:rPr>
          <w:rFonts w:hint="eastAsia" w:hAnsi="宋体"/>
          <w:color w:val="auto"/>
          <w:szCs w:val="21"/>
          <w:highlight w:val="none"/>
        </w:rPr>
      </w:pPr>
      <w:r>
        <w:rPr>
          <w:rFonts w:hint="eastAsia" w:hAnsi="宋体"/>
          <w:color w:val="auto"/>
          <w:szCs w:val="21"/>
          <w:highlight w:val="none"/>
        </w:rPr>
        <w:t>3.3.3 承包人无正当理由拒绝撤换主要施工管理人员的违约责任：</w:t>
      </w:r>
      <w:r>
        <w:rPr>
          <w:rFonts w:hint="eastAsia" w:hAnsi="宋体"/>
          <w:color w:val="auto"/>
          <w:szCs w:val="21"/>
          <w:highlight w:val="none"/>
          <w:u w:val="single"/>
        </w:rPr>
        <w:t>从结算款中扣除1000元/人/次的违约金</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3.3.4 承包人主要施工管理人员离开施工现场的批准要求：</w:t>
      </w:r>
      <w:r>
        <w:rPr>
          <w:rFonts w:hint="eastAsia" w:hAnsi="宋体"/>
          <w:color w:val="auto"/>
          <w:szCs w:val="21"/>
          <w:highlight w:val="none"/>
          <w:u w:val="single"/>
        </w:rPr>
        <w:t>按通用条款执行</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3.3.5承包人擅自更换主要施工管理人员的违约责任：</w:t>
      </w:r>
      <w:r>
        <w:rPr>
          <w:rFonts w:hint="eastAsia" w:hAnsi="宋体"/>
          <w:color w:val="auto"/>
          <w:szCs w:val="21"/>
          <w:highlight w:val="none"/>
          <w:u w:val="single"/>
        </w:rPr>
        <w:t>在施工期间不准更换，特殊情况要求更换的，须经发包人同意备案。承包人更换技术负责人、施工员的将被视为承包人违约，并按照1000元/人/次付给发包人违约金</w:t>
      </w:r>
      <w:r>
        <w:rPr>
          <w:rFonts w:hint="eastAsia" w:hAnsi="宋体"/>
          <w:color w:val="auto"/>
          <w:szCs w:val="21"/>
          <w:highlight w:val="none"/>
        </w:rPr>
        <w:t>。</w:t>
      </w:r>
    </w:p>
    <w:p>
      <w:pPr>
        <w:adjustRightInd w:val="0"/>
        <w:snapToGrid w:val="0"/>
        <w:spacing w:line="360" w:lineRule="auto"/>
        <w:ind w:firstLine="420" w:firstLineChars="200"/>
        <w:rPr>
          <w:rFonts w:hint="eastAsia" w:hAnsi="宋体"/>
          <w:dstrike/>
          <w:color w:val="auto"/>
          <w:szCs w:val="21"/>
          <w:highlight w:val="none"/>
          <w:u w:val="single"/>
        </w:rPr>
      </w:pPr>
      <w:r>
        <w:rPr>
          <w:rFonts w:hint="eastAsia" w:hAnsi="宋体"/>
          <w:color w:val="auto"/>
          <w:szCs w:val="21"/>
          <w:highlight w:val="none"/>
        </w:rPr>
        <w:t>承包人主要施工管理人员擅自离开施工现场的违约责任：</w:t>
      </w:r>
      <w:r>
        <w:rPr>
          <w:rFonts w:hint="eastAsia" w:hAnsi="宋体"/>
          <w:color w:val="auto"/>
          <w:szCs w:val="21"/>
          <w:highlight w:val="none"/>
          <w:u w:val="single"/>
        </w:rPr>
        <w:t xml:space="preserve">  若技术负责人、施工员出勤率不足投标承诺，支付违约金1000元/天/人；安全员、质检员、材料员出勤率不足投标承诺，支付违约500元/天/人</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3.5 分包</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3.5.1 分包的一般约定</w:t>
      </w:r>
    </w:p>
    <w:p>
      <w:pPr>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禁止分包的工程包括：</w:t>
      </w:r>
      <w:r>
        <w:rPr>
          <w:rFonts w:hint="eastAsia" w:hAnsi="宋体"/>
          <w:color w:val="auto"/>
          <w:szCs w:val="21"/>
          <w:highlight w:val="none"/>
          <w:u w:val="single"/>
        </w:rPr>
        <w:t>按《通用合同条款》3.5.1</w:t>
      </w:r>
      <w:r>
        <w:rPr>
          <w:rFonts w:hint="eastAsia" w:hAnsi="宋体"/>
          <w:color w:val="auto"/>
          <w:szCs w:val="21"/>
          <w:highlight w:val="none"/>
        </w:rPr>
        <w:t>。</w:t>
      </w:r>
    </w:p>
    <w:p>
      <w:pPr>
        <w:adjustRightInd w:val="0"/>
        <w:snapToGrid w:val="0"/>
        <w:spacing w:line="360" w:lineRule="auto"/>
        <w:ind w:firstLine="420" w:firstLineChars="200"/>
        <w:jc w:val="left"/>
        <w:rPr>
          <w:rFonts w:hint="eastAsia" w:hAnsi="宋体"/>
          <w:color w:val="auto"/>
          <w:szCs w:val="21"/>
          <w:highlight w:val="none"/>
          <w:u w:val="single"/>
        </w:rPr>
      </w:pPr>
      <w:r>
        <w:rPr>
          <w:rFonts w:hint="eastAsia" w:hAnsi="宋体"/>
          <w:color w:val="auto"/>
          <w:szCs w:val="21"/>
          <w:highlight w:val="none"/>
        </w:rPr>
        <w:t>主体结构、关键性工作的范围：</w:t>
      </w:r>
      <w:r>
        <w:rPr>
          <w:rFonts w:hint="eastAsia" w:hAnsi="宋体"/>
          <w:color w:val="auto"/>
          <w:szCs w:val="21"/>
          <w:highlight w:val="none"/>
          <w:u w:val="single"/>
        </w:rPr>
        <w:t>发生时双方协商确定</w:t>
      </w:r>
      <w:r>
        <w:rPr>
          <w:rFonts w:hint="eastAsia" w:hAnsi="宋体"/>
          <w:color w:val="auto"/>
          <w:szCs w:val="21"/>
          <w:highlight w:val="none"/>
        </w:rPr>
        <w:t>。</w:t>
      </w:r>
    </w:p>
    <w:p>
      <w:pPr>
        <w:adjustRightInd w:val="0"/>
        <w:snapToGrid w:val="0"/>
        <w:spacing w:line="360" w:lineRule="auto"/>
        <w:rPr>
          <w:rFonts w:hint="eastAsia" w:hAnsi="宋体"/>
          <w:color w:val="auto"/>
          <w:szCs w:val="21"/>
          <w:highlight w:val="none"/>
        </w:rPr>
      </w:pPr>
      <w:r>
        <w:rPr>
          <w:rFonts w:hint="eastAsia" w:hAnsi="宋体"/>
          <w:color w:val="auto"/>
          <w:szCs w:val="21"/>
          <w:highlight w:val="none"/>
        </w:rPr>
        <w:t xml:space="preserve">    3.5.2分包的确定</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允许分包的专业工程包括：</w:t>
      </w:r>
      <w:r>
        <w:rPr>
          <w:rFonts w:hint="eastAsia" w:hAnsi="宋体"/>
          <w:color w:val="auto"/>
          <w:szCs w:val="21"/>
          <w:highlight w:val="none"/>
          <w:u w:val="single"/>
        </w:rPr>
        <w:t>未经发包人同意，承包人不得转包、分包或变相转包、分包（发包人同意的除外），一经发现，以承包人违约处理，发包人可终止合同，将承包人清退出场，没收全部履约保证金</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u w:val="single"/>
        </w:rPr>
      </w:pPr>
      <w:r>
        <w:rPr>
          <w:rFonts w:hint="eastAsia" w:hAnsi="宋体"/>
          <w:color w:val="auto"/>
          <w:szCs w:val="21"/>
          <w:highlight w:val="none"/>
        </w:rPr>
        <w:t>其他关于分包的约定：</w:t>
      </w:r>
      <w:r>
        <w:rPr>
          <w:rFonts w:hint="eastAsia" w:hAnsi="宋体"/>
          <w:color w:val="auto"/>
          <w:szCs w:val="21"/>
          <w:highlight w:val="none"/>
          <w:u w:val="single"/>
        </w:rPr>
        <w:t xml:space="preserve">         /        </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3.5.4 分包合同价款</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关于分包合同价款支付的约定：</w:t>
      </w:r>
      <w:r>
        <w:rPr>
          <w:rFonts w:hint="eastAsia" w:hAnsi="宋体"/>
          <w:color w:val="auto"/>
          <w:szCs w:val="21"/>
          <w:highlight w:val="none"/>
          <w:u w:val="single"/>
        </w:rPr>
        <w:t>按通用条款执行</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3.6 工程照管与成品、半成品保护</w:t>
      </w:r>
    </w:p>
    <w:p>
      <w:pPr>
        <w:adjustRightInd w:val="0"/>
        <w:snapToGrid w:val="0"/>
        <w:spacing w:line="360" w:lineRule="auto"/>
        <w:ind w:firstLine="420" w:firstLineChars="200"/>
        <w:jc w:val="left"/>
        <w:rPr>
          <w:rFonts w:hint="eastAsia" w:hAnsi="宋体"/>
          <w:b/>
          <w:color w:val="auto"/>
          <w:szCs w:val="21"/>
          <w:highlight w:val="none"/>
          <w:u w:val="single"/>
        </w:rPr>
      </w:pPr>
      <w:r>
        <w:rPr>
          <w:rFonts w:hint="eastAsia" w:hAnsi="宋体"/>
          <w:color w:val="auto"/>
          <w:szCs w:val="21"/>
          <w:highlight w:val="none"/>
        </w:rPr>
        <w:t>承包人负责照管工程及工程相关的材料、工程设备的起始时间：</w:t>
      </w:r>
      <w:r>
        <w:rPr>
          <w:rFonts w:hint="eastAsia" w:hAnsi="宋体"/>
          <w:color w:val="auto"/>
          <w:szCs w:val="21"/>
          <w:highlight w:val="none"/>
          <w:u w:val="single"/>
        </w:rPr>
        <w:t>按通用条款执行</w:t>
      </w:r>
      <w:r>
        <w:rPr>
          <w:rFonts w:hint="eastAsia" w:hAnsi="宋体"/>
          <w:color w:val="auto"/>
          <w:szCs w:val="21"/>
          <w:highlight w:val="none"/>
        </w:rPr>
        <w:t>。</w:t>
      </w:r>
    </w:p>
    <w:p>
      <w:pPr>
        <w:adjustRightInd w:val="0"/>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3.7 履约担保</w:t>
      </w:r>
    </w:p>
    <w:p>
      <w:pPr>
        <w:adjustRightInd w:val="0"/>
        <w:snapToGrid w:val="0"/>
        <w:spacing w:line="360" w:lineRule="auto"/>
        <w:ind w:firstLine="420" w:firstLineChars="200"/>
        <w:jc w:val="left"/>
        <w:rPr>
          <w:rFonts w:hint="eastAsia" w:hAnsi="宋体"/>
          <w:color w:val="auto"/>
          <w:szCs w:val="21"/>
          <w:highlight w:val="none"/>
        </w:rPr>
      </w:pPr>
      <w:r>
        <w:rPr>
          <w:rFonts w:hint="eastAsia" w:hAnsi="宋体"/>
          <w:color w:val="auto"/>
          <w:szCs w:val="21"/>
          <w:highlight w:val="none"/>
        </w:rPr>
        <w:t>承包人是否提供履约担保：</w:t>
      </w:r>
      <w:r>
        <w:rPr>
          <w:rFonts w:hint="eastAsia" w:hAnsi="宋体"/>
          <w:color w:val="auto"/>
          <w:szCs w:val="21"/>
          <w:highlight w:val="none"/>
          <w:u w:val="single"/>
        </w:rPr>
        <w:t xml:space="preserve">   提供   </w:t>
      </w:r>
      <w:r>
        <w:rPr>
          <w:rFonts w:hint="eastAsia" w:hAnsi="宋体"/>
          <w:color w:val="auto"/>
          <w:szCs w:val="21"/>
          <w:highlight w:val="none"/>
        </w:rPr>
        <w:t>。</w:t>
      </w:r>
    </w:p>
    <w:p>
      <w:pPr>
        <w:adjustRightInd w:val="0"/>
        <w:snapToGrid w:val="0"/>
        <w:spacing w:line="360" w:lineRule="auto"/>
        <w:ind w:firstLine="420" w:firstLineChars="200"/>
        <w:jc w:val="left"/>
        <w:rPr>
          <w:rFonts w:hint="eastAsia" w:hAnsi="宋体"/>
          <w:color w:val="auto"/>
          <w:szCs w:val="21"/>
          <w:highlight w:val="none"/>
          <w:u w:val="single"/>
        </w:rPr>
      </w:pPr>
      <w:r>
        <w:rPr>
          <w:rFonts w:hint="eastAsia" w:hAnsi="宋体"/>
          <w:color w:val="auto"/>
          <w:szCs w:val="21"/>
          <w:highlight w:val="none"/>
        </w:rPr>
        <w:t>承包人提供履约担保的形式、金额及期限的：</w:t>
      </w:r>
      <w:r>
        <w:rPr>
          <w:rFonts w:hint="eastAsia" w:hAnsi="宋体"/>
          <w:color w:val="auto"/>
          <w:szCs w:val="21"/>
          <w:highlight w:val="none"/>
          <w:u w:val="single"/>
          <w:lang w:val="zh-Hans" w:eastAsia="zh-Hans"/>
        </w:rPr>
        <w:t>在合同签定后</w:t>
      </w:r>
      <w:r>
        <w:rPr>
          <w:rFonts w:hint="eastAsia" w:hAnsi="宋体"/>
          <w:color w:val="auto"/>
          <w:szCs w:val="21"/>
          <w:highlight w:val="none"/>
          <w:u w:val="single"/>
          <w:lang w:val="en-US" w:eastAsia="zh-CN"/>
        </w:rPr>
        <w:t>5</w:t>
      </w:r>
      <w:r>
        <w:rPr>
          <w:rFonts w:hint="eastAsia" w:hAnsi="宋体"/>
          <w:color w:val="auto"/>
          <w:szCs w:val="21"/>
          <w:highlight w:val="none"/>
          <w:u w:val="single"/>
          <w:lang w:val="zh-Hans" w:eastAsia="zh-Hans"/>
        </w:rPr>
        <w:t>日内，承包人向发包人支付合同价</w:t>
      </w:r>
      <w:r>
        <w:rPr>
          <w:rFonts w:hint="eastAsia" w:hAnsi="宋体"/>
          <w:color w:val="auto"/>
          <w:szCs w:val="21"/>
          <w:highlight w:val="none"/>
          <w:u w:val="single"/>
          <w:lang w:val="en-US" w:eastAsia="zh-CN"/>
        </w:rPr>
        <w:t>1%的</w:t>
      </w:r>
      <w:r>
        <w:rPr>
          <w:rFonts w:hint="eastAsia" w:hAnsi="宋体"/>
          <w:color w:val="auto"/>
          <w:szCs w:val="21"/>
          <w:highlight w:val="none"/>
          <w:u w:val="single"/>
          <w:lang w:val="zh-Hans" w:eastAsia="zh-Hans"/>
        </w:rPr>
        <w:t>履约保证金</w:t>
      </w:r>
      <w:r>
        <w:rPr>
          <w:rFonts w:hint="eastAsia" w:hAnsi="宋体"/>
          <w:color w:val="auto"/>
          <w:szCs w:val="21"/>
          <w:highlight w:val="none"/>
          <w:u w:val="singl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5. 工程质量</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5.1 质量要求</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5.1.1 特殊质量标准和要求：</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关于工程奖项的约定：</w:t>
      </w:r>
      <w:r>
        <w:rPr>
          <w:rFonts w:hint="eastAsia" w:ascii="宋体" w:hAnsi="宋体"/>
          <w:color w:val="auto"/>
          <w:szCs w:val="21"/>
          <w:highlight w:val="none"/>
          <w:u w:val="single"/>
        </w:rPr>
        <w:t xml:space="preserve">                /                  </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5.3 隐蔽工程检查</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5.3.2承包人提前通知发包人隐蔽工程检查的期限的约定：承包人提前通知发包人隐蔽工程检查的期限的约定：</w:t>
      </w:r>
      <w:r>
        <w:rPr>
          <w:rFonts w:hint="eastAsia" w:ascii="宋体" w:hAnsi="宋体"/>
          <w:color w:val="auto"/>
          <w:szCs w:val="21"/>
          <w:highlight w:val="none"/>
          <w:u w:val="single"/>
        </w:rPr>
        <w:t>承包人应在共同检查前48 小时书面通知发包人检查，通知中应载明隐蔽检查的内容、时间和地点，并应附有自检记录和必要的检查资料。隐蔽工程必须做好影像资料收集、整理</w:t>
      </w:r>
      <w:r>
        <w:rPr>
          <w:rFonts w:hint="eastAsia" w:ascii="宋体" w:hAnsi="宋体"/>
          <w:color w:val="auto"/>
          <w:szCs w:val="21"/>
          <w:highlight w:val="none"/>
        </w:rPr>
        <w:t>。</w:t>
      </w:r>
    </w:p>
    <w:p>
      <w:pPr>
        <w:adjustRightInd w:val="0"/>
        <w:snapToGrid w:val="0"/>
        <w:spacing w:line="360" w:lineRule="auto"/>
        <w:ind w:firstLine="441" w:firstLineChars="210"/>
        <w:jc w:val="left"/>
        <w:rPr>
          <w:rFonts w:hint="eastAsia" w:ascii="宋体" w:hAnsi="宋体"/>
          <w:color w:val="auto"/>
          <w:szCs w:val="21"/>
          <w:highlight w:val="none"/>
        </w:rPr>
      </w:pPr>
      <w:r>
        <w:rPr>
          <w:rFonts w:hint="eastAsia" w:ascii="宋体" w:hAnsi="宋体"/>
          <w:color w:val="auto"/>
          <w:szCs w:val="21"/>
          <w:highlight w:val="none"/>
        </w:rPr>
        <w:t>发包人不能按时进行检查时，应提前</w:t>
      </w:r>
      <w:r>
        <w:rPr>
          <w:rFonts w:hint="eastAsia" w:ascii="宋体" w:hAnsi="宋体"/>
          <w:color w:val="auto"/>
          <w:szCs w:val="21"/>
          <w:highlight w:val="none"/>
          <w:u w:val="single"/>
        </w:rPr>
        <w:t xml:space="preserve">   24  </w:t>
      </w:r>
      <w:r>
        <w:rPr>
          <w:rFonts w:hint="eastAsia" w:ascii="宋体" w:hAnsi="宋体"/>
          <w:color w:val="auto"/>
          <w:szCs w:val="21"/>
          <w:highlight w:val="none"/>
        </w:rPr>
        <w:t>小时提交书面延期要求。</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关于延期最长不得超过：</w:t>
      </w:r>
      <w:r>
        <w:rPr>
          <w:rFonts w:hint="eastAsia" w:ascii="宋体" w:hAnsi="宋体"/>
          <w:color w:val="auto"/>
          <w:szCs w:val="21"/>
          <w:highlight w:val="none"/>
          <w:u w:val="single"/>
        </w:rPr>
        <w:t xml:space="preserve">     48   </w:t>
      </w:r>
      <w:r>
        <w:rPr>
          <w:rFonts w:hint="eastAsia" w:ascii="宋体" w:hAnsi="宋体"/>
          <w:color w:val="auto"/>
          <w:szCs w:val="21"/>
          <w:highlight w:val="none"/>
        </w:rPr>
        <w:t>小时。</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6. 安全文明施工与环境保护</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6.1安全文明施工</w:t>
      </w:r>
    </w:p>
    <w:p>
      <w:pPr>
        <w:adjustRightInd w:val="0"/>
        <w:snapToGrid w:val="0"/>
        <w:spacing w:line="360" w:lineRule="auto"/>
        <w:ind w:firstLine="420" w:firstLineChars="200"/>
        <w:jc w:val="left"/>
        <w:rPr>
          <w:rFonts w:hint="eastAsia" w:ascii="宋体" w:hAnsi="宋体"/>
          <w:b/>
          <w:color w:val="auto"/>
          <w:szCs w:val="21"/>
          <w:highlight w:val="none"/>
          <w:u w:val="single"/>
        </w:rPr>
      </w:pPr>
      <w:r>
        <w:rPr>
          <w:rFonts w:hint="eastAsia" w:ascii="宋体" w:hAnsi="宋体"/>
          <w:color w:val="auto"/>
          <w:szCs w:val="21"/>
          <w:highlight w:val="none"/>
        </w:rPr>
        <w:t>6.1.1 项目安全生产的达标目标及相应事项的约定：</w:t>
      </w:r>
      <w:r>
        <w:rPr>
          <w:rFonts w:hint="eastAsia" w:ascii="宋体" w:hAnsi="宋体"/>
          <w:b/>
          <w:color w:val="auto"/>
          <w:szCs w:val="21"/>
          <w:highlight w:val="none"/>
          <w:u w:val="single"/>
        </w:rPr>
        <w:t>施工现场按照《建筑施工安全检查标准》（JGJ59-2011）评定达到“合格”标准。</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6.1.4 关于治安保卫的特别约定：</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关于编制施工场地治安管理计划的约定：</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6.1.5 文明施工</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合同当事人对文明施工的要求：</w:t>
      </w:r>
    </w:p>
    <w:p>
      <w:pPr>
        <w:adjustRightInd w:val="0"/>
        <w:snapToGrid w:val="0"/>
        <w:spacing w:line="360" w:lineRule="auto"/>
        <w:ind w:firstLine="417" w:firstLineChars="198"/>
        <w:jc w:val="left"/>
        <w:rPr>
          <w:rFonts w:hint="eastAsia" w:ascii="宋体" w:hAnsi="宋体"/>
          <w:b/>
          <w:color w:val="auto"/>
          <w:szCs w:val="21"/>
          <w:highlight w:val="none"/>
          <w:u w:val="single"/>
          <w:lang w:val="zh-CN"/>
        </w:rPr>
      </w:pPr>
      <w:r>
        <w:rPr>
          <w:rFonts w:hint="eastAsia" w:ascii="宋体" w:hAnsi="宋体"/>
          <w:b/>
          <w:color w:val="auto"/>
          <w:szCs w:val="21"/>
          <w:highlight w:val="none"/>
          <w:u w:val="single"/>
        </w:rPr>
        <w:t>（1）</w:t>
      </w:r>
      <w:r>
        <w:rPr>
          <w:rFonts w:hint="eastAsia" w:ascii="宋体" w:hAnsi="宋体"/>
          <w:b/>
          <w:color w:val="auto"/>
          <w:szCs w:val="21"/>
          <w:highlight w:val="none"/>
          <w:u w:val="single"/>
          <w:lang w:val="zh-CN"/>
        </w:rPr>
        <w:t>遵守地方政府和有关部门对施工场地交通、环卫、安全和施工噪音等管理规定，并办理相关审批手续</w:t>
      </w:r>
      <w:r>
        <w:rPr>
          <w:rFonts w:hint="eastAsia" w:ascii="宋体" w:hAnsi="宋体"/>
          <w:b/>
          <w:color w:val="auto"/>
          <w:szCs w:val="21"/>
          <w:highlight w:val="none"/>
          <w:lang w:val="zh-CN"/>
        </w:rPr>
        <w:t>。</w:t>
      </w:r>
    </w:p>
    <w:p>
      <w:pPr>
        <w:adjustRightInd w:val="0"/>
        <w:snapToGrid w:val="0"/>
        <w:spacing w:line="360" w:lineRule="auto"/>
        <w:ind w:firstLine="417" w:firstLineChars="198"/>
        <w:jc w:val="left"/>
        <w:rPr>
          <w:rFonts w:hint="eastAsia" w:ascii="宋体" w:hAnsi="宋体"/>
          <w:b/>
          <w:color w:val="auto"/>
          <w:szCs w:val="21"/>
          <w:highlight w:val="none"/>
          <w:lang w:val="zh-CN"/>
        </w:rPr>
      </w:pPr>
      <w:r>
        <w:rPr>
          <w:rFonts w:hint="eastAsia" w:ascii="宋体" w:hAnsi="宋体"/>
          <w:b/>
          <w:color w:val="auto"/>
          <w:szCs w:val="21"/>
          <w:highlight w:val="none"/>
          <w:u w:val="single"/>
          <w:lang w:val="zh-CN"/>
        </w:rPr>
        <w:t>（2）承包人应采取有效措施尽量减小尘土和噪音污染，需要进行夜间作业时应经有关部门批准</w:t>
      </w:r>
      <w:r>
        <w:rPr>
          <w:rFonts w:hint="eastAsia" w:ascii="宋体" w:hAnsi="宋体"/>
          <w:b/>
          <w:color w:val="auto"/>
          <w:szCs w:val="21"/>
          <w:highlight w:val="none"/>
          <w:lang w:val="zh-CN"/>
        </w:rPr>
        <w:t>。</w:t>
      </w:r>
    </w:p>
    <w:p>
      <w:pPr>
        <w:adjustRightInd w:val="0"/>
        <w:snapToGrid w:val="0"/>
        <w:spacing w:line="360" w:lineRule="auto"/>
        <w:ind w:firstLine="417" w:firstLineChars="198"/>
        <w:jc w:val="left"/>
        <w:rPr>
          <w:rFonts w:hint="eastAsia" w:ascii="宋体" w:hAnsi="宋体"/>
          <w:b/>
          <w:color w:val="auto"/>
          <w:szCs w:val="21"/>
          <w:highlight w:val="none"/>
          <w:u w:val="single"/>
        </w:rPr>
      </w:pPr>
      <w:r>
        <w:rPr>
          <w:rFonts w:hint="eastAsia" w:ascii="宋体" w:hAnsi="宋体"/>
          <w:b/>
          <w:color w:val="auto"/>
          <w:szCs w:val="21"/>
          <w:highlight w:val="none"/>
          <w:u w:val="single"/>
          <w:lang w:val="zh-CN"/>
        </w:rPr>
        <w:t>（3）其他：</w:t>
      </w:r>
      <w:r>
        <w:rPr>
          <w:rFonts w:hint="eastAsia" w:ascii="宋体" w:hAnsi="宋体"/>
          <w:b/>
          <w:color w:val="auto"/>
          <w:szCs w:val="21"/>
          <w:highlight w:val="none"/>
          <w:u w:val="single"/>
        </w:rPr>
        <w:t>承包人应严格按杭州市“双标化”工地的要求组织施工，遵守工程建设安全文明的有关规定，认真落实各项安全保护措施，并随时接受发包人及有关部门的监督检查；承包人应对进入施工现场的施工人员进行安全文明教育，配备必要的劳动保护用具，保证工程的施工安全和人身安全</w:t>
      </w:r>
      <w:r>
        <w:rPr>
          <w:rFonts w:hint="eastAsia" w:ascii="宋体" w:hAnsi="宋体"/>
          <w:b/>
          <w:color w:val="auto"/>
          <w:szCs w:val="21"/>
          <w:highlight w:val="none"/>
          <w:u w:val="single"/>
          <w:lang w:val="zh-CN"/>
        </w:rPr>
        <w:t xml:space="preserve">  </w:t>
      </w:r>
      <w:r>
        <w:rPr>
          <w:rFonts w:hint="eastAsia" w:ascii="宋体" w:hAnsi="宋体"/>
          <w:b/>
          <w:color w:val="auto"/>
          <w:szCs w:val="21"/>
          <w:highlight w:val="none"/>
          <w:lang w:val="zh-CN"/>
        </w:rPr>
        <w:t>。</w:t>
      </w:r>
    </w:p>
    <w:p>
      <w:pPr>
        <w:adjustRightInd w:val="0"/>
        <w:snapToGrid w:val="0"/>
        <w:spacing w:line="360" w:lineRule="auto"/>
        <w:ind w:left="149" w:leftChars="71" w:firstLine="316" w:firstLineChars="150"/>
        <w:jc w:val="left"/>
        <w:rPr>
          <w:rFonts w:hint="eastAsia" w:ascii="宋体" w:hAnsi="宋体"/>
          <w:b/>
          <w:color w:val="auto"/>
          <w:szCs w:val="21"/>
          <w:highlight w:val="none"/>
          <w:lang w:val="zh-CN"/>
        </w:rPr>
      </w:pPr>
      <w:r>
        <w:rPr>
          <w:rFonts w:hint="eastAsia" w:ascii="宋体" w:hAnsi="宋体"/>
          <w:b/>
          <w:color w:val="auto"/>
          <w:szCs w:val="21"/>
          <w:highlight w:val="none"/>
          <w:u w:val="single"/>
          <w:lang w:val="zh-CN"/>
        </w:rPr>
        <w:t>（4）上述手续办理费用约定如下： 由承包人支付</w:t>
      </w:r>
      <w:r>
        <w:rPr>
          <w:rFonts w:hint="eastAsia" w:ascii="宋体" w:hAnsi="宋体"/>
          <w:b/>
          <w:color w:val="auto"/>
          <w:szCs w:val="21"/>
          <w:highlight w:val="none"/>
          <w:lang w:val="zh-CN"/>
        </w:rPr>
        <w:t>。</w:t>
      </w:r>
    </w:p>
    <w:p>
      <w:pPr>
        <w:adjustRightInd w:val="0"/>
        <w:snapToGrid w:val="0"/>
        <w:spacing w:line="360" w:lineRule="auto"/>
        <w:ind w:left="149" w:leftChars="71" w:firstLine="315" w:firstLineChars="150"/>
        <w:jc w:val="left"/>
        <w:rPr>
          <w:rFonts w:hint="eastAsia" w:ascii="宋体" w:hAnsi="宋体"/>
          <w:color w:val="auto"/>
          <w:szCs w:val="21"/>
          <w:highlight w:val="none"/>
        </w:rPr>
      </w:pPr>
      <w:r>
        <w:rPr>
          <w:rFonts w:hint="eastAsia" w:ascii="宋体" w:hAnsi="宋体"/>
          <w:color w:val="auto"/>
          <w:szCs w:val="21"/>
          <w:highlight w:val="none"/>
        </w:rPr>
        <w:t>6.1.6 关于安全文明施工费支付比例和支付期限的约定，按以下</w:t>
      </w:r>
      <w:r>
        <w:rPr>
          <w:rFonts w:hint="eastAsia" w:ascii="宋体" w:hAnsi="宋体"/>
          <w:color w:val="auto"/>
          <w:szCs w:val="21"/>
          <w:highlight w:val="none"/>
          <w:u w:val="single"/>
        </w:rPr>
        <w:t>第（ 1 ）种方式</w:t>
      </w:r>
      <w:r>
        <w:rPr>
          <w:rFonts w:hint="eastAsia" w:ascii="宋体" w:hAnsi="宋体"/>
          <w:color w:val="auto"/>
          <w:szCs w:val="21"/>
          <w:highlight w:val="none"/>
        </w:rPr>
        <w:t>约定：</w:t>
      </w:r>
    </w:p>
    <w:p>
      <w:pPr>
        <w:adjustRightInd w:val="0"/>
        <w:snapToGrid w:val="0"/>
        <w:spacing w:line="360" w:lineRule="auto"/>
        <w:ind w:firstLine="415" w:firstLineChars="198"/>
        <w:jc w:val="left"/>
        <w:rPr>
          <w:rFonts w:hint="eastAsia" w:ascii="宋体" w:hAnsi="宋体"/>
          <w:color w:val="auto"/>
          <w:szCs w:val="21"/>
          <w:highlight w:val="none"/>
        </w:rPr>
      </w:pPr>
      <w:r>
        <w:rPr>
          <w:rFonts w:hint="eastAsia" w:ascii="宋体" w:hAnsi="宋体"/>
          <w:color w:val="auto"/>
          <w:szCs w:val="21"/>
          <w:highlight w:val="none"/>
          <w:u w:val="single"/>
        </w:rPr>
        <w:t xml:space="preserve">（1）发包人按以下第（ ① ）种方式约定 ：  </w:t>
      </w:r>
    </w:p>
    <w:p>
      <w:pPr>
        <w:adjustRightInd w:val="0"/>
        <w:snapToGrid w:val="0"/>
        <w:spacing w:line="360" w:lineRule="auto"/>
        <w:ind w:firstLine="415" w:firstLineChars="198"/>
        <w:jc w:val="left"/>
        <w:rPr>
          <w:rFonts w:hint="eastAsia" w:ascii="宋体" w:hAnsi="宋体"/>
          <w:color w:val="auto"/>
          <w:szCs w:val="21"/>
          <w:highlight w:val="none"/>
        </w:rPr>
      </w:pPr>
      <w:r>
        <w:rPr>
          <w:rFonts w:hint="eastAsia" w:ascii="宋体" w:hAnsi="宋体"/>
          <w:color w:val="auto"/>
          <w:szCs w:val="21"/>
          <w:highlight w:val="none"/>
        </w:rPr>
        <w:t>①</w:t>
      </w:r>
      <w:r>
        <w:rPr>
          <w:rFonts w:hint="eastAsia" w:ascii="宋体" w:hAnsi="宋体"/>
          <w:color w:val="auto"/>
          <w:szCs w:val="21"/>
          <w:highlight w:val="none"/>
          <w:u w:val="single"/>
        </w:rPr>
        <w:t xml:space="preserve">  视相关措施的落实情况与合同款同期支付        </w:t>
      </w:r>
      <w:r>
        <w:rPr>
          <w:rFonts w:hint="eastAsia" w:ascii="宋体" w:hAnsi="宋体"/>
          <w:color w:val="auto"/>
          <w:szCs w:val="21"/>
          <w:highlight w:val="none"/>
        </w:rPr>
        <w:t>。</w:t>
      </w:r>
    </w:p>
    <w:p>
      <w:pPr>
        <w:adjustRightInd w:val="0"/>
        <w:snapToGrid w:val="0"/>
        <w:spacing w:line="360" w:lineRule="auto"/>
        <w:ind w:firstLine="415" w:firstLineChars="198"/>
        <w:jc w:val="left"/>
        <w:rPr>
          <w:rFonts w:hint="eastAsia" w:ascii="宋体" w:hAnsi="宋体"/>
          <w:color w:val="auto"/>
          <w:szCs w:val="21"/>
          <w:highlight w:val="none"/>
          <w:u w:val="single"/>
        </w:rPr>
      </w:pPr>
      <w:r>
        <w:rPr>
          <w:rFonts w:hint="eastAsia" w:ascii="宋体" w:hAnsi="宋体"/>
          <w:color w:val="auto"/>
          <w:szCs w:val="21"/>
          <w:highlight w:val="none"/>
        </w:rPr>
        <w:t>②</w:t>
      </w:r>
      <w:r>
        <w:rPr>
          <w:rFonts w:hint="eastAsia" w:ascii="宋体" w:hAnsi="宋体"/>
          <w:color w:val="auto"/>
          <w:szCs w:val="21"/>
          <w:highlight w:val="none"/>
          <w:u w:val="single"/>
        </w:rPr>
        <w:t xml:space="preserve">  其他：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u w:val="single"/>
        </w:rPr>
        <w:t xml:space="preserve">（2）其他：    /                     </w:t>
      </w:r>
      <w:r>
        <w:rPr>
          <w:rFonts w:hint="eastAsia" w:ascii="宋体"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7. 工期和进度</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 施工组织设计</w:t>
      </w:r>
    </w:p>
    <w:p>
      <w:pPr>
        <w:autoSpaceDE w:val="0"/>
        <w:autoSpaceDN w:val="0"/>
        <w:adjustRightInd w:val="0"/>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7.1.1 合同当事人约定的施工组织设计应包括的其他内容：</w:t>
      </w:r>
      <w:r>
        <w:rPr>
          <w:rFonts w:hint="eastAsia" w:ascii="宋体" w:hAnsi="宋体"/>
          <w:color w:val="auto"/>
          <w:szCs w:val="21"/>
          <w:highlight w:val="none"/>
          <w:u w:val="single"/>
        </w:rPr>
        <w:t>按通用条款执行</w:t>
      </w:r>
      <w:r>
        <w:rPr>
          <w:rFonts w:hint="eastAsia" w:ascii="宋体" w:hAnsi="宋体"/>
          <w:color w:val="auto"/>
          <w:szCs w:val="21"/>
          <w:highlight w:val="none"/>
        </w:rPr>
        <w:t>。</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7.1.2 施工组织设计的提交和修改</w:t>
      </w:r>
    </w:p>
    <w:p>
      <w:pPr>
        <w:autoSpaceDE w:val="0"/>
        <w:autoSpaceDN w:val="0"/>
        <w:adjustRightInd w:val="0"/>
        <w:snapToGrid w:val="0"/>
        <w:spacing w:line="360" w:lineRule="auto"/>
        <w:ind w:firstLine="441" w:firstLineChars="210"/>
        <w:jc w:val="left"/>
        <w:rPr>
          <w:rFonts w:hint="eastAsia" w:ascii="宋体" w:hAnsi="宋体"/>
          <w:color w:val="auto"/>
          <w:szCs w:val="21"/>
          <w:highlight w:val="none"/>
          <w:u w:val="single"/>
        </w:rPr>
      </w:pPr>
      <w:r>
        <w:rPr>
          <w:rFonts w:hint="eastAsia" w:ascii="宋体" w:hAnsi="宋体"/>
          <w:color w:val="auto"/>
          <w:szCs w:val="21"/>
          <w:highlight w:val="none"/>
        </w:rPr>
        <w:t>承包人提交详细施工组织设计的期限的约定：</w:t>
      </w:r>
      <w:r>
        <w:rPr>
          <w:rFonts w:hint="eastAsia" w:ascii="宋体" w:hAnsi="宋体"/>
          <w:color w:val="auto"/>
          <w:szCs w:val="21"/>
          <w:highlight w:val="none"/>
          <w:u w:val="single"/>
        </w:rPr>
        <w:t xml:space="preserve">合同签订后7天内提供详细施工组织设计（施工方案）和进度计划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发包人在收到详细的施工组织设计后确认或提出修改意见的期限：</w:t>
      </w:r>
      <w:r>
        <w:rPr>
          <w:rFonts w:hint="eastAsia" w:ascii="宋体" w:hAnsi="宋体"/>
          <w:color w:val="auto"/>
          <w:szCs w:val="21"/>
          <w:highlight w:val="none"/>
          <w:u w:val="single"/>
        </w:rPr>
        <w:t>收到施工组织设计后5天内</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7.2 施工进度计划</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7.2.2 施工进度计划的修订</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发包人在收到修订的施工进度计划后确认或提出修改意见的期限：</w:t>
      </w:r>
      <w:r>
        <w:rPr>
          <w:rFonts w:hint="eastAsia" w:ascii="宋体" w:hAnsi="宋体"/>
          <w:color w:val="auto"/>
          <w:szCs w:val="21"/>
          <w:highlight w:val="none"/>
          <w:u w:val="single"/>
        </w:rPr>
        <w:t xml:space="preserve">收到修订的施工进度计划后5 天内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7.3 开工</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7.3.1 开工准备</w:t>
      </w:r>
    </w:p>
    <w:p>
      <w:pPr>
        <w:adjustRightInd w:val="0"/>
        <w:snapToGrid w:val="0"/>
        <w:spacing w:line="360" w:lineRule="auto"/>
        <w:ind w:firstLine="645"/>
        <w:jc w:val="left"/>
        <w:rPr>
          <w:rFonts w:hint="eastAsia" w:ascii="宋体" w:hAnsi="宋体"/>
          <w:color w:val="auto"/>
          <w:szCs w:val="21"/>
          <w:highlight w:val="none"/>
          <w:u w:val="single"/>
        </w:rPr>
      </w:pPr>
      <w:r>
        <w:rPr>
          <w:rFonts w:hint="eastAsia" w:ascii="宋体" w:hAnsi="宋体"/>
          <w:color w:val="auto"/>
          <w:szCs w:val="21"/>
          <w:highlight w:val="none"/>
        </w:rPr>
        <w:t>关于承包人提交工程开工报审表的期限：</w:t>
      </w:r>
      <w:r>
        <w:rPr>
          <w:rFonts w:hint="eastAsia" w:ascii="宋体" w:hAnsi="宋体"/>
          <w:color w:val="auto"/>
          <w:szCs w:val="21"/>
          <w:highlight w:val="none"/>
          <w:u w:val="single"/>
        </w:rPr>
        <w:t>开工前7天</w:t>
      </w:r>
      <w:r>
        <w:rPr>
          <w:rFonts w:hint="eastAsia" w:ascii="宋体" w:hAnsi="宋体"/>
          <w:color w:val="auto"/>
          <w:szCs w:val="21"/>
          <w:highlight w:val="none"/>
        </w:rPr>
        <w:t>。</w:t>
      </w:r>
    </w:p>
    <w:p>
      <w:pPr>
        <w:adjustRightInd w:val="0"/>
        <w:snapToGrid w:val="0"/>
        <w:spacing w:line="360" w:lineRule="auto"/>
        <w:ind w:firstLine="645"/>
        <w:jc w:val="left"/>
        <w:rPr>
          <w:rFonts w:hint="eastAsia" w:ascii="宋体" w:hAnsi="宋体"/>
          <w:color w:val="auto"/>
          <w:szCs w:val="21"/>
          <w:highlight w:val="none"/>
          <w:u w:val="single"/>
        </w:rPr>
      </w:pPr>
      <w:r>
        <w:rPr>
          <w:rFonts w:hint="eastAsia" w:ascii="宋体" w:hAnsi="宋体"/>
          <w:color w:val="auto"/>
          <w:szCs w:val="21"/>
          <w:highlight w:val="none"/>
        </w:rPr>
        <w:t>关于发包人应完成的其他开工准备工作及期限：</w:t>
      </w:r>
      <w:r>
        <w:rPr>
          <w:rFonts w:hint="eastAsia" w:ascii="宋体" w:hAnsi="宋体"/>
          <w:color w:val="auto"/>
          <w:szCs w:val="21"/>
          <w:highlight w:val="none"/>
          <w:u w:val="single"/>
        </w:rPr>
        <w:t xml:space="preserve">   开工前7天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关于承包人应完成的其他开工准备工作及期限：</w:t>
      </w:r>
      <w:r>
        <w:rPr>
          <w:rFonts w:hint="eastAsia" w:ascii="宋体" w:hAnsi="宋体"/>
          <w:color w:val="auto"/>
          <w:szCs w:val="21"/>
          <w:highlight w:val="none"/>
          <w:u w:val="single"/>
        </w:rPr>
        <w:t xml:space="preserve">    开工前7天</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7.3.2开工通知</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因发包人原因未能在计划开工日期之日起</w:t>
      </w:r>
      <w:r>
        <w:rPr>
          <w:rFonts w:hint="eastAsia" w:ascii="宋体" w:hAnsi="宋体"/>
          <w:color w:val="auto"/>
          <w:szCs w:val="21"/>
          <w:highlight w:val="none"/>
          <w:u w:val="single"/>
        </w:rPr>
        <w:t xml:space="preserve"> 90 </w:t>
      </w:r>
      <w:r>
        <w:rPr>
          <w:rFonts w:hint="eastAsia" w:ascii="宋体" w:hAnsi="宋体"/>
          <w:color w:val="auto"/>
          <w:szCs w:val="21"/>
          <w:highlight w:val="none"/>
        </w:rPr>
        <w:t>天内发出开工通知的，承包人有权提出价格调整要求，或者解除合同。</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7.4 测量放线</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7.4.1发包人向承包人提供测量基准点、基准线和水准点及其书面资料的期限：</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7.5 工期延误</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7.5.1 因发包人原因导致工期延误</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（7）因发包人原因导致工期延误的其他情形：</w:t>
      </w:r>
    </w:p>
    <w:p>
      <w:pPr>
        <w:adjustRightInd w:val="0"/>
        <w:snapToGrid w:val="0"/>
        <w:spacing w:line="360" w:lineRule="auto"/>
        <w:ind w:firstLine="415" w:firstLineChars="198"/>
        <w:jc w:val="left"/>
        <w:rPr>
          <w:rFonts w:hint="eastAsia" w:ascii="宋体" w:hAnsi="宋体"/>
          <w:color w:val="auto"/>
          <w:szCs w:val="21"/>
          <w:highlight w:val="none"/>
          <w:u w:val="single"/>
        </w:rPr>
      </w:pPr>
      <w:r>
        <w:rPr>
          <w:rFonts w:hint="eastAsia" w:ascii="宋体" w:hAnsi="宋体"/>
          <w:color w:val="auto"/>
          <w:szCs w:val="21"/>
          <w:highlight w:val="none"/>
          <w:u w:val="single"/>
        </w:rPr>
        <w:t xml:space="preserve">①重大工程方案变更引起的工期延误  </w:t>
      </w:r>
      <w:r>
        <w:rPr>
          <w:rFonts w:hint="eastAsia" w:ascii="宋体" w:hAnsi="宋体"/>
          <w:color w:val="auto"/>
          <w:szCs w:val="21"/>
          <w:highlight w:val="none"/>
        </w:rPr>
        <w:t>；</w:t>
      </w:r>
    </w:p>
    <w:p>
      <w:pPr>
        <w:adjustRightInd w:val="0"/>
        <w:snapToGrid w:val="0"/>
        <w:spacing w:line="360" w:lineRule="auto"/>
        <w:ind w:firstLine="438" w:firstLineChars="209"/>
        <w:jc w:val="left"/>
        <w:rPr>
          <w:rFonts w:hint="eastAsia" w:ascii="宋体" w:hAnsi="宋体"/>
          <w:color w:val="auto"/>
          <w:szCs w:val="21"/>
          <w:highlight w:val="none"/>
          <w:u w:val="single"/>
        </w:rPr>
      </w:pPr>
      <w:r>
        <w:rPr>
          <w:rFonts w:hint="eastAsia" w:ascii="宋体" w:hAnsi="宋体"/>
          <w:color w:val="auto"/>
          <w:szCs w:val="21"/>
          <w:highlight w:val="none"/>
          <w:u w:val="single"/>
        </w:rPr>
        <w:t xml:space="preserve">②其他：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7.5.2 因承包人原因导致工期延误</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因承包人原因造成工期延误，逾期竣工违约金的计算方法为：</w:t>
      </w:r>
      <w:r>
        <w:rPr>
          <w:rFonts w:hint="eastAsia" w:ascii="宋体" w:hAnsi="宋体"/>
          <w:color w:val="auto"/>
          <w:szCs w:val="21"/>
          <w:highlight w:val="none"/>
          <w:u w:val="single"/>
        </w:rPr>
        <w:t>工期延误3天以内的按500元/天扣除工期延误费，3天以上的，则以上天数按1000元/天计算，违约金直接从工程款中扣除。（</w:t>
      </w:r>
      <w:r>
        <w:rPr>
          <w:rFonts w:hint="eastAsia" w:hAnsi="宋体"/>
          <w:color w:val="auto"/>
          <w:highlight w:val="none"/>
          <w:u w:val="single"/>
        </w:rPr>
        <w:t>计算逾期竣工违约金时，将发包人组织的初步验收通过时间视为竣工日期时间，合同工期不变。）</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因承包人原因造成工期延误，逾期竣工违约金的上限：</w:t>
      </w:r>
      <w:r>
        <w:rPr>
          <w:rFonts w:hint="eastAsia" w:ascii="宋体" w:hAnsi="宋体"/>
          <w:color w:val="auto"/>
          <w:szCs w:val="21"/>
          <w:highlight w:val="none"/>
          <w:u w:val="single"/>
        </w:rPr>
        <w:t>合同价款的2.5%</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7.6 不利物质条件</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不利物质条件的其他情形和有关约定：</w:t>
      </w:r>
    </w:p>
    <w:p>
      <w:pPr>
        <w:adjustRightInd w:val="0"/>
        <w:snapToGrid w:val="0"/>
        <w:spacing w:line="360" w:lineRule="auto"/>
        <w:ind w:firstLine="415" w:firstLineChars="198"/>
        <w:jc w:val="left"/>
        <w:rPr>
          <w:rFonts w:hint="eastAsia" w:ascii="宋体" w:hAnsi="宋体"/>
          <w:color w:val="auto"/>
          <w:szCs w:val="21"/>
          <w:highlight w:val="none"/>
          <w:u w:val="single"/>
        </w:rPr>
      </w:pPr>
      <w:r>
        <w:rPr>
          <w:rFonts w:hint="eastAsia" w:ascii="宋体" w:hAnsi="宋体"/>
          <w:color w:val="auto"/>
          <w:szCs w:val="21"/>
          <w:highlight w:val="none"/>
          <w:u w:val="single"/>
        </w:rPr>
        <w:t xml:space="preserve">（1）施工场地周围地下管线     </w:t>
      </w:r>
      <w:r>
        <w:rPr>
          <w:rFonts w:hint="eastAsia" w:ascii="宋体" w:hAnsi="宋体"/>
          <w:color w:val="auto"/>
          <w:szCs w:val="21"/>
          <w:highlight w:val="none"/>
        </w:rPr>
        <w:t>；</w:t>
      </w:r>
    </w:p>
    <w:p>
      <w:pPr>
        <w:adjustRightInd w:val="0"/>
        <w:snapToGrid w:val="0"/>
        <w:spacing w:line="360" w:lineRule="auto"/>
        <w:ind w:firstLine="415" w:firstLineChars="198"/>
        <w:jc w:val="left"/>
        <w:rPr>
          <w:rFonts w:hint="eastAsia" w:ascii="宋体" w:hAnsi="宋体"/>
          <w:color w:val="auto"/>
          <w:szCs w:val="21"/>
          <w:highlight w:val="none"/>
        </w:rPr>
      </w:pPr>
      <w:r>
        <w:rPr>
          <w:rFonts w:hint="eastAsia" w:ascii="宋体" w:hAnsi="宋体"/>
          <w:color w:val="auto"/>
          <w:szCs w:val="21"/>
          <w:highlight w:val="none"/>
          <w:u w:val="single"/>
        </w:rPr>
        <w:t xml:space="preserve">（2）地下障碍物和污染物       </w:t>
      </w:r>
      <w:r>
        <w:rPr>
          <w:rFonts w:hint="eastAsia" w:ascii="宋体" w:hAnsi="宋体"/>
          <w:color w:val="auto"/>
          <w:szCs w:val="21"/>
          <w:highlight w:val="none"/>
        </w:rPr>
        <w:t>；</w:t>
      </w:r>
    </w:p>
    <w:p>
      <w:pPr>
        <w:adjustRightInd w:val="0"/>
        <w:snapToGrid w:val="0"/>
        <w:spacing w:line="360" w:lineRule="auto"/>
        <w:ind w:firstLine="415" w:firstLineChars="198"/>
        <w:jc w:val="left"/>
        <w:rPr>
          <w:rFonts w:hint="eastAsia" w:ascii="宋体" w:hAnsi="宋体"/>
          <w:color w:val="auto"/>
          <w:szCs w:val="21"/>
          <w:highlight w:val="none"/>
          <w:u w:val="single"/>
        </w:rPr>
      </w:pPr>
      <w:r>
        <w:rPr>
          <w:rFonts w:hint="eastAsia" w:ascii="宋体" w:hAnsi="宋体"/>
          <w:color w:val="auto"/>
          <w:szCs w:val="21"/>
          <w:highlight w:val="none"/>
          <w:u w:val="single"/>
        </w:rPr>
        <w:t xml:space="preserve">（3）邻近建筑物、构筑物的保护要求       </w:t>
      </w:r>
      <w:r>
        <w:rPr>
          <w:rFonts w:hint="eastAsia" w:ascii="宋体" w:hAnsi="宋体"/>
          <w:color w:val="auto"/>
          <w:szCs w:val="21"/>
          <w:highlight w:val="none"/>
        </w:rPr>
        <w:t>；</w:t>
      </w:r>
    </w:p>
    <w:p>
      <w:pPr>
        <w:adjustRightInd w:val="0"/>
        <w:snapToGrid w:val="0"/>
        <w:spacing w:line="360" w:lineRule="auto"/>
        <w:ind w:firstLine="415" w:firstLineChars="198"/>
        <w:jc w:val="left"/>
        <w:rPr>
          <w:rFonts w:hint="eastAsia" w:ascii="宋体" w:hAnsi="宋体"/>
          <w:color w:val="auto"/>
          <w:szCs w:val="21"/>
          <w:highlight w:val="none"/>
          <w:u w:val="single"/>
        </w:rPr>
      </w:pPr>
      <w:r>
        <w:rPr>
          <w:rFonts w:hint="eastAsia" w:ascii="宋体" w:hAnsi="宋体"/>
          <w:color w:val="auto"/>
          <w:szCs w:val="21"/>
          <w:highlight w:val="none"/>
          <w:u w:val="single"/>
        </w:rPr>
        <w:t xml:space="preserve">（4）其他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7.7异常恶劣的气候条件</w:t>
      </w:r>
    </w:p>
    <w:p>
      <w:pPr>
        <w:adjustRightInd w:val="0"/>
        <w:snapToGrid w:val="0"/>
        <w:spacing w:line="360" w:lineRule="auto"/>
        <w:ind w:firstLine="420" w:firstLineChars="200"/>
        <w:jc w:val="left"/>
        <w:rPr>
          <w:rFonts w:hint="eastAsia" w:ascii="宋体" w:hAnsi="宋体"/>
          <w:b/>
          <w:color w:val="auto"/>
          <w:szCs w:val="21"/>
          <w:highlight w:val="none"/>
        </w:rPr>
      </w:pPr>
      <w:r>
        <w:rPr>
          <w:rFonts w:hint="eastAsia" w:ascii="宋体" w:hAnsi="宋体"/>
          <w:color w:val="auto"/>
          <w:szCs w:val="21"/>
          <w:highlight w:val="none"/>
        </w:rPr>
        <w:t>发包人和承包人同意以下情形视为异常恶劣的气候条件：</w:t>
      </w:r>
      <w:r>
        <w:rPr>
          <w:rFonts w:hint="eastAsia" w:ascii="宋体" w:hAnsi="宋体"/>
          <w:color w:val="auto"/>
          <w:szCs w:val="21"/>
          <w:highlight w:val="none"/>
          <w:u w:val="single"/>
        </w:rPr>
        <w:t>日最高气温达到40 度及以上的天气；启动台风橙色及以上的预警的天气；启动防汛预案一级响应的天气；启动防冻预案一级响应的天气</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7.9 提前竣工的奖励</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7.9.2提前竣工的奖励：</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8. 材料与设备</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8.4材料与工程设备的保管与使用</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8.4.1发包人供应的材料设备的保管费用的承担：</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8.6 样品</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8.6.1样品的报送与封存</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需要承包人报送样品的材料或工程设备，样品的种类、名称、规格、数量要求：</w:t>
      </w:r>
      <w:r>
        <w:rPr>
          <w:rFonts w:hint="eastAsia" w:ascii="宋体" w:hAnsi="宋体"/>
          <w:color w:val="auto"/>
          <w:szCs w:val="21"/>
          <w:highlight w:val="none"/>
          <w:u w:val="single"/>
        </w:rPr>
        <w:t>按有关规定和发包人要求执行</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8.8 施工设备和临时设施</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8.8.1 承包人提供的施工设备和临时设施</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关于修建临时设施费用承担的约定：</w:t>
      </w:r>
      <w:r>
        <w:rPr>
          <w:rFonts w:hint="eastAsia" w:ascii="宋体" w:hAnsi="宋体"/>
          <w:color w:val="auto"/>
          <w:szCs w:val="21"/>
          <w:highlight w:val="none"/>
          <w:u w:val="single"/>
        </w:rPr>
        <w:t>按通用条款约定</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9. 试验与检验</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9.1试验设备与试验人员</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9.1.2 试验设备</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施工现场需要配置的试验场所：</w:t>
      </w:r>
      <w:r>
        <w:rPr>
          <w:rFonts w:hint="eastAsia" w:ascii="宋体" w:hAnsi="宋体"/>
          <w:color w:val="auto"/>
          <w:szCs w:val="21"/>
          <w:highlight w:val="none"/>
          <w:u w:val="single"/>
        </w:rPr>
        <w:t>按有关规定和发包人要求执行</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施工现场需要配备的试验设备：</w:t>
      </w:r>
      <w:r>
        <w:rPr>
          <w:rFonts w:hint="eastAsia" w:ascii="宋体" w:hAnsi="宋体"/>
          <w:color w:val="auto"/>
          <w:szCs w:val="21"/>
          <w:highlight w:val="none"/>
          <w:u w:val="single"/>
        </w:rPr>
        <w:t>按有关规定和发包人要求执行</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施工现场需要具备的其他试验条件：</w:t>
      </w:r>
      <w:r>
        <w:rPr>
          <w:rFonts w:hint="eastAsia" w:ascii="宋体" w:hAnsi="宋体"/>
          <w:color w:val="auto"/>
          <w:szCs w:val="21"/>
          <w:highlight w:val="none"/>
          <w:u w:val="single"/>
        </w:rPr>
        <w:t>按有关规定和发包人要求执行</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9.3材料、工程设备和工程的试验和检验</w:t>
      </w:r>
    </w:p>
    <w:p>
      <w:pPr>
        <w:adjustRightInd w:val="0"/>
        <w:snapToGrid w:val="0"/>
        <w:spacing w:line="360" w:lineRule="auto"/>
        <w:ind w:firstLine="398" w:firstLineChars="189"/>
        <w:jc w:val="left"/>
        <w:rPr>
          <w:rFonts w:hint="eastAsia" w:ascii="宋体" w:hAnsi="宋体"/>
          <w:b/>
          <w:color w:val="auto"/>
          <w:szCs w:val="21"/>
          <w:highlight w:val="none"/>
          <w:u w:val="single"/>
        </w:rPr>
      </w:pPr>
      <w:r>
        <w:rPr>
          <w:rFonts w:hint="eastAsia" w:ascii="宋体" w:hAnsi="宋体"/>
          <w:b/>
          <w:color w:val="auto"/>
          <w:szCs w:val="21"/>
          <w:highlight w:val="none"/>
        </w:rPr>
        <w:t>试验、检测单位资质条件约定：</w:t>
      </w:r>
      <w:r>
        <w:rPr>
          <w:rFonts w:hint="eastAsia" w:ascii="宋体" w:hAnsi="宋体"/>
          <w:b/>
          <w:color w:val="auto"/>
          <w:szCs w:val="21"/>
          <w:highlight w:val="none"/>
          <w:u w:val="single"/>
        </w:rPr>
        <w:t>按有关规定和发包人要求执行</w:t>
      </w:r>
      <w:r>
        <w:rPr>
          <w:rFonts w:hint="eastAsia" w:ascii="宋体" w:hAnsi="宋体"/>
          <w:b/>
          <w:color w:val="auto"/>
          <w:szCs w:val="21"/>
          <w:highlight w:val="none"/>
        </w:rPr>
        <w:t>；</w:t>
      </w:r>
    </w:p>
    <w:p>
      <w:pPr>
        <w:adjustRightInd w:val="0"/>
        <w:snapToGrid w:val="0"/>
        <w:spacing w:line="360" w:lineRule="auto"/>
        <w:ind w:firstLine="398" w:firstLineChars="189"/>
        <w:jc w:val="left"/>
        <w:rPr>
          <w:rFonts w:hint="eastAsia" w:ascii="宋体" w:hAnsi="宋体"/>
          <w:b/>
          <w:color w:val="auto"/>
          <w:szCs w:val="21"/>
          <w:highlight w:val="none"/>
          <w:u w:val="single"/>
        </w:rPr>
      </w:pPr>
      <w:r>
        <w:rPr>
          <w:rFonts w:hint="eastAsia" w:ascii="宋体" w:hAnsi="宋体"/>
          <w:b/>
          <w:color w:val="auto"/>
          <w:szCs w:val="21"/>
          <w:highlight w:val="none"/>
        </w:rPr>
        <w:t>试验、检测单位选择约定：</w:t>
      </w:r>
      <w:r>
        <w:rPr>
          <w:rFonts w:hint="eastAsia" w:ascii="宋体" w:hAnsi="宋体"/>
          <w:b/>
          <w:color w:val="auto"/>
          <w:szCs w:val="21"/>
          <w:highlight w:val="none"/>
          <w:u w:val="single"/>
        </w:rPr>
        <w:t>承包人选择单位后报发包人审核，审核通过后方可确定试验、检测单位</w:t>
      </w:r>
      <w:r>
        <w:rPr>
          <w:rFonts w:hint="eastAsia" w:ascii="宋体" w:hAnsi="宋体"/>
          <w:b/>
          <w:color w:val="auto"/>
          <w:szCs w:val="21"/>
          <w:highlight w:val="none"/>
        </w:rPr>
        <w:t>；</w:t>
      </w:r>
    </w:p>
    <w:p>
      <w:pPr>
        <w:adjustRightInd w:val="0"/>
        <w:snapToGrid w:val="0"/>
        <w:spacing w:line="360" w:lineRule="auto"/>
        <w:ind w:firstLine="398" w:firstLineChars="189"/>
        <w:jc w:val="left"/>
        <w:rPr>
          <w:rFonts w:hint="eastAsia" w:ascii="宋体" w:hAnsi="宋体"/>
          <w:b/>
          <w:color w:val="auto"/>
          <w:szCs w:val="21"/>
          <w:highlight w:val="none"/>
          <w:u w:val="single"/>
        </w:rPr>
      </w:pPr>
      <w:r>
        <w:rPr>
          <w:rFonts w:hint="eastAsia" w:ascii="宋体" w:hAnsi="宋体"/>
          <w:b/>
          <w:color w:val="auto"/>
          <w:szCs w:val="21"/>
          <w:highlight w:val="none"/>
        </w:rPr>
        <w:t>试验、检测费用约定：</w:t>
      </w:r>
      <w:r>
        <w:rPr>
          <w:rFonts w:hint="eastAsia" w:ascii="宋体" w:hAnsi="宋体"/>
          <w:b/>
          <w:color w:val="auto"/>
          <w:szCs w:val="21"/>
          <w:highlight w:val="none"/>
          <w:u w:val="single"/>
        </w:rPr>
        <w:t>工程有关试验、检测费用由承包人承担（政府有关部门明确规定需要发包人支付的除外），并已包含在合同价款中，不再另行计算</w:t>
      </w:r>
      <w:r>
        <w:rPr>
          <w:rFonts w:hint="eastAsia" w:ascii="宋体" w:hAnsi="宋体"/>
          <w:b/>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9.4 现场工艺试验 </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现场工艺试验的有关约定：</w:t>
      </w:r>
      <w:r>
        <w:rPr>
          <w:rFonts w:hint="eastAsia" w:ascii="宋体" w:hAnsi="宋体"/>
          <w:color w:val="auto"/>
          <w:szCs w:val="21"/>
          <w:highlight w:val="none"/>
          <w:u w:val="single"/>
        </w:rPr>
        <w:t xml:space="preserve">按有关规定和发包人要求执行    </w:t>
      </w:r>
      <w:r>
        <w:rPr>
          <w:rFonts w:hint="eastAsia" w:ascii="宋体"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10. 变更</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10.1变更的范围</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关于变更的范围的约定：</w:t>
      </w:r>
      <w:r>
        <w:rPr>
          <w:rFonts w:hint="eastAsia" w:ascii="宋体" w:hAnsi="宋体"/>
          <w:b/>
          <w:color w:val="auto"/>
          <w:szCs w:val="21"/>
          <w:highlight w:val="none"/>
          <w:u w:val="single"/>
        </w:rPr>
        <w:t xml:space="preserve">  </w:t>
      </w:r>
      <w:r>
        <w:rPr>
          <w:rFonts w:hint="eastAsia" w:ascii="宋体" w:hAnsi="宋体"/>
          <w:b/>
          <w:color w:val="auto"/>
          <w:szCs w:val="21"/>
          <w:highlight w:val="none"/>
          <w:u w:val="single"/>
          <w:lang w:val="en-US" w:eastAsia="zh-CN"/>
        </w:rPr>
        <w:t>/</w:t>
      </w:r>
      <w:r>
        <w:rPr>
          <w:rFonts w:hint="eastAsia" w:ascii="宋体" w:hAnsi="宋体"/>
          <w:b/>
          <w:color w:val="auto"/>
          <w:szCs w:val="21"/>
          <w:highlight w:val="none"/>
          <w:u w:val="single"/>
        </w:rPr>
        <w:t xml:space="preserve">    </w:t>
      </w:r>
      <w:r>
        <w:rPr>
          <w:rFonts w:hint="eastAsia" w:ascii="宋体" w:hAnsi="宋体"/>
          <w:b/>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 变更估价</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10.4.1 变更估价原则</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关于变更估价的约定: /</w:t>
      </w:r>
    </w:p>
    <w:p>
      <w:pPr>
        <w:autoSpaceDE w:val="0"/>
        <w:autoSpaceDN w:val="0"/>
        <w:adjustRightInd w:val="0"/>
        <w:snapToGrid w:val="0"/>
        <w:spacing w:line="360" w:lineRule="auto"/>
        <w:ind w:firstLine="310" w:firstLineChars="148"/>
        <w:jc w:val="left"/>
        <w:rPr>
          <w:rFonts w:hint="eastAsia" w:ascii="宋体" w:hAnsi="宋体"/>
          <w:color w:val="auto"/>
          <w:szCs w:val="21"/>
          <w:highlight w:val="none"/>
          <w:u w:val="single"/>
        </w:rPr>
      </w:pPr>
      <w:r>
        <w:rPr>
          <w:rFonts w:hint="eastAsia" w:ascii="宋体" w:hAnsi="宋体"/>
          <w:color w:val="auto"/>
          <w:szCs w:val="21"/>
          <w:highlight w:val="none"/>
          <w:u w:val="single"/>
        </w:rPr>
        <w:t xml:space="preserve">（5）其他：  /  </w:t>
      </w:r>
    </w:p>
    <w:p>
      <w:pPr>
        <w:autoSpaceDE w:val="0"/>
        <w:autoSpaceDN w:val="0"/>
        <w:adjustRightInd w:val="0"/>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 xml:space="preserve">    10.5承包人的合理化建议</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发包人审批承包人合理化建议的期限：</w:t>
      </w:r>
      <w:r>
        <w:rPr>
          <w:rFonts w:hint="eastAsia" w:ascii="宋体" w:hAnsi="宋体"/>
          <w:color w:val="auto"/>
          <w:szCs w:val="21"/>
          <w:highlight w:val="none"/>
          <w:u w:val="single"/>
        </w:rPr>
        <w:t xml:space="preserve">按通用条款执行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承包人提出的合理化建议降低了合同价格或者提高了工程经济效益的奖励的方法和金额为：</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10.7 暂估价</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10.7.1 依法必须招标的暂估价项目</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对于依法必须招标的暂估价项目的确认和批准采取第</w:t>
      </w:r>
      <w:r>
        <w:rPr>
          <w:rFonts w:hint="eastAsia" w:ascii="宋体" w:hAnsi="宋体"/>
          <w:color w:val="auto"/>
          <w:szCs w:val="21"/>
          <w:highlight w:val="none"/>
          <w:u w:val="single"/>
        </w:rPr>
        <w:t xml:space="preserve">  /  </w:t>
      </w:r>
      <w:r>
        <w:rPr>
          <w:rFonts w:hint="eastAsia" w:ascii="宋体" w:hAnsi="宋体"/>
          <w:color w:val="auto"/>
          <w:szCs w:val="21"/>
          <w:highlight w:val="none"/>
        </w:rPr>
        <w:t>种方式确定。</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10.7.2 不属于依法必须招标的暂估价项目</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对于不属于依法必须招标的暂估价项目的确认和批准采取第</w:t>
      </w:r>
      <w:r>
        <w:rPr>
          <w:rFonts w:hint="eastAsia" w:ascii="宋体" w:hAnsi="宋体"/>
          <w:color w:val="auto"/>
          <w:szCs w:val="21"/>
          <w:highlight w:val="none"/>
          <w:u w:val="single"/>
        </w:rPr>
        <w:t xml:space="preserve">  / </w:t>
      </w:r>
      <w:r>
        <w:rPr>
          <w:rFonts w:hint="eastAsia" w:ascii="宋体" w:hAnsi="宋体"/>
          <w:color w:val="auto"/>
          <w:szCs w:val="21"/>
          <w:highlight w:val="none"/>
        </w:rPr>
        <w:t xml:space="preserve"> 种方式确定。</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第3种方式：承包人直接实施的暂估价项目</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承包人直接实施的暂估价项目的约定：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10.8 暂列金额</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合同当事人关于暂列金额使用的约定：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11. 价格调整</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11.1 市场价格波动引起的调整</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市场价格波动是否调整合同价格的约定：</w:t>
      </w:r>
      <w:r>
        <w:rPr>
          <w:rFonts w:hint="eastAsia" w:ascii="宋体" w:hAnsi="宋体"/>
          <w:color w:val="auto"/>
          <w:szCs w:val="21"/>
          <w:highlight w:val="none"/>
          <w:u w:val="single"/>
        </w:rPr>
        <w:t xml:space="preserve">      否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因市场价格波动调整合同价格，采用以下第</w:t>
      </w:r>
      <w:r>
        <w:rPr>
          <w:rFonts w:hint="eastAsia" w:ascii="宋体" w:hAnsi="宋体"/>
          <w:color w:val="auto"/>
          <w:szCs w:val="21"/>
          <w:highlight w:val="none"/>
          <w:u w:val="single"/>
        </w:rPr>
        <w:t xml:space="preserve">  /  </w:t>
      </w:r>
      <w:r>
        <w:rPr>
          <w:rFonts w:hint="eastAsia" w:ascii="宋体" w:hAnsi="宋体"/>
          <w:color w:val="auto"/>
          <w:szCs w:val="21"/>
          <w:highlight w:val="none"/>
        </w:rPr>
        <w:t>种方式对合同价格进行调整：</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第1种方式：采用价格指数进行价格调整。</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关于各可调因子、定值和变值权重，以及基本价格指数及其来源的约定：</w:t>
      </w:r>
      <w:r>
        <w:rPr>
          <w:rFonts w:hint="eastAsia" w:ascii="宋体" w:hAnsi="宋体"/>
          <w:color w:val="auto"/>
          <w:szCs w:val="21"/>
          <w:highlight w:val="none"/>
          <w:u w:val="single"/>
        </w:rPr>
        <w:t xml:space="preserve">     /     </w:t>
      </w:r>
      <w:r>
        <w:rPr>
          <w:rFonts w:hint="eastAsia" w:ascii="宋体" w:hAnsi="宋体"/>
          <w:color w:val="auto"/>
          <w:szCs w:val="21"/>
          <w:highlight w:val="none"/>
        </w:rPr>
        <w:t xml:space="preserve">；   </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第2种方式：采用造价信息进行价格调整。</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（2）关于基准价格的约定：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专用合同条款</w:t>
      </w:r>
      <w:r>
        <w:rPr>
          <w:rFonts w:hint="eastAsia" w:ascii="宋体" w:hAnsi="宋体" w:cs="宋体"/>
          <w:color w:val="auto"/>
          <w:szCs w:val="21"/>
          <w:highlight w:val="none"/>
        </w:rPr>
        <w:t>①</w:t>
      </w:r>
      <w:r>
        <w:rPr>
          <w:rFonts w:hint="eastAsia" w:ascii="宋体" w:hAnsi="宋体"/>
          <w:color w:val="auto"/>
          <w:szCs w:val="21"/>
          <w:highlight w:val="none"/>
        </w:rPr>
        <w:t>承包人在已标价工程量清单或预算书中载明的材料单价低于基准价格的：专用合同条款合同履行期间材料单价涨幅以基准价格为基础超过</w:t>
      </w:r>
      <w:r>
        <w:rPr>
          <w:rFonts w:hint="eastAsia" w:ascii="宋体" w:hAnsi="宋体"/>
          <w:color w:val="auto"/>
          <w:szCs w:val="21"/>
          <w:highlight w:val="none"/>
          <w:u w:val="single"/>
        </w:rPr>
        <w:t xml:space="preserve">  /  </w:t>
      </w:r>
      <w:r>
        <w:rPr>
          <w:rFonts w:hint="eastAsia" w:ascii="宋体" w:hAnsi="宋体"/>
          <w:color w:val="auto"/>
          <w:szCs w:val="21"/>
          <w:highlight w:val="none"/>
        </w:rPr>
        <w:t>%时，或材料单价跌幅以已标价工程量清单或预算书中载明材料单价为基础超过</w:t>
      </w:r>
      <w:r>
        <w:rPr>
          <w:rFonts w:hint="eastAsia" w:ascii="宋体" w:hAnsi="宋体"/>
          <w:color w:val="auto"/>
          <w:szCs w:val="21"/>
          <w:highlight w:val="none"/>
          <w:u w:val="single"/>
        </w:rPr>
        <w:t xml:space="preserve"> /  </w:t>
      </w:r>
      <w:r>
        <w:rPr>
          <w:rFonts w:hint="eastAsia" w:ascii="宋体" w:hAnsi="宋体"/>
          <w:color w:val="auto"/>
          <w:szCs w:val="21"/>
          <w:highlight w:val="none"/>
        </w:rPr>
        <w:t>%时，其超过部分据实调整。</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②</w:t>
      </w:r>
      <w:r>
        <w:rPr>
          <w:rFonts w:hint="eastAsia" w:ascii="宋体" w:hAnsi="宋体"/>
          <w:color w:val="auto"/>
          <w:szCs w:val="21"/>
          <w:highlight w:val="none"/>
        </w:rPr>
        <w:t>承包人在已标价工程量清单或预算书中载明的材料单价高于基准价格的：专用合同条款合同履行期间材料单价跌幅以基准价格为基础超过</w:t>
      </w:r>
      <w:r>
        <w:rPr>
          <w:rFonts w:hint="eastAsia" w:ascii="宋体" w:hAnsi="宋体"/>
          <w:color w:val="auto"/>
          <w:szCs w:val="21"/>
          <w:highlight w:val="none"/>
          <w:u w:val="single"/>
        </w:rPr>
        <w:t xml:space="preserve"> /  </w:t>
      </w:r>
      <w:r>
        <w:rPr>
          <w:rFonts w:hint="eastAsia" w:ascii="宋体" w:hAnsi="宋体"/>
          <w:color w:val="auto"/>
          <w:szCs w:val="21"/>
          <w:highlight w:val="none"/>
        </w:rPr>
        <w:t>%时，材料单价涨幅以已标价工程量清单或预算书中载明材料单价为基础超过</w:t>
      </w:r>
      <w:r>
        <w:rPr>
          <w:rFonts w:hint="eastAsia" w:ascii="宋体" w:hAnsi="宋体"/>
          <w:color w:val="auto"/>
          <w:szCs w:val="21"/>
          <w:highlight w:val="none"/>
          <w:u w:val="single"/>
        </w:rPr>
        <w:t xml:space="preserve">  / </w:t>
      </w:r>
      <w:r>
        <w:rPr>
          <w:rFonts w:hint="eastAsia" w:ascii="宋体" w:hAnsi="宋体"/>
          <w:color w:val="auto"/>
          <w:szCs w:val="21"/>
          <w:highlight w:val="none"/>
        </w:rPr>
        <w:t>%时，其超过部分据实调整。</w:t>
      </w:r>
    </w:p>
    <w:p>
      <w:pPr>
        <w:adjustRightInd w:val="0"/>
        <w:snapToGrid w:val="0"/>
        <w:spacing w:line="360" w:lineRule="auto"/>
        <w:ind w:firstLine="645"/>
        <w:jc w:val="left"/>
        <w:rPr>
          <w:rFonts w:hint="eastAsia" w:ascii="宋体" w:hAnsi="宋体"/>
          <w:color w:val="auto"/>
          <w:szCs w:val="21"/>
          <w:highlight w:val="none"/>
        </w:rPr>
      </w:pPr>
      <w:r>
        <w:rPr>
          <w:rFonts w:hint="eastAsia" w:ascii="宋体" w:hAnsi="宋体" w:cs="宋体"/>
          <w:color w:val="auto"/>
          <w:szCs w:val="21"/>
          <w:highlight w:val="none"/>
        </w:rPr>
        <w:t>③</w:t>
      </w:r>
      <w:r>
        <w:rPr>
          <w:rFonts w:hint="eastAsia" w:ascii="宋体" w:hAnsi="宋体"/>
          <w:color w:val="auto"/>
          <w:szCs w:val="21"/>
          <w:highlight w:val="none"/>
        </w:rPr>
        <w:t>承包人在已标价工程量清单或预算书中载明的材料单价等于基准单价的：专用合同条款合同履行期间材料单价涨跌幅以基准单价为基础超过±</w:t>
      </w:r>
      <w:r>
        <w:rPr>
          <w:rFonts w:hint="eastAsia" w:ascii="宋体" w:hAnsi="宋体"/>
          <w:color w:val="auto"/>
          <w:szCs w:val="21"/>
          <w:highlight w:val="none"/>
          <w:u w:val="single"/>
        </w:rPr>
        <w:t xml:space="preserve"> /  </w:t>
      </w:r>
      <w:r>
        <w:rPr>
          <w:rFonts w:hint="eastAsia" w:ascii="宋体" w:hAnsi="宋体"/>
          <w:color w:val="auto"/>
          <w:szCs w:val="21"/>
          <w:highlight w:val="none"/>
        </w:rPr>
        <w:t>%时，其超过部分据实调整。</w:t>
      </w:r>
    </w:p>
    <w:p>
      <w:pPr>
        <w:adjustRightInd w:val="0"/>
        <w:snapToGrid w:val="0"/>
        <w:spacing w:line="360" w:lineRule="auto"/>
        <w:ind w:firstLine="645"/>
        <w:jc w:val="left"/>
        <w:rPr>
          <w:rFonts w:hint="eastAsia" w:ascii="宋体" w:hAnsi="宋体"/>
          <w:b/>
          <w:color w:val="auto"/>
          <w:szCs w:val="21"/>
          <w:highlight w:val="none"/>
        </w:rPr>
      </w:pPr>
      <w:r>
        <w:rPr>
          <w:rFonts w:hint="eastAsia" w:ascii="宋体" w:hAnsi="宋体"/>
          <w:b/>
          <w:color w:val="auto"/>
          <w:szCs w:val="21"/>
          <w:highlight w:val="none"/>
        </w:rPr>
        <w:t>第3种方式：采用政策性文件进行价格调整。</w:t>
      </w:r>
    </w:p>
    <w:p>
      <w:pPr>
        <w:adjustRightInd w:val="0"/>
        <w:snapToGrid w:val="0"/>
        <w:spacing w:line="360" w:lineRule="auto"/>
        <w:ind w:firstLine="420" w:firstLineChars="200"/>
        <w:jc w:val="left"/>
        <w:rPr>
          <w:rFonts w:hint="default" w:ascii="宋体" w:hAnsi="宋体" w:eastAsia="宋体"/>
          <w:b/>
          <w:color w:val="auto"/>
          <w:szCs w:val="21"/>
          <w:highlight w:val="none"/>
          <w:lang w:val="en-US" w:eastAsia="zh-CN"/>
        </w:rPr>
      </w:pPr>
      <w:r>
        <w:rPr>
          <w:rFonts w:hint="eastAsia" w:ascii="宋体" w:hAnsi="宋体"/>
          <w:color w:val="auto"/>
          <w:szCs w:val="21"/>
          <w:highlight w:val="none"/>
        </w:rPr>
        <w:t>双方约定合同价款的其他调整方式：</w:t>
      </w:r>
      <w:r>
        <w:rPr>
          <w:rFonts w:hint="eastAsia" w:ascii="宋体" w:hAnsi="宋体"/>
          <w:color w:val="auto"/>
          <w:szCs w:val="21"/>
          <w:highlight w:val="none"/>
          <w:u w:val="single"/>
          <w:lang w:val="en-US" w:eastAsia="zh-CN"/>
        </w:rPr>
        <w:t xml:space="preserve">     /         </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12. 合同价格、计量与支付</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12.1 合同价格形式</w:t>
      </w:r>
    </w:p>
    <w:p>
      <w:pPr>
        <w:adjustRightInd w:val="0"/>
        <w:snapToGrid w:val="0"/>
        <w:spacing w:line="360" w:lineRule="auto"/>
        <w:ind w:firstLine="441" w:firstLineChars="210"/>
        <w:jc w:val="left"/>
        <w:rPr>
          <w:rFonts w:hint="eastAsia" w:ascii="宋体" w:hAnsi="宋体"/>
          <w:color w:val="auto"/>
          <w:szCs w:val="21"/>
          <w:highlight w:val="none"/>
        </w:rPr>
      </w:pPr>
      <w:r>
        <w:rPr>
          <w:rFonts w:hint="eastAsia" w:ascii="宋体" w:hAnsi="宋体"/>
          <w:color w:val="auto"/>
          <w:szCs w:val="21"/>
          <w:highlight w:val="none"/>
        </w:rPr>
        <w:t>2、总价合同。</w:t>
      </w:r>
    </w:p>
    <w:p>
      <w:pPr>
        <w:adjustRightInd w:val="0"/>
        <w:snapToGrid w:val="0"/>
        <w:spacing w:line="360" w:lineRule="auto"/>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总价合同指总价一次性包干。</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总价包含的风险范围：</w:t>
      </w:r>
    </w:p>
    <w:p>
      <w:pPr>
        <w:numPr>
          <w:ilvl w:val="0"/>
          <w:numId w:val="4"/>
        </w:numPr>
        <w:tabs>
          <w:tab w:val="left" w:pos="900"/>
        </w:tabs>
        <w:adjustRightInd w:val="0"/>
        <w:snapToGrid w:val="0"/>
        <w:spacing w:line="360" w:lineRule="auto"/>
        <w:ind w:left="0" w:firstLine="360"/>
        <w:jc w:val="left"/>
        <w:rPr>
          <w:rFonts w:hint="eastAsia" w:ascii="宋体" w:hAnsi="宋体"/>
          <w:b/>
          <w:color w:val="auto"/>
          <w:szCs w:val="21"/>
          <w:highlight w:val="none"/>
          <w:u w:val="single"/>
        </w:rPr>
      </w:pPr>
      <w:r>
        <w:rPr>
          <w:rFonts w:hint="eastAsia" w:ascii="宋体" w:hAnsi="宋体"/>
          <w:b/>
          <w:color w:val="auto"/>
          <w:szCs w:val="21"/>
          <w:highlight w:val="none"/>
          <w:u w:val="single"/>
        </w:rPr>
        <w:t>施工图范围内包干；</w:t>
      </w:r>
    </w:p>
    <w:p>
      <w:pPr>
        <w:numPr>
          <w:ilvl w:val="0"/>
          <w:numId w:val="4"/>
        </w:numPr>
        <w:tabs>
          <w:tab w:val="left" w:pos="900"/>
        </w:tabs>
        <w:adjustRightInd w:val="0"/>
        <w:snapToGrid w:val="0"/>
        <w:spacing w:line="360" w:lineRule="auto"/>
        <w:ind w:left="0" w:firstLine="360"/>
        <w:jc w:val="left"/>
        <w:rPr>
          <w:rFonts w:hint="eastAsia" w:ascii="宋体" w:hAnsi="宋体"/>
          <w:b/>
          <w:color w:val="auto"/>
          <w:szCs w:val="21"/>
          <w:highlight w:val="none"/>
          <w:u w:val="single"/>
        </w:rPr>
      </w:pPr>
      <w:r>
        <w:rPr>
          <w:rFonts w:hint="eastAsia" w:ascii="宋体" w:hAnsi="宋体"/>
          <w:b/>
          <w:color w:val="auto"/>
          <w:szCs w:val="21"/>
          <w:highlight w:val="none"/>
          <w:u w:val="single"/>
        </w:rPr>
        <w:t>由承包人承担的工、料、机在投标编制期或预算书编制期与合同实施期间所发生的市场价格波动；</w:t>
      </w:r>
    </w:p>
    <w:p>
      <w:pPr>
        <w:numPr>
          <w:ilvl w:val="0"/>
          <w:numId w:val="4"/>
        </w:numPr>
        <w:tabs>
          <w:tab w:val="left" w:pos="900"/>
        </w:tabs>
        <w:adjustRightInd w:val="0"/>
        <w:snapToGrid w:val="0"/>
        <w:spacing w:line="360" w:lineRule="auto"/>
        <w:ind w:left="0" w:firstLine="360"/>
        <w:jc w:val="left"/>
        <w:rPr>
          <w:rFonts w:hint="eastAsia" w:ascii="宋体" w:hAnsi="宋体"/>
          <w:b/>
          <w:color w:val="auto"/>
          <w:szCs w:val="21"/>
          <w:highlight w:val="none"/>
          <w:u w:val="single"/>
        </w:rPr>
      </w:pPr>
      <w:r>
        <w:rPr>
          <w:rFonts w:hint="eastAsia" w:ascii="宋体" w:hAnsi="宋体"/>
          <w:b/>
          <w:color w:val="auto"/>
          <w:szCs w:val="21"/>
          <w:highlight w:val="none"/>
          <w:u w:val="single"/>
        </w:rPr>
        <w:t>连续8小时及以上的停水、电、气；</w:t>
      </w:r>
    </w:p>
    <w:p>
      <w:pPr>
        <w:numPr>
          <w:ilvl w:val="0"/>
          <w:numId w:val="4"/>
        </w:numPr>
        <w:tabs>
          <w:tab w:val="left" w:pos="900"/>
        </w:tabs>
        <w:adjustRightInd w:val="0"/>
        <w:snapToGrid w:val="0"/>
        <w:spacing w:line="360" w:lineRule="auto"/>
        <w:ind w:left="0" w:firstLine="360"/>
        <w:jc w:val="left"/>
        <w:rPr>
          <w:rFonts w:hint="eastAsia" w:ascii="宋体" w:hAnsi="宋体"/>
          <w:b/>
          <w:color w:val="auto"/>
          <w:szCs w:val="21"/>
          <w:highlight w:val="none"/>
          <w:u w:val="single"/>
        </w:rPr>
      </w:pPr>
      <w:r>
        <w:rPr>
          <w:rFonts w:hint="eastAsia" w:ascii="宋体" w:hAnsi="宋体"/>
          <w:b/>
          <w:color w:val="auto"/>
          <w:szCs w:val="21"/>
          <w:highlight w:val="none"/>
          <w:u w:val="single"/>
        </w:rPr>
        <w:t>政策性的调整；</w:t>
      </w:r>
    </w:p>
    <w:p>
      <w:pPr>
        <w:numPr>
          <w:ilvl w:val="0"/>
          <w:numId w:val="4"/>
        </w:numPr>
        <w:tabs>
          <w:tab w:val="left" w:pos="900"/>
        </w:tabs>
        <w:adjustRightInd w:val="0"/>
        <w:snapToGrid w:val="0"/>
        <w:spacing w:line="360" w:lineRule="auto"/>
        <w:ind w:left="0" w:firstLine="360"/>
        <w:jc w:val="left"/>
        <w:rPr>
          <w:rFonts w:hint="eastAsia" w:ascii="宋体" w:hAnsi="宋体"/>
          <w:b/>
          <w:color w:val="auto"/>
          <w:szCs w:val="21"/>
          <w:highlight w:val="none"/>
          <w:u w:val="single"/>
        </w:rPr>
      </w:pPr>
      <w:r>
        <w:rPr>
          <w:rFonts w:hint="eastAsia" w:ascii="宋体" w:hAnsi="宋体"/>
          <w:b/>
          <w:color w:val="auto"/>
          <w:szCs w:val="21"/>
          <w:highlight w:val="none"/>
          <w:u w:val="single"/>
        </w:rPr>
        <w:t>技术措施费；</w:t>
      </w:r>
    </w:p>
    <w:p>
      <w:pPr>
        <w:numPr>
          <w:ilvl w:val="0"/>
          <w:numId w:val="4"/>
        </w:numPr>
        <w:tabs>
          <w:tab w:val="left" w:pos="900"/>
        </w:tabs>
        <w:adjustRightInd w:val="0"/>
        <w:snapToGrid w:val="0"/>
        <w:spacing w:line="360" w:lineRule="auto"/>
        <w:ind w:left="0" w:firstLine="360"/>
        <w:jc w:val="left"/>
        <w:rPr>
          <w:rFonts w:hint="eastAsia" w:ascii="宋体" w:hAnsi="宋体"/>
          <w:b/>
          <w:color w:val="auto"/>
          <w:szCs w:val="21"/>
          <w:highlight w:val="none"/>
          <w:u w:val="single"/>
        </w:rPr>
      </w:pPr>
      <w:r>
        <w:rPr>
          <w:rFonts w:hint="eastAsia" w:ascii="宋体" w:hAnsi="宋体"/>
          <w:b/>
          <w:color w:val="auto"/>
          <w:szCs w:val="21"/>
          <w:highlight w:val="none"/>
          <w:u w:val="single"/>
        </w:rPr>
        <w:t>有经验的承包商应该可以预料的风险；</w:t>
      </w:r>
    </w:p>
    <w:p>
      <w:pPr>
        <w:numPr>
          <w:ilvl w:val="0"/>
          <w:numId w:val="4"/>
        </w:numPr>
        <w:tabs>
          <w:tab w:val="left" w:pos="900"/>
        </w:tabs>
        <w:adjustRightInd w:val="0"/>
        <w:snapToGrid w:val="0"/>
        <w:spacing w:line="360" w:lineRule="auto"/>
        <w:ind w:left="0" w:firstLine="360"/>
        <w:jc w:val="left"/>
        <w:rPr>
          <w:rFonts w:hint="eastAsia" w:ascii="宋体" w:hAnsi="宋体"/>
          <w:b/>
          <w:color w:val="auto"/>
          <w:szCs w:val="21"/>
          <w:highlight w:val="none"/>
          <w:u w:val="single"/>
        </w:rPr>
      </w:pPr>
      <w:r>
        <w:rPr>
          <w:rFonts w:hint="eastAsia" w:ascii="宋体" w:hAnsi="宋体"/>
          <w:b/>
          <w:color w:val="auto"/>
          <w:szCs w:val="21"/>
          <w:highlight w:val="none"/>
          <w:u w:val="single"/>
        </w:rPr>
        <w:t>施工图虽未明确表示但按国家规范必须实施的内容；</w:t>
      </w:r>
    </w:p>
    <w:p>
      <w:pPr>
        <w:numPr>
          <w:ilvl w:val="0"/>
          <w:numId w:val="4"/>
        </w:numPr>
        <w:tabs>
          <w:tab w:val="left" w:pos="900"/>
        </w:tabs>
        <w:adjustRightInd w:val="0"/>
        <w:snapToGrid w:val="0"/>
        <w:spacing w:line="360" w:lineRule="auto"/>
        <w:ind w:left="0" w:firstLine="360"/>
        <w:jc w:val="left"/>
        <w:rPr>
          <w:rFonts w:hint="eastAsia" w:ascii="宋体" w:hAnsi="宋体"/>
          <w:b/>
          <w:color w:val="auto"/>
          <w:szCs w:val="21"/>
          <w:highlight w:val="none"/>
          <w:u w:val="single"/>
        </w:rPr>
      </w:pPr>
      <w:r>
        <w:rPr>
          <w:rFonts w:hint="eastAsia" w:ascii="宋体" w:hAnsi="宋体"/>
          <w:b/>
          <w:color w:val="auto"/>
          <w:szCs w:val="21"/>
          <w:highlight w:val="none"/>
          <w:u w:val="single"/>
        </w:rPr>
        <w:t>采购文件明确要求包干的内容。</w:t>
      </w:r>
    </w:p>
    <w:p>
      <w:pPr>
        <w:numPr>
          <w:ilvl w:val="0"/>
          <w:numId w:val="4"/>
        </w:numPr>
        <w:tabs>
          <w:tab w:val="left" w:pos="900"/>
        </w:tabs>
        <w:adjustRightInd w:val="0"/>
        <w:snapToGrid w:val="0"/>
        <w:spacing w:line="360" w:lineRule="auto"/>
        <w:ind w:left="0" w:firstLine="360"/>
        <w:jc w:val="left"/>
        <w:rPr>
          <w:rFonts w:hint="eastAsia" w:ascii="宋体" w:hAnsi="宋体"/>
          <w:b/>
          <w:color w:val="auto"/>
          <w:szCs w:val="21"/>
          <w:highlight w:val="none"/>
          <w:u w:val="single"/>
        </w:rPr>
      </w:pPr>
      <w:r>
        <w:rPr>
          <w:rFonts w:hint="eastAsia" w:ascii="宋体" w:hAnsi="宋体"/>
          <w:b/>
          <w:color w:val="auto"/>
          <w:szCs w:val="21"/>
          <w:highlight w:val="none"/>
          <w:u w:val="single"/>
        </w:rPr>
        <w:t>其他： 按通用条款。</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风险费用的计算方法：</w:t>
      </w:r>
      <w:r>
        <w:rPr>
          <w:rFonts w:hint="eastAsia" w:ascii="宋体" w:hAnsi="宋体"/>
          <w:color w:val="auto"/>
          <w:szCs w:val="21"/>
          <w:highlight w:val="none"/>
          <w:u w:val="single"/>
        </w:rPr>
        <w:t xml:space="preserve">   </w:t>
      </w:r>
      <w:r>
        <w:rPr>
          <w:rFonts w:hint="eastAsia" w:ascii="宋体" w:hAnsi="宋体"/>
          <w:b/>
          <w:color w:val="auto"/>
          <w:szCs w:val="21"/>
          <w:highlight w:val="none"/>
          <w:u w:val="single"/>
        </w:rPr>
        <w:t>以上风险范围之内费用已由承包人自行预测并已计入投标总价</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adjustRightInd w:val="0"/>
        <w:snapToGrid w:val="0"/>
        <w:spacing w:line="360" w:lineRule="auto"/>
        <w:ind w:firstLine="420" w:firstLineChars="200"/>
        <w:jc w:val="left"/>
        <w:rPr>
          <w:rFonts w:hint="default" w:ascii="宋体" w:hAnsi="宋体" w:eastAsia="宋体" w:cs="宋体"/>
          <w:color w:val="auto"/>
          <w:szCs w:val="21"/>
          <w:highlight w:val="none"/>
          <w:u w:val="single"/>
          <w:lang w:val="en-US" w:eastAsia="zh-CN"/>
        </w:rPr>
      </w:pPr>
      <w:r>
        <w:rPr>
          <w:rFonts w:hint="eastAsia" w:ascii="宋体" w:hAnsi="宋体"/>
          <w:color w:val="auto"/>
          <w:szCs w:val="21"/>
          <w:highlight w:val="none"/>
        </w:rPr>
        <w:t>风险范围以外合同价格的调整方法：</w:t>
      </w:r>
      <w:r>
        <w:rPr>
          <w:rFonts w:hint="eastAsia" w:ascii="宋体" w:hAnsi="宋体" w:cs="宋体"/>
          <w:b/>
          <w:color w:val="auto"/>
          <w:szCs w:val="21"/>
          <w:highlight w:val="none"/>
          <w:u w:val="single"/>
          <w:lang w:val="en-US" w:eastAsia="zh-CN"/>
        </w:rPr>
        <w:t xml:space="preserve">   /     </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3、其他价格方式：</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12.2 预付款</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12.2.1 预付款的支付</w:t>
      </w:r>
    </w:p>
    <w:p>
      <w:pPr>
        <w:spacing w:line="360" w:lineRule="auto"/>
        <w:ind w:firstLine="420" w:firstLineChars="200"/>
        <w:jc w:val="left"/>
        <w:rPr>
          <w:rFonts w:hint="eastAsia" w:ascii="宋体" w:hAnsi="宋体"/>
          <w:snapToGrid/>
          <w:color w:val="auto"/>
          <w:kern w:val="2"/>
          <w:szCs w:val="21"/>
          <w:highlight w:val="none"/>
        </w:rPr>
      </w:pPr>
      <w:r>
        <w:rPr>
          <w:rFonts w:hint="eastAsia" w:ascii="宋体" w:hAnsi="宋体"/>
          <w:color w:val="auto"/>
          <w:szCs w:val="21"/>
          <w:highlight w:val="none"/>
        </w:rPr>
        <w:t>预付款支付比例或金额：</w:t>
      </w:r>
      <w:r>
        <w:rPr>
          <w:rFonts w:hint="eastAsia" w:ascii="宋体" w:hAnsi="宋体"/>
          <w:color w:val="auto"/>
          <w:szCs w:val="21"/>
          <w:highlight w:val="none"/>
          <w:u w:val="single"/>
        </w:rPr>
        <w:t xml:space="preserve"> </w:t>
      </w:r>
      <w:r>
        <w:rPr>
          <w:rFonts w:ascii="宋体" w:hAnsi="宋体"/>
          <w:snapToGrid/>
          <w:color w:val="auto"/>
          <w:kern w:val="2"/>
          <w:szCs w:val="21"/>
          <w:highlight w:val="none"/>
          <w:u w:val="single"/>
        </w:rPr>
        <w:t xml:space="preserve">    </w:t>
      </w:r>
      <w:r>
        <w:rPr>
          <w:rFonts w:hint="eastAsia" w:ascii="宋体" w:hAnsi="宋体"/>
          <w:snapToGrid/>
          <w:color w:val="auto"/>
          <w:kern w:val="2"/>
          <w:szCs w:val="21"/>
          <w:highlight w:val="none"/>
          <w:u w:val="single"/>
        </w:rPr>
        <w:t>合同价</w:t>
      </w:r>
      <w:r>
        <w:rPr>
          <w:rFonts w:hint="eastAsia" w:ascii="宋体" w:hAnsi="宋体"/>
          <w:snapToGrid/>
          <w:color w:val="auto"/>
          <w:kern w:val="2"/>
          <w:szCs w:val="21"/>
          <w:highlight w:val="none"/>
          <w:u w:val="single"/>
          <w:lang w:val="en-US" w:eastAsia="zh-CN"/>
        </w:rPr>
        <w:t>60</w:t>
      </w:r>
      <w:r>
        <w:rPr>
          <w:rFonts w:hint="eastAsia" w:ascii="宋体" w:hAnsi="宋体"/>
          <w:snapToGrid/>
          <w:color w:val="auto"/>
          <w:kern w:val="2"/>
          <w:szCs w:val="21"/>
          <w:highlight w:val="none"/>
          <w:u w:val="single"/>
        </w:rPr>
        <w:t xml:space="preserve">% </w:t>
      </w:r>
      <w:r>
        <w:rPr>
          <w:rFonts w:ascii="宋体" w:hAnsi="宋体"/>
          <w:snapToGrid/>
          <w:color w:val="auto"/>
          <w:kern w:val="2"/>
          <w:szCs w:val="21"/>
          <w:highlight w:val="none"/>
          <w:u w:val="single"/>
        </w:rPr>
        <w:t xml:space="preserve">       </w:t>
      </w:r>
      <w:r>
        <w:rPr>
          <w:rFonts w:ascii="宋体" w:hAnsi="宋体"/>
          <w:snapToGrid/>
          <w:color w:val="auto"/>
          <w:kern w:val="2"/>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预付款支付期限：</w:t>
      </w:r>
      <w:r>
        <w:rPr>
          <w:rFonts w:hint="eastAsia" w:ascii="宋体" w:hAnsi="宋体"/>
          <w:color w:val="auto"/>
          <w:szCs w:val="21"/>
          <w:highlight w:val="none"/>
          <w:u w:val="single"/>
        </w:rPr>
        <w:t xml:space="preserve">  </w:t>
      </w:r>
      <w:r>
        <w:rPr>
          <w:rFonts w:hint="eastAsia" w:ascii="宋体" w:hAnsi="宋体"/>
          <w:snapToGrid/>
          <w:color w:val="auto"/>
          <w:kern w:val="2"/>
          <w:szCs w:val="21"/>
          <w:highlight w:val="none"/>
          <w:u w:val="single"/>
        </w:rPr>
        <w:t>在本合同签订并生效后5个工作日内</w:t>
      </w:r>
      <w:r>
        <w:rPr>
          <w:rFonts w:ascii="宋体" w:hAnsi="宋体"/>
          <w:snapToGrid/>
          <w:color w:val="auto"/>
          <w:kern w:val="2"/>
          <w:szCs w:val="21"/>
          <w:highlight w:val="none"/>
          <w:u w:val="single"/>
        </w:rPr>
        <w:t xml:space="preserve"> </w:t>
      </w:r>
      <w:r>
        <w:rPr>
          <w:rFonts w:hint="eastAsia" w:ascii="宋体" w:hAnsi="宋体"/>
          <w:snapToGrid/>
          <w:color w:val="auto"/>
          <w:kern w:val="2"/>
          <w:szCs w:val="21"/>
          <w:highlight w:val="none"/>
          <w:u w:val="single"/>
        </w:rPr>
        <w:t xml:space="preserve">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预付款扣回的方式：</w:t>
      </w:r>
      <w:r>
        <w:rPr>
          <w:rFonts w:hint="eastAsia" w:ascii="宋体" w:hAnsi="宋体"/>
          <w:snapToGrid/>
          <w:color w:val="auto"/>
          <w:kern w:val="2"/>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12.2.2 预付款担保</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承包人提交预付款担保的期限：</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预付款担保的形式为：</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12.3 计量</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12.3.1 计量原则</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工程量计算规则：</w:t>
      </w:r>
    </w:p>
    <w:p>
      <w:pPr>
        <w:adjustRightInd w:val="0"/>
        <w:snapToGrid w:val="0"/>
        <w:spacing w:line="360" w:lineRule="auto"/>
        <w:ind w:firstLine="422" w:firstLineChars="200"/>
        <w:jc w:val="left"/>
        <w:rPr>
          <w:rFonts w:hint="eastAsia" w:ascii="宋体" w:hAnsi="宋体"/>
          <w:b/>
          <w:color w:val="auto"/>
          <w:szCs w:val="21"/>
          <w:highlight w:val="none"/>
          <w:u w:val="single"/>
        </w:rPr>
      </w:pPr>
      <w:r>
        <w:rPr>
          <w:rFonts w:hint="eastAsia" w:ascii="宋体" w:hAnsi="宋体"/>
          <w:b/>
          <w:color w:val="auto"/>
          <w:szCs w:val="21"/>
          <w:highlight w:val="none"/>
        </w:rPr>
        <w:t>（1）</w:t>
      </w:r>
      <w:r>
        <w:rPr>
          <w:rFonts w:hint="eastAsia" w:ascii="宋体" w:hAnsi="宋体"/>
          <w:b/>
          <w:color w:val="auto"/>
          <w:szCs w:val="21"/>
          <w:highlight w:val="none"/>
          <w:u w:val="single"/>
        </w:rPr>
        <w:t xml:space="preserve"> 实行工程量清单计价的工程项目，其工程量的计算规则应按国家标准工程量计算规范及省级行业主管部门颁布的补充规定执行。</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12.3.2 计量周期</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关于计量周期的约定：</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367" w:firstLineChars="175"/>
        <w:jc w:val="left"/>
        <w:rPr>
          <w:rFonts w:hint="eastAsia" w:ascii="宋体" w:hAnsi="宋体"/>
          <w:color w:val="auto"/>
          <w:szCs w:val="21"/>
          <w:highlight w:val="none"/>
        </w:rPr>
      </w:pPr>
      <w:r>
        <w:rPr>
          <w:rFonts w:hint="eastAsia" w:ascii="宋体" w:hAnsi="宋体"/>
          <w:color w:val="auto"/>
          <w:szCs w:val="21"/>
          <w:highlight w:val="none"/>
        </w:rPr>
        <w:t>12.3.3 单价合同的计量</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关于单价合同计量的约定：</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12.3.4 总价合同的计量</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关于总价合同计量的约定：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12.3.5总价合同采用支付分解表计量支付的，是否适用第12.3.4 项〔总价合同的计量〕约定进行计量：</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12.3.6 其他价格形式合同的计量</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其他价格形式的计量方式和程序：</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12.4 工程进度款支付</w:t>
      </w:r>
    </w:p>
    <w:p>
      <w:pPr>
        <w:pStyle w:val="63"/>
        <w:ind w:left="0" w:leftChars="0" w:firstLine="440" w:firstLineChars="0"/>
        <w:rPr>
          <w:rFonts w:hint="eastAsia"/>
          <w:color w:val="auto"/>
          <w:highlight w:val="none"/>
          <w:lang w:val="en-US" w:eastAsia="zh-CN"/>
        </w:rPr>
      </w:pPr>
      <w:r>
        <w:rPr>
          <w:rFonts w:hint="eastAsia"/>
          <w:color w:val="auto"/>
          <w:highlight w:val="none"/>
          <w:lang w:val="en-US" w:eastAsia="zh-CN"/>
        </w:rPr>
        <w:t>关于付款周期的约定：</w:t>
      </w:r>
    </w:p>
    <w:p>
      <w:pPr>
        <w:pStyle w:val="63"/>
        <w:numPr>
          <w:ilvl w:val="0"/>
          <w:numId w:val="5"/>
        </w:numPr>
        <w:ind w:left="-20" w:leftChars="0" w:firstLine="440" w:firstLineChars="0"/>
        <w:rPr>
          <w:rFonts w:hint="default"/>
          <w:b/>
          <w:bCs/>
          <w:color w:val="auto"/>
          <w:highlight w:val="none"/>
          <w:u w:val="single"/>
          <w:lang w:val="en-US" w:eastAsia="zh-CN"/>
        </w:rPr>
      </w:pPr>
      <w:r>
        <w:rPr>
          <w:rFonts w:hint="default"/>
          <w:b/>
          <w:bCs/>
          <w:color w:val="auto"/>
          <w:highlight w:val="none"/>
          <w:u w:val="single"/>
          <w:lang w:val="en-US" w:eastAsia="zh-CN"/>
        </w:rPr>
        <w:t>本合同签订并生效后5个工作日内，支付工程合同总价的</w:t>
      </w:r>
      <w:r>
        <w:rPr>
          <w:rFonts w:hint="eastAsia"/>
          <w:b/>
          <w:bCs/>
          <w:color w:val="auto"/>
          <w:highlight w:val="none"/>
          <w:u w:val="single"/>
          <w:lang w:val="en-US" w:eastAsia="zh-CN"/>
        </w:rPr>
        <w:t>6</w:t>
      </w:r>
      <w:r>
        <w:rPr>
          <w:rFonts w:hint="default"/>
          <w:b/>
          <w:bCs/>
          <w:color w:val="auto"/>
          <w:highlight w:val="none"/>
          <w:u w:val="single"/>
          <w:lang w:val="en-US" w:eastAsia="zh-CN"/>
        </w:rPr>
        <w:t>0%作为预付款，若遇学校封账、结算等因素付款日期顺延，款项不另行支付利息；</w:t>
      </w:r>
    </w:p>
    <w:p>
      <w:pPr>
        <w:pStyle w:val="63"/>
        <w:numPr>
          <w:ilvl w:val="0"/>
          <w:numId w:val="5"/>
        </w:numPr>
        <w:ind w:left="-20" w:leftChars="0" w:firstLine="440" w:firstLineChars="0"/>
        <w:rPr>
          <w:rFonts w:hint="default" w:ascii="宋体" w:hAnsi="宋体" w:eastAsia="宋体" w:cs="Times New Roman"/>
          <w:b/>
          <w:bCs/>
          <w:color w:val="auto"/>
          <w:highlight w:val="none"/>
          <w:u w:val="single"/>
          <w:lang w:val="en-US" w:eastAsia="zh-CN"/>
        </w:rPr>
      </w:pPr>
      <w:r>
        <w:rPr>
          <w:rFonts w:hint="default" w:ascii="宋体" w:hAnsi="宋体" w:eastAsia="宋体" w:cs="Times New Roman"/>
          <w:b/>
          <w:bCs/>
          <w:color w:val="auto"/>
          <w:highlight w:val="none"/>
          <w:u w:val="single"/>
          <w:lang w:val="en-US" w:eastAsia="zh-CN"/>
        </w:rPr>
        <w:t>工程完工经验收合格且竣工资料提交齐全，支付至合同内已完工工程量进度款的85%；</w:t>
      </w:r>
    </w:p>
    <w:p>
      <w:pPr>
        <w:pStyle w:val="63"/>
        <w:numPr>
          <w:ilvl w:val="0"/>
          <w:numId w:val="5"/>
        </w:numPr>
        <w:ind w:left="-20" w:leftChars="0" w:firstLine="440" w:firstLineChars="0"/>
        <w:rPr>
          <w:rFonts w:hint="default"/>
          <w:b/>
          <w:bCs/>
          <w:color w:val="auto"/>
          <w:highlight w:val="none"/>
          <w:u w:val="single"/>
          <w:lang w:val="en-US" w:eastAsia="zh-CN"/>
        </w:rPr>
      </w:pPr>
      <w:r>
        <w:rPr>
          <w:rFonts w:hint="default"/>
          <w:b/>
          <w:bCs/>
          <w:color w:val="auto"/>
          <w:highlight w:val="none"/>
          <w:u w:val="single"/>
          <w:lang w:val="en-US" w:eastAsia="zh-CN"/>
        </w:rPr>
        <w:t>工程竣工验收合格，资料归档后，采购人支付</w:t>
      </w:r>
      <w:r>
        <w:rPr>
          <w:rFonts w:hint="eastAsia"/>
          <w:b/>
          <w:bCs/>
          <w:color w:val="auto"/>
          <w:highlight w:val="none"/>
          <w:u w:val="single"/>
          <w:lang w:val="en-US" w:eastAsia="zh-CN"/>
        </w:rPr>
        <w:t>剩余价款</w:t>
      </w:r>
      <w:r>
        <w:rPr>
          <w:rFonts w:hint="default"/>
          <w:b/>
          <w:bCs/>
          <w:color w:val="auto"/>
          <w:highlight w:val="none"/>
          <w:u w:val="single"/>
          <w:lang w:val="en-US" w:eastAsia="zh-CN"/>
        </w:rPr>
        <w:t>。</w:t>
      </w:r>
    </w:p>
    <w:p>
      <w:pPr>
        <w:keepNext w:val="0"/>
        <w:keepLines w:val="0"/>
        <w:pageBreakBefore w:val="0"/>
        <w:kinsoku/>
        <w:wordWrap/>
        <w:overflowPunct/>
        <w:topLinePunct w:val="0"/>
        <w:bidi w:val="0"/>
        <w:adjustRightInd w:val="0"/>
        <w:snapToGrid w:val="0"/>
        <w:spacing w:line="360" w:lineRule="auto"/>
        <w:ind w:firstLine="422" w:firstLineChars="200"/>
        <w:textAlignment w:val="auto"/>
        <w:rPr>
          <w:rFonts w:hint="eastAsia" w:hAnsi="宋体" w:eastAsia="宋体" w:cs="宋体"/>
          <w:b/>
          <w:color w:val="auto"/>
          <w:sz w:val="21"/>
          <w:szCs w:val="21"/>
          <w:highlight w:val="none"/>
          <w:u w:val="single"/>
          <w:lang w:val="en-US" w:eastAsia="zh-CN"/>
        </w:rPr>
      </w:pPr>
      <w:r>
        <w:rPr>
          <w:rFonts w:hint="eastAsia" w:hAnsi="宋体" w:eastAsia="宋体" w:cs="宋体"/>
          <w:b/>
          <w:color w:val="auto"/>
          <w:sz w:val="21"/>
          <w:szCs w:val="21"/>
          <w:highlight w:val="none"/>
          <w:u w:val="single"/>
          <w:lang w:val="en-US" w:eastAsia="zh-CN"/>
        </w:rPr>
        <w:t>履约保证金</w:t>
      </w:r>
      <w:r>
        <w:rPr>
          <w:rFonts w:hint="eastAsia" w:hAnsi="宋体" w:cs="宋体"/>
          <w:b/>
          <w:color w:val="auto"/>
          <w:sz w:val="21"/>
          <w:szCs w:val="21"/>
          <w:highlight w:val="none"/>
          <w:u w:val="single"/>
          <w:lang w:val="en-US" w:eastAsia="zh-CN"/>
        </w:rPr>
        <w:t>转</w:t>
      </w:r>
      <w:r>
        <w:rPr>
          <w:rFonts w:hint="eastAsia" w:hAnsi="宋体" w:eastAsia="宋体" w:cs="宋体"/>
          <w:b/>
          <w:color w:val="auto"/>
          <w:sz w:val="21"/>
          <w:szCs w:val="21"/>
          <w:highlight w:val="none"/>
          <w:u w:val="single"/>
          <w:lang w:val="en-US" w:eastAsia="zh-CN"/>
        </w:rPr>
        <w:t>在工程保修期满、备案、回访完成后，扣除相应的扣款（由于乙方维修不及时而甲方自行维修的费用）后，结清余款（无息）。</w:t>
      </w:r>
    </w:p>
    <w:p>
      <w:pPr>
        <w:keepNext w:val="0"/>
        <w:keepLines w:val="0"/>
        <w:pageBreakBefore w:val="0"/>
        <w:kinsoku/>
        <w:wordWrap/>
        <w:overflowPunct/>
        <w:topLinePunct w:val="0"/>
        <w:bidi w:val="0"/>
        <w:adjustRightInd w:val="0"/>
        <w:snapToGrid w:val="0"/>
        <w:spacing w:line="360" w:lineRule="auto"/>
        <w:ind w:firstLine="422" w:firstLineChars="200"/>
        <w:textAlignment w:val="auto"/>
        <w:rPr>
          <w:rFonts w:hint="eastAsia" w:hAnsi="宋体" w:eastAsia="宋体" w:cs="宋体"/>
          <w:b/>
          <w:color w:val="auto"/>
          <w:sz w:val="21"/>
          <w:szCs w:val="21"/>
          <w:highlight w:val="none"/>
          <w:u w:val="single"/>
          <w:lang w:val="en-US" w:eastAsia="zh-CN"/>
        </w:rPr>
      </w:pPr>
      <w:r>
        <w:rPr>
          <w:rFonts w:hint="eastAsia" w:hAnsi="宋体" w:eastAsia="宋体" w:cs="宋体"/>
          <w:b/>
          <w:color w:val="auto"/>
          <w:sz w:val="21"/>
          <w:szCs w:val="21"/>
          <w:highlight w:val="none"/>
          <w:u w:val="single"/>
          <w:lang w:val="en-US" w:eastAsia="zh-CN"/>
        </w:rPr>
        <w:t>承包人现场管理混乱，工程质量、进度、现场文明施工和安全生产达不到预定计划，发包人有权不支付或不全额支付工程款。</w:t>
      </w:r>
    </w:p>
    <w:p>
      <w:pPr>
        <w:pStyle w:val="63"/>
        <w:numPr>
          <w:ilvl w:val="0"/>
          <w:numId w:val="0"/>
        </w:numPr>
        <w:ind w:firstLine="420" w:firstLineChars="200"/>
        <w:rPr>
          <w:rFonts w:hint="eastAsia" w:ascii="宋体" w:hAnsi="宋体"/>
          <w:b/>
          <w:color w:val="auto"/>
          <w:szCs w:val="21"/>
          <w:highlight w:val="none"/>
          <w:u w:val="single"/>
        </w:rPr>
      </w:pPr>
      <w:r>
        <w:rPr>
          <w:rFonts w:hint="eastAsia" w:ascii="Times" w:hAnsi="宋体" w:cs="宋体"/>
          <w:color w:val="auto"/>
          <w:sz w:val="21"/>
          <w:szCs w:val="21"/>
          <w:highlight w:val="none"/>
          <w:u w:val="single"/>
        </w:rPr>
        <w:t>在承包人领取工程款前，应当向发包人交付相应的正规发票，并按本合同合格的履行了义务，否则发包人可暂缓支付并不承担逾期付款的违约责任。</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12.4.2 进度付款申请单的编制</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关于进度付款申请单编制的约定：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12.4.3 进度付款申请单的提交</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（1）单价合同进度付款申请单提交的约定：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（2）总价合同进度付款申请单提交的约定：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（3）其他价格形式合同进度付款申请单提交的约定：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12.4.4 进度款审核和支付</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（1）发包人完成审批并签发进度款支付证书的期限：</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（2）发包人支付进度款的期限：</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525" w:firstLineChars="250"/>
        <w:jc w:val="left"/>
        <w:rPr>
          <w:rFonts w:hint="eastAsia" w:ascii="宋体" w:hAnsi="宋体"/>
          <w:color w:val="auto"/>
          <w:szCs w:val="21"/>
          <w:highlight w:val="none"/>
          <w:u w:val="single"/>
        </w:rPr>
      </w:pPr>
      <w:r>
        <w:rPr>
          <w:rFonts w:hint="eastAsia" w:ascii="宋体" w:hAnsi="宋体"/>
          <w:color w:val="auto"/>
          <w:szCs w:val="21"/>
          <w:highlight w:val="none"/>
        </w:rPr>
        <w:t>发包人逾期支付进度款的违约金的计算方式：</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525" w:firstLineChars="250"/>
        <w:jc w:val="left"/>
        <w:rPr>
          <w:rFonts w:hint="eastAsia" w:ascii="宋体" w:hAnsi="宋体"/>
          <w:color w:val="auto"/>
          <w:szCs w:val="21"/>
          <w:highlight w:val="none"/>
        </w:rPr>
      </w:pPr>
      <w:r>
        <w:rPr>
          <w:rFonts w:hint="eastAsia" w:ascii="宋体" w:hAnsi="宋体"/>
          <w:color w:val="auto"/>
          <w:szCs w:val="21"/>
          <w:highlight w:val="none"/>
        </w:rPr>
        <w:t>12.4.6 支付分解表的编制</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2、总价合同支付分解表的编制与审批：</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3、单价合同的总价项目支付分解表的编制与审批：</w:t>
      </w:r>
      <w:r>
        <w:rPr>
          <w:rFonts w:hint="eastAsia" w:ascii="宋体" w:hAnsi="宋体"/>
          <w:color w:val="auto"/>
          <w:szCs w:val="21"/>
          <w:highlight w:val="none"/>
          <w:u w:val="single"/>
        </w:rPr>
        <w:t xml:space="preserve">   /     </w:t>
      </w:r>
      <w:r>
        <w:rPr>
          <w:rFonts w:hint="eastAsia" w:ascii="宋体" w:hAnsi="宋体"/>
          <w:color w:val="auto"/>
          <w:szCs w:val="21"/>
          <w:highlight w:val="none"/>
        </w:rPr>
        <w:t xml:space="preserve"> 。</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13. 验收和工程试车</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13.2 竣工验收</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13.2.2竣工验收程序</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关于竣工验收程序的约定：</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发包人不按照本项约定组织竣工验收、颁发工程接收证书的违约金的计算方法：</w:t>
      </w:r>
      <w:r>
        <w:rPr>
          <w:rFonts w:hint="eastAsia" w:ascii="宋体" w:hAnsi="宋体"/>
          <w:color w:val="auto"/>
          <w:szCs w:val="21"/>
          <w:highlight w:val="none"/>
          <w:u w:val="single"/>
        </w:rPr>
        <w:t xml:space="preserve">按通用条款执行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13.2.5移交、接收全部与部分工程</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承包人向发包人移交工程的期限：</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发包人未按本合同约定接收全部或部分工程的，违约金的计算方法为：</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承包人未按时移交工程的，违约金的计算方法为：</w:t>
      </w:r>
      <w:r>
        <w:rPr>
          <w:rFonts w:hint="eastAsia" w:ascii="宋体" w:hAnsi="宋体"/>
          <w:color w:val="auto"/>
          <w:szCs w:val="21"/>
          <w:highlight w:val="none"/>
          <w:u w:val="single"/>
        </w:rPr>
        <w:t>工程竣工验收备案后2日内，承包人须向发包人移交全部工程，延误3天以内的按1500元/天扣除延误费，3天以上的，则以上天数按2000元/天计算，违约金直接从工程款中扣除。因逾期交付工程给发包人造成经济损失的，赔偿损失。同时，承包人移交所有工程之前，发包人有权拒绝结算、支付工程款</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13.3 工程试车</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13.3.1 试车程序</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工程试车内容：</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（1）单机无负荷试车费用由</w:t>
      </w:r>
      <w:r>
        <w:rPr>
          <w:rFonts w:hint="eastAsia" w:ascii="宋体" w:hAnsi="宋体"/>
          <w:color w:val="auto"/>
          <w:szCs w:val="21"/>
          <w:highlight w:val="none"/>
          <w:u w:val="single"/>
        </w:rPr>
        <w:t xml:space="preserve">   /  </w:t>
      </w:r>
      <w:r>
        <w:rPr>
          <w:rFonts w:hint="eastAsia" w:ascii="宋体" w:hAnsi="宋体"/>
          <w:color w:val="auto"/>
          <w:szCs w:val="21"/>
          <w:highlight w:val="none"/>
        </w:rPr>
        <w:t>承担；</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（2）无负荷联动试车费用由</w:t>
      </w:r>
      <w:r>
        <w:rPr>
          <w:rFonts w:hint="eastAsia" w:ascii="宋体" w:hAnsi="宋体"/>
          <w:color w:val="auto"/>
          <w:szCs w:val="21"/>
          <w:highlight w:val="none"/>
          <w:u w:val="single"/>
        </w:rPr>
        <w:t xml:space="preserve">   /   </w:t>
      </w:r>
      <w:r>
        <w:rPr>
          <w:rFonts w:hint="eastAsia" w:ascii="宋体" w:hAnsi="宋体"/>
          <w:color w:val="auto"/>
          <w:szCs w:val="21"/>
          <w:highlight w:val="none"/>
        </w:rPr>
        <w:t>承担。</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13.3.3 投料试车</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关于投料试车相关事项的约定：</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13.6 竣工退场</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13.6.1 竣工退场</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承包人完成竣工退场的期限：</w:t>
      </w:r>
      <w:r>
        <w:rPr>
          <w:rFonts w:hint="eastAsia" w:ascii="宋体" w:hAnsi="宋体"/>
          <w:color w:val="auto"/>
          <w:szCs w:val="21"/>
          <w:highlight w:val="none"/>
          <w:u w:val="single"/>
        </w:rPr>
        <w:t xml:space="preserve">   颁发工程接收书后2天      </w:t>
      </w:r>
      <w:r>
        <w:rPr>
          <w:rFonts w:hint="eastAsia" w:ascii="宋体"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14. 竣工结算</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14.1 竣工付款申请</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承包人提交竣工付款申请单的期限：</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竣工付款申请单应包括的内容：</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14.2 竣工结算审核</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发包人审批竣工付款申请单的期限：</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zh-Hans" w:eastAsia="zh-Hans"/>
        </w:rPr>
        <w:t>收到竣工结算申请单后</w:t>
      </w:r>
      <w:r>
        <w:rPr>
          <w:rFonts w:hint="eastAsia" w:ascii="宋体" w:hAnsi="宋体"/>
          <w:color w:val="auto"/>
          <w:szCs w:val="21"/>
          <w:highlight w:val="none"/>
          <w:u w:val="single"/>
        </w:rPr>
        <w:t>14</w:t>
      </w:r>
      <w:r>
        <w:rPr>
          <w:rFonts w:hint="eastAsia" w:ascii="宋体" w:hAnsi="宋体"/>
          <w:color w:val="auto"/>
          <w:szCs w:val="21"/>
          <w:highlight w:val="none"/>
          <w:u w:val="single"/>
          <w:lang w:val="zh-Hans" w:eastAsia="zh-Hans"/>
        </w:rPr>
        <w:t>天内</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发包人完成竣工付款的期限：</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关于竣工付款证书异议部分复核的方式和程序：</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14.4 最终结清</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14.4.1 最终结清申请单</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承包人提交最终结清申请单的份数：</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承包人提交最终结算申请单的期限：</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 xml:space="preserve">。 </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14.4.2 最终结清证书和支付</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（1）发包人完成最终结清申请单的审批并颁发最终结清证书的期限：</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zh-Hans" w:eastAsia="zh-Hans"/>
        </w:rPr>
        <w:t>收到最终结清申请单后</w:t>
      </w:r>
      <w:r>
        <w:rPr>
          <w:rFonts w:hint="eastAsia" w:ascii="宋体" w:hAnsi="宋体"/>
          <w:color w:val="auto"/>
          <w:szCs w:val="21"/>
          <w:highlight w:val="none"/>
          <w:u w:val="single"/>
        </w:rPr>
        <w:t>30</w:t>
      </w:r>
      <w:r>
        <w:rPr>
          <w:rFonts w:hint="eastAsia" w:ascii="宋体" w:hAnsi="宋体"/>
          <w:color w:val="auto"/>
          <w:szCs w:val="21"/>
          <w:highlight w:val="none"/>
          <w:u w:val="single"/>
          <w:lang w:val="zh-Hans" w:eastAsia="zh-Hans"/>
        </w:rPr>
        <w:t>天内</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（2）发包人完成支付的期限：</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15. 缺陷责任期与保修</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15.2缺陷责任期</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缺陷责任期的具体期限：</w:t>
      </w:r>
      <w:r>
        <w:rPr>
          <w:rFonts w:hint="eastAsia" w:ascii="宋体" w:hAnsi="宋体"/>
          <w:color w:val="auto"/>
          <w:szCs w:val="21"/>
          <w:highlight w:val="none"/>
          <w:u w:val="single"/>
        </w:rPr>
        <w:t xml:space="preserve">     2年    。</w:t>
      </w:r>
      <w:r>
        <w:rPr>
          <w:rFonts w:hint="eastAsia" w:ascii="宋体" w:hAnsi="宋体"/>
          <w:color w:val="auto"/>
          <w:szCs w:val="21"/>
          <w:highlight w:val="none"/>
        </w:rPr>
        <w:t xml:space="preserve">   </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15.3 质量保证金</w:t>
      </w:r>
    </w:p>
    <w:p>
      <w:pPr>
        <w:adjustRightInd w:val="0"/>
        <w:snapToGrid w:val="0"/>
        <w:spacing w:line="360" w:lineRule="auto"/>
        <w:ind w:firstLine="420" w:firstLineChars="200"/>
        <w:jc w:val="left"/>
        <w:rPr>
          <w:rFonts w:hAnsi="宋体" w:cs="宋体"/>
          <w:color w:val="auto"/>
          <w:sz w:val="21"/>
          <w:szCs w:val="21"/>
          <w:highlight w:val="none"/>
          <w:u w:val="none" w:color="000000"/>
          <w:lang w:val="zh-Hans" w:eastAsia="zh-Hans"/>
        </w:rPr>
      </w:pPr>
      <w:r>
        <w:rPr>
          <w:rFonts w:hAnsi="宋体" w:cs="宋体"/>
          <w:color w:val="auto"/>
          <w:sz w:val="21"/>
          <w:szCs w:val="21"/>
          <w:highlight w:val="none"/>
          <w:u w:val="none" w:color="000000"/>
          <w:lang w:val="zh-Hans" w:eastAsia="zh-Hans"/>
        </w:rPr>
        <w:t>关于是否扣留质量保证金的约定：</w:t>
      </w:r>
      <w:r>
        <w:rPr>
          <w:rFonts w:ascii="Times" w:hAnsi="宋体" w:cs="宋体"/>
          <w:color w:val="auto"/>
          <w:sz w:val="21"/>
          <w:szCs w:val="21"/>
          <w:highlight w:val="none"/>
          <w:u w:val="single" w:color="000000"/>
        </w:rPr>
        <w:t xml:space="preserve">     </w:t>
      </w:r>
      <w:r>
        <w:rPr>
          <w:rFonts w:hAnsi="宋体" w:cs="宋体"/>
          <w:color w:val="auto"/>
          <w:sz w:val="21"/>
          <w:szCs w:val="21"/>
          <w:highlight w:val="none"/>
          <w:u w:val="single" w:color="000000"/>
          <w:lang w:val="zh-Hans" w:eastAsia="zh-Hans"/>
        </w:rPr>
        <w:t xml:space="preserve">  </w:t>
      </w:r>
      <w:r>
        <w:rPr>
          <w:rFonts w:hint="eastAsia" w:hAnsi="宋体" w:cs="宋体"/>
          <w:color w:val="auto"/>
          <w:sz w:val="21"/>
          <w:szCs w:val="21"/>
          <w:highlight w:val="none"/>
          <w:u w:val="single" w:color="000000"/>
          <w:lang w:val="en-US" w:eastAsia="zh-CN"/>
        </w:rPr>
        <w:t>否</w:t>
      </w:r>
      <w:r>
        <w:rPr>
          <w:rFonts w:hAnsi="宋体" w:cs="宋体"/>
          <w:color w:val="auto"/>
          <w:sz w:val="21"/>
          <w:szCs w:val="21"/>
          <w:highlight w:val="none"/>
          <w:u w:val="single" w:color="000000"/>
          <w:lang w:val="zh-Hans" w:eastAsia="zh-Hans"/>
        </w:rPr>
        <w:t xml:space="preserve">      </w:t>
      </w:r>
      <w:r>
        <w:rPr>
          <w:rFonts w:ascii="Times" w:hAnsi="宋体" w:cs="宋体"/>
          <w:color w:val="auto"/>
          <w:sz w:val="21"/>
          <w:szCs w:val="21"/>
          <w:highlight w:val="none"/>
          <w:u w:val="single" w:color="000000"/>
        </w:rPr>
        <w:t xml:space="preserve">       </w:t>
      </w:r>
      <w:r>
        <w:rPr>
          <w:rFonts w:hAnsi="宋体" w:cs="宋体"/>
          <w:color w:val="auto"/>
          <w:sz w:val="21"/>
          <w:szCs w:val="21"/>
          <w:highlight w:val="none"/>
          <w:u w:val="none" w:color="000000"/>
          <w:lang w:val="zh-Hans" w:eastAsia="zh-Hans"/>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hAnsi="宋体" w:cs="宋体"/>
          <w:color w:val="auto"/>
          <w:sz w:val="21"/>
          <w:szCs w:val="21"/>
          <w:highlight w:val="none"/>
          <w:u w:val="none" w:color="000000"/>
          <w:lang w:val="zh-Hans" w:eastAsia="zh-Hans"/>
        </w:rPr>
        <w:t>在工程项目竣工前，承包人按专用合同条款第3.7条提供履约担保的，发包人不得同时预留工程质量保证金。</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15.3.1 承包人提供质量保证金的方式</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质量保证金采用以下第</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种方式：</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（1）质量保证金保函，保证金额为：</w:t>
      </w:r>
      <w:r>
        <w:rPr>
          <w:rFonts w:hint="eastAsia" w:ascii="宋体" w:hAnsi="宋体"/>
          <w:color w:val="auto"/>
          <w:szCs w:val="21"/>
          <w:highlight w:val="none"/>
          <w:u w:val="single"/>
        </w:rPr>
        <w:t xml:space="preserve">      /   </w:t>
      </w:r>
      <w:r>
        <w:rPr>
          <w:rFonts w:hint="eastAsia" w:ascii="宋体" w:hAnsi="宋体"/>
          <w:color w:val="auto"/>
          <w:szCs w:val="21"/>
          <w:highlight w:val="none"/>
        </w:rPr>
        <w:t xml:space="preserve">； </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%的工程款；</w:t>
      </w:r>
    </w:p>
    <w:p>
      <w:pPr>
        <w:autoSpaceDE w:val="0"/>
        <w:autoSpaceDN w:val="0"/>
        <w:adjustRightInd w:val="0"/>
        <w:snapToGrid w:val="0"/>
        <w:spacing w:line="360" w:lineRule="auto"/>
        <w:ind w:firstLine="420" w:firstLineChars="200"/>
        <w:jc w:val="left"/>
        <w:rPr>
          <w:rFonts w:hint="eastAsia" w:ascii="宋体" w:hAnsi="宋体"/>
          <w:b/>
          <w:color w:val="auto"/>
          <w:szCs w:val="21"/>
          <w:highlight w:val="none"/>
          <w:u w:val="single"/>
        </w:rPr>
      </w:pPr>
      <w:r>
        <w:rPr>
          <w:rFonts w:hint="eastAsia" w:ascii="宋体" w:hAnsi="宋体"/>
          <w:color w:val="auto"/>
          <w:szCs w:val="21"/>
          <w:highlight w:val="none"/>
        </w:rPr>
        <w:t>（3）其他方式:</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15.3.2 质量保证金的扣留 </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质量保证金的扣留采取以下第</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种方式：</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（1）在支付工程进度款时逐次扣留，在此情形下，质量保证金的计算基数不包括预付款的支付、扣回以及价格调整的金额；</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（2）工程竣工结算时一次性扣留质量保证金；</w:t>
      </w:r>
    </w:p>
    <w:p>
      <w:pPr>
        <w:pStyle w:val="966"/>
        <w:adjustRightInd w:val="0"/>
        <w:snapToGrid w:val="0"/>
        <w:spacing w:before="0" w:after="0" w:line="360" w:lineRule="auto"/>
        <w:ind w:firstLine="420"/>
        <w:rPr>
          <w:rFonts w:hint="eastAsia" w:ascii="宋体" w:hAnsi="宋体"/>
          <w:b/>
          <w:color w:val="auto"/>
          <w:szCs w:val="21"/>
          <w:highlight w:val="none"/>
        </w:rPr>
      </w:pPr>
      <w:r>
        <w:rPr>
          <w:rFonts w:hint="eastAsia" w:cs="Times New Roman"/>
          <w:color w:val="auto"/>
          <w:sz w:val="21"/>
          <w:szCs w:val="21"/>
          <w:highlight w:val="none"/>
        </w:rPr>
        <w:t>（3）其他扣留方式</w:t>
      </w:r>
      <w:r>
        <w:rPr>
          <w:rFonts w:hint="eastAsia" w:cs="Times New Roman"/>
          <w:color w:val="auto"/>
          <w:sz w:val="21"/>
          <w:szCs w:val="21"/>
          <w:highlight w:val="none"/>
          <w:lang w:eastAsia="zh-CN"/>
        </w:rPr>
        <w:t>：</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15.4保修</w:t>
      </w:r>
    </w:p>
    <w:p>
      <w:pPr>
        <w:adjustRightInd w:val="0"/>
        <w:snapToGrid w:val="0"/>
        <w:spacing w:line="360" w:lineRule="auto"/>
        <w:ind w:firstLine="409" w:firstLineChars="195"/>
        <w:jc w:val="left"/>
        <w:rPr>
          <w:rFonts w:hint="eastAsia" w:ascii="宋体" w:hAnsi="宋体"/>
          <w:color w:val="auto"/>
          <w:szCs w:val="21"/>
          <w:highlight w:val="none"/>
        </w:rPr>
      </w:pPr>
      <w:r>
        <w:rPr>
          <w:rFonts w:hint="eastAsia" w:ascii="宋体" w:hAnsi="宋体"/>
          <w:color w:val="auto"/>
          <w:szCs w:val="21"/>
          <w:highlight w:val="none"/>
        </w:rPr>
        <w:t>15.4.1 保修责任</w:t>
      </w:r>
    </w:p>
    <w:p>
      <w:pPr>
        <w:adjustRightInd w:val="0"/>
        <w:snapToGrid w:val="0"/>
        <w:spacing w:line="360" w:lineRule="auto"/>
        <w:ind w:firstLine="409" w:firstLineChars="195"/>
        <w:jc w:val="left"/>
        <w:rPr>
          <w:rFonts w:hint="eastAsia" w:ascii="宋体" w:hAnsi="宋体"/>
          <w:color w:val="auto"/>
          <w:szCs w:val="21"/>
          <w:highlight w:val="none"/>
        </w:rPr>
      </w:pPr>
      <w:r>
        <w:rPr>
          <w:rFonts w:hint="eastAsia" w:ascii="宋体" w:hAnsi="宋体"/>
          <w:color w:val="auto"/>
          <w:szCs w:val="21"/>
          <w:highlight w:val="none"/>
        </w:rPr>
        <w:t>工程保修期为：</w:t>
      </w:r>
      <w:r>
        <w:rPr>
          <w:rFonts w:hint="eastAsia" w:ascii="宋体" w:hAnsi="宋体"/>
          <w:color w:val="auto"/>
          <w:szCs w:val="21"/>
          <w:highlight w:val="none"/>
          <w:u w:val="single"/>
        </w:rPr>
        <w:t xml:space="preserve">  按工程质量保修书规定执行 </w:t>
      </w:r>
      <w:r>
        <w:rPr>
          <w:rFonts w:hint="eastAsia" w:ascii="宋体" w:hAnsi="宋体"/>
          <w:color w:val="auto"/>
          <w:szCs w:val="21"/>
          <w:highlight w:val="none"/>
        </w:rPr>
        <w:t>。</w:t>
      </w:r>
    </w:p>
    <w:p>
      <w:pPr>
        <w:adjustRightInd w:val="0"/>
        <w:snapToGrid w:val="0"/>
        <w:spacing w:line="360" w:lineRule="auto"/>
        <w:ind w:firstLine="411" w:firstLineChars="195"/>
        <w:jc w:val="left"/>
        <w:rPr>
          <w:rFonts w:hint="eastAsia" w:ascii="宋体" w:hAnsi="宋体"/>
          <w:b/>
          <w:bCs/>
          <w:color w:val="auto"/>
          <w:szCs w:val="21"/>
          <w:highlight w:val="none"/>
        </w:rPr>
      </w:pPr>
      <w:r>
        <w:rPr>
          <w:rFonts w:hint="eastAsia" w:ascii="宋体" w:hAnsi="宋体"/>
          <w:b/>
          <w:bCs/>
          <w:color w:val="auto"/>
          <w:szCs w:val="21"/>
          <w:highlight w:val="none"/>
        </w:rPr>
        <w:t>缺陷责任期满后，仍须提供保修服务，直至质保期结束，费用由承包人承担。</w:t>
      </w:r>
    </w:p>
    <w:p>
      <w:pPr>
        <w:adjustRightInd w:val="0"/>
        <w:snapToGrid w:val="0"/>
        <w:spacing w:line="360" w:lineRule="auto"/>
        <w:ind w:firstLine="422" w:firstLineChars="200"/>
        <w:jc w:val="left"/>
        <w:rPr>
          <w:rFonts w:hint="eastAsia" w:ascii="宋体" w:hAnsi="宋体"/>
          <w:b/>
          <w:color w:val="auto"/>
          <w:szCs w:val="21"/>
          <w:highlight w:val="none"/>
          <w:u w:val="single"/>
        </w:rPr>
      </w:pPr>
      <w:r>
        <w:rPr>
          <w:rFonts w:hint="eastAsia" w:ascii="宋体" w:hAnsi="宋体"/>
          <w:b/>
          <w:color w:val="auto"/>
          <w:szCs w:val="21"/>
          <w:highlight w:val="none"/>
          <w:u w:val="single"/>
        </w:rPr>
        <w:t>在国家规定的保修期外，如本工程出现质量问题系由承包人偷工减料或使用不合格原材料、成品、半成品（不包括甲供材料）引起的，发包人有权无限期追索，承包人应承担由此造成的一切损失。</w:t>
      </w:r>
    </w:p>
    <w:p>
      <w:pPr>
        <w:adjustRightInd w:val="0"/>
        <w:snapToGrid w:val="0"/>
        <w:spacing w:line="360" w:lineRule="auto"/>
        <w:ind w:firstLine="409" w:firstLineChars="195"/>
        <w:jc w:val="left"/>
        <w:rPr>
          <w:rFonts w:hint="eastAsia" w:ascii="宋体" w:hAnsi="宋体"/>
          <w:color w:val="auto"/>
          <w:szCs w:val="21"/>
          <w:highlight w:val="none"/>
        </w:rPr>
      </w:pPr>
      <w:r>
        <w:rPr>
          <w:rFonts w:hint="eastAsia" w:ascii="宋体" w:hAnsi="宋体"/>
          <w:color w:val="auto"/>
          <w:szCs w:val="21"/>
          <w:highlight w:val="none"/>
        </w:rPr>
        <w:t>15.4.3 修复通知</w:t>
      </w:r>
    </w:p>
    <w:p>
      <w:pPr>
        <w:adjustRightInd w:val="0"/>
        <w:snapToGrid w:val="0"/>
        <w:spacing w:line="360" w:lineRule="auto"/>
        <w:ind w:firstLine="409" w:firstLineChars="195"/>
        <w:jc w:val="left"/>
        <w:rPr>
          <w:rFonts w:hint="eastAsia" w:ascii="宋体" w:hAnsi="宋体"/>
          <w:color w:val="auto"/>
          <w:szCs w:val="21"/>
          <w:highlight w:val="none"/>
          <w:u w:val="single"/>
        </w:rPr>
      </w:pPr>
      <w:r>
        <w:rPr>
          <w:rFonts w:hint="eastAsia" w:ascii="宋体" w:hAnsi="宋体"/>
          <w:color w:val="auto"/>
          <w:szCs w:val="21"/>
          <w:highlight w:val="none"/>
        </w:rPr>
        <w:t>承包人收到保修通知并到达工程现场的合理时间：</w:t>
      </w:r>
      <w:r>
        <w:rPr>
          <w:rFonts w:hint="eastAsia" w:ascii="宋体" w:hAnsi="宋体"/>
          <w:color w:val="auto"/>
          <w:szCs w:val="21"/>
          <w:highlight w:val="none"/>
          <w:u w:val="single"/>
        </w:rPr>
        <w:t xml:space="preserve">24小时内   </w:t>
      </w:r>
      <w:r>
        <w:rPr>
          <w:rFonts w:hint="eastAsia" w:ascii="宋体"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16. 违约</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16.1 发包人违约</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16.1.1发包人违约的情形</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发包人违约的其他情形：</w:t>
      </w:r>
      <w:r>
        <w:rPr>
          <w:rFonts w:hint="eastAsia" w:ascii="宋体" w:hAnsi="宋体"/>
          <w:color w:val="auto"/>
          <w:szCs w:val="21"/>
          <w:highlight w:val="none"/>
          <w:u w:val="single"/>
        </w:rPr>
        <w:t>按通用条款执行</w:t>
      </w:r>
      <w:r>
        <w:rPr>
          <w:rFonts w:hint="eastAsia" w:ascii="宋体" w:hAnsi="宋体"/>
          <w:color w:val="auto"/>
          <w:szCs w:val="21"/>
          <w:highlight w:val="none"/>
        </w:rPr>
        <w:t>。</w:t>
      </w:r>
    </w:p>
    <w:p>
      <w:pPr>
        <w:adjustRightInd w:val="0"/>
        <w:snapToGrid w:val="0"/>
        <w:spacing w:line="360" w:lineRule="auto"/>
        <w:ind w:left="1050" w:hanging="1050" w:hangingChars="500"/>
        <w:jc w:val="left"/>
        <w:rPr>
          <w:rFonts w:hint="eastAsia" w:ascii="宋体" w:hAnsi="宋体"/>
          <w:color w:val="auto"/>
          <w:szCs w:val="21"/>
          <w:highlight w:val="none"/>
        </w:rPr>
      </w:pPr>
      <w:r>
        <w:rPr>
          <w:rFonts w:hint="eastAsia" w:ascii="宋体" w:hAnsi="宋体"/>
          <w:color w:val="auto"/>
          <w:szCs w:val="21"/>
          <w:highlight w:val="none"/>
        </w:rPr>
        <w:t xml:space="preserve">    16.1.2 发包人违约的责任</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发包人违约责任的承担方式和计算方法：</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（1）因发包人原因未能在计划开工日期前7天内下达开工通知的违约责任：</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（2）因发包人原因未能按合同约定支付合同价款的违约责任：</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（3）发包人违反第10.1款〔变更的范围〕第（2）项约定，自行实施被取消的工作或转由他人实施的违约责任：</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（4）发包人提供的材料、工程设备的规格、数量或质量不符合合同约定，或因发包人原因导致交货日期延误或交货地点变更等情况的违约责任：</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（5）因发包人违反合同约定造成暂停施工的违约责任：</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（6）发包人无正当理由没有在约定期限内发出复工指示，导致承包人无法复工的违约责任：</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（7）其他：</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16.1.3 因发包人违约解除合同</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承包人按16.1.1项〔发包人违约的情形〕约定暂停施工满</w:t>
      </w:r>
      <w:r>
        <w:rPr>
          <w:rFonts w:hint="eastAsia" w:ascii="宋体" w:hAnsi="宋体"/>
          <w:color w:val="auto"/>
          <w:szCs w:val="21"/>
          <w:highlight w:val="none"/>
          <w:u w:val="single"/>
        </w:rPr>
        <w:t xml:space="preserve">  /  </w:t>
      </w:r>
      <w:r>
        <w:rPr>
          <w:rFonts w:hint="eastAsia" w:ascii="宋体" w:hAnsi="宋体"/>
          <w:color w:val="auto"/>
          <w:szCs w:val="21"/>
          <w:highlight w:val="none"/>
        </w:rPr>
        <w:t>天后发包人仍不纠正其违约行为并致使合同目的不能实现的，承包人有权解除合同。</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16.2 承包人违约</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16.2.1 承包人违约的情形</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承包人违约的其他情形：</w:t>
      </w:r>
      <w:r>
        <w:rPr>
          <w:rFonts w:hint="eastAsia" w:ascii="宋体" w:hAnsi="宋体"/>
          <w:color w:val="auto"/>
          <w:szCs w:val="21"/>
          <w:highlight w:val="none"/>
          <w:u w:val="single"/>
        </w:rPr>
        <w:t xml:space="preserve">   因承包人原因工程最终验收结果未达到合格标准，无条件返工，直至验收合格，工期不得顺延；若承包人不返工，发包人有权委托第三方进行返工，费用由承包人承担,发包人有权直接从工程款中扣除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16.2.2承包人违约的责任</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u w:val="single"/>
        </w:rPr>
        <w:t>承包人违约责任的承担方式和计算方法：承担其违约行为而增加的费用和（或）延误的工期，并承担合同所约定的违约金。</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16.2.3 因承包人违约解除合同</w:t>
      </w:r>
    </w:p>
    <w:p>
      <w:pPr>
        <w:adjustRightInd w:val="0"/>
        <w:snapToGrid w:val="0"/>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rPr>
        <w:t>关于承包人违约解除合同的特别约定：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发包人继续使用承包人在施工现场的材料、设备、临时工程、承包人文件和由承包人或以其名义编制的其他文件的费用承担方式：</w:t>
      </w:r>
      <w:r>
        <w:rPr>
          <w:rFonts w:hint="eastAsia" w:ascii="宋体" w:hAnsi="宋体"/>
          <w:color w:val="auto"/>
          <w:szCs w:val="21"/>
          <w:highlight w:val="none"/>
          <w:u w:val="single"/>
        </w:rPr>
        <w:t xml:space="preserve">     费用另行约定，由发包人承担       </w:t>
      </w:r>
      <w:r>
        <w:rPr>
          <w:rFonts w:hint="eastAsia" w:ascii="宋体"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 xml:space="preserve">17. 不可抗力 </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17.1 不可抗力的确认</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 xml:space="preserve">除通用合同条款约定的不可抗力事件之外，视为不可抗力的其他情形： </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17.4 因不可抗力解除合同</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合同解除后，发包人应在商定或确定发包人应支付款项后</w:t>
      </w:r>
      <w:r>
        <w:rPr>
          <w:rFonts w:hint="eastAsia" w:ascii="宋体" w:hAnsi="宋体"/>
          <w:color w:val="auto"/>
          <w:szCs w:val="21"/>
          <w:highlight w:val="none"/>
          <w:u w:val="single"/>
        </w:rPr>
        <w:t xml:space="preserve">   28  </w:t>
      </w:r>
      <w:r>
        <w:rPr>
          <w:rFonts w:hint="eastAsia" w:ascii="宋体" w:hAnsi="宋体"/>
          <w:color w:val="auto"/>
          <w:szCs w:val="21"/>
          <w:highlight w:val="none"/>
        </w:rPr>
        <w:t>天内完成款项的支付。</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18. 保险</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18.1 工程保险</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关于工程保险的特别约定：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18.3 其他保险</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关于其他保险的约定：</w:t>
      </w:r>
      <w:r>
        <w:rPr>
          <w:rFonts w:hint="eastAsia" w:ascii="宋体" w:hAnsi="宋体"/>
          <w:color w:val="auto"/>
          <w:szCs w:val="21"/>
          <w:highlight w:val="none"/>
          <w:u w:val="single"/>
        </w:rPr>
        <w:t xml:space="preserve">承包人为建设工程和施工场地内的自有人员设备及第三方生命财产办理保险并支付保险费用，费用已包含在总价内。施工期间所发生的一切与本工程有关的承包人及第三方的人员、财产等意外伤害、损失，由承包人承担全部责任和费用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承包人是否应为其施工设备等办理财产保险：</w:t>
      </w:r>
      <w:r>
        <w:rPr>
          <w:rFonts w:hint="eastAsia" w:ascii="宋体" w:hAnsi="宋体"/>
          <w:color w:val="auto"/>
          <w:szCs w:val="21"/>
          <w:highlight w:val="none"/>
          <w:u w:val="single"/>
        </w:rPr>
        <w:t xml:space="preserve">       是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18.7 通知义务</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关于变更保险合同时的通知义务的约定：</w:t>
      </w:r>
      <w:r>
        <w:rPr>
          <w:rFonts w:hint="eastAsia" w:ascii="宋体" w:hAnsi="宋体"/>
          <w:color w:val="auto"/>
          <w:szCs w:val="21"/>
          <w:highlight w:val="none"/>
          <w:u w:val="single"/>
        </w:rPr>
        <w:t xml:space="preserve">    按通用条款执行  </w:t>
      </w:r>
      <w:r>
        <w:rPr>
          <w:rFonts w:hint="eastAsia" w:ascii="宋体" w:hAnsi="宋体"/>
          <w:color w:val="auto"/>
          <w:szCs w:val="21"/>
          <w:highlight w:val="none"/>
        </w:rPr>
        <w:t>。</w:t>
      </w:r>
    </w:p>
    <w:p>
      <w:pPr>
        <w:pStyle w:val="7"/>
        <w:numPr>
          <w:ilvl w:val="3"/>
          <w:numId w:val="0"/>
        </w:numPr>
        <w:adjustRightInd w:val="0"/>
        <w:snapToGrid w:val="0"/>
        <w:spacing w:line="360" w:lineRule="auto"/>
        <w:ind w:left="426"/>
        <w:rPr>
          <w:rFonts w:hint="eastAsia" w:ascii="宋体" w:hAnsi="宋体"/>
          <w:color w:val="auto"/>
          <w:sz w:val="21"/>
          <w:szCs w:val="21"/>
          <w:highlight w:val="none"/>
        </w:rPr>
      </w:pPr>
      <w:r>
        <w:rPr>
          <w:rFonts w:hint="eastAsia" w:ascii="宋体" w:hAnsi="宋体"/>
          <w:color w:val="auto"/>
          <w:sz w:val="21"/>
          <w:szCs w:val="21"/>
          <w:highlight w:val="none"/>
        </w:rPr>
        <w:t>20. 争议解决</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争议评审</w:t>
      </w:r>
    </w:p>
    <w:p>
      <w:pPr>
        <w:adjustRightInd w:val="0"/>
        <w:snapToGrid w:val="0"/>
        <w:spacing w:line="360" w:lineRule="auto"/>
        <w:ind w:left="149" w:leftChars="71" w:firstLine="315" w:firstLineChars="150"/>
        <w:jc w:val="left"/>
        <w:rPr>
          <w:rFonts w:hint="eastAsia" w:ascii="宋体" w:hAnsi="宋体"/>
          <w:color w:val="auto"/>
          <w:szCs w:val="21"/>
          <w:highlight w:val="none"/>
          <w:u w:val="single"/>
        </w:rPr>
      </w:pPr>
      <w:r>
        <w:rPr>
          <w:rFonts w:hint="eastAsia" w:ascii="宋体" w:hAnsi="宋体"/>
          <w:color w:val="auto"/>
          <w:szCs w:val="21"/>
          <w:highlight w:val="none"/>
        </w:rPr>
        <w:t>合同当事人是否同意将工程争议提交争议评审小组决定：</w:t>
      </w:r>
      <w:r>
        <w:rPr>
          <w:rFonts w:hint="eastAsia" w:ascii="宋体" w:hAnsi="宋体"/>
          <w:color w:val="auto"/>
          <w:szCs w:val="21"/>
          <w:highlight w:val="none"/>
          <w:u w:val="single"/>
        </w:rPr>
        <w:t xml:space="preserve">  否  </w:t>
      </w:r>
      <w:r>
        <w:rPr>
          <w:rFonts w:hint="eastAsia" w:ascii="宋体" w:hAnsi="宋体"/>
          <w:color w:val="auto"/>
          <w:szCs w:val="21"/>
          <w:highlight w:val="none"/>
        </w:rPr>
        <w:t xml:space="preserve">。  </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20.3.1 争议评审小组的确定</w:t>
      </w:r>
    </w:p>
    <w:p>
      <w:pPr>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争议评审小组成员的确定：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选定争议评审员的期限：</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争议评审小组成员的报酬承担方式：</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其他事项的约定：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20.3.2 争议评审小组的决定</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合同当事人关于本项的约定：</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20.4仲裁或诉讼</w:t>
      </w:r>
    </w:p>
    <w:p>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因合同及合同有关事项发生的争议，双方当事人一致同意提交</w:t>
      </w:r>
      <w:r>
        <w:rPr>
          <w:rFonts w:hint="eastAsia" w:ascii="宋体" w:hAnsi="宋体"/>
          <w:b/>
          <w:color w:val="auto"/>
          <w:szCs w:val="21"/>
          <w:highlight w:val="none"/>
        </w:rPr>
        <w:t>杭州仲裁委员会申请仲裁</w:t>
      </w:r>
      <w:r>
        <w:rPr>
          <w:rFonts w:hint="eastAsia" w:ascii="宋体" w:hAnsi="宋体"/>
          <w:color w:val="auto"/>
          <w:szCs w:val="21"/>
          <w:highlight w:val="none"/>
        </w:rPr>
        <w:t>；但双方当事人特别约定下列解决方式中第</w:t>
      </w:r>
      <w:r>
        <w:rPr>
          <w:rFonts w:hint="eastAsia" w:ascii="宋体" w:hAnsi="宋体"/>
          <w:color w:val="auto"/>
          <w:szCs w:val="21"/>
          <w:highlight w:val="none"/>
          <w:u w:val="single"/>
        </w:rPr>
        <w:t xml:space="preserve">   （2） </w:t>
      </w:r>
      <w:r>
        <w:rPr>
          <w:rFonts w:hint="eastAsia" w:ascii="宋体" w:hAnsi="宋体"/>
          <w:color w:val="auto"/>
          <w:szCs w:val="21"/>
          <w:highlight w:val="none"/>
        </w:rPr>
        <w:t>种方式解决争议的除外：</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（1）提交</w:t>
      </w:r>
      <w:r>
        <w:rPr>
          <w:rFonts w:hint="eastAsia" w:ascii="宋体" w:hAnsi="宋体"/>
          <w:color w:val="auto"/>
          <w:szCs w:val="21"/>
          <w:highlight w:val="none"/>
          <w:u w:val="single"/>
        </w:rPr>
        <w:t xml:space="preserve">         /            </w:t>
      </w:r>
      <w:r>
        <w:rPr>
          <w:rFonts w:hint="eastAsia" w:ascii="宋体" w:hAnsi="宋体"/>
          <w:color w:val="auto"/>
          <w:szCs w:val="21"/>
          <w:highlight w:val="none"/>
        </w:rPr>
        <w:t>仲裁委员会申请仲裁；</w:t>
      </w: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（2）依法向</w:t>
      </w:r>
      <w:r>
        <w:rPr>
          <w:rFonts w:hint="eastAsia" w:ascii="宋体" w:hAnsi="宋体"/>
          <w:color w:val="auto"/>
          <w:szCs w:val="21"/>
          <w:highlight w:val="none"/>
          <w:u w:val="single"/>
        </w:rPr>
        <w:t xml:space="preserve">     发包人所在区   </w:t>
      </w:r>
      <w:r>
        <w:rPr>
          <w:rFonts w:hint="eastAsia" w:ascii="宋体" w:hAnsi="宋体"/>
          <w:color w:val="auto"/>
          <w:szCs w:val="21"/>
          <w:highlight w:val="none"/>
        </w:rPr>
        <w:t>人民法院起诉。</w:t>
      </w:r>
    </w:p>
    <w:p>
      <w:pPr>
        <w:pStyle w:val="34"/>
        <w:adjustRightInd w:val="0"/>
        <w:snapToGrid w:val="0"/>
        <w:spacing w:line="360" w:lineRule="auto"/>
        <w:ind w:firstLine="525" w:firstLineChars="250"/>
        <w:rPr>
          <w:rFonts w:hint="eastAsia" w:hAnsi="宋体"/>
          <w:snapToGrid w:val="0"/>
          <w:color w:val="auto"/>
          <w:sz w:val="21"/>
          <w:szCs w:val="21"/>
          <w:highlight w:val="none"/>
        </w:rPr>
      </w:pPr>
      <w:r>
        <w:rPr>
          <w:rFonts w:hint="eastAsia" w:hAnsi="宋体"/>
          <w:snapToGrid w:val="0"/>
          <w:color w:val="auto"/>
          <w:sz w:val="21"/>
          <w:szCs w:val="21"/>
          <w:highlight w:val="none"/>
        </w:rPr>
        <w:t>21．其他补充事项的约定</w:t>
      </w:r>
    </w:p>
    <w:p>
      <w:pPr>
        <w:pStyle w:val="34"/>
        <w:adjustRightInd w:val="0"/>
        <w:snapToGrid w:val="0"/>
        <w:spacing w:line="360" w:lineRule="auto"/>
        <w:ind w:firstLine="525" w:firstLineChars="250"/>
        <w:rPr>
          <w:rFonts w:hint="eastAsia" w:hAnsi="宋体"/>
          <w:snapToGrid w:val="0"/>
          <w:color w:val="auto"/>
          <w:sz w:val="21"/>
          <w:szCs w:val="21"/>
          <w:highlight w:val="none"/>
        </w:rPr>
      </w:pPr>
      <w:r>
        <w:rPr>
          <w:rFonts w:hint="eastAsia" w:hAnsi="宋体"/>
          <w:snapToGrid w:val="0"/>
          <w:color w:val="auto"/>
          <w:sz w:val="21"/>
          <w:szCs w:val="21"/>
          <w:highlight w:val="none"/>
        </w:rPr>
        <w:t>21.1合同双方确认，本合同及本合同约定的其它文件组成部分中的各项约定都是通过法定招标过程形成的合法成果，不存在与采购文件和中标人响应文件实质性内容不一致的条款。如果存在任何此类不一致的条款，也不是合同双方真实意思的表示，对合同双方不构成任何合同或法律约束力。</w:t>
      </w:r>
    </w:p>
    <w:p>
      <w:pPr>
        <w:pStyle w:val="34"/>
        <w:adjustRightInd w:val="0"/>
        <w:snapToGrid w:val="0"/>
        <w:spacing w:line="360" w:lineRule="auto"/>
        <w:ind w:firstLine="420" w:firstLineChars="200"/>
        <w:rPr>
          <w:rFonts w:hint="eastAsia" w:hAnsi="宋体"/>
          <w:snapToGrid w:val="0"/>
          <w:color w:val="auto"/>
          <w:sz w:val="21"/>
          <w:szCs w:val="21"/>
          <w:highlight w:val="none"/>
        </w:rPr>
      </w:pPr>
      <w:r>
        <w:rPr>
          <w:rFonts w:hint="eastAsia" w:hAnsi="宋体"/>
          <w:snapToGrid w:val="0"/>
          <w:color w:val="auto"/>
          <w:sz w:val="21"/>
          <w:szCs w:val="21"/>
          <w:highlight w:val="none"/>
        </w:rPr>
        <w:t>21.2发包人有权对招标范围内的分部分项内容进行调整，承包人应无条件响应发包人要求。</w:t>
      </w:r>
    </w:p>
    <w:p>
      <w:pPr>
        <w:autoSpaceDE w:val="0"/>
        <w:autoSpaceDN w:val="0"/>
        <w:adjustRightInd w:val="0"/>
        <w:snapToGrid w:val="0"/>
        <w:spacing w:line="360" w:lineRule="auto"/>
        <w:ind w:firstLine="405"/>
        <w:jc w:val="left"/>
        <w:rPr>
          <w:rFonts w:hint="eastAsia" w:ascii="宋体" w:hAnsi="宋体"/>
          <w:color w:val="auto"/>
          <w:szCs w:val="21"/>
          <w:highlight w:val="none"/>
        </w:rPr>
      </w:pPr>
      <w:r>
        <w:rPr>
          <w:rFonts w:hint="eastAsia" w:ascii="宋体" w:hAnsi="宋体"/>
          <w:color w:val="auto"/>
          <w:szCs w:val="21"/>
          <w:highlight w:val="none"/>
        </w:rPr>
        <w:t>21.3承包人未按合同约定履行义务，造成工程质量低下、进度迟缓、管理混乱，发包人有权终止合同，没收全部履约保证金，承包人赔偿发包人因此造成的损失且依法承担相应的法律责任；对工程实施出现的质量问题，承包人按照发包人的要求无条件地进行限期整改，达到质量要求；因整改造成工期延误，由承包人承担一切责任。</w:t>
      </w:r>
    </w:p>
    <w:p>
      <w:pPr>
        <w:pStyle w:val="34"/>
        <w:adjustRightInd w:val="0"/>
        <w:snapToGrid w:val="0"/>
        <w:spacing w:line="360" w:lineRule="auto"/>
        <w:ind w:firstLine="420" w:firstLineChars="200"/>
        <w:rPr>
          <w:rFonts w:hint="eastAsia" w:hAnsi="宋体"/>
          <w:snapToGrid w:val="0"/>
          <w:color w:val="auto"/>
          <w:sz w:val="21"/>
          <w:szCs w:val="21"/>
          <w:highlight w:val="none"/>
        </w:rPr>
      </w:pPr>
      <w:r>
        <w:rPr>
          <w:rFonts w:hint="eastAsia" w:hAnsi="宋体"/>
          <w:snapToGrid w:val="0"/>
          <w:color w:val="auto"/>
          <w:sz w:val="21"/>
          <w:szCs w:val="21"/>
          <w:highlight w:val="none"/>
        </w:rPr>
        <w:t>21.4承包人需按响应文件的承诺及时派驻现场工程技术、管理人员，尤其是项目经理、技术负责人、施工员、安全员、质检员、材料员等相关人员在合同实施过程中应按响应文件的承诺到岗到位，到岗率不低于80%（按每月25 天，每天工作8 小时考勤）。</w:t>
      </w:r>
    </w:p>
    <w:p>
      <w:pPr>
        <w:autoSpaceDE w:val="0"/>
        <w:autoSpaceDN w:val="0"/>
        <w:adjustRightInd w:val="0"/>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 xml:space="preserve">    21.5工程施工中所采取的必要技术措施费用承包人已自行考虑并在响应文件有实质性响应，自行补充项目列入措施项目清单报价中，如无补充项目，视作自愿优惠。</w:t>
      </w:r>
    </w:p>
    <w:p>
      <w:pPr>
        <w:autoSpaceDE w:val="0"/>
        <w:autoSpaceDN w:val="0"/>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21.6本工程严禁转包，如发生工程转包，除扣除履约保证金外，发包人有权中止合同并保留继续索赔的权利。</w:t>
      </w:r>
    </w:p>
    <w:p>
      <w:pPr>
        <w:autoSpaceDE w:val="0"/>
        <w:autoSpaceDN w:val="0"/>
        <w:adjustRightInd w:val="0"/>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 xml:space="preserve">     21.7公共及协调费用（如交通、市容、环保、噪音、排污、治安等费用以及因施工原因引起的相关部门应交纳费用）由承包人自行调研作为单项费用计入措施项目费中，否则视作优惠。</w:t>
      </w:r>
    </w:p>
    <w:p>
      <w:pPr>
        <w:autoSpaceDE w:val="0"/>
        <w:autoSpaceDN w:val="0"/>
        <w:adjustRightInd w:val="0"/>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 xml:space="preserve">     21.8大型机械施工进出场（安拆）费、施工排水等技术措施费请投标单位根据现场踏勘及结合自身施工组织设计，其费用计入措施费用项目。</w:t>
      </w:r>
    </w:p>
    <w:p>
      <w:pPr>
        <w:autoSpaceDE w:val="0"/>
        <w:autoSpaceDN w:val="0"/>
        <w:adjustRightInd w:val="0"/>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 xml:space="preserve">     21.9因受现场条件及工期等因素影响，施工期间不保证24 小时正常供电，因此而引起的工期及相关费用的损失由承包人自行负责，承包人应自备发电机，其费用计入措施项目费，中标后不作调整。</w:t>
      </w:r>
    </w:p>
    <w:p>
      <w:pPr>
        <w:autoSpaceDE w:val="0"/>
        <w:autoSpaceDN w:val="0"/>
        <w:adjustRightInd w:val="0"/>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21.10在工程保修期中，若发生质量问题，承包人应及时派专业人员维修，若承包人不及时维修，发包人有权自行维修，所发生的费用从承包人</w:t>
      </w:r>
      <w:r>
        <w:rPr>
          <w:rFonts w:hint="eastAsia" w:ascii="宋体" w:hAnsi="宋体"/>
          <w:color w:val="auto"/>
          <w:szCs w:val="21"/>
          <w:highlight w:val="none"/>
          <w:lang w:val="en-US" w:eastAsia="zh-CN"/>
        </w:rPr>
        <w:t>履约保证金</w:t>
      </w:r>
      <w:r>
        <w:rPr>
          <w:rFonts w:hint="eastAsia" w:ascii="宋体" w:hAnsi="宋体"/>
          <w:color w:val="auto"/>
          <w:szCs w:val="21"/>
          <w:highlight w:val="none"/>
        </w:rPr>
        <w:t>中扣除。</w:t>
      </w:r>
    </w:p>
    <w:p>
      <w:pPr>
        <w:autoSpaceDE w:val="0"/>
        <w:autoSpaceDN w:val="0"/>
        <w:adjustRightInd w:val="0"/>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21.11农民工工资的约定：承包人按工程合同价的2%交纳农民工工资支付保证金，如承包人不按规定支付农民工工资，发包人有权按杭州市建设行业农民工工资保证金管理规定执行，并按杭州市有关条例进行相应处罚。</w:t>
      </w:r>
    </w:p>
    <w:p>
      <w:pPr>
        <w:autoSpaceDE w:val="0"/>
        <w:autoSpaceDN w:val="0"/>
        <w:adjustRightInd w:val="0"/>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21.12承包人未按投标承诺投入施工所需的机械装备、材料和人员，影响工程正常进度和工程施工质量的违约责任，发包人有权扣除部分履约保证金。</w:t>
      </w:r>
    </w:p>
    <w:p>
      <w:pPr>
        <w:autoSpaceDE w:val="0"/>
        <w:autoSpaceDN w:val="0"/>
        <w:adjustRightInd w:val="0"/>
        <w:snapToGrid w:val="0"/>
        <w:spacing w:line="360" w:lineRule="auto"/>
        <w:ind w:firstLine="420"/>
        <w:jc w:val="left"/>
        <w:rPr>
          <w:rFonts w:hint="eastAsia" w:hAnsi="宋体"/>
          <w:color w:val="auto"/>
          <w:szCs w:val="21"/>
          <w:highlight w:val="none"/>
        </w:rPr>
      </w:pPr>
      <w:r>
        <w:rPr>
          <w:rFonts w:hint="eastAsia" w:ascii="宋体" w:hAnsi="宋体"/>
          <w:color w:val="auto"/>
          <w:szCs w:val="21"/>
          <w:highlight w:val="none"/>
        </w:rPr>
        <w:t>21.12主材的相关要求：承包人提供的施工材料必须全部符合绿色环保规定要求，不得使用任何三无产品。施工时，必须按照响应文件中确定的材料进行，未经发包人同意不得更换。</w:t>
      </w:r>
    </w:p>
    <w:p>
      <w:pPr>
        <w:pStyle w:val="34"/>
        <w:adjustRightInd w:val="0"/>
        <w:snapToGrid w:val="0"/>
        <w:spacing w:line="360" w:lineRule="auto"/>
        <w:ind w:firstLine="420"/>
        <w:rPr>
          <w:rFonts w:hint="eastAsia" w:hAnsi="宋体"/>
          <w:color w:val="auto"/>
          <w:szCs w:val="21"/>
          <w:highlight w:val="none"/>
        </w:rPr>
      </w:pPr>
      <w:r>
        <w:rPr>
          <w:rFonts w:hint="eastAsia"/>
          <w:b/>
          <w:bCs/>
          <w:color w:val="auto"/>
          <w:sz w:val="21"/>
          <w:szCs w:val="21"/>
          <w:highlight w:val="none"/>
          <w:lang w:eastAsia="zh-CN"/>
        </w:rPr>
        <w:t>注：本合同作为示范文本，具体以采购人与中标供应商所签定正式合同为准。</w:t>
      </w:r>
    </w:p>
    <w:p>
      <w:pPr>
        <w:pStyle w:val="34"/>
        <w:spacing w:line="440" w:lineRule="exact"/>
        <w:rPr>
          <w:rFonts w:hint="eastAsia"/>
          <w:b/>
          <w:bCs/>
          <w:color w:val="auto"/>
          <w:sz w:val="24"/>
          <w:szCs w:val="24"/>
          <w:highlight w:val="none"/>
        </w:rPr>
      </w:pPr>
      <w:r>
        <w:rPr>
          <w:rFonts w:ascii="仿宋_GB2312" w:eastAsia="仿宋_GB2312"/>
          <w:color w:val="auto"/>
          <w:sz w:val="24"/>
          <w:highlight w:val="none"/>
          <w:u w:val="single"/>
        </w:rPr>
        <w:br w:type="page"/>
      </w:r>
      <w:r>
        <w:rPr>
          <w:rFonts w:hint="eastAsia"/>
          <w:b/>
          <w:bCs/>
          <w:color w:val="auto"/>
          <w:sz w:val="24"/>
          <w:szCs w:val="24"/>
          <w:highlight w:val="none"/>
        </w:rPr>
        <w:t>附件1:</w:t>
      </w:r>
    </w:p>
    <w:p>
      <w:pPr>
        <w:adjustRightInd/>
        <w:spacing w:before="120" w:beforeLines="50" w:after="120" w:afterLines="50" w:line="288" w:lineRule="auto"/>
        <w:jc w:val="center"/>
        <w:rPr>
          <w:rFonts w:ascii="宋体" w:hAnsi="宋体"/>
          <w:snapToGrid w:val="0"/>
          <w:color w:val="auto"/>
          <w:kern w:val="0"/>
          <w:szCs w:val="21"/>
          <w:highlight w:val="none"/>
        </w:rPr>
      </w:pPr>
      <w:r>
        <w:rPr>
          <w:rFonts w:ascii="宋体" w:hAnsi="宋体"/>
          <w:snapToGrid w:val="0"/>
          <w:color w:val="auto"/>
          <w:kern w:val="0"/>
          <w:szCs w:val="21"/>
          <w:highlight w:val="none"/>
        </w:rPr>
        <w:t>工程质量保修书</w:t>
      </w:r>
    </w:p>
    <w:p>
      <w:pPr>
        <w:adjustRightInd/>
        <w:spacing w:line="288"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发包人（全称）：</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rPr>
        <w:t>　　承包人（全称）：</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rPr>
        <w:t>　　发包人和承包人根据《中华人民共和国建筑法》和《建设工程质量管理条例》，经协商一致就</w:t>
      </w:r>
      <w:r>
        <w:rPr>
          <w:rFonts w:ascii="宋体" w:hAnsi="宋体"/>
          <w:snapToGrid w:val="0"/>
          <w:color w:val="auto"/>
          <w:kern w:val="0"/>
          <w:szCs w:val="21"/>
          <w:highlight w:val="none"/>
          <w:u w:val="single"/>
        </w:rPr>
        <w:t xml:space="preserve">   </w:t>
      </w:r>
      <w:r>
        <w:rPr>
          <w:rFonts w:hint="eastAsia" w:ascii="宋体" w:hAnsi="宋体" w:cs="宋体"/>
          <w:b/>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（工程全称）签订工程质量保修书。</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rPr>
        <w:t>一、工程质量保修范围和内容</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rPr>
        <w:t>　　承包人在质量保修期内，按照有关法律规定和合同约定，承担工程质量保修责任。</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双方约定对施工承包范围内的所有内容实行保修</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rPr>
        <w:t>二、质量保修期</w:t>
      </w:r>
    </w:p>
    <w:p>
      <w:pPr>
        <w:adjustRightInd/>
        <w:spacing w:line="288"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根据《建设工程质量管理条例》及有关规定，工程的质量保修期如下：</w:t>
      </w:r>
    </w:p>
    <w:p>
      <w:pPr>
        <w:adjustRightInd/>
        <w:spacing w:line="288"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1．地基基础工程和主体结构工程为设计文件规定的工程合理使用年限；</w:t>
      </w:r>
    </w:p>
    <w:p>
      <w:pPr>
        <w:adjustRightInd/>
        <w:spacing w:line="288"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2．</w:t>
      </w:r>
      <w:r>
        <w:rPr>
          <w:rFonts w:ascii="宋体" w:hAnsi="宋体"/>
          <w:snapToGrid w:val="0"/>
          <w:color w:val="auto"/>
          <w:kern w:val="0"/>
          <w:szCs w:val="21"/>
          <w:highlight w:val="none"/>
        </w:rPr>
        <w:t>屋面防水工程、有防水要求的卫生间、房间和外墙面的防渗</w:t>
      </w:r>
      <w:r>
        <w:rPr>
          <w:rFonts w:hint="eastAsia" w:ascii="宋体" w:hAnsi="宋体"/>
          <w:snapToGrid w:val="0"/>
          <w:color w:val="auto"/>
          <w:kern w:val="0"/>
          <w:szCs w:val="21"/>
          <w:highlight w:val="none"/>
        </w:rPr>
        <w:t>为</w:t>
      </w:r>
      <w:r>
        <w:rPr>
          <w:rFonts w:hint="eastAsia" w:ascii="宋体" w:hAnsi="宋体"/>
          <w:snapToGrid w:val="0"/>
          <w:color w:val="auto"/>
          <w:kern w:val="0"/>
          <w:szCs w:val="21"/>
          <w:highlight w:val="none"/>
          <w:u w:val="single"/>
        </w:rPr>
        <w:t xml:space="preserve"> 5 </w:t>
      </w:r>
      <w:r>
        <w:rPr>
          <w:rFonts w:ascii="宋体" w:hAnsi="宋体"/>
          <w:snapToGrid w:val="0"/>
          <w:color w:val="auto"/>
          <w:kern w:val="0"/>
          <w:szCs w:val="21"/>
          <w:highlight w:val="none"/>
        </w:rPr>
        <w:t>年；</w:t>
      </w:r>
    </w:p>
    <w:p>
      <w:pPr>
        <w:adjustRightInd/>
        <w:spacing w:line="288"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3．</w:t>
      </w:r>
      <w:r>
        <w:rPr>
          <w:rFonts w:ascii="宋体" w:hAnsi="宋体"/>
          <w:snapToGrid w:val="0"/>
          <w:color w:val="auto"/>
          <w:kern w:val="0"/>
          <w:szCs w:val="21"/>
          <w:highlight w:val="none"/>
        </w:rPr>
        <w:t>装修工程为</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2 </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年；</w:t>
      </w:r>
    </w:p>
    <w:p>
      <w:pPr>
        <w:adjustRightInd/>
        <w:spacing w:line="288"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4．</w:t>
      </w:r>
      <w:r>
        <w:rPr>
          <w:rFonts w:ascii="宋体" w:hAnsi="宋体"/>
          <w:snapToGrid w:val="0"/>
          <w:color w:val="auto"/>
          <w:kern w:val="0"/>
          <w:szCs w:val="21"/>
          <w:highlight w:val="none"/>
        </w:rPr>
        <w:t>电气管线、给排水管道、设备安装工程为</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2</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年；</w:t>
      </w:r>
    </w:p>
    <w:p>
      <w:pPr>
        <w:adjustRightInd/>
        <w:spacing w:line="288"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5．</w:t>
      </w:r>
      <w:r>
        <w:rPr>
          <w:rFonts w:ascii="宋体" w:hAnsi="宋体"/>
          <w:snapToGrid w:val="0"/>
          <w:color w:val="auto"/>
          <w:kern w:val="0"/>
          <w:szCs w:val="21"/>
          <w:highlight w:val="none"/>
        </w:rPr>
        <w:t>供热与供冷系统为</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2</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个采暖期、供冷期；</w:t>
      </w:r>
    </w:p>
    <w:p>
      <w:pPr>
        <w:adjustRightInd/>
        <w:spacing w:line="288"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6．</w:t>
      </w:r>
      <w:r>
        <w:rPr>
          <w:rFonts w:ascii="宋体" w:hAnsi="宋体"/>
          <w:snapToGrid w:val="0"/>
          <w:color w:val="auto"/>
          <w:kern w:val="0"/>
          <w:szCs w:val="21"/>
          <w:highlight w:val="none"/>
        </w:rPr>
        <w:t>住宅小区内的给排水设施、道路等配套工程为</w:t>
      </w:r>
      <w:r>
        <w:rPr>
          <w:rFonts w:hint="eastAsia" w:ascii="宋体" w:hAnsi="宋体"/>
          <w:snapToGrid w:val="0"/>
          <w:color w:val="auto"/>
          <w:kern w:val="0"/>
          <w:szCs w:val="21"/>
          <w:highlight w:val="none"/>
          <w:u w:val="single"/>
        </w:rPr>
        <w:t>2</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年；</w:t>
      </w:r>
    </w:p>
    <w:p>
      <w:pPr>
        <w:adjustRightInd/>
        <w:spacing w:line="288"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7．</w:t>
      </w:r>
      <w:r>
        <w:rPr>
          <w:rFonts w:ascii="宋体" w:hAnsi="宋体"/>
          <w:snapToGrid w:val="0"/>
          <w:color w:val="auto"/>
          <w:kern w:val="0"/>
          <w:szCs w:val="21"/>
          <w:highlight w:val="none"/>
        </w:rPr>
        <w:t>其他项目保修期限约定如下：</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rPr>
        <w:t>。</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rPr>
        <w:t>　　质量保修期自工程竣工验收合格之日起计算。</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rPr>
        <w:t>三、缺陷责任期</w:t>
      </w:r>
    </w:p>
    <w:p>
      <w:pPr>
        <w:adjustRightInd/>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工程缺陷责任期为</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24 </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个月，缺陷责任期自</w:t>
      </w:r>
      <w:r>
        <w:rPr>
          <w:rFonts w:hint="eastAsia" w:ascii="宋体" w:hAnsi="宋体"/>
          <w:snapToGrid w:val="0"/>
          <w:color w:val="auto"/>
          <w:kern w:val="0"/>
          <w:szCs w:val="21"/>
          <w:highlight w:val="none"/>
        </w:rPr>
        <w:t>工程通过竣工验收合格之日</w:t>
      </w:r>
      <w:r>
        <w:rPr>
          <w:rFonts w:ascii="宋体" w:hAnsi="宋体"/>
          <w:snapToGrid w:val="0"/>
          <w:color w:val="auto"/>
          <w:kern w:val="0"/>
          <w:szCs w:val="21"/>
          <w:highlight w:val="none"/>
        </w:rPr>
        <w:t>起计算。单位工程先于全部工程进行验收，单位工程缺陷责任期自单位工程</w:t>
      </w:r>
      <w:r>
        <w:rPr>
          <w:rFonts w:hint="eastAsia" w:ascii="宋体" w:hAnsi="宋体"/>
          <w:snapToGrid w:val="0"/>
          <w:color w:val="auto"/>
          <w:kern w:val="0"/>
          <w:szCs w:val="21"/>
          <w:highlight w:val="none"/>
        </w:rPr>
        <w:t>验收合格之日</w:t>
      </w:r>
      <w:r>
        <w:rPr>
          <w:rFonts w:ascii="宋体" w:hAnsi="宋体"/>
          <w:snapToGrid w:val="0"/>
          <w:color w:val="auto"/>
          <w:kern w:val="0"/>
          <w:szCs w:val="21"/>
          <w:highlight w:val="none"/>
        </w:rPr>
        <w:t>起</w:t>
      </w:r>
      <w:r>
        <w:rPr>
          <w:rFonts w:hint="eastAsia" w:ascii="宋体" w:hAnsi="宋体"/>
          <w:snapToGrid w:val="0"/>
          <w:color w:val="auto"/>
          <w:kern w:val="0"/>
          <w:szCs w:val="21"/>
          <w:highlight w:val="none"/>
        </w:rPr>
        <w:t>计</w:t>
      </w:r>
      <w:r>
        <w:rPr>
          <w:rFonts w:ascii="宋体" w:hAnsi="宋体"/>
          <w:snapToGrid w:val="0"/>
          <w:color w:val="auto"/>
          <w:kern w:val="0"/>
          <w:szCs w:val="21"/>
          <w:highlight w:val="none"/>
        </w:rPr>
        <w:t>算。</w:t>
      </w:r>
    </w:p>
    <w:p>
      <w:pPr>
        <w:adjustRightInd/>
        <w:spacing w:line="288"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缺陷责任期终止后，发包人应退还剩余的质量保证金。</w:t>
      </w:r>
    </w:p>
    <w:p>
      <w:pPr>
        <w:adjustRightInd/>
        <w:spacing w:line="288" w:lineRule="auto"/>
        <w:rPr>
          <w:rFonts w:ascii="宋体" w:hAnsi="宋体"/>
          <w:snapToGrid w:val="0"/>
          <w:color w:val="auto"/>
          <w:kern w:val="0"/>
          <w:szCs w:val="21"/>
          <w:highlight w:val="none"/>
        </w:rPr>
      </w:pPr>
      <w:r>
        <w:rPr>
          <w:rFonts w:ascii="宋体" w:hAnsi="宋体"/>
          <w:snapToGrid w:val="0"/>
          <w:color w:val="auto"/>
          <w:kern w:val="0"/>
          <w:szCs w:val="21"/>
          <w:highlight w:val="none"/>
        </w:rPr>
        <w:t>四、质量保修责任</w:t>
      </w:r>
    </w:p>
    <w:p>
      <w:pPr>
        <w:adjustRightInd/>
        <w:spacing w:line="288" w:lineRule="auto"/>
        <w:ind w:left="105" w:leftChars="50" w:firstLine="430" w:firstLineChars="205"/>
        <w:rPr>
          <w:rFonts w:ascii="宋体" w:hAnsi="宋体"/>
          <w:snapToGrid w:val="0"/>
          <w:color w:val="auto"/>
          <w:kern w:val="0"/>
          <w:szCs w:val="21"/>
          <w:highlight w:val="none"/>
        </w:rPr>
      </w:pPr>
      <w:r>
        <w:rPr>
          <w:rFonts w:hint="eastAsia" w:ascii="宋体" w:hAnsi="宋体"/>
          <w:snapToGrid w:val="0"/>
          <w:color w:val="auto"/>
          <w:kern w:val="0"/>
          <w:szCs w:val="21"/>
          <w:highlight w:val="none"/>
        </w:rPr>
        <w:t>1．</w:t>
      </w:r>
      <w:r>
        <w:rPr>
          <w:rFonts w:ascii="宋体" w:hAnsi="宋体"/>
          <w:snapToGrid w:val="0"/>
          <w:color w:val="auto"/>
          <w:kern w:val="0"/>
          <w:szCs w:val="21"/>
          <w:highlight w:val="none"/>
        </w:rPr>
        <w:t>属于保修范围、内容的项目，承包人应当在接到保修通知之日起7天内派人保修。承包人不在约定期限内派人保修的，发包人可以委托他人修理。</w:t>
      </w:r>
    </w:p>
    <w:p>
      <w:pPr>
        <w:adjustRightInd/>
        <w:spacing w:line="300" w:lineRule="auto"/>
        <w:ind w:left="105" w:leftChars="50" w:firstLine="430" w:firstLineChars="205"/>
        <w:rPr>
          <w:rFonts w:ascii="宋体" w:hAnsi="宋体"/>
          <w:snapToGrid w:val="0"/>
          <w:color w:val="auto"/>
          <w:kern w:val="0"/>
          <w:szCs w:val="21"/>
          <w:highlight w:val="none"/>
        </w:rPr>
      </w:pPr>
      <w:r>
        <w:rPr>
          <w:rFonts w:hint="eastAsia" w:ascii="宋体" w:hAnsi="宋体"/>
          <w:snapToGrid w:val="0"/>
          <w:color w:val="auto"/>
          <w:kern w:val="0"/>
          <w:szCs w:val="21"/>
          <w:highlight w:val="none"/>
        </w:rPr>
        <w:t>2．</w:t>
      </w:r>
      <w:r>
        <w:rPr>
          <w:rFonts w:ascii="宋体" w:hAnsi="宋体"/>
          <w:snapToGrid w:val="0"/>
          <w:color w:val="auto"/>
          <w:kern w:val="0"/>
          <w:szCs w:val="21"/>
          <w:highlight w:val="none"/>
        </w:rPr>
        <w:t>发生紧急事故需抢修的，承包人在接到事故通知后，应当立即到达事故现场抢修。</w:t>
      </w:r>
    </w:p>
    <w:p>
      <w:pPr>
        <w:adjustRightInd/>
        <w:spacing w:line="300" w:lineRule="auto"/>
        <w:ind w:left="105" w:leftChars="50" w:firstLine="430" w:firstLineChars="205"/>
        <w:rPr>
          <w:rFonts w:ascii="宋体" w:hAnsi="宋体"/>
          <w:snapToGrid w:val="0"/>
          <w:color w:val="auto"/>
          <w:kern w:val="0"/>
          <w:szCs w:val="21"/>
          <w:highlight w:val="none"/>
        </w:rPr>
      </w:pPr>
      <w:r>
        <w:rPr>
          <w:rFonts w:hint="eastAsia" w:ascii="宋体" w:hAnsi="宋体"/>
          <w:snapToGrid w:val="0"/>
          <w:color w:val="auto"/>
          <w:kern w:val="0"/>
          <w:szCs w:val="21"/>
          <w:highlight w:val="none"/>
        </w:rPr>
        <w:t>3．</w:t>
      </w:r>
      <w:r>
        <w:rPr>
          <w:rFonts w:ascii="宋体" w:hAnsi="宋体"/>
          <w:snapToGrid w:val="0"/>
          <w:color w:val="auto"/>
          <w:kern w:val="0"/>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adjustRightInd/>
        <w:spacing w:line="300" w:lineRule="auto"/>
        <w:ind w:left="420" w:leftChars="200" w:firstLine="105" w:firstLineChars="50"/>
        <w:rPr>
          <w:rFonts w:ascii="宋体" w:hAnsi="宋体"/>
          <w:snapToGrid w:val="0"/>
          <w:color w:val="auto"/>
          <w:kern w:val="0"/>
          <w:szCs w:val="21"/>
          <w:highlight w:val="none"/>
        </w:rPr>
      </w:pPr>
      <w:r>
        <w:rPr>
          <w:rFonts w:hint="eastAsia" w:ascii="宋体" w:hAnsi="宋体"/>
          <w:snapToGrid w:val="0"/>
          <w:color w:val="auto"/>
          <w:kern w:val="0"/>
          <w:szCs w:val="21"/>
          <w:highlight w:val="none"/>
        </w:rPr>
        <w:t>4．</w:t>
      </w:r>
      <w:r>
        <w:rPr>
          <w:rFonts w:ascii="宋体" w:hAnsi="宋体"/>
          <w:snapToGrid w:val="0"/>
          <w:color w:val="auto"/>
          <w:kern w:val="0"/>
          <w:szCs w:val="21"/>
          <w:highlight w:val="none"/>
        </w:rPr>
        <w:t>质量保修完成后，由发包人组织验收。</w:t>
      </w: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五、保修费用</w:t>
      </w:r>
    </w:p>
    <w:p>
      <w:pPr>
        <w:adjustRightInd/>
        <w:spacing w:line="300" w:lineRule="auto"/>
        <w:ind w:firstLine="480"/>
        <w:rPr>
          <w:rFonts w:ascii="宋体" w:hAnsi="宋体"/>
          <w:snapToGrid w:val="0"/>
          <w:color w:val="auto"/>
          <w:kern w:val="0"/>
          <w:szCs w:val="21"/>
          <w:highlight w:val="none"/>
        </w:rPr>
      </w:pPr>
      <w:r>
        <w:rPr>
          <w:rFonts w:ascii="宋体" w:hAnsi="宋体"/>
          <w:snapToGrid w:val="0"/>
          <w:color w:val="auto"/>
          <w:kern w:val="0"/>
          <w:szCs w:val="21"/>
          <w:highlight w:val="none"/>
        </w:rPr>
        <w:t>保修费用由造成质量缺陷的责任方承担。</w:t>
      </w:r>
    </w:p>
    <w:p>
      <w:pPr>
        <w:adjustRightInd/>
        <w:spacing w:line="300" w:lineRule="auto"/>
        <w:rPr>
          <w:rFonts w:hint="eastAsia"/>
          <w:color w:val="auto"/>
          <w:sz w:val="21"/>
          <w:szCs w:val="21"/>
          <w:highlight w:val="none"/>
        </w:rPr>
      </w:pPr>
      <w:r>
        <w:rPr>
          <w:rFonts w:ascii="宋体" w:hAnsi="宋体"/>
          <w:b/>
          <w:snapToGrid w:val="0"/>
          <w:color w:val="auto"/>
          <w:kern w:val="0"/>
          <w:szCs w:val="21"/>
          <w:highlight w:val="none"/>
        </w:rPr>
        <w:t>六</w:t>
      </w:r>
      <w:r>
        <w:rPr>
          <w:rFonts w:ascii="宋体" w:hAnsi="宋体"/>
          <w:snapToGrid w:val="0"/>
          <w:color w:val="auto"/>
          <w:kern w:val="0"/>
          <w:szCs w:val="21"/>
          <w:highlight w:val="none"/>
        </w:rPr>
        <w:t>、双方约定的其他工程质量保修事项：</w:t>
      </w:r>
    </w:p>
    <w:p>
      <w:pPr>
        <w:pStyle w:val="966"/>
        <w:adjustRightInd w:val="0"/>
        <w:snapToGrid w:val="0"/>
        <w:spacing w:before="0" w:after="0" w:line="360" w:lineRule="auto"/>
        <w:ind w:firstLine="420"/>
        <w:rPr>
          <w:rFonts w:hint="eastAsia"/>
          <w:color w:val="auto"/>
          <w:sz w:val="21"/>
          <w:szCs w:val="21"/>
          <w:highlight w:val="none"/>
          <w:u w:val="single"/>
        </w:rPr>
      </w:pPr>
      <w:r>
        <w:rPr>
          <w:rFonts w:hint="eastAsia"/>
          <w:color w:val="auto"/>
          <w:sz w:val="21"/>
          <w:szCs w:val="21"/>
          <w:highlight w:val="none"/>
          <w:u w:val="single"/>
          <w:lang w:val="en-US" w:eastAsia="zh-CN"/>
        </w:rPr>
        <w:t>质量保证金</w:t>
      </w:r>
      <w:r>
        <w:rPr>
          <w:rFonts w:hint="eastAsia"/>
          <w:color w:val="auto"/>
          <w:sz w:val="21"/>
          <w:szCs w:val="21"/>
          <w:highlight w:val="none"/>
          <w:u w:val="single"/>
        </w:rPr>
        <w:t>在工程保修期满、备案、回访完成后，扣除相应的扣款（由于乙方维修不及时而甲方自行维修的费用）后，结清余款（无息）。</w:t>
      </w:r>
    </w:p>
    <w:p>
      <w:pPr>
        <w:pStyle w:val="966"/>
        <w:adjustRightInd w:val="0"/>
        <w:snapToGrid w:val="0"/>
        <w:spacing w:before="0" w:after="0" w:line="360" w:lineRule="auto"/>
        <w:ind w:firstLine="420"/>
        <w:rPr>
          <w:rFonts w:hint="eastAsia"/>
          <w:color w:val="auto"/>
          <w:sz w:val="21"/>
          <w:szCs w:val="21"/>
          <w:highlight w:val="none"/>
        </w:rPr>
      </w:pPr>
      <w:r>
        <w:rPr>
          <w:rFonts w:hint="eastAsia"/>
          <w:color w:val="auto"/>
          <w:sz w:val="21"/>
          <w:szCs w:val="21"/>
          <w:highlight w:val="none"/>
          <w:u w:val="single"/>
        </w:rPr>
        <w:t xml:space="preserve">甲方在保修期内发现质量问题并通知乙方，乙方应及时派专业人员进行维修，如乙方未及时派专业人员进行维修，甲方有权请其它人进行维修，由此产生的费用将从乙方的质量保修金中予以扣除，同时乙方将承担因维修延误给甲方造成的一切损失。 </w:t>
      </w:r>
    </w:p>
    <w:p>
      <w:pPr>
        <w:adjustRightInd/>
        <w:spacing w:line="300" w:lineRule="auto"/>
        <w:ind w:firstLine="399" w:firstLineChars="190"/>
        <w:rPr>
          <w:rFonts w:ascii="宋体" w:hAnsi="宋体"/>
          <w:snapToGrid w:val="0"/>
          <w:color w:val="auto"/>
          <w:kern w:val="0"/>
          <w:szCs w:val="21"/>
          <w:highlight w:val="none"/>
        </w:rPr>
      </w:pPr>
      <w:r>
        <w:rPr>
          <w:rFonts w:ascii="宋体" w:hAnsi="宋体"/>
          <w:snapToGrid w:val="0"/>
          <w:color w:val="auto"/>
          <w:kern w:val="0"/>
          <w:szCs w:val="21"/>
          <w:highlight w:val="none"/>
        </w:rPr>
        <w:t>工程质量保修书由发包人、承包人在工程竣工验收前共同签署，作为施工合同附件，其有效期限至保修期满。</w:t>
      </w:r>
    </w:p>
    <w:p>
      <w:pPr>
        <w:pStyle w:val="956"/>
        <w:snapToGrid w:val="0"/>
        <w:spacing w:before="0" w:after="0" w:line="360" w:lineRule="auto"/>
        <w:ind w:left="0" w:right="720" w:firstLine="420"/>
        <w:rPr>
          <w:rFonts w:hint="eastAsia" w:ascii="宋体" w:hAnsi="宋体"/>
          <w:color w:val="auto"/>
          <w:sz w:val="21"/>
          <w:szCs w:val="21"/>
          <w:highlight w:val="none"/>
        </w:rPr>
      </w:pPr>
    </w:p>
    <w:p>
      <w:pPr>
        <w:pStyle w:val="956"/>
        <w:snapToGrid w:val="0"/>
        <w:spacing w:before="0" w:after="0" w:line="360" w:lineRule="auto"/>
        <w:ind w:left="0" w:right="720" w:firstLine="420"/>
        <w:rPr>
          <w:rFonts w:ascii="宋体" w:hAnsi="宋体"/>
          <w:color w:val="auto"/>
          <w:sz w:val="21"/>
          <w:szCs w:val="21"/>
          <w:highlight w:val="none"/>
        </w:rPr>
      </w:pP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发包人(公章)：</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承包人(公章)：</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地  址：</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地  址：</w:t>
      </w:r>
      <w:r>
        <w:rPr>
          <w:rFonts w:ascii="宋体" w:hAnsi="宋体"/>
          <w:snapToGrid w:val="0"/>
          <w:color w:val="auto"/>
          <w:kern w:val="0"/>
          <w:szCs w:val="21"/>
          <w:highlight w:val="none"/>
          <w:u w:val="single"/>
        </w:rPr>
        <w:t>      </w:t>
      </w: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法定代表人(签字)：</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法定代表人(签字)：</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委托代理人(签字)：</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委托代理人(签字)：</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电  话：</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电  话：</w:t>
      </w:r>
      <w:r>
        <w:rPr>
          <w:rFonts w:ascii="宋体" w:hAnsi="宋体"/>
          <w:snapToGrid w:val="0"/>
          <w:color w:val="auto"/>
          <w:kern w:val="0"/>
          <w:szCs w:val="21"/>
          <w:highlight w:val="none"/>
          <w:u w:val="single"/>
        </w:rPr>
        <w:t xml:space="preserve">       </w:t>
      </w: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传  真：</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传  真：</w:t>
      </w:r>
      <w:r>
        <w:rPr>
          <w:rFonts w:ascii="宋体" w:hAnsi="宋体"/>
          <w:snapToGrid w:val="0"/>
          <w:color w:val="auto"/>
          <w:kern w:val="0"/>
          <w:szCs w:val="21"/>
          <w:highlight w:val="none"/>
          <w:u w:val="single"/>
        </w:rPr>
        <w:t>      </w:t>
      </w:r>
      <w:r>
        <w:rPr>
          <w:rFonts w:hint="eastAsia" w:ascii="宋体" w:hAnsi="宋体"/>
          <w:snapToGrid w:val="0"/>
          <w:color w:val="auto"/>
          <w:kern w:val="0"/>
          <w:szCs w:val="21"/>
          <w:highlight w:val="none"/>
          <w:u w:val="single"/>
        </w:rPr>
        <w:t xml:space="preserve"> </w:t>
      </w: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开户银行：</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开户银行：</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账  号：</w:t>
      </w:r>
      <w:r>
        <w:rPr>
          <w:rFonts w:ascii="宋体" w:hAnsi="宋体"/>
          <w:snapToGrid w:val="0"/>
          <w:color w:val="auto"/>
          <w:kern w:val="0"/>
          <w:szCs w:val="21"/>
          <w:highlight w:val="none"/>
          <w:u w:val="single"/>
        </w:rPr>
        <w:t>      </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账</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 xml:space="preserve"> 号：</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p>
    <w:p>
      <w:pPr>
        <w:adjustRightInd/>
        <w:spacing w:line="300" w:lineRule="auto"/>
        <w:rPr>
          <w:rFonts w:ascii="宋体" w:hAnsi="宋体"/>
          <w:snapToGrid w:val="0"/>
          <w:color w:val="auto"/>
          <w:kern w:val="0"/>
          <w:szCs w:val="21"/>
          <w:highlight w:val="none"/>
        </w:rPr>
      </w:pPr>
      <w:r>
        <w:rPr>
          <w:rFonts w:ascii="宋体" w:hAnsi="宋体"/>
          <w:snapToGrid w:val="0"/>
          <w:color w:val="auto"/>
          <w:kern w:val="0"/>
          <w:szCs w:val="21"/>
          <w:highlight w:val="none"/>
        </w:rPr>
        <w:t>邮政编码：</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邮政编码：</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 xml:space="preserve">              </w:t>
      </w:r>
    </w:p>
    <w:p>
      <w:pPr>
        <w:spacing w:line="360" w:lineRule="auto"/>
        <w:ind w:firstLine="420" w:firstLineChars="200"/>
        <w:rPr>
          <w:rFonts w:ascii="宋体" w:hAnsi="宋体"/>
          <w:color w:val="auto"/>
          <w:szCs w:val="21"/>
          <w:highlight w:val="none"/>
        </w:rPr>
      </w:pPr>
    </w:p>
    <w:p>
      <w:pPr>
        <w:pStyle w:val="34"/>
        <w:spacing w:line="440" w:lineRule="exact"/>
        <w:rPr>
          <w:rFonts w:hint="eastAsia"/>
          <w:b/>
          <w:bCs/>
          <w:color w:val="auto"/>
          <w:sz w:val="24"/>
          <w:szCs w:val="24"/>
          <w:highlight w:val="none"/>
        </w:rPr>
      </w:pPr>
      <w:r>
        <w:rPr>
          <w:rFonts w:hAnsi="宋体"/>
          <w:color w:val="auto"/>
          <w:szCs w:val="21"/>
          <w:highlight w:val="none"/>
        </w:rPr>
        <w:br w:type="page"/>
      </w:r>
      <w:r>
        <w:rPr>
          <w:rFonts w:hint="eastAsia"/>
          <w:b/>
          <w:bCs/>
          <w:color w:val="auto"/>
          <w:sz w:val="24"/>
          <w:szCs w:val="24"/>
          <w:highlight w:val="none"/>
        </w:rPr>
        <w:t xml:space="preserve">附件2： </w:t>
      </w:r>
    </w:p>
    <w:p>
      <w:pPr>
        <w:spacing w:line="440" w:lineRule="exact"/>
        <w:jc w:val="center"/>
        <w:rPr>
          <w:rFonts w:hint="eastAsia" w:ascii="黑体" w:eastAsia="黑体"/>
          <w:color w:val="auto"/>
          <w:sz w:val="28"/>
          <w:szCs w:val="28"/>
          <w:highlight w:val="none"/>
        </w:rPr>
      </w:pPr>
      <w:r>
        <w:rPr>
          <w:rFonts w:hint="eastAsia" w:ascii="黑体" w:eastAsia="黑体"/>
          <w:color w:val="auto"/>
          <w:sz w:val="28"/>
          <w:szCs w:val="28"/>
          <w:highlight w:val="none"/>
        </w:rPr>
        <w:t>廉政协议书</w:t>
      </w:r>
    </w:p>
    <w:p>
      <w:pPr>
        <w:rPr>
          <w:rFonts w:hint="eastAsia"/>
          <w:color w:val="auto"/>
          <w:highlight w:val="none"/>
        </w:rPr>
      </w:pPr>
    </w:p>
    <w:p>
      <w:pPr>
        <w:rPr>
          <w:rFonts w:hint="eastAsia"/>
          <w:color w:val="auto"/>
          <w:highlight w:val="none"/>
        </w:rPr>
      </w:pPr>
      <w:r>
        <w:rPr>
          <w:rFonts w:hint="eastAsia"/>
          <w:color w:val="auto"/>
          <w:highlight w:val="none"/>
        </w:rPr>
        <w:t>建设单位（甲方）：</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rPr>
          <w:rFonts w:hint="eastAsia"/>
          <w:color w:val="auto"/>
          <w:highlight w:val="none"/>
        </w:rPr>
      </w:pPr>
      <w:r>
        <w:rPr>
          <w:rFonts w:hint="eastAsia"/>
          <w:color w:val="auto"/>
          <w:highlight w:val="none"/>
        </w:rPr>
        <w:t>施工单位（乙方）：</w:t>
      </w:r>
      <w:r>
        <w:rPr>
          <w:rFonts w:hint="eastAsia"/>
          <w:color w:val="auto"/>
          <w:highlight w:val="none"/>
          <w:u w:val="single"/>
        </w:rPr>
        <w:t xml:space="preserve">                         </w:t>
      </w:r>
    </w:p>
    <w:p>
      <w:pPr>
        <w:ind w:firstLine="420" w:firstLineChars="200"/>
        <w:rPr>
          <w:rFonts w:hint="eastAsia"/>
          <w:color w:val="auto"/>
          <w:highlight w:val="none"/>
        </w:rPr>
      </w:pPr>
    </w:p>
    <w:p>
      <w:pPr>
        <w:ind w:firstLine="420" w:firstLineChars="200"/>
        <w:rPr>
          <w:rFonts w:hint="eastAsia"/>
          <w:color w:val="auto"/>
          <w:highlight w:val="none"/>
        </w:rPr>
      </w:pPr>
      <w:r>
        <w:rPr>
          <w:rFonts w:hint="eastAsia"/>
          <w:color w:val="auto"/>
          <w:highlight w:val="none"/>
        </w:rPr>
        <w:t>为加强工程建设中的廉政建设，规范工程建设项目甲乙双方的各项活动，防止发生各种谋取不正当利益的违法违纪行为，保护国家、集体和当事人的合法权益，根据国家有关工程建设的法律法规和廉政建设责任制规定，特订立本廉政协议书。</w:t>
      </w:r>
    </w:p>
    <w:p>
      <w:pPr>
        <w:rPr>
          <w:rFonts w:hint="eastAsia"/>
          <w:color w:val="auto"/>
          <w:highlight w:val="none"/>
        </w:rPr>
      </w:pPr>
    </w:p>
    <w:p>
      <w:pPr>
        <w:rPr>
          <w:rFonts w:hint="eastAsia"/>
          <w:b/>
          <w:color w:val="auto"/>
          <w:highlight w:val="none"/>
        </w:rPr>
      </w:pPr>
      <w:r>
        <w:rPr>
          <w:rFonts w:hint="eastAsia"/>
          <w:b/>
          <w:color w:val="auto"/>
          <w:highlight w:val="none"/>
        </w:rPr>
        <w:t>第一条　甲乙双方的责任</w:t>
      </w:r>
    </w:p>
    <w:p>
      <w:pPr>
        <w:rPr>
          <w:rFonts w:hint="eastAsia"/>
          <w:color w:val="auto"/>
          <w:highlight w:val="none"/>
        </w:rPr>
      </w:pPr>
      <w:r>
        <w:rPr>
          <w:rFonts w:hint="eastAsia"/>
          <w:color w:val="auto"/>
          <w:highlight w:val="none"/>
        </w:rPr>
        <w:t>（一）应严格遵守国家关于市场准入、项目招标投标、工程建设、施工安装和市场活动等有关法律、法规，相关政策，以及廉政建设的各项规定。</w:t>
      </w:r>
    </w:p>
    <w:p>
      <w:pPr>
        <w:rPr>
          <w:rFonts w:hint="eastAsia"/>
          <w:color w:val="auto"/>
          <w:highlight w:val="none"/>
        </w:rPr>
      </w:pPr>
      <w:r>
        <w:rPr>
          <w:rFonts w:hint="eastAsia"/>
          <w:color w:val="auto"/>
          <w:highlight w:val="none"/>
        </w:rPr>
        <w:t>（二）严格执行建设工程项目施工合同文件，自觉履行合同的约定。</w:t>
      </w:r>
    </w:p>
    <w:p>
      <w:pPr>
        <w:rPr>
          <w:rFonts w:hint="eastAsia"/>
          <w:color w:val="auto"/>
          <w:highlight w:val="none"/>
        </w:rPr>
      </w:pPr>
      <w:r>
        <w:rPr>
          <w:rFonts w:hint="eastAsia"/>
          <w:color w:val="auto"/>
          <w:highlight w:val="none"/>
        </w:rPr>
        <w:t>（三）工程建设的业务活动必须坚持公平、公正、公开、诚信、透明的原则（除法律法规另有规定者外），不得为获取不正当的利益而损害国家、集体和对方利益；不得违反工程建设管理、施工安装的规章制度。</w:t>
      </w:r>
    </w:p>
    <w:p>
      <w:pPr>
        <w:rPr>
          <w:rFonts w:hint="eastAsia"/>
          <w:color w:val="auto"/>
          <w:highlight w:val="none"/>
        </w:rPr>
      </w:pPr>
      <w:r>
        <w:rPr>
          <w:rFonts w:hint="eastAsia"/>
          <w:color w:val="auto"/>
          <w:highlight w:val="none"/>
        </w:rPr>
        <w:t>（四）发现对方在工程建设业务活动中有违规、违纪、违法行为的，应及时纠正对方，情节严重的，应向其上级主管部门或院校纪检监察、司法等有关机关举报。</w:t>
      </w:r>
    </w:p>
    <w:p>
      <w:pPr>
        <w:rPr>
          <w:rFonts w:hint="eastAsia"/>
          <w:color w:val="auto"/>
          <w:highlight w:val="none"/>
        </w:rPr>
      </w:pPr>
    </w:p>
    <w:p>
      <w:pPr>
        <w:rPr>
          <w:rFonts w:hint="eastAsia"/>
          <w:b/>
          <w:color w:val="auto"/>
          <w:highlight w:val="none"/>
        </w:rPr>
      </w:pPr>
      <w:r>
        <w:rPr>
          <w:rFonts w:hint="eastAsia"/>
          <w:b/>
          <w:color w:val="auto"/>
          <w:highlight w:val="none"/>
        </w:rPr>
        <w:t>第二条　甲方的责任</w:t>
      </w:r>
    </w:p>
    <w:p>
      <w:pPr>
        <w:ind w:firstLine="420" w:firstLineChars="200"/>
        <w:rPr>
          <w:rFonts w:hint="eastAsia"/>
          <w:color w:val="auto"/>
          <w:highlight w:val="none"/>
        </w:rPr>
      </w:pPr>
      <w:r>
        <w:rPr>
          <w:rFonts w:hint="eastAsia"/>
          <w:color w:val="auto"/>
          <w:highlight w:val="none"/>
        </w:rPr>
        <w:t>甲方的领导和从事该工程建设项目的管理部门及工作人员，在工程建设业务活动的事前、事中、事后应遵守以下规定：</w:t>
      </w:r>
    </w:p>
    <w:p>
      <w:pPr>
        <w:rPr>
          <w:rFonts w:hint="eastAsia"/>
          <w:color w:val="auto"/>
          <w:highlight w:val="none"/>
        </w:rPr>
      </w:pPr>
      <w:r>
        <w:rPr>
          <w:rFonts w:hint="eastAsia"/>
          <w:color w:val="auto"/>
          <w:highlight w:val="none"/>
        </w:rPr>
        <w:t>（一）不准向乙方和相关单位索要或接受回扣、礼金、有价证券、贵重物品和好处费、感谢费等。</w:t>
      </w:r>
    </w:p>
    <w:p>
      <w:pPr>
        <w:rPr>
          <w:rFonts w:hint="eastAsia"/>
          <w:color w:val="auto"/>
          <w:highlight w:val="none"/>
        </w:rPr>
      </w:pPr>
      <w:r>
        <w:rPr>
          <w:rFonts w:hint="eastAsia"/>
          <w:color w:val="auto"/>
          <w:highlight w:val="none"/>
        </w:rPr>
        <w:t>（二）不准在乙方和相关单位报销任何应由甲方或个人支付的费用。</w:t>
      </w:r>
    </w:p>
    <w:p>
      <w:pPr>
        <w:rPr>
          <w:rFonts w:hint="eastAsia"/>
          <w:color w:val="auto"/>
          <w:highlight w:val="none"/>
        </w:rPr>
      </w:pPr>
      <w:r>
        <w:rPr>
          <w:rFonts w:hint="eastAsia"/>
          <w:color w:val="auto"/>
          <w:highlight w:val="none"/>
        </w:rPr>
        <w:t>（三）不准要求、暗示和接受乙方和相关单位为个人装修住房、婚丧嫁娶、配偶子女的工作安排以及出国（境）、旅游等提供方便。</w:t>
      </w:r>
    </w:p>
    <w:p>
      <w:pPr>
        <w:rPr>
          <w:rFonts w:hint="eastAsia"/>
          <w:color w:val="auto"/>
          <w:highlight w:val="none"/>
        </w:rPr>
      </w:pPr>
      <w:r>
        <w:rPr>
          <w:rFonts w:hint="eastAsia"/>
          <w:color w:val="auto"/>
          <w:highlight w:val="none"/>
        </w:rPr>
        <w:t>（四）不准参加有可能影响公正执行公务的乙方和相关单位的宴请和健身、娱乐等活动。</w:t>
      </w:r>
    </w:p>
    <w:p>
      <w:pPr>
        <w:rPr>
          <w:rFonts w:hint="eastAsia"/>
          <w:color w:val="auto"/>
          <w:highlight w:val="none"/>
        </w:rPr>
      </w:pPr>
      <w:r>
        <w:rPr>
          <w:rFonts w:hint="eastAsia"/>
          <w:color w:val="auto"/>
          <w:highlight w:val="none"/>
        </w:rPr>
        <w:t>（五）不准向乙方推介或为配偶、子女、亲属参与同甲方项目工程施工合同有关的设备、材料、工程分包、劳务等经济活动。不得以任何理由向乙方和相关单位推荐分包单位和要求乙方购买项目工程施工合同规定以外的材料、设备等。</w:t>
      </w:r>
    </w:p>
    <w:p>
      <w:pPr>
        <w:rPr>
          <w:rFonts w:hint="eastAsia"/>
          <w:color w:val="auto"/>
          <w:highlight w:val="none"/>
        </w:rPr>
      </w:pPr>
    </w:p>
    <w:p>
      <w:pPr>
        <w:rPr>
          <w:rFonts w:hint="eastAsia"/>
          <w:b/>
          <w:color w:val="auto"/>
          <w:highlight w:val="none"/>
        </w:rPr>
      </w:pPr>
      <w:r>
        <w:rPr>
          <w:rFonts w:hint="eastAsia"/>
          <w:b/>
          <w:color w:val="auto"/>
          <w:highlight w:val="none"/>
        </w:rPr>
        <w:t>第三条　乙方的责任</w:t>
      </w:r>
    </w:p>
    <w:p>
      <w:pPr>
        <w:ind w:firstLine="420" w:firstLineChars="200"/>
        <w:rPr>
          <w:rFonts w:hint="eastAsia"/>
          <w:color w:val="auto"/>
          <w:highlight w:val="none"/>
        </w:rPr>
      </w:pPr>
      <w:r>
        <w:rPr>
          <w:rFonts w:hint="eastAsia"/>
          <w:color w:val="auto"/>
          <w:highlight w:val="none"/>
        </w:rPr>
        <w:t>应与甲方保持正常的业务交往，按照有关法律法规和程序开展业务工作，严格执行工程建设的有关方针、政策，尤其是有关建筑施工安装的强制性标准和规范，并遵守以下规定：</w:t>
      </w:r>
    </w:p>
    <w:p>
      <w:pPr>
        <w:rPr>
          <w:rFonts w:hint="eastAsia"/>
          <w:color w:val="auto"/>
          <w:highlight w:val="none"/>
        </w:rPr>
      </w:pPr>
      <w:r>
        <w:rPr>
          <w:rFonts w:hint="eastAsia"/>
          <w:color w:val="auto"/>
          <w:highlight w:val="none"/>
        </w:rPr>
        <w:t>（一）不准以任何理由向甲方、相关单位及其工作人员赠送礼金、有价证券、贵重物品和回扣、好处费、感谢费等。</w:t>
      </w:r>
    </w:p>
    <w:p>
      <w:pPr>
        <w:rPr>
          <w:rFonts w:hint="eastAsia"/>
          <w:color w:val="auto"/>
          <w:highlight w:val="none"/>
        </w:rPr>
      </w:pPr>
      <w:r>
        <w:rPr>
          <w:rFonts w:hint="eastAsia"/>
          <w:color w:val="auto"/>
          <w:highlight w:val="none"/>
        </w:rPr>
        <w:t>（二）不准以任何理由为甲方和相关单位报销应由对方或个人支付的费用。</w:t>
      </w:r>
    </w:p>
    <w:p>
      <w:pPr>
        <w:rPr>
          <w:rFonts w:hint="eastAsia"/>
          <w:color w:val="auto"/>
          <w:highlight w:val="none"/>
        </w:rPr>
      </w:pPr>
      <w:r>
        <w:rPr>
          <w:rFonts w:hint="eastAsia"/>
          <w:color w:val="auto"/>
          <w:highlight w:val="none"/>
        </w:rPr>
        <w:t>（三）不准接受或暗示为甲方、相关单位或个人装修住房、婚丧嫁娶、配偶子女的工作安排以及出国（境）、旅游等提供方便。</w:t>
      </w:r>
    </w:p>
    <w:p>
      <w:pPr>
        <w:rPr>
          <w:rFonts w:hint="eastAsia"/>
          <w:color w:val="auto"/>
          <w:highlight w:val="none"/>
        </w:rPr>
      </w:pPr>
      <w:r>
        <w:rPr>
          <w:rFonts w:hint="eastAsia"/>
          <w:color w:val="auto"/>
          <w:highlight w:val="none"/>
        </w:rPr>
        <w:t>（四）不准以任何理由为甲方、相关单位或个人组织有可能影响公正执行公务的宴请、健身、娱乐等活动。</w:t>
      </w:r>
    </w:p>
    <w:p>
      <w:pPr>
        <w:rPr>
          <w:rFonts w:hint="eastAsia"/>
          <w:color w:val="auto"/>
          <w:highlight w:val="none"/>
        </w:rPr>
      </w:pPr>
    </w:p>
    <w:p>
      <w:pPr>
        <w:rPr>
          <w:rFonts w:hint="eastAsia"/>
          <w:b/>
          <w:color w:val="auto"/>
          <w:highlight w:val="none"/>
        </w:rPr>
      </w:pPr>
      <w:r>
        <w:rPr>
          <w:rFonts w:hint="eastAsia"/>
          <w:b/>
          <w:color w:val="auto"/>
          <w:highlight w:val="none"/>
        </w:rPr>
        <w:t>第四条　违约责任</w:t>
      </w:r>
    </w:p>
    <w:p>
      <w:pPr>
        <w:rPr>
          <w:rFonts w:hint="eastAsia"/>
          <w:color w:val="auto"/>
          <w:highlight w:val="none"/>
        </w:rPr>
      </w:pPr>
      <w:r>
        <w:rPr>
          <w:rFonts w:hint="eastAsia"/>
          <w:color w:val="auto"/>
          <w:highlight w:val="none"/>
        </w:rPr>
        <w:t>（一）甲方及其工作人员有违反本协议书第一、二条责任行为的，按照管理权限，依据有关法律法规和规定，给予党纪、政纪处分或组织处理；涉嫌犯罪的，移交司法机关追究刑事责任。</w:t>
      </w:r>
    </w:p>
    <w:p>
      <w:pPr>
        <w:rPr>
          <w:rFonts w:hint="eastAsia"/>
          <w:color w:val="auto"/>
          <w:highlight w:val="none"/>
        </w:rPr>
      </w:pPr>
      <w:r>
        <w:rPr>
          <w:rFonts w:hint="eastAsia"/>
          <w:color w:val="auto"/>
          <w:highlight w:val="none"/>
        </w:rPr>
        <w:t xml:space="preserve">（二）乙方及其工作人员有违反本协议书第一、三条责任行为的，按照管理权限，依据有关法律法规和规定，给予党纪、政纪处分或组织处理；涉嫌犯罪的，移交司法机关追究刑事责任。 </w:t>
      </w:r>
    </w:p>
    <w:p>
      <w:pPr>
        <w:rPr>
          <w:rFonts w:hint="eastAsia"/>
          <w:color w:val="auto"/>
          <w:highlight w:val="none"/>
        </w:rPr>
      </w:pPr>
    </w:p>
    <w:p>
      <w:pPr>
        <w:rPr>
          <w:rFonts w:hint="eastAsia"/>
          <w:b/>
          <w:color w:val="auto"/>
          <w:highlight w:val="none"/>
        </w:rPr>
      </w:pPr>
      <w:r>
        <w:rPr>
          <w:rFonts w:hint="eastAsia"/>
          <w:b/>
          <w:color w:val="auto"/>
          <w:highlight w:val="none"/>
        </w:rPr>
        <w:t>第五条　本协议书作为工程建设施工合同的附件，与工程建设施工合同具有同等法律效力。经双方签署后立即生效。</w:t>
      </w:r>
    </w:p>
    <w:p>
      <w:pPr>
        <w:rPr>
          <w:rFonts w:hint="eastAsia"/>
          <w:color w:val="auto"/>
          <w:highlight w:val="none"/>
        </w:rPr>
      </w:pPr>
    </w:p>
    <w:p>
      <w:pPr>
        <w:rPr>
          <w:rFonts w:hint="eastAsia"/>
          <w:b/>
          <w:color w:val="auto"/>
          <w:highlight w:val="none"/>
        </w:rPr>
      </w:pPr>
      <w:r>
        <w:rPr>
          <w:rFonts w:hint="eastAsia"/>
          <w:b/>
          <w:color w:val="auto"/>
          <w:highlight w:val="none"/>
        </w:rPr>
        <w:t>第六条　本协议书的有效期为双方签署之日起至该工程项目竣工验收合格时止。</w:t>
      </w:r>
    </w:p>
    <w:p>
      <w:pPr>
        <w:rPr>
          <w:rFonts w:hint="eastAsia"/>
          <w:color w:val="auto"/>
          <w:highlight w:val="none"/>
        </w:rPr>
      </w:pPr>
    </w:p>
    <w:p>
      <w:pPr>
        <w:rPr>
          <w:rFonts w:hint="eastAsia"/>
          <w:b/>
          <w:color w:val="auto"/>
          <w:highlight w:val="none"/>
        </w:rPr>
      </w:pPr>
      <w:r>
        <w:rPr>
          <w:rFonts w:hint="eastAsia"/>
          <w:b/>
          <w:color w:val="auto"/>
          <w:highlight w:val="none"/>
        </w:rPr>
        <w:t>第七条　本协议书一式四份，由甲乙双方各执一份，送交双方监督单位各一份。</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color w:val="auto"/>
          <w:highlight w:val="none"/>
        </w:rPr>
      </w:pPr>
      <w:r>
        <w:rPr>
          <w:color w:val="auto"/>
          <w:highlight w:val="none"/>
        </w:rPr>
        <w:t xml:space="preserve"> </w:t>
      </w:r>
    </w:p>
    <w:p>
      <w:pPr>
        <w:rPr>
          <w:rFonts w:hint="eastAsia"/>
          <w:color w:val="auto"/>
          <w:highlight w:val="none"/>
        </w:rPr>
      </w:pPr>
      <w:r>
        <w:rPr>
          <w:rFonts w:hint="eastAsia"/>
          <w:color w:val="auto"/>
          <w:highlight w:val="none"/>
        </w:rPr>
        <w:t>甲方单位：（盖章）                                乙方单位：（盖章）</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r>
        <w:rPr>
          <w:rFonts w:hint="eastAsia"/>
          <w:color w:val="auto"/>
          <w:highlight w:val="none"/>
        </w:rPr>
        <w:t>法定代表人或其委托代理人：                       法定代表人或其委托代理人：</w:t>
      </w:r>
    </w:p>
    <w:p>
      <w:pPr>
        <w:rPr>
          <w:rFonts w:hint="eastAsia"/>
          <w:color w:val="auto"/>
          <w:highlight w:val="none"/>
        </w:rPr>
      </w:pPr>
    </w:p>
    <w:p>
      <w:pPr>
        <w:rPr>
          <w:rFonts w:hint="eastAsia"/>
          <w:color w:val="auto"/>
          <w:highlight w:val="none"/>
        </w:rPr>
      </w:pPr>
    </w:p>
    <w:p>
      <w:pPr>
        <w:pStyle w:val="34"/>
        <w:spacing w:line="440" w:lineRule="exact"/>
        <w:rPr>
          <w:rFonts w:hint="eastAsia"/>
          <w:b/>
          <w:bCs/>
          <w:color w:val="auto"/>
          <w:sz w:val="24"/>
          <w:szCs w:val="24"/>
          <w:highlight w:val="none"/>
        </w:rPr>
      </w:pPr>
      <w:r>
        <w:rPr>
          <w:rFonts w:hint="eastAsia"/>
          <w:color w:val="auto"/>
          <w:highlight w:val="none"/>
        </w:rPr>
        <w:t xml:space="preserve">                                       </w:t>
      </w:r>
      <w:r>
        <w:rPr>
          <w:rFonts w:ascii="仿宋_GB2312" w:eastAsia="仿宋_GB2312"/>
          <w:color w:val="auto"/>
          <w:sz w:val="24"/>
          <w:highlight w:val="none"/>
          <w:u w:val="single"/>
        </w:rPr>
        <w:br w:type="page"/>
      </w:r>
      <w:r>
        <w:rPr>
          <w:rFonts w:hint="eastAsia"/>
          <w:b/>
          <w:bCs/>
          <w:color w:val="auto"/>
          <w:sz w:val="24"/>
          <w:szCs w:val="24"/>
          <w:highlight w:val="none"/>
        </w:rPr>
        <w:t xml:space="preserve">附件3： </w:t>
      </w:r>
    </w:p>
    <w:p>
      <w:pPr>
        <w:jc w:val="center"/>
        <w:rPr>
          <w:rFonts w:hint="eastAsia"/>
          <w:color w:val="auto"/>
          <w:highlight w:val="none"/>
        </w:rPr>
      </w:pPr>
      <w:r>
        <w:rPr>
          <w:rFonts w:hint="eastAsia" w:ascii="黑体" w:eastAsia="黑体"/>
          <w:color w:val="auto"/>
          <w:sz w:val="28"/>
          <w:szCs w:val="28"/>
          <w:highlight w:val="none"/>
        </w:rPr>
        <w:t>建筑施工安全承诺书</w:t>
      </w:r>
    </w:p>
    <w:p>
      <w:pPr>
        <w:rPr>
          <w:rFonts w:hint="eastAsia"/>
          <w:color w:val="auto"/>
          <w:highlight w:val="none"/>
        </w:rPr>
      </w:pPr>
    </w:p>
    <w:p>
      <w:pPr>
        <w:ind w:firstLine="420" w:firstLineChars="200"/>
        <w:rPr>
          <w:rFonts w:hint="eastAsia"/>
          <w:color w:val="auto"/>
          <w:highlight w:val="none"/>
        </w:rPr>
      </w:pPr>
      <w:r>
        <w:rPr>
          <w:rFonts w:hint="eastAsia"/>
          <w:color w:val="auto"/>
          <w:highlight w:val="none"/>
        </w:rPr>
        <w:t>为确保本次</w:t>
      </w:r>
      <w:r>
        <w:rPr>
          <w:rFonts w:hint="eastAsia"/>
          <w:color w:val="auto"/>
          <w:highlight w:val="none"/>
          <w:u w:val="single"/>
        </w:rPr>
        <w:t xml:space="preserve">           </w:t>
      </w:r>
      <w:r>
        <w:rPr>
          <w:rFonts w:hint="eastAsia"/>
          <w:color w:val="auto"/>
          <w:highlight w:val="none"/>
        </w:rPr>
        <w:t xml:space="preserve">工程组织施工安全， </w:t>
      </w:r>
      <w:r>
        <w:rPr>
          <w:rFonts w:hint="eastAsia"/>
          <w:color w:val="auto"/>
          <w:highlight w:val="none"/>
          <w:u w:val="single"/>
        </w:rPr>
        <w:t xml:space="preserve">            </w:t>
      </w:r>
      <w:r>
        <w:rPr>
          <w:rFonts w:hint="eastAsia"/>
          <w:color w:val="auto"/>
          <w:highlight w:val="none"/>
        </w:rPr>
        <w:t xml:space="preserve"> 负责人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rPr>
        <w:t>郑重承诺，将依照施工合同对本次施工范围内的安全管理承担责任，承诺基本内容如下：</w:t>
      </w:r>
    </w:p>
    <w:p>
      <w:pPr>
        <w:rPr>
          <w:color w:val="auto"/>
          <w:highlight w:val="none"/>
        </w:rPr>
      </w:pPr>
      <w:r>
        <w:rPr>
          <w:color w:val="auto"/>
          <w:highlight w:val="none"/>
        </w:rPr>
        <w:t xml:space="preserve">  </w:t>
      </w:r>
    </w:p>
    <w:p>
      <w:pPr>
        <w:ind w:firstLine="420" w:firstLineChars="200"/>
        <w:rPr>
          <w:rFonts w:hint="eastAsia"/>
          <w:color w:val="auto"/>
          <w:highlight w:val="none"/>
        </w:rPr>
      </w:pPr>
      <w:r>
        <w:rPr>
          <w:rFonts w:hint="eastAsia"/>
          <w:color w:val="auto"/>
          <w:highlight w:val="none"/>
        </w:rPr>
        <w:t>一、承诺在施工期间，严格按</w:t>
      </w:r>
      <w:r>
        <w:rPr>
          <w:rFonts w:hint="eastAsia"/>
          <w:color w:val="auto"/>
          <w:highlight w:val="none"/>
          <w:lang w:val="en-US" w:eastAsia="zh-CN"/>
        </w:rPr>
        <w:t>甲方</w:t>
      </w:r>
      <w:r>
        <w:rPr>
          <w:rFonts w:hint="eastAsia"/>
          <w:color w:val="auto"/>
          <w:highlight w:val="none"/>
        </w:rPr>
        <w:t>的要求，依照国家及省市安全法规定、《建筑施工安全检查标准》，明确安全责任，做好施工组织设计和施工安全技术交底，服从</w:t>
      </w:r>
      <w:r>
        <w:rPr>
          <w:rFonts w:hint="eastAsia"/>
          <w:color w:val="auto"/>
          <w:highlight w:val="none"/>
          <w:lang w:val="en-US" w:eastAsia="zh-CN"/>
        </w:rPr>
        <w:t>甲方</w:t>
      </w:r>
      <w:r>
        <w:rPr>
          <w:rFonts w:hint="eastAsia"/>
          <w:color w:val="auto"/>
          <w:highlight w:val="none"/>
        </w:rPr>
        <w:t>相关部门的日常管理和检查。</w:t>
      </w:r>
    </w:p>
    <w:p>
      <w:pPr>
        <w:rPr>
          <w:color w:val="auto"/>
          <w:highlight w:val="none"/>
        </w:rPr>
      </w:pPr>
      <w:r>
        <w:rPr>
          <w:color w:val="auto"/>
          <w:highlight w:val="none"/>
        </w:rPr>
        <w:t xml:space="preserve">  </w:t>
      </w:r>
    </w:p>
    <w:p>
      <w:pPr>
        <w:ind w:firstLine="420" w:firstLineChars="200"/>
        <w:rPr>
          <w:rFonts w:hint="eastAsia"/>
          <w:color w:val="auto"/>
          <w:highlight w:val="none"/>
        </w:rPr>
      </w:pPr>
      <w:r>
        <w:rPr>
          <w:rFonts w:hint="eastAsia"/>
          <w:color w:val="auto"/>
          <w:highlight w:val="none"/>
        </w:rPr>
        <w:t>二、承诺对本单位施工人员进行安全教育，有健全的安全管理制度，保证施工人员遵守相关规范，服从</w:t>
      </w:r>
      <w:r>
        <w:rPr>
          <w:rFonts w:hint="eastAsia"/>
          <w:color w:val="auto"/>
          <w:highlight w:val="none"/>
          <w:lang w:val="en-US" w:eastAsia="zh-CN"/>
        </w:rPr>
        <w:t>甲方</w:t>
      </w:r>
      <w:r>
        <w:rPr>
          <w:rFonts w:hint="eastAsia"/>
          <w:color w:val="auto"/>
          <w:highlight w:val="none"/>
        </w:rPr>
        <w:t>现场管理人员的管理。</w:t>
      </w:r>
    </w:p>
    <w:p>
      <w:pPr>
        <w:ind w:firstLine="420" w:firstLineChars="200"/>
        <w:rPr>
          <w:color w:val="auto"/>
          <w:highlight w:val="none"/>
        </w:rPr>
      </w:pPr>
      <w:r>
        <w:rPr>
          <w:color w:val="auto"/>
          <w:highlight w:val="none"/>
        </w:rPr>
        <w:t xml:space="preserve">  </w:t>
      </w:r>
    </w:p>
    <w:p>
      <w:pPr>
        <w:ind w:firstLine="420" w:firstLineChars="200"/>
        <w:rPr>
          <w:rFonts w:hint="eastAsia"/>
          <w:color w:val="auto"/>
          <w:highlight w:val="none"/>
        </w:rPr>
      </w:pPr>
      <w:r>
        <w:rPr>
          <w:rFonts w:hint="eastAsia"/>
          <w:color w:val="auto"/>
          <w:highlight w:val="none"/>
        </w:rPr>
        <w:t>三、承诺文明施工，保证现场不出现消防安全事故和工伤事故，设立现场安全负责人。</w:t>
      </w:r>
      <w:r>
        <w:rPr>
          <w:rFonts w:hint="eastAsia"/>
          <w:color w:val="auto"/>
          <w:highlight w:val="none"/>
          <w:lang w:val="en-US" w:eastAsia="zh-CN"/>
        </w:rPr>
        <w:t>甲方</w:t>
      </w:r>
      <w:r>
        <w:rPr>
          <w:rFonts w:hint="eastAsia"/>
          <w:color w:val="auto"/>
          <w:highlight w:val="none"/>
        </w:rPr>
        <w:t>现场监管人员若发现有重大不安全因素时，随时有权要求施工方停工整改，施工方不得继续违章操作强行施工。如因施工发生任何意外或造成人员伤亡，施工方承诺承担完全负责，与</w:t>
      </w:r>
      <w:r>
        <w:rPr>
          <w:rFonts w:hint="eastAsia"/>
          <w:color w:val="auto"/>
          <w:highlight w:val="none"/>
          <w:lang w:val="en-US" w:eastAsia="zh-CN"/>
        </w:rPr>
        <w:t>甲方</w:t>
      </w:r>
      <w:r>
        <w:rPr>
          <w:rFonts w:hint="eastAsia"/>
          <w:color w:val="auto"/>
          <w:highlight w:val="none"/>
        </w:rPr>
        <w:t>无关。需上报杭州市安监局及有关部门的安全事故，一切手续由施工方负责处理，无需</w:t>
      </w:r>
      <w:r>
        <w:rPr>
          <w:rFonts w:hint="eastAsia"/>
          <w:color w:val="auto"/>
          <w:highlight w:val="none"/>
          <w:lang w:val="en-US" w:eastAsia="zh-CN"/>
        </w:rPr>
        <w:t>甲方</w:t>
      </w:r>
      <w:r>
        <w:rPr>
          <w:rFonts w:hint="eastAsia"/>
          <w:color w:val="auto"/>
          <w:highlight w:val="none"/>
        </w:rPr>
        <w:t>办理。</w:t>
      </w:r>
    </w:p>
    <w:p>
      <w:pPr>
        <w:ind w:firstLine="420" w:firstLineChars="200"/>
        <w:rPr>
          <w:color w:val="auto"/>
          <w:highlight w:val="none"/>
        </w:rPr>
      </w:pPr>
      <w:r>
        <w:rPr>
          <w:color w:val="auto"/>
          <w:highlight w:val="none"/>
        </w:rPr>
        <w:t xml:space="preserve">  </w:t>
      </w:r>
    </w:p>
    <w:p>
      <w:pPr>
        <w:ind w:firstLine="420" w:firstLineChars="200"/>
        <w:rPr>
          <w:rFonts w:hint="eastAsia"/>
          <w:color w:val="auto"/>
          <w:highlight w:val="none"/>
        </w:rPr>
      </w:pPr>
      <w:r>
        <w:rPr>
          <w:rFonts w:hint="eastAsia"/>
          <w:color w:val="auto"/>
          <w:highlight w:val="none"/>
        </w:rPr>
        <w:t>四、承诺施工期间不影响</w:t>
      </w:r>
      <w:r>
        <w:rPr>
          <w:rFonts w:hint="eastAsia"/>
          <w:color w:val="auto"/>
          <w:highlight w:val="none"/>
          <w:lang w:val="en-US" w:eastAsia="zh-CN"/>
        </w:rPr>
        <w:t>甲方</w:t>
      </w:r>
      <w:r>
        <w:rPr>
          <w:rFonts w:hint="eastAsia"/>
          <w:color w:val="auto"/>
          <w:highlight w:val="none"/>
        </w:rPr>
        <w:t>师生正常教学、工作、生活和学校卫生、环境安全，对本单位施工人员造成的一切不良影响负责。</w:t>
      </w:r>
    </w:p>
    <w:p>
      <w:pPr>
        <w:ind w:firstLine="420" w:firstLineChars="200"/>
        <w:rPr>
          <w:color w:val="auto"/>
          <w:highlight w:val="none"/>
        </w:rPr>
      </w:pPr>
      <w:r>
        <w:rPr>
          <w:color w:val="auto"/>
          <w:highlight w:val="none"/>
        </w:rPr>
        <w:t xml:space="preserve">  </w:t>
      </w:r>
    </w:p>
    <w:p>
      <w:pPr>
        <w:ind w:firstLine="420" w:firstLineChars="200"/>
        <w:rPr>
          <w:rFonts w:hint="eastAsia"/>
          <w:color w:val="auto"/>
          <w:highlight w:val="none"/>
        </w:rPr>
      </w:pPr>
      <w:r>
        <w:rPr>
          <w:rFonts w:hint="eastAsia"/>
          <w:color w:val="auto"/>
          <w:highlight w:val="none"/>
        </w:rPr>
        <w:t>五、本承诺书是</w:t>
      </w:r>
      <w:r>
        <w:rPr>
          <w:rFonts w:hint="eastAsia"/>
          <w:color w:val="auto"/>
          <w:highlight w:val="none"/>
          <w:lang w:val="en-US" w:eastAsia="zh-CN"/>
        </w:rPr>
        <w:t>甲方</w:t>
      </w:r>
      <w:r>
        <w:rPr>
          <w:rFonts w:hint="eastAsia"/>
          <w:color w:val="auto"/>
          <w:highlight w:val="none"/>
        </w:rPr>
        <w:t>对外来施工安全监管的有效证明文件，是合同的附件，具有法律效力。</w:t>
      </w:r>
    </w:p>
    <w:p>
      <w:pPr>
        <w:ind w:firstLine="420" w:firstLineChars="200"/>
        <w:rPr>
          <w:color w:val="auto"/>
          <w:highlight w:val="none"/>
        </w:rPr>
      </w:pPr>
      <w:r>
        <w:rPr>
          <w:color w:val="auto"/>
          <w:highlight w:val="none"/>
        </w:rPr>
        <w:t xml:space="preserve">  </w:t>
      </w:r>
    </w:p>
    <w:p>
      <w:pPr>
        <w:ind w:firstLine="420" w:firstLineChars="200"/>
        <w:rPr>
          <w:rFonts w:hint="eastAsia"/>
          <w:color w:val="auto"/>
          <w:highlight w:val="none"/>
        </w:rPr>
      </w:pPr>
      <w:r>
        <w:rPr>
          <w:rFonts w:hint="eastAsia"/>
          <w:color w:val="auto"/>
          <w:highlight w:val="none"/>
        </w:rPr>
        <w:t>六、安全问题包括不仅限于上述情况，如有未尽详细事宜，参照国家法律法规的有关条款执行。</w:t>
      </w:r>
    </w:p>
    <w:p>
      <w:pPr>
        <w:ind w:firstLine="420" w:firstLineChars="200"/>
        <w:rPr>
          <w:color w:val="auto"/>
          <w:highlight w:val="none"/>
        </w:rPr>
      </w:pPr>
      <w:r>
        <w:rPr>
          <w:color w:val="auto"/>
          <w:highlight w:val="none"/>
        </w:rPr>
        <w:t xml:space="preserve">  </w:t>
      </w:r>
    </w:p>
    <w:p>
      <w:pPr>
        <w:ind w:firstLine="420" w:firstLineChars="200"/>
        <w:rPr>
          <w:rFonts w:hint="eastAsia"/>
          <w:color w:val="auto"/>
          <w:highlight w:val="none"/>
        </w:rPr>
      </w:pPr>
      <w:r>
        <w:rPr>
          <w:rFonts w:hint="eastAsia"/>
          <w:color w:val="auto"/>
          <w:highlight w:val="none"/>
        </w:rPr>
        <w:t>七、本承诺书一式两份，施工方和</w:t>
      </w:r>
      <w:r>
        <w:rPr>
          <w:rFonts w:hint="eastAsia"/>
          <w:color w:val="auto"/>
          <w:highlight w:val="none"/>
          <w:lang w:val="en-US" w:eastAsia="zh-CN"/>
        </w:rPr>
        <w:t>甲方</w:t>
      </w:r>
      <w:r>
        <w:rPr>
          <w:rFonts w:hint="eastAsia"/>
          <w:color w:val="auto"/>
          <w:highlight w:val="none"/>
        </w:rPr>
        <w:t>各执壹份。</w:t>
      </w:r>
    </w:p>
    <w:p>
      <w:pPr>
        <w:rPr>
          <w:color w:val="auto"/>
          <w:highlight w:val="none"/>
        </w:rPr>
      </w:pPr>
      <w:r>
        <w:rPr>
          <w:color w:val="auto"/>
          <w:highlight w:val="none"/>
        </w:rPr>
        <w:t xml:space="preserve"> </w:t>
      </w:r>
    </w:p>
    <w:p>
      <w:pPr>
        <w:rPr>
          <w:rFonts w:hint="eastAsia"/>
          <w:color w:val="auto"/>
          <w:highlight w:val="none"/>
        </w:rPr>
      </w:pPr>
    </w:p>
    <w:p>
      <w:pPr>
        <w:rPr>
          <w:rFonts w:hint="eastAsia"/>
          <w:color w:val="auto"/>
          <w:highlight w:val="none"/>
        </w:rPr>
      </w:pPr>
      <w:r>
        <w:rPr>
          <w:rFonts w:hint="eastAsia"/>
          <w:color w:val="auto"/>
          <w:highlight w:val="none"/>
        </w:rPr>
        <w:t>承诺施工单位（盖章）：</w:t>
      </w:r>
    </w:p>
    <w:p>
      <w:pPr>
        <w:rPr>
          <w:color w:val="auto"/>
          <w:highlight w:val="none"/>
        </w:rPr>
      </w:pPr>
      <w:r>
        <w:rPr>
          <w:color w:val="auto"/>
          <w:highlight w:val="none"/>
        </w:rPr>
        <w:t xml:space="preserve"> </w:t>
      </w:r>
    </w:p>
    <w:p>
      <w:pPr>
        <w:rPr>
          <w:rFonts w:hint="eastAsia"/>
          <w:color w:val="auto"/>
          <w:highlight w:val="none"/>
        </w:rPr>
      </w:pPr>
      <w:r>
        <w:rPr>
          <w:rFonts w:hint="eastAsia"/>
          <w:color w:val="auto"/>
          <w:highlight w:val="none"/>
        </w:rPr>
        <w:t>负责人：</w:t>
      </w:r>
    </w:p>
    <w:p>
      <w:pPr>
        <w:rPr>
          <w:color w:val="auto"/>
          <w:highlight w:val="none"/>
        </w:rPr>
      </w:pPr>
      <w:r>
        <w:rPr>
          <w:color w:val="auto"/>
          <w:highlight w:val="none"/>
        </w:rPr>
        <w:t xml:space="preserve"> </w:t>
      </w:r>
    </w:p>
    <w:p>
      <w:pPr>
        <w:rPr>
          <w:rFonts w:hint="eastAsia"/>
          <w:color w:val="auto"/>
          <w:highlight w:val="none"/>
        </w:rPr>
      </w:pPr>
      <w:r>
        <w:rPr>
          <w:rFonts w:hint="eastAsia"/>
          <w:color w:val="auto"/>
          <w:highlight w:val="none"/>
        </w:rPr>
        <w:t>电话：</w:t>
      </w:r>
    </w:p>
    <w:p>
      <w:pPr>
        <w:rPr>
          <w:color w:val="auto"/>
          <w:highlight w:val="none"/>
        </w:rPr>
      </w:pPr>
      <w:r>
        <w:rPr>
          <w:color w:val="auto"/>
          <w:highlight w:val="none"/>
        </w:rPr>
        <w:t xml:space="preserve"> </w:t>
      </w:r>
    </w:p>
    <w:p>
      <w:pPr>
        <w:rPr>
          <w:rFonts w:hint="eastAsia"/>
          <w:color w:val="auto"/>
          <w:szCs w:val="22"/>
          <w:highlight w:val="none"/>
        </w:rPr>
      </w:pPr>
      <w:r>
        <w:rPr>
          <w:rFonts w:hint="eastAsia"/>
          <w:color w:val="auto"/>
          <w:szCs w:val="22"/>
          <w:highlight w:val="none"/>
        </w:rPr>
        <w:t>日期：</w:t>
      </w:r>
    </w:p>
    <w:p>
      <w:pPr>
        <w:snapToGrid w:val="0"/>
        <w:spacing w:line="360" w:lineRule="auto"/>
        <w:ind w:firstLine="480" w:firstLineChars="200"/>
        <w:jc w:val="left"/>
        <w:rPr>
          <w:rFonts w:ascii="宋体" w:hAnsi="宋体"/>
          <w:snapToGrid w:val="0"/>
          <w:color w:val="auto"/>
          <w:kern w:val="0"/>
          <w:sz w:val="24"/>
          <w:szCs w:val="20"/>
          <w:highlight w:val="none"/>
        </w:rPr>
      </w:pPr>
    </w:p>
    <w:p>
      <w:pPr>
        <w:adjustRightInd/>
        <w:spacing w:line="300" w:lineRule="auto"/>
        <w:rPr>
          <w:rFonts w:ascii="宋体" w:hAnsi="宋体"/>
          <w:snapToGrid w:val="0"/>
          <w:color w:val="auto"/>
          <w:kern w:val="0"/>
          <w:szCs w:val="21"/>
          <w:highlight w:val="none"/>
        </w:rPr>
      </w:pPr>
      <w:r>
        <w:rPr>
          <w:rFonts w:hint="eastAsia" w:ascii="宋体" w:hAnsi="宋体"/>
          <w:snapToGrid w:val="0"/>
          <w:color w:val="auto"/>
          <w:kern w:val="0"/>
          <w:szCs w:val="21"/>
          <w:highlight w:val="none"/>
        </w:rPr>
        <w:t xml:space="preserve">        </w:t>
      </w:r>
    </w:p>
    <w:p>
      <w:pPr>
        <w:spacing w:line="480" w:lineRule="auto"/>
        <w:jc w:val="center"/>
        <w:rPr>
          <w:rFonts w:ascii="宋体" w:hAnsi="宋体" w:cs="宋体"/>
          <w:b/>
          <w:color w:val="auto"/>
          <w:sz w:val="28"/>
          <w:szCs w:val="28"/>
          <w:highlight w:val="none"/>
        </w:rPr>
      </w:pPr>
    </w:p>
    <w:p>
      <w:pPr>
        <w:spacing w:line="360" w:lineRule="auto"/>
        <w:ind w:left="-420" w:leftChars="-200" w:right="-420" w:rightChars="-200" w:firstLine="480" w:firstLineChars="200"/>
        <w:jc w:val="center"/>
        <w:outlineLvl w:val="0"/>
        <w:rPr>
          <w:rFonts w:ascii="宋体" w:hAnsi="宋体" w:cs="宋体"/>
          <w:color w:val="auto"/>
          <w:sz w:val="24"/>
          <w:highlight w:val="none"/>
        </w:rPr>
      </w:pPr>
    </w:p>
    <w:p>
      <w:pPr>
        <w:spacing w:line="360" w:lineRule="auto"/>
        <w:ind w:left="-420" w:leftChars="-200" w:right="-420" w:rightChars="-200" w:firstLine="480" w:firstLineChars="200"/>
        <w:jc w:val="center"/>
        <w:outlineLvl w:val="0"/>
        <w:rPr>
          <w:rFonts w:ascii="宋体" w:hAnsi="宋体" w:cs="宋体"/>
          <w:color w:val="auto"/>
          <w:sz w:val="24"/>
          <w:highlight w:val="none"/>
        </w:rPr>
        <w:sectPr>
          <w:headerReference r:id="rId8" w:type="first"/>
          <w:footerReference r:id="rId10" w:type="first"/>
          <w:footerReference r:id="rId9" w:type="default"/>
          <w:pgSz w:w="11906" w:h="16838"/>
          <w:pgMar w:top="1440" w:right="1080" w:bottom="1440" w:left="1080" w:header="851" w:footer="992" w:gutter="0"/>
          <w:cols w:space="720" w:num="1"/>
          <w:titlePg/>
          <w:docGrid w:linePitch="312" w:charSpace="0"/>
        </w:sectPr>
      </w:pPr>
    </w:p>
    <w:p>
      <w:pPr>
        <w:snapToGrid w:val="0"/>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杭州市人民职业学校</w:t>
      </w:r>
      <w:r>
        <w:rPr>
          <w:rFonts w:hint="eastAsia" w:ascii="宋体" w:hAnsi="宋体" w:cs="宋体"/>
          <w:color w:val="auto"/>
          <w:sz w:val="24"/>
          <w:highlight w:val="none"/>
        </w:rPr>
        <w:t>、</w:t>
      </w:r>
      <w:r>
        <w:rPr>
          <w:rFonts w:hint="eastAsia" w:ascii="宋体" w:hAnsi="宋体" w:cs="宋体"/>
          <w:color w:val="auto"/>
          <w:sz w:val="24"/>
          <w:highlight w:val="none"/>
          <w:lang w:eastAsia="zh-CN"/>
        </w:rPr>
        <w:t>浙江筑脸全过程工程咨询有限公司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杭州市人民职业学校宿舍整修项目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ZJXY-HZ2024-32-1</w:t>
      </w:r>
      <w:r>
        <w:rPr>
          <w:rFonts w:hint="eastAsia" w:ascii="宋体" w:hAnsi="宋体" w:cs="宋体"/>
          <w:color w:val="auto"/>
          <w:sz w:val="24"/>
          <w:highlight w:val="none"/>
        </w:rPr>
        <w:t>】政府采购活动，郑重承诺：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[以联合体形式参与的，提供联合协议（附件5）；本项目不接受联合体或者供应商不以联合体形式投参与的，则不需要提供]</w:t>
      </w:r>
    </w:p>
    <w:p>
      <w:pPr>
        <w:snapToGrid w:val="0"/>
        <w:spacing w:line="360" w:lineRule="auto"/>
        <w:ind w:right="480"/>
        <w:jc w:val="center"/>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（根据竞争性磋商公告落实政府采购政策需满足的资格要求选择提供相应的材料；未要求的，无需提供）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.专门面向中小企业，工程全部由符合政策要求的中小企业（或小微企业）承建的，提供相应的中小企业声明函（附件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），联合协议中中小企业合同金额应当达到竞争性磋商公告载明的比例；如果供应商本身提供所有标的均由中小企业承建的，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），分包意向协议中中小企业合同金额应当达到竞争性磋商公告载明的比例；如果供应商本身提供所有标的均由中小企业承建，</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（根据竞争性磋商公告本项目的特定资格要求提供相应的材料；未要求的，无需提供）</w:t>
      </w: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pStyle w:val="4"/>
        <w:rPr>
          <w:rFonts w:ascii="宋体" w:hAnsi="宋体" w:cs="宋体"/>
          <w:b w:val="0"/>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numPr>
          <w:ilvl w:val="255"/>
          <w:numId w:val="0"/>
        </w:num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响应函……………………………………………………………………………（页码）</w:t>
      </w:r>
    </w:p>
    <w:p>
      <w:pPr>
        <w:numPr>
          <w:ilvl w:val="255"/>
          <w:numId w:val="0"/>
        </w:num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2）授权委托书或法定代表人（单位负责人、自然人本人）身份证明</w:t>
      </w:r>
      <w:r>
        <w:rPr>
          <w:rFonts w:hint="eastAsia" w:ascii="宋体" w:hAnsi="宋体" w:cs="宋体"/>
          <w:color w:val="auto"/>
          <w:sz w:val="24"/>
          <w:highlight w:val="none"/>
        </w:rPr>
        <w:t>……………（页码）</w:t>
      </w:r>
    </w:p>
    <w:p>
      <w:pP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）分包意向协议………………………………………………………………………（页码）</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）符合性审查资料……………………………………………………………………（页码）</w:t>
      </w:r>
    </w:p>
    <w:p>
      <w:pP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）评审标准相应的商务技术资料……………………………………………………（页码）（</w:t>
      </w:r>
      <w:r>
        <w:rPr>
          <w:rFonts w:ascii="宋体" w:hAnsi="宋体" w:cs="宋体"/>
          <w:color w:val="auto"/>
          <w:sz w:val="24"/>
          <w:highlight w:val="none"/>
        </w:rPr>
        <w:t>6</w:t>
      </w:r>
      <w:r>
        <w:rPr>
          <w:rFonts w:hint="eastAsia" w:ascii="宋体" w:hAnsi="宋体" w:cs="宋体"/>
          <w:color w:val="auto"/>
          <w:sz w:val="24"/>
          <w:highlight w:val="none"/>
        </w:rPr>
        <w:t>）商务技术偏离表……………………………………………………………………（页码）</w:t>
      </w:r>
    </w:p>
    <w:p>
      <w:pP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lang w:val="zh-CN"/>
        </w:rPr>
        <w:t>（</w:t>
      </w:r>
      <w:r>
        <w:rPr>
          <w:rFonts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r>
        <w:rPr>
          <w:rFonts w:hint="eastAsia" w:ascii="宋体" w:hAnsi="宋体" w:cs="宋体"/>
          <w:color w:val="auto"/>
          <w:sz w:val="24"/>
          <w:highlight w:val="none"/>
        </w:rPr>
        <w:t>…………………………………………………（页码）</w:t>
      </w:r>
    </w:p>
    <w:p>
      <w:pPr>
        <w:snapToGrid w:val="0"/>
        <w:spacing w:line="360" w:lineRule="auto"/>
        <w:jc w:val="center"/>
        <w:rPr>
          <w:rFonts w:ascii="宋体" w:hAnsi="宋体" w:cs="宋体"/>
          <w:b/>
          <w:color w:val="auto"/>
          <w:kern w:val="0"/>
          <w:sz w:val="24"/>
          <w:szCs w:val="32"/>
          <w:highlight w:val="none"/>
          <w:lang w:val="zh-CN"/>
        </w:rPr>
        <w:sectPr>
          <w:pgSz w:w="11906" w:h="16838"/>
          <w:pgMar w:top="1440" w:right="1080" w:bottom="1440" w:left="1080" w:header="851" w:footer="992" w:gutter="0"/>
          <w:cols w:space="720" w:num="1"/>
          <w:titlePg/>
          <w:docGrid w:linePitch="312" w:charSpace="0"/>
        </w:sectPr>
      </w:pPr>
    </w:p>
    <w:p>
      <w:pPr>
        <w:snapToGrid w:val="0"/>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一、响应函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杭州市人民职业学校</w:t>
      </w:r>
      <w:r>
        <w:rPr>
          <w:rFonts w:hint="eastAsia" w:ascii="宋体" w:hAnsi="宋体" w:cs="宋体"/>
          <w:color w:val="auto"/>
          <w:sz w:val="24"/>
          <w:highlight w:val="none"/>
        </w:rPr>
        <w:t>、</w:t>
      </w:r>
      <w:r>
        <w:rPr>
          <w:rFonts w:hint="eastAsia" w:ascii="宋体" w:hAnsi="宋体" w:cs="宋体"/>
          <w:color w:val="auto"/>
          <w:sz w:val="24"/>
          <w:highlight w:val="none"/>
          <w:lang w:eastAsia="zh-CN"/>
        </w:rPr>
        <w:t>浙江筑脸全过程工程咨询有限公司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杭州市人民职业学校宿舍整修项目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ZJXY-HZ2024-32-1</w:t>
      </w:r>
      <w:r>
        <w:rPr>
          <w:rFonts w:hint="eastAsia" w:ascii="宋体" w:hAnsi="宋体" w:cs="宋体"/>
          <w:color w:val="auto"/>
          <w:sz w:val="24"/>
          <w:highlight w:val="none"/>
        </w:rPr>
        <w:t>】采购的有关活动，并对此项目提交响应文件及报价。为此：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1、我方承诺响应文件有效期从提交响应文件的截止之日起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本响应文件在响应文件有效期满之前均具有约束力。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2、我方的响应文件包括以下内容：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2.2.1响应函；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评审标准相应的商务技术资料；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2.2.6商务技术偏离表；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2.3.1报价单；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2.3.2已标价工程量清单；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2.3.3中小企业声明函（如果有）。</w:t>
      </w:r>
    </w:p>
    <w:p>
      <w:pPr>
        <w:pStyle w:val="81"/>
        <w:ind w:firstLine="960" w:firstLineChars="4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3、我方承诺除商务技术偏离表列出的偏离外，我方响应采购文件的全部要求。对</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文件中材料的真实性、合法性负责。</w:t>
      </w:r>
    </w:p>
    <w:p>
      <w:pPr>
        <w:snapToGrid w:val="0"/>
        <w:spacing w:line="360" w:lineRule="auto"/>
        <w:ind w:firstLine="480" w:firstLineChars="200"/>
        <w:rPr>
          <w:rFonts w:ascii="宋体" w:hAnsi="宋体" w:cs="宋体"/>
          <w:color w:val="auto"/>
          <w:sz w:val="24"/>
          <w:highlight w:val="none"/>
        </w:rPr>
      </w:pP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4、如我方成交，我方承诺：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4.1在收到成交通知书后，在成交通知书规定的期限内与你方签订合同；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4.3按照采购文件要求提交履约保证金；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供应商名称（电子签名）：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snapToGrid w:val="0"/>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授权委托书（适用于非联合体</w:t>
      </w:r>
      <w:r>
        <w:rPr>
          <w:rFonts w:hint="eastAsia" w:ascii="宋体" w:hAnsi="宋体" w:cs="宋体"/>
          <w:b/>
          <w:bCs/>
          <w:color w:val="auto"/>
          <w:sz w:val="32"/>
          <w:szCs w:val="32"/>
          <w:highlight w:val="none"/>
        </w:rPr>
        <w:t>响应</w:t>
      </w:r>
      <w:r>
        <w:rPr>
          <w:rFonts w:hint="eastAsia" w:ascii="宋体" w:hAnsi="宋体" w:cs="宋体"/>
          <w:b/>
          <w:bCs/>
          <w:color w:val="auto"/>
          <w:sz w:val="32"/>
          <w:szCs w:val="32"/>
          <w:highlight w:val="none"/>
          <w:lang w:val="zh-CN"/>
        </w:rPr>
        <w:t>）</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杭州市人民职业学校</w:t>
      </w:r>
      <w:r>
        <w:rPr>
          <w:rFonts w:hint="eastAsia" w:ascii="宋体" w:hAnsi="宋体" w:cs="宋体"/>
          <w:color w:val="auto"/>
          <w:sz w:val="24"/>
          <w:highlight w:val="none"/>
        </w:rPr>
        <w:t>、</w:t>
      </w:r>
      <w:r>
        <w:rPr>
          <w:rFonts w:hint="eastAsia" w:ascii="宋体" w:hAnsi="宋体" w:cs="宋体"/>
          <w:color w:val="auto"/>
          <w:sz w:val="24"/>
          <w:highlight w:val="none"/>
          <w:lang w:eastAsia="zh-CN"/>
        </w:rPr>
        <w:t>浙江筑脸全过程工程咨询有限公司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杭州市人民职业学校宿舍整修项目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ZJXY-HZ2024-32-1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供应商名称(电子签名)：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授权委托书（适用于联合体</w:t>
      </w:r>
      <w:r>
        <w:rPr>
          <w:rFonts w:hint="eastAsia" w:ascii="宋体" w:hAnsi="宋体" w:cs="宋体"/>
          <w:b/>
          <w:bCs/>
          <w:color w:val="auto"/>
          <w:sz w:val="32"/>
          <w:szCs w:val="32"/>
          <w:highlight w:val="none"/>
        </w:rPr>
        <w:t>响应</w:t>
      </w:r>
      <w:r>
        <w:rPr>
          <w:rFonts w:hint="eastAsia" w:ascii="宋体" w:hAnsi="宋体" w:cs="宋体"/>
          <w:b/>
          <w:bCs/>
          <w:color w:val="auto"/>
          <w:sz w:val="32"/>
          <w:szCs w:val="32"/>
          <w:highlight w:val="none"/>
          <w:lang w:val="zh-CN"/>
        </w:rPr>
        <w:t>）</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杭州市人民职业学校</w:t>
      </w:r>
      <w:r>
        <w:rPr>
          <w:rFonts w:hint="eastAsia" w:ascii="宋体" w:hAnsi="宋体" w:cs="宋体"/>
          <w:color w:val="auto"/>
          <w:sz w:val="24"/>
          <w:highlight w:val="none"/>
        </w:rPr>
        <w:t>、</w:t>
      </w:r>
      <w:r>
        <w:rPr>
          <w:rFonts w:hint="eastAsia" w:ascii="宋体" w:hAnsi="宋体" w:cs="宋体"/>
          <w:color w:val="auto"/>
          <w:sz w:val="24"/>
          <w:highlight w:val="none"/>
          <w:lang w:eastAsia="zh-CN"/>
        </w:rPr>
        <w:t>浙江筑脸全过程工程咨询有限公司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杭州市人民职业学校宿舍整修项目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ZJXY-HZ2024-32-1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napToGrid w:val="0"/>
        <w:jc w:val="center"/>
        <w:rPr>
          <w:rFonts w:ascii="宋体" w:hAnsi="宋体" w:cs="宋体"/>
          <w:b/>
          <w:bCs/>
          <w:color w:val="auto"/>
          <w:sz w:val="32"/>
          <w:szCs w:val="32"/>
          <w:highlight w:val="none"/>
        </w:rPr>
      </w:pPr>
      <w:r>
        <w:rPr>
          <w:rFonts w:hint="eastAsia" w:ascii="宋体" w:hAnsi="宋体" w:cs="宋体"/>
          <w:b/>
          <w:bCs/>
          <w:color w:val="auto"/>
          <w:sz w:val="32"/>
          <w:szCs w:val="32"/>
          <w:highlight w:val="none"/>
          <w:lang w:val="zh-CN"/>
        </w:rPr>
        <w:t>法定代表人、单位负责人或自然人本人</w:t>
      </w:r>
      <w:r>
        <w:rPr>
          <w:rFonts w:hint="eastAsia" w:ascii="宋体" w:hAnsi="宋体" w:cs="宋体"/>
          <w:b/>
          <w:bCs/>
          <w:color w:val="auto"/>
          <w:sz w:val="32"/>
          <w:szCs w:val="32"/>
          <w:highlight w:val="none"/>
        </w:rPr>
        <w:t>的身份证明（适用于法定代表人、单位负责人或者自然人本人代表供应商参加响应）</w:t>
      </w:r>
    </w:p>
    <w:p>
      <w:pPr>
        <w:pStyle w:val="150"/>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0"/>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50"/>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供应商名称(电子签名)：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snapToGrid w:val="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三、分包意向协议</w:t>
      </w:r>
    </w:p>
    <w:p>
      <w:pPr>
        <w:widowControl/>
        <w:spacing w:line="360" w:lineRule="auto"/>
        <w:ind w:firstLine="120" w:firstLineChars="50"/>
        <w:jc w:val="left"/>
        <w:rPr>
          <w:rFonts w:ascii="宋体" w:hAnsi="宋体" w:cs="宋体"/>
          <w:color w:val="auto"/>
          <w:sz w:val="24"/>
          <w:highlight w:val="none"/>
        </w:rPr>
      </w:pPr>
      <w:bookmarkStart w:id="416" w:name="_Hlk101169080"/>
      <w:r>
        <w:rPr>
          <w:rFonts w:hint="eastAsia" w:ascii="宋体" w:hAnsi="宋体" w:cs="宋体"/>
          <w:color w:val="auto"/>
          <w:sz w:val="24"/>
          <w:highlight w:val="none"/>
        </w:rPr>
        <w:t>[</w:t>
      </w:r>
      <w:r>
        <w:rPr>
          <w:rFonts w:hint="eastAsia" w:ascii="宋体" w:hAnsi="宋体" w:cs="宋体"/>
          <w:b/>
          <w:color w:val="auto"/>
          <w:sz w:val="24"/>
          <w:highlight w:val="none"/>
        </w:rPr>
        <w:t>成交后以分包方式履行合同的，提供分包意向协议(附件6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；采购人不同意分包或者供应商成交后不以分包方式履行合同的，则不需要提供。</w:t>
      </w:r>
      <w:r>
        <w:rPr>
          <w:rFonts w:hint="eastAsia" w:ascii="宋体" w:hAnsi="宋体" w:cs="宋体"/>
          <w:color w:val="auto"/>
          <w:sz w:val="24"/>
          <w:highlight w:val="none"/>
        </w:rPr>
        <w:t>]</w:t>
      </w:r>
    </w:p>
    <w:bookmarkEnd w:id="416"/>
    <w:p>
      <w:pPr>
        <w:snapToGrid w:val="0"/>
        <w:spacing w:line="360" w:lineRule="auto"/>
        <w:rPr>
          <w:rFonts w:ascii="宋体" w:hAnsi="宋体" w:cs="宋体"/>
          <w:color w:val="auto"/>
          <w:kern w:val="0"/>
          <w:sz w:val="24"/>
          <w:highlight w:val="none"/>
        </w:rPr>
      </w:pPr>
    </w:p>
    <w:p>
      <w:pPr>
        <w:snapToGrid w:val="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四、符合性审查资料</w:t>
      </w:r>
    </w:p>
    <w:p>
      <w:pPr>
        <w:jc w:val="center"/>
        <w:rPr>
          <w:rFonts w:ascii="宋体" w:hAnsi="宋体" w:cs="宋体"/>
          <w:b/>
          <w:color w:val="auto"/>
          <w:kern w:val="0"/>
          <w:sz w:val="32"/>
          <w:szCs w:val="32"/>
          <w:highlight w:val="none"/>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响应文件中的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1</w:t>
            </w:r>
          </w:p>
        </w:tc>
        <w:tc>
          <w:tcPr>
            <w:tcW w:w="499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响应文件按照采购文件要求签署、盖章。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需要使用电子签名或者签字盖章的响应文件的组成部分</w:t>
            </w:r>
          </w:p>
        </w:tc>
        <w:tc>
          <w:tcPr>
            <w:tcW w:w="1418" w:type="dxa"/>
            <w:vAlign w:val="center"/>
          </w:tcPr>
          <w:p>
            <w:pPr>
              <w:rPr>
                <w:rFonts w:ascii="宋体" w:hAnsi="宋体" w:cs="宋体"/>
                <w:color w:val="auto"/>
                <w:sz w:val="24"/>
                <w:highlight w:val="none"/>
              </w:rPr>
            </w:pPr>
            <w:r>
              <w:rPr>
                <w:rFonts w:hint="eastAsia" w:ascii="宋体" w:hAnsi="宋体" w:cs="宋体"/>
                <w:color w:val="auto"/>
                <w:sz w:val="24"/>
                <w:highlight w:val="none"/>
              </w:rPr>
              <w:t>见响应文件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499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采购人拟采购的产品属于政府强制采购的节能产品品目清单范围的，供应商按采购文件要求提供国家确定的认证机构出具的、处于有效期之内的节能产品认证证书。</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节能产品认证证书（本项目拟采购的产品不属于政府强制采购的节能产品品目清单范围的，无需提供）</w:t>
            </w:r>
          </w:p>
        </w:tc>
        <w:tc>
          <w:tcPr>
            <w:tcW w:w="1418" w:type="dxa"/>
            <w:vAlign w:val="center"/>
          </w:tcPr>
          <w:p>
            <w:pPr>
              <w:rPr>
                <w:rFonts w:ascii="宋体" w:hAnsi="宋体" w:cs="宋体"/>
                <w:color w:val="auto"/>
                <w:sz w:val="24"/>
                <w:highlight w:val="none"/>
              </w:rPr>
            </w:pPr>
            <w:r>
              <w:rPr>
                <w:rFonts w:hint="eastAsia" w:ascii="宋体" w:hAnsi="宋体" w:cs="宋体"/>
                <w:color w:val="auto"/>
                <w:sz w:val="24"/>
                <w:highlight w:val="none"/>
              </w:rPr>
              <w:t>见响应文件</w:t>
            </w:r>
          </w:p>
          <w:p>
            <w:pPr>
              <w:pStyle w:val="4"/>
              <w:jc w:val="both"/>
              <w:rPr>
                <w:rFonts w:ascii="宋体" w:hAnsi="宋体" w:eastAsia="宋体" w:cs="宋体"/>
                <w:color w:val="auto"/>
                <w:highlight w:val="none"/>
                <w:lang w:val="en-US"/>
              </w:rPr>
            </w:pPr>
            <w:r>
              <w:rPr>
                <w:rFonts w:hint="eastAsia" w:ascii="宋体" w:hAnsi="宋体" w:eastAsia="宋体" w:cs="宋体"/>
                <w:b w:val="0"/>
                <w:bCs w:val="0"/>
                <w:color w:val="auto"/>
                <w:sz w:val="24"/>
                <w:szCs w:val="24"/>
                <w:highlight w:val="none"/>
                <w:lang w:val="en-US"/>
              </w:rPr>
              <w:t>第</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3</w:t>
            </w:r>
          </w:p>
        </w:tc>
        <w:tc>
          <w:tcPr>
            <w:tcW w:w="499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响应文件中承诺的响应文件有效期不少于采购文件中载明的响应文件有效期。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响应函</w:t>
            </w:r>
          </w:p>
        </w:tc>
        <w:tc>
          <w:tcPr>
            <w:tcW w:w="1418" w:type="dxa"/>
            <w:vAlign w:val="center"/>
          </w:tcPr>
          <w:p>
            <w:pPr>
              <w:rPr>
                <w:rFonts w:ascii="宋体" w:hAnsi="宋体" w:cs="宋体"/>
                <w:color w:val="auto"/>
                <w:highlight w:val="none"/>
              </w:rPr>
            </w:pPr>
            <w:r>
              <w:rPr>
                <w:rFonts w:hint="eastAsia" w:ascii="宋体" w:hAnsi="宋体" w:cs="宋体"/>
                <w:color w:val="auto"/>
                <w:sz w:val="24"/>
                <w:highlight w:val="none"/>
              </w:rPr>
              <w:t>见响应文件第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4</w:t>
            </w:r>
          </w:p>
        </w:tc>
        <w:tc>
          <w:tcPr>
            <w:tcW w:w="499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响应文件满足采购文件的其它实质性要求。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采购文件其它实质性要求相应的材料（“▲” 系指实质性要求条款，采购文件无其它实质性要求的，无需提供）</w:t>
            </w:r>
          </w:p>
        </w:tc>
        <w:tc>
          <w:tcPr>
            <w:tcW w:w="1418" w:type="dxa"/>
            <w:vAlign w:val="center"/>
          </w:tcPr>
          <w:p>
            <w:pPr>
              <w:rPr>
                <w:rFonts w:ascii="宋体" w:hAnsi="宋体" w:cs="宋体"/>
                <w:color w:val="auto"/>
                <w:highlight w:val="none"/>
              </w:rPr>
            </w:pPr>
            <w:r>
              <w:rPr>
                <w:rFonts w:hint="eastAsia" w:ascii="宋体" w:hAnsi="宋体" w:cs="宋体"/>
                <w:color w:val="auto"/>
                <w:sz w:val="24"/>
                <w:highlight w:val="none"/>
              </w:rPr>
              <w:t>见响应文件第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五、评审标准相应的商务技术资料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（按采购文件第四部分评审办法前附表中“响应文件中评审标准相应的商务技术资料目录”提供资料。）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采购文件章节及具体内容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响应文件章节及具体内容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供应商保证：除商务技术偏离表列出的偏离外，供应商响应采购文件的全部要求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sectPr>
          <w:footerReference r:id="rId12" w:type="first"/>
          <w:footerReference r:id="rId11" w:type="default"/>
          <w:pgSz w:w="11906" w:h="16838"/>
          <w:pgMar w:top="1440" w:right="1080" w:bottom="1440" w:left="1080" w:header="851" w:footer="992" w:gutter="0"/>
          <w:cols w:space="720" w:num="1"/>
          <w:titlePg/>
          <w:docGrid w:linePitch="312" w:charSpace="0"/>
        </w:sectPr>
      </w:pPr>
    </w:p>
    <w:p>
      <w:pPr>
        <w:snapToGrid w:val="0"/>
        <w:jc w:val="center"/>
        <w:rPr>
          <w:rFonts w:ascii="宋体" w:hAnsi="宋体" w:cs="宋体"/>
          <w:b/>
          <w:color w:val="auto"/>
          <w:kern w:val="0"/>
          <w:sz w:val="32"/>
          <w:szCs w:val="32"/>
          <w:highlight w:val="none"/>
        </w:rPr>
      </w:pPr>
      <w:r>
        <w:rPr>
          <w:rFonts w:hint="eastAsia" w:ascii="宋体" w:hAnsi="宋体" w:cs="宋体"/>
          <w:b/>
          <w:bCs/>
          <w:color w:val="auto"/>
          <w:sz w:val="32"/>
          <w:szCs w:val="32"/>
          <w:highlight w:val="none"/>
        </w:rPr>
        <w:t>七</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杭州市人民职业学校</w:t>
      </w:r>
      <w:r>
        <w:rPr>
          <w:rFonts w:hint="eastAsia" w:ascii="宋体" w:hAnsi="宋体" w:cs="宋体"/>
          <w:color w:val="auto"/>
          <w:sz w:val="24"/>
          <w:highlight w:val="none"/>
        </w:rPr>
        <w:t>、</w:t>
      </w:r>
      <w:r>
        <w:rPr>
          <w:rFonts w:hint="eastAsia" w:ascii="宋体" w:hAnsi="宋体" w:cs="宋体"/>
          <w:color w:val="auto"/>
          <w:sz w:val="24"/>
          <w:highlight w:val="none"/>
          <w:lang w:eastAsia="zh-CN"/>
        </w:rPr>
        <w:t>浙江筑脸全过程工程咨询有限公司</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五、不为项目有关人员个人装修住房、婚丧嫁娶、配偶子女工作安排等提供好处；</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pgSz w:w="11906" w:h="16838"/>
          <w:pgMar w:top="1440" w:right="1080" w:bottom="1440" w:left="1080"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numPr>
          <w:ilvl w:val="0"/>
          <w:numId w:val="6"/>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报价单…………………………………………………………………………（页码）</w:t>
      </w:r>
    </w:p>
    <w:p>
      <w:pPr>
        <w:spacing w:line="360" w:lineRule="auto"/>
        <w:rPr>
          <w:color w:val="auto"/>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hAnsi="仿宋_GB2312" w:cs="仿宋_GB2312"/>
          <w:b w:val="0"/>
          <w:bCs/>
          <w:snapToGrid w:val="0"/>
          <w:color w:val="auto"/>
          <w:kern w:val="2"/>
          <w:sz w:val="24"/>
          <w:szCs w:val="24"/>
          <w:highlight w:val="none"/>
          <w:lang w:val="en-US" w:eastAsia="zh-CN" w:bidi="ar-SA"/>
        </w:rPr>
        <w:t>报价情况说明</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）已标价工程量清单……………………………………………………………（页码）</w:t>
      </w:r>
    </w:p>
    <w:p>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）中小企业声明函………………………………………………………………（页码）</w:t>
      </w:r>
    </w:p>
    <w:p>
      <w:pPr>
        <w:pStyle w:val="81"/>
        <w:rPr>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footerReference r:id="rId15" w:type="first"/>
          <w:headerReference r:id="rId13" w:type="default"/>
          <w:footerReference r:id="rId14" w:type="default"/>
          <w:pgSz w:w="11906" w:h="16838"/>
          <w:pgMar w:top="1440" w:right="1080" w:bottom="1440" w:left="1080"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一、报价单</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杭州市人民职业学校</w:t>
      </w:r>
      <w:r>
        <w:rPr>
          <w:rFonts w:hint="eastAsia" w:ascii="宋体" w:hAnsi="宋体" w:cs="宋体"/>
          <w:color w:val="auto"/>
          <w:sz w:val="24"/>
          <w:highlight w:val="none"/>
        </w:rPr>
        <w:t>、</w:t>
      </w:r>
      <w:r>
        <w:rPr>
          <w:rFonts w:hint="eastAsia" w:ascii="宋体" w:hAnsi="宋体" w:cs="宋体"/>
          <w:color w:val="auto"/>
          <w:sz w:val="24"/>
          <w:highlight w:val="none"/>
          <w:lang w:eastAsia="zh-CN"/>
        </w:rPr>
        <w:t>浙江筑脸全过程工程咨询有限公司</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按你方采购文件要求，我们，本响应文件签字方，谨此向你方发出要约如下：如你方接受本投标，我方承诺按照如下报价单的价格完成</w:t>
      </w:r>
      <w:r>
        <w:rPr>
          <w:rFonts w:hint="eastAsia" w:ascii="宋体" w:hAnsi="宋体" w:cs="宋体"/>
          <w:color w:val="auto"/>
          <w:sz w:val="24"/>
          <w:highlight w:val="none"/>
          <w:lang w:eastAsia="zh-CN"/>
        </w:rPr>
        <w:t>杭州市人民职业学校宿舍整修项目</w:t>
      </w:r>
      <w:r>
        <w:rPr>
          <w:rFonts w:hint="eastAsia" w:ascii="宋体" w:hAnsi="宋体" w:cs="宋体"/>
          <w:color w:val="auto"/>
          <w:kern w:val="0"/>
          <w:sz w:val="24"/>
          <w:highlight w:val="none"/>
          <w:lang w:val="zh-CN"/>
        </w:rPr>
        <w:t>【项目编号：</w:t>
      </w:r>
      <w:r>
        <w:rPr>
          <w:rFonts w:hint="eastAsia" w:ascii="宋体" w:hAnsi="宋体" w:cs="宋体"/>
          <w:color w:val="auto"/>
          <w:sz w:val="24"/>
          <w:highlight w:val="none"/>
          <w:lang w:eastAsia="zh-CN"/>
        </w:rPr>
        <w:t>ZJXY-HZ2024-32-1</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报价单(单位均为人民币元)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843"/>
        <w:gridCol w:w="3118"/>
        <w:gridCol w:w="2552"/>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951"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项目名称</w:t>
            </w:r>
          </w:p>
        </w:tc>
        <w:tc>
          <w:tcPr>
            <w:tcW w:w="1843" w:type="dxa"/>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施工范围</w:t>
            </w:r>
          </w:p>
        </w:tc>
        <w:tc>
          <w:tcPr>
            <w:tcW w:w="311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施工工期</w:t>
            </w:r>
          </w:p>
        </w:tc>
        <w:tc>
          <w:tcPr>
            <w:tcW w:w="2552"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项目经理</w:t>
            </w:r>
          </w:p>
        </w:tc>
        <w:tc>
          <w:tcPr>
            <w:tcW w:w="198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执业证书信息</w:t>
            </w:r>
          </w:p>
        </w:tc>
        <w:tc>
          <w:tcPr>
            <w:tcW w:w="3119" w:type="dxa"/>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51"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2552"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3"/>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磋商报价（小写）</w:t>
            </w:r>
          </w:p>
        </w:tc>
        <w:tc>
          <w:tcPr>
            <w:tcW w:w="7655" w:type="dxa"/>
            <w:gridSpan w:val="3"/>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3"/>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磋商报价（大写）</w:t>
            </w:r>
          </w:p>
        </w:tc>
        <w:tc>
          <w:tcPr>
            <w:tcW w:w="7655" w:type="dxa"/>
            <w:gridSpan w:val="3"/>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1、供应商需按本表格式填写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响应文件含有采购人不能接受的附加条件，响应文件无效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，报价明细表中</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采购内容未包含在《报价单》名称栏中，供应商不能作出合理解释的，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响应文件含有采购人不能接受的附加条件的，响应文件无效。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3、特别提示：采购代理机构将对项目名称和项目编号，成交供应商名称、地址和成交金额、施工范围、施工工期、项目经理、执业证书信息、品牌（如果有）、规格型号、数量、单价等予以公示。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color w:val="auto"/>
          <w:kern w:val="0"/>
          <w:sz w:val="24"/>
          <w:highlight w:val="none"/>
        </w:rPr>
      </w:pPr>
    </w:p>
    <w:p>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40" w:right="1080" w:bottom="1440" w:left="1080" w:header="851" w:footer="992" w:gutter="0"/>
          <w:cols w:space="720" w:num="1"/>
          <w:titlePg/>
          <w:docGrid w:linePitch="312" w:charSpace="0"/>
        </w:sectPr>
      </w:pPr>
    </w:p>
    <w:p>
      <w:pPr>
        <w:pStyle w:val="694"/>
        <w:keepNext w:val="0"/>
        <w:pageBreakBefore/>
        <w:tabs>
          <w:tab w:val="clear" w:pos="720"/>
        </w:tabs>
        <w:snapToGrid w:val="0"/>
        <w:spacing w:before="120" w:after="12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pPr>
        <w:keepNext w:val="0"/>
        <w:pageBreakBefore w:val="0"/>
        <w:snapToGrid w:val="0"/>
        <w:spacing w:before="120" w:after="120"/>
        <w:outlineLvl w:val="9"/>
        <w:rPr>
          <w:rFonts w:hint="eastAsia"/>
          <w:color w:val="auto"/>
          <w:highlight w:val="none"/>
          <w:lang w:val="en-US" w:eastAsia="zh-CN"/>
        </w:rPr>
      </w:pPr>
    </w:p>
    <w:p>
      <w:pPr>
        <w:keepNext w:val="0"/>
        <w:pageBreakBefore w:val="0"/>
        <w:tabs>
          <w:tab w:val="left" w:pos="1313"/>
        </w:tabs>
        <w:snapToGrid w:val="0"/>
        <w:spacing w:before="120" w:after="120"/>
        <w:jc w:val="left"/>
        <w:outlineLvl w:val="9"/>
        <w:rPr>
          <w:rFonts w:hint="eastAsia" w:ascii="宋体" w:hAnsi="宋体" w:eastAsia="宋体" w:cs="宋体"/>
          <w:color w:val="auto"/>
          <w:kern w:val="2"/>
          <w:sz w:val="24"/>
          <w:szCs w:val="24"/>
          <w:highlight w:val="none"/>
          <w:lang w:val="en-US" w:eastAsia="zh-CN"/>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pPr>
        <w:pStyle w:val="694"/>
        <w:keepNext w:val="0"/>
        <w:pageBreakBefore w:val="0"/>
        <w:tabs>
          <w:tab w:val="clear" w:pos="720"/>
        </w:tabs>
        <w:snapToGrid w:val="0"/>
        <w:spacing w:before="120" w:after="120"/>
        <w:outlineLvl w:val="9"/>
        <w:rPr>
          <w:rFonts w:hint="eastAsia" w:ascii="宋体" w:hAnsi="宋体" w:eastAsia="宋体" w:cs="宋体"/>
          <w:color w:val="auto"/>
          <w:kern w:val="2"/>
          <w:sz w:val="32"/>
          <w:szCs w:val="32"/>
          <w:highlight w:val="none"/>
          <w:lang w:val="en-US" w:eastAsia="zh-CN"/>
        </w:rPr>
      </w:pPr>
    </w:p>
    <w:p>
      <w:pPr>
        <w:pStyle w:val="694"/>
        <w:keepNext w:val="0"/>
        <w:pageBreakBefore w:val="0"/>
        <w:tabs>
          <w:tab w:val="clear" w:pos="720"/>
        </w:tabs>
        <w:snapToGrid w:val="0"/>
        <w:spacing w:before="120" w:after="120"/>
        <w:outlineLvl w:val="9"/>
        <w:rPr>
          <w:rFonts w:hint="eastAsia" w:ascii="宋体" w:hAnsi="宋体" w:eastAsia="宋体" w:cs="宋体"/>
          <w:color w:val="auto"/>
          <w:kern w:val="2"/>
          <w:sz w:val="32"/>
          <w:szCs w:val="32"/>
          <w:highlight w:val="none"/>
          <w:lang w:val="en-US" w:eastAsia="zh-CN"/>
        </w:rPr>
      </w:pPr>
    </w:p>
    <w:p>
      <w:pPr>
        <w:pStyle w:val="694"/>
        <w:keepNext w:val="0"/>
        <w:pageBreakBefore w:val="0"/>
        <w:tabs>
          <w:tab w:val="clear" w:pos="720"/>
        </w:tabs>
        <w:snapToGrid w:val="0"/>
        <w:spacing w:before="120" w:after="120"/>
        <w:outlineLvl w:val="9"/>
        <w:rPr>
          <w:rFonts w:hint="eastAsia" w:ascii="宋体" w:hAnsi="宋体" w:eastAsia="宋体" w:cs="宋体"/>
          <w:color w:val="auto"/>
          <w:kern w:val="2"/>
          <w:sz w:val="32"/>
          <w:szCs w:val="32"/>
          <w:highlight w:val="none"/>
          <w:lang w:val="en-US" w:eastAsia="zh-CN"/>
        </w:rPr>
      </w:pPr>
    </w:p>
    <w:p>
      <w:pPr>
        <w:pStyle w:val="694"/>
        <w:keepNext w:val="0"/>
        <w:pageBreakBefore w:val="0"/>
        <w:tabs>
          <w:tab w:val="clear" w:pos="720"/>
        </w:tabs>
        <w:snapToGrid w:val="0"/>
        <w:spacing w:before="120" w:after="120"/>
        <w:outlineLvl w:val="9"/>
        <w:rPr>
          <w:rFonts w:hint="eastAsia" w:ascii="宋体" w:hAnsi="宋体" w:eastAsia="宋体" w:cs="宋体"/>
          <w:color w:val="auto"/>
          <w:kern w:val="2"/>
          <w:sz w:val="32"/>
          <w:szCs w:val="32"/>
          <w:highlight w:val="none"/>
          <w:lang w:val="en-US" w:eastAsia="zh-CN"/>
        </w:rPr>
      </w:pPr>
    </w:p>
    <w:p>
      <w:pPr>
        <w:pStyle w:val="694"/>
        <w:keepNext w:val="0"/>
        <w:pageBreakBefore w:val="0"/>
        <w:tabs>
          <w:tab w:val="clear" w:pos="720"/>
        </w:tabs>
        <w:snapToGrid w:val="0"/>
        <w:spacing w:before="120" w:after="120"/>
        <w:outlineLvl w:val="9"/>
        <w:rPr>
          <w:rFonts w:hint="eastAsia" w:ascii="宋体" w:hAnsi="宋体" w:eastAsia="宋体" w:cs="宋体"/>
          <w:color w:val="auto"/>
          <w:kern w:val="2"/>
          <w:sz w:val="32"/>
          <w:szCs w:val="32"/>
          <w:highlight w:val="none"/>
          <w:lang w:val="en-US" w:eastAsia="zh-CN"/>
        </w:rPr>
      </w:pPr>
    </w:p>
    <w:p>
      <w:pPr>
        <w:pStyle w:val="694"/>
        <w:keepNext w:val="0"/>
        <w:pageBreakBefore/>
        <w:tabs>
          <w:tab w:val="clear" w:pos="720"/>
        </w:tabs>
        <w:snapToGrid w:val="0"/>
        <w:spacing w:before="120" w:after="120"/>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三</w:t>
      </w:r>
      <w:r>
        <w:rPr>
          <w:rFonts w:hint="eastAsia" w:ascii="宋体" w:hAnsi="宋体" w:eastAsia="宋体" w:cs="宋体"/>
          <w:color w:val="auto"/>
          <w:kern w:val="2"/>
          <w:sz w:val="32"/>
          <w:szCs w:val="32"/>
          <w:highlight w:val="none"/>
        </w:rPr>
        <w:t>、已标价工程量清单</w:t>
      </w:r>
    </w:p>
    <w:p>
      <w:pPr>
        <w:ind w:right="420"/>
        <w:rPr>
          <w:rFonts w:ascii="宋体" w:hAnsi="宋体" w:cs="宋体"/>
          <w:color w:val="auto"/>
          <w:sz w:val="24"/>
          <w:highlight w:val="none"/>
        </w:rPr>
      </w:pPr>
      <w:r>
        <w:rPr>
          <w:rFonts w:hint="eastAsia" w:ascii="宋体" w:hAnsi="宋体" w:cs="宋体"/>
          <w:color w:val="auto"/>
          <w:sz w:val="24"/>
          <w:highlight w:val="none"/>
        </w:rPr>
        <w:t xml:space="preserve">注：按采购文件工程量清单编制 </w:t>
      </w:r>
    </w:p>
    <w:p>
      <w:pPr>
        <w:pStyle w:val="63"/>
        <w:ind w:firstLine="480"/>
        <w:rPr>
          <w:rFonts w:cs="宋体"/>
          <w:color w:val="auto"/>
          <w:sz w:val="24"/>
          <w:highlight w:val="none"/>
        </w:rPr>
      </w:pPr>
    </w:p>
    <w:p>
      <w:pPr>
        <w:pStyle w:val="63"/>
        <w:ind w:firstLine="480"/>
        <w:rPr>
          <w:rFonts w:cs="宋体"/>
          <w:color w:val="auto"/>
          <w:sz w:val="24"/>
          <w:highlight w:val="none"/>
        </w:rPr>
        <w:sectPr>
          <w:footerReference r:id="rId19" w:type="first"/>
          <w:headerReference r:id="rId16" w:type="default"/>
          <w:footerReference r:id="rId17" w:type="default"/>
          <w:footerReference r:id="rId18" w:type="even"/>
          <w:pgSz w:w="11906" w:h="16838"/>
          <w:pgMar w:top="1440" w:right="1080" w:bottom="1440" w:left="1080"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四</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17" w:name="_Hlk101259491"/>
      <w:r>
        <w:rPr>
          <w:rFonts w:hint="eastAsia" w:ascii="宋体" w:hAnsi="宋体" w:eastAsia="宋体" w:cs="宋体"/>
          <w:color w:val="auto"/>
          <w:sz w:val="32"/>
          <w:szCs w:val="32"/>
          <w:highlight w:val="none"/>
        </w:rPr>
        <w:t>（如果有）</w:t>
      </w:r>
      <w:bookmarkEnd w:id="417"/>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竞争性磋商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18" w:name="_Toc465665161"/>
      <w:r>
        <w:rPr>
          <w:rFonts w:hint="eastAsia" w:ascii="宋体" w:hAnsi="宋体" w:cs="宋体"/>
          <w:color w:val="auto"/>
          <w:highlight w:val="none"/>
        </w:rPr>
        <w:t>附件</w:t>
      </w:r>
      <w:bookmarkEnd w:id="418"/>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419" w:name="OLE_LINK13"/>
      <w:bookmarkStart w:id="420" w:name="OLE_LINK14"/>
      <w:r>
        <w:rPr>
          <w:rFonts w:hint="eastAsia" w:ascii="宋体" w:hAnsi="宋体" w:cs="宋体"/>
          <w:b/>
          <w:color w:val="auto"/>
          <w:spacing w:val="6"/>
          <w:sz w:val="32"/>
          <w:szCs w:val="32"/>
          <w:highlight w:val="none"/>
        </w:rPr>
        <w:t>残疾人福利性单位声明函</w:t>
      </w:r>
    </w:p>
    <w:bookmarkEnd w:id="419"/>
    <w:bookmarkEnd w:id="420"/>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供应商名称（电子签名）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u w:val="single"/>
          <w:lang w:eastAsia="zh-CN"/>
        </w:rPr>
        <w:t>杭州市人民职业学校</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浙江筑脸全过程工程咨询有限公司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(供应商全称)是中华人民共和国依法登记注册的合法企业，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杭州市人民职业学校宿舍整修项目</w:t>
      </w:r>
      <w:r>
        <w:rPr>
          <w:rFonts w:hint="eastAsia" w:ascii="宋体" w:hAnsi="宋体" w:cs="宋体"/>
          <w:color w:val="auto"/>
          <w:sz w:val="24"/>
          <w:highlight w:val="none"/>
        </w:rPr>
        <w:t>项目【项目编号：</w:t>
      </w:r>
      <w:r>
        <w:rPr>
          <w:rFonts w:hint="eastAsia" w:ascii="宋体" w:hAnsi="宋体" w:cs="宋体"/>
          <w:color w:val="auto"/>
          <w:sz w:val="24"/>
          <w:highlight w:val="none"/>
          <w:lang w:eastAsia="zh-CN"/>
        </w:rPr>
        <w:t>ZJXY-HZ2024-32-1</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供应商（法定名称章）：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w:t>供应商</w:t>
      </w:r>
      <w:r>
        <w:rPr>
          <w:rFonts w:hint="eastAsia" w:ascii="宋体" w:hAnsi="宋体" w:cs="宋体"/>
          <w:color w:val="auto"/>
          <w:sz w:val="24"/>
          <w:highlight w:val="none"/>
        </w:rPr>
        <w:t>法定名称章（印模）                供应商“XX专用章”（印模）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（以联合体形式参与的，提供联合协议；本项目不接受联合体或者供应商不以联合体形式参与的，则不需要提供）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组成一个联合体，以一个供应商的身份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杭州市人民职业学校宿舍整修项目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ZJXY-HZ2024-32-1</w:t>
      </w:r>
      <w:r>
        <w:rPr>
          <w:rFonts w:hint="eastAsia" w:ascii="宋体" w:hAnsi="宋体" w:cs="宋体"/>
          <w:color w:val="auto"/>
          <w:sz w:val="24"/>
          <w:highlight w:val="none"/>
        </w:rPr>
        <w:t>】</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授权代表根据采购文件规定及</w:t>
      </w:r>
      <w:r>
        <w:rPr>
          <w:rFonts w:hint="eastAsia" w:ascii="宋体" w:hAnsi="宋体" w:cs="宋体"/>
          <w:color w:val="auto"/>
          <w:kern w:val="0"/>
          <w:sz w:val="24"/>
          <w:highlight w:val="none"/>
        </w:rPr>
        <w:t>响应内容</w:t>
      </w:r>
      <w:r>
        <w:rPr>
          <w:rFonts w:hint="eastAsia" w:ascii="宋体" w:hAnsi="宋体" w:cs="宋体"/>
          <w:color w:val="auto"/>
          <w:kern w:val="0"/>
          <w:sz w:val="24"/>
          <w:highlight w:val="none"/>
          <w:lang w:val="zh-CN"/>
        </w:rPr>
        <w:t>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中，分工如下：</w:t>
      </w:r>
    </w:p>
    <w:p>
      <w:pPr>
        <w:snapToGrid w:val="0"/>
        <w:spacing w:line="360" w:lineRule="auto"/>
        <w:ind w:firstLine="576"/>
        <w:rPr>
          <w:rFonts w:ascii="宋体" w:hAnsi="宋体" w:cs="宋体"/>
          <w:color w:val="auto"/>
          <w:kern w:val="0"/>
          <w:sz w:val="24"/>
          <w:highlight w:val="none"/>
          <w:lang w:val="zh-CN"/>
        </w:rPr>
      </w:pPr>
      <w:bookmarkStart w:id="421"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21"/>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提供的全部工程由小微企业承建，其合同份额占到合同总金额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w:t>
      </w:r>
      <w:r>
        <w:rPr>
          <w:rFonts w:hint="eastAsia" w:ascii="宋体" w:hAnsi="宋体" w:cs="宋体"/>
          <w:b/>
          <w:color w:val="auto"/>
          <w:kern w:val="0"/>
          <w:sz w:val="24"/>
          <w:highlight w:val="none"/>
        </w:rPr>
        <w:t>磋商</w:t>
      </w:r>
      <w:r>
        <w:rPr>
          <w:rFonts w:hint="eastAsia" w:ascii="宋体" w:hAnsi="宋体" w:cs="宋体"/>
          <w:b/>
          <w:color w:val="auto"/>
          <w:kern w:val="0"/>
          <w:sz w:val="24"/>
          <w:highlight w:val="none"/>
          <w:lang w:val="zh-CN"/>
        </w:rPr>
        <w:t>的，联合协议约定小微企业的合同份额占到合同总金额30%以上的，对联合体报价给予</w:t>
      </w:r>
      <w:r>
        <w:rPr>
          <w:rFonts w:hint="eastAsia" w:ascii="宋体" w:hAnsi="宋体" w:cs="宋体"/>
          <w:b/>
          <w:color w:val="auto"/>
          <w:kern w:val="0"/>
          <w:sz w:val="24"/>
          <w:highlight w:val="none"/>
        </w:rPr>
        <w:t>2</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要求以联合体形式参加的项目或采购包，供应商按采购文件第一部分竞争性磋商公告申请人的资格要求中规定的联合协议中中小企业、小微企业合同金额应当达到的比例要求填写。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五、如果成交，</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sectPr>
          <w:pgSz w:w="11906" w:h="16838"/>
          <w:pgMar w:top="1440" w:right="1080" w:bottom="1440" w:left="1080"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成交后以分包方式履行合同的，提供分包意向协议；采购人不同意分包或者供应商成交后不以分包方式履行合同的，则不需要提供。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（供应商名称）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杭州市人民职业学校宿舍整修项目</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ZJXY-HZ2024-32-1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的成交供应商，将依法采取分包方式履行合同。</w:t>
      </w:r>
      <w:r>
        <w:rPr>
          <w:rFonts w:hint="eastAsia" w:ascii="宋体" w:hAnsi="宋体" w:cs="宋体"/>
          <w:color w:val="auto"/>
          <w:kern w:val="0"/>
          <w:sz w:val="24"/>
          <w:highlight w:val="none"/>
          <w:u w:val="single"/>
        </w:rPr>
        <w:t>（供应商名称）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（供应商名称）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……）提供的工程全部由小微企业承建，</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（未预留份额专门面向中小企业采购的采购项目，以及预留份额中的非预留部分采购包，允许分包的，分包意向协议约定小微企业的合同份额占到合同总金额30%以上的，对大中型企业的报价给予</w:t>
      </w:r>
      <w:r>
        <w:rPr>
          <w:rFonts w:hint="eastAsia" w:ascii="宋体" w:hAnsi="宋体" w:cs="宋体"/>
          <w:b/>
          <w:color w:val="auto"/>
          <w:kern w:val="0"/>
          <w:sz w:val="24"/>
          <w:highlight w:val="none"/>
        </w:rPr>
        <w:t>2</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2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要求合同分包形式参加的项目或采购包，供应商按采购文件第一部分竞争性磋商公告申请人的资格要求中规定的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22"/>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供应商名称(电子签名)：</w:t>
      </w:r>
    </w:p>
    <w:p>
      <w:pPr>
        <w:snapToGrid w:val="0"/>
        <w:spacing w:line="360" w:lineRule="auto"/>
        <w:ind w:firstLine="5640" w:firstLineChars="23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sectPr>
          <w:pgSz w:w="11906" w:h="16838"/>
          <w:pgMar w:top="1440" w:right="1080" w:bottom="1440" w:left="1080" w:header="851" w:footer="992" w:gutter="0"/>
          <w:cols w:space="720" w:num="1"/>
          <w:titlePg/>
          <w:docGrid w:linePitch="312" w:charSpace="0"/>
        </w:sect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7</w:t>
      </w:r>
      <w:r>
        <w:rPr>
          <w:rFonts w:hint="eastAsia" w:ascii="宋体" w:hAnsi="宋体" w:cs="宋体"/>
          <w:b/>
          <w:color w:val="auto"/>
          <w:spacing w:val="6"/>
          <w:sz w:val="32"/>
          <w:szCs w:val="32"/>
          <w:highlight w:val="none"/>
        </w:rPr>
        <w:t>：</w:t>
      </w:r>
      <w:r>
        <w:rPr>
          <w:rFonts w:hint="eastAsia" w:ascii="宋体" w:hAnsi="宋体" w:cs="宋体"/>
          <w:b/>
          <w:color w:val="auto"/>
          <w:sz w:val="32"/>
          <w:szCs w:val="32"/>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中小企业声明函（工程）</w:t>
      </w:r>
    </w:p>
    <w:p>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杭州市人民职业学校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杭州市人民职业学校宿舍整修项目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pacing w:line="360" w:lineRule="auto"/>
        <w:ind w:firstLine="480" w:firstLineChars="200"/>
        <w:rPr>
          <w:rFonts w:ascii="宋体" w:hAnsi="宋体" w:cs="宋体"/>
          <w:color w:val="auto"/>
          <w:sz w:val="24"/>
          <w:highlight w:val="none"/>
        </w:rPr>
      </w:pP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采购文件第二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bookmarkStart w:id="427" w:name="_GoBack"/>
      <w:bookmarkEnd w:id="427"/>
    </w:p>
    <w:sectPr>
      <w:pgSz w:w="11906" w:h="16838"/>
      <w:pgMar w:top="1440" w:right="1080" w:bottom="1440" w:left="108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ingLiU_HKSCS">
    <w:altName w:val="PMingLiU-ExtB"/>
    <w:panose1 w:val="02020500000000000000"/>
    <w:charset w:val="88"/>
    <w:family w:val="roman"/>
    <w:pitch w:val="default"/>
    <w:sig w:usb0="00000000" w:usb1="00000000"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bookmarkStart w:id="423" w:name="_Toc36110187"/>
    <w:bookmarkStart w:id="424" w:name="_Toc131845147"/>
    <w:bookmarkStart w:id="425" w:name="_Toc164085800"/>
    <w:bookmarkStart w:id="426" w:name="_Toc91899912"/>
    <w:r>
      <w:rPr>
        <w:rFonts w:hint="eastAsia" w:ascii="仿宋_GB2312" w:eastAsia="仿宋_GB2312"/>
        <w:kern w:val="0"/>
        <w:szCs w:val="21"/>
      </w:rPr>
      <w:t xml:space="preserve"> 页</w:t>
    </w:r>
    <w:bookmarkEnd w:id="423"/>
    <w:bookmarkEnd w:id="424"/>
    <w:bookmarkEnd w:id="425"/>
    <w:bookmarkEnd w:id="42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jc w:val="right"/>
      <w:rPr>
        <w:rFonts w:ascii="仿宋_GB2312" w:eastAsia="仿宋_GB2312"/>
        <w:i/>
        <w:u w:val="single"/>
      </w:rPr>
    </w:pPr>
    <w:r>
      <w:rPr>
        <w:lang w:val="zh-CN"/>
      </w:rPr>
      <w:t>杭州市政府采购</w:t>
    </w:r>
    <w:r>
      <w:rPr>
        <w:rFonts w:hint="eastAsia"/>
        <w:lang w:val="zh-CN"/>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杭州市政府采购</w:t>
    </w:r>
    <w:r>
      <w:rPr>
        <w:rFonts w:hint="eastAsia"/>
        <w:lang w:val="zh-CN"/>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杭州市政府采购</w:t>
    </w:r>
    <w:r>
      <w:rPr>
        <w:rFonts w:hint="eastAsia"/>
        <w:lang w:val="zh-CN"/>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rPr>
        <w:rFonts w:ascii="仿宋_GB2312" w:eastAsia="仿宋_GB2312"/>
        <w:b/>
        <w:i/>
        <w:u w:val="single"/>
      </w:rPr>
    </w:pPr>
    <w:r>
      <w:rPr>
        <w:lang w:val="zh-CN"/>
      </w:rPr>
      <w:t>杭州市政府采购</w:t>
    </w:r>
    <w:r>
      <w:rPr>
        <w:rFonts w:hint="eastAsia"/>
        <w:lang w:val="zh-CN"/>
      </w:rPr>
      <w:t>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rPr>
        <w:rFonts w:ascii="仿宋_GB2312"/>
        <w:b/>
        <w:i/>
        <w:iCs/>
        <w:u w:val="single"/>
      </w:rPr>
    </w:pPr>
    <w:r>
      <w:rPr>
        <w:lang w:val="zh-CN"/>
      </w:rPr>
      <w:t>杭州市政府采购</w:t>
    </w:r>
    <w:r>
      <w:rPr>
        <w:rFonts w:hint="eastAsia"/>
        <w:lang w:val="zh-CN"/>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1E102D"/>
    <w:multiLevelType w:val="singleLevel"/>
    <w:tmpl w:val="8B1E102D"/>
    <w:lvl w:ilvl="0" w:tentative="0">
      <w:start w:val="1"/>
      <w:numFmt w:val="decimal"/>
      <w:suff w:val="nothing"/>
      <w:lvlText w:val="（%1）"/>
      <w:lvlJc w:val="left"/>
    </w:lvl>
  </w:abstractNum>
  <w:abstractNum w:abstractNumId="1">
    <w:nsid w:val="90FC6F05"/>
    <w:multiLevelType w:val="singleLevel"/>
    <w:tmpl w:val="90FC6F05"/>
    <w:lvl w:ilvl="0" w:tentative="0">
      <w:start w:val="1"/>
      <w:numFmt w:val="decimal"/>
      <w:lvlText w:val="(%1)"/>
      <w:lvlJc w:val="left"/>
      <w:pPr>
        <w:ind w:left="425" w:hanging="425"/>
      </w:pPr>
      <w:rPr>
        <w:rFonts w:hint="default"/>
      </w:rPr>
    </w:lvl>
  </w:abstractNum>
  <w:abstractNum w:abstractNumId="2">
    <w:nsid w:val="BE86B77E"/>
    <w:multiLevelType w:val="singleLevel"/>
    <w:tmpl w:val="BE86B77E"/>
    <w:lvl w:ilvl="0" w:tentative="0">
      <w:start w:val="2"/>
      <w:numFmt w:val="chineseCounting"/>
      <w:suff w:val="space"/>
      <w:lvlText w:val="第%1部分"/>
      <w:lvlJc w:val="left"/>
      <w:rPr>
        <w:rFonts w:hint="eastAsia"/>
      </w:rPr>
    </w:lvl>
  </w:abstractNum>
  <w:abstractNum w:abstractNumId="3">
    <w:nsid w:val="1A4307F2"/>
    <w:multiLevelType w:val="singleLevel"/>
    <w:tmpl w:val="1A4307F2"/>
    <w:lvl w:ilvl="0" w:tentative="0">
      <w:start w:val="8"/>
      <w:numFmt w:val="chineseCounting"/>
      <w:suff w:val="nothing"/>
      <w:lvlText w:val="%1、"/>
      <w:lvlJc w:val="left"/>
      <w:rPr>
        <w:rFonts w:hint="eastAsia"/>
      </w:rPr>
    </w:lvl>
  </w:abstractNum>
  <w:abstractNum w:abstractNumId="4">
    <w:nsid w:val="5626B6CE"/>
    <w:multiLevelType w:val="singleLevel"/>
    <w:tmpl w:val="5626B6CE"/>
    <w:lvl w:ilvl="0" w:tentative="0">
      <w:start w:val="1"/>
      <w:numFmt w:val="lowerLetter"/>
      <w:suff w:val="nothing"/>
      <w:lvlText w:val="%1、"/>
      <w:lvlJc w:val="left"/>
      <w:pPr>
        <w:ind w:left="-20"/>
      </w:pPr>
    </w:lvl>
  </w:abstractNum>
  <w:abstractNum w:abstractNumId="5">
    <w:nsid w:val="7A4B6EFD"/>
    <w:multiLevelType w:val="multilevel"/>
    <w:tmpl w:val="7A4B6EFD"/>
    <w:lvl w:ilvl="0" w:tentative="0">
      <w:start w:val="1"/>
      <w:numFmt w:val="decimal"/>
      <w:lvlText w:val="（%1）"/>
      <w:lvlJc w:val="left"/>
      <w:pPr>
        <w:tabs>
          <w:tab w:val="left" w:pos="826"/>
        </w:tabs>
        <w:ind w:left="815" w:hanging="500"/>
      </w:pPr>
      <w:rPr>
        <w:rFonts w:hint="eastAsia"/>
      </w:r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A18"/>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471"/>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43"/>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689A"/>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0CFA"/>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59D"/>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A25"/>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0F1"/>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8DC"/>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1F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B9C"/>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088"/>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6CEE"/>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7C9"/>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17D"/>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45F"/>
    <w:rsid w:val="004B6E50"/>
    <w:rsid w:val="004B728F"/>
    <w:rsid w:val="004B7317"/>
    <w:rsid w:val="004B75B2"/>
    <w:rsid w:val="004B75C6"/>
    <w:rsid w:val="004B7A1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17FE0"/>
    <w:rsid w:val="005207D8"/>
    <w:rsid w:val="0052091D"/>
    <w:rsid w:val="005212F4"/>
    <w:rsid w:val="00521908"/>
    <w:rsid w:val="005224BC"/>
    <w:rsid w:val="00522928"/>
    <w:rsid w:val="00522FF1"/>
    <w:rsid w:val="00523946"/>
    <w:rsid w:val="0052397A"/>
    <w:rsid w:val="005256D6"/>
    <w:rsid w:val="00525AD8"/>
    <w:rsid w:val="00525D6B"/>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4FC"/>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250"/>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1E6"/>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8BB"/>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1E4"/>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9A3"/>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761"/>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317"/>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503"/>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4D71"/>
    <w:rsid w:val="008052CE"/>
    <w:rsid w:val="0080548A"/>
    <w:rsid w:val="008058D0"/>
    <w:rsid w:val="00806A4C"/>
    <w:rsid w:val="0080705B"/>
    <w:rsid w:val="0080723C"/>
    <w:rsid w:val="00807F71"/>
    <w:rsid w:val="0081000F"/>
    <w:rsid w:val="0081137A"/>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69CF"/>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C35"/>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7C2"/>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357"/>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8B8"/>
    <w:rsid w:val="009C19FC"/>
    <w:rsid w:val="009C27F7"/>
    <w:rsid w:val="009C337D"/>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4DD"/>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0E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4EE"/>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18"/>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57B"/>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595"/>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ABD"/>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34B"/>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38E"/>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C31"/>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4FC"/>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3E71"/>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6EC6"/>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1EE"/>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A24F4"/>
    <w:rsid w:val="011F6449"/>
    <w:rsid w:val="01236AFB"/>
    <w:rsid w:val="013C06BC"/>
    <w:rsid w:val="014B08FF"/>
    <w:rsid w:val="019978BC"/>
    <w:rsid w:val="019E4ED3"/>
    <w:rsid w:val="019F7441"/>
    <w:rsid w:val="01B34E22"/>
    <w:rsid w:val="01B37585"/>
    <w:rsid w:val="01C65DA5"/>
    <w:rsid w:val="01D55165"/>
    <w:rsid w:val="01DF6BF8"/>
    <w:rsid w:val="01E70DB5"/>
    <w:rsid w:val="01EC2C57"/>
    <w:rsid w:val="01EC5C3E"/>
    <w:rsid w:val="02103A3E"/>
    <w:rsid w:val="025F0711"/>
    <w:rsid w:val="026B2E25"/>
    <w:rsid w:val="02824D4D"/>
    <w:rsid w:val="02CE17E8"/>
    <w:rsid w:val="02DC4B10"/>
    <w:rsid w:val="02DD76CE"/>
    <w:rsid w:val="02DE7C7D"/>
    <w:rsid w:val="02F36323"/>
    <w:rsid w:val="02F5619C"/>
    <w:rsid w:val="03127081"/>
    <w:rsid w:val="031713E0"/>
    <w:rsid w:val="0326446A"/>
    <w:rsid w:val="032D5555"/>
    <w:rsid w:val="03310DB3"/>
    <w:rsid w:val="033755DF"/>
    <w:rsid w:val="036634D2"/>
    <w:rsid w:val="038D51FF"/>
    <w:rsid w:val="03AA5DB1"/>
    <w:rsid w:val="03AC38D7"/>
    <w:rsid w:val="03B65218"/>
    <w:rsid w:val="03DD35E4"/>
    <w:rsid w:val="03F040A4"/>
    <w:rsid w:val="040354C1"/>
    <w:rsid w:val="04051239"/>
    <w:rsid w:val="040556DD"/>
    <w:rsid w:val="04076900"/>
    <w:rsid w:val="041A5A3B"/>
    <w:rsid w:val="042311BA"/>
    <w:rsid w:val="042913CB"/>
    <w:rsid w:val="042B157A"/>
    <w:rsid w:val="0442423B"/>
    <w:rsid w:val="0449381C"/>
    <w:rsid w:val="046B6364"/>
    <w:rsid w:val="047F5438"/>
    <w:rsid w:val="048F763B"/>
    <w:rsid w:val="04926F71"/>
    <w:rsid w:val="049F330E"/>
    <w:rsid w:val="04A71242"/>
    <w:rsid w:val="04AA775C"/>
    <w:rsid w:val="04AF1889"/>
    <w:rsid w:val="04C64E6C"/>
    <w:rsid w:val="04F66F48"/>
    <w:rsid w:val="04FC263C"/>
    <w:rsid w:val="051756C8"/>
    <w:rsid w:val="05251E14"/>
    <w:rsid w:val="057448C8"/>
    <w:rsid w:val="05777F14"/>
    <w:rsid w:val="05A0746B"/>
    <w:rsid w:val="05A16594"/>
    <w:rsid w:val="05A7762D"/>
    <w:rsid w:val="060C4B01"/>
    <w:rsid w:val="060E5941"/>
    <w:rsid w:val="06110FAF"/>
    <w:rsid w:val="061E21DC"/>
    <w:rsid w:val="06493CA7"/>
    <w:rsid w:val="065169B7"/>
    <w:rsid w:val="065A6178"/>
    <w:rsid w:val="066F1CF3"/>
    <w:rsid w:val="067B3A34"/>
    <w:rsid w:val="06824DC3"/>
    <w:rsid w:val="06930BB8"/>
    <w:rsid w:val="06A967F3"/>
    <w:rsid w:val="06E60D29"/>
    <w:rsid w:val="07245D42"/>
    <w:rsid w:val="07264C62"/>
    <w:rsid w:val="07283BBC"/>
    <w:rsid w:val="072B7208"/>
    <w:rsid w:val="073A744C"/>
    <w:rsid w:val="07442078"/>
    <w:rsid w:val="075A189C"/>
    <w:rsid w:val="0779354C"/>
    <w:rsid w:val="077A5DB9"/>
    <w:rsid w:val="077C7A64"/>
    <w:rsid w:val="07830DF3"/>
    <w:rsid w:val="07A46B95"/>
    <w:rsid w:val="07D96C64"/>
    <w:rsid w:val="08061376"/>
    <w:rsid w:val="083D2DE6"/>
    <w:rsid w:val="08420CAE"/>
    <w:rsid w:val="08452D77"/>
    <w:rsid w:val="086401F8"/>
    <w:rsid w:val="08661343"/>
    <w:rsid w:val="086A5B0F"/>
    <w:rsid w:val="08751CAA"/>
    <w:rsid w:val="087E4C40"/>
    <w:rsid w:val="08915791"/>
    <w:rsid w:val="08923AEE"/>
    <w:rsid w:val="08A871D0"/>
    <w:rsid w:val="08D66AD6"/>
    <w:rsid w:val="08DA33A3"/>
    <w:rsid w:val="08E80F13"/>
    <w:rsid w:val="08EC0C19"/>
    <w:rsid w:val="08FC0E5C"/>
    <w:rsid w:val="092403B3"/>
    <w:rsid w:val="09335624"/>
    <w:rsid w:val="0944690F"/>
    <w:rsid w:val="094E3682"/>
    <w:rsid w:val="09535675"/>
    <w:rsid w:val="095F057D"/>
    <w:rsid w:val="09642282"/>
    <w:rsid w:val="09733572"/>
    <w:rsid w:val="097430E9"/>
    <w:rsid w:val="09772C16"/>
    <w:rsid w:val="098353B5"/>
    <w:rsid w:val="098D41AA"/>
    <w:rsid w:val="09A92330"/>
    <w:rsid w:val="09B06B87"/>
    <w:rsid w:val="09B72FD5"/>
    <w:rsid w:val="09BC7ADA"/>
    <w:rsid w:val="09C13146"/>
    <w:rsid w:val="09CF47C3"/>
    <w:rsid w:val="09E04166"/>
    <w:rsid w:val="0A014251"/>
    <w:rsid w:val="0A0A57FB"/>
    <w:rsid w:val="0A171CC6"/>
    <w:rsid w:val="0A1C0718"/>
    <w:rsid w:val="0A2148F3"/>
    <w:rsid w:val="0A326B00"/>
    <w:rsid w:val="0A3D797F"/>
    <w:rsid w:val="0A3E7710"/>
    <w:rsid w:val="0A474359"/>
    <w:rsid w:val="0A5B7E63"/>
    <w:rsid w:val="0A703465"/>
    <w:rsid w:val="0AA374A5"/>
    <w:rsid w:val="0AAB7649"/>
    <w:rsid w:val="0ABC5606"/>
    <w:rsid w:val="0ABD4BA8"/>
    <w:rsid w:val="0ADA51CD"/>
    <w:rsid w:val="0AF65D7F"/>
    <w:rsid w:val="0B30404E"/>
    <w:rsid w:val="0B3D750A"/>
    <w:rsid w:val="0B4C6C14"/>
    <w:rsid w:val="0B547599"/>
    <w:rsid w:val="0B631A88"/>
    <w:rsid w:val="0B683D45"/>
    <w:rsid w:val="0B7F3F11"/>
    <w:rsid w:val="0B884417"/>
    <w:rsid w:val="0B9C06D5"/>
    <w:rsid w:val="0BA37CB5"/>
    <w:rsid w:val="0BB7550F"/>
    <w:rsid w:val="0BE34556"/>
    <w:rsid w:val="0BE8391A"/>
    <w:rsid w:val="0BF6188C"/>
    <w:rsid w:val="0BF73C91"/>
    <w:rsid w:val="0C0D512F"/>
    <w:rsid w:val="0C170175"/>
    <w:rsid w:val="0C1A784C"/>
    <w:rsid w:val="0C2D3A23"/>
    <w:rsid w:val="0C4D5E73"/>
    <w:rsid w:val="0C571A41"/>
    <w:rsid w:val="0C5C1171"/>
    <w:rsid w:val="0C5E1CBC"/>
    <w:rsid w:val="0C615B50"/>
    <w:rsid w:val="0C6F6F5E"/>
    <w:rsid w:val="0C8445DA"/>
    <w:rsid w:val="0C87121B"/>
    <w:rsid w:val="0CBA20BE"/>
    <w:rsid w:val="0CC007F7"/>
    <w:rsid w:val="0CC617AC"/>
    <w:rsid w:val="0CE618DF"/>
    <w:rsid w:val="0CFA7B0B"/>
    <w:rsid w:val="0CFE707A"/>
    <w:rsid w:val="0D063BDA"/>
    <w:rsid w:val="0D08375F"/>
    <w:rsid w:val="0D1351F4"/>
    <w:rsid w:val="0D184CFB"/>
    <w:rsid w:val="0D222E5C"/>
    <w:rsid w:val="0D4A7419"/>
    <w:rsid w:val="0D605732"/>
    <w:rsid w:val="0D70006B"/>
    <w:rsid w:val="0D7731A8"/>
    <w:rsid w:val="0D827401"/>
    <w:rsid w:val="0D84094E"/>
    <w:rsid w:val="0D8A00E9"/>
    <w:rsid w:val="0D8D589E"/>
    <w:rsid w:val="0DA01C73"/>
    <w:rsid w:val="0DC932D7"/>
    <w:rsid w:val="0DD63300"/>
    <w:rsid w:val="0DEB1696"/>
    <w:rsid w:val="0DF50604"/>
    <w:rsid w:val="0DF702FE"/>
    <w:rsid w:val="0DF77E44"/>
    <w:rsid w:val="0DFA5B87"/>
    <w:rsid w:val="0E060E51"/>
    <w:rsid w:val="0E176739"/>
    <w:rsid w:val="0E231289"/>
    <w:rsid w:val="0E26697C"/>
    <w:rsid w:val="0E5604B2"/>
    <w:rsid w:val="0E6574A4"/>
    <w:rsid w:val="0E6D5D79"/>
    <w:rsid w:val="0E6F3E7F"/>
    <w:rsid w:val="0E9D0089"/>
    <w:rsid w:val="0EA24254"/>
    <w:rsid w:val="0EB803EE"/>
    <w:rsid w:val="0ED87C76"/>
    <w:rsid w:val="0EF94D4B"/>
    <w:rsid w:val="0EF97BEC"/>
    <w:rsid w:val="0F4958DC"/>
    <w:rsid w:val="0F515DF7"/>
    <w:rsid w:val="0F596BA8"/>
    <w:rsid w:val="0F6248D2"/>
    <w:rsid w:val="0F655282"/>
    <w:rsid w:val="0F693536"/>
    <w:rsid w:val="0F7B0511"/>
    <w:rsid w:val="0F7B76D9"/>
    <w:rsid w:val="0F816ACD"/>
    <w:rsid w:val="0F9832DB"/>
    <w:rsid w:val="0FA638D0"/>
    <w:rsid w:val="0FBA737B"/>
    <w:rsid w:val="0FBF3FD2"/>
    <w:rsid w:val="0FBF7FF3"/>
    <w:rsid w:val="0FD77F2D"/>
    <w:rsid w:val="0FEE5277"/>
    <w:rsid w:val="104159F2"/>
    <w:rsid w:val="10482BD9"/>
    <w:rsid w:val="10646583"/>
    <w:rsid w:val="106D0892"/>
    <w:rsid w:val="1075073F"/>
    <w:rsid w:val="10790FE5"/>
    <w:rsid w:val="107D4B15"/>
    <w:rsid w:val="10817E99"/>
    <w:rsid w:val="108A3C80"/>
    <w:rsid w:val="10AF2C58"/>
    <w:rsid w:val="10C26171"/>
    <w:rsid w:val="10C5422A"/>
    <w:rsid w:val="10C761F4"/>
    <w:rsid w:val="10F33360"/>
    <w:rsid w:val="10FC16EA"/>
    <w:rsid w:val="110F1D40"/>
    <w:rsid w:val="11266F33"/>
    <w:rsid w:val="114E2471"/>
    <w:rsid w:val="116A526D"/>
    <w:rsid w:val="11755C50"/>
    <w:rsid w:val="117F6ACF"/>
    <w:rsid w:val="11845E93"/>
    <w:rsid w:val="118963A1"/>
    <w:rsid w:val="11BD76CA"/>
    <w:rsid w:val="11C6522A"/>
    <w:rsid w:val="11E104CC"/>
    <w:rsid w:val="11E20309"/>
    <w:rsid w:val="11EE155E"/>
    <w:rsid w:val="120139C2"/>
    <w:rsid w:val="120B0362"/>
    <w:rsid w:val="1212349F"/>
    <w:rsid w:val="12130FC5"/>
    <w:rsid w:val="1218482D"/>
    <w:rsid w:val="121A5F6A"/>
    <w:rsid w:val="12255233"/>
    <w:rsid w:val="122907E8"/>
    <w:rsid w:val="122D652B"/>
    <w:rsid w:val="12437C74"/>
    <w:rsid w:val="12530213"/>
    <w:rsid w:val="127723A9"/>
    <w:rsid w:val="12862074"/>
    <w:rsid w:val="12883966"/>
    <w:rsid w:val="129E45B4"/>
    <w:rsid w:val="12D81596"/>
    <w:rsid w:val="13051255"/>
    <w:rsid w:val="13072A44"/>
    <w:rsid w:val="130F79DE"/>
    <w:rsid w:val="13386F35"/>
    <w:rsid w:val="13426006"/>
    <w:rsid w:val="135F4BE2"/>
    <w:rsid w:val="13710699"/>
    <w:rsid w:val="138403CC"/>
    <w:rsid w:val="139B1A0A"/>
    <w:rsid w:val="139D25C7"/>
    <w:rsid w:val="139D323C"/>
    <w:rsid w:val="13BF3CE4"/>
    <w:rsid w:val="141008D8"/>
    <w:rsid w:val="14125FE6"/>
    <w:rsid w:val="14213E6D"/>
    <w:rsid w:val="14641FAC"/>
    <w:rsid w:val="146D271E"/>
    <w:rsid w:val="147815B3"/>
    <w:rsid w:val="148B578A"/>
    <w:rsid w:val="14982588"/>
    <w:rsid w:val="149A5AD9"/>
    <w:rsid w:val="14A7619D"/>
    <w:rsid w:val="14F74BCE"/>
    <w:rsid w:val="14FB2F80"/>
    <w:rsid w:val="150536C3"/>
    <w:rsid w:val="150712B5"/>
    <w:rsid w:val="150C1963"/>
    <w:rsid w:val="151447A0"/>
    <w:rsid w:val="151B439C"/>
    <w:rsid w:val="152534E9"/>
    <w:rsid w:val="152B4878"/>
    <w:rsid w:val="153E27FD"/>
    <w:rsid w:val="154A6454"/>
    <w:rsid w:val="15762120"/>
    <w:rsid w:val="15826B8D"/>
    <w:rsid w:val="15AE34DE"/>
    <w:rsid w:val="15CC605B"/>
    <w:rsid w:val="15D849FF"/>
    <w:rsid w:val="15DD2016"/>
    <w:rsid w:val="15FF01DE"/>
    <w:rsid w:val="160E0421"/>
    <w:rsid w:val="161672D6"/>
    <w:rsid w:val="161812A0"/>
    <w:rsid w:val="162E461F"/>
    <w:rsid w:val="16337E88"/>
    <w:rsid w:val="164125A5"/>
    <w:rsid w:val="16677B31"/>
    <w:rsid w:val="168129A1"/>
    <w:rsid w:val="16A8729C"/>
    <w:rsid w:val="16B33777"/>
    <w:rsid w:val="16B94831"/>
    <w:rsid w:val="16BC70A7"/>
    <w:rsid w:val="16C3745D"/>
    <w:rsid w:val="16C6339E"/>
    <w:rsid w:val="16C9480A"/>
    <w:rsid w:val="16F07B27"/>
    <w:rsid w:val="16F969DB"/>
    <w:rsid w:val="172F2D79"/>
    <w:rsid w:val="173914CE"/>
    <w:rsid w:val="17546308"/>
    <w:rsid w:val="17557BEF"/>
    <w:rsid w:val="17567453"/>
    <w:rsid w:val="175D7112"/>
    <w:rsid w:val="1767603B"/>
    <w:rsid w:val="179D7CAF"/>
    <w:rsid w:val="17A27073"/>
    <w:rsid w:val="17AD5A18"/>
    <w:rsid w:val="17BA0860"/>
    <w:rsid w:val="17D349C1"/>
    <w:rsid w:val="18003D99"/>
    <w:rsid w:val="181E3EC5"/>
    <w:rsid w:val="182C1032"/>
    <w:rsid w:val="1830729E"/>
    <w:rsid w:val="1870062C"/>
    <w:rsid w:val="18817102"/>
    <w:rsid w:val="18830A15"/>
    <w:rsid w:val="18842C1C"/>
    <w:rsid w:val="18852B28"/>
    <w:rsid w:val="188B5321"/>
    <w:rsid w:val="189664AC"/>
    <w:rsid w:val="18980476"/>
    <w:rsid w:val="189D5A8C"/>
    <w:rsid w:val="18C22704"/>
    <w:rsid w:val="18F002B2"/>
    <w:rsid w:val="190E74BA"/>
    <w:rsid w:val="19466124"/>
    <w:rsid w:val="197D7D98"/>
    <w:rsid w:val="19932372"/>
    <w:rsid w:val="19A20DD5"/>
    <w:rsid w:val="19AE03F1"/>
    <w:rsid w:val="19D35C0A"/>
    <w:rsid w:val="1A071A03"/>
    <w:rsid w:val="1A1F16AE"/>
    <w:rsid w:val="1A2226ED"/>
    <w:rsid w:val="1A3B5C77"/>
    <w:rsid w:val="1A984BAD"/>
    <w:rsid w:val="1AB8220E"/>
    <w:rsid w:val="1AD4751C"/>
    <w:rsid w:val="1AE4166C"/>
    <w:rsid w:val="1AF06CFB"/>
    <w:rsid w:val="1AF11B8D"/>
    <w:rsid w:val="1B11359C"/>
    <w:rsid w:val="1B18764C"/>
    <w:rsid w:val="1B2A271F"/>
    <w:rsid w:val="1B2D30F7"/>
    <w:rsid w:val="1B530544"/>
    <w:rsid w:val="1B713184"/>
    <w:rsid w:val="1BA209CF"/>
    <w:rsid w:val="1BA86C22"/>
    <w:rsid w:val="1BB4777D"/>
    <w:rsid w:val="1BC11A92"/>
    <w:rsid w:val="1BD75AB8"/>
    <w:rsid w:val="1BE7599C"/>
    <w:rsid w:val="1C0459C2"/>
    <w:rsid w:val="1C1B3B4A"/>
    <w:rsid w:val="1C67088B"/>
    <w:rsid w:val="1C7725CD"/>
    <w:rsid w:val="1C88086E"/>
    <w:rsid w:val="1C8A7260"/>
    <w:rsid w:val="1CA12314"/>
    <w:rsid w:val="1CA55E9F"/>
    <w:rsid w:val="1CBB2985"/>
    <w:rsid w:val="1CD557F5"/>
    <w:rsid w:val="1D266CE1"/>
    <w:rsid w:val="1D3963AF"/>
    <w:rsid w:val="1D3D0FE5"/>
    <w:rsid w:val="1D6A673C"/>
    <w:rsid w:val="1D7E7C3A"/>
    <w:rsid w:val="1D9247AE"/>
    <w:rsid w:val="1DAB77C5"/>
    <w:rsid w:val="1DB567EC"/>
    <w:rsid w:val="1DBB3E80"/>
    <w:rsid w:val="1DEE51FC"/>
    <w:rsid w:val="1DF51A98"/>
    <w:rsid w:val="1E110AAE"/>
    <w:rsid w:val="1E3511F3"/>
    <w:rsid w:val="1E3D060F"/>
    <w:rsid w:val="1E3F7D2E"/>
    <w:rsid w:val="1E4134E4"/>
    <w:rsid w:val="1E5062B3"/>
    <w:rsid w:val="1E523514"/>
    <w:rsid w:val="1E543091"/>
    <w:rsid w:val="1E714A66"/>
    <w:rsid w:val="1E802593"/>
    <w:rsid w:val="1E8B6156"/>
    <w:rsid w:val="1E8E0351"/>
    <w:rsid w:val="1EA703CC"/>
    <w:rsid w:val="1EB7330C"/>
    <w:rsid w:val="1ED1023E"/>
    <w:rsid w:val="1EEE7042"/>
    <w:rsid w:val="1F071EB1"/>
    <w:rsid w:val="1F0A0FF3"/>
    <w:rsid w:val="1F372797"/>
    <w:rsid w:val="1F444EB4"/>
    <w:rsid w:val="1F48265B"/>
    <w:rsid w:val="1F5771FF"/>
    <w:rsid w:val="1F615A66"/>
    <w:rsid w:val="1F646BF6"/>
    <w:rsid w:val="1F904124"/>
    <w:rsid w:val="1F9951FF"/>
    <w:rsid w:val="1FC41B50"/>
    <w:rsid w:val="1FE12702"/>
    <w:rsid w:val="1FE868A9"/>
    <w:rsid w:val="1FF93EF0"/>
    <w:rsid w:val="20034907"/>
    <w:rsid w:val="20173E4B"/>
    <w:rsid w:val="204E48BC"/>
    <w:rsid w:val="20564E9E"/>
    <w:rsid w:val="208921B3"/>
    <w:rsid w:val="20973DEB"/>
    <w:rsid w:val="20B26522"/>
    <w:rsid w:val="20B44310"/>
    <w:rsid w:val="20B47E17"/>
    <w:rsid w:val="20C22534"/>
    <w:rsid w:val="20DD2ECA"/>
    <w:rsid w:val="20EC135F"/>
    <w:rsid w:val="210E5779"/>
    <w:rsid w:val="211116EB"/>
    <w:rsid w:val="213276BA"/>
    <w:rsid w:val="216133FC"/>
    <w:rsid w:val="21696E53"/>
    <w:rsid w:val="217A2E0F"/>
    <w:rsid w:val="218E68BA"/>
    <w:rsid w:val="219A700D"/>
    <w:rsid w:val="21BC51D5"/>
    <w:rsid w:val="21D56769"/>
    <w:rsid w:val="21DF0EC4"/>
    <w:rsid w:val="21E169EA"/>
    <w:rsid w:val="21E52EF3"/>
    <w:rsid w:val="21FB5D7B"/>
    <w:rsid w:val="22015E94"/>
    <w:rsid w:val="220B1C3D"/>
    <w:rsid w:val="220C3FEC"/>
    <w:rsid w:val="221D1D20"/>
    <w:rsid w:val="22334A87"/>
    <w:rsid w:val="22462CF1"/>
    <w:rsid w:val="22482F0D"/>
    <w:rsid w:val="227C3FA3"/>
    <w:rsid w:val="229677D4"/>
    <w:rsid w:val="22A53EBB"/>
    <w:rsid w:val="22AF4D3A"/>
    <w:rsid w:val="22BE6801"/>
    <w:rsid w:val="22C24A6D"/>
    <w:rsid w:val="22FF35CB"/>
    <w:rsid w:val="231D1CA3"/>
    <w:rsid w:val="233500BF"/>
    <w:rsid w:val="23377FF7"/>
    <w:rsid w:val="236B425F"/>
    <w:rsid w:val="23836192"/>
    <w:rsid w:val="23901F29"/>
    <w:rsid w:val="2398757C"/>
    <w:rsid w:val="239C0061"/>
    <w:rsid w:val="23A44173"/>
    <w:rsid w:val="23A6613D"/>
    <w:rsid w:val="23B02B18"/>
    <w:rsid w:val="23B908A4"/>
    <w:rsid w:val="23E95BEF"/>
    <w:rsid w:val="23ED5B1A"/>
    <w:rsid w:val="23FD0064"/>
    <w:rsid w:val="24082954"/>
    <w:rsid w:val="240A66CC"/>
    <w:rsid w:val="24262DDA"/>
    <w:rsid w:val="24392B0D"/>
    <w:rsid w:val="244514B2"/>
    <w:rsid w:val="245375B0"/>
    <w:rsid w:val="24642C0A"/>
    <w:rsid w:val="24661428"/>
    <w:rsid w:val="248A15BB"/>
    <w:rsid w:val="24AF2DCF"/>
    <w:rsid w:val="24B22173"/>
    <w:rsid w:val="24B756C4"/>
    <w:rsid w:val="24B95AD9"/>
    <w:rsid w:val="24BE24DA"/>
    <w:rsid w:val="24CF5825"/>
    <w:rsid w:val="24D10F97"/>
    <w:rsid w:val="24D6035C"/>
    <w:rsid w:val="24D663E6"/>
    <w:rsid w:val="24D77F2B"/>
    <w:rsid w:val="25056E93"/>
    <w:rsid w:val="25537BFE"/>
    <w:rsid w:val="258B00E2"/>
    <w:rsid w:val="25A917A6"/>
    <w:rsid w:val="25A95711"/>
    <w:rsid w:val="25BE27CC"/>
    <w:rsid w:val="25DD571A"/>
    <w:rsid w:val="25F74A5C"/>
    <w:rsid w:val="261750D0"/>
    <w:rsid w:val="2628662C"/>
    <w:rsid w:val="262D45DE"/>
    <w:rsid w:val="26695200"/>
    <w:rsid w:val="267C13D7"/>
    <w:rsid w:val="26871DC8"/>
    <w:rsid w:val="269A360B"/>
    <w:rsid w:val="26A53EF9"/>
    <w:rsid w:val="26A94201"/>
    <w:rsid w:val="26AA7CF2"/>
    <w:rsid w:val="26AC274F"/>
    <w:rsid w:val="26DE799C"/>
    <w:rsid w:val="27044A29"/>
    <w:rsid w:val="271D34C8"/>
    <w:rsid w:val="274E2D73"/>
    <w:rsid w:val="276142BF"/>
    <w:rsid w:val="27783712"/>
    <w:rsid w:val="27907362"/>
    <w:rsid w:val="27914A0E"/>
    <w:rsid w:val="27A40BE5"/>
    <w:rsid w:val="27A74232"/>
    <w:rsid w:val="27BA5D13"/>
    <w:rsid w:val="28013942"/>
    <w:rsid w:val="28033B5E"/>
    <w:rsid w:val="280C1053"/>
    <w:rsid w:val="28333E1D"/>
    <w:rsid w:val="28454BD6"/>
    <w:rsid w:val="28455253"/>
    <w:rsid w:val="28551971"/>
    <w:rsid w:val="285B1C53"/>
    <w:rsid w:val="286640ED"/>
    <w:rsid w:val="288A1B89"/>
    <w:rsid w:val="289F7086"/>
    <w:rsid w:val="28BA7F95"/>
    <w:rsid w:val="28C32028"/>
    <w:rsid w:val="28CC490F"/>
    <w:rsid w:val="28DE40AA"/>
    <w:rsid w:val="29253660"/>
    <w:rsid w:val="29323FCF"/>
    <w:rsid w:val="29345E77"/>
    <w:rsid w:val="294C65AD"/>
    <w:rsid w:val="29806583"/>
    <w:rsid w:val="2987256D"/>
    <w:rsid w:val="298B3C4C"/>
    <w:rsid w:val="29A50C45"/>
    <w:rsid w:val="29B33362"/>
    <w:rsid w:val="29BB5D72"/>
    <w:rsid w:val="29BF5862"/>
    <w:rsid w:val="29DF5F05"/>
    <w:rsid w:val="29F15C38"/>
    <w:rsid w:val="29F26D24"/>
    <w:rsid w:val="2A07545B"/>
    <w:rsid w:val="2A15033F"/>
    <w:rsid w:val="2A1662C1"/>
    <w:rsid w:val="2A1C7367"/>
    <w:rsid w:val="2A2815FA"/>
    <w:rsid w:val="2A6D6092"/>
    <w:rsid w:val="2A7D76B4"/>
    <w:rsid w:val="2A917C97"/>
    <w:rsid w:val="2AC375D4"/>
    <w:rsid w:val="2AE33D87"/>
    <w:rsid w:val="2AEF3F25"/>
    <w:rsid w:val="2AF7102C"/>
    <w:rsid w:val="2B17347C"/>
    <w:rsid w:val="2B2F07C6"/>
    <w:rsid w:val="2B437463"/>
    <w:rsid w:val="2B7807EE"/>
    <w:rsid w:val="2BA50BF7"/>
    <w:rsid w:val="2BBF00EC"/>
    <w:rsid w:val="2BC37CFD"/>
    <w:rsid w:val="2BD5237F"/>
    <w:rsid w:val="2BE536CE"/>
    <w:rsid w:val="2BE758D9"/>
    <w:rsid w:val="2BFB4B4C"/>
    <w:rsid w:val="2C09049E"/>
    <w:rsid w:val="2C0A653C"/>
    <w:rsid w:val="2C191F85"/>
    <w:rsid w:val="2C300C99"/>
    <w:rsid w:val="2C324A12"/>
    <w:rsid w:val="2C471B3F"/>
    <w:rsid w:val="2C5524AE"/>
    <w:rsid w:val="2C610E53"/>
    <w:rsid w:val="2CA927FA"/>
    <w:rsid w:val="2CE82D6F"/>
    <w:rsid w:val="2CF9108B"/>
    <w:rsid w:val="2D1A7254"/>
    <w:rsid w:val="2D226BB7"/>
    <w:rsid w:val="2D340315"/>
    <w:rsid w:val="2D343236"/>
    <w:rsid w:val="2DD15014"/>
    <w:rsid w:val="2DF61A6F"/>
    <w:rsid w:val="2DF72DE4"/>
    <w:rsid w:val="2E0220AF"/>
    <w:rsid w:val="2E163EBF"/>
    <w:rsid w:val="2E310CF9"/>
    <w:rsid w:val="2E4B082A"/>
    <w:rsid w:val="2E5D4E86"/>
    <w:rsid w:val="2E5D790B"/>
    <w:rsid w:val="2E9A3C18"/>
    <w:rsid w:val="2EA63495"/>
    <w:rsid w:val="2EB37960"/>
    <w:rsid w:val="2EBB0FEE"/>
    <w:rsid w:val="2EC63002"/>
    <w:rsid w:val="2EE10029"/>
    <w:rsid w:val="2EE713B8"/>
    <w:rsid w:val="2F0A6B38"/>
    <w:rsid w:val="2F1F6DA3"/>
    <w:rsid w:val="2F2B1DEB"/>
    <w:rsid w:val="2F2B5748"/>
    <w:rsid w:val="2F6A1C58"/>
    <w:rsid w:val="2F8530AA"/>
    <w:rsid w:val="2F946CCB"/>
    <w:rsid w:val="2FD25781"/>
    <w:rsid w:val="2FDC745C"/>
    <w:rsid w:val="2FFD7934"/>
    <w:rsid w:val="30110DE2"/>
    <w:rsid w:val="30393E95"/>
    <w:rsid w:val="30550CCF"/>
    <w:rsid w:val="3071362F"/>
    <w:rsid w:val="30733ACD"/>
    <w:rsid w:val="308C3862"/>
    <w:rsid w:val="309379D8"/>
    <w:rsid w:val="30A01E2D"/>
    <w:rsid w:val="30A12166"/>
    <w:rsid w:val="30A270F7"/>
    <w:rsid w:val="30D53BBD"/>
    <w:rsid w:val="30DD6F16"/>
    <w:rsid w:val="30DF1478"/>
    <w:rsid w:val="30EC586F"/>
    <w:rsid w:val="310821E5"/>
    <w:rsid w:val="31132938"/>
    <w:rsid w:val="31453C6D"/>
    <w:rsid w:val="31462D0D"/>
    <w:rsid w:val="316E7B6E"/>
    <w:rsid w:val="319C6071"/>
    <w:rsid w:val="31A11ECE"/>
    <w:rsid w:val="31A619F8"/>
    <w:rsid w:val="31AC537E"/>
    <w:rsid w:val="31B00187"/>
    <w:rsid w:val="31DD71CE"/>
    <w:rsid w:val="31E3679B"/>
    <w:rsid w:val="31E732FD"/>
    <w:rsid w:val="31FE1AB5"/>
    <w:rsid w:val="323821E0"/>
    <w:rsid w:val="32513718"/>
    <w:rsid w:val="32517576"/>
    <w:rsid w:val="32BE5C2C"/>
    <w:rsid w:val="32C65AB6"/>
    <w:rsid w:val="32D63C1D"/>
    <w:rsid w:val="32EC455A"/>
    <w:rsid w:val="32FB6478"/>
    <w:rsid w:val="33107F03"/>
    <w:rsid w:val="332410BB"/>
    <w:rsid w:val="33263B3F"/>
    <w:rsid w:val="33294694"/>
    <w:rsid w:val="333077D1"/>
    <w:rsid w:val="336963EB"/>
    <w:rsid w:val="33751688"/>
    <w:rsid w:val="337771AE"/>
    <w:rsid w:val="33816EEB"/>
    <w:rsid w:val="33A65CE5"/>
    <w:rsid w:val="33BB353F"/>
    <w:rsid w:val="33CF0D98"/>
    <w:rsid w:val="33D12D62"/>
    <w:rsid w:val="33E10ACB"/>
    <w:rsid w:val="33E365F1"/>
    <w:rsid w:val="33EB55CD"/>
    <w:rsid w:val="33EC4C02"/>
    <w:rsid w:val="33FE167D"/>
    <w:rsid w:val="340877E3"/>
    <w:rsid w:val="340D2360"/>
    <w:rsid w:val="340E30B5"/>
    <w:rsid w:val="3410665D"/>
    <w:rsid w:val="341E7629"/>
    <w:rsid w:val="34211214"/>
    <w:rsid w:val="342866FA"/>
    <w:rsid w:val="342E63AB"/>
    <w:rsid w:val="344A6A9D"/>
    <w:rsid w:val="345E211C"/>
    <w:rsid w:val="34950E68"/>
    <w:rsid w:val="34986E94"/>
    <w:rsid w:val="34AF62C9"/>
    <w:rsid w:val="34CB4388"/>
    <w:rsid w:val="34FA6E12"/>
    <w:rsid w:val="35064C8D"/>
    <w:rsid w:val="350E73C1"/>
    <w:rsid w:val="354D7158"/>
    <w:rsid w:val="355A6D87"/>
    <w:rsid w:val="357339A5"/>
    <w:rsid w:val="358D5588"/>
    <w:rsid w:val="35B54FC1"/>
    <w:rsid w:val="35BC17F0"/>
    <w:rsid w:val="35C97A69"/>
    <w:rsid w:val="35E87EEF"/>
    <w:rsid w:val="36064819"/>
    <w:rsid w:val="363A3B40"/>
    <w:rsid w:val="363B6FD3"/>
    <w:rsid w:val="365302AE"/>
    <w:rsid w:val="365C268B"/>
    <w:rsid w:val="36607A0A"/>
    <w:rsid w:val="366E227C"/>
    <w:rsid w:val="366F2E0D"/>
    <w:rsid w:val="367B6A5C"/>
    <w:rsid w:val="368E748E"/>
    <w:rsid w:val="36A74ADA"/>
    <w:rsid w:val="36AD60D5"/>
    <w:rsid w:val="36B224F9"/>
    <w:rsid w:val="36EC0CC9"/>
    <w:rsid w:val="36FA25D0"/>
    <w:rsid w:val="37105A48"/>
    <w:rsid w:val="371A67CE"/>
    <w:rsid w:val="3724764D"/>
    <w:rsid w:val="37353608"/>
    <w:rsid w:val="373F410B"/>
    <w:rsid w:val="378B331F"/>
    <w:rsid w:val="37B3452D"/>
    <w:rsid w:val="37EE7094"/>
    <w:rsid w:val="37EE7A0C"/>
    <w:rsid w:val="37F76B0F"/>
    <w:rsid w:val="38296C89"/>
    <w:rsid w:val="383002EB"/>
    <w:rsid w:val="38304373"/>
    <w:rsid w:val="383C4522"/>
    <w:rsid w:val="38455ACD"/>
    <w:rsid w:val="38481119"/>
    <w:rsid w:val="38586797"/>
    <w:rsid w:val="386B4E07"/>
    <w:rsid w:val="38BC0149"/>
    <w:rsid w:val="38C83C36"/>
    <w:rsid w:val="38D87D1C"/>
    <w:rsid w:val="38E47094"/>
    <w:rsid w:val="38EC7CF6"/>
    <w:rsid w:val="394915ED"/>
    <w:rsid w:val="39636459"/>
    <w:rsid w:val="396B7F6C"/>
    <w:rsid w:val="39974106"/>
    <w:rsid w:val="39B417A9"/>
    <w:rsid w:val="39ED56B2"/>
    <w:rsid w:val="39F257E0"/>
    <w:rsid w:val="39FC5695"/>
    <w:rsid w:val="3A006D8E"/>
    <w:rsid w:val="3A204F94"/>
    <w:rsid w:val="3A2F07E2"/>
    <w:rsid w:val="3A3651E5"/>
    <w:rsid w:val="3A5244D1"/>
    <w:rsid w:val="3A744481"/>
    <w:rsid w:val="3A8C7BEF"/>
    <w:rsid w:val="3A906246"/>
    <w:rsid w:val="3AAF547F"/>
    <w:rsid w:val="3AE25855"/>
    <w:rsid w:val="3B135A0E"/>
    <w:rsid w:val="3B2349B7"/>
    <w:rsid w:val="3B343BD6"/>
    <w:rsid w:val="3B616CFF"/>
    <w:rsid w:val="3B6259F6"/>
    <w:rsid w:val="3B8127E6"/>
    <w:rsid w:val="3B976654"/>
    <w:rsid w:val="3B9F3746"/>
    <w:rsid w:val="3BC01EFC"/>
    <w:rsid w:val="3BCA786A"/>
    <w:rsid w:val="3BD31E2F"/>
    <w:rsid w:val="3BF05D4F"/>
    <w:rsid w:val="3BF15831"/>
    <w:rsid w:val="3C0812EB"/>
    <w:rsid w:val="3C105946"/>
    <w:rsid w:val="3C4147FD"/>
    <w:rsid w:val="3C471448"/>
    <w:rsid w:val="3C5F759A"/>
    <w:rsid w:val="3C6504EB"/>
    <w:rsid w:val="3C6C525A"/>
    <w:rsid w:val="3C6F136A"/>
    <w:rsid w:val="3C964B49"/>
    <w:rsid w:val="3CC05722"/>
    <w:rsid w:val="3CC86CCC"/>
    <w:rsid w:val="3CCE23CB"/>
    <w:rsid w:val="3CD17D17"/>
    <w:rsid w:val="3CEA279F"/>
    <w:rsid w:val="3CEC29BB"/>
    <w:rsid w:val="3D363C36"/>
    <w:rsid w:val="3D3C7F39"/>
    <w:rsid w:val="3D440F09"/>
    <w:rsid w:val="3D4504A0"/>
    <w:rsid w:val="3D7959A4"/>
    <w:rsid w:val="3D8734BB"/>
    <w:rsid w:val="3D9A11D4"/>
    <w:rsid w:val="3DA16D89"/>
    <w:rsid w:val="3DA364BE"/>
    <w:rsid w:val="3DE041CB"/>
    <w:rsid w:val="3DEC0798"/>
    <w:rsid w:val="3E0D48F6"/>
    <w:rsid w:val="3E1868B4"/>
    <w:rsid w:val="3E295549"/>
    <w:rsid w:val="3E377251"/>
    <w:rsid w:val="3E4203B8"/>
    <w:rsid w:val="3E42664B"/>
    <w:rsid w:val="3E5A7334"/>
    <w:rsid w:val="3E7B5D6B"/>
    <w:rsid w:val="3E843E66"/>
    <w:rsid w:val="3E8F51FE"/>
    <w:rsid w:val="3E926F87"/>
    <w:rsid w:val="3E9A1FA2"/>
    <w:rsid w:val="3E9A59DE"/>
    <w:rsid w:val="3EAE5A4E"/>
    <w:rsid w:val="3EAF4836"/>
    <w:rsid w:val="3EB12A94"/>
    <w:rsid w:val="3EC33DFA"/>
    <w:rsid w:val="3EE33949"/>
    <w:rsid w:val="3F060E16"/>
    <w:rsid w:val="3F177A97"/>
    <w:rsid w:val="3F19736B"/>
    <w:rsid w:val="3F1D1096"/>
    <w:rsid w:val="3F2A77CA"/>
    <w:rsid w:val="3F2C52F0"/>
    <w:rsid w:val="3F2F0234"/>
    <w:rsid w:val="3F5B7984"/>
    <w:rsid w:val="3F634A8A"/>
    <w:rsid w:val="3F6363FE"/>
    <w:rsid w:val="3F746C97"/>
    <w:rsid w:val="3F756B8F"/>
    <w:rsid w:val="3F95482B"/>
    <w:rsid w:val="3FB05F21"/>
    <w:rsid w:val="3FF12096"/>
    <w:rsid w:val="3FFE7BEC"/>
    <w:rsid w:val="4019356B"/>
    <w:rsid w:val="401A50C7"/>
    <w:rsid w:val="401F4E55"/>
    <w:rsid w:val="40464190"/>
    <w:rsid w:val="40592157"/>
    <w:rsid w:val="406960D0"/>
    <w:rsid w:val="406B34A7"/>
    <w:rsid w:val="406E1CAE"/>
    <w:rsid w:val="407056B1"/>
    <w:rsid w:val="40A0133A"/>
    <w:rsid w:val="40B3559D"/>
    <w:rsid w:val="40C31A53"/>
    <w:rsid w:val="40D95004"/>
    <w:rsid w:val="40F167F2"/>
    <w:rsid w:val="40FF545D"/>
    <w:rsid w:val="410067C8"/>
    <w:rsid w:val="41466412"/>
    <w:rsid w:val="4149735F"/>
    <w:rsid w:val="41546D80"/>
    <w:rsid w:val="416176D3"/>
    <w:rsid w:val="417D0085"/>
    <w:rsid w:val="418F0D2A"/>
    <w:rsid w:val="41962EF5"/>
    <w:rsid w:val="419B050B"/>
    <w:rsid w:val="41B810BD"/>
    <w:rsid w:val="41B96BE3"/>
    <w:rsid w:val="41CC2DBB"/>
    <w:rsid w:val="41D01505"/>
    <w:rsid w:val="41EC1AAA"/>
    <w:rsid w:val="420C765B"/>
    <w:rsid w:val="42474939"/>
    <w:rsid w:val="424C3C57"/>
    <w:rsid w:val="42537038"/>
    <w:rsid w:val="425F778B"/>
    <w:rsid w:val="42613FF3"/>
    <w:rsid w:val="42621029"/>
    <w:rsid w:val="42660D96"/>
    <w:rsid w:val="42672AE3"/>
    <w:rsid w:val="426923B8"/>
    <w:rsid w:val="428667D2"/>
    <w:rsid w:val="42CD1CE0"/>
    <w:rsid w:val="42E1381E"/>
    <w:rsid w:val="42ED6459"/>
    <w:rsid w:val="42FE58DD"/>
    <w:rsid w:val="43174B3D"/>
    <w:rsid w:val="433429C6"/>
    <w:rsid w:val="433504EC"/>
    <w:rsid w:val="4343168B"/>
    <w:rsid w:val="434B790E"/>
    <w:rsid w:val="434B7D0F"/>
    <w:rsid w:val="4360274F"/>
    <w:rsid w:val="43977AB6"/>
    <w:rsid w:val="43A3342B"/>
    <w:rsid w:val="43C77C27"/>
    <w:rsid w:val="43D03296"/>
    <w:rsid w:val="43DE09EE"/>
    <w:rsid w:val="43FB34E3"/>
    <w:rsid w:val="43FC2912"/>
    <w:rsid w:val="44002FAD"/>
    <w:rsid w:val="44184095"/>
    <w:rsid w:val="441C37AA"/>
    <w:rsid w:val="448259B3"/>
    <w:rsid w:val="449101DD"/>
    <w:rsid w:val="44915BF6"/>
    <w:rsid w:val="44B6565C"/>
    <w:rsid w:val="44DE1391"/>
    <w:rsid w:val="44E44F90"/>
    <w:rsid w:val="44E4666D"/>
    <w:rsid w:val="451B225C"/>
    <w:rsid w:val="452410C9"/>
    <w:rsid w:val="45317DFB"/>
    <w:rsid w:val="45435142"/>
    <w:rsid w:val="456D3CE4"/>
    <w:rsid w:val="4574354D"/>
    <w:rsid w:val="4579042C"/>
    <w:rsid w:val="457F0571"/>
    <w:rsid w:val="45851176"/>
    <w:rsid w:val="458F0387"/>
    <w:rsid w:val="45C55BC2"/>
    <w:rsid w:val="45C63B94"/>
    <w:rsid w:val="45CF4C28"/>
    <w:rsid w:val="4609638B"/>
    <w:rsid w:val="460E7DA5"/>
    <w:rsid w:val="4638596E"/>
    <w:rsid w:val="46422483"/>
    <w:rsid w:val="4659254A"/>
    <w:rsid w:val="465B0637"/>
    <w:rsid w:val="465E3F0D"/>
    <w:rsid w:val="466A16E6"/>
    <w:rsid w:val="466E61EE"/>
    <w:rsid w:val="46893F2B"/>
    <w:rsid w:val="46A71700"/>
    <w:rsid w:val="46BF6A4A"/>
    <w:rsid w:val="46C444E6"/>
    <w:rsid w:val="46C4686E"/>
    <w:rsid w:val="46C95B1B"/>
    <w:rsid w:val="46D36999"/>
    <w:rsid w:val="46E91D19"/>
    <w:rsid w:val="46EE732F"/>
    <w:rsid w:val="46FF778E"/>
    <w:rsid w:val="47523D62"/>
    <w:rsid w:val="4772294D"/>
    <w:rsid w:val="477B778F"/>
    <w:rsid w:val="478203EC"/>
    <w:rsid w:val="479F062A"/>
    <w:rsid w:val="47B025FA"/>
    <w:rsid w:val="47B6609F"/>
    <w:rsid w:val="47C02A7A"/>
    <w:rsid w:val="47EC047B"/>
    <w:rsid w:val="4809698F"/>
    <w:rsid w:val="4811697D"/>
    <w:rsid w:val="485D3098"/>
    <w:rsid w:val="485D476D"/>
    <w:rsid w:val="48651873"/>
    <w:rsid w:val="486F7FBB"/>
    <w:rsid w:val="487A3E25"/>
    <w:rsid w:val="488173C1"/>
    <w:rsid w:val="488B5503"/>
    <w:rsid w:val="488E0DCA"/>
    <w:rsid w:val="48937E21"/>
    <w:rsid w:val="4898528E"/>
    <w:rsid w:val="489A0361"/>
    <w:rsid w:val="48A73C3A"/>
    <w:rsid w:val="48A8102D"/>
    <w:rsid w:val="48B94FF3"/>
    <w:rsid w:val="48BF71D5"/>
    <w:rsid w:val="48CE11C6"/>
    <w:rsid w:val="48E1539E"/>
    <w:rsid w:val="48E37AAB"/>
    <w:rsid w:val="48F01FB9"/>
    <w:rsid w:val="48FD4B4C"/>
    <w:rsid w:val="490A68E0"/>
    <w:rsid w:val="491055FE"/>
    <w:rsid w:val="49543DC1"/>
    <w:rsid w:val="495F5B3E"/>
    <w:rsid w:val="496F77D7"/>
    <w:rsid w:val="497654FD"/>
    <w:rsid w:val="49935F6C"/>
    <w:rsid w:val="49B45E75"/>
    <w:rsid w:val="49B64211"/>
    <w:rsid w:val="49D41AAC"/>
    <w:rsid w:val="49D96075"/>
    <w:rsid w:val="49F6167F"/>
    <w:rsid w:val="4A064FA0"/>
    <w:rsid w:val="4A16615C"/>
    <w:rsid w:val="4A174DEF"/>
    <w:rsid w:val="4A2C089A"/>
    <w:rsid w:val="4A4424D7"/>
    <w:rsid w:val="4AB41FFC"/>
    <w:rsid w:val="4AB82D0F"/>
    <w:rsid w:val="4AEB7664"/>
    <w:rsid w:val="4AF55130"/>
    <w:rsid w:val="4AFB201B"/>
    <w:rsid w:val="4AFD7C19"/>
    <w:rsid w:val="4B0567D1"/>
    <w:rsid w:val="4B236AAE"/>
    <w:rsid w:val="4B2F799D"/>
    <w:rsid w:val="4B3B3348"/>
    <w:rsid w:val="4B707271"/>
    <w:rsid w:val="4B9739F7"/>
    <w:rsid w:val="4BCD39B7"/>
    <w:rsid w:val="4BE5775B"/>
    <w:rsid w:val="4BEE2503"/>
    <w:rsid w:val="4BF727EA"/>
    <w:rsid w:val="4C134292"/>
    <w:rsid w:val="4C245A30"/>
    <w:rsid w:val="4C2D26A8"/>
    <w:rsid w:val="4C481290"/>
    <w:rsid w:val="4CB6685F"/>
    <w:rsid w:val="4CB86415"/>
    <w:rsid w:val="4CBB4158"/>
    <w:rsid w:val="4CC367FE"/>
    <w:rsid w:val="4CC56D84"/>
    <w:rsid w:val="4CEC4311"/>
    <w:rsid w:val="4CFD207A"/>
    <w:rsid w:val="4D077F3C"/>
    <w:rsid w:val="4D123355"/>
    <w:rsid w:val="4D2025A6"/>
    <w:rsid w:val="4D2A3B31"/>
    <w:rsid w:val="4D312C52"/>
    <w:rsid w:val="4D493511"/>
    <w:rsid w:val="4D7367E0"/>
    <w:rsid w:val="4D905305"/>
    <w:rsid w:val="4D964A72"/>
    <w:rsid w:val="4D9C1254"/>
    <w:rsid w:val="4D9D560B"/>
    <w:rsid w:val="4D9E5B15"/>
    <w:rsid w:val="4DA90454"/>
    <w:rsid w:val="4DAB0FD1"/>
    <w:rsid w:val="4DE82D2A"/>
    <w:rsid w:val="4DFA2A5E"/>
    <w:rsid w:val="4E3E6DEE"/>
    <w:rsid w:val="4E4D5283"/>
    <w:rsid w:val="4E6B0257"/>
    <w:rsid w:val="4E7331DF"/>
    <w:rsid w:val="4E793892"/>
    <w:rsid w:val="4E7E368F"/>
    <w:rsid w:val="4E800872"/>
    <w:rsid w:val="4EC569ED"/>
    <w:rsid w:val="4ED50EA1"/>
    <w:rsid w:val="4ED908C5"/>
    <w:rsid w:val="4EEC050C"/>
    <w:rsid w:val="4EF23735"/>
    <w:rsid w:val="4EF93187"/>
    <w:rsid w:val="4F02606E"/>
    <w:rsid w:val="4F0E67C1"/>
    <w:rsid w:val="4F104EC3"/>
    <w:rsid w:val="4F2E6E63"/>
    <w:rsid w:val="4F47354A"/>
    <w:rsid w:val="4F911C54"/>
    <w:rsid w:val="4F9A44F8"/>
    <w:rsid w:val="4FA17635"/>
    <w:rsid w:val="4FE625E0"/>
    <w:rsid w:val="4FF37764"/>
    <w:rsid w:val="5021480F"/>
    <w:rsid w:val="504A6F13"/>
    <w:rsid w:val="504B134F"/>
    <w:rsid w:val="505C301C"/>
    <w:rsid w:val="5060129E"/>
    <w:rsid w:val="507B0ADD"/>
    <w:rsid w:val="50962ECB"/>
    <w:rsid w:val="50A42E38"/>
    <w:rsid w:val="50A4577F"/>
    <w:rsid w:val="50B05655"/>
    <w:rsid w:val="50B43398"/>
    <w:rsid w:val="50B73D1F"/>
    <w:rsid w:val="50BD5BC9"/>
    <w:rsid w:val="50C11EEE"/>
    <w:rsid w:val="50E97CFC"/>
    <w:rsid w:val="50F6575E"/>
    <w:rsid w:val="50FA4028"/>
    <w:rsid w:val="510D65B7"/>
    <w:rsid w:val="511157AB"/>
    <w:rsid w:val="5142540C"/>
    <w:rsid w:val="51477D68"/>
    <w:rsid w:val="518832C8"/>
    <w:rsid w:val="519A433C"/>
    <w:rsid w:val="519D3C50"/>
    <w:rsid w:val="51A0432A"/>
    <w:rsid w:val="51A86090"/>
    <w:rsid w:val="51B00003"/>
    <w:rsid w:val="51B7396D"/>
    <w:rsid w:val="51E0323A"/>
    <w:rsid w:val="51E952C3"/>
    <w:rsid w:val="522E4CC3"/>
    <w:rsid w:val="5244713B"/>
    <w:rsid w:val="52615633"/>
    <w:rsid w:val="52630BD1"/>
    <w:rsid w:val="526B217C"/>
    <w:rsid w:val="526F4DE4"/>
    <w:rsid w:val="528A2602"/>
    <w:rsid w:val="528D5C4E"/>
    <w:rsid w:val="52977FD4"/>
    <w:rsid w:val="52A25790"/>
    <w:rsid w:val="52A5743C"/>
    <w:rsid w:val="52A96B6F"/>
    <w:rsid w:val="52B45975"/>
    <w:rsid w:val="52D94AA4"/>
    <w:rsid w:val="52E635B0"/>
    <w:rsid w:val="52EA3A62"/>
    <w:rsid w:val="52ED2B91"/>
    <w:rsid w:val="52EF7E0E"/>
    <w:rsid w:val="52F50BB8"/>
    <w:rsid w:val="53097272"/>
    <w:rsid w:val="53373E0C"/>
    <w:rsid w:val="534C1537"/>
    <w:rsid w:val="53544462"/>
    <w:rsid w:val="535F3A8F"/>
    <w:rsid w:val="537D2167"/>
    <w:rsid w:val="5397158E"/>
    <w:rsid w:val="53A5346C"/>
    <w:rsid w:val="53DA4EC3"/>
    <w:rsid w:val="53E325D5"/>
    <w:rsid w:val="53E75832"/>
    <w:rsid w:val="54013861"/>
    <w:rsid w:val="54352A41"/>
    <w:rsid w:val="54487265"/>
    <w:rsid w:val="544D6070"/>
    <w:rsid w:val="54605E1E"/>
    <w:rsid w:val="54790B80"/>
    <w:rsid w:val="54A13C33"/>
    <w:rsid w:val="54B3506A"/>
    <w:rsid w:val="54B35714"/>
    <w:rsid w:val="54C40FDC"/>
    <w:rsid w:val="54CA0D16"/>
    <w:rsid w:val="54DD4057"/>
    <w:rsid w:val="54E7490F"/>
    <w:rsid w:val="550764A4"/>
    <w:rsid w:val="550A17D8"/>
    <w:rsid w:val="550B2BF6"/>
    <w:rsid w:val="550D12C8"/>
    <w:rsid w:val="55214EB5"/>
    <w:rsid w:val="55274753"/>
    <w:rsid w:val="55364EFD"/>
    <w:rsid w:val="555111B5"/>
    <w:rsid w:val="555D4828"/>
    <w:rsid w:val="557A4C8B"/>
    <w:rsid w:val="55886BA1"/>
    <w:rsid w:val="558931E1"/>
    <w:rsid w:val="559002B6"/>
    <w:rsid w:val="55923347"/>
    <w:rsid w:val="55925180"/>
    <w:rsid w:val="55983B1B"/>
    <w:rsid w:val="55A8376B"/>
    <w:rsid w:val="55DC29B6"/>
    <w:rsid w:val="55DD4241"/>
    <w:rsid w:val="55E62245"/>
    <w:rsid w:val="55FC3817"/>
    <w:rsid w:val="561D19DF"/>
    <w:rsid w:val="564231F4"/>
    <w:rsid w:val="56535401"/>
    <w:rsid w:val="566B6D1E"/>
    <w:rsid w:val="566E223B"/>
    <w:rsid w:val="567D352D"/>
    <w:rsid w:val="56B0015D"/>
    <w:rsid w:val="56C65BD3"/>
    <w:rsid w:val="56CD0D0F"/>
    <w:rsid w:val="56FC7846"/>
    <w:rsid w:val="57016C0B"/>
    <w:rsid w:val="57032A2C"/>
    <w:rsid w:val="57034731"/>
    <w:rsid w:val="570F5219"/>
    <w:rsid w:val="571C1C97"/>
    <w:rsid w:val="572E78E5"/>
    <w:rsid w:val="573963A5"/>
    <w:rsid w:val="57476D14"/>
    <w:rsid w:val="574D00A2"/>
    <w:rsid w:val="5754797B"/>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8000E"/>
    <w:rsid w:val="581B3CFC"/>
    <w:rsid w:val="58782EFD"/>
    <w:rsid w:val="587C5AB0"/>
    <w:rsid w:val="58917D2F"/>
    <w:rsid w:val="5894085C"/>
    <w:rsid w:val="58AE4F0C"/>
    <w:rsid w:val="58B85899"/>
    <w:rsid w:val="58D04AE7"/>
    <w:rsid w:val="58E363A9"/>
    <w:rsid w:val="58F91429"/>
    <w:rsid w:val="58FE1654"/>
    <w:rsid w:val="5919023C"/>
    <w:rsid w:val="591E264C"/>
    <w:rsid w:val="592D018B"/>
    <w:rsid w:val="59374B66"/>
    <w:rsid w:val="595E1678"/>
    <w:rsid w:val="596D5BD4"/>
    <w:rsid w:val="597E3DD8"/>
    <w:rsid w:val="59975605"/>
    <w:rsid w:val="59D94A50"/>
    <w:rsid w:val="59E24FA9"/>
    <w:rsid w:val="59F80043"/>
    <w:rsid w:val="5A09252F"/>
    <w:rsid w:val="5A0B2778"/>
    <w:rsid w:val="5A2A7C7B"/>
    <w:rsid w:val="5A3E2560"/>
    <w:rsid w:val="5A5B4884"/>
    <w:rsid w:val="5A5D3B6E"/>
    <w:rsid w:val="5A637A76"/>
    <w:rsid w:val="5A6C083F"/>
    <w:rsid w:val="5A6D33BA"/>
    <w:rsid w:val="5A792B1F"/>
    <w:rsid w:val="5A874767"/>
    <w:rsid w:val="5A9552DA"/>
    <w:rsid w:val="5AA85BE2"/>
    <w:rsid w:val="5AAD6F28"/>
    <w:rsid w:val="5AB81CD6"/>
    <w:rsid w:val="5ABE2749"/>
    <w:rsid w:val="5AD63A24"/>
    <w:rsid w:val="5ADA7E9F"/>
    <w:rsid w:val="5AE51A4D"/>
    <w:rsid w:val="5B1213E7"/>
    <w:rsid w:val="5B2E1A1D"/>
    <w:rsid w:val="5B413A7A"/>
    <w:rsid w:val="5B653C0C"/>
    <w:rsid w:val="5B7C2D04"/>
    <w:rsid w:val="5B843A1C"/>
    <w:rsid w:val="5B873E3F"/>
    <w:rsid w:val="5B9B5880"/>
    <w:rsid w:val="5BA02E96"/>
    <w:rsid w:val="5BC621D1"/>
    <w:rsid w:val="5C02690E"/>
    <w:rsid w:val="5C196DA7"/>
    <w:rsid w:val="5C2A048C"/>
    <w:rsid w:val="5C4D2220"/>
    <w:rsid w:val="5C563555"/>
    <w:rsid w:val="5C68135C"/>
    <w:rsid w:val="5C785019"/>
    <w:rsid w:val="5C80234E"/>
    <w:rsid w:val="5C8A680C"/>
    <w:rsid w:val="5C8C51C9"/>
    <w:rsid w:val="5C983B6D"/>
    <w:rsid w:val="5C9F68EF"/>
    <w:rsid w:val="5D0C4701"/>
    <w:rsid w:val="5D0F0395"/>
    <w:rsid w:val="5D221076"/>
    <w:rsid w:val="5D397964"/>
    <w:rsid w:val="5D5850AB"/>
    <w:rsid w:val="5D5A391C"/>
    <w:rsid w:val="5D5C7FB8"/>
    <w:rsid w:val="5D5F10C0"/>
    <w:rsid w:val="5D790E2F"/>
    <w:rsid w:val="5D891B7B"/>
    <w:rsid w:val="5DAD38EE"/>
    <w:rsid w:val="5DB1365C"/>
    <w:rsid w:val="5DCD7847"/>
    <w:rsid w:val="5DE352BC"/>
    <w:rsid w:val="5DE66B5A"/>
    <w:rsid w:val="5E006862"/>
    <w:rsid w:val="5E0207B9"/>
    <w:rsid w:val="5E162F9C"/>
    <w:rsid w:val="5E1834A1"/>
    <w:rsid w:val="5E261785"/>
    <w:rsid w:val="5E3B2A02"/>
    <w:rsid w:val="5E457D25"/>
    <w:rsid w:val="5E4A7017"/>
    <w:rsid w:val="5E552BBA"/>
    <w:rsid w:val="5E611C10"/>
    <w:rsid w:val="5E7A0F3F"/>
    <w:rsid w:val="5ED54C05"/>
    <w:rsid w:val="5EF37781"/>
    <w:rsid w:val="5EFA0B0F"/>
    <w:rsid w:val="5EFC7377"/>
    <w:rsid w:val="5F06174D"/>
    <w:rsid w:val="5F261904"/>
    <w:rsid w:val="5F3A3602"/>
    <w:rsid w:val="5F45733B"/>
    <w:rsid w:val="5F5F4E16"/>
    <w:rsid w:val="5F6277C6"/>
    <w:rsid w:val="5F6D0B1D"/>
    <w:rsid w:val="5F8D0B82"/>
    <w:rsid w:val="5F950838"/>
    <w:rsid w:val="5FC609F2"/>
    <w:rsid w:val="5FCC5339"/>
    <w:rsid w:val="5FE34A5B"/>
    <w:rsid w:val="5FED5F7E"/>
    <w:rsid w:val="5FFE1E36"/>
    <w:rsid w:val="60232584"/>
    <w:rsid w:val="602D0A71"/>
    <w:rsid w:val="603911C4"/>
    <w:rsid w:val="605E6E7C"/>
    <w:rsid w:val="607330CE"/>
    <w:rsid w:val="60803296"/>
    <w:rsid w:val="60825176"/>
    <w:rsid w:val="609F2AC4"/>
    <w:rsid w:val="60EC4488"/>
    <w:rsid w:val="60FA2EE8"/>
    <w:rsid w:val="60FA4DF7"/>
    <w:rsid w:val="61054A27"/>
    <w:rsid w:val="6105554A"/>
    <w:rsid w:val="610A52BC"/>
    <w:rsid w:val="610D059B"/>
    <w:rsid w:val="61137C66"/>
    <w:rsid w:val="611D2366"/>
    <w:rsid w:val="61243C22"/>
    <w:rsid w:val="61330309"/>
    <w:rsid w:val="6138147B"/>
    <w:rsid w:val="61421856"/>
    <w:rsid w:val="614F7276"/>
    <w:rsid w:val="615227C4"/>
    <w:rsid w:val="61654E3F"/>
    <w:rsid w:val="6166248C"/>
    <w:rsid w:val="6182292A"/>
    <w:rsid w:val="619F7F92"/>
    <w:rsid w:val="61BB6CE7"/>
    <w:rsid w:val="61F94C26"/>
    <w:rsid w:val="62000E56"/>
    <w:rsid w:val="623B7475"/>
    <w:rsid w:val="624F3E49"/>
    <w:rsid w:val="62632286"/>
    <w:rsid w:val="626369CC"/>
    <w:rsid w:val="628232F6"/>
    <w:rsid w:val="62885958"/>
    <w:rsid w:val="628A3F58"/>
    <w:rsid w:val="62C92A43"/>
    <w:rsid w:val="62F40B65"/>
    <w:rsid w:val="62F45876"/>
    <w:rsid w:val="62FC2CFE"/>
    <w:rsid w:val="63024505"/>
    <w:rsid w:val="633914DA"/>
    <w:rsid w:val="63497970"/>
    <w:rsid w:val="635600A5"/>
    <w:rsid w:val="635B1DB5"/>
    <w:rsid w:val="63666773"/>
    <w:rsid w:val="636B3D8A"/>
    <w:rsid w:val="63711FED"/>
    <w:rsid w:val="637F15E3"/>
    <w:rsid w:val="63864720"/>
    <w:rsid w:val="63880DDC"/>
    <w:rsid w:val="638D750D"/>
    <w:rsid w:val="63AC6CC0"/>
    <w:rsid w:val="63BD210C"/>
    <w:rsid w:val="63E15DFA"/>
    <w:rsid w:val="63F0428F"/>
    <w:rsid w:val="63F23480"/>
    <w:rsid w:val="63FA3360"/>
    <w:rsid w:val="64055776"/>
    <w:rsid w:val="641F5B67"/>
    <w:rsid w:val="64240056"/>
    <w:rsid w:val="643E143A"/>
    <w:rsid w:val="64491666"/>
    <w:rsid w:val="644C3BBB"/>
    <w:rsid w:val="648B6EEF"/>
    <w:rsid w:val="64C158BF"/>
    <w:rsid w:val="64C73242"/>
    <w:rsid w:val="64CE2EAA"/>
    <w:rsid w:val="64E77440"/>
    <w:rsid w:val="65202952"/>
    <w:rsid w:val="653C3090"/>
    <w:rsid w:val="65510D5D"/>
    <w:rsid w:val="65854376"/>
    <w:rsid w:val="658767BE"/>
    <w:rsid w:val="65892531"/>
    <w:rsid w:val="658E1FB1"/>
    <w:rsid w:val="65A76BCF"/>
    <w:rsid w:val="65AC068A"/>
    <w:rsid w:val="65B80DDC"/>
    <w:rsid w:val="65BF660F"/>
    <w:rsid w:val="65E16585"/>
    <w:rsid w:val="66195831"/>
    <w:rsid w:val="662E75B1"/>
    <w:rsid w:val="66342C2E"/>
    <w:rsid w:val="66344CC4"/>
    <w:rsid w:val="663E784C"/>
    <w:rsid w:val="665A00E6"/>
    <w:rsid w:val="668B6A45"/>
    <w:rsid w:val="66A6332B"/>
    <w:rsid w:val="670D59D2"/>
    <w:rsid w:val="67112C4A"/>
    <w:rsid w:val="672F3F24"/>
    <w:rsid w:val="673B3A73"/>
    <w:rsid w:val="673E055F"/>
    <w:rsid w:val="67551CE3"/>
    <w:rsid w:val="676E209B"/>
    <w:rsid w:val="67A22552"/>
    <w:rsid w:val="67A755AC"/>
    <w:rsid w:val="67B22DCC"/>
    <w:rsid w:val="67B777D7"/>
    <w:rsid w:val="67BA0E3C"/>
    <w:rsid w:val="67BE71AA"/>
    <w:rsid w:val="67C43A69"/>
    <w:rsid w:val="67CF7323"/>
    <w:rsid w:val="67D90273"/>
    <w:rsid w:val="67DE5875"/>
    <w:rsid w:val="67E55852"/>
    <w:rsid w:val="67EB1AB4"/>
    <w:rsid w:val="67F325A0"/>
    <w:rsid w:val="67FA1285"/>
    <w:rsid w:val="68262975"/>
    <w:rsid w:val="68551F4F"/>
    <w:rsid w:val="68694610"/>
    <w:rsid w:val="68751207"/>
    <w:rsid w:val="687A4A6F"/>
    <w:rsid w:val="687C10C9"/>
    <w:rsid w:val="68840C16"/>
    <w:rsid w:val="688431F8"/>
    <w:rsid w:val="68876EFB"/>
    <w:rsid w:val="68884654"/>
    <w:rsid w:val="689F444F"/>
    <w:rsid w:val="68AC37F1"/>
    <w:rsid w:val="68B96DBB"/>
    <w:rsid w:val="68BC6E36"/>
    <w:rsid w:val="68CA2805"/>
    <w:rsid w:val="68CF6B69"/>
    <w:rsid w:val="68D73C6F"/>
    <w:rsid w:val="68E937A3"/>
    <w:rsid w:val="68FB149A"/>
    <w:rsid w:val="69230C63"/>
    <w:rsid w:val="6933534A"/>
    <w:rsid w:val="693E15D3"/>
    <w:rsid w:val="69627681"/>
    <w:rsid w:val="6977531D"/>
    <w:rsid w:val="69CC2BFF"/>
    <w:rsid w:val="69D106BF"/>
    <w:rsid w:val="69FA19C4"/>
    <w:rsid w:val="69FD55B8"/>
    <w:rsid w:val="6A0B1C62"/>
    <w:rsid w:val="6A1D56B2"/>
    <w:rsid w:val="6A2406C8"/>
    <w:rsid w:val="6A3B7666"/>
    <w:rsid w:val="6A5135AE"/>
    <w:rsid w:val="6A9A1ADF"/>
    <w:rsid w:val="6AA06A0F"/>
    <w:rsid w:val="6AA45DD3"/>
    <w:rsid w:val="6AA638F9"/>
    <w:rsid w:val="6AD71D05"/>
    <w:rsid w:val="6ADE0BD1"/>
    <w:rsid w:val="6AE81378"/>
    <w:rsid w:val="6AE96859"/>
    <w:rsid w:val="6B147746"/>
    <w:rsid w:val="6B1E7934"/>
    <w:rsid w:val="6B24787C"/>
    <w:rsid w:val="6B453112"/>
    <w:rsid w:val="6B573233"/>
    <w:rsid w:val="6B5B6274"/>
    <w:rsid w:val="6B826114"/>
    <w:rsid w:val="6B935D53"/>
    <w:rsid w:val="6B9D2F4E"/>
    <w:rsid w:val="6BC56001"/>
    <w:rsid w:val="6BE0108D"/>
    <w:rsid w:val="6C1316F7"/>
    <w:rsid w:val="6C196F71"/>
    <w:rsid w:val="6C1F5711"/>
    <w:rsid w:val="6C226FCB"/>
    <w:rsid w:val="6C31226F"/>
    <w:rsid w:val="6C44161C"/>
    <w:rsid w:val="6C517EC7"/>
    <w:rsid w:val="6C552F0B"/>
    <w:rsid w:val="6C6972D4"/>
    <w:rsid w:val="6C7D68DC"/>
    <w:rsid w:val="6C8C67B7"/>
    <w:rsid w:val="6C951E77"/>
    <w:rsid w:val="6C9D744C"/>
    <w:rsid w:val="6D167928"/>
    <w:rsid w:val="6D2154B9"/>
    <w:rsid w:val="6D26299B"/>
    <w:rsid w:val="6D4772EC"/>
    <w:rsid w:val="6D657A9C"/>
    <w:rsid w:val="6D867E26"/>
    <w:rsid w:val="6D9078AF"/>
    <w:rsid w:val="6DA57E98"/>
    <w:rsid w:val="6DAA3FEF"/>
    <w:rsid w:val="6DC0172B"/>
    <w:rsid w:val="6DCB690C"/>
    <w:rsid w:val="6DD41A5B"/>
    <w:rsid w:val="6DE94229"/>
    <w:rsid w:val="6DF43C2E"/>
    <w:rsid w:val="6DF51CA3"/>
    <w:rsid w:val="6E3F209B"/>
    <w:rsid w:val="6E453429"/>
    <w:rsid w:val="6E5F098F"/>
    <w:rsid w:val="6E641B01"/>
    <w:rsid w:val="6E8335BD"/>
    <w:rsid w:val="6E8E12EF"/>
    <w:rsid w:val="6E972936"/>
    <w:rsid w:val="6EC627BC"/>
    <w:rsid w:val="6ECD3B4B"/>
    <w:rsid w:val="6ED446C5"/>
    <w:rsid w:val="6F2A7D94"/>
    <w:rsid w:val="6F2F0361"/>
    <w:rsid w:val="6F3E2352"/>
    <w:rsid w:val="6F563B40"/>
    <w:rsid w:val="6F7C731F"/>
    <w:rsid w:val="6F8331F1"/>
    <w:rsid w:val="6F946416"/>
    <w:rsid w:val="6F9D176F"/>
    <w:rsid w:val="6FA32AFD"/>
    <w:rsid w:val="6FAE1A09"/>
    <w:rsid w:val="6FD40F09"/>
    <w:rsid w:val="6FD75BF8"/>
    <w:rsid w:val="6FEF189F"/>
    <w:rsid w:val="6FF9271D"/>
    <w:rsid w:val="703B5110"/>
    <w:rsid w:val="70710506"/>
    <w:rsid w:val="707723D0"/>
    <w:rsid w:val="707A385E"/>
    <w:rsid w:val="70862203"/>
    <w:rsid w:val="70A02B99"/>
    <w:rsid w:val="70B56644"/>
    <w:rsid w:val="70CB40BA"/>
    <w:rsid w:val="70D171F6"/>
    <w:rsid w:val="70F5661B"/>
    <w:rsid w:val="71360107"/>
    <w:rsid w:val="713B688E"/>
    <w:rsid w:val="713F23B2"/>
    <w:rsid w:val="7148279F"/>
    <w:rsid w:val="71597917"/>
    <w:rsid w:val="718D5813"/>
    <w:rsid w:val="71A072F4"/>
    <w:rsid w:val="71C823A7"/>
    <w:rsid w:val="71D43752"/>
    <w:rsid w:val="71DD22F7"/>
    <w:rsid w:val="71F1796A"/>
    <w:rsid w:val="71FB63D5"/>
    <w:rsid w:val="72154626"/>
    <w:rsid w:val="72262B5D"/>
    <w:rsid w:val="72283FF7"/>
    <w:rsid w:val="722E7212"/>
    <w:rsid w:val="723A0474"/>
    <w:rsid w:val="724C4D86"/>
    <w:rsid w:val="725923E4"/>
    <w:rsid w:val="7275252F"/>
    <w:rsid w:val="72807126"/>
    <w:rsid w:val="72864BF7"/>
    <w:rsid w:val="72897D89"/>
    <w:rsid w:val="729023FC"/>
    <w:rsid w:val="72A252EE"/>
    <w:rsid w:val="73155AC0"/>
    <w:rsid w:val="731D6723"/>
    <w:rsid w:val="733F0D8F"/>
    <w:rsid w:val="734819F2"/>
    <w:rsid w:val="738D1AFA"/>
    <w:rsid w:val="73C0646E"/>
    <w:rsid w:val="73FC458A"/>
    <w:rsid w:val="740A314B"/>
    <w:rsid w:val="74100036"/>
    <w:rsid w:val="742222F5"/>
    <w:rsid w:val="7426187A"/>
    <w:rsid w:val="74281823"/>
    <w:rsid w:val="74476126"/>
    <w:rsid w:val="746A1E3C"/>
    <w:rsid w:val="74706664"/>
    <w:rsid w:val="747F3682"/>
    <w:rsid w:val="74933140"/>
    <w:rsid w:val="749C4185"/>
    <w:rsid w:val="74A54C22"/>
    <w:rsid w:val="74B15375"/>
    <w:rsid w:val="75067759"/>
    <w:rsid w:val="752E6DCD"/>
    <w:rsid w:val="75463B3A"/>
    <w:rsid w:val="7551380D"/>
    <w:rsid w:val="7553561C"/>
    <w:rsid w:val="755D394A"/>
    <w:rsid w:val="75600BE5"/>
    <w:rsid w:val="7564475C"/>
    <w:rsid w:val="7583797F"/>
    <w:rsid w:val="75882579"/>
    <w:rsid w:val="75BC0475"/>
    <w:rsid w:val="75D20F1D"/>
    <w:rsid w:val="75DA2C18"/>
    <w:rsid w:val="75F54412"/>
    <w:rsid w:val="761107C1"/>
    <w:rsid w:val="761D08E0"/>
    <w:rsid w:val="762C55FB"/>
    <w:rsid w:val="762D3121"/>
    <w:rsid w:val="765D347C"/>
    <w:rsid w:val="76805946"/>
    <w:rsid w:val="76826699"/>
    <w:rsid w:val="76C87133"/>
    <w:rsid w:val="76CD08D5"/>
    <w:rsid w:val="76CE66B2"/>
    <w:rsid w:val="76DB4B92"/>
    <w:rsid w:val="77052AA4"/>
    <w:rsid w:val="77073972"/>
    <w:rsid w:val="77136511"/>
    <w:rsid w:val="77185B7F"/>
    <w:rsid w:val="772938E8"/>
    <w:rsid w:val="77340A39"/>
    <w:rsid w:val="77351FD0"/>
    <w:rsid w:val="77387FCF"/>
    <w:rsid w:val="77472422"/>
    <w:rsid w:val="77545169"/>
    <w:rsid w:val="77644D3C"/>
    <w:rsid w:val="777F31F2"/>
    <w:rsid w:val="77C90C27"/>
    <w:rsid w:val="77CD6969"/>
    <w:rsid w:val="77D1700D"/>
    <w:rsid w:val="77EC04CC"/>
    <w:rsid w:val="78247F07"/>
    <w:rsid w:val="782642CC"/>
    <w:rsid w:val="784A1D68"/>
    <w:rsid w:val="787212BF"/>
    <w:rsid w:val="78775729"/>
    <w:rsid w:val="787910D9"/>
    <w:rsid w:val="787E7C64"/>
    <w:rsid w:val="788C2381"/>
    <w:rsid w:val="78994A9D"/>
    <w:rsid w:val="78A42DB0"/>
    <w:rsid w:val="78A656AB"/>
    <w:rsid w:val="78A77D5C"/>
    <w:rsid w:val="78B2245C"/>
    <w:rsid w:val="78B90C9C"/>
    <w:rsid w:val="78DD2BDC"/>
    <w:rsid w:val="78E172CC"/>
    <w:rsid w:val="78EA1D1F"/>
    <w:rsid w:val="79036DC3"/>
    <w:rsid w:val="7904172F"/>
    <w:rsid w:val="790F7E27"/>
    <w:rsid w:val="791A693D"/>
    <w:rsid w:val="792A231A"/>
    <w:rsid w:val="79316829"/>
    <w:rsid w:val="79515378"/>
    <w:rsid w:val="79766B8D"/>
    <w:rsid w:val="797E66A9"/>
    <w:rsid w:val="798518A4"/>
    <w:rsid w:val="79A97383"/>
    <w:rsid w:val="79E27E8B"/>
    <w:rsid w:val="79F850CE"/>
    <w:rsid w:val="79FD443C"/>
    <w:rsid w:val="7A081EDB"/>
    <w:rsid w:val="7A1D1975"/>
    <w:rsid w:val="7A3E5150"/>
    <w:rsid w:val="7A41363F"/>
    <w:rsid w:val="7A4670D6"/>
    <w:rsid w:val="7A4F5ABA"/>
    <w:rsid w:val="7A534B63"/>
    <w:rsid w:val="7A5A200A"/>
    <w:rsid w:val="7A615382"/>
    <w:rsid w:val="7A67303B"/>
    <w:rsid w:val="7AAB1D04"/>
    <w:rsid w:val="7ABA4368"/>
    <w:rsid w:val="7AC35E02"/>
    <w:rsid w:val="7AD05746"/>
    <w:rsid w:val="7B14665D"/>
    <w:rsid w:val="7B242D44"/>
    <w:rsid w:val="7B257FFD"/>
    <w:rsid w:val="7B343476"/>
    <w:rsid w:val="7B38059E"/>
    <w:rsid w:val="7B5A2978"/>
    <w:rsid w:val="7B5A7E4C"/>
    <w:rsid w:val="7B667AF9"/>
    <w:rsid w:val="7B7468F8"/>
    <w:rsid w:val="7B7D06A6"/>
    <w:rsid w:val="7B9652C4"/>
    <w:rsid w:val="7BC167E5"/>
    <w:rsid w:val="7BC2430B"/>
    <w:rsid w:val="7BD83B2F"/>
    <w:rsid w:val="7BDF6C6B"/>
    <w:rsid w:val="7BE91898"/>
    <w:rsid w:val="7BEE0103"/>
    <w:rsid w:val="7C0A0FE4"/>
    <w:rsid w:val="7C254906"/>
    <w:rsid w:val="7C32323F"/>
    <w:rsid w:val="7C325917"/>
    <w:rsid w:val="7C480CB4"/>
    <w:rsid w:val="7C547659"/>
    <w:rsid w:val="7C590818"/>
    <w:rsid w:val="7C63789C"/>
    <w:rsid w:val="7C7C10F6"/>
    <w:rsid w:val="7C7E46D6"/>
    <w:rsid w:val="7C853BEA"/>
    <w:rsid w:val="7C881368"/>
    <w:rsid w:val="7C896BD7"/>
    <w:rsid w:val="7C9A0DE4"/>
    <w:rsid w:val="7CD2057E"/>
    <w:rsid w:val="7CD564F7"/>
    <w:rsid w:val="7CE27788"/>
    <w:rsid w:val="7CF36E72"/>
    <w:rsid w:val="7D0C32F1"/>
    <w:rsid w:val="7D0F408D"/>
    <w:rsid w:val="7D272678"/>
    <w:rsid w:val="7D456FA2"/>
    <w:rsid w:val="7D491C6C"/>
    <w:rsid w:val="7D5429C0"/>
    <w:rsid w:val="7D63567A"/>
    <w:rsid w:val="7D6E6D43"/>
    <w:rsid w:val="7D851A94"/>
    <w:rsid w:val="7D853842"/>
    <w:rsid w:val="7DAB14FB"/>
    <w:rsid w:val="7DB54128"/>
    <w:rsid w:val="7DB57A34"/>
    <w:rsid w:val="7DE60973"/>
    <w:rsid w:val="7DEA689B"/>
    <w:rsid w:val="7DEF0916"/>
    <w:rsid w:val="7E1626EC"/>
    <w:rsid w:val="7E1A042F"/>
    <w:rsid w:val="7E1E5218"/>
    <w:rsid w:val="7E2117BD"/>
    <w:rsid w:val="7E6C679B"/>
    <w:rsid w:val="7E9A4E1F"/>
    <w:rsid w:val="7EA7723A"/>
    <w:rsid w:val="7EB048EF"/>
    <w:rsid w:val="7ED607F9"/>
    <w:rsid w:val="7EDE145C"/>
    <w:rsid w:val="7EF56FBB"/>
    <w:rsid w:val="7EFB3DBC"/>
    <w:rsid w:val="7F0768EB"/>
    <w:rsid w:val="7F143BEC"/>
    <w:rsid w:val="7F2A28F3"/>
    <w:rsid w:val="7F362021"/>
    <w:rsid w:val="7F4D13A6"/>
    <w:rsid w:val="7F6D458E"/>
    <w:rsid w:val="7F715AF2"/>
    <w:rsid w:val="7F7B47F9"/>
    <w:rsid w:val="7F886E69"/>
    <w:rsid w:val="7FA501CC"/>
    <w:rsid w:val="7FA73F44"/>
    <w:rsid w:val="7FC40652"/>
    <w:rsid w:val="7FCC5758"/>
    <w:rsid w:val="7FF54CAF"/>
    <w:rsid w:val="BB7FA927"/>
    <w:rsid w:val="EFF72F48"/>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2">
    <w:name w:val="toa heading"/>
    <w:basedOn w:val="1"/>
    <w:next w:val="1"/>
    <w:autoRedefine/>
    <w:qFormat/>
    <w:uiPriority w:val="0"/>
    <w:rPr>
      <w:rFonts w:ascii="Arial" w:hAnsi="Arial"/>
      <w:sz w:val="24"/>
    </w:rPr>
  </w:style>
  <w:style w:type="paragraph" w:styleId="6">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3"/>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6"/>
    <w:autoRedefine/>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6"/>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2"/>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3"/>
    <w:autoRedefine/>
    <w:qFormat/>
    <w:uiPriority w:val="0"/>
    <w:rPr>
      <w:lang w:val="zh-CN"/>
    </w:rPr>
  </w:style>
  <w:style w:type="paragraph" w:styleId="40">
    <w:name w:val="Balloon Text"/>
    <w:basedOn w:val="1"/>
    <w:link w:val="189"/>
    <w:autoRedefine/>
    <w:qFormat/>
    <w:uiPriority w:val="0"/>
    <w:rPr>
      <w:sz w:val="18"/>
      <w:szCs w:val="18"/>
    </w:rPr>
  </w:style>
  <w:style w:type="paragraph" w:styleId="41">
    <w:name w:val="footer"/>
    <w:basedOn w:val="1"/>
    <w:link w:val="384"/>
    <w:autoRedefine/>
    <w:qFormat/>
    <w:uiPriority w:val="99"/>
    <w:pPr>
      <w:tabs>
        <w:tab w:val="center" w:pos="4153"/>
        <w:tab w:val="right" w:pos="8306"/>
      </w:tabs>
      <w:snapToGrid w:val="0"/>
      <w:jc w:val="left"/>
    </w:pPr>
    <w:rPr>
      <w:sz w:val="18"/>
      <w:szCs w:val="18"/>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7"/>
    <w:autoRedefine/>
    <w:qFormat/>
    <w:uiPriority w:val="0"/>
    <w:rPr>
      <w:b/>
      <w:bCs/>
    </w:rPr>
  </w:style>
  <w:style w:type="paragraph" w:styleId="62">
    <w:name w:val="Body Text First Indent"/>
    <w:basedOn w:val="24"/>
    <w:next w:val="52"/>
    <w:link w:val="322"/>
    <w:autoRedefine/>
    <w:qFormat/>
    <w:uiPriority w:val="0"/>
    <w:pPr>
      <w:ind w:firstLine="420"/>
    </w:pPr>
    <w:rPr>
      <w:rFonts w:hAnsi="Calibri" w:cs="Times New Roman"/>
      <w:snapToGrid/>
      <w:szCs w:val="20"/>
    </w:rPr>
  </w:style>
  <w:style w:type="paragraph" w:styleId="63">
    <w:name w:val="Body Text First Indent 2"/>
    <w:basedOn w:val="25"/>
    <w:next w:val="1"/>
    <w:link w:val="122"/>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locked/>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semiHidden/>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1"/>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
    <w:autoRedefine/>
    <w:qFormat/>
    <w:locked/>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3"/>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1"/>
    <w:autoRedefine/>
    <w:qFormat/>
    <w:uiPriority w:val="0"/>
    <w:rPr>
      <w:rFonts w:ascii="Arial" w:hAnsi="Arial" w:eastAsia="黑体" w:cs="Arial"/>
      <w:snapToGrid w:val="0"/>
      <w:kern w:val="0"/>
      <w:szCs w:val="21"/>
    </w:rPr>
  </w:style>
  <w:style w:type="character" w:customStyle="1" w:styleId="126">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8"/>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semiHidden/>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locked/>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9"/>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locked/>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locked/>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4"/>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semiHidden/>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semiHidden/>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7"/>
    <w:autoRedefine/>
    <w:qFormat/>
    <w:uiPriority w:val="0"/>
    <w:rPr>
      <w:rFonts w:ascii="宋体"/>
      <w:kern w:val="2"/>
      <w:sz w:val="24"/>
      <w:szCs w:val="21"/>
      <w:lang w:val="zh-CN"/>
    </w:rPr>
  </w:style>
  <w:style w:type="character" w:customStyle="1" w:styleId="183">
    <w:name w:val="标题 9 Char"/>
    <w:link w:val="12"/>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semiHidden/>
    <w:qFormat/>
    <w:uiPriority w:val="99"/>
    <w:rPr>
      <w:rFonts w:ascii="Times New Roman" w:hAnsi="Times New Roman" w:eastAsia="宋体" w:cs="Times New Roman"/>
      <w:szCs w:val="24"/>
    </w:rPr>
  </w:style>
  <w:style w:type="character" w:customStyle="1" w:styleId="189">
    <w:name w:val="批注框文本 Char"/>
    <w:link w:val="40"/>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locked/>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9"/>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semiHidden/>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1"/>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1"/>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7"/>
    <w:link w:val="223"/>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autoRedefine/>
    <w:qFormat/>
    <w:locked/>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7"/>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236"/>
    <w:autoRedefine/>
    <w:qFormat/>
    <w:uiPriority w:val="0"/>
    <w:rPr>
      <w:rFonts w:ascii="仿宋_GB2312" w:eastAsia="仿宋_GB2312" w:cs="仿宋_GB2312"/>
      <w:color w:val="000000"/>
      <w:sz w:val="24"/>
      <w:szCs w:val="24"/>
      <w:lang w:val="en-US" w:eastAsia="zh-CN" w:bidi="ar-SA"/>
    </w:rPr>
  </w:style>
  <w:style w:type="paragraph" w:customStyle="1" w:styleId="236">
    <w:name w:val="Default"/>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semiHidden/>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locked/>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semiHidden/>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
    <w:autoRedefine/>
    <w:qFormat/>
    <w:locked/>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1"/>
    <w:autoRedefine/>
    <w:qFormat/>
    <w:uiPriority w:val="0"/>
    <w:rPr>
      <w:rFonts w:ascii="仿宋_GB2312" w:eastAsia="仿宋_GB2312"/>
      <w:kern w:val="2"/>
      <w:sz w:val="28"/>
    </w:rPr>
  </w:style>
  <w:style w:type="character" w:customStyle="1" w:styleId="300">
    <w:name w:val="文本正文 Char Char"/>
    <w:autoRedefine/>
    <w:qFormat/>
    <w:locked/>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8"/>
    <w:autoRedefine/>
    <w:qFormat/>
    <w:uiPriority w:val="0"/>
    <w:rPr>
      <w:rFonts w:ascii="黑体" w:hAnsi="Courier New" w:eastAsia="黑体"/>
    </w:rPr>
  </w:style>
  <w:style w:type="character" w:customStyle="1" w:styleId="303">
    <w:name w:val="正文文本 2 Char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10"/>
    <w:autoRedefine/>
    <w:qFormat/>
    <w:uiPriority w:val="0"/>
    <w:rPr>
      <w:b/>
      <w:bCs/>
      <w:kern w:val="2"/>
      <w:sz w:val="24"/>
      <w:szCs w:val="24"/>
    </w:rPr>
  </w:style>
  <w:style w:type="character" w:customStyle="1" w:styleId="309">
    <w:name w:val="正文文本缩进 2 Char"/>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autoRedefine/>
    <w:qFormat/>
    <w:uiPriority w:val="99"/>
    <w:rPr>
      <w:kern w:val="2"/>
      <w:sz w:val="21"/>
      <w:szCs w:val="24"/>
    </w:rPr>
  </w:style>
  <w:style w:type="character" w:customStyle="1" w:styleId="346">
    <w:name w:val="签名 Char"/>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semiHidden/>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4"/>
    <w:autoRedefine/>
    <w:qFormat/>
    <w:uiPriority w:val="0"/>
    <w:rPr>
      <w:kern w:val="2"/>
      <w:sz w:val="24"/>
    </w:rPr>
  </w:style>
  <w:style w:type="character" w:customStyle="1" w:styleId="377">
    <w:name w:val="日期 Char1"/>
    <w:autoRedefine/>
    <w:semiHidden/>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1"/>
    <w:autoRedefine/>
    <w:qFormat/>
    <w:locked/>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字符"/>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样式 标题 2 + Times New Roman 四号 非加粗 段前: 5 磅 段后: 0 磅 行距: 固定值 20..."/>
    <w:basedOn w:val="4"/>
    <w:qFormat/>
    <w:uiPriority w:val="0"/>
    <w:pPr>
      <w:tabs>
        <w:tab w:val="left" w:pos="1080"/>
        <w:tab w:val="clear" w:pos="432"/>
      </w:tabs>
      <w:spacing w:before="100" w:line="400" w:lineRule="exact"/>
    </w:pPr>
    <w:rPr>
      <w:rFonts w:ascii="Times New Roman" w:hAnsi="Times New Roman" w:eastAsia="黑体" w:cs="宋体"/>
      <w:b w:val="0"/>
      <w:sz w:val="28"/>
      <w:szCs w:val="20"/>
    </w:rPr>
  </w:style>
  <w:style w:type="paragraph" w:customStyle="1" w:styleId="966">
    <w:name w:val="p16"/>
    <w:basedOn w:val="1"/>
    <w:qFormat/>
    <w:uiPriority w:val="0"/>
    <w:pPr>
      <w:widowControl/>
      <w:spacing w:before="100" w:after="100"/>
      <w:jc w:val="left"/>
    </w:pPr>
    <w:rPr>
      <w:rFonts w:ascii="宋体" w:hAnsi="宋体" w:cs="宋体"/>
      <w:color w:val="000000"/>
      <w:kern w:val="0"/>
      <w:sz w:val="24"/>
    </w:rPr>
  </w:style>
  <w:style w:type="paragraph" w:customStyle="1" w:styleId="967">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96</Pages>
  <Words>48739</Words>
  <Characters>51160</Characters>
  <Lines>405</Lines>
  <Paragraphs>114</Paragraphs>
  <TotalTime>12</TotalTime>
  <ScaleCrop>false</ScaleCrop>
  <LinksUpToDate>false</LinksUpToDate>
  <CharactersWithSpaces>58534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2021-12-27T11:06:00Z</cp:lastPrinted>
  <dcterms:created xsi:type="dcterms:W3CDTF">2022-05-07T07:35:00Z</dcterms:created>
  <dcterms:modified xsi:type="dcterms:W3CDTF">2024-06-12T05:19:29Z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855B7432850E4509BA46C656CC095026</vt:lpwstr>
  </property>
  <property fmtid="{D5CDD505-2E9C-101B-9397-08002B2CF9AE}" pid="5" name="commondata">
    <vt:lpwstr>eyJoZGlkIjoiNGNlMmFkMDQ1NDY0ZmRiM2Q0NjY4NTFjN2IwMTllYjMifQ==</vt:lpwstr>
  </property>
</Properties>
</file>